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E8264A" w:rsidRDefault="00D53E1B" w:rsidP="006D6493">
      <w:pPr>
        <w:pStyle w:val="Title"/>
        <w:spacing w:before="120" w:after="160"/>
        <w:ind w:left="720" w:hanging="720"/>
        <w:rPr>
          <w:rFonts w:asciiTheme="minorHAnsi" w:hAnsiTheme="minorHAnsi"/>
          <w:sz w:val="36"/>
          <w:szCs w:val="36"/>
        </w:rPr>
      </w:pPr>
      <w:r w:rsidRPr="00E8264A">
        <w:rPr>
          <w:rFonts w:asciiTheme="minorHAnsi" w:hAnsiTheme="minorHAnsi"/>
          <w:sz w:val="36"/>
          <w:szCs w:val="36"/>
        </w:rPr>
        <w:t>5.19</w:t>
      </w:r>
      <w:r w:rsidR="006D6493" w:rsidRPr="00E8264A">
        <w:rPr>
          <w:rFonts w:asciiTheme="minorHAnsi" w:hAnsiTheme="minorHAnsi"/>
          <w:sz w:val="36"/>
          <w:szCs w:val="36"/>
        </w:rPr>
        <w:tab/>
      </w:r>
      <w:r w:rsidRPr="00E8264A">
        <w:rPr>
          <w:rFonts w:asciiTheme="minorHAnsi" w:hAnsiTheme="minorHAnsi"/>
          <w:sz w:val="36"/>
          <w:szCs w:val="36"/>
        </w:rPr>
        <w:t>INSULIN GLARGINE</w:t>
      </w:r>
      <w:r w:rsidR="006D6493" w:rsidRPr="00E8264A">
        <w:rPr>
          <w:rFonts w:asciiTheme="minorHAnsi" w:hAnsiTheme="minorHAnsi"/>
          <w:sz w:val="36"/>
          <w:szCs w:val="36"/>
        </w:rPr>
        <w:br/>
      </w:r>
      <w:r w:rsidRPr="00E8264A">
        <w:rPr>
          <w:rFonts w:asciiTheme="minorHAnsi" w:hAnsiTheme="minorHAnsi"/>
          <w:sz w:val="36"/>
          <w:szCs w:val="36"/>
        </w:rPr>
        <w:t>Injections (human analogue), cartridges, 100 units per mL, 3 mL, 5</w:t>
      </w:r>
      <w:r w:rsidR="006D6493" w:rsidRPr="00E8264A">
        <w:rPr>
          <w:rFonts w:asciiTheme="minorHAnsi" w:hAnsiTheme="minorHAnsi"/>
          <w:sz w:val="36"/>
          <w:szCs w:val="36"/>
        </w:rPr>
        <w:t xml:space="preserve">, </w:t>
      </w:r>
      <w:r w:rsidR="006D6493" w:rsidRPr="00E8264A">
        <w:rPr>
          <w:rFonts w:asciiTheme="minorHAnsi" w:hAnsiTheme="minorHAnsi"/>
          <w:sz w:val="36"/>
          <w:szCs w:val="36"/>
        </w:rPr>
        <w:br/>
      </w:r>
      <w:r w:rsidRPr="00E8264A">
        <w:rPr>
          <w:rFonts w:asciiTheme="minorHAnsi" w:hAnsiTheme="minorHAnsi"/>
          <w:sz w:val="36"/>
          <w:szCs w:val="36"/>
        </w:rPr>
        <w:t>Semglee</w:t>
      </w:r>
      <w:r w:rsidR="006D6493" w:rsidRPr="00C11190">
        <w:rPr>
          <w:rFonts w:asciiTheme="minorHAnsi" w:hAnsiTheme="minorHAnsi"/>
          <w:sz w:val="36"/>
          <w:szCs w:val="36"/>
        </w:rPr>
        <w:t>®</w:t>
      </w:r>
      <w:r w:rsidR="006D6493" w:rsidRPr="00E8264A">
        <w:rPr>
          <w:rFonts w:asciiTheme="minorHAnsi" w:hAnsiTheme="minorHAnsi"/>
          <w:sz w:val="36"/>
          <w:szCs w:val="36"/>
        </w:rPr>
        <w:t xml:space="preserve">, </w:t>
      </w:r>
      <w:r w:rsidRPr="00E8264A">
        <w:rPr>
          <w:rFonts w:asciiTheme="minorHAnsi" w:hAnsiTheme="minorHAnsi"/>
          <w:sz w:val="36"/>
          <w:szCs w:val="36"/>
        </w:rPr>
        <w:t>Alphapharm Pty Ltd</w:t>
      </w:r>
    </w:p>
    <w:p w:rsidR="008A50F1" w:rsidRPr="00E8264A" w:rsidRDefault="00CE10C4" w:rsidP="00EB0B63">
      <w:pPr>
        <w:pStyle w:val="PBACHeading1"/>
        <w:spacing w:before="240" w:after="120"/>
        <w:ind w:left="709" w:hanging="709"/>
        <w:rPr>
          <w:rFonts w:asciiTheme="minorHAnsi" w:hAnsiTheme="minorHAnsi"/>
          <w:sz w:val="32"/>
          <w:szCs w:val="32"/>
        </w:rPr>
      </w:pPr>
      <w:r w:rsidRPr="00E8264A">
        <w:rPr>
          <w:rFonts w:asciiTheme="minorHAnsi" w:hAnsiTheme="minorHAnsi"/>
          <w:sz w:val="32"/>
          <w:szCs w:val="32"/>
        </w:rPr>
        <w:t xml:space="preserve">Purpose of </w:t>
      </w:r>
      <w:r w:rsidR="0004240E" w:rsidRPr="00E8264A">
        <w:rPr>
          <w:rFonts w:asciiTheme="minorHAnsi" w:hAnsiTheme="minorHAnsi"/>
          <w:sz w:val="32"/>
          <w:szCs w:val="32"/>
        </w:rPr>
        <w:t>Application</w:t>
      </w:r>
    </w:p>
    <w:p w:rsidR="006A12A5" w:rsidRPr="00E8264A"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mi</w:t>
      </w:r>
      <w:r w:rsidR="00FF2801" w:rsidRPr="00E8264A">
        <w:rPr>
          <w:rFonts w:asciiTheme="minorHAnsi" w:eastAsiaTheme="minorHAnsi" w:hAnsiTheme="minorHAnsi" w:cstheme="minorBidi"/>
          <w:snapToGrid/>
          <w:sz w:val="24"/>
          <w:szCs w:val="22"/>
        </w:rPr>
        <w:t xml:space="preserve">nor submission sought </w:t>
      </w:r>
      <w:r w:rsidRPr="00E8264A">
        <w:rPr>
          <w:rFonts w:asciiTheme="minorHAnsi" w:eastAsiaTheme="minorHAnsi" w:hAnsiTheme="minorHAnsi" w:cstheme="minorBidi"/>
          <w:snapToGrid/>
          <w:sz w:val="24"/>
          <w:szCs w:val="22"/>
        </w:rPr>
        <w:t>listing</w:t>
      </w:r>
      <w:r w:rsidR="00895662" w:rsidRPr="00E8264A">
        <w:rPr>
          <w:rFonts w:asciiTheme="minorHAnsi" w:eastAsiaTheme="minorHAnsi" w:hAnsiTheme="minorHAnsi" w:cstheme="minorBidi"/>
          <w:snapToGrid/>
          <w:sz w:val="24"/>
          <w:szCs w:val="22"/>
        </w:rPr>
        <w:t xml:space="preserve"> </w:t>
      </w:r>
      <w:r w:rsidR="00F260A8" w:rsidRPr="00E8264A">
        <w:rPr>
          <w:rFonts w:asciiTheme="minorHAnsi" w:eastAsiaTheme="minorHAnsi" w:hAnsiTheme="minorHAnsi" w:cstheme="minorBidi"/>
          <w:snapToGrid/>
          <w:sz w:val="24"/>
          <w:szCs w:val="22"/>
        </w:rPr>
        <w:t xml:space="preserve">for </w:t>
      </w:r>
      <w:r w:rsidR="00895662" w:rsidRPr="00E8264A">
        <w:rPr>
          <w:rFonts w:asciiTheme="minorHAnsi" w:eastAsiaTheme="minorHAnsi" w:hAnsiTheme="minorHAnsi" w:cstheme="minorBidi"/>
          <w:snapToGrid/>
          <w:sz w:val="24"/>
          <w:szCs w:val="22"/>
        </w:rPr>
        <w:t xml:space="preserve">a biosimilar </w:t>
      </w:r>
      <w:r w:rsidR="00F260A8" w:rsidRPr="00E8264A">
        <w:rPr>
          <w:rFonts w:asciiTheme="minorHAnsi" w:eastAsiaTheme="minorHAnsi" w:hAnsiTheme="minorHAnsi" w:cstheme="minorBidi"/>
          <w:snapToGrid/>
          <w:sz w:val="24"/>
          <w:szCs w:val="22"/>
        </w:rPr>
        <w:t xml:space="preserve">brand of insulin glargine </w:t>
      </w:r>
      <w:r w:rsidR="00410966" w:rsidRPr="00E8264A">
        <w:rPr>
          <w:rFonts w:asciiTheme="minorHAnsi" w:eastAsiaTheme="minorHAnsi" w:hAnsiTheme="minorHAnsi" w:cstheme="minorBidi"/>
          <w:snapToGrid/>
          <w:sz w:val="24"/>
          <w:szCs w:val="22"/>
        </w:rPr>
        <w:t>(</w:t>
      </w:r>
      <w:r w:rsidR="00895662" w:rsidRPr="00E8264A">
        <w:rPr>
          <w:rFonts w:asciiTheme="minorHAnsi" w:eastAsiaTheme="minorHAnsi" w:hAnsiTheme="minorHAnsi" w:cstheme="minorBidi"/>
          <w:snapToGrid/>
          <w:sz w:val="24"/>
          <w:szCs w:val="22"/>
        </w:rPr>
        <w:t>Semglee®</w:t>
      </w:r>
      <w:r w:rsidR="00F260A8" w:rsidRPr="00E8264A">
        <w:rPr>
          <w:rFonts w:asciiTheme="minorHAnsi" w:eastAsiaTheme="minorHAnsi" w:hAnsiTheme="minorHAnsi" w:cstheme="minorBidi"/>
          <w:snapToGrid/>
          <w:sz w:val="24"/>
          <w:szCs w:val="22"/>
        </w:rPr>
        <w:t>)</w:t>
      </w:r>
      <w:r w:rsidR="00895662" w:rsidRPr="00E8264A">
        <w:rPr>
          <w:rFonts w:asciiTheme="minorHAnsi" w:eastAsiaTheme="minorHAnsi" w:hAnsiTheme="minorHAnsi" w:cstheme="minorBidi"/>
          <w:snapToGrid/>
          <w:sz w:val="24"/>
          <w:szCs w:val="22"/>
        </w:rPr>
        <w:t xml:space="preserve">, </w:t>
      </w:r>
      <w:r w:rsidR="00F260A8" w:rsidRPr="00E8264A">
        <w:rPr>
          <w:rFonts w:asciiTheme="minorHAnsi" w:eastAsiaTheme="minorHAnsi" w:hAnsiTheme="minorHAnsi" w:cstheme="minorBidi"/>
          <w:snapToGrid/>
          <w:sz w:val="24"/>
          <w:szCs w:val="22"/>
        </w:rPr>
        <w:t>on the General Schedule (Section 85) as an unrestricted benefit.</w:t>
      </w:r>
    </w:p>
    <w:p w:rsidR="00DC6C29" w:rsidRPr="00E8264A" w:rsidRDefault="00DC6C29" w:rsidP="00175948">
      <w:pPr>
        <w:pStyle w:val="PBACHeading1"/>
        <w:spacing w:before="240" w:after="120"/>
        <w:ind w:left="709" w:hanging="709"/>
        <w:rPr>
          <w:rFonts w:asciiTheme="minorHAnsi" w:hAnsiTheme="minorHAnsi"/>
          <w:sz w:val="32"/>
          <w:szCs w:val="32"/>
        </w:rPr>
      </w:pPr>
      <w:r w:rsidRPr="00E8264A">
        <w:rPr>
          <w:rFonts w:asciiTheme="minorHAnsi" w:hAnsiTheme="minorHAnsi"/>
          <w:sz w:val="32"/>
          <w:szCs w:val="32"/>
        </w:rPr>
        <w:t>Background</w:t>
      </w:r>
    </w:p>
    <w:p w:rsidR="00DC6C29" w:rsidRPr="00E8264A" w:rsidRDefault="00DC6C29" w:rsidP="00DC6C2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Semglee</w:t>
      </w:r>
      <w:r w:rsidR="00E8264A">
        <w:rPr>
          <w:rFonts w:asciiTheme="minorHAnsi" w:eastAsiaTheme="minorHAnsi" w:hAnsiTheme="minorHAnsi" w:cstheme="minorBidi"/>
          <w:snapToGrid/>
          <w:sz w:val="24"/>
          <w:szCs w:val="22"/>
        </w:rPr>
        <w:t>®</w:t>
      </w:r>
      <w:r w:rsidRPr="00E8264A">
        <w:rPr>
          <w:rFonts w:asciiTheme="minorHAnsi" w:eastAsiaTheme="minorHAnsi" w:hAnsiTheme="minorHAnsi" w:cstheme="minorBidi"/>
          <w:snapToGrid/>
          <w:sz w:val="24"/>
          <w:szCs w:val="22"/>
        </w:rPr>
        <w:t xml:space="preserve"> brand of insulin glargine was TGA registered on 2</w:t>
      </w:r>
      <w:r w:rsidR="00F51EC9">
        <w:rPr>
          <w:rFonts w:asciiTheme="minorHAnsi" w:eastAsiaTheme="minorHAnsi" w:hAnsiTheme="minorHAnsi" w:cstheme="minorBidi"/>
          <w:snapToGrid/>
          <w:sz w:val="24"/>
          <w:szCs w:val="22"/>
        </w:rPr>
        <w:t>8</w:t>
      </w:r>
      <w:r w:rsidRPr="00E8264A">
        <w:rPr>
          <w:rFonts w:asciiTheme="minorHAnsi" w:eastAsiaTheme="minorHAnsi" w:hAnsiTheme="minorHAnsi" w:cstheme="minorBidi"/>
          <w:snapToGrid/>
          <w:sz w:val="24"/>
          <w:szCs w:val="22"/>
        </w:rPr>
        <w:t xml:space="preserve"> March 2018.</w:t>
      </w:r>
    </w:p>
    <w:p w:rsidR="00DC6C29" w:rsidRPr="00E8264A" w:rsidRDefault="00DC6C29" w:rsidP="00DC6C2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PBAC has not previously considered an application for this brand of insulin glargine.</w:t>
      </w:r>
    </w:p>
    <w:p w:rsidR="00DC6C29" w:rsidRPr="00E8264A" w:rsidRDefault="00DC6C29" w:rsidP="00DC6C2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There are three PBS-listed presentations of the reference product, Lantus: vials for injection, cartridges for use in reusable injection pens and pre-filled disposable pen devices. The pre-filled disposable pen presentation, known as Lantus </w:t>
      </w:r>
      <w:proofErr w:type="spellStart"/>
      <w:r w:rsidRPr="00E8264A">
        <w:rPr>
          <w:rFonts w:asciiTheme="minorHAnsi" w:eastAsiaTheme="minorHAnsi" w:hAnsiTheme="minorHAnsi" w:cstheme="minorBidi"/>
          <w:snapToGrid/>
          <w:sz w:val="24"/>
          <w:szCs w:val="22"/>
        </w:rPr>
        <w:t>SoloStar</w:t>
      </w:r>
      <w:proofErr w:type="spellEnd"/>
      <w:r w:rsidR="00E8264A">
        <w:rPr>
          <w:rFonts w:asciiTheme="minorHAnsi" w:eastAsiaTheme="minorHAnsi" w:hAnsiTheme="minorHAnsi" w:cstheme="minorBidi"/>
          <w:snapToGrid/>
          <w:sz w:val="24"/>
          <w:szCs w:val="22"/>
        </w:rPr>
        <w:t>®</w:t>
      </w:r>
      <w:r w:rsidRPr="00E8264A">
        <w:rPr>
          <w:rFonts w:asciiTheme="minorHAnsi" w:eastAsiaTheme="minorHAnsi" w:hAnsiTheme="minorHAnsi" w:cstheme="minorBidi"/>
          <w:snapToGrid/>
          <w:sz w:val="24"/>
          <w:szCs w:val="22"/>
        </w:rPr>
        <w:t xml:space="preserve">, is the same presentation as </w:t>
      </w:r>
      <w:r w:rsidR="00E8264A">
        <w:rPr>
          <w:rFonts w:asciiTheme="minorHAnsi" w:eastAsiaTheme="minorHAnsi" w:hAnsiTheme="minorHAnsi" w:cstheme="minorBidi"/>
          <w:snapToGrid/>
          <w:sz w:val="24"/>
          <w:szCs w:val="22"/>
        </w:rPr>
        <w:t>Semglee®.</w:t>
      </w:r>
      <w:r w:rsidRPr="00E8264A">
        <w:rPr>
          <w:rFonts w:asciiTheme="minorHAnsi" w:eastAsiaTheme="minorHAnsi" w:hAnsiTheme="minorHAnsi" w:cstheme="minorBidi"/>
          <w:snapToGrid/>
          <w:sz w:val="24"/>
          <w:szCs w:val="22"/>
        </w:rPr>
        <w:t xml:space="preserve"> The sponsor has proposed that </w:t>
      </w:r>
      <w:r w:rsidR="00E8264A">
        <w:rPr>
          <w:rFonts w:asciiTheme="minorHAnsi" w:eastAsiaTheme="minorHAnsi" w:hAnsiTheme="minorHAnsi" w:cstheme="minorBidi"/>
          <w:snapToGrid/>
          <w:sz w:val="24"/>
          <w:szCs w:val="22"/>
        </w:rPr>
        <w:t xml:space="preserve">Semglee® </w:t>
      </w:r>
      <w:r w:rsidRPr="00E8264A">
        <w:rPr>
          <w:rFonts w:asciiTheme="minorHAnsi" w:eastAsiaTheme="minorHAnsi" w:hAnsiTheme="minorHAnsi" w:cstheme="minorBidi"/>
          <w:snapToGrid/>
          <w:sz w:val="24"/>
          <w:szCs w:val="22"/>
        </w:rPr>
        <w:t xml:space="preserve">be ‘a’ flagged to Lantus </w:t>
      </w:r>
      <w:proofErr w:type="spellStart"/>
      <w:r w:rsidRPr="00E8264A">
        <w:rPr>
          <w:rFonts w:asciiTheme="minorHAnsi" w:eastAsiaTheme="minorHAnsi" w:hAnsiTheme="minorHAnsi" w:cstheme="minorBidi"/>
          <w:snapToGrid/>
          <w:sz w:val="24"/>
          <w:szCs w:val="22"/>
        </w:rPr>
        <w:t>SoloStar</w:t>
      </w:r>
      <w:proofErr w:type="spellEnd"/>
      <w:r w:rsidR="00E8264A">
        <w:rPr>
          <w:rFonts w:asciiTheme="minorHAnsi" w:eastAsiaTheme="minorHAnsi" w:hAnsiTheme="minorHAnsi" w:cstheme="minorBidi"/>
          <w:snapToGrid/>
          <w:sz w:val="24"/>
          <w:szCs w:val="22"/>
        </w:rPr>
        <w:t>®</w:t>
      </w:r>
      <w:r w:rsidRPr="00E8264A">
        <w:rPr>
          <w:rFonts w:asciiTheme="minorHAnsi" w:eastAsiaTheme="minorHAnsi" w:hAnsiTheme="minorHAnsi" w:cstheme="minorBidi"/>
          <w:snapToGrid/>
          <w:sz w:val="24"/>
          <w:szCs w:val="22"/>
        </w:rPr>
        <w:t xml:space="preserve"> but not to the other presentations of Lantus.</w:t>
      </w:r>
    </w:p>
    <w:p w:rsidR="00DC6C29" w:rsidRPr="00E8264A" w:rsidRDefault="00DC6C29" w:rsidP="008D7D6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At its March 2015 meeting, the PBAC recommended the listing of </w:t>
      </w:r>
      <w:proofErr w:type="spellStart"/>
      <w:r w:rsidRPr="00E8264A">
        <w:rPr>
          <w:rFonts w:asciiTheme="minorHAnsi" w:eastAsiaTheme="minorHAnsi" w:hAnsiTheme="minorHAnsi" w:cstheme="minorBidi"/>
          <w:snapToGrid/>
          <w:sz w:val="24"/>
          <w:szCs w:val="22"/>
        </w:rPr>
        <w:t>Basaglar</w:t>
      </w:r>
      <w:proofErr w:type="spellEnd"/>
      <w:r w:rsidRPr="00E8264A">
        <w:rPr>
          <w:rFonts w:asciiTheme="minorHAnsi" w:eastAsiaTheme="minorHAnsi" w:hAnsiTheme="minorHAnsi" w:cstheme="minorBidi"/>
          <w:snapToGrid/>
          <w:sz w:val="24"/>
          <w:szCs w:val="22"/>
        </w:rPr>
        <w:t xml:space="preserve">®, a biosimilar brand of insulin glargine, on a cost-minimisation basis with its reference product, Lantus. </w:t>
      </w:r>
      <w:r w:rsidRPr="00E8264A">
        <w:rPr>
          <w:rFonts w:asciiTheme="minorHAnsi" w:eastAsiaTheme="minorHAnsi" w:hAnsiTheme="minorHAnsi" w:cstheme="minorBidi"/>
          <w:sz w:val="24"/>
          <w:szCs w:val="22"/>
        </w:rPr>
        <w:t xml:space="preserve">The PBAC also recommended that </w:t>
      </w:r>
      <w:proofErr w:type="spellStart"/>
      <w:r w:rsidRPr="00E8264A">
        <w:rPr>
          <w:rFonts w:asciiTheme="minorHAnsi" w:eastAsiaTheme="minorHAnsi" w:hAnsiTheme="minorHAnsi" w:cstheme="minorBidi"/>
          <w:sz w:val="24"/>
          <w:szCs w:val="22"/>
        </w:rPr>
        <w:t>Basaglar</w:t>
      </w:r>
      <w:proofErr w:type="spellEnd"/>
      <w:r w:rsidRPr="00E8264A">
        <w:rPr>
          <w:rFonts w:asciiTheme="minorHAnsi" w:eastAsiaTheme="minorHAnsi" w:hAnsiTheme="minorHAnsi" w:cstheme="minorBidi"/>
          <w:sz w:val="24"/>
          <w:szCs w:val="22"/>
        </w:rPr>
        <w:t xml:space="preserve"> and Lantus cartridge presentations could be ‘a’ flagged to each other, and the </w:t>
      </w:r>
      <w:proofErr w:type="spellStart"/>
      <w:r w:rsidRPr="00E8264A">
        <w:rPr>
          <w:rFonts w:asciiTheme="minorHAnsi" w:eastAsiaTheme="minorHAnsi" w:hAnsiTheme="minorHAnsi" w:cstheme="minorBidi"/>
          <w:sz w:val="24"/>
          <w:szCs w:val="22"/>
        </w:rPr>
        <w:t>Basaglar</w:t>
      </w:r>
      <w:proofErr w:type="spellEnd"/>
      <w:r w:rsidRPr="00E8264A">
        <w:rPr>
          <w:rFonts w:asciiTheme="minorHAnsi" w:eastAsiaTheme="minorHAnsi" w:hAnsiTheme="minorHAnsi" w:cstheme="minorBidi"/>
          <w:sz w:val="24"/>
          <w:szCs w:val="22"/>
        </w:rPr>
        <w:t xml:space="preserve"> </w:t>
      </w:r>
      <w:proofErr w:type="spellStart"/>
      <w:r w:rsidRPr="00E8264A">
        <w:rPr>
          <w:rFonts w:asciiTheme="minorHAnsi" w:eastAsiaTheme="minorHAnsi" w:hAnsiTheme="minorHAnsi" w:cstheme="minorBidi"/>
          <w:sz w:val="24"/>
          <w:szCs w:val="22"/>
        </w:rPr>
        <w:t>KwikPen</w:t>
      </w:r>
      <w:proofErr w:type="spellEnd"/>
      <w:r w:rsidRPr="00E8264A">
        <w:rPr>
          <w:rFonts w:asciiTheme="minorHAnsi" w:eastAsiaTheme="minorHAnsi" w:hAnsiTheme="minorHAnsi" w:cstheme="minorBidi"/>
          <w:sz w:val="24"/>
          <w:szCs w:val="22"/>
        </w:rPr>
        <w:t xml:space="preserve"> and Lantus </w:t>
      </w:r>
      <w:proofErr w:type="spellStart"/>
      <w:r w:rsidR="00175948" w:rsidRPr="00E8264A">
        <w:rPr>
          <w:rFonts w:asciiTheme="minorHAnsi" w:eastAsiaTheme="minorHAnsi" w:hAnsiTheme="minorHAnsi" w:cstheme="minorBidi"/>
          <w:sz w:val="24"/>
          <w:szCs w:val="22"/>
        </w:rPr>
        <w:t>SoloStar</w:t>
      </w:r>
      <w:proofErr w:type="spellEnd"/>
      <w:r w:rsidRPr="00E8264A">
        <w:rPr>
          <w:rFonts w:asciiTheme="minorHAnsi" w:eastAsiaTheme="minorHAnsi" w:hAnsiTheme="minorHAnsi" w:cstheme="minorBidi"/>
          <w:sz w:val="24"/>
          <w:szCs w:val="22"/>
        </w:rPr>
        <w:t xml:space="preserve"> pre-filled disposable pens could be ‘a’ flagged to each other. </w:t>
      </w:r>
      <w:r w:rsidR="00586DC4" w:rsidRPr="00E8264A">
        <w:rPr>
          <w:rFonts w:asciiTheme="minorHAnsi" w:eastAsiaTheme="minorHAnsi" w:hAnsiTheme="minorHAnsi" w:cstheme="minorBidi"/>
          <w:snapToGrid/>
          <w:sz w:val="24"/>
          <w:szCs w:val="22"/>
        </w:rPr>
        <w:t>During the PBAC evaluation, the</w:t>
      </w:r>
      <w:r w:rsidR="00056BD7" w:rsidRPr="00E8264A">
        <w:rPr>
          <w:rFonts w:asciiTheme="minorHAnsi" w:eastAsiaTheme="minorHAnsi" w:hAnsiTheme="minorHAnsi" w:cstheme="minorBidi"/>
          <w:snapToGrid/>
          <w:sz w:val="24"/>
          <w:szCs w:val="22"/>
        </w:rPr>
        <w:t xml:space="preserve"> sponsor </w:t>
      </w:r>
      <w:r w:rsidR="00586DC4" w:rsidRPr="00E8264A">
        <w:rPr>
          <w:rFonts w:asciiTheme="minorHAnsi" w:eastAsiaTheme="minorHAnsi" w:hAnsiTheme="minorHAnsi" w:cstheme="minorBidi"/>
          <w:snapToGrid/>
          <w:sz w:val="24"/>
          <w:szCs w:val="22"/>
        </w:rPr>
        <w:t>raised</w:t>
      </w:r>
      <w:r w:rsidR="00056BD7" w:rsidRPr="00E8264A">
        <w:rPr>
          <w:rFonts w:asciiTheme="minorHAnsi" w:eastAsiaTheme="minorHAnsi" w:hAnsiTheme="minorHAnsi" w:cstheme="minorBidi"/>
          <w:snapToGrid/>
          <w:sz w:val="24"/>
          <w:szCs w:val="22"/>
        </w:rPr>
        <w:t xml:space="preserve"> concern</w:t>
      </w:r>
      <w:r w:rsidR="00586DC4" w:rsidRPr="00E8264A">
        <w:rPr>
          <w:rFonts w:asciiTheme="minorHAnsi" w:eastAsiaTheme="minorHAnsi" w:hAnsiTheme="minorHAnsi" w:cstheme="minorBidi"/>
          <w:snapToGrid/>
          <w:sz w:val="24"/>
          <w:szCs w:val="22"/>
        </w:rPr>
        <w:t>s</w:t>
      </w:r>
      <w:r w:rsidR="00056BD7" w:rsidRPr="00E8264A">
        <w:rPr>
          <w:rFonts w:asciiTheme="minorHAnsi" w:eastAsiaTheme="minorHAnsi" w:hAnsiTheme="minorHAnsi" w:cstheme="minorBidi"/>
          <w:snapToGrid/>
          <w:sz w:val="24"/>
          <w:szCs w:val="22"/>
        </w:rPr>
        <w:t xml:space="preserve"> regarding the safety of substitution and potenti</w:t>
      </w:r>
      <w:r w:rsidR="00B1063A" w:rsidRPr="00E8264A">
        <w:rPr>
          <w:rFonts w:asciiTheme="minorHAnsi" w:eastAsiaTheme="minorHAnsi" w:hAnsiTheme="minorHAnsi" w:cstheme="minorBidi"/>
          <w:snapToGrid/>
          <w:sz w:val="24"/>
          <w:szCs w:val="22"/>
        </w:rPr>
        <w:t xml:space="preserve">al risks to pharmacovigilance. The PBAC noted these </w:t>
      </w:r>
      <w:proofErr w:type="gramStart"/>
      <w:r w:rsidR="00B1063A" w:rsidRPr="00E8264A">
        <w:rPr>
          <w:rFonts w:asciiTheme="minorHAnsi" w:eastAsiaTheme="minorHAnsi" w:hAnsiTheme="minorHAnsi" w:cstheme="minorBidi"/>
          <w:snapToGrid/>
          <w:sz w:val="24"/>
          <w:szCs w:val="22"/>
        </w:rPr>
        <w:t>concerns</w:t>
      </w:r>
      <w:proofErr w:type="gramEnd"/>
      <w:r w:rsidR="00B1063A" w:rsidRPr="00E8264A">
        <w:rPr>
          <w:rFonts w:asciiTheme="minorHAnsi" w:eastAsiaTheme="minorHAnsi" w:hAnsiTheme="minorHAnsi" w:cstheme="minorBidi"/>
          <w:snapToGrid/>
          <w:sz w:val="24"/>
          <w:szCs w:val="22"/>
        </w:rPr>
        <w:t xml:space="preserve"> but is satisfied regarding the safety of substitution as it is performed in consultation with, and with the consent of, the patient. The PBAC was also of the view that education and promotion regarding </w:t>
      </w:r>
      <w:proofErr w:type="spellStart"/>
      <w:r w:rsidR="00B1063A" w:rsidRPr="00E8264A">
        <w:rPr>
          <w:rFonts w:asciiTheme="minorHAnsi" w:eastAsiaTheme="minorHAnsi" w:hAnsiTheme="minorHAnsi" w:cstheme="minorBidi"/>
          <w:snapToGrid/>
          <w:sz w:val="24"/>
          <w:szCs w:val="22"/>
        </w:rPr>
        <w:t>biosimilars</w:t>
      </w:r>
      <w:proofErr w:type="spellEnd"/>
      <w:r w:rsidR="00B1063A" w:rsidRPr="00E8264A">
        <w:rPr>
          <w:rFonts w:asciiTheme="minorHAnsi" w:eastAsiaTheme="minorHAnsi" w:hAnsiTheme="minorHAnsi" w:cstheme="minorBidi"/>
          <w:snapToGrid/>
          <w:sz w:val="24"/>
          <w:szCs w:val="22"/>
        </w:rPr>
        <w:t xml:space="preserve"> was an opportunity to enhance pharmacovigilance by pharmacists (insulin glargine public summary document, November 2015). </w:t>
      </w:r>
      <w:r w:rsidR="00586DC4" w:rsidRPr="00E8264A">
        <w:rPr>
          <w:rFonts w:asciiTheme="minorHAnsi" w:eastAsiaTheme="minorHAnsi" w:hAnsiTheme="minorHAnsi" w:cstheme="minorBidi"/>
          <w:snapToGrid/>
          <w:sz w:val="24"/>
          <w:szCs w:val="22"/>
        </w:rPr>
        <w:t xml:space="preserve">To date, </w:t>
      </w:r>
      <w:proofErr w:type="spellStart"/>
      <w:r w:rsidR="00586DC4" w:rsidRPr="00E8264A">
        <w:rPr>
          <w:rFonts w:asciiTheme="minorHAnsi" w:eastAsiaTheme="minorHAnsi" w:hAnsiTheme="minorHAnsi" w:cstheme="minorBidi"/>
          <w:snapToGrid/>
          <w:sz w:val="24"/>
          <w:szCs w:val="22"/>
        </w:rPr>
        <w:t>Basaglar</w:t>
      </w:r>
      <w:proofErr w:type="spellEnd"/>
      <w:r w:rsidR="00586DC4" w:rsidRPr="00E8264A">
        <w:rPr>
          <w:rFonts w:asciiTheme="minorHAnsi" w:eastAsiaTheme="minorHAnsi" w:hAnsiTheme="minorHAnsi" w:cstheme="minorBidi"/>
          <w:snapToGrid/>
          <w:sz w:val="24"/>
          <w:szCs w:val="22"/>
        </w:rPr>
        <w:t xml:space="preserve"> has not progressed to PBS listing. </w:t>
      </w:r>
    </w:p>
    <w:p w:rsidR="00DC6C29" w:rsidRPr="00E8264A" w:rsidRDefault="00DC6C29" w:rsidP="00DC6C29">
      <w:pPr>
        <w:pStyle w:val="PBACHeading1"/>
        <w:numPr>
          <w:ilvl w:val="0"/>
          <w:numId w:val="0"/>
        </w:numPr>
        <w:spacing w:after="160"/>
        <w:outlineLvl w:val="9"/>
        <w:rPr>
          <w:rStyle w:val="Emphasis"/>
          <w:rFonts w:asciiTheme="minorHAnsi" w:hAnsiTheme="minorHAnsi"/>
          <w:sz w:val="24"/>
          <w:szCs w:val="24"/>
        </w:rPr>
      </w:pPr>
      <w:r w:rsidRPr="00E8264A">
        <w:rPr>
          <w:rStyle w:val="Emphasis"/>
          <w:rFonts w:asciiTheme="minorHAnsi" w:hAnsiTheme="minorHAnsi"/>
          <w:sz w:val="24"/>
          <w:szCs w:val="24"/>
        </w:rPr>
        <w:t>Brand equivalence and substitution at the pharmacist level (‘a’ flagging)</w:t>
      </w:r>
    </w:p>
    <w:p w:rsidR="00C86EEC" w:rsidRDefault="00DC6C29" w:rsidP="00DC6C29">
      <w:pPr>
        <w:pStyle w:val="ListParagraph"/>
        <w:widowControl/>
        <w:numPr>
          <w:ilvl w:val="1"/>
          <w:numId w:val="5"/>
        </w:numPr>
        <w:rPr>
          <w:rFonts w:asciiTheme="minorHAnsi" w:hAnsiTheme="minorHAnsi"/>
          <w:sz w:val="24"/>
          <w:szCs w:val="24"/>
        </w:rPr>
      </w:pPr>
      <w:r w:rsidRPr="00E8264A">
        <w:rPr>
          <w:rFonts w:asciiTheme="minorHAnsi" w:hAnsiTheme="minorHAnsi"/>
          <w:sz w:val="24"/>
          <w:szCs w:val="24"/>
        </w:rPr>
        <w:t xml:space="preserve">The Schedule of Pharmaceutical Benefits provide the following definition of brand equivalence: </w:t>
      </w:r>
    </w:p>
    <w:p w:rsidR="00C86EEC" w:rsidRDefault="00C86EEC" w:rsidP="00C86EEC">
      <w:pPr>
        <w:rPr>
          <w:rFonts w:cs="Arial"/>
          <w:snapToGrid w:val="0"/>
          <w:lang w:eastAsia="en-US"/>
        </w:rPr>
      </w:pPr>
      <w:r>
        <w:br w:type="page"/>
      </w:r>
    </w:p>
    <w:p w:rsidR="00DC6C29" w:rsidRPr="00E8264A" w:rsidRDefault="00DC6C29" w:rsidP="00DC6C29">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E8264A">
        <w:rPr>
          <w:rFonts w:asciiTheme="minorHAnsi" w:hAnsiTheme="minorHAnsi" w:cs="Arial"/>
          <w:b/>
          <w:szCs w:val="24"/>
          <w:lang w:val="en-AU"/>
        </w:rPr>
        <w:lastRenderedPageBreak/>
        <w:t>Extract from the Explanatory Notes to the PBS Schedule</w:t>
      </w:r>
      <w:r w:rsidRPr="00E8264A">
        <w:rPr>
          <w:rFonts w:asciiTheme="minorHAnsi" w:hAnsiTheme="minorHAnsi"/>
          <w:b/>
          <w:szCs w:val="24"/>
          <w:vertAlign w:val="superscript"/>
          <w:lang w:val="en-AU"/>
        </w:rPr>
        <w:footnoteReference w:id="1"/>
      </w:r>
    </w:p>
    <w:p w:rsidR="00DC6C29" w:rsidRPr="00E8264A" w:rsidRDefault="00DC6C29" w:rsidP="00DC6C29">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E8264A">
        <w:rPr>
          <w:rFonts w:asciiTheme="minorHAnsi" w:hAnsiTheme="minorHAnsi" w:cs="Arial"/>
          <w:b/>
          <w:szCs w:val="24"/>
          <w:lang w:val="en-AU"/>
        </w:rPr>
        <w:t>BRAND EQUIVALENCE</w:t>
      </w:r>
    </w:p>
    <w:p w:rsidR="00DC6C29" w:rsidRPr="00E8264A" w:rsidRDefault="00DC6C29" w:rsidP="00DC6C29">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szCs w:val="24"/>
          <w:lang w:val="en-AU"/>
        </w:rPr>
      </w:pPr>
      <w:r w:rsidRPr="00E8264A">
        <w:rPr>
          <w:rFonts w:asciiTheme="minorHAnsi" w:hAnsiTheme="minorHAnsi" w:cs="Arial"/>
          <w:szCs w:val="24"/>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Many medicines are available on the PBS in different brands. The Schedule of Pharmaceutical Benefits indicates where different brands are considered equivalent for the purposes of substitution at the point of dispensing by using ‘a’ flags.  </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ability for prescribers and pharmacists to substitute generic or biosimilar brands for originator brands is an important part of encouraging use of generics and </w:t>
      </w:r>
      <w:proofErr w:type="spellStart"/>
      <w:r w:rsidRPr="00E8264A">
        <w:rPr>
          <w:rFonts w:asciiTheme="minorHAnsi" w:eastAsiaTheme="minorHAnsi" w:hAnsiTheme="minorHAnsi" w:cstheme="minorBidi"/>
          <w:snapToGrid/>
          <w:sz w:val="24"/>
          <w:szCs w:val="22"/>
        </w:rPr>
        <w:t>biosimilars</w:t>
      </w:r>
      <w:proofErr w:type="spellEnd"/>
      <w:r w:rsidRPr="00E8264A">
        <w:rPr>
          <w:rFonts w:asciiTheme="minorHAnsi" w:eastAsiaTheme="minorHAnsi" w:hAnsiTheme="minorHAnsi" w:cstheme="minorBidi"/>
          <w:snapToGrid/>
          <w:sz w:val="24"/>
          <w:szCs w:val="22"/>
        </w:rPr>
        <w:t xml:space="preserve"> in the marketplace and adds to the sustainability of the PBS.</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For any individual prescription, a prescriber may choose to not permit brand substitution by indicating ‘substitution not permitted’ on the prescription.  Likewise, when substitution is permitted, a patient may nominate which ‘a’ flagged brand they wish to receive from the pharmacist, except when State or Territory Law prohibits substitution (e.g. for Schedule 8 drugs of dependence). The substitution process allows for patient and prescriber choice and is not automatic.</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w:t>
      </w:r>
      <w:r w:rsidRPr="00E8264A">
        <w:rPr>
          <w:rFonts w:asciiTheme="minorHAnsi" w:eastAsiaTheme="minorHAnsi" w:hAnsiTheme="minorHAnsi" w:cstheme="minorBidi"/>
          <w:i/>
          <w:snapToGrid/>
          <w:sz w:val="24"/>
          <w:szCs w:val="22"/>
        </w:rPr>
        <w:t>National Health Act</w:t>
      </w:r>
      <w:r w:rsidRPr="00E8264A">
        <w:rPr>
          <w:rFonts w:asciiTheme="minorHAnsi" w:eastAsiaTheme="minorHAnsi" w:hAnsiTheme="minorHAnsi" w:cstheme="minorBidi"/>
          <w:snapToGrid/>
          <w:sz w:val="24"/>
          <w:szCs w:val="22"/>
        </w:rPr>
        <w:t xml:space="preserve"> 1953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EA1782" w:rsidRPr="00E8264A" w:rsidRDefault="00EA1782" w:rsidP="00BB3B26">
      <w:pPr>
        <w:pStyle w:val="ListParagraph"/>
        <w:widowControl/>
        <w:numPr>
          <w:ilvl w:val="1"/>
          <w:numId w:val="5"/>
        </w:numPr>
        <w:spacing w:before="120" w:after="160"/>
        <w:contextualSpacing w:val="0"/>
        <w:rPr>
          <w:rFonts w:asciiTheme="minorHAnsi" w:hAnsiTheme="minorHAnsi"/>
        </w:rPr>
      </w:pPr>
      <w:r w:rsidRPr="00E8264A">
        <w:rPr>
          <w:rFonts w:asciiTheme="minorHAnsi" w:eastAsiaTheme="minorHAnsi" w:hAnsiTheme="minorHAnsi" w:cstheme="minorBidi"/>
          <w:snapToGrid/>
          <w:sz w:val="24"/>
          <w:szCs w:val="22"/>
        </w:rPr>
        <w:t xml:space="preserve">At the March 2018 meeting, the PBAC advised that the following revised considerations will be used to make a recommendation on brand equivalence (‘a’ flagged) of </w:t>
      </w:r>
      <w:proofErr w:type="spellStart"/>
      <w:r w:rsidRPr="00E8264A">
        <w:rPr>
          <w:rFonts w:asciiTheme="minorHAnsi" w:eastAsiaTheme="minorHAnsi" w:hAnsiTheme="minorHAnsi" w:cstheme="minorBidi"/>
          <w:snapToGrid/>
          <w:sz w:val="24"/>
          <w:szCs w:val="22"/>
        </w:rPr>
        <w:t>biosimilars</w:t>
      </w:r>
      <w:proofErr w:type="spellEnd"/>
      <w:r w:rsidRPr="00E8264A">
        <w:rPr>
          <w:rFonts w:asciiTheme="minorHAnsi" w:eastAsiaTheme="minorHAnsi" w:hAnsiTheme="minorHAnsi" w:cstheme="minorBidi"/>
          <w:snapToGrid/>
          <w:sz w:val="24"/>
          <w:szCs w:val="22"/>
        </w:rPr>
        <w:t xml:space="preserve"> with the reference brand;</w:t>
      </w:r>
    </w:p>
    <w:p w:rsidR="00EA1782" w:rsidRPr="00E8264A" w:rsidRDefault="00EA1782" w:rsidP="00BB3B26">
      <w:pPr>
        <w:pStyle w:val="PBACheading10"/>
        <w:numPr>
          <w:ilvl w:val="0"/>
          <w:numId w:val="20"/>
        </w:numPr>
        <w:ind w:left="1077" w:hanging="357"/>
        <w:jc w:val="both"/>
        <w:outlineLvl w:val="9"/>
        <w:rPr>
          <w:rFonts w:asciiTheme="minorHAnsi" w:eastAsiaTheme="minorHAnsi" w:hAnsiTheme="minorHAnsi"/>
          <w:b w:val="0"/>
          <w:snapToGrid/>
          <w:sz w:val="24"/>
          <w:szCs w:val="24"/>
        </w:rPr>
      </w:pPr>
      <w:r w:rsidRPr="00E8264A">
        <w:rPr>
          <w:rFonts w:asciiTheme="minorHAnsi" w:eastAsiaTheme="minorHAnsi" w:hAnsiTheme="minorHAnsi"/>
          <w:b w:val="0"/>
          <w:snapToGrid/>
          <w:sz w:val="24"/>
          <w:szCs w:val="24"/>
        </w:rPr>
        <w:t>The Therapeutic Goods Administration has determined that the product is a biosimilar of the reference medicine as evidenced by ARTG registration documentation;</w:t>
      </w:r>
    </w:p>
    <w:p w:rsidR="00EA1782" w:rsidRPr="00E8264A" w:rsidRDefault="00EA1782" w:rsidP="00BB3B26">
      <w:pPr>
        <w:pStyle w:val="PBACheading10"/>
        <w:numPr>
          <w:ilvl w:val="0"/>
          <w:numId w:val="20"/>
        </w:numPr>
        <w:ind w:left="1077" w:hanging="357"/>
        <w:jc w:val="both"/>
        <w:outlineLvl w:val="9"/>
        <w:rPr>
          <w:rFonts w:asciiTheme="minorHAnsi" w:eastAsiaTheme="minorHAnsi" w:hAnsiTheme="minorHAnsi"/>
          <w:b w:val="0"/>
          <w:snapToGrid/>
          <w:sz w:val="24"/>
          <w:szCs w:val="24"/>
        </w:rPr>
      </w:pPr>
      <w:r w:rsidRPr="00E8264A">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EA1782" w:rsidRPr="00E8264A" w:rsidRDefault="00EA1782" w:rsidP="00BB3B26">
      <w:pPr>
        <w:pStyle w:val="PBACheading10"/>
        <w:numPr>
          <w:ilvl w:val="0"/>
          <w:numId w:val="20"/>
        </w:numPr>
        <w:ind w:left="1077" w:hanging="357"/>
        <w:jc w:val="both"/>
        <w:outlineLvl w:val="9"/>
        <w:rPr>
          <w:rFonts w:asciiTheme="minorHAnsi" w:eastAsiaTheme="minorHAnsi" w:hAnsiTheme="minorHAnsi"/>
          <w:b w:val="0"/>
          <w:snapToGrid/>
          <w:sz w:val="24"/>
          <w:szCs w:val="24"/>
        </w:rPr>
      </w:pPr>
      <w:r w:rsidRPr="00E8264A">
        <w:rPr>
          <w:rFonts w:asciiTheme="minorHAnsi" w:eastAsiaTheme="minorHAnsi" w:hAnsiTheme="minorHAnsi"/>
          <w:b w:val="0"/>
          <w:snapToGrid/>
          <w:sz w:val="24"/>
          <w:szCs w:val="24"/>
        </w:rPr>
        <w:t xml:space="preserve">Practical considerations relating to substitution by the pharmacist at the point of dispensing. This includes strength of formulation, number of units per pack and </w:t>
      </w:r>
      <w:r w:rsidRPr="00E8264A">
        <w:rPr>
          <w:rFonts w:asciiTheme="minorHAnsi" w:eastAsiaTheme="minorHAnsi" w:hAnsiTheme="minorHAnsi"/>
          <w:b w:val="0"/>
          <w:snapToGrid/>
          <w:sz w:val="24"/>
          <w:szCs w:val="24"/>
        </w:rPr>
        <w:lastRenderedPageBreak/>
        <w:t>maximum quantities between the brands, which may make substitution at the pharmacy level difficult from a practical perspective.</w:t>
      </w:r>
    </w:p>
    <w:p w:rsidR="00EA1782" w:rsidRPr="00E8264A" w:rsidRDefault="00EA1782"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PBAC considered that where a biosimilar product could not be recommended to be brand equivalent (‘a’ flagged) at the time of PBS listing, data should be collected to support this consideration at a later point.</w:t>
      </w:r>
    </w:p>
    <w:p w:rsidR="00EA1782" w:rsidRPr="00E8264A" w:rsidRDefault="00EA1782"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If the PBAC provides advice on brand equivalence (‘a’ flagging), the decision to apply brand equivalence to listings in the Schedule is made by the Minister for Health (or Delegate). </w:t>
      </w:r>
    </w:p>
    <w:p w:rsidR="00DC6C29" w:rsidRPr="00E8264A" w:rsidRDefault="00DC6C29" w:rsidP="00BB3B26">
      <w:pPr>
        <w:pStyle w:val="PBACHeading1"/>
        <w:numPr>
          <w:ilvl w:val="0"/>
          <w:numId w:val="0"/>
        </w:numPr>
        <w:spacing w:after="160"/>
        <w:outlineLvl w:val="9"/>
        <w:rPr>
          <w:rStyle w:val="Emphasis"/>
          <w:rFonts w:asciiTheme="minorHAnsi" w:hAnsiTheme="minorHAnsi"/>
          <w:sz w:val="24"/>
          <w:szCs w:val="24"/>
        </w:rPr>
      </w:pPr>
      <w:r w:rsidRPr="00E8264A">
        <w:rPr>
          <w:rStyle w:val="Emphasis"/>
          <w:rFonts w:asciiTheme="minorHAnsi" w:hAnsiTheme="minorHAnsi"/>
          <w:sz w:val="24"/>
          <w:szCs w:val="24"/>
        </w:rPr>
        <w:t>Biosimilar uptake measures</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biosimilar uptake measures were agreed as part of the strategic agreements that the Government reached with Medicines Australia, the Generic and Biosimilar Medicines Association and the Pharmacy Guild of Australia as part of the 2017 Budget process.  </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PBAC will advise whether implementation of the uptake drivers is likely to raise any clinical or other concerns about appropriate use on the PBS.  The PBAC may, on a case-by-case basis, provide advice relating to: </w:t>
      </w:r>
    </w:p>
    <w:p w:rsidR="00DC6C29" w:rsidRPr="00E8264A" w:rsidRDefault="00DC6C29" w:rsidP="00BB3B26">
      <w:pPr>
        <w:pStyle w:val="ListParagraph"/>
        <w:numPr>
          <w:ilvl w:val="0"/>
          <w:numId w:val="19"/>
        </w:numPr>
        <w:autoSpaceDE w:val="0"/>
        <w:autoSpaceDN w:val="0"/>
        <w:adjustRightInd w:val="0"/>
        <w:ind w:left="1097"/>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encouraging the prescribing of a biosimilar brand for treatment naïve patients;  and </w:t>
      </w:r>
    </w:p>
    <w:p w:rsidR="00DC6C29" w:rsidRPr="00E8264A" w:rsidRDefault="00DC6C29" w:rsidP="00BB3B26">
      <w:pPr>
        <w:pStyle w:val="ListParagraph"/>
        <w:numPr>
          <w:ilvl w:val="0"/>
          <w:numId w:val="19"/>
        </w:numPr>
        <w:autoSpaceDE w:val="0"/>
        <w:autoSpaceDN w:val="0"/>
        <w:adjustRightInd w:val="0"/>
        <w:ind w:left="1097"/>
        <w:rPr>
          <w:rFonts w:asciiTheme="minorHAnsi" w:eastAsiaTheme="minorHAnsi" w:hAnsiTheme="minorHAnsi" w:cstheme="minorBidi"/>
          <w:snapToGrid/>
          <w:sz w:val="24"/>
          <w:szCs w:val="22"/>
        </w:rPr>
      </w:pPr>
      <w:proofErr w:type="gramStart"/>
      <w:r w:rsidRPr="00E8264A">
        <w:rPr>
          <w:rFonts w:asciiTheme="minorHAnsi" w:eastAsiaTheme="minorHAnsi" w:hAnsiTheme="minorHAnsi" w:cstheme="minorBidi"/>
          <w:snapToGrid/>
          <w:sz w:val="24"/>
          <w:szCs w:val="22"/>
        </w:rPr>
        <w:t>applying</w:t>
      </w:r>
      <w:proofErr w:type="gramEnd"/>
      <w:r w:rsidRPr="00E8264A">
        <w:rPr>
          <w:rFonts w:asciiTheme="minorHAnsi" w:eastAsiaTheme="minorHAnsi" w:hAnsiTheme="minorHAnsi" w:cstheme="minorBidi"/>
          <w:snapToGrid/>
          <w:sz w:val="24"/>
          <w:szCs w:val="22"/>
        </w:rPr>
        <w:t xml:space="preserve"> a lower level of authority to biosimilar brand(s) than exists for the reference brand of biological medicines. </w:t>
      </w:r>
    </w:p>
    <w:p w:rsidR="00DC6C29" w:rsidRPr="00E8264A" w:rsidRDefault="00DC6C29" w:rsidP="00BB3B2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After PBAC advice is received, a decision will be made about applying the drivers for the relevant medicine. The policy provides for lower authority requirements only for biosimilar brands, but there will be no increase in authority requirements to prescribe reference brands. </w:t>
      </w:r>
    </w:p>
    <w:p w:rsidR="00DC6C29" w:rsidRPr="00E8264A" w:rsidRDefault="00DC6C29" w:rsidP="00BB3B26">
      <w:pPr>
        <w:pStyle w:val="ListParagraph"/>
        <w:numPr>
          <w:ilvl w:val="1"/>
          <w:numId w:val="5"/>
        </w:numPr>
        <w:spacing w:before="120" w:after="160"/>
        <w:rPr>
          <w:rFonts w:asciiTheme="minorHAnsi" w:hAnsiTheme="minorHAnsi"/>
          <w:sz w:val="24"/>
          <w:szCs w:val="24"/>
        </w:rPr>
      </w:pPr>
      <w:r w:rsidRPr="00E8264A">
        <w:rPr>
          <w:rFonts w:asciiTheme="minorHAnsi" w:hAnsiTheme="minorHAnsi"/>
          <w:sz w:val="24"/>
          <w:szCs w:val="24"/>
        </w:rPr>
        <w:t>The PBAC has previously stated it had no concerns about encouraging prescribing of a biosimilar brand rather than the reference biological agent brand for treatment naïve patients, including through notes in the Schedule and prescribing software changes. (Etanercept (Brenzys) Public Summary Document, August 2017 PBAC Meeting).</w:t>
      </w:r>
    </w:p>
    <w:p w:rsidR="005F2753" w:rsidRPr="00611B1C" w:rsidRDefault="005F2753" w:rsidP="00BB3B26">
      <w:pPr>
        <w:pStyle w:val="PBACHeading1"/>
        <w:numPr>
          <w:ilvl w:val="0"/>
          <w:numId w:val="0"/>
        </w:numPr>
        <w:outlineLvl w:val="9"/>
        <w:rPr>
          <w:rFonts w:asciiTheme="minorHAnsi" w:hAnsiTheme="minorHAnsi" w:cstheme="minorHAnsi"/>
          <w:b w:val="0"/>
          <w:i/>
          <w:sz w:val="24"/>
          <w:szCs w:val="24"/>
        </w:rPr>
      </w:pPr>
      <w:r w:rsidRPr="00611B1C">
        <w:rPr>
          <w:rFonts w:asciiTheme="minorHAnsi" w:hAnsiTheme="minorHAnsi" w:cstheme="minorHAnsi"/>
          <w:b w:val="0"/>
          <w:i/>
          <w:sz w:val="24"/>
          <w:szCs w:val="24"/>
        </w:rPr>
        <w:t xml:space="preserve">For more detail on PBAC’s view, see section </w:t>
      </w:r>
      <w:r w:rsidR="005D0E8A" w:rsidRPr="00611B1C">
        <w:rPr>
          <w:rFonts w:asciiTheme="minorHAnsi" w:hAnsiTheme="minorHAnsi" w:cstheme="minorHAnsi"/>
          <w:b w:val="0"/>
          <w:i/>
          <w:sz w:val="24"/>
          <w:szCs w:val="24"/>
        </w:rPr>
        <w:t>6</w:t>
      </w:r>
      <w:r w:rsidRPr="00611B1C">
        <w:rPr>
          <w:rFonts w:asciiTheme="minorHAnsi" w:hAnsiTheme="minorHAnsi" w:cstheme="minorHAnsi"/>
          <w:b w:val="0"/>
          <w:i/>
          <w:sz w:val="24"/>
          <w:szCs w:val="24"/>
        </w:rPr>
        <w:t xml:space="preserve"> PBAC outcome.</w:t>
      </w:r>
    </w:p>
    <w:p w:rsidR="00175948" w:rsidRPr="00E8264A" w:rsidRDefault="006A12A5" w:rsidP="00175948">
      <w:pPr>
        <w:pStyle w:val="PBACHeading1"/>
        <w:spacing w:before="240" w:after="120"/>
        <w:rPr>
          <w:rFonts w:asciiTheme="minorHAnsi" w:hAnsiTheme="minorHAnsi"/>
          <w:sz w:val="32"/>
          <w:szCs w:val="32"/>
        </w:rPr>
      </w:pPr>
      <w:r w:rsidRPr="00E8264A">
        <w:rPr>
          <w:rFonts w:asciiTheme="minorHAnsi" w:hAnsiTheme="minorHAnsi"/>
          <w:sz w:val="32"/>
          <w:szCs w:val="32"/>
        </w:rPr>
        <w:t>Requested listing</w:t>
      </w:r>
    </w:p>
    <w:p w:rsidR="00491095" w:rsidRPr="00E8264A"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submission </w:t>
      </w:r>
      <w:r w:rsidR="00FF2801" w:rsidRPr="00E8264A">
        <w:rPr>
          <w:rFonts w:asciiTheme="minorHAnsi" w:eastAsiaTheme="minorHAnsi" w:hAnsiTheme="minorHAnsi" w:cstheme="minorBidi"/>
          <w:snapToGrid/>
          <w:sz w:val="24"/>
          <w:szCs w:val="22"/>
        </w:rPr>
        <w:t>requested</w:t>
      </w:r>
      <w:r w:rsidR="00585576" w:rsidRPr="00E8264A">
        <w:rPr>
          <w:rFonts w:asciiTheme="minorHAnsi" w:eastAsiaTheme="minorHAnsi" w:hAnsiTheme="minorHAnsi" w:cstheme="minorBidi"/>
          <w:snapToGrid/>
          <w:sz w:val="24"/>
          <w:szCs w:val="22"/>
        </w:rPr>
        <w:t>, with the exception of the price,</w:t>
      </w:r>
      <w:r w:rsidRPr="00E8264A">
        <w:rPr>
          <w:rFonts w:asciiTheme="minorHAnsi" w:eastAsiaTheme="minorHAnsi" w:hAnsiTheme="minorHAnsi" w:cstheme="minorBidi"/>
          <w:snapToGrid/>
          <w:sz w:val="24"/>
          <w:szCs w:val="22"/>
        </w:rPr>
        <w:t xml:space="preserve"> </w:t>
      </w:r>
      <w:r w:rsidR="00491095" w:rsidRPr="00E8264A">
        <w:rPr>
          <w:rFonts w:asciiTheme="minorHAnsi" w:eastAsiaTheme="minorHAnsi" w:hAnsiTheme="minorHAnsi" w:cstheme="minorBidi"/>
          <w:snapToGrid/>
          <w:sz w:val="24"/>
          <w:szCs w:val="22"/>
        </w:rPr>
        <w:t xml:space="preserve">an identical listing to the </w:t>
      </w:r>
      <w:r w:rsidR="00712CEC" w:rsidRPr="00E8264A">
        <w:rPr>
          <w:rFonts w:asciiTheme="minorHAnsi" w:eastAsiaTheme="minorHAnsi" w:hAnsiTheme="minorHAnsi" w:cstheme="minorBidi"/>
          <w:snapToGrid/>
          <w:sz w:val="24"/>
          <w:szCs w:val="22"/>
        </w:rPr>
        <w:t xml:space="preserve">currently listed PBS </w:t>
      </w:r>
      <w:r w:rsidR="00491095" w:rsidRPr="00E8264A">
        <w:rPr>
          <w:rFonts w:asciiTheme="minorHAnsi" w:eastAsiaTheme="minorHAnsi" w:hAnsiTheme="minorHAnsi" w:cstheme="minorBidi"/>
          <w:snapToGrid/>
          <w:sz w:val="24"/>
          <w:szCs w:val="22"/>
        </w:rPr>
        <w:t>reference brand Lantus®.</w:t>
      </w:r>
    </w:p>
    <w:p w:rsidR="00826F6D" w:rsidRPr="00E8264A" w:rsidRDefault="00712CEC" w:rsidP="002D454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submission requested </w:t>
      </w:r>
      <w:r w:rsidR="00E8264A">
        <w:rPr>
          <w:rFonts w:asciiTheme="minorHAnsi" w:eastAsiaTheme="minorHAnsi" w:hAnsiTheme="minorHAnsi" w:cstheme="minorBidi"/>
          <w:snapToGrid/>
          <w:sz w:val="24"/>
          <w:szCs w:val="22"/>
        </w:rPr>
        <w:t xml:space="preserve">Semglee® </w:t>
      </w:r>
      <w:r w:rsidRPr="00E8264A">
        <w:rPr>
          <w:rFonts w:asciiTheme="minorHAnsi" w:eastAsiaTheme="minorHAnsi" w:hAnsiTheme="minorHAnsi" w:cstheme="minorBidi"/>
          <w:snapToGrid/>
          <w:sz w:val="24"/>
          <w:szCs w:val="22"/>
        </w:rPr>
        <w:t>be ‘a</w:t>
      </w:r>
      <w:r w:rsidR="00450C0F" w:rsidRPr="00E8264A">
        <w:rPr>
          <w:rFonts w:asciiTheme="minorHAnsi" w:eastAsiaTheme="minorHAnsi" w:hAnsiTheme="minorHAnsi" w:cstheme="minorBidi"/>
          <w:snapToGrid/>
          <w:sz w:val="24"/>
          <w:szCs w:val="22"/>
        </w:rPr>
        <w:t>’</w:t>
      </w:r>
      <w:r w:rsidR="000D609C" w:rsidRPr="00E8264A">
        <w:rPr>
          <w:rFonts w:asciiTheme="minorHAnsi" w:eastAsiaTheme="minorHAnsi" w:hAnsiTheme="minorHAnsi" w:cstheme="minorBidi"/>
          <w:snapToGrid/>
          <w:sz w:val="24"/>
          <w:szCs w:val="22"/>
        </w:rPr>
        <w:t xml:space="preserve"> </w:t>
      </w:r>
      <w:r w:rsidRPr="00E8264A">
        <w:rPr>
          <w:rFonts w:asciiTheme="minorHAnsi" w:eastAsiaTheme="minorHAnsi" w:hAnsiTheme="minorHAnsi" w:cstheme="minorBidi"/>
          <w:snapToGrid/>
          <w:sz w:val="24"/>
          <w:szCs w:val="22"/>
        </w:rPr>
        <w:t>flagged with</w:t>
      </w:r>
      <w:r w:rsidR="0028029C" w:rsidRPr="00E8264A">
        <w:rPr>
          <w:rFonts w:asciiTheme="minorHAnsi" w:eastAsiaTheme="minorHAnsi" w:hAnsiTheme="minorHAnsi" w:cstheme="minorBidi"/>
          <w:snapToGrid/>
          <w:sz w:val="24"/>
          <w:szCs w:val="22"/>
        </w:rPr>
        <w:t xml:space="preserve"> the pre-filled disposable pen presentation of Lantus,</w:t>
      </w:r>
      <w:r w:rsidRPr="00E8264A">
        <w:rPr>
          <w:rFonts w:asciiTheme="minorHAnsi" w:eastAsiaTheme="minorHAnsi" w:hAnsiTheme="minorHAnsi" w:cstheme="minorBidi"/>
          <w:snapToGrid/>
          <w:sz w:val="24"/>
          <w:szCs w:val="22"/>
        </w:rPr>
        <w:t xml:space="preserve"> Lantus</w:t>
      </w:r>
      <w:r w:rsidR="0028029C" w:rsidRPr="00E8264A">
        <w:rPr>
          <w:rFonts w:asciiTheme="minorHAnsi" w:eastAsiaTheme="minorHAnsi" w:hAnsiTheme="minorHAnsi" w:cstheme="minorBidi"/>
          <w:snapToGrid/>
          <w:sz w:val="24"/>
          <w:szCs w:val="22"/>
        </w:rPr>
        <w:t xml:space="preserve"> </w:t>
      </w:r>
      <w:proofErr w:type="spellStart"/>
      <w:r w:rsidR="0028029C" w:rsidRPr="00E8264A">
        <w:rPr>
          <w:rFonts w:asciiTheme="minorHAnsi" w:eastAsiaTheme="minorHAnsi" w:hAnsiTheme="minorHAnsi" w:cstheme="minorBidi"/>
          <w:snapToGrid/>
          <w:sz w:val="24"/>
          <w:szCs w:val="22"/>
        </w:rPr>
        <w:t>SoloStar</w:t>
      </w:r>
      <w:proofErr w:type="spellEnd"/>
      <w:r w:rsidRPr="00E8264A">
        <w:rPr>
          <w:rFonts w:asciiTheme="minorHAnsi" w:eastAsiaTheme="minorHAnsi" w:hAnsiTheme="minorHAnsi" w:cstheme="minorBidi"/>
          <w:snapToGrid/>
          <w:sz w:val="24"/>
          <w:szCs w:val="22"/>
        </w:rPr>
        <w:t>.</w:t>
      </w:r>
    </w:p>
    <w:p w:rsidR="00517FE0" w:rsidRPr="00E8264A" w:rsidRDefault="00517FE0" w:rsidP="00517FE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lastRenderedPageBreak/>
        <w:t>Suggestions and additions proposed by the Secretariat to the requested listing are added in italics and suggested deletions are crossed out with strikethrough.</w:t>
      </w:r>
    </w:p>
    <w:tbl>
      <w:tblPr>
        <w:tblStyle w:val="TableGrid1"/>
        <w:tblW w:w="0" w:type="auto"/>
        <w:jc w:val="center"/>
        <w:tblLook w:val="04A0" w:firstRow="1" w:lastRow="0" w:firstColumn="1" w:lastColumn="0" w:noHBand="0" w:noVBand="1"/>
        <w:tblCaption w:val="Suggestions and additions to the restriction proposed by the Secretariat to the requested listing"/>
      </w:tblPr>
      <w:tblGrid>
        <w:gridCol w:w="3381"/>
        <w:gridCol w:w="1250"/>
        <w:gridCol w:w="1053"/>
        <w:gridCol w:w="1519"/>
        <w:gridCol w:w="1723"/>
      </w:tblGrid>
      <w:tr w:rsidR="00FF0A39" w:rsidRPr="00E8264A" w:rsidTr="003D3BBD">
        <w:trPr>
          <w:trHeight w:val="721"/>
          <w:tblHeader/>
          <w:jc w:val="center"/>
        </w:trPr>
        <w:tc>
          <w:tcPr>
            <w:tcW w:w="3381" w:type="dxa"/>
            <w:tcBorders>
              <w:top w:val="nil"/>
              <w:left w:val="nil"/>
              <w:bottom w:val="single" w:sz="4" w:space="0" w:color="000000" w:themeColor="text1"/>
              <w:right w:val="nil"/>
            </w:tcBorders>
            <w:shd w:val="clear" w:color="auto" w:fill="auto"/>
          </w:tcPr>
          <w:p w:rsidR="00FF0A39" w:rsidRPr="00E8264A" w:rsidRDefault="00FF0A39" w:rsidP="00175948">
            <w:pPr>
              <w:pStyle w:val="TableLeft"/>
              <w:keepNext/>
              <w:jc w:val="left"/>
              <w:rPr>
                <w:rFonts w:ascii="Arial Narrow" w:hAnsi="Arial Narrow"/>
                <w:b/>
                <w:lang w:val="en-AU"/>
              </w:rPr>
            </w:pPr>
            <w:r w:rsidRPr="00E8264A">
              <w:rPr>
                <w:rFonts w:ascii="Arial Narrow" w:hAnsi="Arial Narrow"/>
                <w:b/>
                <w:lang w:val="en-AU"/>
              </w:rPr>
              <w:t>Name, restriction, manner of administration, form</w:t>
            </w:r>
          </w:p>
        </w:tc>
        <w:tc>
          <w:tcPr>
            <w:tcW w:w="1250" w:type="dxa"/>
            <w:tcBorders>
              <w:top w:val="nil"/>
              <w:left w:val="nil"/>
              <w:bottom w:val="single" w:sz="4" w:space="0" w:color="000000" w:themeColor="text1"/>
              <w:right w:val="nil"/>
            </w:tcBorders>
            <w:shd w:val="clear" w:color="auto" w:fill="auto"/>
          </w:tcPr>
          <w:p w:rsidR="00FF0A39" w:rsidRPr="00E8264A" w:rsidRDefault="00FF0A39" w:rsidP="00FF0A39">
            <w:pPr>
              <w:pStyle w:val="TableCentre"/>
              <w:rPr>
                <w:rFonts w:ascii="Arial Narrow" w:hAnsi="Arial Narrow"/>
                <w:b/>
                <w:lang w:val="en-AU"/>
              </w:rPr>
            </w:pPr>
            <w:r w:rsidRPr="00E8264A">
              <w:rPr>
                <w:rFonts w:ascii="Arial Narrow" w:hAnsi="Arial Narrow"/>
                <w:b/>
                <w:lang w:val="en-AU"/>
              </w:rPr>
              <w:t>Maximum quantity (units)</w:t>
            </w:r>
          </w:p>
        </w:tc>
        <w:tc>
          <w:tcPr>
            <w:tcW w:w="1053" w:type="dxa"/>
            <w:tcBorders>
              <w:top w:val="nil"/>
              <w:left w:val="nil"/>
              <w:bottom w:val="single" w:sz="4" w:space="0" w:color="000000" w:themeColor="text1"/>
              <w:right w:val="nil"/>
            </w:tcBorders>
            <w:shd w:val="clear" w:color="auto" w:fill="auto"/>
          </w:tcPr>
          <w:p w:rsidR="00FF0A39" w:rsidRPr="00E8264A" w:rsidRDefault="00FF0A39" w:rsidP="00FF0A39">
            <w:pPr>
              <w:pStyle w:val="TableCentre"/>
              <w:rPr>
                <w:rFonts w:ascii="Arial Narrow" w:hAnsi="Arial Narrow"/>
                <w:b/>
                <w:lang w:val="en-AU"/>
              </w:rPr>
            </w:pPr>
            <w:r w:rsidRPr="00E8264A">
              <w:rPr>
                <w:rFonts w:ascii="Arial Narrow" w:hAnsi="Arial Narrow"/>
                <w:b/>
                <w:lang w:val="en-AU"/>
              </w:rPr>
              <w:t>No. of repeats</w:t>
            </w:r>
          </w:p>
        </w:tc>
        <w:tc>
          <w:tcPr>
            <w:tcW w:w="1519" w:type="dxa"/>
            <w:tcBorders>
              <w:top w:val="nil"/>
              <w:left w:val="nil"/>
              <w:bottom w:val="single" w:sz="4" w:space="0" w:color="000000" w:themeColor="text1"/>
              <w:right w:val="nil"/>
            </w:tcBorders>
            <w:shd w:val="clear" w:color="auto" w:fill="auto"/>
          </w:tcPr>
          <w:p w:rsidR="00FF0A39" w:rsidRPr="00E8264A" w:rsidRDefault="00FF0A39" w:rsidP="00FF0A39">
            <w:pPr>
              <w:pStyle w:val="TableCentre"/>
              <w:rPr>
                <w:rFonts w:ascii="Arial Narrow" w:hAnsi="Arial Narrow"/>
                <w:b/>
                <w:lang w:val="en-AU"/>
              </w:rPr>
            </w:pPr>
            <w:r w:rsidRPr="00E8264A">
              <w:rPr>
                <w:rFonts w:ascii="Arial Narrow" w:hAnsi="Arial Narrow"/>
                <w:b/>
                <w:lang w:val="en-AU"/>
              </w:rPr>
              <w:t>Dispensed price for maximum quantity (DPMQ)</w:t>
            </w:r>
          </w:p>
        </w:tc>
        <w:tc>
          <w:tcPr>
            <w:tcW w:w="1723" w:type="dxa"/>
            <w:tcBorders>
              <w:top w:val="nil"/>
              <w:left w:val="nil"/>
              <w:bottom w:val="single" w:sz="4" w:space="0" w:color="000000" w:themeColor="text1"/>
              <w:right w:val="nil"/>
            </w:tcBorders>
            <w:shd w:val="clear" w:color="auto" w:fill="auto"/>
          </w:tcPr>
          <w:p w:rsidR="00FF0A39" w:rsidRPr="00E8264A" w:rsidRDefault="00FF0A39" w:rsidP="00FF0A39">
            <w:pPr>
              <w:pStyle w:val="TableCentre"/>
              <w:rPr>
                <w:rFonts w:ascii="Arial Narrow" w:hAnsi="Arial Narrow"/>
                <w:b/>
                <w:lang w:val="en-AU"/>
              </w:rPr>
            </w:pPr>
            <w:r w:rsidRPr="00E8264A">
              <w:rPr>
                <w:rFonts w:ascii="Arial Narrow" w:hAnsi="Arial Narrow"/>
                <w:b/>
                <w:lang w:val="en-AU"/>
              </w:rPr>
              <w:t>Proprietary name and manufacturer</w:t>
            </w:r>
          </w:p>
        </w:tc>
      </w:tr>
      <w:tr w:rsidR="00FF0A39" w:rsidRPr="00E8264A" w:rsidTr="00611B1C">
        <w:trPr>
          <w:jc w:val="center"/>
        </w:trPr>
        <w:tc>
          <w:tcPr>
            <w:tcW w:w="3381" w:type="dxa"/>
            <w:tcBorders>
              <w:left w:val="nil"/>
              <w:right w:val="nil"/>
            </w:tcBorders>
          </w:tcPr>
          <w:p w:rsidR="00FF0A39" w:rsidRPr="00E8264A" w:rsidRDefault="00FF0A39" w:rsidP="00175948">
            <w:pPr>
              <w:pStyle w:val="TableLeft"/>
              <w:keepNext/>
              <w:jc w:val="left"/>
              <w:rPr>
                <w:rFonts w:ascii="Arial Narrow" w:hAnsi="Arial Narrow"/>
                <w:i/>
                <w:lang w:val="en-AU"/>
              </w:rPr>
            </w:pPr>
            <w:r w:rsidRPr="00E8264A">
              <w:rPr>
                <w:rFonts w:ascii="Arial Narrow" w:hAnsi="Arial Narrow"/>
                <w:i/>
                <w:lang w:val="en-AU"/>
              </w:rPr>
              <w:t>INSULIN GLARGINE</w:t>
            </w:r>
          </w:p>
          <w:p w:rsidR="00DC6C29" w:rsidRPr="00E8264A" w:rsidRDefault="00E8264A" w:rsidP="00175948">
            <w:pPr>
              <w:pStyle w:val="TableLeft"/>
              <w:keepNext/>
              <w:jc w:val="left"/>
              <w:rPr>
                <w:rFonts w:ascii="Arial Narrow" w:hAnsi="Arial Narrow"/>
                <w:strike/>
                <w:lang w:val="en-AU"/>
              </w:rPr>
            </w:pPr>
            <w:r>
              <w:rPr>
                <w:rFonts w:ascii="Arial Narrow" w:hAnsi="Arial Narrow"/>
                <w:strike/>
                <w:lang w:val="en-AU"/>
              </w:rPr>
              <w:t xml:space="preserve">Semglee® </w:t>
            </w:r>
            <w:r w:rsidR="00DC6C29" w:rsidRPr="00E8264A">
              <w:rPr>
                <w:rFonts w:ascii="Arial Narrow" w:hAnsi="Arial Narrow"/>
                <w:strike/>
                <w:lang w:val="en-AU"/>
              </w:rPr>
              <w:t xml:space="preserve">(insulin glargine), </w:t>
            </w:r>
          </w:p>
          <w:p w:rsidR="00FF0A39" w:rsidRPr="00E8264A" w:rsidRDefault="00DC6C29" w:rsidP="00175948">
            <w:pPr>
              <w:pStyle w:val="TableLeft"/>
              <w:keepNext/>
              <w:jc w:val="left"/>
              <w:rPr>
                <w:rFonts w:ascii="Arial Narrow" w:hAnsi="Arial Narrow"/>
                <w:strike/>
                <w:lang w:val="en-AU"/>
              </w:rPr>
            </w:pPr>
            <w:r w:rsidRPr="00E8264A">
              <w:rPr>
                <w:rFonts w:ascii="Arial Narrow" w:hAnsi="Arial Narrow"/>
                <w:strike/>
                <w:lang w:val="en-AU"/>
              </w:rPr>
              <w:t>100 IU /mL, 3 mL, Type 1, colourless glass cartridges inside pre-filled, disposable pen devices</w:t>
            </w:r>
          </w:p>
          <w:p w:rsidR="00611B1C" w:rsidRPr="00E8264A" w:rsidRDefault="00DC6C29" w:rsidP="00847177">
            <w:pPr>
              <w:pStyle w:val="TableLeft"/>
              <w:keepNext/>
              <w:jc w:val="left"/>
              <w:rPr>
                <w:rFonts w:ascii="Arial Narrow" w:hAnsi="Arial Narrow"/>
                <w:i/>
                <w:lang w:val="en-AU"/>
              </w:rPr>
            </w:pPr>
            <w:r w:rsidRPr="00E8264A">
              <w:rPr>
                <w:rFonts w:ascii="Arial Narrow" w:hAnsi="Arial Narrow"/>
                <w:i/>
                <w:lang w:val="en-AU"/>
              </w:rPr>
              <w:t>insulin glargine 100 units/mL injection, 5 x 3 mL cartridges</w:t>
            </w:r>
          </w:p>
        </w:tc>
        <w:tc>
          <w:tcPr>
            <w:tcW w:w="1250" w:type="dxa"/>
            <w:tcBorders>
              <w:left w:val="nil"/>
              <w:right w:val="nil"/>
            </w:tcBorders>
          </w:tcPr>
          <w:p w:rsidR="00FF0A39" w:rsidRPr="00E8264A" w:rsidRDefault="00FF0A39" w:rsidP="00FF0A39">
            <w:pPr>
              <w:pStyle w:val="TableCentre"/>
              <w:rPr>
                <w:rFonts w:ascii="Arial Narrow" w:hAnsi="Arial Narrow"/>
                <w:lang w:val="en-AU"/>
              </w:rPr>
            </w:pPr>
            <w:r w:rsidRPr="00E8264A">
              <w:rPr>
                <w:rFonts w:ascii="Arial Narrow" w:hAnsi="Arial Narrow"/>
                <w:lang w:val="en-AU"/>
              </w:rPr>
              <w:t>5</w:t>
            </w:r>
          </w:p>
        </w:tc>
        <w:tc>
          <w:tcPr>
            <w:tcW w:w="1053" w:type="dxa"/>
            <w:tcBorders>
              <w:left w:val="nil"/>
              <w:right w:val="nil"/>
            </w:tcBorders>
          </w:tcPr>
          <w:p w:rsidR="00FF0A39" w:rsidRPr="00E8264A" w:rsidRDefault="00FF0A39" w:rsidP="00FF0A39">
            <w:pPr>
              <w:pStyle w:val="TableCentre"/>
              <w:rPr>
                <w:rFonts w:ascii="Arial Narrow" w:hAnsi="Arial Narrow"/>
                <w:lang w:val="en-AU"/>
              </w:rPr>
            </w:pPr>
            <w:r w:rsidRPr="00E8264A">
              <w:rPr>
                <w:rFonts w:ascii="Arial Narrow" w:hAnsi="Arial Narrow"/>
                <w:lang w:val="en-AU"/>
              </w:rPr>
              <w:t>1</w:t>
            </w:r>
          </w:p>
        </w:tc>
        <w:tc>
          <w:tcPr>
            <w:tcW w:w="1519" w:type="dxa"/>
            <w:tcBorders>
              <w:left w:val="nil"/>
              <w:right w:val="nil"/>
            </w:tcBorders>
          </w:tcPr>
          <w:p w:rsidR="00FF0A39" w:rsidRPr="00E8264A" w:rsidRDefault="00FF0A39" w:rsidP="00FF0A39">
            <w:pPr>
              <w:pStyle w:val="TableCentre"/>
              <w:rPr>
                <w:rStyle w:val="SmallHighlight"/>
                <w:rFonts w:ascii="Arial Narrow" w:hAnsi="Arial Narrow"/>
                <w:highlight w:val="yellow"/>
                <w:lang w:val="en-AU"/>
              </w:rPr>
            </w:pPr>
            <w:r w:rsidRPr="00E8264A">
              <w:rPr>
                <w:rFonts w:ascii="Arial Narrow" w:hAnsi="Arial Narrow"/>
                <w:lang w:val="en-AU"/>
              </w:rPr>
              <w:t>$</w:t>
            </w:r>
            <w:r w:rsidR="006F4DE2">
              <w:rPr>
                <w:rFonts w:ascii="Arial Narrow" w:hAnsi="Arial Narrow"/>
                <w:noProof/>
                <w:color w:val="000000"/>
                <w:highlight w:val="black"/>
              </w:rPr>
              <w:t>'''''''''''''''''</w:t>
            </w:r>
          </w:p>
        </w:tc>
        <w:tc>
          <w:tcPr>
            <w:tcW w:w="1723" w:type="dxa"/>
            <w:tcBorders>
              <w:left w:val="nil"/>
              <w:right w:val="nil"/>
            </w:tcBorders>
          </w:tcPr>
          <w:p w:rsidR="00FF0A39" w:rsidRPr="00E8264A" w:rsidRDefault="00FF0A39" w:rsidP="00FF0A39">
            <w:pPr>
              <w:pStyle w:val="TableCentre"/>
              <w:rPr>
                <w:rFonts w:ascii="Arial Narrow" w:hAnsi="Arial Narrow"/>
                <w:lang w:val="en-AU"/>
              </w:rPr>
            </w:pPr>
            <w:r w:rsidRPr="00E8264A">
              <w:rPr>
                <w:rFonts w:ascii="Arial Narrow" w:hAnsi="Arial Narrow"/>
                <w:lang w:val="en-AU"/>
              </w:rPr>
              <w:t xml:space="preserve">Semglee, Alphapharm Pty Ltd </w:t>
            </w:r>
          </w:p>
        </w:tc>
      </w:tr>
      <w:tr w:rsidR="00C8718C" w:rsidRPr="00E8264A" w:rsidTr="00611B1C">
        <w:trPr>
          <w:jc w:val="center"/>
        </w:trPr>
        <w:tc>
          <w:tcPr>
            <w:tcW w:w="3381" w:type="dxa"/>
          </w:tcPr>
          <w:p w:rsidR="00C8718C" w:rsidRPr="00E8264A" w:rsidRDefault="00C8718C" w:rsidP="00C8718C">
            <w:pPr>
              <w:pStyle w:val="TableLeft"/>
              <w:keepNext/>
              <w:jc w:val="left"/>
              <w:rPr>
                <w:rFonts w:ascii="Arial Narrow" w:hAnsi="Arial Narrow"/>
                <w:b/>
                <w:i/>
                <w:lang w:val="en-AU"/>
              </w:rPr>
            </w:pPr>
            <w:r w:rsidRPr="00E8264A">
              <w:rPr>
                <w:rFonts w:ascii="Arial Narrow" w:hAnsi="Arial Narrow"/>
                <w:b/>
                <w:i/>
                <w:lang w:val="en-AU"/>
              </w:rPr>
              <w:t>Administ</w:t>
            </w:r>
            <w:r w:rsidR="00D87894" w:rsidRPr="00E8264A">
              <w:rPr>
                <w:rFonts w:ascii="Arial Narrow" w:hAnsi="Arial Narrow"/>
                <w:b/>
                <w:i/>
                <w:lang w:val="en-AU"/>
              </w:rPr>
              <w:t>r</w:t>
            </w:r>
            <w:r w:rsidRPr="00E8264A">
              <w:rPr>
                <w:rFonts w:ascii="Arial Narrow" w:hAnsi="Arial Narrow"/>
                <w:b/>
                <w:i/>
                <w:lang w:val="en-AU"/>
              </w:rPr>
              <w:t>ative instructions</w:t>
            </w:r>
          </w:p>
        </w:tc>
        <w:tc>
          <w:tcPr>
            <w:tcW w:w="5545" w:type="dxa"/>
            <w:gridSpan w:val="4"/>
          </w:tcPr>
          <w:p w:rsidR="00C8718C" w:rsidRPr="00E8264A" w:rsidRDefault="00C8718C" w:rsidP="00C8718C">
            <w:pPr>
              <w:rPr>
                <w:rFonts w:ascii="Arial Narrow" w:hAnsi="Arial Narrow"/>
                <w:b/>
                <w:i/>
                <w:sz w:val="20"/>
                <w:szCs w:val="20"/>
                <w:lang w:val="en-AU"/>
              </w:rPr>
            </w:pPr>
            <w:r w:rsidRPr="00E8264A">
              <w:rPr>
                <w:rFonts w:ascii="Arial Narrow" w:hAnsi="Arial Narrow"/>
                <w:b/>
                <w:i/>
                <w:sz w:val="20"/>
                <w:szCs w:val="20"/>
                <w:lang w:val="en-AU"/>
              </w:rPr>
              <w:t>Note</w:t>
            </w:r>
          </w:p>
          <w:p w:rsidR="00C8718C" w:rsidRPr="00E8264A" w:rsidRDefault="00C8718C" w:rsidP="00C8718C">
            <w:pPr>
              <w:rPr>
                <w:rFonts w:ascii="Arial Narrow" w:hAnsi="Arial Narrow"/>
                <w:b/>
                <w:i/>
                <w:sz w:val="20"/>
                <w:szCs w:val="20"/>
                <w:lang w:val="en-AU"/>
              </w:rPr>
            </w:pPr>
            <w:r w:rsidRPr="00E8264A">
              <w:rPr>
                <w:rFonts w:ascii="Arial Narrow" w:hAnsi="Arial Narrow"/>
                <w:b/>
                <w:i/>
                <w:sz w:val="20"/>
                <w:szCs w:val="20"/>
                <w:lang w:val="en-AU"/>
              </w:rPr>
              <w:t xml:space="preserve">Biosimilar prescribing policy </w:t>
            </w:r>
          </w:p>
          <w:p w:rsidR="00C8718C" w:rsidRPr="00E8264A" w:rsidRDefault="00C8718C" w:rsidP="00C8718C">
            <w:pPr>
              <w:rPr>
                <w:rFonts w:ascii="Arial Narrow" w:hAnsi="Arial Narrow"/>
                <w:i/>
                <w:sz w:val="20"/>
                <w:szCs w:val="20"/>
                <w:lang w:val="en-AU"/>
              </w:rPr>
            </w:pPr>
            <w:r w:rsidRPr="00E8264A">
              <w:rPr>
                <w:rFonts w:ascii="Arial Narrow" w:hAnsi="Arial Narrow"/>
                <w:i/>
                <w:sz w:val="20"/>
                <w:szCs w:val="20"/>
                <w:lang w:val="en-AU"/>
              </w:rPr>
              <w:t xml:space="preserve">Prescribing of the biosimilar brand </w:t>
            </w:r>
            <w:r w:rsidR="00E8264A">
              <w:rPr>
                <w:rFonts w:ascii="Arial Narrow" w:hAnsi="Arial Narrow"/>
                <w:i/>
                <w:sz w:val="20"/>
                <w:szCs w:val="20"/>
                <w:lang w:val="en-AU"/>
              </w:rPr>
              <w:t xml:space="preserve">SEMGLEE® </w:t>
            </w:r>
            <w:r w:rsidRPr="00E8264A">
              <w:rPr>
                <w:rFonts w:ascii="Arial Narrow" w:hAnsi="Arial Narrow"/>
                <w:i/>
                <w:sz w:val="20"/>
                <w:szCs w:val="20"/>
                <w:lang w:val="en-AU"/>
              </w:rPr>
              <w:t xml:space="preserve">is encouraged for treatment naive patients. </w:t>
            </w:r>
          </w:p>
          <w:p w:rsidR="00C8718C" w:rsidRPr="00E8264A" w:rsidRDefault="00C8718C" w:rsidP="00C8718C">
            <w:pPr>
              <w:rPr>
                <w:rFonts w:ascii="Arial Narrow" w:hAnsi="Arial Narrow"/>
                <w:i/>
                <w:lang w:val="en-AU"/>
              </w:rPr>
            </w:pPr>
            <w:r w:rsidRPr="00E8264A">
              <w:rPr>
                <w:rFonts w:ascii="Arial Narrow" w:hAnsi="Arial Narrow"/>
                <w:i/>
                <w:sz w:val="20"/>
                <w:szCs w:val="20"/>
                <w:lang w:val="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DE60AD" w:rsidRPr="00E8264A" w:rsidRDefault="00DE60AD" w:rsidP="00DE60AD">
      <w:pPr>
        <w:rPr>
          <w:rFonts w:eastAsiaTheme="minorHAnsi"/>
        </w:rPr>
      </w:pPr>
    </w:p>
    <w:p w:rsidR="005F2753" w:rsidRPr="00E8264A" w:rsidRDefault="005F2753" w:rsidP="00BB3B26">
      <w:pPr>
        <w:pStyle w:val="PBACHeading1"/>
        <w:numPr>
          <w:ilvl w:val="0"/>
          <w:numId w:val="0"/>
        </w:numPr>
        <w:outlineLvl w:val="9"/>
        <w:rPr>
          <w:rFonts w:asciiTheme="minorHAnsi" w:hAnsiTheme="minorHAnsi"/>
          <w:b w:val="0"/>
          <w:i/>
          <w:sz w:val="24"/>
          <w:szCs w:val="24"/>
        </w:rPr>
      </w:pPr>
      <w:r w:rsidRPr="00E8264A">
        <w:rPr>
          <w:rFonts w:asciiTheme="minorHAnsi" w:hAnsiTheme="minorHAnsi"/>
          <w:b w:val="0"/>
          <w:i/>
          <w:sz w:val="24"/>
          <w:szCs w:val="24"/>
        </w:rPr>
        <w:t xml:space="preserve">For more detail on PBAC’s view, see section </w:t>
      </w:r>
      <w:r w:rsidR="005D0E8A" w:rsidRPr="00E8264A">
        <w:rPr>
          <w:rFonts w:asciiTheme="minorHAnsi" w:hAnsiTheme="minorHAnsi"/>
          <w:b w:val="0"/>
          <w:i/>
          <w:sz w:val="24"/>
          <w:szCs w:val="24"/>
        </w:rPr>
        <w:t>6</w:t>
      </w:r>
      <w:r w:rsidRPr="00E8264A">
        <w:rPr>
          <w:rFonts w:asciiTheme="minorHAnsi" w:hAnsiTheme="minorHAnsi"/>
          <w:b w:val="0"/>
          <w:i/>
          <w:sz w:val="24"/>
          <w:szCs w:val="24"/>
        </w:rPr>
        <w:t xml:space="preserve"> PBAC outcome.</w:t>
      </w:r>
    </w:p>
    <w:p w:rsidR="005A3173" w:rsidRPr="00E8264A" w:rsidRDefault="005A3173" w:rsidP="00D31150">
      <w:pPr>
        <w:pStyle w:val="PBACHeading1"/>
        <w:spacing w:before="240" w:after="120"/>
        <w:ind w:left="709" w:hanging="709"/>
        <w:rPr>
          <w:rFonts w:asciiTheme="minorHAnsi" w:hAnsiTheme="minorHAnsi"/>
          <w:sz w:val="32"/>
          <w:szCs w:val="32"/>
        </w:rPr>
      </w:pPr>
      <w:r w:rsidRPr="00E8264A">
        <w:rPr>
          <w:rFonts w:asciiTheme="minorHAnsi" w:hAnsiTheme="minorHAnsi"/>
          <w:sz w:val="32"/>
          <w:szCs w:val="32"/>
        </w:rPr>
        <w:t>Comparator</w:t>
      </w:r>
    </w:p>
    <w:p w:rsidR="00C35996" w:rsidRPr="00E8264A" w:rsidRDefault="00FF2801" w:rsidP="00F550CF">
      <w:pPr>
        <w:pStyle w:val="ListParagraph"/>
        <w:widowControl/>
        <w:numPr>
          <w:ilvl w:val="1"/>
          <w:numId w:val="14"/>
        </w:numPr>
        <w:spacing w:before="120" w:after="16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minor submission nominated</w:t>
      </w:r>
      <w:r w:rsidR="00450C0F" w:rsidRPr="00E8264A">
        <w:rPr>
          <w:rFonts w:asciiTheme="minorHAnsi" w:eastAsiaTheme="minorHAnsi" w:hAnsiTheme="minorHAnsi" w:cstheme="minorBidi"/>
          <w:snapToGrid/>
          <w:sz w:val="24"/>
          <w:szCs w:val="22"/>
        </w:rPr>
        <w:t xml:space="preserve"> the reference brand of insulin glargine (Lantus) as the comparator.</w:t>
      </w:r>
    </w:p>
    <w:p w:rsidR="000B558D" w:rsidRPr="00E8264A"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E8264A">
        <w:rPr>
          <w:rFonts w:asciiTheme="minorHAnsi" w:hAnsiTheme="minorHAnsi"/>
          <w:sz w:val="32"/>
          <w:szCs w:val="32"/>
        </w:rPr>
        <w:t>C</w:t>
      </w:r>
      <w:r w:rsidR="00D84934" w:rsidRPr="00E8264A">
        <w:rPr>
          <w:rFonts w:asciiTheme="minorHAnsi" w:hAnsiTheme="minorHAnsi"/>
          <w:sz w:val="32"/>
          <w:szCs w:val="32"/>
        </w:rPr>
        <w:t>onsideration of the evidence</w:t>
      </w:r>
    </w:p>
    <w:p w:rsidR="002B4C99" w:rsidRPr="00E8264A" w:rsidRDefault="002B4C99" w:rsidP="00BB3B26">
      <w:pPr>
        <w:widowControl w:val="0"/>
        <w:spacing w:before="240" w:line="276" w:lineRule="auto"/>
        <w:jc w:val="both"/>
        <w:outlineLvl w:val="1"/>
        <w:rPr>
          <w:rFonts w:asciiTheme="minorHAnsi" w:hAnsiTheme="minorHAnsi" w:cs="Arial"/>
          <w:b/>
          <w:bCs/>
          <w:i/>
          <w:snapToGrid w:val="0"/>
          <w:sz w:val="28"/>
          <w:szCs w:val="28"/>
        </w:rPr>
      </w:pPr>
      <w:r w:rsidRPr="00E8264A">
        <w:rPr>
          <w:rFonts w:asciiTheme="minorHAnsi" w:hAnsiTheme="minorHAnsi" w:cs="Arial"/>
          <w:b/>
          <w:bCs/>
          <w:i/>
          <w:snapToGrid w:val="0"/>
          <w:sz w:val="28"/>
          <w:szCs w:val="28"/>
        </w:rPr>
        <w:t>Sponsor hearing</w:t>
      </w:r>
    </w:p>
    <w:p w:rsidR="002B4C99" w:rsidRPr="00E8264A" w:rsidRDefault="002B4C99" w:rsidP="002B4C99">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There was no hearing for this item as it was a minor submission.</w:t>
      </w:r>
    </w:p>
    <w:p w:rsidR="002B4C99" w:rsidRPr="00E8264A" w:rsidRDefault="002B4C99" w:rsidP="00BB3B26">
      <w:pPr>
        <w:widowControl w:val="0"/>
        <w:spacing w:before="240" w:line="276" w:lineRule="auto"/>
        <w:jc w:val="both"/>
        <w:outlineLvl w:val="1"/>
        <w:rPr>
          <w:rFonts w:asciiTheme="minorHAnsi" w:hAnsiTheme="minorHAnsi" w:cs="Arial"/>
          <w:b/>
          <w:bCs/>
          <w:i/>
          <w:snapToGrid w:val="0"/>
          <w:sz w:val="28"/>
          <w:szCs w:val="28"/>
        </w:rPr>
      </w:pPr>
      <w:r w:rsidRPr="00E8264A">
        <w:rPr>
          <w:rFonts w:asciiTheme="minorHAnsi" w:hAnsiTheme="minorHAnsi" w:cs="Arial"/>
          <w:b/>
          <w:bCs/>
          <w:i/>
          <w:snapToGrid w:val="0"/>
          <w:sz w:val="28"/>
          <w:szCs w:val="28"/>
        </w:rPr>
        <w:t>Consumer comments</w:t>
      </w:r>
    </w:p>
    <w:p w:rsidR="002B4C99" w:rsidRPr="00E8264A" w:rsidRDefault="002B4C99" w:rsidP="002B4C99">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The PBAC noted that no consumer comments were received for this item.</w:t>
      </w:r>
    </w:p>
    <w:p w:rsidR="00D84934" w:rsidRPr="00E8264A" w:rsidRDefault="00D84934" w:rsidP="00937958">
      <w:pPr>
        <w:pStyle w:val="Heading2"/>
        <w:keepLines/>
        <w:spacing w:before="240" w:after="120"/>
        <w:rPr>
          <w:rFonts w:asciiTheme="minorHAnsi" w:eastAsiaTheme="majorEastAsia" w:hAnsiTheme="minorHAnsi" w:cstheme="majorBidi"/>
          <w:sz w:val="28"/>
          <w:szCs w:val="28"/>
          <w:lang w:eastAsia="en-US"/>
        </w:rPr>
      </w:pPr>
      <w:r w:rsidRPr="00E8264A">
        <w:rPr>
          <w:rFonts w:asciiTheme="minorHAnsi" w:eastAsiaTheme="majorEastAsia" w:hAnsiTheme="minorHAnsi" w:cstheme="majorBidi"/>
          <w:sz w:val="28"/>
          <w:szCs w:val="28"/>
          <w:lang w:eastAsia="en-US"/>
        </w:rPr>
        <w:t>Clinical trials</w:t>
      </w:r>
    </w:p>
    <w:p w:rsidR="0076420C" w:rsidRPr="00E8264A" w:rsidRDefault="00A7358C" w:rsidP="00AF2F5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minor submission outlined the studies required by the TGA in determining comparability between the biosimilar and reference brands of insulin glargine.</w:t>
      </w:r>
      <w:r w:rsidR="001B01ED" w:rsidRPr="00E8264A">
        <w:rPr>
          <w:rFonts w:asciiTheme="minorHAnsi" w:eastAsiaTheme="minorHAnsi" w:hAnsiTheme="minorHAnsi" w:cstheme="minorBidi"/>
          <w:snapToGrid/>
          <w:sz w:val="24"/>
          <w:szCs w:val="22"/>
        </w:rPr>
        <w:t xml:space="preserve"> There were three key clinical studies, of which the submission presented two pivotal studies that </w:t>
      </w:r>
      <w:r w:rsidR="00635A10" w:rsidRPr="00E8264A">
        <w:rPr>
          <w:rFonts w:asciiTheme="minorHAnsi" w:eastAsiaTheme="minorHAnsi" w:hAnsiTheme="minorHAnsi" w:cstheme="minorBidi"/>
          <w:snapToGrid/>
          <w:sz w:val="24"/>
          <w:szCs w:val="22"/>
        </w:rPr>
        <w:t xml:space="preserve">demonstrated clinical comparability between </w:t>
      </w:r>
      <w:r w:rsidR="00E8264A">
        <w:rPr>
          <w:rFonts w:asciiTheme="minorHAnsi" w:eastAsiaTheme="minorHAnsi" w:hAnsiTheme="minorHAnsi" w:cstheme="minorBidi"/>
          <w:snapToGrid/>
          <w:sz w:val="24"/>
          <w:szCs w:val="22"/>
        </w:rPr>
        <w:t xml:space="preserve">Semglee® </w:t>
      </w:r>
      <w:r w:rsidR="00635A10" w:rsidRPr="00E8264A">
        <w:rPr>
          <w:rFonts w:asciiTheme="minorHAnsi" w:eastAsiaTheme="minorHAnsi" w:hAnsiTheme="minorHAnsi" w:cstheme="minorBidi"/>
          <w:snapToGrid/>
          <w:sz w:val="24"/>
          <w:szCs w:val="22"/>
        </w:rPr>
        <w:t>and Lantus; INSTRIDE 1 and INSTRIDE 2.</w:t>
      </w:r>
    </w:p>
    <w:p w:rsidR="00847177" w:rsidRDefault="00847177">
      <w:pPr>
        <w:rPr>
          <w:rFonts w:ascii="Arial Narrow" w:hAnsi="Arial Narrow"/>
          <w:b/>
          <w:sz w:val="20"/>
          <w:szCs w:val="22"/>
        </w:rPr>
      </w:pPr>
      <w:r>
        <w:rPr>
          <w:rFonts w:ascii="Arial Narrow" w:hAnsi="Arial Narrow"/>
          <w:b/>
          <w:sz w:val="20"/>
        </w:rPr>
        <w:br w:type="page"/>
      </w:r>
    </w:p>
    <w:p w:rsidR="0076420C" w:rsidRPr="00E8264A" w:rsidRDefault="00635A10" w:rsidP="00993635">
      <w:pPr>
        <w:pStyle w:val="NoSpacing"/>
        <w:keepNext/>
        <w:rPr>
          <w:rFonts w:ascii="Arial Narrow" w:hAnsi="Arial Narrow"/>
          <w:b/>
          <w:sz w:val="20"/>
        </w:rPr>
      </w:pPr>
      <w:r w:rsidRPr="00E8264A">
        <w:rPr>
          <w:rFonts w:ascii="Arial Narrow" w:hAnsi="Arial Narrow"/>
          <w:b/>
          <w:sz w:val="20"/>
        </w:rPr>
        <w:lastRenderedPageBreak/>
        <w:t xml:space="preserve">Table 1: </w:t>
      </w:r>
      <w:r w:rsidR="0076420C" w:rsidRPr="00E8264A">
        <w:rPr>
          <w:rFonts w:ascii="Arial Narrow" w:hAnsi="Arial Narrow"/>
          <w:b/>
          <w:sz w:val="20"/>
        </w:rPr>
        <w:t>Trials and associated reports presented in the re-submission</w:t>
      </w: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094"/>
        <w:gridCol w:w="1177"/>
      </w:tblGrid>
      <w:tr w:rsidR="0076420C" w:rsidRPr="00E8264A" w:rsidTr="00175948">
        <w:trPr>
          <w:cantSplit/>
          <w:trHeight w:val="539"/>
          <w:tblHeader/>
        </w:trPr>
        <w:tc>
          <w:tcPr>
            <w:tcW w:w="948" w:type="pct"/>
          </w:tcPr>
          <w:p w:rsidR="0076420C" w:rsidRPr="00E8264A" w:rsidRDefault="0076420C" w:rsidP="006670BE">
            <w:pPr>
              <w:pStyle w:val="NoSpacing"/>
              <w:spacing w:before="40" w:after="40"/>
              <w:jc w:val="left"/>
              <w:rPr>
                <w:rFonts w:ascii="Arial Narrow" w:hAnsi="Arial Narrow"/>
                <w:b/>
                <w:sz w:val="20"/>
              </w:rPr>
            </w:pPr>
            <w:r w:rsidRPr="00E8264A">
              <w:rPr>
                <w:rFonts w:ascii="Arial Narrow" w:hAnsi="Arial Narrow"/>
                <w:b/>
                <w:sz w:val="20"/>
              </w:rPr>
              <w:t>Trial ID</w:t>
            </w:r>
            <w:r w:rsidR="006670BE" w:rsidRPr="00E8264A">
              <w:rPr>
                <w:rFonts w:ascii="Arial Narrow" w:hAnsi="Arial Narrow"/>
                <w:b/>
                <w:sz w:val="20"/>
              </w:rPr>
              <w:t>/First Author</w:t>
            </w:r>
          </w:p>
        </w:tc>
        <w:tc>
          <w:tcPr>
            <w:tcW w:w="3396" w:type="pct"/>
          </w:tcPr>
          <w:p w:rsidR="0076420C" w:rsidRPr="00E8264A" w:rsidRDefault="0076420C" w:rsidP="006670BE">
            <w:pPr>
              <w:keepNext/>
              <w:spacing w:before="40" w:after="40"/>
              <w:rPr>
                <w:rFonts w:ascii="Arial Narrow" w:hAnsi="Arial Narrow"/>
                <w:b/>
                <w:sz w:val="20"/>
              </w:rPr>
            </w:pPr>
            <w:r w:rsidRPr="00E8264A">
              <w:rPr>
                <w:rFonts w:ascii="Arial Narrow" w:hAnsi="Arial Narrow"/>
                <w:b/>
                <w:sz w:val="20"/>
              </w:rPr>
              <w:t>Protocol title/ Publication title</w:t>
            </w:r>
          </w:p>
        </w:tc>
        <w:tc>
          <w:tcPr>
            <w:tcW w:w="656" w:type="pct"/>
          </w:tcPr>
          <w:p w:rsidR="0076420C" w:rsidRPr="00E8264A" w:rsidRDefault="0076420C" w:rsidP="006670BE">
            <w:pPr>
              <w:keepNext/>
              <w:spacing w:before="40" w:after="40"/>
              <w:rPr>
                <w:rFonts w:ascii="Arial Narrow" w:hAnsi="Arial Narrow"/>
                <w:b/>
                <w:sz w:val="20"/>
              </w:rPr>
            </w:pPr>
            <w:r w:rsidRPr="00E8264A">
              <w:rPr>
                <w:rFonts w:ascii="Arial Narrow" w:hAnsi="Arial Narrow"/>
                <w:b/>
                <w:sz w:val="20"/>
              </w:rPr>
              <w:t>Publication citation</w:t>
            </w:r>
          </w:p>
        </w:tc>
      </w:tr>
      <w:tr w:rsidR="0076420C" w:rsidRPr="00E8264A" w:rsidTr="00175948">
        <w:trPr>
          <w:cantSplit/>
          <w:trHeight w:val="317"/>
        </w:trPr>
        <w:tc>
          <w:tcPr>
            <w:tcW w:w="5000" w:type="pct"/>
            <w:gridSpan w:val="3"/>
          </w:tcPr>
          <w:p w:rsidR="0076420C" w:rsidRPr="00E8264A" w:rsidRDefault="0076420C" w:rsidP="006670BE">
            <w:pPr>
              <w:pStyle w:val="NoSpacing"/>
              <w:spacing w:before="40" w:after="40"/>
              <w:rPr>
                <w:rFonts w:ascii="Arial Narrow" w:hAnsi="Arial Narrow"/>
                <w:b/>
                <w:sz w:val="20"/>
              </w:rPr>
            </w:pPr>
            <w:r w:rsidRPr="00E8264A">
              <w:rPr>
                <w:rFonts w:ascii="Arial Narrow" w:hAnsi="Arial Narrow"/>
                <w:b/>
                <w:sz w:val="20"/>
              </w:rPr>
              <w:t>Direct randomised trial</w:t>
            </w:r>
            <w:r w:rsidR="00B176C8" w:rsidRPr="00E8264A">
              <w:rPr>
                <w:rFonts w:ascii="Arial Narrow" w:hAnsi="Arial Narrow"/>
                <w:b/>
                <w:sz w:val="20"/>
              </w:rPr>
              <w:t>(</w:t>
            </w:r>
            <w:r w:rsidRPr="00E8264A">
              <w:rPr>
                <w:rFonts w:ascii="Arial Narrow" w:hAnsi="Arial Narrow"/>
                <w:b/>
                <w:sz w:val="20"/>
              </w:rPr>
              <w:t>s</w:t>
            </w:r>
            <w:r w:rsidR="00B176C8" w:rsidRPr="00E8264A">
              <w:rPr>
                <w:rFonts w:ascii="Arial Narrow" w:hAnsi="Arial Narrow"/>
                <w:b/>
                <w:sz w:val="20"/>
              </w:rPr>
              <w:t>)</w:t>
            </w:r>
          </w:p>
        </w:tc>
      </w:tr>
      <w:tr w:rsidR="0076420C" w:rsidRPr="00E8264A" w:rsidTr="00175948">
        <w:trPr>
          <w:cantSplit/>
          <w:trHeight w:val="317"/>
        </w:trPr>
        <w:tc>
          <w:tcPr>
            <w:tcW w:w="948" w:type="pct"/>
          </w:tcPr>
          <w:p w:rsidR="00AF2F5F" w:rsidRPr="00E8264A" w:rsidRDefault="00AF2F5F" w:rsidP="00175948">
            <w:pPr>
              <w:pStyle w:val="NoSpacing"/>
              <w:jc w:val="left"/>
              <w:rPr>
                <w:rFonts w:ascii="Arial Narrow" w:hAnsi="Arial Narrow"/>
                <w:sz w:val="20"/>
              </w:rPr>
            </w:pPr>
            <w:r w:rsidRPr="00E8264A">
              <w:rPr>
                <w:rFonts w:ascii="Arial Narrow" w:hAnsi="Arial Narrow"/>
                <w:sz w:val="20"/>
              </w:rPr>
              <w:t>INSTRIDE 1</w:t>
            </w:r>
          </w:p>
          <w:p w:rsidR="00AF2F5F" w:rsidRPr="00E8264A" w:rsidRDefault="00AF2F5F" w:rsidP="00175948">
            <w:pPr>
              <w:pStyle w:val="NoSpacing"/>
              <w:jc w:val="left"/>
              <w:rPr>
                <w:rFonts w:ascii="Arial Narrow" w:hAnsi="Arial Narrow"/>
                <w:sz w:val="20"/>
              </w:rPr>
            </w:pPr>
            <w:r w:rsidRPr="00E8264A">
              <w:rPr>
                <w:rFonts w:ascii="Arial Narrow" w:hAnsi="Arial Narrow"/>
                <w:sz w:val="20"/>
              </w:rPr>
              <w:t>MYL-GAI-3001</w:t>
            </w:r>
          </w:p>
          <w:p w:rsidR="00AF2F5F" w:rsidRPr="00E8264A" w:rsidRDefault="00AF2F5F" w:rsidP="00175948">
            <w:pPr>
              <w:pStyle w:val="NoSpacing"/>
              <w:jc w:val="left"/>
              <w:rPr>
                <w:rFonts w:ascii="Arial Narrow" w:hAnsi="Arial Narrow"/>
                <w:sz w:val="20"/>
              </w:rPr>
            </w:pPr>
          </w:p>
          <w:p w:rsidR="0076420C" w:rsidRPr="00E8264A" w:rsidRDefault="00AF2F5F" w:rsidP="00175948">
            <w:pPr>
              <w:pStyle w:val="NoSpacing"/>
              <w:jc w:val="left"/>
              <w:rPr>
                <w:rFonts w:ascii="Arial Narrow" w:hAnsi="Arial Narrow"/>
                <w:sz w:val="20"/>
              </w:rPr>
            </w:pPr>
            <w:r w:rsidRPr="00E8264A">
              <w:rPr>
                <w:rFonts w:ascii="Arial Narrow" w:hAnsi="Arial Narrow"/>
                <w:sz w:val="20"/>
              </w:rPr>
              <w:t>CTRI/EUDRACT 2014-000747-32</w:t>
            </w:r>
          </w:p>
        </w:tc>
        <w:tc>
          <w:tcPr>
            <w:tcW w:w="3396" w:type="pct"/>
          </w:tcPr>
          <w:p w:rsidR="0076420C" w:rsidRPr="00E8264A" w:rsidRDefault="00AF2F5F" w:rsidP="0062748A">
            <w:pPr>
              <w:keepNext/>
              <w:rPr>
                <w:rFonts w:ascii="Arial Narrow" w:hAnsi="Arial Narrow"/>
                <w:sz w:val="20"/>
              </w:rPr>
            </w:pPr>
            <w:r w:rsidRPr="00E8264A">
              <w:rPr>
                <w:rFonts w:ascii="Arial Narrow" w:hAnsi="Arial Narrow"/>
                <w:sz w:val="20"/>
              </w:rPr>
              <w:t>An Open-label, Randomized, Multi-centre, Parallel-group Clinical Trial Comparing the Efficacy and Safety of Mylan’s Insulin glargine with Lantus® in Type 1 Diabetes Mellitus Patients.</w:t>
            </w:r>
          </w:p>
        </w:tc>
        <w:tc>
          <w:tcPr>
            <w:tcW w:w="656" w:type="pct"/>
          </w:tcPr>
          <w:p w:rsidR="0076420C" w:rsidRPr="00E8264A" w:rsidRDefault="00AF2F5F" w:rsidP="0062748A">
            <w:pPr>
              <w:keepNext/>
              <w:rPr>
                <w:rFonts w:ascii="Arial Narrow" w:hAnsi="Arial Narrow"/>
                <w:sz w:val="20"/>
              </w:rPr>
            </w:pPr>
            <w:r w:rsidRPr="00E8264A">
              <w:rPr>
                <w:rFonts w:ascii="Arial Narrow" w:hAnsi="Arial Narrow"/>
                <w:sz w:val="20"/>
              </w:rPr>
              <w:t>NA</w:t>
            </w:r>
          </w:p>
        </w:tc>
      </w:tr>
      <w:tr w:rsidR="0076420C" w:rsidRPr="00E8264A" w:rsidTr="00175948">
        <w:trPr>
          <w:cantSplit/>
          <w:trHeight w:val="317"/>
        </w:trPr>
        <w:tc>
          <w:tcPr>
            <w:tcW w:w="948" w:type="pct"/>
          </w:tcPr>
          <w:p w:rsidR="00AF2F5F" w:rsidRPr="00E8264A" w:rsidRDefault="00AF2F5F" w:rsidP="00175948">
            <w:pPr>
              <w:pStyle w:val="NoSpacing"/>
              <w:jc w:val="left"/>
              <w:rPr>
                <w:rFonts w:ascii="Arial Narrow" w:hAnsi="Arial Narrow"/>
                <w:sz w:val="20"/>
              </w:rPr>
            </w:pPr>
            <w:r w:rsidRPr="00E8264A">
              <w:rPr>
                <w:rFonts w:ascii="Arial Narrow" w:hAnsi="Arial Narrow"/>
                <w:sz w:val="20"/>
              </w:rPr>
              <w:t>INSTRIDE 2</w:t>
            </w:r>
          </w:p>
          <w:p w:rsidR="00AF2F5F" w:rsidRPr="00E8264A" w:rsidRDefault="00AF2F5F" w:rsidP="00175948">
            <w:pPr>
              <w:pStyle w:val="NoSpacing"/>
              <w:jc w:val="left"/>
              <w:rPr>
                <w:rFonts w:ascii="Arial Narrow" w:hAnsi="Arial Narrow"/>
                <w:sz w:val="20"/>
              </w:rPr>
            </w:pPr>
            <w:r w:rsidRPr="00E8264A">
              <w:rPr>
                <w:rFonts w:ascii="Arial Narrow" w:hAnsi="Arial Narrow"/>
                <w:sz w:val="20"/>
              </w:rPr>
              <w:t>MYL-GAI-3002</w:t>
            </w:r>
          </w:p>
          <w:p w:rsidR="0076420C" w:rsidRPr="00E8264A" w:rsidRDefault="00AF2F5F" w:rsidP="00175948">
            <w:pPr>
              <w:pStyle w:val="NoSpacing"/>
              <w:jc w:val="left"/>
              <w:rPr>
                <w:rFonts w:ascii="Arial Narrow" w:hAnsi="Arial Narrow"/>
                <w:sz w:val="20"/>
              </w:rPr>
            </w:pPr>
            <w:r w:rsidRPr="00E8264A">
              <w:rPr>
                <w:rFonts w:ascii="Arial Narrow" w:hAnsi="Arial Narrow"/>
                <w:sz w:val="20"/>
              </w:rPr>
              <w:t>EUDRACT No. 2014-000881-23</w:t>
            </w:r>
          </w:p>
        </w:tc>
        <w:tc>
          <w:tcPr>
            <w:tcW w:w="3396" w:type="pct"/>
          </w:tcPr>
          <w:p w:rsidR="0076420C" w:rsidRPr="00E8264A" w:rsidRDefault="00AF2F5F" w:rsidP="0062748A">
            <w:pPr>
              <w:keepNext/>
              <w:rPr>
                <w:rFonts w:ascii="Arial Narrow" w:hAnsi="Arial Narrow"/>
                <w:sz w:val="20"/>
              </w:rPr>
            </w:pPr>
            <w:r w:rsidRPr="00E8264A">
              <w:rPr>
                <w:rFonts w:ascii="Arial Narrow" w:hAnsi="Arial Narrow"/>
                <w:sz w:val="20"/>
              </w:rPr>
              <w:t>An Open-label, Randomized, Multicentre, Parallel-Group Clinical Trial Comparing the Efficacy and Safety of Mylan’s Insulin Glargine with Lantus® in Type 2 Diabetes Mellitus Patients.</w:t>
            </w:r>
          </w:p>
        </w:tc>
        <w:tc>
          <w:tcPr>
            <w:tcW w:w="656" w:type="pct"/>
          </w:tcPr>
          <w:p w:rsidR="0076420C" w:rsidRPr="00E8264A" w:rsidRDefault="00AF2F5F" w:rsidP="0062748A">
            <w:pPr>
              <w:keepNext/>
              <w:rPr>
                <w:rFonts w:ascii="Arial Narrow" w:hAnsi="Arial Narrow"/>
                <w:sz w:val="20"/>
              </w:rPr>
            </w:pPr>
            <w:r w:rsidRPr="00E8264A">
              <w:rPr>
                <w:rFonts w:ascii="Arial Narrow" w:hAnsi="Arial Narrow"/>
                <w:sz w:val="20"/>
              </w:rPr>
              <w:t>NA</w:t>
            </w:r>
          </w:p>
        </w:tc>
      </w:tr>
    </w:tbl>
    <w:p w:rsidR="0076420C" w:rsidRPr="00E8264A" w:rsidRDefault="0076420C" w:rsidP="00AF2F5F">
      <w:pPr>
        <w:pStyle w:val="tablenotes"/>
        <w:spacing w:after="120"/>
        <w:rPr>
          <w:rFonts w:ascii="Arial Narrow" w:hAnsi="Arial Narrow"/>
          <w:sz w:val="18"/>
          <w:szCs w:val="18"/>
        </w:rPr>
      </w:pPr>
      <w:r w:rsidRPr="00E8264A">
        <w:rPr>
          <w:rFonts w:ascii="Arial Narrow" w:hAnsi="Arial Narrow"/>
          <w:sz w:val="18"/>
          <w:szCs w:val="18"/>
        </w:rPr>
        <w:t xml:space="preserve">Source: </w:t>
      </w:r>
      <w:r w:rsidR="00AF2F5F" w:rsidRPr="00E8264A">
        <w:rPr>
          <w:rFonts w:ascii="Arial Narrow" w:hAnsi="Arial Narrow"/>
          <w:sz w:val="18"/>
          <w:szCs w:val="18"/>
        </w:rPr>
        <w:t xml:space="preserve">Minor submission, </w:t>
      </w:r>
      <w:proofErr w:type="spellStart"/>
      <w:r w:rsidR="00AF2F5F" w:rsidRPr="00E8264A">
        <w:rPr>
          <w:rFonts w:ascii="Arial Narrow" w:hAnsi="Arial Narrow"/>
          <w:sz w:val="18"/>
          <w:szCs w:val="18"/>
        </w:rPr>
        <w:t>pg</w:t>
      </w:r>
      <w:proofErr w:type="spellEnd"/>
      <w:r w:rsidR="00AF2F5F" w:rsidRPr="00E8264A">
        <w:rPr>
          <w:rFonts w:ascii="Arial Narrow" w:hAnsi="Arial Narrow"/>
          <w:sz w:val="18"/>
          <w:szCs w:val="18"/>
        </w:rPr>
        <w:t xml:space="preserve"> 19-20</w:t>
      </w:r>
    </w:p>
    <w:p w:rsidR="00D84934" w:rsidRPr="00E8264A" w:rsidRDefault="00D84934" w:rsidP="00175948">
      <w:pPr>
        <w:rPr>
          <w:rFonts w:asciiTheme="minorHAnsi" w:hAnsiTheme="minorHAnsi"/>
          <w:sz w:val="20"/>
          <w:szCs w:val="20"/>
        </w:rPr>
      </w:pPr>
    </w:p>
    <w:p w:rsidR="00BB7EC3" w:rsidRPr="00E8264A" w:rsidRDefault="0076420C" w:rsidP="00AF2F5F">
      <w:pPr>
        <w:pStyle w:val="ListParagraph"/>
        <w:widowControl/>
        <w:numPr>
          <w:ilvl w:val="1"/>
          <w:numId w:val="14"/>
        </w:numPr>
        <w:spacing w:after="120"/>
        <w:contextualSpacing w:val="0"/>
        <w:rPr>
          <w:rFonts w:asciiTheme="minorHAnsi" w:hAnsiTheme="minorHAnsi"/>
          <w:sz w:val="24"/>
          <w:szCs w:val="24"/>
        </w:rPr>
      </w:pPr>
      <w:r w:rsidRPr="00E8264A">
        <w:rPr>
          <w:rFonts w:asciiTheme="minorHAnsi" w:eastAsiaTheme="minorHAnsi" w:hAnsiTheme="minorHAnsi" w:cstheme="minorBidi"/>
          <w:snapToGrid/>
          <w:sz w:val="24"/>
          <w:szCs w:val="22"/>
        </w:rPr>
        <w:t xml:space="preserve">The </w:t>
      </w:r>
      <w:r w:rsidR="00AF2F5F" w:rsidRPr="00E8264A">
        <w:rPr>
          <w:rFonts w:asciiTheme="minorHAnsi" w:eastAsiaTheme="minorHAnsi" w:hAnsiTheme="minorHAnsi" w:cstheme="minorBidi"/>
          <w:snapToGrid/>
          <w:sz w:val="24"/>
          <w:szCs w:val="22"/>
        </w:rPr>
        <w:t xml:space="preserve">minor submission presented results of both studies in a summarised form and the complete Clinical Study Reports for both trials were provided as attachments to the submission. </w:t>
      </w:r>
    </w:p>
    <w:p w:rsidR="005A3173" w:rsidRPr="00E8264A" w:rsidRDefault="005A3173" w:rsidP="00937958">
      <w:pPr>
        <w:pStyle w:val="Heading2"/>
        <w:keepLines/>
        <w:spacing w:before="240" w:after="120"/>
        <w:rPr>
          <w:rFonts w:asciiTheme="minorHAnsi" w:eastAsiaTheme="majorEastAsia" w:hAnsiTheme="minorHAnsi" w:cstheme="majorBidi"/>
          <w:sz w:val="28"/>
          <w:szCs w:val="28"/>
          <w:lang w:eastAsia="en-US"/>
        </w:rPr>
      </w:pPr>
      <w:r w:rsidRPr="00E8264A">
        <w:rPr>
          <w:rFonts w:asciiTheme="minorHAnsi" w:eastAsiaTheme="majorEastAsia" w:hAnsiTheme="minorHAnsi" w:cstheme="majorBidi"/>
          <w:sz w:val="28"/>
          <w:szCs w:val="28"/>
          <w:lang w:eastAsia="en-US"/>
        </w:rPr>
        <w:t>Comparative effectiveness</w:t>
      </w:r>
      <w:r w:rsidR="004E4B68" w:rsidRPr="00E8264A">
        <w:rPr>
          <w:rFonts w:asciiTheme="minorHAnsi" w:eastAsiaTheme="majorEastAsia" w:hAnsiTheme="minorHAnsi" w:cstheme="majorBidi"/>
          <w:sz w:val="28"/>
          <w:szCs w:val="28"/>
          <w:lang w:eastAsia="en-US"/>
        </w:rPr>
        <w:t xml:space="preserve"> and comparative harms</w:t>
      </w:r>
    </w:p>
    <w:p w:rsidR="009E716F" w:rsidRPr="00E8264A" w:rsidRDefault="009E716F" w:rsidP="004E4B6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submission claimed that the results of the clinical trials showed that </w:t>
      </w:r>
      <w:r w:rsidR="00E8264A">
        <w:rPr>
          <w:rFonts w:asciiTheme="minorHAnsi" w:eastAsiaTheme="minorHAnsi" w:hAnsiTheme="minorHAnsi" w:cstheme="minorBidi"/>
          <w:snapToGrid/>
          <w:sz w:val="24"/>
          <w:szCs w:val="22"/>
        </w:rPr>
        <w:t xml:space="preserve">Semglee® </w:t>
      </w:r>
      <w:r w:rsidRPr="00E8264A">
        <w:rPr>
          <w:rFonts w:asciiTheme="minorHAnsi" w:eastAsiaTheme="minorHAnsi" w:hAnsiTheme="minorHAnsi" w:cstheme="minorBidi"/>
          <w:snapToGrid/>
          <w:sz w:val="24"/>
          <w:szCs w:val="22"/>
        </w:rPr>
        <w:t>was non-inferior to Lantus in terms of efficacy and safety.</w:t>
      </w:r>
    </w:p>
    <w:p w:rsidR="00EA3F2F" w:rsidRPr="00E8264A" w:rsidRDefault="00EA3F2F" w:rsidP="004E4B6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264A">
        <w:rPr>
          <w:rFonts w:asciiTheme="minorHAnsi" w:hAnsiTheme="minorHAnsi"/>
          <w:sz w:val="24"/>
          <w:szCs w:val="24"/>
        </w:rPr>
        <w:t xml:space="preserve">The sponsor </w:t>
      </w:r>
      <w:r w:rsidR="00586DC4" w:rsidRPr="00E8264A">
        <w:rPr>
          <w:rFonts w:asciiTheme="minorHAnsi" w:hAnsiTheme="minorHAnsi"/>
          <w:sz w:val="24"/>
          <w:szCs w:val="24"/>
        </w:rPr>
        <w:t xml:space="preserve">was requested to </w:t>
      </w:r>
      <w:r w:rsidRPr="00E8264A">
        <w:rPr>
          <w:rFonts w:asciiTheme="minorHAnsi" w:hAnsiTheme="minorHAnsi"/>
          <w:sz w:val="24"/>
          <w:szCs w:val="24"/>
        </w:rPr>
        <w:t xml:space="preserve">provide a copy of the TGA clinical evaluation report (CER) </w:t>
      </w:r>
      <w:r w:rsidR="00C5567F" w:rsidRPr="00E8264A">
        <w:rPr>
          <w:rFonts w:asciiTheme="minorHAnsi" w:hAnsiTheme="minorHAnsi"/>
          <w:sz w:val="24"/>
          <w:szCs w:val="24"/>
        </w:rPr>
        <w:t xml:space="preserve">on Semglee, which </w:t>
      </w:r>
      <w:r w:rsidRPr="00E8264A">
        <w:rPr>
          <w:rFonts w:asciiTheme="minorHAnsi" w:hAnsiTheme="minorHAnsi"/>
          <w:sz w:val="24"/>
          <w:szCs w:val="24"/>
        </w:rPr>
        <w:t>concluded that</w:t>
      </w:r>
      <w:r w:rsidR="008E5FD3" w:rsidRPr="00E8264A">
        <w:rPr>
          <w:rFonts w:asciiTheme="minorHAnsi" w:hAnsiTheme="minorHAnsi"/>
          <w:sz w:val="24"/>
          <w:szCs w:val="24"/>
        </w:rPr>
        <w:t>:</w:t>
      </w:r>
      <w:r w:rsidRPr="00E8264A">
        <w:rPr>
          <w:rFonts w:asciiTheme="minorHAnsi" w:hAnsiTheme="minorHAnsi"/>
          <w:sz w:val="24"/>
          <w:szCs w:val="24"/>
        </w:rPr>
        <w:t xml:space="preserve"> </w:t>
      </w:r>
    </w:p>
    <w:p w:rsidR="008E5FD3" w:rsidRPr="00E8264A" w:rsidRDefault="008E5FD3" w:rsidP="00175948">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4"/>
        </w:rPr>
      </w:pPr>
      <w:r w:rsidRPr="00E8264A">
        <w:rPr>
          <w:rFonts w:asciiTheme="minorHAnsi" w:hAnsiTheme="minorHAnsi"/>
          <w:bCs/>
          <w:sz w:val="24"/>
          <w:szCs w:val="24"/>
        </w:rPr>
        <w:t>the evidence of pharmacokinetic bioequivalence of the biosimilar product with the original Lantus formulation of insulin glargine appear</w:t>
      </w:r>
      <w:r w:rsidR="00C5567F" w:rsidRPr="00E8264A">
        <w:rPr>
          <w:rFonts w:asciiTheme="minorHAnsi" w:hAnsiTheme="minorHAnsi"/>
          <w:bCs/>
          <w:sz w:val="24"/>
          <w:szCs w:val="24"/>
        </w:rPr>
        <w:t>ed</w:t>
      </w:r>
      <w:r w:rsidRPr="00E8264A">
        <w:rPr>
          <w:rFonts w:asciiTheme="minorHAnsi" w:hAnsiTheme="minorHAnsi"/>
          <w:bCs/>
          <w:sz w:val="24"/>
          <w:szCs w:val="24"/>
        </w:rPr>
        <w:t xml:space="preserve"> conclusive;</w:t>
      </w:r>
    </w:p>
    <w:p w:rsidR="008E5FD3" w:rsidRPr="00E8264A" w:rsidRDefault="008E5FD3" w:rsidP="00175948">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4"/>
        </w:rPr>
      </w:pPr>
      <w:r w:rsidRPr="00E8264A">
        <w:rPr>
          <w:rFonts w:asciiTheme="minorHAnsi" w:hAnsiTheme="minorHAnsi"/>
          <w:sz w:val="24"/>
          <w:szCs w:val="24"/>
        </w:rPr>
        <w:t xml:space="preserve">bioequivalence between the biosimilar product and the reference product Lantus </w:t>
      </w:r>
      <w:r w:rsidR="008F1952" w:rsidRPr="00E8264A">
        <w:rPr>
          <w:rFonts w:asciiTheme="minorHAnsi" w:hAnsiTheme="minorHAnsi"/>
          <w:sz w:val="24"/>
          <w:szCs w:val="24"/>
        </w:rPr>
        <w:t>wa</w:t>
      </w:r>
      <w:r w:rsidRPr="00E8264A">
        <w:rPr>
          <w:rFonts w:asciiTheme="minorHAnsi" w:hAnsiTheme="minorHAnsi"/>
          <w:sz w:val="24"/>
          <w:szCs w:val="24"/>
        </w:rPr>
        <w:t xml:space="preserve">s clearly shown on </w:t>
      </w:r>
      <w:proofErr w:type="spellStart"/>
      <w:r w:rsidRPr="00E8264A">
        <w:rPr>
          <w:rFonts w:asciiTheme="minorHAnsi" w:hAnsiTheme="minorHAnsi"/>
          <w:sz w:val="24"/>
          <w:szCs w:val="24"/>
        </w:rPr>
        <w:t>pharmacodynamic</w:t>
      </w:r>
      <w:proofErr w:type="spellEnd"/>
      <w:r w:rsidRPr="00E8264A">
        <w:rPr>
          <w:rFonts w:asciiTheme="minorHAnsi" w:hAnsiTheme="minorHAnsi"/>
          <w:sz w:val="24"/>
          <w:szCs w:val="24"/>
        </w:rPr>
        <w:t xml:space="preserve"> grounds;</w:t>
      </w:r>
    </w:p>
    <w:p w:rsidR="008E5FD3" w:rsidRPr="00E8264A" w:rsidRDefault="00C5567F" w:rsidP="00175948">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4"/>
        </w:rPr>
      </w:pPr>
      <w:r w:rsidRPr="00E8264A">
        <w:rPr>
          <w:rFonts w:asciiTheme="minorHAnsi" w:hAnsiTheme="minorHAnsi"/>
          <w:sz w:val="24"/>
          <w:szCs w:val="24"/>
        </w:rPr>
        <w:t>t</w:t>
      </w:r>
      <w:r w:rsidR="008E5FD3" w:rsidRPr="00E8264A">
        <w:rPr>
          <w:rFonts w:asciiTheme="minorHAnsi" w:hAnsiTheme="minorHAnsi"/>
          <w:sz w:val="24"/>
          <w:szCs w:val="24"/>
        </w:rPr>
        <w:t>he submitted data provide</w:t>
      </w:r>
      <w:r w:rsidRPr="00E8264A">
        <w:rPr>
          <w:rFonts w:asciiTheme="minorHAnsi" w:hAnsiTheme="minorHAnsi"/>
          <w:sz w:val="24"/>
          <w:szCs w:val="24"/>
        </w:rPr>
        <w:t>d</w:t>
      </w:r>
      <w:r w:rsidR="008E5FD3" w:rsidRPr="00E8264A">
        <w:rPr>
          <w:rFonts w:asciiTheme="minorHAnsi" w:hAnsiTheme="minorHAnsi"/>
          <w:sz w:val="24"/>
          <w:szCs w:val="24"/>
        </w:rPr>
        <w:t xml:space="preserve"> adequate evidence of efficacy in all aspects of the stated indication</w:t>
      </w:r>
      <w:r w:rsidR="008F1952" w:rsidRPr="00E8264A">
        <w:rPr>
          <w:rFonts w:asciiTheme="minorHAnsi" w:hAnsiTheme="minorHAnsi"/>
          <w:sz w:val="24"/>
          <w:szCs w:val="24"/>
        </w:rPr>
        <w:t>; and</w:t>
      </w:r>
    </w:p>
    <w:p w:rsidR="008E5FD3" w:rsidRPr="00E8264A" w:rsidRDefault="00EE31B6" w:rsidP="00175948">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4"/>
        </w:rPr>
      </w:pPr>
      <w:proofErr w:type="gramStart"/>
      <w:r w:rsidRPr="00E8264A">
        <w:rPr>
          <w:rFonts w:asciiTheme="minorHAnsi" w:hAnsiTheme="minorHAnsi"/>
          <w:sz w:val="24"/>
          <w:szCs w:val="24"/>
        </w:rPr>
        <w:t>the</w:t>
      </w:r>
      <w:proofErr w:type="gramEnd"/>
      <w:r w:rsidR="008E5FD3" w:rsidRPr="00E8264A">
        <w:rPr>
          <w:rFonts w:asciiTheme="minorHAnsi" w:hAnsiTheme="minorHAnsi"/>
          <w:sz w:val="24"/>
          <w:szCs w:val="24"/>
        </w:rPr>
        <w:t xml:space="preserve"> submission contain</w:t>
      </w:r>
      <w:r w:rsidR="00C5567F" w:rsidRPr="00E8264A">
        <w:rPr>
          <w:rFonts w:asciiTheme="minorHAnsi" w:hAnsiTheme="minorHAnsi"/>
          <w:sz w:val="24"/>
          <w:szCs w:val="24"/>
        </w:rPr>
        <w:t>ed</w:t>
      </w:r>
      <w:r w:rsidR="008E5FD3" w:rsidRPr="00E8264A">
        <w:rPr>
          <w:rFonts w:asciiTheme="minorHAnsi" w:hAnsiTheme="minorHAnsi"/>
          <w:sz w:val="24"/>
          <w:szCs w:val="24"/>
        </w:rPr>
        <w:t xml:space="preserve"> a substantial body of evidence that use of the n</w:t>
      </w:r>
      <w:r w:rsidR="008F1952" w:rsidRPr="00E8264A">
        <w:rPr>
          <w:rFonts w:asciiTheme="minorHAnsi" w:hAnsiTheme="minorHAnsi"/>
          <w:sz w:val="24"/>
          <w:szCs w:val="24"/>
        </w:rPr>
        <w:t>ew biosimilar glargine product wa</w:t>
      </w:r>
      <w:r w:rsidR="008E5FD3" w:rsidRPr="00E8264A">
        <w:rPr>
          <w:rFonts w:asciiTheme="minorHAnsi" w:hAnsiTheme="minorHAnsi"/>
          <w:sz w:val="24"/>
          <w:szCs w:val="24"/>
        </w:rPr>
        <w:t>s not associated with any newly emerging safety risk, nor any greater inc</w:t>
      </w:r>
      <w:r w:rsidR="008F1952" w:rsidRPr="00E8264A">
        <w:rPr>
          <w:rFonts w:asciiTheme="minorHAnsi" w:hAnsiTheme="minorHAnsi"/>
          <w:sz w:val="24"/>
          <w:szCs w:val="24"/>
        </w:rPr>
        <w:t>idence of adverse effects, than wa</w:t>
      </w:r>
      <w:r w:rsidR="008E5FD3" w:rsidRPr="00E8264A">
        <w:rPr>
          <w:rFonts w:asciiTheme="minorHAnsi" w:hAnsiTheme="minorHAnsi"/>
          <w:sz w:val="24"/>
          <w:szCs w:val="24"/>
        </w:rPr>
        <w:t>s experienced with the existing registered product.</w:t>
      </w:r>
    </w:p>
    <w:p w:rsidR="000B7467" w:rsidRPr="00E8264A" w:rsidRDefault="00665924" w:rsidP="00175948">
      <w:pPr>
        <w:pStyle w:val="ListParagraph"/>
        <w:widowControl/>
        <w:numPr>
          <w:ilvl w:val="1"/>
          <w:numId w:val="21"/>
        </w:numPr>
        <w:spacing w:after="120"/>
        <w:ind w:left="1077" w:hanging="357"/>
        <w:contextualSpacing w:val="0"/>
        <w:rPr>
          <w:rFonts w:asciiTheme="minorHAnsi" w:eastAsiaTheme="minorHAnsi" w:hAnsiTheme="minorHAnsi" w:cstheme="minorBidi"/>
          <w:snapToGrid/>
          <w:sz w:val="24"/>
          <w:szCs w:val="24"/>
        </w:rPr>
      </w:pPr>
      <w:r w:rsidRPr="00E8264A">
        <w:rPr>
          <w:rFonts w:asciiTheme="minorHAnsi" w:hAnsiTheme="minorHAnsi"/>
          <w:sz w:val="24"/>
          <w:szCs w:val="24"/>
        </w:rPr>
        <w:t>t</w:t>
      </w:r>
      <w:r w:rsidR="000B7467" w:rsidRPr="00E8264A">
        <w:rPr>
          <w:rFonts w:asciiTheme="minorHAnsi" w:hAnsiTheme="minorHAnsi"/>
          <w:sz w:val="24"/>
          <w:szCs w:val="24"/>
        </w:rPr>
        <w:t xml:space="preserve">he CER noted that there was no data on use in children, but ultimately found that it was reasonable to extrapolate efficacy in children from the adult data on </w:t>
      </w:r>
      <w:r w:rsidR="00E8264A">
        <w:rPr>
          <w:rFonts w:asciiTheme="minorHAnsi" w:hAnsiTheme="minorHAnsi"/>
          <w:sz w:val="24"/>
          <w:szCs w:val="24"/>
        </w:rPr>
        <w:t xml:space="preserve">Semglee® </w:t>
      </w:r>
      <w:r w:rsidR="000B7467" w:rsidRPr="00E8264A">
        <w:rPr>
          <w:rFonts w:asciiTheme="minorHAnsi" w:hAnsiTheme="minorHAnsi"/>
          <w:sz w:val="24"/>
          <w:szCs w:val="24"/>
        </w:rPr>
        <w:t>and the paediatric data on Lantus (section 11.1 of the CER).</w:t>
      </w:r>
    </w:p>
    <w:p w:rsidR="00600A1C" w:rsidRPr="00E8264A" w:rsidRDefault="00600A1C" w:rsidP="00600A1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This submission did not require further consideration by the Advisory Committee on Medicines (ACM).</w:t>
      </w:r>
    </w:p>
    <w:p w:rsidR="002B4C99" w:rsidRPr="00E8264A" w:rsidRDefault="002B4C99" w:rsidP="002B4C99">
      <w:pPr>
        <w:pStyle w:val="ListParagraph"/>
        <w:widowControl/>
        <w:numPr>
          <w:ilvl w:val="1"/>
          <w:numId w:val="14"/>
        </w:numPr>
        <w:spacing w:after="120"/>
        <w:contextualSpacing w:val="0"/>
        <w:rPr>
          <w:rFonts w:asciiTheme="minorHAnsi" w:hAnsiTheme="minorHAnsi"/>
          <w:sz w:val="24"/>
          <w:szCs w:val="24"/>
        </w:rPr>
      </w:pPr>
      <w:r w:rsidRPr="00E8264A">
        <w:rPr>
          <w:rFonts w:asciiTheme="minorHAnsi" w:hAnsiTheme="minorHAnsi"/>
          <w:sz w:val="24"/>
          <w:szCs w:val="24"/>
        </w:rPr>
        <w:t>The PBAC considered that the claim of non-inferior comparative effectiveness was reasonable.</w:t>
      </w:r>
    </w:p>
    <w:p w:rsidR="002B4C99" w:rsidRPr="00E8264A" w:rsidRDefault="002B4C99" w:rsidP="002B4C99">
      <w:pPr>
        <w:pStyle w:val="ListParagraph"/>
        <w:widowControl/>
        <w:numPr>
          <w:ilvl w:val="1"/>
          <w:numId w:val="14"/>
        </w:numPr>
        <w:spacing w:after="120"/>
        <w:contextualSpacing w:val="0"/>
        <w:rPr>
          <w:rFonts w:asciiTheme="minorHAnsi" w:hAnsiTheme="minorHAnsi"/>
          <w:sz w:val="24"/>
          <w:szCs w:val="24"/>
        </w:rPr>
      </w:pPr>
      <w:r w:rsidRPr="00E8264A">
        <w:rPr>
          <w:rFonts w:asciiTheme="minorHAnsi" w:hAnsiTheme="minorHAnsi"/>
          <w:sz w:val="24"/>
          <w:szCs w:val="24"/>
        </w:rPr>
        <w:lastRenderedPageBreak/>
        <w:t>The PBAC considered that the claim of non-inferior safety was reasonable.</w:t>
      </w:r>
    </w:p>
    <w:p w:rsidR="005A3173" w:rsidRPr="00E8264A" w:rsidRDefault="008B43B5" w:rsidP="008306F3">
      <w:pPr>
        <w:pStyle w:val="Heading2"/>
        <w:keepLines/>
        <w:spacing w:before="240" w:after="120"/>
        <w:rPr>
          <w:rFonts w:asciiTheme="minorHAnsi" w:eastAsiaTheme="majorEastAsia" w:hAnsiTheme="minorHAnsi" w:cstheme="majorBidi"/>
          <w:sz w:val="28"/>
          <w:szCs w:val="28"/>
          <w:lang w:eastAsia="en-US"/>
        </w:rPr>
      </w:pPr>
      <w:r w:rsidRPr="00E8264A">
        <w:rPr>
          <w:rFonts w:asciiTheme="minorHAnsi" w:eastAsiaTheme="majorEastAsia" w:hAnsiTheme="minorHAnsi" w:cstheme="majorBidi"/>
          <w:sz w:val="28"/>
          <w:szCs w:val="28"/>
          <w:lang w:eastAsia="en-US"/>
        </w:rPr>
        <w:t>F</w:t>
      </w:r>
      <w:r w:rsidR="005A3173" w:rsidRPr="00E8264A">
        <w:rPr>
          <w:rFonts w:asciiTheme="minorHAnsi" w:eastAsiaTheme="majorEastAsia" w:hAnsiTheme="minorHAnsi" w:cstheme="majorBidi"/>
          <w:sz w:val="28"/>
          <w:szCs w:val="28"/>
          <w:lang w:eastAsia="en-US"/>
        </w:rPr>
        <w:t>inancial implications</w:t>
      </w:r>
    </w:p>
    <w:p w:rsidR="00E94252" w:rsidRPr="00E8264A" w:rsidRDefault="009E716F" w:rsidP="003508B1">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If recommended, </w:t>
      </w:r>
      <w:r w:rsidR="00E8264A">
        <w:rPr>
          <w:rFonts w:asciiTheme="minorHAnsi" w:eastAsiaTheme="minorHAnsi" w:hAnsiTheme="minorHAnsi" w:cstheme="minorBidi"/>
          <w:snapToGrid/>
          <w:sz w:val="24"/>
          <w:szCs w:val="22"/>
        </w:rPr>
        <w:t xml:space="preserve">Semglee® </w:t>
      </w:r>
      <w:r w:rsidR="00591A45" w:rsidRPr="00E8264A">
        <w:rPr>
          <w:rFonts w:asciiTheme="minorHAnsi" w:eastAsiaTheme="minorHAnsi" w:hAnsiTheme="minorHAnsi" w:cstheme="minorBidi"/>
          <w:snapToGrid/>
          <w:sz w:val="24"/>
          <w:szCs w:val="22"/>
        </w:rPr>
        <w:t>would be the first biosimilar brand of insulin glargine to be listed on the PBS</w:t>
      </w:r>
      <w:r w:rsidRPr="00E8264A">
        <w:rPr>
          <w:rFonts w:asciiTheme="minorHAnsi" w:eastAsiaTheme="minorHAnsi" w:hAnsiTheme="minorHAnsi" w:cstheme="minorBidi"/>
          <w:snapToGrid/>
          <w:sz w:val="24"/>
          <w:szCs w:val="22"/>
        </w:rPr>
        <w:t>.</w:t>
      </w:r>
      <w:r w:rsidR="007104EE" w:rsidRPr="00E8264A">
        <w:rPr>
          <w:rFonts w:asciiTheme="minorHAnsi" w:eastAsiaTheme="minorHAnsi" w:hAnsiTheme="minorHAnsi" w:cstheme="minorBidi"/>
          <w:snapToGrid/>
          <w:sz w:val="24"/>
          <w:szCs w:val="22"/>
        </w:rPr>
        <w:t xml:space="preserve">  Under the latest amendments to the </w:t>
      </w:r>
      <w:r w:rsidR="007104EE" w:rsidRPr="005147F0">
        <w:rPr>
          <w:rFonts w:asciiTheme="minorHAnsi" w:eastAsiaTheme="minorHAnsi" w:hAnsiTheme="minorHAnsi" w:cstheme="minorBidi"/>
          <w:i/>
          <w:snapToGrid/>
          <w:sz w:val="24"/>
          <w:szCs w:val="22"/>
        </w:rPr>
        <w:t>National Health Act 1953</w:t>
      </w:r>
      <w:r w:rsidR="007104EE" w:rsidRPr="00E8264A">
        <w:rPr>
          <w:rFonts w:asciiTheme="minorHAnsi" w:eastAsiaTheme="minorHAnsi" w:hAnsiTheme="minorHAnsi" w:cstheme="minorBidi"/>
          <w:snapToGrid/>
          <w:sz w:val="24"/>
          <w:szCs w:val="22"/>
        </w:rPr>
        <w:t xml:space="preserve"> the maximum statutory reduction for first new brands of a pharmaceutical item from 1 October 2018 is 25%. </w:t>
      </w:r>
      <w:r w:rsidR="00591A45" w:rsidRPr="00E8264A">
        <w:rPr>
          <w:rFonts w:asciiTheme="minorHAnsi" w:eastAsiaTheme="minorHAnsi" w:hAnsiTheme="minorHAnsi" w:cstheme="minorBidi"/>
          <w:snapToGrid/>
          <w:sz w:val="24"/>
          <w:szCs w:val="22"/>
        </w:rPr>
        <w:t xml:space="preserve"> </w:t>
      </w:r>
    </w:p>
    <w:p w:rsidR="0028029C" w:rsidRPr="00105C57" w:rsidRDefault="0028029C" w:rsidP="003508B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05C57">
        <w:rPr>
          <w:rFonts w:asciiTheme="minorHAnsi" w:eastAsiaTheme="minorHAnsi" w:hAnsiTheme="minorHAnsi" w:cstheme="minorBidi"/>
          <w:snapToGrid/>
          <w:sz w:val="24"/>
          <w:szCs w:val="22"/>
        </w:rPr>
        <w:t xml:space="preserve">The Sponsor proposed an ex-manufacturer price for </w:t>
      </w:r>
      <w:r w:rsidR="00E8264A" w:rsidRPr="00105C57">
        <w:rPr>
          <w:rFonts w:asciiTheme="minorHAnsi" w:eastAsiaTheme="minorHAnsi" w:hAnsiTheme="minorHAnsi" w:cstheme="minorBidi"/>
          <w:snapToGrid/>
          <w:sz w:val="24"/>
          <w:szCs w:val="22"/>
        </w:rPr>
        <w:t xml:space="preserve">Semglee® </w:t>
      </w:r>
      <w:r w:rsidRPr="00105C57">
        <w:rPr>
          <w:rFonts w:asciiTheme="minorHAnsi" w:eastAsiaTheme="minorHAnsi" w:hAnsiTheme="minorHAnsi" w:cstheme="minorBidi"/>
          <w:snapToGrid/>
          <w:sz w:val="24"/>
          <w:szCs w:val="22"/>
        </w:rPr>
        <w:t>of 305.87, which is 25% lower than the price of Lantus</w:t>
      </w:r>
      <w:r w:rsidR="007104EE" w:rsidRPr="00105C57">
        <w:rPr>
          <w:rFonts w:asciiTheme="minorHAnsi" w:eastAsiaTheme="minorHAnsi" w:hAnsiTheme="minorHAnsi" w:cstheme="minorBidi"/>
          <w:snapToGrid/>
          <w:sz w:val="24"/>
          <w:szCs w:val="22"/>
        </w:rPr>
        <w:t xml:space="preserve"> at the time of submission</w:t>
      </w:r>
      <w:r w:rsidRPr="00105C57">
        <w:rPr>
          <w:rFonts w:asciiTheme="minorHAnsi" w:eastAsiaTheme="minorHAnsi" w:hAnsiTheme="minorHAnsi" w:cstheme="minorBidi"/>
          <w:snapToGrid/>
          <w:sz w:val="24"/>
          <w:szCs w:val="22"/>
        </w:rPr>
        <w:t xml:space="preserve"> ($360.75). The Secretariat note</w:t>
      </w:r>
      <w:r w:rsidR="00591E68" w:rsidRPr="00105C57">
        <w:rPr>
          <w:rFonts w:asciiTheme="minorHAnsi" w:eastAsiaTheme="minorHAnsi" w:hAnsiTheme="minorHAnsi" w:cstheme="minorBidi"/>
          <w:snapToGrid/>
          <w:sz w:val="24"/>
          <w:szCs w:val="22"/>
        </w:rPr>
        <w:t>d</w:t>
      </w:r>
      <w:r w:rsidRPr="00105C57">
        <w:rPr>
          <w:rFonts w:asciiTheme="minorHAnsi" w:eastAsiaTheme="minorHAnsi" w:hAnsiTheme="minorHAnsi" w:cstheme="minorBidi"/>
          <w:snapToGrid/>
          <w:sz w:val="24"/>
          <w:szCs w:val="22"/>
        </w:rPr>
        <w:t xml:space="preserve"> that a 25% price reduction to the published DPMQ of Lantus ($406.25) is $304.69.</w:t>
      </w:r>
      <w:r w:rsidR="00591E68" w:rsidRPr="00105C57">
        <w:rPr>
          <w:rFonts w:asciiTheme="minorHAnsi" w:eastAsiaTheme="minorHAnsi" w:hAnsiTheme="minorHAnsi" w:cstheme="minorBidi"/>
          <w:snapToGrid/>
          <w:sz w:val="24"/>
          <w:szCs w:val="22"/>
        </w:rPr>
        <w:t xml:space="preserve"> In its pre-PBAC response, the sponsor clarified that it wished to propose an ex-manufacturer price of $270.55, which is 25% lower than the price of Lantus </w:t>
      </w:r>
      <w:r w:rsidR="007104EE" w:rsidRPr="00105C57">
        <w:rPr>
          <w:rFonts w:asciiTheme="minorHAnsi" w:eastAsiaTheme="minorHAnsi" w:hAnsiTheme="minorHAnsi" w:cstheme="minorBidi"/>
          <w:snapToGrid/>
          <w:sz w:val="24"/>
          <w:szCs w:val="22"/>
        </w:rPr>
        <w:t xml:space="preserve">at the time of the submission </w:t>
      </w:r>
      <w:r w:rsidR="00591E68" w:rsidRPr="00105C57">
        <w:rPr>
          <w:rFonts w:asciiTheme="minorHAnsi" w:eastAsiaTheme="minorHAnsi" w:hAnsiTheme="minorHAnsi" w:cstheme="minorBidi"/>
          <w:snapToGrid/>
          <w:sz w:val="24"/>
          <w:szCs w:val="22"/>
        </w:rPr>
        <w:t xml:space="preserve">($360.75) and with standard fees and mark-ups results in a DPMQ for </w:t>
      </w:r>
      <w:r w:rsidR="00E8264A" w:rsidRPr="00105C57">
        <w:rPr>
          <w:rFonts w:asciiTheme="minorHAnsi" w:eastAsiaTheme="minorHAnsi" w:hAnsiTheme="minorHAnsi" w:cstheme="minorBidi"/>
          <w:snapToGrid/>
          <w:sz w:val="24"/>
          <w:szCs w:val="22"/>
        </w:rPr>
        <w:t xml:space="preserve">Semglee® </w:t>
      </w:r>
      <w:r w:rsidR="00591E68" w:rsidRPr="00105C57">
        <w:rPr>
          <w:rFonts w:asciiTheme="minorHAnsi" w:eastAsiaTheme="minorHAnsi" w:hAnsiTheme="minorHAnsi" w:cstheme="minorBidi"/>
          <w:snapToGrid/>
          <w:sz w:val="24"/>
          <w:szCs w:val="22"/>
        </w:rPr>
        <w:t>of $305.87.</w:t>
      </w:r>
    </w:p>
    <w:p w:rsidR="000C74FF" w:rsidRPr="00E8264A" w:rsidRDefault="009E716F" w:rsidP="003508B1">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w:t>
      </w:r>
      <w:r w:rsidR="00A076B3" w:rsidRPr="00E8264A">
        <w:rPr>
          <w:rFonts w:asciiTheme="minorHAnsi" w:eastAsiaTheme="minorHAnsi" w:hAnsiTheme="minorHAnsi" w:cstheme="minorBidi"/>
          <w:snapToGrid/>
          <w:sz w:val="24"/>
          <w:szCs w:val="22"/>
        </w:rPr>
        <w:t xml:space="preserve"> minor</w:t>
      </w:r>
      <w:r w:rsidRPr="00E8264A">
        <w:rPr>
          <w:rFonts w:asciiTheme="minorHAnsi" w:eastAsiaTheme="minorHAnsi" w:hAnsiTheme="minorHAnsi" w:cstheme="minorBidi"/>
          <w:snapToGrid/>
          <w:sz w:val="24"/>
          <w:szCs w:val="22"/>
        </w:rPr>
        <w:t xml:space="preserve"> submission</w:t>
      </w:r>
      <w:r w:rsidR="00A076B3" w:rsidRPr="00E8264A">
        <w:rPr>
          <w:rFonts w:asciiTheme="minorHAnsi" w:eastAsiaTheme="minorHAnsi" w:hAnsiTheme="minorHAnsi" w:cstheme="minorBidi"/>
          <w:snapToGrid/>
          <w:sz w:val="24"/>
          <w:szCs w:val="22"/>
        </w:rPr>
        <w:t xml:space="preserve"> estimated a </w:t>
      </w:r>
      <w:r w:rsidR="00A92B5F" w:rsidRPr="00E8264A">
        <w:rPr>
          <w:rFonts w:asciiTheme="minorHAnsi" w:eastAsiaTheme="minorHAnsi" w:hAnsiTheme="minorHAnsi" w:cstheme="minorBidi"/>
          <w:snapToGrid/>
          <w:sz w:val="24"/>
          <w:szCs w:val="22"/>
        </w:rPr>
        <w:t xml:space="preserve">net save to the PBS of </w:t>
      </w:r>
      <w:r w:rsidR="00AE164C">
        <w:rPr>
          <w:rFonts w:asciiTheme="minorHAnsi" w:eastAsiaTheme="minorHAnsi" w:hAnsiTheme="minorHAnsi" w:cstheme="minorBidi"/>
          <w:snapToGrid/>
          <w:sz w:val="24"/>
          <w:szCs w:val="22"/>
        </w:rPr>
        <w:t>$10 - $20 million</w:t>
      </w:r>
      <w:r w:rsidR="00A92B5F" w:rsidRPr="00E8264A">
        <w:rPr>
          <w:rFonts w:asciiTheme="minorHAnsi" w:eastAsiaTheme="minorHAnsi" w:hAnsiTheme="minorHAnsi" w:cstheme="minorBidi"/>
          <w:snapToGrid/>
          <w:sz w:val="24"/>
          <w:szCs w:val="22"/>
        </w:rPr>
        <w:t xml:space="preserve"> in Year 6 of listing with a </w:t>
      </w:r>
      <w:r w:rsidR="00A076B3" w:rsidRPr="00E8264A">
        <w:rPr>
          <w:rFonts w:asciiTheme="minorHAnsi" w:eastAsiaTheme="minorHAnsi" w:hAnsiTheme="minorHAnsi" w:cstheme="minorBidi"/>
          <w:snapToGrid/>
          <w:sz w:val="24"/>
          <w:szCs w:val="22"/>
        </w:rPr>
        <w:t xml:space="preserve">total net save to the PBS/RPBS of </w:t>
      </w:r>
      <w:r w:rsidR="00AE164C">
        <w:rPr>
          <w:rFonts w:asciiTheme="minorHAnsi" w:eastAsiaTheme="minorHAnsi" w:hAnsiTheme="minorHAnsi" w:cstheme="minorBidi"/>
          <w:snapToGrid/>
          <w:sz w:val="24"/>
          <w:szCs w:val="22"/>
        </w:rPr>
        <w:t>$30 - $60 million</w:t>
      </w:r>
      <w:r w:rsidR="00A92B5F" w:rsidRPr="00E8264A">
        <w:rPr>
          <w:rFonts w:asciiTheme="minorHAnsi" w:eastAsiaTheme="minorHAnsi" w:hAnsiTheme="minorHAnsi" w:cstheme="minorBidi"/>
          <w:snapToGrid/>
          <w:sz w:val="24"/>
          <w:szCs w:val="22"/>
        </w:rPr>
        <w:t xml:space="preserve"> over the first 6 years in listing. This is summarised in the </w:t>
      </w:r>
      <w:r w:rsidR="0037045A">
        <w:rPr>
          <w:rFonts w:asciiTheme="minorHAnsi" w:eastAsiaTheme="minorHAnsi" w:hAnsiTheme="minorHAnsi" w:cstheme="minorBidi"/>
          <w:snapToGrid/>
          <w:sz w:val="24"/>
          <w:szCs w:val="22"/>
        </w:rPr>
        <w:t xml:space="preserve">redacted </w:t>
      </w:r>
      <w:r w:rsidR="00A92B5F" w:rsidRPr="00E8264A">
        <w:rPr>
          <w:rFonts w:asciiTheme="minorHAnsi" w:eastAsiaTheme="minorHAnsi" w:hAnsiTheme="minorHAnsi" w:cstheme="minorBidi"/>
          <w:snapToGrid/>
          <w:sz w:val="24"/>
          <w:szCs w:val="22"/>
        </w:rPr>
        <w:t>table below.</w:t>
      </w:r>
    </w:p>
    <w:p w:rsidR="00A92B5F" w:rsidRPr="00611B1C" w:rsidRDefault="00A92B5F" w:rsidP="00611B1C">
      <w:pPr>
        <w:keepNext/>
        <w:jc w:val="both"/>
        <w:rPr>
          <w:rFonts w:ascii="Arial Narrow" w:hAnsi="Arial Narrow"/>
          <w:b/>
          <w:bCs/>
          <w:sz w:val="20"/>
          <w:szCs w:val="18"/>
          <w:lang w:eastAsia="en-US" w:bidi="en-US"/>
        </w:rPr>
      </w:pPr>
      <w:bookmarkStart w:id="0" w:name="_Ref499799828"/>
      <w:bookmarkStart w:id="1" w:name="_Ref499808266"/>
      <w:bookmarkStart w:id="2" w:name="_Toc501101492"/>
      <w:r w:rsidRPr="00611B1C">
        <w:rPr>
          <w:rFonts w:ascii="Arial Narrow" w:hAnsi="Arial Narrow"/>
          <w:b/>
          <w:bCs/>
          <w:sz w:val="20"/>
          <w:szCs w:val="18"/>
          <w:lang w:eastAsia="en-US" w:bidi="en-US"/>
        </w:rPr>
        <w:t xml:space="preserve">Table </w:t>
      </w:r>
      <w:bookmarkEnd w:id="0"/>
      <w:bookmarkEnd w:id="1"/>
      <w:r w:rsidR="00CB386C" w:rsidRPr="00611B1C">
        <w:rPr>
          <w:rFonts w:ascii="Arial Narrow" w:hAnsi="Arial Narrow"/>
          <w:b/>
          <w:bCs/>
          <w:sz w:val="20"/>
          <w:szCs w:val="18"/>
          <w:lang w:eastAsia="en-US" w:bidi="en-US"/>
        </w:rPr>
        <w:t>2</w:t>
      </w:r>
      <w:r w:rsidRPr="00611B1C">
        <w:rPr>
          <w:rFonts w:ascii="Arial Narrow" w:hAnsi="Arial Narrow"/>
          <w:b/>
          <w:bCs/>
          <w:sz w:val="20"/>
          <w:szCs w:val="18"/>
          <w:lang w:eastAsia="en-US" w:bidi="en-US"/>
        </w:rPr>
        <w:t>: Estimated net cost to the PBS/RPBS for Semglee</w:t>
      </w:r>
      <w:bookmarkEnd w:id="2"/>
    </w:p>
    <w:tbl>
      <w:tblPr>
        <w:tblStyle w:val="Submissionstandard91"/>
        <w:tblpPr w:leftFromText="180" w:rightFromText="180" w:vertAnchor="text" w:horzAnchor="margin" w:tblpY="33"/>
        <w:tblW w:w="5064" w:type="pct"/>
        <w:tblLayout w:type="fixed"/>
        <w:tblLook w:val="04A0" w:firstRow="1" w:lastRow="0" w:firstColumn="1" w:lastColumn="0" w:noHBand="0" w:noVBand="1"/>
        <w:tblCaption w:val="Table 2: Estimated net cost to the PBS/RPBS for Semglee"/>
      </w:tblPr>
      <w:tblGrid>
        <w:gridCol w:w="1371"/>
        <w:gridCol w:w="1335"/>
        <w:gridCol w:w="1335"/>
        <w:gridCol w:w="1335"/>
        <w:gridCol w:w="1335"/>
        <w:gridCol w:w="1335"/>
        <w:gridCol w:w="1314"/>
      </w:tblGrid>
      <w:tr w:rsidR="00CB386C" w:rsidRPr="00E8264A" w:rsidTr="003D3BBD">
        <w:trPr>
          <w:cnfStyle w:val="100000000000" w:firstRow="1" w:lastRow="0" w:firstColumn="0" w:lastColumn="0" w:oddVBand="0" w:evenVBand="0" w:oddHBand="0" w:evenHBand="0" w:firstRowFirstColumn="0" w:firstRowLastColumn="0" w:lastRowFirstColumn="0" w:lastRowLastColumn="0"/>
          <w:trHeight w:val="285"/>
          <w:tblHeader/>
        </w:trPr>
        <w:tc>
          <w:tcPr>
            <w:tcW w:w="733" w:type="pct"/>
            <w:shd w:val="clear" w:color="auto" w:fill="auto"/>
            <w:noWrap/>
            <w:hideMark/>
          </w:tcPr>
          <w:p w:rsidR="00CB386C" w:rsidRPr="00E8264A" w:rsidRDefault="00CB386C" w:rsidP="00611B1C">
            <w:pPr>
              <w:keepNext/>
              <w:rPr>
                <w:sz w:val="20"/>
                <w:szCs w:val="20"/>
                <w:lang w:val="en-AU"/>
              </w:rPr>
            </w:pPr>
            <w:r w:rsidRPr="00E8264A">
              <w:rPr>
                <w:sz w:val="20"/>
                <w:szCs w:val="20"/>
                <w:lang w:val="en-AU"/>
              </w:rPr>
              <w:t> </w:t>
            </w:r>
          </w:p>
        </w:tc>
        <w:tc>
          <w:tcPr>
            <w:tcW w:w="713" w:type="pct"/>
            <w:shd w:val="clear" w:color="auto" w:fill="auto"/>
            <w:noWrap/>
            <w:vAlign w:val="center"/>
            <w:hideMark/>
          </w:tcPr>
          <w:p w:rsidR="00CB386C" w:rsidRPr="00E8264A" w:rsidRDefault="00CB386C" w:rsidP="00611B1C">
            <w:pPr>
              <w:keepNext/>
              <w:jc w:val="center"/>
              <w:rPr>
                <w:sz w:val="20"/>
                <w:szCs w:val="20"/>
                <w:lang w:val="en-AU"/>
              </w:rPr>
            </w:pPr>
            <w:r w:rsidRPr="00E8264A">
              <w:rPr>
                <w:sz w:val="20"/>
                <w:szCs w:val="20"/>
                <w:lang w:val="en-AU"/>
              </w:rPr>
              <w:t>2018</w:t>
            </w:r>
          </w:p>
        </w:tc>
        <w:tc>
          <w:tcPr>
            <w:tcW w:w="713" w:type="pct"/>
            <w:shd w:val="clear" w:color="auto" w:fill="auto"/>
            <w:noWrap/>
            <w:vAlign w:val="center"/>
            <w:hideMark/>
          </w:tcPr>
          <w:p w:rsidR="00CB386C" w:rsidRPr="00E8264A" w:rsidRDefault="00CB386C" w:rsidP="00611B1C">
            <w:pPr>
              <w:keepNext/>
              <w:jc w:val="center"/>
              <w:rPr>
                <w:sz w:val="20"/>
                <w:szCs w:val="20"/>
                <w:lang w:val="en-AU"/>
              </w:rPr>
            </w:pPr>
            <w:r w:rsidRPr="00E8264A">
              <w:rPr>
                <w:sz w:val="20"/>
                <w:szCs w:val="20"/>
                <w:lang w:val="en-AU"/>
              </w:rPr>
              <w:t>2019</w:t>
            </w:r>
          </w:p>
        </w:tc>
        <w:tc>
          <w:tcPr>
            <w:tcW w:w="713" w:type="pct"/>
            <w:shd w:val="clear" w:color="auto" w:fill="auto"/>
            <w:noWrap/>
            <w:vAlign w:val="center"/>
            <w:hideMark/>
          </w:tcPr>
          <w:p w:rsidR="00CB386C" w:rsidRPr="00E8264A" w:rsidRDefault="00CB386C" w:rsidP="00611B1C">
            <w:pPr>
              <w:keepNext/>
              <w:jc w:val="center"/>
              <w:rPr>
                <w:sz w:val="20"/>
                <w:szCs w:val="20"/>
                <w:lang w:val="en-AU"/>
              </w:rPr>
            </w:pPr>
            <w:r w:rsidRPr="00E8264A">
              <w:rPr>
                <w:sz w:val="20"/>
                <w:szCs w:val="20"/>
                <w:lang w:val="en-AU"/>
              </w:rPr>
              <w:t>2020</w:t>
            </w:r>
          </w:p>
        </w:tc>
        <w:tc>
          <w:tcPr>
            <w:tcW w:w="713" w:type="pct"/>
            <w:shd w:val="clear" w:color="auto" w:fill="auto"/>
            <w:noWrap/>
            <w:vAlign w:val="center"/>
            <w:hideMark/>
          </w:tcPr>
          <w:p w:rsidR="00CB386C" w:rsidRPr="00E8264A" w:rsidRDefault="00CB386C" w:rsidP="00611B1C">
            <w:pPr>
              <w:keepNext/>
              <w:jc w:val="center"/>
              <w:rPr>
                <w:sz w:val="20"/>
                <w:szCs w:val="20"/>
                <w:lang w:val="en-AU"/>
              </w:rPr>
            </w:pPr>
            <w:r w:rsidRPr="00E8264A">
              <w:rPr>
                <w:sz w:val="20"/>
                <w:szCs w:val="20"/>
                <w:lang w:val="en-AU"/>
              </w:rPr>
              <w:t>2021</w:t>
            </w:r>
          </w:p>
        </w:tc>
        <w:tc>
          <w:tcPr>
            <w:tcW w:w="713" w:type="pct"/>
            <w:shd w:val="clear" w:color="auto" w:fill="auto"/>
            <w:noWrap/>
            <w:vAlign w:val="center"/>
            <w:hideMark/>
          </w:tcPr>
          <w:p w:rsidR="00CB386C" w:rsidRPr="00E8264A" w:rsidRDefault="00CB386C" w:rsidP="00611B1C">
            <w:pPr>
              <w:keepNext/>
              <w:jc w:val="center"/>
              <w:rPr>
                <w:sz w:val="20"/>
                <w:szCs w:val="20"/>
                <w:lang w:val="en-AU"/>
              </w:rPr>
            </w:pPr>
            <w:r w:rsidRPr="00E8264A">
              <w:rPr>
                <w:sz w:val="20"/>
                <w:szCs w:val="20"/>
                <w:lang w:val="en-AU"/>
              </w:rPr>
              <w:t>2022</w:t>
            </w:r>
          </w:p>
        </w:tc>
        <w:tc>
          <w:tcPr>
            <w:tcW w:w="702" w:type="pct"/>
            <w:shd w:val="clear" w:color="auto" w:fill="auto"/>
            <w:noWrap/>
            <w:vAlign w:val="center"/>
            <w:hideMark/>
          </w:tcPr>
          <w:p w:rsidR="00CB386C" w:rsidRPr="00E8264A" w:rsidRDefault="00CB386C" w:rsidP="00611B1C">
            <w:pPr>
              <w:keepNext/>
              <w:jc w:val="center"/>
              <w:rPr>
                <w:sz w:val="20"/>
                <w:szCs w:val="20"/>
                <w:lang w:val="en-AU"/>
              </w:rPr>
            </w:pPr>
            <w:r w:rsidRPr="00E8264A">
              <w:rPr>
                <w:sz w:val="20"/>
                <w:szCs w:val="20"/>
                <w:lang w:val="en-AU"/>
              </w:rPr>
              <w:t>2023</w:t>
            </w:r>
          </w:p>
        </w:tc>
      </w:tr>
      <w:tr w:rsidR="00CB386C" w:rsidRPr="00E8264A" w:rsidTr="00410966">
        <w:trPr>
          <w:trHeight w:val="285"/>
        </w:trPr>
        <w:tc>
          <w:tcPr>
            <w:tcW w:w="5000" w:type="pct"/>
            <w:gridSpan w:val="7"/>
            <w:shd w:val="clear" w:color="auto" w:fill="D9D9D9" w:themeFill="background1" w:themeFillShade="D9"/>
            <w:noWrap/>
            <w:vAlign w:val="center"/>
            <w:hideMark/>
          </w:tcPr>
          <w:p w:rsidR="00CB386C" w:rsidRPr="00E8264A" w:rsidRDefault="00CB386C" w:rsidP="00611B1C">
            <w:pPr>
              <w:keepNext/>
              <w:rPr>
                <w:b/>
                <w:sz w:val="20"/>
                <w:szCs w:val="20"/>
                <w:lang w:val="en-AU"/>
              </w:rPr>
            </w:pPr>
            <w:r w:rsidRPr="00E8264A">
              <w:rPr>
                <w:b/>
                <w:sz w:val="20"/>
                <w:szCs w:val="20"/>
                <w:lang w:val="en-AU"/>
              </w:rPr>
              <w:t>Projected net cost of new listing (Semglee)</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5000" w:type="pct"/>
            <w:gridSpan w:val="7"/>
            <w:shd w:val="clear" w:color="auto" w:fill="D9D9D9" w:themeFill="background1" w:themeFillShade="D9"/>
            <w:noWrap/>
            <w:vAlign w:val="center"/>
            <w:hideMark/>
          </w:tcPr>
          <w:p w:rsidR="00CB386C" w:rsidRPr="00E8264A" w:rsidRDefault="00CB386C" w:rsidP="00611B1C">
            <w:pPr>
              <w:keepNext/>
              <w:rPr>
                <w:b/>
                <w:sz w:val="20"/>
                <w:szCs w:val="20"/>
                <w:lang w:val="en-AU"/>
              </w:rPr>
            </w:pPr>
            <w:r w:rsidRPr="00E8264A">
              <w:rPr>
                <w:b/>
                <w:sz w:val="20"/>
                <w:szCs w:val="20"/>
                <w:lang w:val="en-AU"/>
              </w:rPr>
              <w:t>Projected net savings of displaced medicines (Lantus)</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5000" w:type="pct"/>
            <w:gridSpan w:val="7"/>
            <w:shd w:val="clear" w:color="auto" w:fill="B8CCE4" w:themeFill="accent1" w:themeFillTint="66"/>
            <w:noWrap/>
            <w:vAlign w:val="center"/>
            <w:hideMark/>
          </w:tcPr>
          <w:p w:rsidR="00CB386C" w:rsidRPr="00E8264A" w:rsidRDefault="00CB386C" w:rsidP="00611B1C">
            <w:pPr>
              <w:keepNext/>
              <w:rPr>
                <w:b/>
                <w:sz w:val="20"/>
                <w:szCs w:val="20"/>
                <w:lang w:val="en-AU"/>
              </w:rPr>
            </w:pPr>
            <w:r w:rsidRPr="00E8264A">
              <w:rPr>
                <w:b/>
                <w:sz w:val="20"/>
                <w:szCs w:val="20"/>
                <w:lang w:val="en-AU"/>
              </w:rPr>
              <w:t>Net cost to the PBS/RPBS</w:t>
            </w:r>
          </w:p>
        </w:tc>
      </w:tr>
      <w:tr w:rsidR="00CB386C" w:rsidRPr="00E8264A" w:rsidTr="00014F74">
        <w:trPr>
          <w:trHeight w:hRule="exact" w:val="304"/>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5000" w:type="pct"/>
            <w:gridSpan w:val="7"/>
            <w:shd w:val="clear" w:color="auto" w:fill="D9D9D9" w:themeFill="background1" w:themeFillShade="D9"/>
            <w:noWrap/>
            <w:vAlign w:val="center"/>
            <w:hideMark/>
          </w:tcPr>
          <w:p w:rsidR="00CB386C" w:rsidRPr="00E8264A" w:rsidRDefault="00CB386C" w:rsidP="00611B1C">
            <w:pPr>
              <w:keepNext/>
              <w:rPr>
                <w:b/>
                <w:sz w:val="20"/>
                <w:szCs w:val="20"/>
                <w:lang w:val="en-AU"/>
              </w:rPr>
            </w:pPr>
            <w:r w:rsidRPr="00E8264A">
              <w:rPr>
                <w:b/>
                <w:sz w:val="20"/>
                <w:szCs w:val="20"/>
                <w:lang w:val="en-AU"/>
              </w:rPr>
              <w:t xml:space="preserve">Projected net cost of Lantus not replaced with </w:t>
            </w:r>
            <w:r w:rsidR="00E8264A">
              <w:rPr>
                <w:b/>
                <w:sz w:val="20"/>
                <w:szCs w:val="20"/>
                <w:lang w:val="en-AU"/>
              </w:rPr>
              <w:t xml:space="preserve">Semglee® </w:t>
            </w:r>
            <w:r w:rsidRPr="00E8264A">
              <w:rPr>
                <w:b/>
                <w:sz w:val="20"/>
                <w:szCs w:val="20"/>
                <w:lang w:val="en-AU"/>
              </w:rPr>
              <w:t>(after 25% price cut)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5000" w:type="pct"/>
            <w:gridSpan w:val="7"/>
            <w:shd w:val="clear" w:color="auto" w:fill="B8CCE4" w:themeFill="accent1" w:themeFillTint="66"/>
            <w:noWrap/>
            <w:vAlign w:val="center"/>
            <w:hideMark/>
          </w:tcPr>
          <w:p w:rsidR="00CB386C" w:rsidRPr="00E8264A" w:rsidRDefault="00CB386C" w:rsidP="00611B1C">
            <w:pPr>
              <w:keepNext/>
              <w:rPr>
                <w:b/>
                <w:sz w:val="20"/>
                <w:szCs w:val="20"/>
                <w:lang w:val="en-AU"/>
              </w:rPr>
            </w:pPr>
            <w:r w:rsidRPr="00E8264A">
              <w:rPr>
                <w:b/>
                <w:sz w:val="20"/>
                <w:szCs w:val="20"/>
                <w:lang w:val="en-AU"/>
              </w:rPr>
              <w:t>Overall net cost to the PBS/RPBS</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sz w:val="20"/>
                <w:szCs w:val="20"/>
                <w:lang w:val="en-AU"/>
              </w:rPr>
            </w:pPr>
            <w:r w:rsidRPr="00E8264A">
              <w:rPr>
                <w:sz w:val="20"/>
                <w:szCs w:val="20"/>
                <w:lang w:val="en-AU"/>
              </w:rPr>
              <w:t>to RPBS</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13"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c>
          <w:tcPr>
            <w:tcW w:w="702" w:type="pct"/>
            <w:noWrap/>
            <w:hideMark/>
          </w:tcPr>
          <w:p w:rsidR="00CB386C" w:rsidRPr="00E8264A" w:rsidRDefault="00CB386C" w:rsidP="00611B1C">
            <w:pPr>
              <w:keepNext/>
              <w:jc w:val="center"/>
              <w:rPr>
                <w:sz w:val="20"/>
                <w:szCs w:val="20"/>
                <w:lang w:val="en-AU"/>
              </w:rPr>
            </w:pPr>
            <w:r w:rsidRPr="00E8264A">
              <w:rPr>
                <w:sz w:val="20"/>
                <w:szCs w:val="20"/>
                <w:lang w:val="en-AU"/>
              </w:rPr>
              <w:t>-$</w:t>
            </w:r>
            <w:r w:rsidR="006F4DE2">
              <w:rPr>
                <w:noProof/>
                <w:color w:val="000000"/>
                <w:sz w:val="20"/>
                <w:szCs w:val="20"/>
                <w:highlight w:val="black"/>
                <w:lang w:val="en-AU"/>
              </w:rPr>
              <w:t>''''''''''''''''''</w:t>
            </w:r>
          </w:p>
        </w:tc>
      </w:tr>
      <w:tr w:rsidR="00CB386C" w:rsidRPr="00E8264A" w:rsidTr="00410966">
        <w:trPr>
          <w:trHeight w:val="285"/>
        </w:trPr>
        <w:tc>
          <w:tcPr>
            <w:tcW w:w="733" w:type="pct"/>
            <w:noWrap/>
            <w:vAlign w:val="center"/>
            <w:hideMark/>
          </w:tcPr>
          <w:p w:rsidR="00CB386C" w:rsidRPr="00E8264A" w:rsidRDefault="00CB386C" w:rsidP="00611B1C">
            <w:pPr>
              <w:keepNext/>
              <w:rPr>
                <w:b/>
                <w:sz w:val="20"/>
                <w:szCs w:val="20"/>
                <w:lang w:val="en-AU"/>
              </w:rPr>
            </w:pPr>
            <w:r w:rsidRPr="00E8264A">
              <w:rPr>
                <w:b/>
                <w:sz w:val="20"/>
                <w:szCs w:val="20"/>
                <w:lang w:val="en-AU"/>
              </w:rPr>
              <w:t>to PBS/RPBS</w:t>
            </w:r>
          </w:p>
        </w:tc>
        <w:tc>
          <w:tcPr>
            <w:tcW w:w="713" w:type="pct"/>
            <w:noWrap/>
            <w:hideMark/>
          </w:tcPr>
          <w:p w:rsidR="00CB386C" w:rsidRPr="00E8264A" w:rsidRDefault="00CB386C" w:rsidP="00611B1C">
            <w:pPr>
              <w:keepNext/>
              <w:jc w:val="center"/>
              <w:rPr>
                <w:b/>
                <w:sz w:val="20"/>
                <w:szCs w:val="20"/>
                <w:lang w:val="en-AU"/>
              </w:rPr>
            </w:pPr>
            <w:r w:rsidRPr="00E8264A">
              <w:rPr>
                <w:b/>
                <w:sz w:val="20"/>
                <w:szCs w:val="20"/>
                <w:lang w:val="en-AU"/>
              </w:rPr>
              <w:t>-$</w:t>
            </w:r>
            <w:r w:rsidR="006F4DE2">
              <w:rPr>
                <w:b/>
                <w:noProof/>
                <w:color w:val="000000"/>
                <w:sz w:val="20"/>
                <w:szCs w:val="20"/>
                <w:highlight w:val="black"/>
                <w:lang w:val="en-AU"/>
              </w:rPr>
              <w:t>'''''''''''''''''''''</w:t>
            </w:r>
          </w:p>
        </w:tc>
        <w:tc>
          <w:tcPr>
            <w:tcW w:w="713" w:type="pct"/>
            <w:noWrap/>
            <w:hideMark/>
          </w:tcPr>
          <w:p w:rsidR="00CB386C" w:rsidRPr="00E8264A" w:rsidRDefault="00CB386C" w:rsidP="00611B1C">
            <w:pPr>
              <w:keepNext/>
              <w:jc w:val="center"/>
              <w:rPr>
                <w:b/>
                <w:sz w:val="20"/>
                <w:szCs w:val="20"/>
                <w:lang w:val="en-AU"/>
              </w:rPr>
            </w:pPr>
            <w:r w:rsidRPr="00E8264A">
              <w:rPr>
                <w:b/>
                <w:sz w:val="20"/>
                <w:szCs w:val="20"/>
                <w:lang w:val="en-AU"/>
              </w:rPr>
              <w:t>-$</w:t>
            </w:r>
            <w:r w:rsidR="006F4DE2">
              <w:rPr>
                <w:b/>
                <w:noProof/>
                <w:color w:val="000000"/>
                <w:sz w:val="20"/>
                <w:szCs w:val="20"/>
                <w:highlight w:val="black"/>
                <w:lang w:val="en-AU"/>
              </w:rPr>
              <w:t>''''''''''''''''''''</w:t>
            </w:r>
          </w:p>
        </w:tc>
        <w:tc>
          <w:tcPr>
            <w:tcW w:w="713" w:type="pct"/>
            <w:noWrap/>
            <w:hideMark/>
          </w:tcPr>
          <w:p w:rsidR="00CB386C" w:rsidRPr="00E8264A" w:rsidRDefault="00CB386C" w:rsidP="00611B1C">
            <w:pPr>
              <w:keepNext/>
              <w:jc w:val="center"/>
              <w:rPr>
                <w:b/>
                <w:sz w:val="20"/>
                <w:szCs w:val="20"/>
                <w:lang w:val="en-AU"/>
              </w:rPr>
            </w:pPr>
            <w:r w:rsidRPr="00E8264A">
              <w:rPr>
                <w:b/>
                <w:sz w:val="20"/>
                <w:szCs w:val="20"/>
                <w:lang w:val="en-AU"/>
              </w:rPr>
              <w:t>-$</w:t>
            </w:r>
            <w:r w:rsidR="006F4DE2">
              <w:rPr>
                <w:b/>
                <w:noProof/>
                <w:color w:val="000000"/>
                <w:sz w:val="20"/>
                <w:szCs w:val="20"/>
                <w:highlight w:val="black"/>
                <w:lang w:val="en-AU"/>
              </w:rPr>
              <w:t>'''''''''''''''''''''</w:t>
            </w:r>
          </w:p>
        </w:tc>
        <w:tc>
          <w:tcPr>
            <w:tcW w:w="713" w:type="pct"/>
            <w:noWrap/>
            <w:hideMark/>
          </w:tcPr>
          <w:p w:rsidR="00CB386C" w:rsidRPr="00E8264A" w:rsidRDefault="00CB386C" w:rsidP="00611B1C">
            <w:pPr>
              <w:keepNext/>
              <w:jc w:val="center"/>
              <w:rPr>
                <w:b/>
                <w:sz w:val="20"/>
                <w:szCs w:val="20"/>
                <w:lang w:val="en-AU"/>
              </w:rPr>
            </w:pPr>
            <w:r w:rsidRPr="00E8264A">
              <w:rPr>
                <w:b/>
                <w:sz w:val="20"/>
                <w:szCs w:val="20"/>
                <w:lang w:val="en-AU"/>
              </w:rPr>
              <w:t>-$</w:t>
            </w:r>
            <w:r w:rsidR="006F4DE2">
              <w:rPr>
                <w:b/>
                <w:noProof/>
                <w:color w:val="000000"/>
                <w:sz w:val="20"/>
                <w:szCs w:val="20"/>
                <w:highlight w:val="black"/>
                <w:lang w:val="en-AU"/>
              </w:rPr>
              <w:t>'''''''''''''''''''''''</w:t>
            </w:r>
          </w:p>
        </w:tc>
        <w:tc>
          <w:tcPr>
            <w:tcW w:w="713" w:type="pct"/>
            <w:noWrap/>
            <w:hideMark/>
          </w:tcPr>
          <w:p w:rsidR="00CB386C" w:rsidRPr="00E8264A" w:rsidRDefault="00CB386C" w:rsidP="00611B1C">
            <w:pPr>
              <w:keepNext/>
              <w:jc w:val="center"/>
              <w:rPr>
                <w:b/>
                <w:sz w:val="20"/>
                <w:szCs w:val="20"/>
                <w:lang w:val="en-AU"/>
              </w:rPr>
            </w:pPr>
            <w:r w:rsidRPr="00E8264A">
              <w:rPr>
                <w:b/>
                <w:sz w:val="20"/>
                <w:szCs w:val="20"/>
                <w:lang w:val="en-AU"/>
              </w:rPr>
              <w:t>-$</w:t>
            </w:r>
            <w:r w:rsidR="006F4DE2">
              <w:rPr>
                <w:b/>
                <w:noProof/>
                <w:color w:val="000000"/>
                <w:sz w:val="20"/>
                <w:szCs w:val="20"/>
                <w:highlight w:val="black"/>
                <w:lang w:val="en-AU"/>
              </w:rPr>
              <w:t>''''''''''''''''''''''</w:t>
            </w:r>
          </w:p>
        </w:tc>
        <w:tc>
          <w:tcPr>
            <w:tcW w:w="702" w:type="pct"/>
            <w:noWrap/>
            <w:hideMark/>
          </w:tcPr>
          <w:p w:rsidR="00CB386C" w:rsidRPr="00E8264A" w:rsidRDefault="00CB386C" w:rsidP="00611B1C">
            <w:pPr>
              <w:keepNext/>
              <w:jc w:val="center"/>
              <w:rPr>
                <w:b/>
                <w:sz w:val="20"/>
                <w:szCs w:val="20"/>
                <w:lang w:val="en-AU"/>
              </w:rPr>
            </w:pPr>
            <w:r w:rsidRPr="00E8264A">
              <w:rPr>
                <w:b/>
                <w:sz w:val="20"/>
                <w:szCs w:val="20"/>
                <w:lang w:val="en-AU"/>
              </w:rPr>
              <w:t>-$</w:t>
            </w:r>
            <w:r w:rsidR="006F4DE2">
              <w:rPr>
                <w:b/>
                <w:noProof/>
                <w:color w:val="000000"/>
                <w:sz w:val="20"/>
                <w:szCs w:val="20"/>
                <w:highlight w:val="black"/>
                <w:lang w:val="en-AU"/>
              </w:rPr>
              <w:t>'''''''''''''''''''''</w:t>
            </w:r>
          </w:p>
        </w:tc>
      </w:tr>
    </w:tbl>
    <w:p w:rsidR="0047746D" w:rsidRPr="00E8264A" w:rsidRDefault="00CB386C" w:rsidP="00CB386C">
      <w:pPr>
        <w:pStyle w:val="tablenotes"/>
        <w:spacing w:after="120"/>
        <w:rPr>
          <w:rFonts w:ascii="Arial Narrow" w:hAnsi="Arial Narrow"/>
          <w:sz w:val="18"/>
          <w:szCs w:val="18"/>
        </w:rPr>
      </w:pPr>
      <w:r w:rsidRPr="00E8264A">
        <w:rPr>
          <w:rFonts w:ascii="Arial Narrow" w:hAnsi="Arial Narrow"/>
          <w:sz w:val="18"/>
          <w:szCs w:val="18"/>
        </w:rPr>
        <w:t xml:space="preserve">Source: Minor submission, </w:t>
      </w:r>
      <w:proofErr w:type="spellStart"/>
      <w:r w:rsidRPr="00E8264A">
        <w:rPr>
          <w:rFonts w:ascii="Arial Narrow" w:hAnsi="Arial Narrow"/>
          <w:sz w:val="18"/>
          <w:szCs w:val="18"/>
        </w:rPr>
        <w:t>pg</w:t>
      </w:r>
      <w:proofErr w:type="spellEnd"/>
      <w:r w:rsidRPr="00E8264A">
        <w:rPr>
          <w:rFonts w:ascii="Arial Narrow" w:hAnsi="Arial Narrow"/>
          <w:sz w:val="18"/>
          <w:szCs w:val="18"/>
        </w:rPr>
        <w:t xml:space="preserve"> 50</w:t>
      </w:r>
    </w:p>
    <w:p w:rsidR="0047746D" w:rsidRPr="00E8264A" w:rsidRDefault="0047746D" w:rsidP="000C74FF">
      <w:pPr>
        <w:pStyle w:val="ListParagraph"/>
        <w:numPr>
          <w:ilvl w:val="1"/>
          <w:numId w:val="14"/>
        </w:numPr>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The sponsor acknowledge</w:t>
      </w:r>
      <w:r w:rsidR="00E94252" w:rsidRPr="00E8264A">
        <w:rPr>
          <w:rFonts w:asciiTheme="minorHAnsi" w:eastAsiaTheme="minorHAnsi" w:hAnsiTheme="minorHAnsi" w:cstheme="minorBidi"/>
          <w:snapToGrid/>
          <w:sz w:val="24"/>
          <w:szCs w:val="22"/>
        </w:rPr>
        <w:t>d</w:t>
      </w:r>
      <w:r w:rsidRPr="00E8264A">
        <w:rPr>
          <w:rFonts w:asciiTheme="minorHAnsi" w:eastAsiaTheme="minorHAnsi" w:hAnsiTheme="minorHAnsi" w:cstheme="minorBidi"/>
          <w:snapToGrid/>
          <w:sz w:val="24"/>
          <w:szCs w:val="22"/>
        </w:rPr>
        <w:t xml:space="preserve"> that </w:t>
      </w:r>
      <w:r w:rsidR="00DA3458" w:rsidRPr="00E8264A">
        <w:rPr>
          <w:rFonts w:asciiTheme="minorHAnsi" w:eastAsiaTheme="minorHAnsi" w:hAnsiTheme="minorHAnsi" w:cstheme="minorBidi"/>
          <w:snapToGrid/>
          <w:sz w:val="24"/>
          <w:szCs w:val="22"/>
        </w:rPr>
        <w:t>a</w:t>
      </w:r>
      <w:r w:rsidR="007104EE" w:rsidRPr="00E8264A">
        <w:rPr>
          <w:rFonts w:asciiTheme="minorHAnsi" w:eastAsiaTheme="minorHAnsi" w:hAnsiTheme="minorHAnsi" w:cstheme="minorBidi"/>
          <w:snapToGrid/>
          <w:sz w:val="24"/>
          <w:szCs w:val="22"/>
        </w:rPr>
        <w:t>t the time of the submission a</w:t>
      </w:r>
      <w:r w:rsidR="00DA3458" w:rsidRPr="00E8264A">
        <w:rPr>
          <w:rFonts w:asciiTheme="minorHAnsi" w:eastAsiaTheme="minorHAnsi" w:hAnsiTheme="minorHAnsi" w:cstheme="minorBidi"/>
          <w:snapToGrid/>
          <w:sz w:val="24"/>
          <w:szCs w:val="22"/>
        </w:rPr>
        <w:t xml:space="preserve"> special pricing </w:t>
      </w:r>
      <w:r w:rsidR="00DA3458" w:rsidRPr="00E8264A">
        <w:rPr>
          <w:rFonts w:asciiTheme="minorHAnsi" w:eastAsiaTheme="minorHAnsi" w:hAnsiTheme="minorHAnsi" w:cstheme="minorBidi"/>
          <w:snapToGrid/>
          <w:sz w:val="24"/>
          <w:szCs w:val="22"/>
        </w:rPr>
        <w:lastRenderedPageBreak/>
        <w:t>arrangement</w:t>
      </w:r>
      <w:r w:rsidR="007104EE" w:rsidRPr="00E8264A">
        <w:rPr>
          <w:rFonts w:asciiTheme="minorHAnsi" w:eastAsiaTheme="minorHAnsi" w:hAnsiTheme="minorHAnsi" w:cstheme="minorBidi"/>
          <w:snapToGrid/>
          <w:sz w:val="24"/>
          <w:szCs w:val="22"/>
        </w:rPr>
        <w:t xml:space="preserve"> applied</w:t>
      </w:r>
      <w:r w:rsidRPr="00E8264A">
        <w:rPr>
          <w:rFonts w:asciiTheme="minorHAnsi" w:eastAsiaTheme="minorHAnsi" w:hAnsiTheme="minorHAnsi" w:cstheme="minorBidi"/>
          <w:snapToGrid/>
          <w:sz w:val="24"/>
          <w:szCs w:val="22"/>
        </w:rPr>
        <w:t xml:space="preserve"> to Lantus, and </w:t>
      </w:r>
      <w:r w:rsidR="007104EE" w:rsidRPr="00E8264A">
        <w:rPr>
          <w:rFonts w:asciiTheme="minorHAnsi" w:eastAsiaTheme="minorHAnsi" w:hAnsiTheme="minorHAnsi" w:cstheme="minorBidi"/>
          <w:snapToGrid/>
          <w:sz w:val="24"/>
          <w:szCs w:val="22"/>
        </w:rPr>
        <w:t>using the effective price would</w:t>
      </w:r>
      <w:r w:rsidRPr="00E8264A">
        <w:rPr>
          <w:rFonts w:asciiTheme="minorHAnsi" w:eastAsiaTheme="minorHAnsi" w:hAnsiTheme="minorHAnsi" w:cstheme="minorBidi"/>
          <w:snapToGrid/>
          <w:sz w:val="24"/>
          <w:szCs w:val="22"/>
        </w:rPr>
        <w:t xml:space="preserve"> affect the forward estimates.</w:t>
      </w:r>
    </w:p>
    <w:p w:rsidR="005F2753" w:rsidRPr="00E8264A" w:rsidRDefault="005F2753" w:rsidP="004E5B75">
      <w:pPr>
        <w:rPr>
          <w:rFonts w:eastAsiaTheme="minorHAnsi"/>
        </w:rPr>
      </w:pPr>
    </w:p>
    <w:p w:rsidR="005F2753" w:rsidRPr="00E8264A" w:rsidRDefault="005F2753" w:rsidP="00BB3B26">
      <w:pPr>
        <w:pStyle w:val="PBACHeading1"/>
        <w:numPr>
          <w:ilvl w:val="0"/>
          <w:numId w:val="0"/>
        </w:numPr>
        <w:outlineLvl w:val="9"/>
        <w:rPr>
          <w:rFonts w:asciiTheme="minorHAnsi" w:hAnsiTheme="minorHAnsi"/>
          <w:b w:val="0"/>
          <w:i/>
          <w:sz w:val="24"/>
          <w:szCs w:val="24"/>
        </w:rPr>
      </w:pPr>
      <w:r w:rsidRPr="00E8264A">
        <w:rPr>
          <w:rFonts w:asciiTheme="minorHAnsi" w:hAnsiTheme="minorHAnsi"/>
          <w:b w:val="0"/>
          <w:i/>
          <w:sz w:val="24"/>
          <w:szCs w:val="24"/>
        </w:rPr>
        <w:t xml:space="preserve">For more detail on PBAC’s view, see section </w:t>
      </w:r>
      <w:r w:rsidR="005D0E8A" w:rsidRPr="00E8264A">
        <w:rPr>
          <w:rFonts w:asciiTheme="minorHAnsi" w:hAnsiTheme="minorHAnsi"/>
          <w:b w:val="0"/>
          <w:i/>
          <w:sz w:val="24"/>
          <w:szCs w:val="24"/>
        </w:rPr>
        <w:t>6</w:t>
      </w:r>
      <w:r w:rsidRPr="00E8264A">
        <w:rPr>
          <w:rFonts w:asciiTheme="minorHAnsi" w:hAnsiTheme="minorHAnsi"/>
          <w:b w:val="0"/>
          <w:i/>
          <w:sz w:val="24"/>
          <w:szCs w:val="24"/>
        </w:rPr>
        <w:t xml:space="preserve"> PBAC outcome.</w:t>
      </w:r>
    </w:p>
    <w:p w:rsidR="002B4C99" w:rsidRPr="00E8264A" w:rsidRDefault="002B4C99" w:rsidP="00BB3B26">
      <w:pPr>
        <w:pStyle w:val="Heading1"/>
        <w:keepNext/>
        <w:keepLines/>
        <w:widowControl/>
        <w:numPr>
          <w:ilvl w:val="0"/>
          <w:numId w:val="14"/>
        </w:numPr>
        <w:spacing w:before="240" w:after="120"/>
        <w:ind w:left="709" w:hanging="709"/>
        <w:contextualSpacing w:val="0"/>
        <w:jc w:val="left"/>
        <w:rPr>
          <w:rFonts w:asciiTheme="minorHAnsi" w:hAnsiTheme="minorHAnsi"/>
          <w:b w:val="0"/>
          <w:bCs/>
          <w:sz w:val="32"/>
        </w:rPr>
      </w:pPr>
      <w:r w:rsidRPr="00E8264A">
        <w:rPr>
          <w:rFonts w:asciiTheme="minorHAnsi" w:hAnsiTheme="minorHAnsi"/>
          <w:bCs/>
          <w:sz w:val="32"/>
        </w:rPr>
        <w:t>PBAC Outcome</w:t>
      </w:r>
    </w:p>
    <w:p w:rsidR="002B4C99" w:rsidRPr="00E8264A" w:rsidRDefault="00CD4ADF" w:rsidP="002B4C99">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The PBAC recommended</w:t>
      </w:r>
      <w:r w:rsidR="005A4BDD" w:rsidRPr="00E8264A">
        <w:rPr>
          <w:rFonts w:asciiTheme="minorHAnsi" w:hAnsiTheme="minorHAnsi" w:cs="Arial"/>
          <w:bCs/>
          <w:snapToGrid w:val="0"/>
        </w:rPr>
        <w:t xml:space="preserve"> listing the biosimilar brand of insulin glargine (Semglee) on the General Schedule (Section 85) as an unrestricted benefit.</w:t>
      </w:r>
    </w:p>
    <w:p w:rsidR="00E463B1" w:rsidRPr="00E8264A" w:rsidRDefault="00E47554" w:rsidP="002B4C99">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In making this recommendation, t</w:t>
      </w:r>
      <w:r w:rsidR="00E463B1" w:rsidRPr="00E8264A">
        <w:rPr>
          <w:rFonts w:asciiTheme="minorHAnsi" w:hAnsiTheme="minorHAnsi" w:cs="Arial"/>
          <w:bCs/>
          <w:snapToGrid w:val="0"/>
        </w:rPr>
        <w:t xml:space="preserve">he PBAC noted the TGA CER on </w:t>
      </w:r>
      <w:r w:rsidR="00E8264A">
        <w:rPr>
          <w:rFonts w:asciiTheme="minorHAnsi" w:hAnsiTheme="minorHAnsi" w:cs="Arial"/>
          <w:bCs/>
          <w:snapToGrid w:val="0"/>
        </w:rPr>
        <w:t xml:space="preserve">Semglee® </w:t>
      </w:r>
      <w:r w:rsidR="00E463B1" w:rsidRPr="00E8264A">
        <w:rPr>
          <w:rFonts w:asciiTheme="minorHAnsi" w:hAnsiTheme="minorHAnsi" w:cs="Arial"/>
          <w:bCs/>
          <w:snapToGrid w:val="0"/>
        </w:rPr>
        <w:t>concluded that</w:t>
      </w:r>
      <w:r w:rsidR="00993635" w:rsidRPr="00E8264A">
        <w:rPr>
          <w:rFonts w:asciiTheme="minorHAnsi" w:hAnsiTheme="minorHAnsi" w:cs="Arial"/>
          <w:bCs/>
          <w:snapToGrid w:val="0"/>
        </w:rPr>
        <w:t xml:space="preserve"> the TGA was satisfied that </w:t>
      </w:r>
      <w:r w:rsidR="00E8264A">
        <w:rPr>
          <w:rFonts w:asciiTheme="minorHAnsi" w:hAnsiTheme="minorHAnsi" w:cs="Arial"/>
          <w:bCs/>
          <w:snapToGrid w:val="0"/>
        </w:rPr>
        <w:t xml:space="preserve">Semglee® </w:t>
      </w:r>
      <w:r w:rsidR="00E463B1" w:rsidRPr="00E8264A">
        <w:rPr>
          <w:rFonts w:asciiTheme="minorHAnsi" w:hAnsiTheme="minorHAnsi" w:cs="Arial"/>
          <w:bCs/>
          <w:snapToGrid w:val="0"/>
        </w:rPr>
        <w:t xml:space="preserve">was bioequivalent to the </w:t>
      </w:r>
      <w:r w:rsidRPr="00E8264A">
        <w:rPr>
          <w:rFonts w:asciiTheme="minorHAnsi" w:hAnsiTheme="minorHAnsi" w:cs="Arial"/>
          <w:bCs/>
          <w:snapToGrid w:val="0"/>
        </w:rPr>
        <w:t xml:space="preserve">reference product, </w:t>
      </w:r>
      <w:r w:rsidR="00E463B1" w:rsidRPr="00E8264A">
        <w:rPr>
          <w:rFonts w:asciiTheme="minorHAnsi" w:hAnsiTheme="minorHAnsi" w:cs="Arial"/>
          <w:bCs/>
          <w:snapToGrid w:val="0"/>
        </w:rPr>
        <w:t>Lantus and was non-inferior in terms of both efficacy and safety.</w:t>
      </w:r>
    </w:p>
    <w:p w:rsidR="004D548A" w:rsidRPr="00E8264A" w:rsidRDefault="004D548A" w:rsidP="0027694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E8264A">
        <w:rPr>
          <w:rFonts w:asciiTheme="minorHAnsi" w:eastAsiaTheme="minorHAnsi" w:hAnsiTheme="minorHAnsi" w:cstheme="minorBidi"/>
          <w:snapToGrid/>
          <w:sz w:val="24"/>
          <w:szCs w:val="22"/>
        </w:rPr>
        <w:t xml:space="preserve">The PBAC </w:t>
      </w:r>
      <w:r w:rsidR="00E47554" w:rsidRPr="00E8264A">
        <w:rPr>
          <w:rFonts w:asciiTheme="minorHAnsi" w:eastAsiaTheme="minorHAnsi" w:hAnsiTheme="minorHAnsi" w:cstheme="minorBidi"/>
          <w:snapToGrid/>
          <w:sz w:val="24"/>
          <w:szCs w:val="22"/>
        </w:rPr>
        <w:t xml:space="preserve">advised </w:t>
      </w:r>
      <w:r w:rsidRPr="00E8264A">
        <w:rPr>
          <w:rFonts w:asciiTheme="minorHAnsi" w:eastAsiaTheme="minorHAnsi" w:hAnsiTheme="minorHAnsi" w:cstheme="minorBidi"/>
          <w:snapToGrid/>
          <w:sz w:val="24"/>
          <w:szCs w:val="22"/>
        </w:rPr>
        <w:t xml:space="preserve">that, under Section 101(4AACD) of the </w:t>
      </w:r>
      <w:r w:rsidRPr="005147F0">
        <w:rPr>
          <w:rFonts w:asciiTheme="minorHAnsi" w:eastAsiaTheme="minorHAnsi" w:hAnsiTheme="minorHAnsi" w:cstheme="minorBidi"/>
          <w:i/>
          <w:snapToGrid/>
          <w:sz w:val="24"/>
          <w:szCs w:val="22"/>
        </w:rPr>
        <w:t>National Health Act 1953</w:t>
      </w:r>
      <w:r w:rsidR="00935B69" w:rsidRPr="00E8264A">
        <w:rPr>
          <w:rFonts w:asciiTheme="minorHAnsi" w:eastAsiaTheme="minorHAnsi" w:hAnsiTheme="minorHAnsi" w:cstheme="minorBidi"/>
          <w:snapToGrid/>
          <w:sz w:val="24"/>
          <w:szCs w:val="22"/>
        </w:rPr>
        <w:t>,</w:t>
      </w:r>
      <w:r w:rsidRPr="00E8264A">
        <w:rPr>
          <w:rFonts w:asciiTheme="minorHAnsi" w:eastAsiaTheme="minorHAnsi" w:hAnsiTheme="minorHAnsi" w:cstheme="minorBidi"/>
          <w:snapToGrid/>
          <w:sz w:val="24"/>
          <w:szCs w:val="22"/>
        </w:rPr>
        <w:t xml:space="preserve"> </w:t>
      </w:r>
      <w:r w:rsidR="00935B69" w:rsidRPr="00E8264A">
        <w:rPr>
          <w:rFonts w:asciiTheme="minorHAnsi" w:eastAsiaTheme="minorHAnsi" w:hAnsiTheme="minorHAnsi" w:cstheme="minorBidi"/>
          <w:snapToGrid/>
          <w:sz w:val="24"/>
          <w:szCs w:val="22"/>
        </w:rPr>
        <w:t xml:space="preserve">the </w:t>
      </w:r>
      <w:r w:rsidR="00E8264A">
        <w:rPr>
          <w:rFonts w:asciiTheme="minorHAnsi" w:eastAsiaTheme="minorHAnsi" w:hAnsiTheme="minorHAnsi" w:cstheme="minorBidi"/>
          <w:snapToGrid/>
          <w:sz w:val="24"/>
          <w:szCs w:val="22"/>
        </w:rPr>
        <w:t xml:space="preserve">Semglee® </w:t>
      </w:r>
      <w:r w:rsidRPr="00E8264A">
        <w:rPr>
          <w:rFonts w:asciiTheme="minorHAnsi" w:eastAsiaTheme="minorHAnsi" w:hAnsiTheme="minorHAnsi" w:cstheme="minorBidi"/>
          <w:snapToGrid/>
          <w:sz w:val="24"/>
          <w:szCs w:val="22"/>
        </w:rPr>
        <w:t>and Lantus</w:t>
      </w:r>
      <w:r w:rsidR="0027694E" w:rsidRPr="00E8264A">
        <w:rPr>
          <w:rFonts w:asciiTheme="minorHAnsi" w:eastAsiaTheme="minorHAnsi" w:hAnsiTheme="minorHAnsi" w:cstheme="minorBidi"/>
          <w:snapToGrid/>
          <w:sz w:val="24"/>
          <w:szCs w:val="22"/>
        </w:rPr>
        <w:t xml:space="preserve"> </w:t>
      </w:r>
      <w:proofErr w:type="spellStart"/>
      <w:r w:rsidR="0027694E" w:rsidRPr="00E8264A">
        <w:rPr>
          <w:rFonts w:asciiTheme="minorHAnsi" w:eastAsiaTheme="minorHAnsi" w:hAnsiTheme="minorHAnsi" w:cstheme="minorBidi"/>
          <w:snapToGrid/>
          <w:sz w:val="24"/>
          <w:szCs w:val="22"/>
        </w:rPr>
        <w:t>Solostar</w:t>
      </w:r>
      <w:proofErr w:type="spellEnd"/>
      <w:r w:rsidRPr="00E8264A">
        <w:rPr>
          <w:rFonts w:asciiTheme="minorHAnsi" w:eastAsiaTheme="minorHAnsi" w:hAnsiTheme="minorHAnsi" w:cstheme="minorBidi"/>
          <w:snapToGrid/>
          <w:sz w:val="24"/>
          <w:szCs w:val="22"/>
        </w:rPr>
        <w:t xml:space="preserve"> brands of insulin glargine </w:t>
      </w:r>
      <w:r w:rsidR="0027694E" w:rsidRPr="00E8264A">
        <w:rPr>
          <w:rFonts w:asciiTheme="minorHAnsi" w:eastAsiaTheme="minorHAnsi" w:hAnsiTheme="minorHAnsi" w:cstheme="minorBidi"/>
          <w:snapToGrid/>
          <w:sz w:val="24"/>
          <w:szCs w:val="22"/>
        </w:rPr>
        <w:t xml:space="preserve">Injections (human analogue), cartridges, </w:t>
      </w:r>
      <w:r w:rsidRPr="00E8264A">
        <w:rPr>
          <w:rFonts w:asciiTheme="minorHAnsi" w:eastAsiaTheme="minorHAnsi" w:hAnsiTheme="minorHAnsi" w:cstheme="minorBidi"/>
          <w:snapToGrid/>
          <w:sz w:val="24"/>
          <w:szCs w:val="22"/>
        </w:rPr>
        <w:t>could be marked as equivalent in the Schedule of Pharmaceutical Benefits</w:t>
      </w:r>
      <w:r w:rsidR="00E47554" w:rsidRPr="00E8264A">
        <w:rPr>
          <w:rFonts w:asciiTheme="minorHAnsi" w:eastAsiaTheme="minorHAnsi" w:hAnsiTheme="minorHAnsi" w:cstheme="minorBidi"/>
          <w:snapToGrid/>
          <w:sz w:val="24"/>
          <w:szCs w:val="22"/>
        </w:rPr>
        <w:t xml:space="preserve"> for the purposes of substitution at the pharmacy level</w:t>
      </w:r>
      <w:r w:rsidRPr="00E8264A">
        <w:rPr>
          <w:rFonts w:asciiTheme="minorHAnsi" w:eastAsiaTheme="minorHAnsi" w:hAnsiTheme="minorHAnsi" w:cstheme="minorBidi"/>
          <w:snapToGrid/>
          <w:sz w:val="24"/>
          <w:szCs w:val="22"/>
        </w:rPr>
        <w:t>.</w:t>
      </w:r>
    </w:p>
    <w:p w:rsidR="00600A1C" w:rsidRPr="005147F0" w:rsidRDefault="004B7B23" w:rsidP="004D548A">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E8264A">
        <w:rPr>
          <w:rFonts w:asciiTheme="minorHAnsi" w:hAnsiTheme="minorHAnsi" w:cstheme="minorHAnsi"/>
          <w:color w:val="000000"/>
          <w:sz w:val="24"/>
          <w:szCs w:val="24"/>
        </w:rPr>
        <w:t xml:space="preserve">The PBAC considered that </w:t>
      </w:r>
      <w:r w:rsidR="00E8264A">
        <w:rPr>
          <w:rFonts w:asciiTheme="minorHAnsi" w:hAnsiTheme="minorHAnsi" w:cstheme="minorHAnsi"/>
          <w:color w:val="000000"/>
          <w:sz w:val="24"/>
          <w:szCs w:val="24"/>
        </w:rPr>
        <w:t xml:space="preserve">health care professionals could safely manage </w:t>
      </w:r>
      <w:r w:rsidRPr="00E8264A">
        <w:rPr>
          <w:rFonts w:asciiTheme="minorHAnsi" w:hAnsiTheme="minorHAnsi" w:cstheme="minorHAnsi"/>
          <w:color w:val="000000"/>
          <w:sz w:val="24"/>
          <w:szCs w:val="24"/>
        </w:rPr>
        <w:t xml:space="preserve">any differences in the devices in the course of regular patient education and counselling </w:t>
      </w:r>
      <w:r w:rsidR="00E8264A">
        <w:rPr>
          <w:rFonts w:asciiTheme="minorHAnsi" w:hAnsiTheme="minorHAnsi" w:cstheme="minorHAnsi"/>
          <w:color w:val="000000"/>
          <w:sz w:val="24"/>
          <w:szCs w:val="24"/>
        </w:rPr>
        <w:t xml:space="preserve">they </w:t>
      </w:r>
      <w:r w:rsidRPr="00E8264A">
        <w:rPr>
          <w:rFonts w:asciiTheme="minorHAnsi" w:hAnsiTheme="minorHAnsi" w:cstheme="minorHAnsi"/>
          <w:color w:val="000000"/>
          <w:sz w:val="24"/>
          <w:szCs w:val="24"/>
        </w:rPr>
        <w:t>provide on the use of devices.</w:t>
      </w:r>
    </w:p>
    <w:p w:rsidR="0027694E" w:rsidRPr="00E8264A" w:rsidRDefault="0027694E" w:rsidP="004D548A">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E8264A">
        <w:rPr>
          <w:rFonts w:asciiTheme="minorHAnsi" w:hAnsiTheme="minorHAnsi" w:cstheme="minorHAnsi"/>
          <w:color w:val="000000"/>
          <w:sz w:val="24"/>
          <w:szCs w:val="24"/>
        </w:rPr>
        <w:t xml:space="preserve">The PBAC noted that the Special Pricing Arrangement for Lantus and Lantus </w:t>
      </w:r>
      <w:proofErr w:type="spellStart"/>
      <w:r w:rsidRPr="00E8264A">
        <w:rPr>
          <w:rFonts w:asciiTheme="minorHAnsi" w:hAnsiTheme="minorHAnsi" w:cstheme="minorHAnsi"/>
          <w:color w:val="000000"/>
          <w:sz w:val="24"/>
          <w:szCs w:val="24"/>
        </w:rPr>
        <w:t>Solostar</w:t>
      </w:r>
      <w:proofErr w:type="spellEnd"/>
      <w:r w:rsidRPr="00E8264A">
        <w:rPr>
          <w:rFonts w:asciiTheme="minorHAnsi" w:hAnsiTheme="minorHAnsi" w:cstheme="minorHAnsi"/>
          <w:color w:val="000000"/>
          <w:sz w:val="24"/>
          <w:szCs w:val="24"/>
        </w:rPr>
        <w:t xml:space="preserve"> was removed from 1 June 2018, and the current price in the Schedule of Pharmaceutical Products for these brands of insulin glargine is $240.29 DPMQ ($</w:t>
      </w:r>
      <w:r w:rsidRPr="008E2EE9">
        <w:rPr>
          <w:rFonts w:asciiTheme="minorHAnsi" w:hAnsiTheme="minorHAnsi" w:cstheme="minorHAnsi"/>
          <w:color w:val="000000"/>
          <w:sz w:val="24"/>
          <w:szCs w:val="24"/>
        </w:rPr>
        <w:t>211.40</w:t>
      </w:r>
      <w:r w:rsidRPr="00E8264A">
        <w:rPr>
          <w:rFonts w:asciiTheme="minorHAnsi" w:hAnsiTheme="minorHAnsi" w:cstheme="minorHAnsi"/>
          <w:color w:val="000000"/>
          <w:sz w:val="24"/>
          <w:szCs w:val="24"/>
        </w:rPr>
        <w:t xml:space="preserve"> ex-man).  For the savings to be realised as presented in the submission, the reduction proposed by the sponsor would need to be calculated from this price.</w:t>
      </w:r>
    </w:p>
    <w:p w:rsidR="002B4C99" w:rsidRPr="00E8264A" w:rsidRDefault="002B4C99" w:rsidP="00FF3B77">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 xml:space="preserve">The PBAC </w:t>
      </w:r>
      <w:r w:rsidR="004B7B23" w:rsidRPr="00E8264A">
        <w:rPr>
          <w:rFonts w:asciiTheme="minorHAnsi" w:hAnsiTheme="minorHAnsi" w:cs="Arial"/>
          <w:bCs/>
          <w:snapToGrid w:val="0"/>
          <w:lang w:eastAsia="en-US"/>
        </w:rPr>
        <w:t>advised that there are no clinical or other concerns about appropriate use of medicines, if the policy decision were made to apply the</w:t>
      </w:r>
      <w:r w:rsidR="00FF3B77" w:rsidRPr="00E8264A">
        <w:rPr>
          <w:rFonts w:asciiTheme="minorHAnsi" w:hAnsiTheme="minorHAnsi" w:cs="Arial"/>
          <w:bCs/>
          <w:snapToGrid w:val="0"/>
        </w:rPr>
        <w:t xml:space="preserve"> following uptake driver to the proposed indication:</w:t>
      </w:r>
    </w:p>
    <w:p w:rsidR="00FF3B77" w:rsidRPr="00E8264A" w:rsidRDefault="00FF3B77" w:rsidP="00BB3B26">
      <w:pPr>
        <w:pStyle w:val="ListParagraph"/>
        <w:widowControl/>
        <w:numPr>
          <w:ilvl w:val="1"/>
          <w:numId w:val="21"/>
        </w:numPr>
        <w:spacing w:after="120"/>
        <w:ind w:left="1077" w:hanging="357"/>
        <w:contextualSpacing w:val="0"/>
        <w:rPr>
          <w:rFonts w:asciiTheme="minorHAnsi" w:hAnsiTheme="minorHAnsi"/>
          <w:b/>
          <w:bCs/>
          <w:sz w:val="24"/>
          <w:szCs w:val="24"/>
          <w:lang w:eastAsia="en-AU"/>
        </w:rPr>
      </w:pPr>
      <w:r w:rsidRPr="00E8264A">
        <w:rPr>
          <w:rFonts w:asciiTheme="minorHAnsi" w:hAnsiTheme="minorHAnsi"/>
          <w:bCs/>
          <w:sz w:val="24"/>
          <w:szCs w:val="24"/>
          <w:lang w:eastAsia="en-AU"/>
        </w:rPr>
        <w:t>Encouraging the prescribing of a biosimilar brand for treatment naïve patients.</w:t>
      </w:r>
    </w:p>
    <w:p w:rsidR="00FF3B77" w:rsidRPr="00E8264A" w:rsidRDefault="00FF3B77" w:rsidP="00BB3B26">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 xml:space="preserve">The PBAC noted that the following uptake driver was not appropriate, as </w:t>
      </w:r>
      <w:r w:rsidR="004B7B23" w:rsidRPr="00E8264A">
        <w:rPr>
          <w:rFonts w:asciiTheme="minorHAnsi" w:hAnsiTheme="minorHAnsi" w:cs="Arial"/>
          <w:bCs/>
          <w:snapToGrid w:val="0"/>
        </w:rPr>
        <w:t>the reference product</w:t>
      </w:r>
      <w:r w:rsidRPr="00E8264A">
        <w:rPr>
          <w:rFonts w:asciiTheme="minorHAnsi" w:hAnsiTheme="minorHAnsi" w:cs="Arial"/>
          <w:bCs/>
          <w:snapToGrid w:val="0"/>
        </w:rPr>
        <w:t xml:space="preserve"> is </w:t>
      </w:r>
      <w:r w:rsidR="004B7B23" w:rsidRPr="00E8264A">
        <w:rPr>
          <w:rFonts w:asciiTheme="minorHAnsi" w:hAnsiTheme="minorHAnsi" w:cs="Arial"/>
          <w:bCs/>
          <w:snapToGrid w:val="0"/>
        </w:rPr>
        <w:t xml:space="preserve">currently </w:t>
      </w:r>
      <w:r w:rsidRPr="00E8264A">
        <w:rPr>
          <w:rFonts w:asciiTheme="minorHAnsi" w:hAnsiTheme="minorHAnsi" w:cs="Arial"/>
          <w:bCs/>
          <w:snapToGrid w:val="0"/>
        </w:rPr>
        <w:t>an unrestricted benefit.</w:t>
      </w:r>
    </w:p>
    <w:p w:rsidR="00FF3B77" w:rsidRPr="00E8264A" w:rsidRDefault="00FF3B77" w:rsidP="00BB3B26">
      <w:pPr>
        <w:pStyle w:val="ListParagraph"/>
        <w:widowControl/>
        <w:numPr>
          <w:ilvl w:val="1"/>
          <w:numId w:val="21"/>
        </w:numPr>
        <w:spacing w:after="120"/>
        <w:ind w:left="1077" w:hanging="357"/>
        <w:contextualSpacing w:val="0"/>
        <w:rPr>
          <w:rFonts w:asciiTheme="minorHAnsi" w:hAnsiTheme="minorHAnsi"/>
          <w:b/>
          <w:bCs/>
          <w:sz w:val="24"/>
          <w:szCs w:val="24"/>
          <w:lang w:eastAsia="en-AU"/>
        </w:rPr>
      </w:pPr>
      <w:r w:rsidRPr="00E8264A">
        <w:rPr>
          <w:rFonts w:asciiTheme="minorHAnsi" w:hAnsiTheme="minorHAnsi"/>
          <w:bCs/>
          <w:sz w:val="24"/>
          <w:szCs w:val="24"/>
          <w:lang w:eastAsia="en-AU"/>
        </w:rPr>
        <w:t>Applying a lower level of authority to biosimilar brand(s) than e</w:t>
      </w:r>
      <w:r w:rsidR="004D548A" w:rsidRPr="00E8264A">
        <w:rPr>
          <w:rFonts w:asciiTheme="minorHAnsi" w:hAnsiTheme="minorHAnsi"/>
          <w:bCs/>
          <w:sz w:val="24"/>
          <w:szCs w:val="24"/>
          <w:lang w:eastAsia="en-AU"/>
        </w:rPr>
        <w:t>x</w:t>
      </w:r>
      <w:r w:rsidRPr="00E8264A">
        <w:rPr>
          <w:rFonts w:asciiTheme="minorHAnsi" w:hAnsiTheme="minorHAnsi"/>
          <w:bCs/>
          <w:sz w:val="24"/>
          <w:szCs w:val="24"/>
          <w:lang w:eastAsia="en-AU"/>
        </w:rPr>
        <w:t>ists for the reference brand of biological medicines.</w:t>
      </w:r>
    </w:p>
    <w:p w:rsidR="006E0203" w:rsidRPr="00E8264A" w:rsidRDefault="006E0203" w:rsidP="006E0203">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The PBAC considered that the Australian Government</w:t>
      </w:r>
      <w:r w:rsidR="004B65B9" w:rsidRPr="00E8264A">
        <w:rPr>
          <w:rFonts w:asciiTheme="minorHAnsi" w:hAnsiTheme="minorHAnsi" w:cs="Arial"/>
          <w:bCs/>
          <w:snapToGrid w:val="0"/>
        </w:rPr>
        <w:t xml:space="preserve"> be requested, through the</w:t>
      </w:r>
      <w:r w:rsidRPr="00E8264A">
        <w:rPr>
          <w:rFonts w:asciiTheme="minorHAnsi" w:hAnsiTheme="minorHAnsi" w:cs="Arial"/>
          <w:bCs/>
          <w:snapToGrid w:val="0"/>
        </w:rPr>
        <w:t xml:space="preserve"> Biosimilar </w:t>
      </w:r>
      <w:r w:rsidR="004B65B9" w:rsidRPr="00E8264A">
        <w:rPr>
          <w:rFonts w:asciiTheme="minorHAnsi" w:hAnsiTheme="minorHAnsi" w:cs="Arial"/>
          <w:bCs/>
          <w:snapToGrid w:val="0"/>
        </w:rPr>
        <w:t>Education Grant,</w:t>
      </w:r>
      <w:r w:rsidRPr="00E8264A">
        <w:rPr>
          <w:rFonts w:asciiTheme="minorHAnsi" w:hAnsiTheme="minorHAnsi" w:cs="Arial"/>
          <w:bCs/>
          <w:snapToGrid w:val="0"/>
        </w:rPr>
        <w:t xml:space="preserve"> to support the PBS listing of the first </w:t>
      </w:r>
      <w:r w:rsidR="00D87894" w:rsidRPr="00E8264A">
        <w:rPr>
          <w:rFonts w:asciiTheme="minorHAnsi" w:hAnsiTheme="minorHAnsi" w:cs="Arial"/>
          <w:bCs/>
          <w:snapToGrid w:val="0"/>
        </w:rPr>
        <w:t>insulin</w:t>
      </w:r>
      <w:r w:rsidRPr="00E8264A">
        <w:rPr>
          <w:rFonts w:asciiTheme="minorHAnsi" w:hAnsiTheme="minorHAnsi" w:cs="Arial"/>
          <w:bCs/>
          <w:snapToGrid w:val="0"/>
        </w:rPr>
        <w:t xml:space="preserve"> biosimilar in the </w:t>
      </w:r>
      <w:r w:rsidR="00D87894" w:rsidRPr="00E8264A">
        <w:rPr>
          <w:rFonts w:asciiTheme="minorHAnsi" w:hAnsiTheme="minorHAnsi" w:cs="Arial"/>
          <w:bCs/>
          <w:snapToGrid w:val="0"/>
        </w:rPr>
        <w:t>diabetic</w:t>
      </w:r>
      <w:r w:rsidRPr="00E8264A">
        <w:rPr>
          <w:rFonts w:asciiTheme="minorHAnsi" w:hAnsiTheme="minorHAnsi" w:cs="Arial"/>
          <w:bCs/>
          <w:snapToGrid w:val="0"/>
        </w:rPr>
        <w:t xml:space="preserve"> setting via the development of </w:t>
      </w:r>
      <w:r w:rsidR="00D87894" w:rsidRPr="00E8264A">
        <w:rPr>
          <w:rFonts w:asciiTheme="minorHAnsi" w:hAnsiTheme="minorHAnsi" w:cs="Arial"/>
          <w:bCs/>
          <w:snapToGrid w:val="0"/>
        </w:rPr>
        <w:t>educational materials</w:t>
      </w:r>
      <w:r w:rsidRPr="00E8264A">
        <w:rPr>
          <w:rFonts w:asciiTheme="minorHAnsi" w:hAnsiTheme="minorHAnsi" w:cs="Arial"/>
          <w:bCs/>
          <w:snapToGrid w:val="0"/>
        </w:rPr>
        <w:t xml:space="preserve"> aimed at consumers</w:t>
      </w:r>
      <w:r w:rsidR="00D87894" w:rsidRPr="00E8264A">
        <w:rPr>
          <w:rFonts w:asciiTheme="minorHAnsi" w:hAnsiTheme="minorHAnsi" w:cs="Arial"/>
          <w:bCs/>
          <w:snapToGrid w:val="0"/>
        </w:rPr>
        <w:t xml:space="preserve"> and health care professionals.</w:t>
      </w:r>
    </w:p>
    <w:p w:rsidR="002B4C99" w:rsidRPr="00E8264A" w:rsidRDefault="002B4C99" w:rsidP="00FF3B77">
      <w:pPr>
        <w:widowControl w:val="0"/>
        <w:numPr>
          <w:ilvl w:val="1"/>
          <w:numId w:val="5"/>
        </w:numPr>
        <w:spacing w:after="120"/>
        <w:jc w:val="both"/>
        <w:rPr>
          <w:rFonts w:asciiTheme="minorHAnsi" w:hAnsiTheme="minorHAnsi" w:cs="Arial"/>
          <w:bCs/>
          <w:snapToGrid w:val="0"/>
        </w:rPr>
      </w:pPr>
      <w:r w:rsidRPr="00E8264A">
        <w:rPr>
          <w:rFonts w:asciiTheme="minorHAnsi" w:hAnsiTheme="minorHAnsi" w:cs="Arial"/>
          <w:bCs/>
          <w:snapToGrid w:val="0"/>
        </w:rPr>
        <w:t>The PBAC noted that this submission is not eligible for an Independent Review</w:t>
      </w:r>
      <w:r w:rsidR="00517FE0" w:rsidRPr="00E8264A">
        <w:rPr>
          <w:rFonts w:asciiTheme="minorHAnsi" w:hAnsiTheme="minorHAnsi" w:cs="Arial"/>
          <w:bCs/>
          <w:snapToGrid w:val="0"/>
        </w:rPr>
        <w:t xml:space="preserve"> as it received a positive recommendation</w:t>
      </w:r>
      <w:r w:rsidRPr="00E8264A">
        <w:rPr>
          <w:rFonts w:asciiTheme="minorHAnsi" w:hAnsiTheme="minorHAnsi" w:cs="Arial"/>
          <w:bCs/>
          <w:snapToGrid w:val="0"/>
        </w:rPr>
        <w:t xml:space="preserve">. </w:t>
      </w:r>
    </w:p>
    <w:p w:rsidR="00FF7F10" w:rsidRDefault="00FF7F10">
      <w:pPr>
        <w:rPr>
          <w:rFonts w:asciiTheme="minorHAnsi" w:hAnsiTheme="minorHAnsi" w:cs="Arial"/>
          <w:b/>
          <w:bCs/>
          <w:snapToGrid w:val="0"/>
        </w:rPr>
      </w:pPr>
      <w:r>
        <w:rPr>
          <w:rFonts w:asciiTheme="minorHAnsi" w:hAnsiTheme="minorHAnsi" w:cs="Arial"/>
          <w:b/>
          <w:bCs/>
          <w:snapToGrid w:val="0"/>
        </w:rPr>
        <w:br w:type="page"/>
      </w:r>
    </w:p>
    <w:p w:rsidR="002B4C99" w:rsidRPr="00E8264A" w:rsidRDefault="002B4C99" w:rsidP="002B4C99">
      <w:pPr>
        <w:spacing w:before="240"/>
        <w:jc w:val="both"/>
        <w:rPr>
          <w:rFonts w:asciiTheme="minorHAnsi" w:hAnsiTheme="minorHAnsi" w:cs="Arial"/>
          <w:b/>
          <w:bCs/>
          <w:snapToGrid w:val="0"/>
        </w:rPr>
      </w:pPr>
      <w:r w:rsidRPr="00E8264A">
        <w:rPr>
          <w:rFonts w:asciiTheme="minorHAnsi" w:hAnsiTheme="minorHAnsi" w:cs="Arial"/>
          <w:b/>
          <w:bCs/>
          <w:snapToGrid w:val="0"/>
        </w:rPr>
        <w:lastRenderedPageBreak/>
        <w:t>Outcome:</w:t>
      </w:r>
    </w:p>
    <w:p w:rsidR="002B4C99" w:rsidRPr="00E8264A" w:rsidRDefault="002B4C99" w:rsidP="002B4C99">
      <w:pPr>
        <w:jc w:val="both"/>
        <w:rPr>
          <w:rFonts w:asciiTheme="minorHAnsi" w:hAnsiTheme="minorHAnsi" w:cs="Arial"/>
          <w:bCs/>
          <w:snapToGrid w:val="0"/>
        </w:rPr>
      </w:pPr>
      <w:r w:rsidRPr="00E8264A">
        <w:rPr>
          <w:rFonts w:asciiTheme="minorHAnsi" w:hAnsiTheme="minorHAnsi" w:cs="Arial"/>
          <w:bCs/>
          <w:snapToGrid w:val="0"/>
        </w:rPr>
        <w:t xml:space="preserve">Recommended </w:t>
      </w:r>
    </w:p>
    <w:p w:rsidR="002B4C99" w:rsidRPr="00E8264A" w:rsidRDefault="002B4C99" w:rsidP="002B4C99">
      <w:pPr>
        <w:widowControl w:val="0"/>
        <w:jc w:val="both"/>
        <w:rPr>
          <w:rFonts w:asciiTheme="minorHAnsi" w:hAnsiTheme="minorHAnsi" w:cs="Arial"/>
          <w:b/>
          <w:bCs/>
          <w:snapToGrid w:val="0"/>
        </w:rPr>
      </w:pPr>
    </w:p>
    <w:p w:rsidR="002B4C99" w:rsidRPr="00E8264A" w:rsidRDefault="002B4C99" w:rsidP="00BB3B26">
      <w:pPr>
        <w:pStyle w:val="Heading1"/>
        <w:keepNext/>
        <w:keepLines/>
        <w:widowControl/>
        <w:numPr>
          <w:ilvl w:val="0"/>
          <w:numId w:val="14"/>
        </w:numPr>
        <w:spacing w:before="240" w:after="120"/>
        <w:ind w:left="709" w:hanging="709"/>
        <w:contextualSpacing w:val="0"/>
        <w:jc w:val="left"/>
        <w:rPr>
          <w:rFonts w:asciiTheme="minorHAnsi" w:hAnsiTheme="minorHAnsi"/>
          <w:b w:val="0"/>
          <w:bCs/>
          <w:i/>
          <w:sz w:val="32"/>
        </w:rPr>
      </w:pPr>
      <w:r w:rsidRPr="00E8264A">
        <w:rPr>
          <w:rFonts w:asciiTheme="minorHAnsi" w:hAnsiTheme="minorHAnsi"/>
          <w:bCs/>
          <w:sz w:val="32"/>
        </w:rPr>
        <w:t>Recommended listing</w:t>
      </w:r>
    </w:p>
    <w:p w:rsidR="002B4C99" w:rsidRPr="00E8264A" w:rsidRDefault="00611B1C" w:rsidP="00E87F79">
      <w:pPr>
        <w:widowControl w:val="0"/>
        <w:jc w:val="both"/>
        <w:rPr>
          <w:rFonts w:asciiTheme="minorHAnsi" w:hAnsiTheme="minorHAnsi" w:cs="Arial"/>
          <w:bCs/>
          <w:snapToGrid w:val="0"/>
        </w:rPr>
      </w:pPr>
      <w:r>
        <w:rPr>
          <w:rFonts w:asciiTheme="minorHAnsi" w:hAnsiTheme="minorHAnsi" w:cs="Arial"/>
          <w:bCs/>
          <w:snapToGrid w:val="0"/>
        </w:rPr>
        <w:t>7.1</w:t>
      </w:r>
      <w:r>
        <w:rPr>
          <w:rFonts w:asciiTheme="minorHAnsi" w:hAnsiTheme="minorHAnsi" w:cs="Arial"/>
          <w:bCs/>
          <w:snapToGrid w:val="0"/>
        </w:rPr>
        <w:tab/>
      </w:r>
      <w:r w:rsidR="002B4C99" w:rsidRPr="00E8264A">
        <w:rPr>
          <w:rFonts w:asciiTheme="minorHAnsi" w:hAnsiTheme="minorHAnsi" w:cs="Arial"/>
          <w:bCs/>
          <w:snapToGrid w:val="0"/>
        </w:rPr>
        <w:t>Add new item:</w:t>
      </w:r>
    </w:p>
    <w:p w:rsidR="002B4C99" w:rsidRPr="00E8264A" w:rsidRDefault="002B4C99" w:rsidP="002B4C99">
      <w:pPr>
        <w:pStyle w:val="NoSpacing"/>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ed listing "/>
      </w:tblPr>
      <w:tblGrid>
        <w:gridCol w:w="4150"/>
        <w:gridCol w:w="1580"/>
        <w:gridCol w:w="1331"/>
        <w:gridCol w:w="2181"/>
      </w:tblGrid>
      <w:tr w:rsidR="00EA28BE" w:rsidRPr="00E8264A" w:rsidTr="003D3BBD">
        <w:trPr>
          <w:trHeight w:val="277"/>
          <w:tblHeader/>
          <w:jc w:val="center"/>
        </w:trPr>
        <w:tc>
          <w:tcPr>
            <w:tcW w:w="2245" w:type="pct"/>
            <w:tcBorders>
              <w:left w:val="nil"/>
              <w:right w:val="nil"/>
            </w:tcBorders>
            <w:shd w:val="clear" w:color="auto" w:fill="auto"/>
          </w:tcPr>
          <w:p w:rsidR="00EA28BE" w:rsidRPr="00E8264A" w:rsidRDefault="00EA28BE" w:rsidP="00C8718C">
            <w:pPr>
              <w:pStyle w:val="TableLeft"/>
              <w:keepNext/>
              <w:jc w:val="left"/>
              <w:rPr>
                <w:rFonts w:ascii="Arial Narrow" w:hAnsi="Arial Narrow"/>
                <w:b/>
                <w:lang w:val="en-AU"/>
              </w:rPr>
            </w:pPr>
            <w:r w:rsidRPr="00E8264A">
              <w:rPr>
                <w:rFonts w:ascii="Arial Narrow" w:hAnsi="Arial Narrow"/>
                <w:b/>
                <w:lang w:val="en-AU"/>
              </w:rPr>
              <w:t>Name, restriction, manner of administration, form</w:t>
            </w:r>
          </w:p>
        </w:tc>
        <w:tc>
          <w:tcPr>
            <w:tcW w:w="855" w:type="pct"/>
            <w:tcBorders>
              <w:left w:val="nil"/>
              <w:right w:val="nil"/>
            </w:tcBorders>
            <w:shd w:val="clear" w:color="auto" w:fill="auto"/>
          </w:tcPr>
          <w:p w:rsidR="00EA28BE" w:rsidRPr="00E8264A" w:rsidRDefault="00EA28BE" w:rsidP="00C8718C">
            <w:pPr>
              <w:pStyle w:val="TableCentre"/>
              <w:rPr>
                <w:rFonts w:ascii="Arial Narrow" w:hAnsi="Arial Narrow"/>
                <w:b/>
                <w:lang w:val="en-AU"/>
              </w:rPr>
            </w:pPr>
            <w:r w:rsidRPr="00E8264A">
              <w:rPr>
                <w:rFonts w:ascii="Arial Narrow" w:hAnsi="Arial Narrow"/>
                <w:b/>
                <w:lang w:val="en-AU"/>
              </w:rPr>
              <w:t>Maximum quantity (units)</w:t>
            </w:r>
          </w:p>
        </w:tc>
        <w:tc>
          <w:tcPr>
            <w:tcW w:w="720" w:type="pct"/>
            <w:tcBorders>
              <w:left w:val="nil"/>
              <w:right w:val="nil"/>
            </w:tcBorders>
            <w:shd w:val="clear" w:color="auto" w:fill="auto"/>
          </w:tcPr>
          <w:p w:rsidR="00EA28BE" w:rsidRPr="00E8264A" w:rsidRDefault="00EA28BE" w:rsidP="00C8718C">
            <w:pPr>
              <w:pStyle w:val="TableCentre"/>
              <w:rPr>
                <w:rFonts w:ascii="Arial Narrow" w:hAnsi="Arial Narrow"/>
                <w:b/>
                <w:lang w:val="en-AU"/>
              </w:rPr>
            </w:pPr>
            <w:r w:rsidRPr="00E8264A">
              <w:rPr>
                <w:rFonts w:ascii="Arial Narrow" w:hAnsi="Arial Narrow"/>
                <w:b/>
                <w:lang w:val="en-AU"/>
              </w:rPr>
              <w:t>No. of repeats</w:t>
            </w:r>
          </w:p>
        </w:tc>
        <w:tc>
          <w:tcPr>
            <w:tcW w:w="1180" w:type="pct"/>
            <w:tcBorders>
              <w:left w:val="nil"/>
              <w:right w:val="nil"/>
            </w:tcBorders>
            <w:shd w:val="clear" w:color="auto" w:fill="auto"/>
          </w:tcPr>
          <w:p w:rsidR="00EA28BE" w:rsidRPr="00E8264A" w:rsidRDefault="00EA28BE" w:rsidP="00C8718C">
            <w:pPr>
              <w:pStyle w:val="TableCentre"/>
              <w:rPr>
                <w:rFonts w:ascii="Arial Narrow" w:hAnsi="Arial Narrow"/>
                <w:b/>
                <w:lang w:val="en-AU"/>
              </w:rPr>
            </w:pPr>
            <w:r w:rsidRPr="00E8264A">
              <w:rPr>
                <w:rFonts w:ascii="Arial Narrow" w:hAnsi="Arial Narrow"/>
                <w:b/>
                <w:lang w:val="en-AU"/>
              </w:rPr>
              <w:t>Proprietary name and manufacturer</w:t>
            </w:r>
          </w:p>
        </w:tc>
      </w:tr>
      <w:tr w:rsidR="00EA28BE" w:rsidRPr="00E8264A" w:rsidTr="00611B1C">
        <w:trPr>
          <w:trHeight w:val="525"/>
          <w:jc w:val="center"/>
        </w:trPr>
        <w:tc>
          <w:tcPr>
            <w:tcW w:w="2245" w:type="pct"/>
            <w:tcBorders>
              <w:left w:val="nil"/>
              <w:right w:val="nil"/>
            </w:tcBorders>
          </w:tcPr>
          <w:p w:rsidR="00EA28BE" w:rsidRPr="00E8264A" w:rsidRDefault="00EA28BE" w:rsidP="00C8718C">
            <w:pPr>
              <w:pStyle w:val="TableLeft"/>
              <w:keepNext/>
              <w:jc w:val="left"/>
              <w:rPr>
                <w:rFonts w:ascii="Arial Narrow" w:hAnsi="Arial Narrow"/>
                <w:lang w:val="en-AU"/>
              </w:rPr>
            </w:pPr>
            <w:r w:rsidRPr="00E8264A">
              <w:rPr>
                <w:rFonts w:ascii="Arial Narrow" w:hAnsi="Arial Narrow"/>
                <w:lang w:val="en-AU"/>
              </w:rPr>
              <w:t>INSULIN GLARGINE</w:t>
            </w:r>
          </w:p>
          <w:p w:rsidR="00611B1C" w:rsidRPr="00BB3B26" w:rsidRDefault="00EA28BE" w:rsidP="00C8718C">
            <w:pPr>
              <w:pStyle w:val="TableLeft"/>
              <w:keepNext/>
              <w:jc w:val="left"/>
              <w:rPr>
                <w:rFonts w:ascii="Arial Narrow" w:hAnsi="Arial Narrow"/>
                <w:lang w:val="en-AU"/>
              </w:rPr>
            </w:pPr>
            <w:r w:rsidRPr="00E8264A">
              <w:rPr>
                <w:rFonts w:ascii="Arial Narrow" w:hAnsi="Arial Narrow"/>
                <w:lang w:val="en-AU"/>
              </w:rPr>
              <w:t>insulin glargine 100 units/mL injection, 5 x 3 mL cartridges</w:t>
            </w:r>
          </w:p>
        </w:tc>
        <w:tc>
          <w:tcPr>
            <w:tcW w:w="855" w:type="pct"/>
            <w:tcBorders>
              <w:left w:val="nil"/>
              <w:right w:val="nil"/>
            </w:tcBorders>
          </w:tcPr>
          <w:p w:rsidR="00EA28BE" w:rsidRPr="00E8264A" w:rsidRDefault="00EA28BE" w:rsidP="00C8718C">
            <w:pPr>
              <w:pStyle w:val="TableCentre"/>
              <w:rPr>
                <w:rFonts w:ascii="Arial Narrow" w:hAnsi="Arial Narrow"/>
                <w:lang w:val="en-AU"/>
              </w:rPr>
            </w:pPr>
            <w:r w:rsidRPr="00E8264A">
              <w:rPr>
                <w:rFonts w:ascii="Arial Narrow" w:hAnsi="Arial Narrow"/>
                <w:lang w:val="en-AU"/>
              </w:rPr>
              <w:t>5</w:t>
            </w:r>
          </w:p>
        </w:tc>
        <w:tc>
          <w:tcPr>
            <w:tcW w:w="720" w:type="pct"/>
            <w:tcBorders>
              <w:left w:val="nil"/>
              <w:right w:val="nil"/>
            </w:tcBorders>
          </w:tcPr>
          <w:p w:rsidR="00EA28BE" w:rsidRPr="00E8264A" w:rsidRDefault="00EA28BE" w:rsidP="00C8718C">
            <w:pPr>
              <w:pStyle w:val="TableCentre"/>
              <w:rPr>
                <w:rFonts w:ascii="Arial Narrow" w:hAnsi="Arial Narrow"/>
                <w:lang w:val="en-AU"/>
              </w:rPr>
            </w:pPr>
            <w:r w:rsidRPr="00E8264A">
              <w:rPr>
                <w:rFonts w:ascii="Arial Narrow" w:hAnsi="Arial Narrow"/>
                <w:lang w:val="en-AU"/>
              </w:rPr>
              <w:t>1</w:t>
            </w:r>
          </w:p>
        </w:tc>
        <w:tc>
          <w:tcPr>
            <w:tcW w:w="1180" w:type="pct"/>
            <w:tcBorders>
              <w:left w:val="nil"/>
              <w:right w:val="nil"/>
            </w:tcBorders>
          </w:tcPr>
          <w:p w:rsidR="00EA28BE" w:rsidRPr="00E8264A" w:rsidRDefault="00EA28BE" w:rsidP="00C8718C">
            <w:pPr>
              <w:pStyle w:val="TableCentre"/>
              <w:rPr>
                <w:rFonts w:ascii="Arial Narrow" w:hAnsi="Arial Narrow"/>
                <w:lang w:val="en-AU"/>
              </w:rPr>
            </w:pPr>
            <w:r w:rsidRPr="00E8264A">
              <w:rPr>
                <w:rFonts w:ascii="Arial Narrow" w:hAnsi="Arial Narrow"/>
                <w:lang w:val="en-AU"/>
              </w:rPr>
              <w:t xml:space="preserve">Semglee, Alphapharm Pty Ltd </w:t>
            </w:r>
          </w:p>
        </w:tc>
      </w:tr>
      <w:tr w:rsidR="00EA28BE" w:rsidRPr="00E8264A" w:rsidTr="00EA28BE">
        <w:trPr>
          <w:jc w:val="center"/>
        </w:trPr>
        <w:tc>
          <w:tcPr>
            <w:tcW w:w="2245" w:type="pct"/>
          </w:tcPr>
          <w:p w:rsidR="00EA28BE" w:rsidRPr="00E8264A" w:rsidRDefault="00EA28BE" w:rsidP="00C8718C">
            <w:pPr>
              <w:pStyle w:val="TableLeft"/>
              <w:keepNext/>
              <w:jc w:val="left"/>
              <w:rPr>
                <w:rFonts w:ascii="Arial Narrow" w:hAnsi="Arial Narrow"/>
                <w:b/>
                <w:lang w:val="en-AU"/>
              </w:rPr>
            </w:pPr>
            <w:r w:rsidRPr="00E8264A">
              <w:rPr>
                <w:rFonts w:ascii="Arial Narrow" w:hAnsi="Arial Narrow"/>
                <w:b/>
                <w:lang w:val="en-AU"/>
              </w:rPr>
              <w:t>Administrative Advice</w:t>
            </w:r>
          </w:p>
        </w:tc>
        <w:tc>
          <w:tcPr>
            <w:tcW w:w="2755" w:type="pct"/>
            <w:gridSpan w:val="3"/>
          </w:tcPr>
          <w:p w:rsidR="00EA28BE" w:rsidRPr="00E8264A" w:rsidRDefault="00EA28BE" w:rsidP="00EA28BE">
            <w:pPr>
              <w:rPr>
                <w:rFonts w:ascii="Arial Narrow" w:hAnsi="Arial Narrow"/>
                <w:b/>
                <w:sz w:val="20"/>
                <w:szCs w:val="20"/>
                <w:lang w:val="en-AU"/>
              </w:rPr>
            </w:pPr>
            <w:r w:rsidRPr="00E8264A">
              <w:rPr>
                <w:rFonts w:ascii="Arial Narrow" w:hAnsi="Arial Narrow"/>
                <w:b/>
                <w:sz w:val="20"/>
                <w:szCs w:val="20"/>
                <w:lang w:val="en-AU"/>
              </w:rPr>
              <w:t>Note</w:t>
            </w:r>
          </w:p>
          <w:p w:rsidR="00EA28BE" w:rsidRPr="00E8264A" w:rsidRDefault="00EA28BE" w:rsidP="00EA28BE">
            <w:pPr>
              <w:rPr>
                <w:rFonts w:ascii="Arial Narrow" w:hAnsi="Arial Narrow"/>
                <w:b/>
                <w:sz w:val="20"/>
                <w:szCs w:val="20"/>
                <w:lang w:val="en-AU"/>
              </w:rPr>
            </w:pPr>
            <w:r w:rsidRPr="00E8264A">
              <w:rPr>
                <w:rFonts w:ascii="Arial Narrow" w:hAnsi="Arial Narrow"/>
                <w:b/>
                <w:sz w:val="20"/>
                <w:szCs w:val="20"/>
                <w:lang w:val="en-AU"/>
              </w:rPr>
              <w:t xml:space="preserve">Biosimilar prescribing policy </w:t>
            </w:r>
          </w:p>
          <w:p w:rsidR="00EA28BE" w:rsidRPr="00E8264A" w:rsidRDefault="00EA28BE" w:rsidP="00EA28BE">
            <w:pPr>
              <w:rPr>
                <w:rFonts w:ascii="Arial Narrow" w:hAnsi="Arial Narrow"/>
                <w:sz w:val="20"/>
                <w:szCs w:val="20"/>
                <w:lang w:val="en-AU"/>
              </w:rPr>
            </w:pPr>
            <w:r w:rsidRPr="00E8264A">
              <w:rPr>
                <w:rFonts w:ascii="Arial Narrow" w:hAnsi="Arial Narrow"/>
                <w:sz w:val="20"/>
                <w:szCs w:val="20"/>
                <w:lang w:val="en-AU"/>
              </w:rPr>
              <w:t xml:space="preserve">Prescribing of the biosimilar brand </w:t>
            </w:r>
            <w:r w:rsidR="00E8264A">
              <w:rPr>
                <w:rFonts w:ascii="Arial Narrow" w:hAnsi="Arial Narrow"/>
                <w:sz w:val="20"/>
                <w:szCs w:val="20"/>
                <w:lang w:val="en-AU"/>
              </w:rPr>
              <w:t xml:space="preserve">SEMGLEE® </w:t>
            </w:r>
            <w:r w:rsidRPr="00E8264A">
              <w:rPr>
                <w:rFonts w:ascii="Arial Narrow" w:hAnsi="Arial Narrow"/>
                <w:sz w:val="20"/>
                <w:szCs w:val="20"/>
                <w:lang w:val="en-AU"/>
              </w:rPr>
              <w:t xml:space="preserve">is encouraged for treatment naive patients. </w:t>
            </w:r>
          </w:p>
          <w:p w:rsidR="00EA28BE" w:rsidRPr="00E8264A" w:rsidRDefault="00EA28BE" w:rsidP="00E36355">
            <w:pPr>
              <w:pStyle w:val="NoSpacing"/>
              <w:rPr>
                <w:lang w:val="en-AU"/>
              </w:rPr>
            </w:pPr>
            <w:r w:rsidRPr="00E8264A">
              <w:rPr>
                <w:rFonts w:ascii="Arial Narrow" w:hAnsi="Arial Narrow"/>
                <w:sz w:val="20"/>
                <w:szCs w:val="20"/>
                <w:lang w:val="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BB3B26" w:rsidRPr="00BB3B26" w:rsidRDefault="00BB3B26" w:rsidP="00BB3B2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B3B26">
        <w:rPr>
          <w:rFonts w:asciiTheme="minorHAnsi" w:hAnsiTheme="minorHAnsi"/>
          <w:sz w:val="32"/>
          <w:szCs w:val="32"/>
        </w:rPr>
        <w:t>Context for Decision</w:t>
      </w:r>
    </w:p>
    <w:p w:rsidR="00BB3B26" w:rsidRDefault="00BB3B26" w:rsidP="00BB3B26">
      <w:pPr>
        <w:ind w:left="709"/>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B3B26" w:rsidRPr="00BB3B26" w:rsidRDefault="00BB3B26" w:rsidP="00BB3B2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B3B26">
        <w:rPr>
          <w:rFonts w:asciiTheme="minorHAnsi" w:hAnsiTheme="minorHAnsi"/>
          <w:sz w:val="32"/>
          <w:szCs w:val="32"/>
        </w:rPr>
        <w:t>Sponsor’s Comment</w:t>
      </w:r>
    </w:p>
    <w:p w:rsidR="00BB3B26" w:rsidRPr="006D3AA6" w:rsidRDefault="00B44254" w:rsidP="006D3AA6">
      <w:pPr>
        <w:spacing w:after="120"/>
        <w:ind w:left="709"/>
        <w:jc w:val="both"/>
        <w:rPr>
          <w:rFonts w:asciiTheme="minorHAnsi" w:hAnsiTheme="minorHAnsi" w:cs="Arial"/>
          <w:bCs/>
        </w:rPr>
      </w:pPr>
      <w:r w:rsidRPr="00DA5034">
        <w:rPr>
          <w:rFonts w:asciiTheme="minorHAnsi" w:hAnsiTheme="minorHAnsi" w:cs="Arial"/>
          <w:bCs/>
        </w:rPr>
        <w:t>Alphapharm welcomes the PBAC’s decision to recommend Semglee</w:t>
      </w:r>
      <w:bookmarkStart w:id="3" w:name="_GoBack"/>
      <w:bookmarkEnd w:id="3"/>
      <w:r w:rsidRPr="00DA5034">
        <w:rPr>
          <w:rFonts w:asciiTheme="minorHAnsi" w:hAnsiTheme="minorHAnsi" w:cs="Arial"/>
          <w:bCs/>
        </w:rPr>
        <w:t xml:space="preserve"> for Australian patients and looks forward to a PBS listing at the earliest opportunity.</w:t>
      </w:r>
    </w:p>
    <w:p w:rsidR="00CE10C4" w:rsidRPr="00E8264A" w:rsidRDefault="00CE10C4" w:rsidP="002B4C99">
      <w:pPr>
        <w:tabs>
          <w:tab w:val="left" w:pos="2011"/>
        </w:tabs>
        <w:rPr>
          <w:rFonts w:asciiTheme="minorHAnsi" w:hAnsiTheme="minorHAnsi"/>
          <w:sz w:val="22"/>
          <w:szCs w:val="22"/>
        </w:rPr>
      </w:pPr>
    </w:p>
    <w:sectPr w:rsidR="00CE10C4" w:rsidRPr="00E8264A"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E2" w:rsidRDefault="006F4DE2">
      <w:r>
        <w:separator/>
      </w:r>
    </w:p>
    <w:p w:rsidR="006F4DE2" w:rsidRDefault="006F4DE2"/>
  </w:endnote>
  <w:endnote w:type="continuationSeparator" w:id="0">
    <w:p w:rsidR="006F4DE2" w:rsidRDefault="006F4DE2">
      <w:r>
        <w:continuationSeparator/>
      </w:r>
    </w:p>
    <w:p w:rsidR="006F4DE2" w:rsidRDefault="006F4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A28BE" w:rsidTr="005A3173">
      <w:trPr>
        <w:trHeight w:val="151"/>
      </w:trPr>
      <w:tc>
        <w:tcPr>
          <w:tcW w:w="2250" w:type="pct"/>
          <w:tcBorders>
            <w:top w:val="nil"/>
            <w:left w:val="nil"/>
            <w:bottom w:val="single" w:sz="4" w:space="0" w:color="4F81BD"/>
            <w:right w:val="nil"/>
          </w:tcBorders>
        </w:tcPr>
        <w:p w:rsidR="00EA28BE" w:rsidRPr="005A3173" w:rsidRDefault="00EA28B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A28BE" w:rsidRPr="005A3173" w:rsidRDefault="00EA28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A28BE" w:rsidRPr="005A3173" w:rsidRDefault="00EA28BE" w:rsidP="005A3173">
          <w:pPr>
            <w:pStyle w:val="Header"/>
            <w:spacing w:line="276" w:lineRule="auto"/>
            <w:rPr>
              <w:rFonts w:ascii="Calibri" w:eastAsia="MS Gothic" w:hAnsi="Calibri"/>
              <w:b/>
              <w:bCs/>
              <w:color w:val="4F81BD"/>
            </w:rPr>
          </w:pPr>
        </w:p>
      </w:tc>
    </w:tr>
    <w:tr w:rsidR="00EA28BE" w:rsidTr="005A3173">
      <w:trPr>
        <w:trHeight w:val="150"/>
      </w:trPr>
      <w:tc>
        <w:tcPr>
          <w:tcW w:w="2250" w:type="pct"/>
          <w:tcBorders>
            <w:top w:val="single" w:sz="4" w:space="0" w:color="4F81BD"/>
            <w:left w:val="nil"/>
            <w:bottom w:val="nil"/>
            <w:right w:val="nil"/>
          </w:tcBorders>
        </w:tcPr>
        <w:p w:rsidR="00EA28BE" w:rsidRPr="005A3173" w:rsidRDefault="00EA28BE" w:rsidP="005A3173">
          <w:pPr>
            <w:pStyle w:val="Header"/>
            <w:spacing w:line="276" w:lineRule="auto"/>
            <w:rPr>
              <w:rFonts w:ascii="Calibri" w:eastAsia="MS Gothic" w:hAnsi="Calibri"/>
              <w:b/>
              <w:bCs/>
              <w:color w:val="4F81BD"/>
            </w:rPr>
          </w:pPr>
        </w:p>
      </w:tc>
      <w:tc>
        <w:tcPr>
          <w:tcW w:w="0" w:type="auto"/>
          <w:vMerge/>
          <w:vAlign w:val="center"/>
          <w:hideMark/>
        </w:tcPr>
        <w:p w:rsidR="00EA28BE" w:rsidRPr="005A3173" w:rsidRDefault="00EA28B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A28BE" w:rsidRPr="005A3173" w:rsidRDefault="00EA28BE" w:rsidP="005A3173">
          <w:pPr>
            <w:pStyle w:val="Header"/>
            <w:spacing w:line="276" w:lineRule="auto"/>
            <w:rPr>
              <w:rFonts w:ascii="Calibri" w:eastAsia="MS Gothic" w:hAnsi="Calibri"/>
              <w:b/>
              <w:bCs/>
              <w:color w:val="4F81BD"/>
            </w:rPr>
          </w:pPr>
        </w:p>
      </w:tc>
    </w:tr>
  </w:tbl>
  <w:p w:rsidR="00EA28BE" w:rsidRDefault="00EA28B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28BE" w:rsidRDefault="00EA28BE">
    <w:pPr>
      <w:pStyle w:val="Footer"/>
    </w:pPr>
  </w:p>
  <w:p w:rsidR="00EA28BE" w:rsidRDefault="00EA28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02744"/>
      <w:docPartObj>
        <w:docPartGallery w:val="Page Numbers (Bottom of Page)"/>
        <w:docPartUnique/>
      </w:docPartObj>
    </w:sdtPr>
    <w:sdtEndPr>
      <w:rPr>
        <w:rFonts w:asciiTheme="minorHAnsi" w:hAnsiTheme="minorHAnsi"/>
        <w:b/>
        <w:noProof/>
        <w:sz w:val="20"/>
      </w:rPr>
    </w:sdtEndPr>
    <w:sdtContent>
      <w:p w:rsidR="00C86EEC" w:rsidRDefault="00C86EEC" w:rsidP="00C86EEC">
        <w:pPr>
          <w:pStyle w:val="Footer"/>
          <w:jc w:val="center"/>
        </w:pPr>
      </w:p>
      <w:p w:rsidR="00EA28BE" w:rsidRPr="00C86EEC" w:rsidRDefault="00EA28BE" w:rsidP="00C86EEC">
        <w:pPr>
          <w:pStyle w:val="Footer"/>
          <w:jc w:val="center"/>
          <w:rPr>
            <w:rFonts w:asciiTheme="minorHAnsi" w:hAnsiTheme="minorHAnsi"/>
            <w:b/>
            <w:sz w:val="20"/>
          </w:rPr>
        </w:pPr>
        <w:r w:rsidRPr="00C86EEC">
          <w:rPr>
            <w:rFonts w:asciiTheme="minorHAnsi" w:hAnsiTheme="minorHAnsi"/>
            <w:b/>
            <w:sz w:val="20"/>
          </w:rPr>
          <w:fldChar w:fldCharType="begin"/>
        </w:r>
        <w:r w:rsidRPr="00C86EEC">
          <w:rPr>
            <w:rFonts w:asciiTheme="minorHAnsi" w:hAnsiTheme="minorHAnsi"/>
            <w:b/>
            <w:sz w:val="20"/>
          </w:rPr>
          <w:instrText xml:space="preserve"> PAGE   \* MERGEFORMAT </w:instrText>
        </w:r>
        <w:r w:rsidRPr="00C86EEC">
          <w:rPr>
            <w:rFonts w:asciiTheme="minorHAnsi" w:hAnsiTheme="minorHAnsi"/>
            <w:b/>
            <w:sz w:val="20"/>
          </w:rPr>
          <w:fldChar w:fldCharType="separate"/>
        </w:r>
        <w:r w:rsidR="003D3BBD">
          <w:rPr>
            <w:rFonts w:asciiTheme="minorHAnsi" w:hAnsiTheme="minorHAnsi"/>
            <w:b/>
            <w:noProof/>
            <w:sz w:val="20"/>
          </w:rPr>
          <w:t>1</w:t>
        </w:r>
        <w:r w:rsidRPr="00C86EEC">
          <w:rPr>
            <w:rFonts w:asciiTheme="minorHAnsi" w:hAnsiTheme="minorHAnsi"/>
            <w:b/>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A28BE" w:rsidTr="005A3173">
      <w:trPr>
        <w:trHeight w:val="151"/>
      </w:trPr>
      <w:tc>
        <w:tcPr>
          <w:tcW w:w="2250" w:type="pct"/>
          <w:tcBorders>
            <w:top w:val="nil"/>
            <w:left w:val="nil"/>
            <w:bottom w:val="single" w:sz="4" w:space="0" w:color="4F81BD"/>
            <w:right w:val="nil"/>
          </w:tcBorders>
        </w:tcPr>
        <w:p w:rsidR="00EA28BE" w:rsidRPr="005A3173" w:rsidRDefault="00EA28B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A28BE" w:rsidRPr="005A3173" w:rsidRDefault="00EA28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A28BE" w:rsidRPr="005A3173" w:rsidRDefault="00EA28BE" w:rsidP="005A3173">
          <w:pPr>
            <w:pStyle w:val="Header"/>
            <w:spacing w:line="276" w:lineRule="auto"/>
            <w:rPr>
              <w:rFonts w:ascii="Calibri" w:eastAsia="MS Gothic" w:hAnsi="Calibri"/>
              <w:b/>
              <w:bCs/>
              <w:color w:val="4F81BD"/>
            </w:rPr>
          </w:pPr>
        </w:p>
      </w:tc>
    </w:tr>
    <w:tr w:rsidR="00EA28BE" w:rsidTr="005A3173">
      <w:trPr>
        <w:trHeight w:val="150"/>
      </w:trPr>
      <w:tc>
        <w:tcPr>
          <w:tcW w:w="2250" w:type="pct"/>
          <w:tcBorders>
            <w:top w:val="single" w:sz="4" w:space="0" w:color="4F81BD"/>
            <w:left w:val="nil"/>
            <w:bottom w:val="nil"/>
            <w:right w:val="nil"/>
          </w:tcBorders>
        </w:tcPr>
        <w:p w:rsidR="00EA28BE" w:rsidRPr="005A3173" w:rsidRDefault="00EA28BE" w:rsidP="005A3173">
          <w:pPr>
            <w:pStyle w:val="Header"/>
            <w:spacing w:line="276" w:lineRule="auto"/>
            <w:rPr>
              <w:rFonts w:ascii="Calibri" w:eastAsia="MS Gothic" w:hAnsi="Calibri"/>
              <w:b/>
              <w:bCs/>
              <w:color w:val="4F81BD"/>
            </w:rPr>
          </w:pPr>
        </w:p>
      </w:tc>
      <w:tc>
        <w:tcPr>
          <w:tcW w:w="0" w:type="auto"/>
          <w:vMerge/>
          <w:vAlign w:val="center"/>
          <w:hideMark/>
        </w:tcPr>
        <w:p w:rsidR="00EA28BE" w:rsidRPr="005A3173" w:rsidRDefault="00EA28B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A28BE" w:rsidRPr="005A3173" w:rsidRDefault="00EA28B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A28BE" w:rsidTr="005A3173">
      <w:trPr>
        <w:trHeight w:val="151"/>
      </w:trPr>
      <w:tc>
        <w:tcPr>
          <w:tcW w:w="2250" w:type="pct"/>
          <w:tcBorders>
            <w:top w:val="nil"/>
            <w:left w:val="nil"/>
            <w:bottom w:val="single" w:sz="4" w:space="0" w:color="4F81BD"/>
            <w:right w:val="nil"/>
          </w:tcBorders>
        </w:tcPr>
        <w:p w:rsidR="00EA28BE" w:rsidRPr="005A3173" w:rsidRDefault="00EA28B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A28BE" w:rsidRPr="005A3173" w:rsidRDefault="00EA28B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A28BE" w:rsidRPr="005A3173" w:rsidRDefault="00EA28BE" w:rsidP="005A3173">
          <w:pPr>
            <w:pStyle w:val="Header"/>
            <w:spacing w:line="276" w:lineRule="auto"/>
            <w:rPr>
              <w:rFonts w:ascii="Calibri" w:eastAsia="MS Gothic" w:hAnsi="Calibri"/>
              <w:b/>
              <w:bCs/>
              <w:color w:val="4F81BD"/>
            </w:rPr>
          </w:pPr>
        </w:p>
      </w:tc>
    </w:tr>
    <w:tr w:rsidR="00EA28BE" w:rsidTr="005A3173">
      <w:trPr>
        <w:trHeight w:val="150"/>
      </w:trPr>
      <w:tc>
        <w:tcPr>
          <w:tcW w:w="2250" w:type="pct"/>
          <w:tcBorders>
            <w:top w:val="single" w:sz="4" w:space="0" w:color="4F81BD"/>
            <w:left w:val="nil"/>
            <w:bottom w:val="nil"/>
            <w:right w:val="nil"/>
          </w:tcBorders>
        </w:tcPr>
        <w:p w:rsidR="00EA28BE" w:rsidRPr="005A3173" w:rsidRDefault="00EA28BE" w:rsidP="005A3173">
          <w:pPr>
            <w:pStyle w:val="Header"/>
            <w:spacing w:line="276" w:lineRule="auto"/>
            <w:rPr>
              <w:rFonts w:ascii="Calibri" w:eastAsia="MS Gothic" w:hAnsi="Calibri"/>
              <w:b/>
              <w:bCs/>
              <w:color w:val="4F81BD"/>
            </w:rPr>
          </w:pPr>
        </w:p>
      </w:tc>
      <w:tc>
        <w:tcPr>
          <w:tcW w:w="0" w:type="auto"/>
          <w:vMerge/>
          <w:vAlign w:val="center"/>
          <w:hideMark/>
        </w:tcPr>
        <w:p w:rsidR="00EA28BE" w:rsidRPr="005A3173" w:rsidRDefault="00EA28B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A28BE" w:rsidRPr="005A3173" w:rsidRDefault="00EA28BE" w:rsidP="005A3173">
          <w:pPr>
            <w:pStyle w:val="Header"/>
            <w:spacing w:line="276" w:lineRule="auto"/>
            <w:rPr>
              <w:rFonts w:ascii="Calibri" w:eastAsia="MS Gothic" w:hAnsi="Calibri"/>
              <w:b/>
              <w:bCs/>
              <w:color w:val="4F81BD"/>
            </w:rPr>
          </w:pPr>
        </w:p>
      </w:tc>
    </w:tr>
  </w:tbl>
  <w:p w:rsidR="00EA28BE" w:rsidRPr="007C0F57" w:rsidRDefault="00EA28B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A28BE" w:rsidRPr="007C0F57" w:rsidRDefault="00EA28BE" w:rsidP="007C0F57">
    <w:pPr>
      <w:pStyle w:val="Footer"/>
      <w:jc w:val="center"/>
      <w:rPr>
        <w:b/>
        <w:i/>
        <w:sz w:val="20"/>
        <w:szCs w:val="20"/>
      </w:rPr>
    </w:pPr>
    <w:r w:rsidRPr="007C0F57">
      <w:rPr>
        <w:b/>
        <w:i/>
        <w:sz w:val="20"/>
        <w:szCs w:val="20"/>
      </w:rPr>
      <w:t>Commercial-in-Confidence</w:t>
    </w:r>
  </w:p>
  <w:p w:rsidR="00EA28BE" w:rsidRDefault="00EA28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E2" w:rsidRDefault="006F4DE2">
      <w:r>
        <w:separator/>
      </w:r>
    </w:p>
    <w:p w:rsidR="006F4DE2" w:rsidRDefault="006F4DE2"/>
  </w:footnote>
  <w:footnote w:type="continuationSeparator" w:id="0">
    <w:p w:rsidR="006F4DE2" w:rsidRDefault="006F4DE2">
      <w:r>
        <w:continuationSeparator/>
      </w:r>
    </w:p>
    <w:p w:rsidR="006F4DE2" w:rsidRDefault="006F4DE2"/>
  </w:footnote>
  <w:footnote w:id="1">
    <w:p w:rsidR="00EA28BE" w:rsidRPr="00500979" w:rsidRDefault="00EA28BE" w:rsidP="00DC6C29">
      <w:pPr>
        <w:pStyle w:val="FootnoteText"/>
        <w:rPr>
          <w:rFonts w:ascii="Arial Narrow" w:hAnsi="Arial Narrow" w:cs="Arial"/>
        </w:rPr>
      </w:pPr>
      <w:r w:rsidRPr="00500979">
        <w:rPr>
          <w:rStyle w:val="FootnoteReference"/>
          <w:rFonts w:ascii="Arial Narrow" w:hAnsi="Arial Narrow" w:cs="Arial"/>
        </w:rPr>
        <w:footnoteRef/>
      </w:r>
      <w:r w:rsidRPr="00500979">
        <w:rPr>
          <w:rFonts w:ascii="Arial Narrow" w:hAnsi="Arial Narrow" w:cs="Arial"/>
        </w:rPr>
        <w:t xml:space="preserve"> Symbols used in the Schedule</w:t>
      </w:r>
      <w:hyperlink r:id="rId1" w:history="1"/>
      <w:r w:rsidRPr="00500979">
        <w:rPr>
          <w:rFonts w:ascii="Arial Narrow" w:hAnsi="Arial Narrow" w:cs="Arial"/>
        </w:rPr>
        <w:t xml:space="preserve"> - http://www.pbs.gov.au/info/healthpro/explanatory-notes/section2/section-2-symbols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A28BE" w:rsidRPr="008E0D90" w:rsidTr="00A06225">
      <w:trPr>
        <w:trHeight w:val="151"/>
      </w:trPr>
      <w:tc>
        <w:tcPr>
          <w:tcW w:w="2389" w:type="pct"/>
          <w:tcBorders>
            <w:top w:val="nil"/>
            <w:left w:val="nil"/>
            <w:bottom w:val="single" w:sz="4" w:space="0" w:color="4F81BD"/>
            <w:right w:val="nil"/>
          </w:tcBorders>
        </w:tcPr>
        <w:p w:rsidR="00EA28BE" w:rsidRPr="00A06225" w:rsidRDefault="00EA28BE">
          <w:pPr>
            <w:pStyle w:val="Header"/>
            <w:spacing w:line="276" w:lineRule="auto"/>
            <w:rPr>
              <w:rFonts w:ascii="Cambria" w:eastAsia="MS Gothic" w:hAnsi="Cambria"/>
              <w:b/>
              <w:bCs/>
              <w:color w:val="4F81BD"/>
            </w:rPr>
          </w:pPr>
        </w:p>
      </w:tc>
      <w:tc>
        <w:tcPr>
          <w:tcW w:w="333" w:type="pct"/>
          <w:vMerge w:val="restart"/>
          <w:noWrap/>
          <w:vAlign w:val="center"/>
          <w:hideMark/>
        </w:tcPr>
        <w:p w:rsidR="00EA28BE" w:rsidRPr="00A06225" w:rsidRDefault="00EA28B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A28BE" w:rsidRPr="00A06225" w:rsidRDefault="00EA28BE">
          <w:pPr>
            <w:pStyle w:val="Header"/>
            <w:spacing w:line="276" w:lineRule="auto"/>
            <w:rPr>
              <w:rFonts w:ascii="Cambria" w:eastAsia="MS Gothic" w:hAnsi="Cambria"/>
              <w:b/>
              <w:bCs/>
              <w:color w:val="4F81BD"/>
            </w:rPr>
          </w:pPr>
        </w:p>
      </w:tc>
    </w:tr>
    <w:tr w:rsidR="00EA28BE" w:rsidRPr="008E0D90" w:rsidTr="00A06225">
      <w:trPr>
        <w:trHeight w:val="150"/>
      </w:trPr>
      <w:tc>
        <w:tcPr>
          <w:tcW w:w="2389" w:type="pct"/>
          <w:tcBorders>
            <w:top w:val="single" w:sz="4" w:space="0" w:color="4F81BD"/>
            <w:left w:val="nil"/>
            <w:bottom w:val="nil"/>
            <w:right w:val="nil"/>
          </w:tcBorders>
        </w:tcPr>
        <w:p w:rsidR="00EA28BE" w:rsidRPr="00A06225" w:rsidRDefault="00EA28BE">
          <w:pPr>
            <w:pStyle w:val="Header"/>
            <w:spacing w:line="276" w:lineRule="auto"/>
            <w:rPr>
              <w:rFonts w:ascii="Cambria" w:eastAsia="MS Gothic" w:hAnsi="Cambria"/>
              <w:b/>
              <w:bCs/>
              <w:color w:val="4F81BD"/>
            </w:rPr>
          </w:pPr>
        </w:p>
      </w:tc>
      <w:tc>
        <w:tcPr>
          <w:tcW w:w="0" w:type="auto"/>
          <w:vMerge/>
          <w:vAlign w:val="center"/>
          <w:hideMark/>
        </w:tcPr>
        <w:p w:rsidR="00EA28BE" w:rsidRPr="00A06225" w:rsidRDefault="00EA28BE">
          <w:pPr>
            <w:rPr>
              <w:rFonts w:ascii="Cambria" w:hAnsi="Cambria"/>
              <w:color w:val="4F81BD"/>
              <w:sz w:val="22"/>
              <w:szCs w:val="22"/>
            </w:rPr>
          </w:pPr>
        </w:p>
      </w:tc>
      <w:tc>
        <w:tcPr>
          <w:tcW w:w="2278" w:type="pct"/>
          <w:tcBorders>
            <w:top w:val="single" w:sz="4" w:space="0" w:color="4F81BD"/>
            <w:left w:val="nil"/>
            <w:bottom w:val="nil"/>
            <w:right w:val="nil"/>
          </w:tcBorders>
        </w:tcPr>
        <w:p w:rsidR="00EA28BE" w:rsidRPr="00A06225" w:rsidRDefault="00EA28BE">
          <w:pPr>
            <w:pStyle w:val="Header"/>
            <w:spacing w:line="276" w:lineRule="auto"/>
            <w:rPr>
              <w:rFonts w:ascii="Cambria" w:eastAsia="MS Gothic" w:hAnsi="Cambria"/>
              <w:b/>
              <w:bCs/>
              <w:color w:val="4F81BD"/>
            </w:rPr>
          </w:pPr>
        </w:p>
      </w:tc>
    </w:tr>
  </w:tbl>
  <w:p w:rsidR="00EA28BE" w:rsidRDefault="00EA28BE">
    <w:pPr>
      <w:pStyle w:val="Header"/>
    </w:pPr>
  </w:p>
  <w:p w:rsidR="00EA28BE" w:rsidRDefault="00EA2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BE" w:rsidRPr="00F90A91" w:rsidRDefault="005F4CB8" w:rsidP="00980748">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EA28BE" w:rsidRPr="00F90A91">
      <w:rPr>
        <w:rFonts w:asciiTheme="minorHAnsi" w:hAnsiTheme="minorHAnsi" w:cs="Arial"/>
        <w:i/>
        <w:color w:val="808080"/>
        <w:sz w:val="22"/>
      </w:rPr>
      <w:t xml:space="preserve"> – </w:t>
    </w:r>
    <w:r w:rsidR="00EA28BE">
      <w:rPr>
        <w:rFonts w:asciiTheme="minorHAnsi" w:hAnsiTheme="minorHAnsi" w:cs="Arial"/>
        <w:i/>
        <w:color w:val="808080"/>
        <w:sz w:val="22"/>
      </w:rPr>
      <w:t>July 2018</w:t>
    </w:r>
    <w:r w:rsidR="00EA28BE" w:rsidRPr="00F90A91">
      <w:rPr>
        <w:rFonts w:asciiTheme="minorHAnsi" w:hAnsiTheme="minorHAnsi" w:cs="Arial"/>
        <w:i/>
        <w:color w:val="808080"/>
        <w:sz w:val="22"/>
      </w:rPr>
      <w:t xml:space="preserve"> PBAC Meeting</w:t>
    </w:r>
  </w:p>
  <w:p w:rsidR="00EA28BE" w:rsidRDefault="00EA28BE"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9F4598"/>
    <w:multiLevelType w:val="multilevel"/>
    <w:tmpl w:val="2BE207F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617E2B"/>
    <w:multiLevelType w:val="multilevel"/>
    <w:tmpl w:val="0CC657A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971565F"/>
    <w:multiLevelType w:val="hybridMultilevel"/>
    <w:tmpl w:val="9104B1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2062046"/>
    <w:multiLevelType w:val="hybridMultilevel"/>
    <w:tmpl w:val="8BB07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C3310E"/>
    <w:multiLevelType w:val="hybridMultilevel"/>
    <w:tmpl w:val="3BDCDB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4EB54BD"/>
    <w:multiLevelType w:val="hybridMultilevel"/>
    <w:tmpl w:val="5988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784D033C"/>
    <w:multiLevelType w:val="multilevel"/>
    <w:tmpl w:val="1A3A89B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20"/>
  </w:num>
  <w:num w:numId="5">
    <w:abstractNumId w:val="26"/>
  </w:num>
  <w:num w:numId="6">
    <w:abstractNumId w:val="8"/>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6"/>
  </w:num>
  <w:num w:numId="15">
    <w:abstractNumId w:val="17"/>
  </w:num>
  <w:num w:numId="16">
    <w:abstractNumId w:val="18"/>
  </w:num>
  <w:num w:numId="17">
    <w:abstractNumId w:val="23"/>
  </w:num>
  <w:num w:numId="18">
    <w:abstractNumId w:val="7"/>
  </w:num>
  <w:num w:numId="19">
    <w:abstractNumId w:val="19"/>
  </w:num>
  <w:num w:numId="20">
    <w:abstractNumId w:val="25"/>
  </w:num>
  <w:num w:numId="21">
    <w:abstractNumId w:val="16"/>
  </w:num>
  <w:num w:numId="22">
    <w:abstractNumId w:val="26"/>
  </w:num>
  <w:num w:numId="23">
    <w:abstractNumId w:val="21"/>
  </w:num>
  <w:num w:numId="24">
    <w:abstractNumId w:val="22"/>
  </w:num>
  <w:num w:numId="25">
    <w:abstractNumId w:val="5"/>
  </w:num>
  <w:num w:numId="26">
    <w:abstractNumId w:val="2"/>
  </w:num>
  <w:num w:numId="27">
    <w:abstractNumId w:val="11"/>
  </w:num>
  <w:num w:numId="28">
    <w:abstractNumId w:val="10"/>
  </w:num>
  <w:num w:numId="29">
    <w:abstractNumId w:val="24"/>
  </w:num>
  <w:num w:numId="3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4F74"/>
    <w:rsid w:val="0002464A"/>
    <w:rsid w:val="0003106B"/>
    <w:rsid w:val="000421A1"/>
    <w:rsid w:val="0004240E"/>
    <w:rsid w:val="00045E26"/>
    <w:rsid w:val="000501E6"/>
    <w:rsid w:val="000514B5"/>
    <w:rsid w:val="00056BD7"/>
    <w:rsid w:val="00060561"/>
    <w:rsid w:val="00060E64"/>
    <w:rsid w:val="00066755"/>
    <w:rsid w:val="00077143"/>
    <w:rsid w:val="000803F6"/>
    <w:rsid w:val="00082169"/>
    <w:rsid w:val="000826F8"/>
    <w:rsid w:val="000969AD"/>
    <w:rsid w:val="000B558D"/>
    <w:rsid w:val="000B7467"/>
    <w:rsid w:val="000C6996"/>
    <w:rsid w:val="000C74FF"/>
    <w:rsid w:val="000D23BA"/>
    <w:rsid w:val="000D4CF2"/>
    <w:rsid w:val="000D609C"/>
    <w:rsid w:val="000E681E"/>
    <w:rsid w:val="000F0003"/>
    <w:rsid w:val="000F4E6A"/>
    <w:rsid w:val="00104227"/>
    <w:rsid w:val="0010510A"/>
    <w:rsid w:val="00105BE2"/>
    <w:rsid w:val="00105C57"/>
    <w:rsid w:val="00106B20"/>
    <w:rsid w:val="001107BF"/>
    <w:rsid w:val="0012417C"/>
    <w:rsid w:val="00142395"/>
    <w:rsid w:val="00142714"/>
    <w:rsid w:val="001452ED"/>
    <w:rsid w:val="0015425B"/>
    <w:rsid w:val="00163329"/>
    <w:rsid w:val="00164623"/>
    <w:rsid w:val="00165B64"/>
    <w:rsid w:val="00175948"/>
    <w:rsid w:val="00176407"/>
    <w:rsid w:val="00180713"/>
    <w:rsid w:val="001830CE"/>
    <w:rsid w:val="0018643B"/>
    <w:rsid w:val="00196307"/>
    <w:rsid w:val="001A33EA"/>
    <w:rsid w:val="001B017F"/>
    <w:rsid w:val="001B01ED"/>
    <w:rsid w:val="001B2BBC"/>
    <w:rsid w:val="001B5129"/>
    <w:rsid w:val="001C1195"/>
    <w:rsid w:val="001E063C"/>
    <w:rsid w:val="001F1850"/>
    <w:rsid w:val="001F1E45"/>
    <w:rsid w:val="00203FAC"/>
    <w:rsid w:val="00213CFB"/>
    <w:rsid w:val="00217BE1"/>
    <w:rsid w:val="002350B5"/>
    <w:rsid w:val="00252B13"/>
    <w:rsid w:val="00271BA1"/>
    <w:rsid w:val="002762FA"/>
    <w:rsid w:val="0027694E"/>
    <w:rsid w:val="00277505"/>
    <w:rsid w:val="0028029C"/>
    <w:rsid w:val="0029458F"/>
    <w:rsid w:val="002A104C"/>
    <w:rsid w:val="002A4960"/>
    <w:rsid w:val="002B1AE6"/>
    <w:rsid w:val="002B2DE8"/>
    <w:rsid w:val="002B30F8"/>
    <w:rsid w:val="002B4C99"/>
    <w:rsid w:val="002B5596"/>
    <w:rsid w:val="002C212F"/>
    <w:rsid w:val="002D4543"/>
    <w:rsid w:val="002E3153"/>
    <w:rsid w:val="002E72CA"/>
    <w:rsid w:val="002F53E9"/>
    <w:rsid w:val="002F600D"/>
    <w:rsid w:val="00300AD6"/>
    <w:rsid w:val="0030302B"/>
    <w:rsid w:val="00311C86"/>
    <w:rsid w:val="00317C6C"/>
    <w:rsid w:val="00322BD0"/>
    <w:rsid w:val="00326E79"/>
    <w:rsid w:val="0033518A"/>
    <w:rsid w:val="003367EF"/>
    <w:rsid w:val="00341AE4"/>
    <w:rsid w:val="003508B1"/>
    <w:rsid w:val="0037045A"/>
    <w:rsid w:val="003807DA"/>
    <w:rsid w:val="003872CF"/>
    <w:rsid w:val="0039675E"/>
    <w:rsid w:val="00397026"/>
    <w:rsid w:val="0039782C"/>
    <w:rsid w:val="003A5B4A"/>
    <w:rsid w:val="003B23C5"/>
    <w:rsid w:val="003B2A75"/>
    <w:rsid w:val="003B6124"/>
    <w:rsid w:val="003C2FB5"/>
    <w:rsid w:val="003D3BBD"/>
    <w:rsid w:val="003D4AC4"/>
    <w:rsid w:val="003D63B7"/>
    <w:rsid w:val="003E468B"/>
    <w:rsid w:val="003F3228"/>
    <w:rsid w:val="003F5C8C"/>
    <w:rsid w:val="004049DA"/>
    <w:rsid w:val="00410966"/>
    <w:rsid w:val="004252EC"/>
    <w:rsid w:val="00425849"/>
    <w:rsid w:val="00425CAC"/>
    <w:rsid w:val="004465BD"/>
    <w:rsid w:val="00450C0F"/>
    <w:rsid w:val="00466ADA"/>
    <w:rsid w:val="00466BA4"/>
    <w:rsid w:val="00476245"/>
    <w:rsid w:val="0047746D"/>
    <w:rsid w:val="00483035"/>
    <w:rsid w:val="00485940"/>
    <w:rsid w:val="00490946"/>
    <w:rsid w:val="00491095"/>
    <w:rsid w:val="00494843"/>
    <w:rsid w:val="004A2484"/>
    <w:rsid w:val="004A5A85"/>
    <w:rsid w:val="004A71D1"/>
    <w:rsid w:val="004B23E4"/>
    <w:rsid w:val="004B5640"/>
    <w:rsid w:val="004B65B9"/>
    <w:rsid w:val="004B7B23"/>
    <w:rsid w:val="004C1BD7"/>
    <w:rsid w:val="004C31FE"/>
    <w:rsid w:val="004C691D"/>
    <w:rsid w:val="004C6C07"/>
    <w:rsid w:val="004D362D"/>
    <w:rsid w:val="004D548A"/>
    <w:rsid w:val="004D5A03"/>
    <w:rsid w:val="004E4B68"/>
    <w:rsid w:val="004E5B75"/>
    <w:rsid w:val="004E692D"/>
    <w:rsid w:val="00500979"/>
    <w:rsid w:val="00501554"/>
    <w:rsid w:val="005147F0"/>
    <w:rsid w:val="00514CD7"/>
    <w:rsid w:val="00517FE0"/>
    <w:rsid w:val="0052619E"/>
    <w:rsid w:val="005319B2"/>
    <w:rsid w:val="00532402"/>
    <w:rsid w:val="00532C74"/>
    <w:rsid w:val="00534E2E"/>
    <w:rsid w:val="00544552"/>
    <w:rsid w:val="00545EDB"/>
    <w:rsid w:val="00577C4D"/>
    <w:rsid w:val="00581932"/>
    <w:rsid w:val="00585576"/>
    <w:rsid w:val="00586A03"/>
    <w:rsid w:val="00586DC4"/>
    <w:rsid w:val="00591A45"/>
    <w:rsid w:val="00591E68"/>
    <w:rsid w:val="005963BB"/>
    <w:rsid w:val="005A3173"/>
    <w:rsid w:val="005A3223"/>
    <w:rsid w:val="005A3DA3"/>
    <w:rsid w:val="005A4BDD"/>
    <w:rsid w:val="005A52C4"/>
    <w:rsid w:val="005B71AF"/>
    <w:rsid w:val="005D03AB"/>
    <w:rsid w:val="005D0E8A"/>
    <w:rsid w:val="005D5017"/>
    <w:rsid w:val="005E1333"/>
    <w:rsid w:val="005F2753"/>
    <w:rsid w:val="005F4CB8"/>
    <w:rsid w:val="00600A1C"/>
    <w:rsid w:val="00601A91"/>
    <w:rsid w:val="00602BA3"/>
    <w:rsid w:val="00611B1C"/>
    <w:rsid w:val="00612E34"/>
    <w:rsid w:val="00614159"/>
    <w:rsid w:val="00617C00"/>
    <w:rsid w:val="006263BF"/>
    <w:rsid w:val="0062748A"/>
    <w:rsid w:val="00630A2C"/>
    <w:rsid w:val="00635A10"/>
    <w:rsid w:val="0063682E"/>
    <w:rsid w:val="006436CD"/>
    <w:rsid w:val="00651169"/>
    <w:rsid w:val="00653D69"/>
    <w:rsid w:val="00665924"/>
    <w:rsid w:val="006670BE"/>
    <w:rsid w:val="00670A76"/>
    <w:rsid w:val="006711AA"/>
    <w:rsid w:val="00672B57"/>
    <w:rsid w:val="00675622"/>
    <w:rsid w:val="0067747D"/>
    <w:rsid w:val="006802EA"/>
    <w:rsid w:val="006906DB"/>
    <w:rsid w:val="00691E6C"/>
    <w:rsid w:val="00696129"/>
    <w:rsid w:val="00697CF2"/>
    <w:rsid w:val="006A12A5"/>
    <w:rsid w:val="006B0094"/>
    <w:rsid w:val="006B0D94"/>
    <w:rsid w:val="006B485D"/>
    <w:rsid w:val="006C4EFC"/>
    <w:rsid w:val="006C708E"/>
    <w:rsid w:val="006D14E7"/>
    <w:rsid w:val="006D3AA6"/>
    <w:rsid w:val="006D6493"/>
    <w:rsid w:val="006D6EC7"/>
    <w:rsid w:val="006D7FDB"/>
    <w:rsid w:val="006E0203"/>
    <w:rsid w:val="006F4DE2"/>
    <w:rsid w:val="006F5125"/>
    <w:rsid w:val="007009D8"/>
    <w:rsid w:val="00702B6F"/>
    <w:rsid w:val="007104EE"/>
    <w:rsid w:val="00712CEC"/>
    <w:rsid w:val="0071340B"/>
    <w:rsid w:val="007174BB"/>
    <w:rsid w:val="0072025D"/>
    <w:rsid w:val="00722B41"/>
    <w:rsid w:val="00730DBE"/>
    <w:rsid w:val="00732AEE"/>
    <w:rsid w:val="007353D3"/>
    <w:rsid w:val="0076420C"/>
    <w:rsid w:val="007753C2"/>
    <w:rsid w:val="007838B8"/>
    <w:rsid w:val="007969FF"/>
    <w:rsid w:val="007B7D74"/>
    <w:rsid w:val="007C0F57"/>
    <w:rsid w:val="007C40B6"/>
    <w:rsid w:val="007C729F"/>
    <w:rsid w:val="007E1D28"/>
    <w:rsid w:val="007E6157"/>
    <w:rsid w:val="007F2641"/>
    <w:rsid w:val="007F7C36"/>
    <w:rsid w:val="00806796"/>
    <w:rsid w:val="008151D6"/>
    <w:rsid w:val="00826F6D"/>
    <w:rsid w:val="008306F3"/>
    <w:rsid w:val="008366AD"/>
    <w:rsid w:val="00837F73"/>
    <w:rsid w:val="00847177"/>
    <w:rsid w:val="00850164"/>
    <w:rsid w:val="00856DDD"/>
    <w:rsid w:val="00863E68"/>
    <w:rsid w:val="00882085"/>
    <w:rsid w:val="00883188"/>
    <w:rsid w:val="00892681"/>
    <w:rsid w:val="00895662"/>
    <w:rsid w:val="00897D58"/>
    <w:rsid w:val="00897F22"/>
    <w:rsid w:val="008A1956"/>
    <w:rsid w:val="008A4937"/>
    <w:rsid w:val="008A50F1"/>
    <w:rsid w:val="008B43B5"/>
    <w:rsid w:val="008B7F35"/>
    <w:rsid w:val="008D1B5C"/>
    <w:rsid w:val="008D3C82"/>
    <w:rsid w:val="008D447E"/>
    <w:rsid w:val="008D7A41"/>
    <w:rsid w:val="008D7D6A"/>
    <w:rsid w:val="008E2EE9"/>
    <w:rsid w:val="008E3680"/>
    <w:rsid w:val="008E5870"/>
    <w:rsid w:val="008E5FD3"/>
    <w:rsid w:val="008F1434"/>
    <w:rsid w:val="008F1952"/>
    <w:rsid w:val="008F7355"/>
    <w:rsid w:val="009067B7"/>
    <w:rsid w:val="00930937"/>
    <w:rsid w:val="00933E6C"/>
    <w:rsid w:val="00935B69"/>
    <w:rsid w:val="00937958"/>
    <w:rsid w:val="00942160"/>
    <w:rsid w:val="0095146F"/>
    <w:rsid w:val="009602C5"/>
    <w:rsid w:val="00962223"/>
    <w:rsid w:val="00966D0D"/>
    <w:rsid w:val="00974C21"/>
    <w:rsid w:val="00980748"/>
    <w:rsid w:val="00993635"/>
    <w:rsid w:val="009B0F67"/>
    <w:rsid w:val="009C703C"/>
    <w:rsid w:val="009D3CAA"/>
    <w:rsid w:val="009E40E1"/>
    <w:rsid w:val="009E716F"/>
    <w:rsid w:val="009F4E46"/>
    <w:rsid w:val="009F5B65"/>
    <w:rsid w:val="009F5F2E"/>
    <w:rsid w:val="00A0060F"/>
    <w:rsid w:val="00A06225"/>
    <w:rsid w:val="00A076B3"/>
    <w:rsid w:val="00A128E6"/>
    <w:rsid w:val="00A22659"/>
    <w:rsid w:val="00A34E6C"/>
    <w:rsid w:val="00A37C8D"/>
    <w:rsid w:val="00A5273B"/>
    <w:rsid w:val="00A53A9D"/>
    <w:rsid w:val="00A55FEE"/>
    <w:rsid w:val="00A62C1A"/>
    <w:rsid w:val="00A6426D"/>
    <w:rsid w:val="00A665C1"/>
    <w:rsid w:val="00A70622"/>
    <w:rsid w:val="00A70977"/>
    <w:rsid w:val="00A7358C"/>
    <w:rsid w:val="00A77613"/>
    <w:rsid w:val="00A8390C"/>
    <w:rsid w:val="00A879E5"/>
    <w:rsid w:val="00A928BD"/>
    <w:rsid w:val="00A92B5F"/>
    <w:rsid w:val="00AA4D1C"/>
    <w:rsid w:val="00AC193C"/>
    <w:rsid w:val="00AC5206"/>
    <w:rsid w:val="00AE11A5"/>
    <w:rsid w:val="00AE13E2"/>
    <w:rsid w:val="00AE164C"/>
    <w:rsid w:val="00AE22D3"/>
    <w:rsid w:val="00AE2D21"/>
    <w:rsid w:val="00AF2F5F"/>
    <w:rsid w:val="00AF62DF"/>
    <w:rsid w:val="00AF68CC"/>
    <w:rsid w:val="00B1059E"/>
    <w:rsid w:val="00B1063A"/>
    <w:rsid w:val="00B176C8"/>
    <w:rsid w:val="00B205AA"/>
    <w:rsid w:val="00B22E84"/>
    <w:rsid w:val="00B25F75"/>
    <w:rsid w:val="00B26B3F"/>
    <w:rsid w:val="00B43E90"/>
    <w:rsid w:val="00B44254"/>
    <w:rsid w:val="00B467DC"/>
    <w:rsid w:val="00B56118"/>
    <w:rsid w:val="00B6773F"/>
    <w:rsid w:val="00B801BA"/>
    <w:rsid w:val="00B84D5C"/>
    <w:rsid w:val="00BB3B26"/>
    <w:rsid w:val="00BB69F5"/>
    <w:rsid w:val="00BB7EC3"/>
    <w:rsid w:val="00BC4B9A"/>
    <w:rsid w:val="00BD784C"/>
    <w:rsid w:val="00BE521F"/>
    <w:rsid w:val="00BF4CB6"/>
    <w:rsid w:val="00C00DA7"/>
    <w:rsid w:val="00C11190"/>
    <w:rsid w:val="00C12768"/>
    <w:rsid w:val="00C26D21"/>
    <w:rsid w:val="00C27B58"/>
    <w:rsid w:val="00C35996"/>
    <w:rsid w:val="00C44FC8"/>
    <w:rsid w:val="00C4747E"/>
    <w:rsid w:val="00C5342C"/>
    <w:rsid w:val="00C5567F"/>
    <w:rsid w:val="00C603D4"/>
    <w:rsid w:val="00C6256A"/>
    <w:rsid w:val="00C738C6"/>
    <w:rsid w:val="00C77891"/>
    <w:rsid w:val="00C86EEC"/>
    <w:rsid w:val="00C8718C"/>
    <w:rsid w:val="00C91449"/>
    <w:rsid w:val="00C92D10"/>
    <w:rsid w:val="00C9614E"/>
    <w:rsid w:val="00CB386C"/>
    <w:rsid w:val="00CD4ADF"/>
    <w:rsid w:val="00CE10C4"/>
    <w:rsid w:val="00CE27B5"/>
    <w:rsid w:val="00D0321E"/>
    <w:rsid w:val="00D1455A"/>
    <w:rsid w:val="00D31150"/>
    <w:rsid w:val="00D3138B"/>
    <w:rsid w:val="00D31BB2"/>
    <w:rsid w:val="00D3280C"/>
    <w:rsid w:val="00D3406A"/>
    <w:rsid w:val="00D41BDA"/>
    <w:rsid w:val="00D4572C"/>
    <w:rsid w:val="00D469B2"/>
    <w:rsid w:val="00D53E1B"/>
    <w:rsid w:val="00D559F3"/>
    <w:rsid w:val="00D71D64"/>
    <w:rsid w:val="00D741EB"/>
    <w:rsid w:val="00D83605"/>
    <w:rsid w:val="00D84934"/>
    <w:rsid w:val="00D87894"/>
    <w:rsid w:val="00D91271"/>
    <w:rsid w:val="00D919F5"/>
    <w:rsid w:val="00D94F03"/>
    <w:rsid w:val="00DA2CB5"/>
    <w:rsid w:val="00DA3458"/>
    <w:rsid w:val="00DA4BAC"/>
    <w:rsid w:val="00DA5034"/>
    <w:rsid w:val="00DB0672"/>
    <w:rsid w:val="00DC6C29"/>
    <w:rsid w:val="00DE60AD"/>
    <w:rsid w:val="00DE6D27"/>
    <w:rsid w:val="00DF217D"/>
    <w:rsid w:val="00DF26A7"/>
    <w:rsid w:val="00E15627"/>
    <w:rsid w:val="00E164B3"/>
    <w:rsid w:val="00E16910"/>
    <w:rsid w:val="00E36355"/>
    <w:rsid w:val="00E42BDB"/>
    <w:rsid w:val="00E463B1"/>
    <w:rsid w:val="00E47554"/>
    <w:rsid w:val="00E57EEB"/>
    <w:rsid w:val="00E62D94"/>
    <w:rsid w:val="00E65E54"/>
    <w:rsid w:val="00E76CF7"/>
    <w:rsid w:val="00E80155"/>
    <w:rsid w:val="00E81F28"/>
    <w:rsid w:val="00E8264A"/>
    <w:rsid w:val="00E848C0"/>
    <w:rsid w:val="00E87F79"/>
    <w:rsid w:val="00E91B96"/>
    <w:rsid w:val="00E941A1"/>
    <w:rsid w:val="00E94252"/>
    <w:rsid w:val="00E95788"/>
    <w:rsid w:val="00E95CE3"/>
    <w:rsid w:val="00EA1782"/>
    <w:rsid w:val="00EA2825"/>
    <w:rsid w:val="00EA28BE"/>
    <w:rsid w:val="00EA3F2F"/>
    <w:rsid w:val="00EB0B63"/>
    <w:rsid w:val="00EB1936"/>
    <w:rsid w:val="00EB5088"/>
    <w:rsid w:val="00ED1644"/>
    <w:rsid w:val="00ED2593"/>
    <w:rsid w:val="00ED7D9C"/>
    <w:rsid w:val="00EE31B6"/>
    <w:rsid w:val="00EE3EA6"/>
    <w:rsid w:val="00EF44A0"/>
    <w:rsid w:val="00EF4FED"/>
    <w:rsid w:val="00F050BD"/>
    <w:rsid w:val="00F05657"/>
    <w:rsid w:val="00F25578"/>
    <w:rsid w:val="00F258E5"/>
    <w:rsid w:val="00F260A8"/>
    <w:rsid w:val="00F300BC"/>
    <w:rsid w:val="00F3334E"/>
    <w:rsid w:val="00F36CCB"/>
    <w:rsid w:val="00F374E5"/>
    <w:rsid w:val="00F43AF2"/>
    <w:rsid w:val="00F50EC4"/>
    <w:rsid w:val="00F51EC9"/>
    <w:rsid w:val="00F550CF"/>
    <w:rsid w:val="00F57A6D"/>
    <w:rsid w:val="00F638CC"/>
    <w:rsid w:val="00F64CC1"/>
    <w:rsid w:val="00F72317"/>
    <w:rsid w:val="00F80475"/>
    <w:rsid w:val="00F809A5"/>
    <w:rsid w:val="00F8247A"/>
    <w:rsid w:val="00F9629A"/>
    <w:rsid w:val="00F97EFC"/>
    <w:rsid w:val="00FA5883"/>
    <w:rsid w:val="00FA6055"/>
    <w:rsid w:val="00FB322F"/>
    <w:rsid w:val="00FB442F"/>
    <w:rsid w:val="00FB47EA"/>
    <w:rsid w:val="00FC1929"/>
    <w:rsid w:val="00FC5B46"/>
    <w:rsid w:val="00FD6D8E"/>
    <w:rsid w:val="00FE0E94"/>
    <w:rsid w:val="00FF00BD"/>
    <w:rsid w:val="00FF0A39"/>
    <w:rsid w:val="00FF1ED4"/>
    <w:rsid w:val="00FF2801"/>
    <w:rsid w:val="00FF3B77"/>
    <w:rsid w:val="00FF7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Emphasis">
    <w:name w:val="Emphasis"/>
    <w:basedOn w:val="DefaultParagraphFont"/>
    <w:qFormat/>
    <w:rsid w:val="00425849"/>
    <w:rPr>
      <w:i/>
      <w:iCs/>
    </w:rPr>
  </w:style>
  <w:style w:type="paragraph" w:styleId="FootnoteText">
    <w:name w:val="footnote text"/>
    <w:basedOn w:val="Normal"/>
    <w:link w:val="FootnoteTextChar"/>
    <w:rsid w:val="00425849"/>
    <w:rPr>
      <w:sz w:val="20"/>
      <w:szCs w:val="20"/>
    </w:rPr>
  </w:style>
  <w:style w:type="character" w:customStyle="1" w:styleId="FootnoteTextChar">
    <w:name w:val="Footnote Text Char"/>
    <w:basedOn w:val="DefaultParagraphFont"/>
    <w:link w:val="FootnoteText"/>
    <w:rsid w:val="00425849"/>
  </w:style>
  <w:style w:type="character" w:styleId="FootnoteReference">
    <w:name w:val="footnote reference"/>
    <w:basedOn w:val="DefaultParagraphFont"/>
    <w:rsid w:val="00425849"/>
    <w:rPr>
      <w:vertAlign w:val="superscript"/>
    </w:rPr>
  </w:style>
  <w:style w:type="paragraph" w:styleId="NormalWeb">
    <w:name w:val="Normal (Web)"/>
    <w:basedOn w:val="Normal"/>
    <w:uiPriority w:val="99"/>
    <w:rsid w:val="00425849"/>
    <w:pPr>
      <w:spacing w:before="100" w:after="100"/>
    </w:pPr>
    <w:rPr>
      <w:szCs w:val="20"/>
      <w:lang w:val="en-GB" w:eastAsia="en-US"/>
    </w:rPr>
  </w:style>
  <w:style w:type="table" w:customStyle="1" w:styleId="Submissionstandard9">
    <w:name w:val="Submission standard9"/>
    <w:basedOn w:val="TableNormal"/>
    <w:uiPriority w:val="99"/>
    <w:qFormat/>
    <w:rsid w:val="00A92B5F"/>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table" w:customStyle="1" w:styleId="Submissionstandard91">
    <w:name w:val="Submission standard91"/>
    <w:basedOn w:val="TableNormal"/>
    <w:uiPriority w:val="99"/>
    <w:qFormat/>
    <w:rsid w:val="00CB386C"/>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paragraph" w:customStyle="1" w:styleId="TableLeft">
    <w:name w:val="Table Left"/>
    <w:basedOn w:val="Normal"/>
    <w:link w:val="TableLeftChar"/>
    <w:uiPriority w:val="99"/>
    <w:qFormat/>
    <w:rsid w:val="00FF0A39"/>
    <w:pPr>
      <w:jc w:val="both"/>
    </w:pPr>
    <w:rPr>
      <w:rFonts w:ascii="Calibri" w:eastAsiaTheme="majorEastAsia" w:hAnsi="Calibri" w:cstheme="majorBidi"/>
      <w:sz w:val="20"/>
      <w:szCs w:val="22"/>
      <w:lang w:eastAsia="en-US" w:bidi="en-US"/>
    </w:rPr>
  </w:style>
  <w:style w:type="character" w:customStyle="1" w:styleId="TableLeftChar">
    <w:name w:val="Table Left Char"/>
    <w:basedOn w:val="DefaultParagraphFont"/>
    <w:link w:val="TableLeft"/>
    <w:uiPriority w:val="99"/>
    <w:locked/>
    <w:rsid w:val="00FF0A39"/>
    <w:rPr>
      <w:rFonts w:ascii="Calibri" w:eastAsiaTheme="majorEastAsia" w:hAnsi="Calibri" w:cstheme="majorBidi"/>
      <w:szCs w:val="22"/>
      <w:lang w:eastAsia="en-US" w:bidi="en-US"/>
    </w:rPr>
  </w:style>
  <w:style w:type="table" w:customStyle="1" w:styleId="TableGrid1">
    <w:name w:val="Table Grid1"/>
    <w:basedOn w:val="TableNormal"/>
    <w:next w:val="TableGrid"/>
    <w:uiPriority w:val="59"/>
    <w:rsid w:val="00FF0A3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FF0A39"/>
    <w:rPr>
      <w:rFonts w:ascii="Calibri" w:hAnsi="Calibri"/>
      <w:sz w:val="20"/>
      <w:bdr w:val="none" w:sz="0" w:space="0" w:color="auto"/>
      <w:shd w:val="clear" w:color="auto" w:fill="FFFF00"/>
    </w:rPr>
  </w:style>
  <w:style w:type="paragraph" w:customStyle="1" w:styleId="TableCentre">
    <w:name w:val="Table Centre"/>
    <w:basedOn w:val="Normal"/>
    <w:qFormat/>
    <w:rsid w:val="00FF0A39"/>
    <w:pPr>
      <w:jc w:val="center"/>
    </w:pPr>
    <w:rPr>
      <w:rFonts w:ascii="Calibri" w:eastAsiaTheme="majorEastAsia" w:hAnsi="Calibri" w:cstheme="majorBidi"/>
      <w:sz w:val="20"/>
      <w:szCs w:val="22"/>
      <w:lang w:eastAsia="en-US" w:bidi="en-US"/>
    </w:rPr>
  </w:style>
  <w:style w:type="paragraph" w:customStyle="1" w:styleId="FrontPage1">
    <w:name w:val="Front Page 1"/>
    <w:basedOn w:val="Normal"/>
    <w:next w:val="Normal"/>
    <w:link w:val="FrontPage1Char"/>
    <w:uiPriority w:val="10"/>
    <w:qFormat/>
    <w:rsid w:val="00DC6C29"/>
    <w:pPr>
      <w:spacing w:after="200" w:line="276" w:lineRule="auto"/>
      <w:jc w:val="center"/>
    </w:pPr>
    <w:rPr>
      <w:rFonts w:ascii="Calibri" w:eastAsiaTheme="majorEastAsia" w:hAnsi="Calibri" w:cstheme="majorBidi"/>
      <w:b/>
      <w:sz w:val="48"/>
      <w:szCs w:val="22"/>
      <w:lang w:eastAsia="en-US" w:bidi="en-US"/>
    </w:rPr>
  </w:style>
  <w:style w:type="character" w:customStyle="1" w:styleId="FrontPage1Char">
    <w:name w:val="Front Page 1 Char"/>
    <w:basedOn w:val="DefaultParagraphFont"/>
    <w:link w:val="FrontPage1"/>
    <w:uiPriority w:val="10"/>
    <w:rsid w:val="00DC6C29"/>
    <w:rPr>
      <w:rFonts w:ascii="Calibri" w:eastAsiaTheme="majorEastAsia" w:hAnsi="Calibri" w:cstheme="majorBidi"/>
      <w:b/>
      <w:sz w:val="48"/>
      <w:szCs w:val="22"/>
      <w:lang w:eastAsia="en-US" w:bidi="en-US"/>
    </w:rPr>
  </w:style>
  <w:style w:type="paragraph" w:customStyle="1" w:styleId="PBACheading10">
    <w:name w:val="PBAC heading 1"/>
    <w:qFormat/>
    <w:rsid w:val="00EA1782"/>
    <w:pPr>
      <w:ind w:left="720" w:hanging="720"/>
      <w:outlineLvl w:val="0"/>
    </w:pPr>
    <w:rPr>
      <w:rFonts w:ascii="Arial" w:hAnsi="Arial" w:cs="Arial"/>
      <w:b/>
      <w:snapToGrid w:val="0"/>
      <w:sz w:val="22"/>
      <w:szCs w:val="22"/>
      <w:lang w:eastAsia="en-US"/>
    </w:rPr>
  </w:style>
  <w:style w:type="paragraph" w:styleId="Revision">
    <w:name w:val="Revision"/>
    <w:hidden/>
    <w:uiPriority w:val="71"/>
    <w:rsid w:val="008D7D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Emphasis">
    <w:name w:val="Emphasis"/>
    <w:basedOn w:val="DefaultParagraphFont"/>
    <w:qFormat/>
    <w:rsid w:val="00425849"/>
    <w:rPr>
      <w:i/>
      <w:iCs/>
    </w:rPr>
  </w:style>
  <w:style w:type="paragraph" w:styleId="FootnoteText">
    <w:name w:val="footnote text"/>
    <w:basedOn w:val="Normal"/>
    <w:link w:val="FootnoteTextChar"/>
    <w:rsid w:val="00425849"/>
    <w:rPr>
      <w:sz w:val="20"/>
      <w:szCs w:val="20"/>
    </w:rPr>
  </w:style>
  <w:style w:type="character" w:customStyle="1" w:styleId="FootnoteTextChar">
    <w:name w:val="Footnote Text Char"/>
    <w:basedOn w:val="DefaultParagraphFont"/>
    <w:link w:val="FootnoteText"/>
    <w:rsid w:val="00425849"/>
  </w:style>
  <w:style w:type="character" w:styleId="FootnoteReference">
    <w:name w:val="footnote reference"/>
    <w:basedOn w:val="DefaultParagraphFont"/>
    <w:rsid w:val="00425849"/>
    <w:rPr>
      <w:vertAlign w:val="superscript"/>
    </w:rPr>
  </w:style>
  <w:style w:type="paragraph" w:styleId="NormalWeb">
    <w:name w:val="Normal (Web)"/>
    <w:basedOn w:val="Normal"/>
    <w:uiPriority w:val="99"/>
    <w:rsid w:val="00425849"/>
    <w:pPr>
      <w:spacing w:before="100" w:after="100"/>
    </w:pPr>
    <w:rPr>
      <w:szCs w:val="20"/>
      <w:lang w:val="en-GB" w:eastAsia="en-US"/>
    </w:rPr>
  </w:style>
  <w:style w:type="table" w:customStyle="1" w:styleId="Submissionstandard9">
    <w:name w:val="Submission standard9"/>
    <w:basedOn w:val="TableNormal"/>
    <w:uiPriority w:val="99"/>
    <w:qFormat/>
    <w:rsid w:val="00A92B5F"/>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table" w:customStyle="1" w:styleId="Submissionstandard91">
    <w:name w:val="Submission standard91"/>
    <w:basedOn w:val="TableNormal"/>
    <w:uiPriority w:val="99"/>
    <w:qFormat/>
    <w:rsid w:val="00CB386C"/>
    <w:rPr>
      <w:rFonts w:ascii="Arial Narrow"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paragraph" w:customStyle="1" w:styleId="TableLeft">
    <w:name w:val="Table Left"/>
    <w:basedOn w:val="Normal"/>
    <w:link w:val="TableLeftChar"/>
    <w:uiPriority w:val="99"/>
    <w:qFormat/>
    <w:rsid w:val="00FF0A39"/>
    <w:pPr>
      <w:jc w:val="both"/>
    </w:pPr>
    <w:rPr>
      <w:rFonts w:ascii="Calibri" w:eastAsiaTheme="majorEastAsia" w:hAnsi="Calibri" w:cstheme="majorBidi"/>
      <w:sz w:val="20"/>
      <w:szCs w:val="22"/>
      <w:lang w:eastAsia="en-US" w:bidi="en-US"/>
    </w:rPr>
  </w:style>
  <w:style w:type="character" w:customStyle="1" w:styleId="TableLeftChar">
    <w:name w:val="Table Left Char"/>
    <w:basedOn w:val="DefaultParagraphFont"/>
    <w:link w:val="TableLeft"/>
    <w:uiPriority w:val="99"/>
    <w:locked/>
    <w:rsid w:val="00FF0A39"/>
    <w:rPr>
      <w:rFonts w:ascii="Calibri" w:eastAsiaTheme="majorEastAsia" w:hAnsi="Calibri" w:cstheme="majorBidi"/>
      <w:szCs w:val="22"/>
      <w:lang w:eastAsia="en-US" w:bidi="en-US"/>
    </w:rPr>
  </w:style>
  <w:style w:type="table" w:customStyle="1" w:styleId="TableGrid1">
    <w:name w:val="Table Grid1"/>
    <w:basedOn w:val="TableNormal"/>
    <w:next w:val="TableGrid"/>
    <w:uiPriority w:val="59"/>
    <w:rsid w:val="00FF0A3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FF0A39"/>
    <w:rPr>
      <w:rFonts w:ascii="Calibri" w:hAnsi="Calibri"/>
      <w:sz w:val="20"/>
      <w:bdr w:val="none" w:sz="0" w:space="0" w:color="auto"/>
      <w:shd w:val="clear" w:color="auto" w:fill="FFFF00"/>
    </w:rPr>
  </w:style>
  <w:style w:type="paragraph" w:customStyle="1" w:styleId="TableCentre">
    <w:name w:val="Table Centre"/>
    <w:basedOn w:val="Normal"/>
    <w:qFormat/>
    <w:rsid w:val="00FF0A39"/>
    <w:pPr>
      <w:jc w:val="center"/>
    </w:pPr>
    <w:rPr>
      <w:rFonts w:ascii="Calibri" w:eastAsiaTheme="majorEastAsia" w:hAnsi="Calibri" w:cstheme="majorBidi"/>
      <w:sz w:val="20"/>
      <w:szCs w:val="22"/>
      <w:lang w:eastAsia="en-US" w:bidi="en-US"/>
    </w:rPr>
  </w:style>
  <w:style w:type="paragraph" w:customStyle="1" w:styleId="FrontPage1">
    <w:name w:val="Front Page 1"/>
    <w:basedOn w:val="Normal"/>
    <w:next w:val="Normal"/>
    <w:link w:val="FrontPage1Char"/>
    <w:uiPriority w:val="10"/>
    <w:qFormat/>
    <w:rsid w:val="00DC6C29"/>
    <w:pPr>
      <w:spacing w:after="200" w:line="276" w:lineRule="auto"/>
      <w:jc w:val="center"/>
    </w:pPr>
    <w:rPr>
      <w:rFonts w:ascii="Calibri" w:eastAsiaTheme="majorEastAsia" w:hAnsi="Calibri" w:cstheme="majorBidi"/>
      <w:b/>
      <w:sz w:val="48"/>
      <w:szCs w:val="22"/>
      <w:lang w:eastAsia="en-US" w:bidi="en-US"/>
    </w:rPr>
  </w:style>
  <w:style w:type="character" w:customStyle="1" w:styleId="FrontPage1Char">
    <w:name w:val="Front Page 1 Char"/>
    <w:basedOn w:val="DefaultParagraphFont"/>
    <w:link w:val="FrontPage1"/>
    <w:uiPriority w:val="10"/>
    <w:rsid w:val="00DC6C29"/>
    <w:rPr>
      <w:rFonts w:ascii="Calibri" w:eastAsiaTheme="majorEastAsia" w:hAnsi="Calibri" w:cstheme="majorBidi"/>
      <w:b/>
      <w:sz w:val="48"/>
      <w:szCs w:val="22"/>
      <w:lang w:eastAsia="en-US" w:bidi="en-US"/>
    </w:rPr>
  </w:style>
  <w:style w:type="paragraph" w:customStyle="1" w:styleId="PBACheading10">
    <w:name w:val="PBAC heading 1"/>
    <w:qFormat/>
    <w:rsid w:val="00EA1782"/>
    <w:pPr>
      <w:ind w:left="720" w:hanging="720"/>
      <w:outlineLvl w:val="0"/>
    </w:pPr>
    <w:rPr>
      <w:rFonts w:ascii="Arial" w:hAnsi="Arial" w:cs="Arial"/>
      <w:b/>
      <w:snapToGrid w:val="0"/>
      <w:sz w:val="22"/>
      <w:szCs w:val="22"/>
      <w:lang w:eastAsia="en-US"/>
    </w:rPr>
  </w:style>
  <w:style w:type="paragraph" w:styleId="Revision">
    <w:name w:val="Revision"/>
    <w:hidden/>
    <w:uiPriority w:val="71"/>
    <w:rsid w:val="008D7D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454044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977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BB11-3C96-459B-B324-F15B6373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2579</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2018-09-24T03:22:00Z</dcterms:created>
  <dcterms:modified xsi:type="dcterms:W3CDTF">2018-10-16T06:04:00Z</dcterms:modified>
</cp:coreProperties>
</file>