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2C" w:rsidRDefault="00CC16B4" w:rsidP="00BF4E2C">
      <w:pPr>
        <w:ind w:left="709" w:hanging="709"/>
        <w:contextualSpacing/>
        <w:rPr>
          <w:rFonts w:cstheme="minorHAnsi"/>
          <w:b/>
          <w:sz w:val="36"/>
          <w:szCs w:val="36"/>
        </w:rPr>
      </w:pPr>
      <w:r w:rsidRPr="009D743B">
        <w:rPr>
          <w:b/>
          <w:sz w:val="36"/>
          <w:szCs w:val="36"/>
        </w:rPr>
        <w:t>7</w:t>
      </w:r>
      <w:r w:rsidR="00C317F3" w:rsidRPr="009D743B">
        <w:rPr>
          <w:b/>
          <w:sz w:val="36"/>
          <w:szCs w:val="36"/>
        </w:rPr>
        <w:t>.</w:t>
      </w:r>
      <w:r w:rsidRPr="009D743B">
        <w:rPr>
          <w:b/>
          <w:sz w:val="36"/>
          <w:szCs w:val="36"/>
        </w:rPr>
        <w:t>03</w:t>
      </w:r>
      <w:r w:rsidR="00C317F3" w:rsidRPr="009D743B">
        <w:rPr>
          <w:b/>
          <w:sz w:val="36"/>
          <w:szCs w:val="36"/>
        </w:rPr>
        <w:tab/>
      </w:r>
      <w:r w:rsidR="004D62EC" w:rsidRPr="009D743B">
        <w:rPr>
          <w:b/>
          <w:sz w:val="36"/>
          <w:szCs w:val="36"/>
        </w:rPr>
        <w:t>GOLIMUMAB,</w:t>
      </w:r>
      <w:r w:rsidR="004D62EC" w:rsidRPr="009D743B">
        <w:rPr>
          <w:b/>
          <w:sz w:val="36"/>
          <w:szCs w:val="36"/>
        </w:rPr>
        <w:br/>
      </w:r>
      <w:r w:rsidR="001C12C8" w:rsidRPr="009D743B">
        <w:rPr>
          <w:b/>
          <w:sz w:val="36"/>
          <w:szCs w:val="36"/>
        </w:rPr>
        <w:t>I</w:t>
      </w:r>
      <w:r w:rsidR="000C647C" w:rsidRPr="009D743B">
        <w:rPr>
          <w:b/>
          <w:sz w:val="36"/>
          <w:szCs w:val="36"/>
        </w:rPr>
        <w:t>njection 50 mg in 0.5 mL single use pre</w:t>
      </w:r>
      <w:r w:rsidR="00163DE0">
        <w:rPr>
          <w:b/>
          <w:sz w:val="36"/>
          <w:szCs w:val="36"/>
        </w:rPr>
        <w:t>-</w:t>
      </w:r>
      <w:r w:rsidR="000C647C" w:rsidRPr="009D743B">
        <w:rPr>
          <w:b/>
          <w:sz w:val="36"/>
          <w:szCs w:val="36"/>
        </w:rPr>
        <w:t xml:space="preserve">filled syringe </w:t>
      </w:r>
      <w:r w:rsidR="000C647C" w:rsidRPr="009D743B">
        <w:rPr>
          <w:rFonts w:cstheme="minorHAnsi"/>
          <w:b/>
          <w:sz w:val="36"/>
          <w:szCs w:val="36"/>
        </w:rPr>
        <w:t>and injection 50 mg in 0.5 mL single use pre</w:t>
      </w:r>
      <w:r w:rsidR="00163DE0">
        <w:rPr>
          <w:rFonts w:cstheme="minorHAnsi"/>
          <w:b/>
          <w:sz w:val="36"/>
          <w:szCs w:val="36"/>
        </w:rPr>
        <w:t>-</w:t>
      </w:r>
      <w:r w:rsidR="000C647C" w:rsidRPr="009D743B">
        <w:rPr>
          <w:rFonts w:cstheme="minorHAnsi"/>
          <w:b/>
          <w:sz w:val="36"/>
          <w:szCs w:val="36"/>
        </w:rPr>
        <w:t>filled pen</w:t>
      </w:r>
      <w:r w:rsidR="00BF4E2C">
        <w:rPr>
          <w:rFonts w:cstheme="minorHAnsi"/>
          <w:b/>
          <w:sz w:val="36"/>
          <w:szCs w:val="36"/>
        </w:rPr>
        <w:t>,</w:t>
      </w:r>
    </w:p>
    <w:p w:rsidR="001C12C8" w:rsidRPr="009D743B" w:rsidRDefault="00BF4E2C" w:rsidP="00BF4E2C">
      <w:pPr>
        <w:ind w:left="709" w:hanging="709"/>
        <w:contextualSpacing/>
        <w:rPr>
          <w:rFonts w:cstheme="minorHAnsi"/>
          <w:b/>
          <w:sz w:val="36"/>
          <w:szCs w:val="36"/>
        </w:rPr>
      </w:pPr>
      <w:r>
        <w:rPr>
          <w:b/>
          <w:sz w:val="36"/>
          <w:szCs w:val="36"/>
        </w:rPr>
        <w:tab/>
      </w:r>
      <w:r w:rsidR="004D62EC" w:rsidRPr="009D743B">
        <w:rPr>
          <w:rFonts w:cstheme="minorHAnsi"/>
          <w:b/>
          <w:sz w:val="36"/>
          <w:szCs w:val="36"/>
        </w:rPr>
        <w:t>Simponi®</w:t>
      </w:r>
      <w:r w:rsidR="00614BBD" w:rsidRPr="009D743B">
        <w:rPr>
          <w:rFonts w:cstheme="minorHAnsi"/>
          <w:b/>
          <w:sz w:val="36"/>
          <w:szCs w:val="36"/>
        </w:rPr>
        <w:t xml:space="preserve"> and Simponi Smartject®</w:t>
      </w:r>
      <w:r w:rsidR="004D62EC" w:rsidRPr="009D743B">
        <w:rPr>
          <w:rFonts w:cstheme="minorHAnsi"/>
          <w:b/>
          <w:sz w:val="36"/>
          <w:szCs w:val="36"/>
        </w:rPr>
        <w:t xml:space="preserve">, </w:t>
      </w:r>
    </w:p>
    <w:p w:rsidR="00C317F3" w:rsidRPr="009D743B" w:rsidRDefault="004D62EC" w:rsidP="00BF4E2C">
      <w:pPr>
        <w:ind w:left="709"/>
        <w:contextualSpacing/>
        <w:rPr>
          <w:rFonts w:cstheme="minorHAnsi"/>
          <w:b/>
          <w:sz w:val="36"/>
          <w:szCs w:val="36"/>
        </w:rPr>
      </w:pPr>
      <w:r w:rsidRPr="009D743B">
        <w:rPr>
          <w:rFonts w:cstheme="minorHAnsi"/>
          <w:b/>
          <w:sz w:val="36"/>
          <w:szCs w:val="36"/>
        </w:rPr>
        <w:t>Janssen-Cilag Pty Ltd</w:t>
      </w:r>
      <w:bookmarkStart w:id="0" w:name="_GoBack"/>
      <w:bookmarkEnd w:id="0"/>
    </w:p>
    <w:p w:rsidR="00C317F3" w:rsidRPr="009D743B" w:rsidRDefault="00C317F3" w:rsidP="002001C6">
      <w:pPr>
        <w:pStyle w:val="Heading1"/>
        <w:ind w:left="709" w:hanging="709"/>
      </w:pPr>
      <w:bookmarkStart w:id="1" w:name="_Toc413139271"/>
      <w:bookmarkStart w:id="2" w:name="_Toc514253021"/>
      <w:r w:rsidRPr="009D743B">
        <w:t xml:space="preserve">Purpose of </w:t>
      </w:r>
      <w:r w:rsidR="00661286" w:rsidRPr="009D743B">
        <w:t>a</w:t>
      </w:r>
      <w:r w:rsidRPr="009D743B">
        <w:t>pplication</w:t>
      </w:r>
      <w:bookmarkEnd w:id="1"/>
      <w:bookmarkEnd w:id="2"/>
    </w:p>
    <w:p w:rsidR="00903193" w:rsidRPr="009D743B" w:rsidRDefault="00F72DAC" w:rsidP="00B876BB">
      <w:pPr>
        <w:pStyle w:val="ListParagraph"/>
        <w:numPr>
          <w:ilvl w:val="1"/>
          <w:numId w:val="13"/>
        </w:numPr>
        <w:spacing w:before="0" w:after="120"/>
        <w:ind w:left="567" w:hanging="567"/>
        <w:jc w:val="both"/>
      </w:pPr>
      <w:r w:rsidRPr="009D743B">
        <w:t xml:space="preserve">The resubmission requested </w:t>
      </w:r>
      <w:r w:rsidR="00903193" w:rsidRPr="009D743B">
        <w:t>Authority Required listing for golimumab for the treatment of non-radiographic axial spondyloarthritis (nr-axSpA).</w:t>
      </w:r>
    </w:p>
    <w:p w:rsidR="00903193" w:rsidRPr="009D743B" w:rsidRDefault="00903193" w:rsidP="00B876BB">
      <w:pPr>
        <w:pStyle w:val="ListParagraph"/>
        <w:numPr>
          <w:ilvl w:val="1"/>
          <w:numId w:val="13"/>
        </w:numPr>
        <w:spacing w:before="0" w:after="120"/>
        <w:ind w:left="567" w:hanging="567"/>
        <w:jc w:val="both"/>
      </w:pPr>
      <w:r w:rsidRPr="009D743B">
        <w:t>The requested basis for listing was a cost-utility analysis of golimumab and background non-steroidal anti-inflammatory drugs (NSAIDs) versus conventional care (as represented by placebo plus background NSAIDs). The first submission was considered at the November 2017 PBAC Meeting.</w:t>
      </w:r>
    </w:p>
    <w:p w:rsidR="00903193" w:rsidRPr="009D743B" w:rsidRDefault="00903193" w:rsidP="00B876BB">
      <w:pPr>
        <w:pStyle w:val="ListParagraph"/>
        <w:numPr>
          <w:ilvl w:val="1"/>
          <w:numId w:val="13"/>
        </w:numPr>
        <w:spacing w:before="0" w:after="200"/>
        <w:ind w:left="567" w:hanging="567"/>
        <w:jc w:val="both"/>
      </w:pPr>
      <w:r w:rsidRPr="009D743B">
        <w:t>The key components of the clinical issue addressed by the resubmission are presented in Table 1</w:t>
      </w:r>
      <w:r w:rsidR="00E50C74" w:rsidRPr="009D743B">
        <w:t>.</w:t>
      </w:r>
      <w:r w:rsidR="00D17B0A" w:rsidRPr="009D743B">
        <w:t xml:space="preserve"> </w:t>
      </w:r>
      <w:r w:rsidR="00E50C74" w:rsidRPr="009D743B">
        <w:t>C</w:t>
      </w:r>
      <w:r w:rsidR="00D17B0A" w:rsidRPr="009D743B">
        <w:t>hanges compared with the previous submission are underlined</w:t>
      </w:r>
      <w:r w:rsidRPr="009D743B">
        <w:t>.</w:t>
      </w:r>
      <w:r w:rsidR="001F513F" w:rsidRPr="009D743B">
        <w:t xml:space="preserve"> The ESC noted that a key change was that the </w:t>
      </w:r>
      <w:r w:rsidR="00412BD7" w:rsidRPr="009D743B">
        <w:t>restriction proposed in the resubmission</w:t>
      </w:r>
      <w:r w:rsidR="001F513F" w:rsidRPr="009D743B">
        <w:t xml:space="preserve"> required patients to have both elevated C reactive protein (CRP) </w:t>
      </w:r>
      <w:r w:rsidR="001F513F" w:rsidRPr="009D743B">
        <w:rPr>
          <w:u w:val="single"/>
        </w:rPr>
        <w:t>and</w:t>
      </w:r>
      <w:r w:rsidR="001F513F" w:rsidRPr="009D743B">
        <w:t xml:space="preserve"> </w:t>
      </w:r>
      <w:r w:rsidR="00412BD7" w:rsidRPr="009D743B">
        <w:t xml:space="preserve">sacroiliitis on </w:t>
      </w:r>
      <w:r w:rsidR="001F513F" w:rsidRPr="009D743B">
        <w:t>magnetic resonance imaging (MRI</w:t>
      </w:r>
      <w:r w:rsidR="00412BD7" w:rsidRPr="009D743B">
        <w:t>)</w:t>
      </w:r>
      <w:r w:rsidR="001F513F" w:rsidRPr="009D743B">
        <w:t xml:space="preserve">, rather than </w:t>
      </w:r>
      <w:r w:rsidR="00412BD7" w:rsidRPr="009D743B">
        <w:t>only requiring</w:t>
      </w:r>
      <w:r w:rsidR="001F513F" w:rsidRPr="009D743B">
        <w:t xml:space="preserve"> one or the other</w:t>
      </w:r>
      <w:r w:rsidR="004C3E4B" w:rsidRPr="009D743B">
        <w:t xml:space="preserve"> (as requested by the PBAC in its November 2017 consideration)</w:t>
      </w:r>
      <w:r w:rsidR="001F513F" w:rsidRPr="009D743B">
        <w:t>.</w:t>
      </w:r>
      <w:r w:rsidR="00FF32D3" w:rsidRPr="009D743B">
        <w:t xml:space="preserve"> The ESC noted this would limit use to a much smaller number of patients. </w:t>
      </w:r>
    </w:p>
    <w:p w:rsidR="00903193" w:rsidRPr="009D743B" w:rsidRDefault="00903193" w:rsidP="00903193">
      <w:pPr>
        <w:pStyle w:val="Caption"/>
        <w:jc w:val="both"/>
        <w:rPr>
          <w:rFonts w:ascii="Arial Narrow" w:hAnsi="Arial Narrow"/>
        </w:rPr>
      </w:pPr>
      <w:bookmarkStart w:id="3" w:name="_Ref510016519"/>
      <w:r w:rsidRPr="009D743B">
        <w:rPr>
          <w:rFonts w:ascii="Arial Narrow" w:hAnsi="Arial Narrow"/>
        </w:rPr>
        <w:t xml:space="preserve">Table </w:t>
      </w:r>
      <w:r w:rsidR="00B40F42" w:rsidRPr="009D743B">
        <w:rPr>
          <w:rFonts w:ascii="Arial Narrow" w:hAnsi="Arial Narrow"/>
        </w:rPr>
        <w:t>1</w:t>
      </w:r>
      <w:bookmarkEnd w:id="3"/>
      <w:r w:rsidRPr="009D743B">
        <w:rPr>
          <w:rFonts w:ascii="Arial Narrow" w:hAnsi="Arial Narrow"/>
        </w:rPr>
        <w:t>: Key components of the clinical issue addressed by the resubmission</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588"/>
        <w:gridCol w:w="7484"/>
      </w:tblGrid>
      <w:tr w:rsidR="00AE513E" w:rsidRPr="009D743B" w:rsidTr="00DB7BEB">
        <w:trPr>
          <w:cnfStyle w:val="100000000000" w:firstRow="1" w:lastRow="0" w:firstColumn="0" w:lastColumn="0" w:oddVBand="0" w:evenVBand="0" w:oddHBand="0" w:evenHBand="0" w:firstRowFirstColumn="0" w:firstRowLastColumn="0" w:lastRowFirstColumn="0" w:lastRowLastColumn="0"/>
          <w:cantSplit/>
          <w:tblHeader/>
        </w:trPr>
        <w:tc>
          <w:tcPr>
            <w:tcW w:w="1588" w:type="dxa"/>
            <w:shd w:val="clear" w:color="auto" w:fill="auto"/>
          </w:tcPr>
          <w:p w:rsidR="00AE513E" w:rsidRPr="009D743B" w:rsidRDefault="00AE513E" w:rsidP="00772501">
            <w:pPr>
              <w:pStyle w:val="TableText"/>
              <w:rPr>
                <w:szCs w:val="20"/>
                <w:lang w:val="en-AU"/>
              </w:rPr>
            </w:pPr>
            <w:r w:rsidRPr="009D743B">
              <w:rPr>
                <w:lang w:val="en-AU"/>
              </w:rPr>
              <w:t>Component</w:t>
            </w:r>
          </w:p>
        </w:tc>
        <w:tc>
          <w:tcPr>
            <w:tcW w:w="7484" w:type="dxa"/>
            <w:shd w:val="clear" w:color="auto" w:fill="auto"/>
          </w:tcPr>
          <w:p w:rsidR="00AE513E" w:rsidRPr="009D743B" w:rsidRDefault="00AE513E" w:rsidP="00772501">
            <w:pPr>
              <w:pStyle w:val="TableText"/>
              <w:rPr>
                <w:lang w:val="en-AU"/>
              </w:rPr>
            </w:pPr>
            <w:r w:rsidRPr="009D743B">
              <w:rPr>
                <w:lang w:val="en-AU"/>
              </w:rPr>
              <w:t>Description</w:t>
            </w:r>
          </w:p>
        </w:tc>
      </w:tr>
      <w:tr w:rsidR="00F648C0" w:rsidRPr="009D743B" w:rsidTr="00DB7BEB">
        <w:trPr>
          <w:cantSplit/>
        </w:trPr>
        <w:tc>
          <w:tcPr>
            <w:tcW w:w="1588" w:type="dxa"/>
            <w:shd w:val="clear" w:color="auto" w:fill="auto"/>
          </w:tcPr>
          <w:p w:rsidR="00F648C0" w:rsidRPr="009D743B" w:rsidRDefault="00F648C0" w:rsidP="00F648C0">
            <w:pPr>
              <w:pStyle w:val="TableText"/>
              <w:rPr>
                <w:lang w:val="en-AU"/>
              </w:rPr>
            </w:pPr>
            <w:r w:rsidRPr="009D743B">
              <w:rPr>
                <w:lang w:val="en-AU"/>
              </w:rPr>
              <w:t>Population</w:t>
            </w:r>
          </w:p>
        </w:tc>
        <w:tc>
          <w:tcPr>
            <w:tcW w:w="7484" w:type="dxa"/>
          </w:tcPr>
          <w:p w:rsidR="00F648C0" w:rsidRPr="009D743B" w:rsidRDefault="00F648C0" w:rsidP="00F648C0">
            <w:pPr>
              <w:pStyle w:val="TableText"/>
              <w:rPr>
                <w:lang w:val="en-AU"/>
              </w:rPr>
            </w:pPr>
            <w:r w:rsidRPr="009D743B">
              <w:rPr>
                <w:lang w:val="en-AU"/>
              </w:rPr>
              <w:t>Patients with non-radiographic axial spondyloarthritis</w:t>
            </w:r>
            <w:r w:rsidR="00765BF7" w:rsidRPr="009D743B">
              <w:rPr>
                <w:lang w:val="en-AU"/>
              </w:rPr>
              <w:t xml:space="preserve"> (nr-axSpA)</w:t>
            </w:r>
            <w:r w:rsidRPr="009D743B">
              <w:rPr>
                <w:lang w:val="en-AU"/>
              </w:rPr>
              <w:t>, as defined by Assessment of Spondyloarthritis International Society (ASAS) criteria.</w:t>
            </w:r>
          </w:p>
          <w:p w:rsidR="00F648C0" w:rsidRPr="009D743B" w:rsidRDefault="00F648C0" w:rsidP="00765BF7">
            <w:pPr>
              <w:pStyle w:val="TableText"/>
              <w:rPr>
                <w:lang w:val="en-AU"/>
              </w:rPr>
            </w:pPr>
            <w:r w:rsidRPr="009D743B">
              <w:rPr>
                <w:lang w:val="en-AU"/>
              </w:rPr>
              <w:t xml:space="preserve">Patients must have objective signs of inflammation (OSI) as indicated by </w:t>
            </w:r>
            <w:r w:rsidRPr="009D743B">
              <w:rPr>
                <w:u w:val="single"/>
                <w:lang w:val="en-AU"/>
              </w:rPr>
              <w:t>elevated C</w:t>
            </w:r>
            <w:r w:rsidRPr="009D743B">
              <w:rPr>
                <w:u w:val="single"/>
                <w:lang w:val="en-AU"/>
              </w:rPr>
              <w:noBreakHyphen/>
              <w:t>reactive protein (CRP) and magnetic resonance imaging (MRI) evidence</w:t>
            </w:r>
            <w:r w:rsidRPr="009D743B">
              <w:rPr>
                <w:lang w:val="en-AU"/>
              </w:rPr>
              <w:t xml:space="preserve">, </w:t>
            </w:r>
            <w:r w:rsidR="00765BF7" w:rsidRPr="009D743B">
              <w:rPr>
                <w:lang w:val="en-AU"/>
              </w:rPr>
              <w:t xml:space="preserve">and </w:t>
            </w:r>
            <w:r w:rsidRPr="009D743B">
              <w:rPr>
                <w:lang w:val="en-AU"/>
              </w:rPr>
              <w:t>have had an inadequate response to, or are intolerant to, at least two nonsteroidal anti</w:t>
            </w:r>
            <w:r w:rsidRPr="009D743B">
              <w:rPr>
                <w:lang w:val="en-AU"/>
              </w:rPr>
              <w:noBreakHyphen/>
              <w:t>inflammatory drugs (NSAIDs) for a period of 3 months.</w:t>
            </w:r>
          </w:p>
        </w:tc>
      </w:tr>
      <w:tr w:rsidR="00F648C0" w:rsidRPr="009D743B" w:rsidTr="00DB7BEB">
        <w:trPr>
          <w:cantSplit/>
        </w:trPr>
        <w:tc>
          <w:tcPr>
            <w:tcW w:w="1588" w:type="dxa"/>
            <w:shd w:val="clear" w:color="auto" w:fill="auto"/>
          </w:tcPr>
          <w:p w:rsidR="00F648C0" w:rsidRPr="009D743B" w:rsidRDefault="00F648C0" w:rsidP="00F648C0">
            <w:pPr>
              <w:pStyle w:val="TableText"/>
              <w:rPr>
                <w:lang w:val="en-AU"/>
              </w:rPr>
            </w:pPr>
            <w:r w:rsidRPr="009D743B">
              <w:rPr>
                <w:lang w:val="en-AU"/>
              </w:rPr>
              <w:t>Intervention</w:t>
            </w:r>
          </w:p>
        </w:tc>
        <w:tc>
          <w:tcPr>
            <w:tcW w:w="7484" w:type="dxa"/>
          </w:tcPr>
          <w:p w:rsidR="00F648C0" w:rsidRPr="009D743B" w:rsidRDefault="00F648C0" w:rsidP="00F648C0">
            <w:pPr>
              <w:pStyle w:val="TableText"/>
              <w:rPr>
                <w:lang w:val="en-AU"/>
              </w:rPr>
            </w:pPr>
            <w:r w:rsidRPr="009D743B">
              <w:rPr>
                <w:lang w:val="en-AU"/>
              </w:rPr>
              <w:t>Golimumab 50 mg, subcutaneous injection once every 4 weeks, on the same date each month.  Golimumab may be administered in combination with NSAIDs or as monotherapy.</w:t>
            </w:r>
          </w:p>
        </w:tc>
      </w:tr>
      <w:tr w:rsidR="00F648C0" w:rsidRPr="009D743B" w:rsidTr="00DB7BEB">
        <w:trPr>
          <w:cantSplit/>
        </w:trPr>
        <w:tc>
          <w:tcPr>
            <w:tcW w:w="1588" w:type="dxa"/>
            <w:shd w:val="clear" w:color="auto" w:fill="auto"/>
          </w:tcPr>
          <w:p w:rsidR="00F648C0" w:rsidRPr="009D743B" w:rsidRDefault="00F648C0" w:rsidP="00F648C0">
            <w:pPr>
              <w:pStyle w:val="TableText"/>
              <w:rPr>
                <w:lang w:val="en-AU"/>
              </w:rPr>
            </w:pPr>
            <w:r w:rsidRPr="009D743B">
              <w:rPr>
                <w:lang w:val="en-AU"/>
              </w:rPr>
              <w:t>Comparator</w:t>
            </w:r>
          </w:p>
        </w:tc>
        <w:tc>
          <w:tcPr>
            <w:tcW w:w="7484" w:type="dxa"/>
          </w:tcPr>
          <w:p w:rsidR="00F648C0" w:rsidRPr="009D743B" w:rsidRDefault="00F648C0" w:rsidP="00F648C0">
            <w:pPr>
              <w:spacing w:before="40" w:after="40"/>
              <w:rPr>
                <w:rFonts w:ascii="Arial Narrow" w:hAnsi="Arial Narrow"/>
                <w:sz w:val="20"/>
                <w:szCs w:val="20"/>
                <w:lang w:val="en-AU"/>
              </w:rPr>
            </w:pPr>
            <w:r w:rsidRPr="009D743B">
              <w:rPr>
                <w:rFonts w:ascii="Arial Narrow" w:hAnsi="Arial Narrow"/>
                <w:sz w:val="20"/>
                <w:szCs w:val="20"/>
                <w:lang w:val="en-AU"/>
              </w:rPr>
              <w:t xml:space="preserve">Placebo in combination with conventional care (CC), where </w:t>
            </w:r>
            <w:r w:rsidR="00765BF7" w:rsidRPr="009D743B">
              <w:rPr>
                <w:rFonts w:ascii="Arial Narrow" w:hAnsi="Arial Narrow"/>
                <w:sz w:val="20"/>
                <w:szCs w:val="20"/>
                <w:lang w:val="en-AU"/>
              </w:rPr>
              <w:t>CC</w:t>
            </w:r>
            <w:r w:rsidRPr="009D743B">
              <w:rPr>
                <w:rFonts w:ascii="Arial Narrow" w:hAnsi="Arial Narrow"/>
                <w:sz w:val="20"/>
                <w:szCs w:val="20"/>
                <w:lang w:val="en-AU"/>
              </w:rPr>
              <w:t xml:space="preserve"> is defined as ‘with NSAID background treatment’ (± NSAID treatment).</w:t>
            </w:r>
            <w:r w:rsidR="00851332" w:rsidRPr="009D743B">
              <w:rPr>
                <w:rFonts w:ascii="Arial Narrow" w:hAnsi="Arial Narrow"/>
                <w:sz w:val="20"/>
                <w:szCs w:val="20"/>
                <w:lang w:val="en-AU"/>
              </w:rPr>
              <w:t xml:space="preserve"> The PBAC </w:t>
            </w:r>
            <w:r w:rsidR="00074CDF" w:rsidRPr="009D743B">
              <w:rPr>
                <w:rFonts w:ascii="Arial Narrow" w:hAnsi="Arial Narrow"/>
                <w:sz w:val="20"/>
                <w:szCs w:val="20"/>
                <w:lang w:val="en-AU"/>
              </w:rPr>
              <w:t xml:space="preserve">had previously </w:t>
            </w:r>
            <w:r w:rsidR="00851332" w:rsidRPr="009D743B">
              <w:rPr>
                <w:rFonts w:ascii="Arial Narrow" w:hAnsi="Arial Narrow"/>
                <w:sz w:val="20"/>
                <w:szCs w:val="20"/>
                <w:lang w:val="en-AU"/>
              </w:rPr>
              <w:t xml:space="preserve">accepted that the nominated comparator was appropriate (6.04 Golimumab PBAC November 2017 </w:t>
            </w:r>
            <w:r w:rsidR="0025692D">
              <w:rPr>
                <w:rFonts w:ascii="Arial Narrow" w:hAnsi="Arial Narrow"/>
                <w:sz w:val="20"/>
                <w:szCs w:val="20"/>
                <w:lang w:val="en-AU"/>
              </w:rPr>
              <w:t>PSD</w:t>
            </w:r>
            <w:r w:rsidR="00851332" w:rsidRPr="009D743B">
              <w:rPr>
                <w:rFonts w:ascii="Arial Narrow" w:hAnsi="Arial Narrow"/>
                <w:sz w:val="20"/>
                <w:szCs w:val="20"/>
                <w:lang w:val="en-AU"/>
              </w:rPr>
              <w:t>, paragraph 5.1).</w:t>
            </w:r>
          </w:p>
          <w:p w:rsidR="00F648C0" w:rsidRPr="009D743B" w:rsidRDefault="00F648C0" w:rsidP="00F648C0">
            <w:pPr>
              <w:pStyle w:val="TableText"/>
              <w:rPr>
                <w:lang w:val="en-AU"/>
              </w:rPr>
            </w:pPr>
            <w:r w:rsidRPr="009D743B">
              <w:rPr>
                <w:szCs w:val="20"/>
                <w:lang w:val="en-AU"/>
              </w:rPr>
              <w:t>[The clinical and economic comparison is golimumab + CC versus placebo + CC].</w:t>
            </w:r>
          </w:p>
        </w:tc>
      </w:tr>
      <w:tr w:rsidR="00F648C0" w:rsidRPr="009D743B" w:rsidTr="00DB7BEB">
        <w:trPr>
          <w:cantSplit/>
        </w:trPr>
        <w:tc>
          <w:tcPr>
            <w:tcW w:w="1588" w:type="dxa"/>
            <w:shd w:val="clear" w:color="auto" w:fill="auto"/>
          </w:tcPr>
          <w:p w:rsidR="00F648C0" w:rsidRPr="009D743B" w:rsidRDefault="00F648C0" w:rsidP="00F648C0">
            <w:pPr>
              <w:pStyle w:val="TableText"/>
              <w:rPr>
                <w:lang w:val="en-AU"/>
              </w:rPr>
            </w:pPr>
            <w:r w:rsidRPr="009D743B">
              <w:rPr>
                <w:lang w:val="en-AU"/>
              </w:rPr>
              <w:t>Outcomes</w:t>
            </w:r>
          </w:p>
        </w:tc>
        <w:tc>
          <w:tcPr>
            <w:tcW w:w="7484" w:type="dxa"/>
          </w:tcPr>
          <w:p w:rsidR="00F648C0" w:rsidRPr="009D743B" w:rsidRDefault="00F648C0" w:rsidP="00F648C0">
            <w:pPr>
              <w:pStyle w:val="TableText"/>
              <w:rPr>
                <w:lang w:val="en-AU"/>
              </w:rPr>
            </w:pPr>
            <w:r w:rsidRPr="009D743B">
              <w:rPr>
                <w:szCs w:val="20"/>
                <w:lang w:val="en-AU"/>
              </w:rPr>
              <w:t>Clinical response (Primary outcome of ASAS 20); change in patient reported outcomes, change in physician’s global visual analogue scale, change in safety and tolerability.</w:t>
            </w:r>
          </w:p>
        </w:tc>
      </w:tr>
      <w:tr w:rsidR="00F648C0" w:rsidRPr="009D743B" w:rsidTr="00DB7BEB">
        <w:trPr>
          <w:cantSplit/>
        </w:trPr>
        <w:tc>
          <w:tcPr>
            <w:tcW w:w="1588" w:type="dxa"/>
            <w:shd w:val="clear" w:color="auto" w:fill="auto"/>
          </w:tcPr>
          <w:p w:rsidR="00F648C0" w:rsidRPr="009D743B" w:rsidRDefault="00F648C0" w:rsidP="00F648C0">
            <w:pPr>
              <w:pStyle w:val="TableText"/>
              <w:rPr>
                <w:lang w:val="en-AU"/>
              </w:rPr>
            </w:pPr>
            <w:r w:rsidRPr="009D743B">
              <w:rPr>
                <w:lang w:val="en-AU"/>
              </w:rPr>
              <w:t>Clinical claim</w:t>
            </w:r>
          </w:p>
        </w:tc>
        <w:tc>
          <w:tcPr>
            <w:tcW w:w="7484" w:type="dxa"/>
          </w:tcPr>
          <w:p w:rsidR="00F648C0" w:rsidRPr="009D743B" w:rsidRDefault="00F648C0" w:rsidP="00765BF7">
            <w:pPr>
              <w:pStyle w:val="TableText"/>
              <w:rPr>
                <w:lang w:val="en-AU"/>
              </w:rPr>
            </w:pPr>
            <w:r w:rsidRPr="009D743B">
              <w:rPr>
                <w:lang w:val="en-AU"/>
              </w:rPr>
              <w:t xml:space="preserve">In patients with nr-axSpA, who have OSI as indicated by elevated CRP and MRI evidence, and who have had an inadequate response to, or are intolerant to, NSAIDs, golimumab </w:t>
            </w:r>
            <w:r w:rsidR="00663408" w:rsidRPr="009D743B">
              <w:rPr>
                <w:lang w:val="en-AU"/>
              </w:rPr>
              <w:t>is</w:t>
            </w:r>
            <w:r w:rsidRPr="009D743B">
              <w:rPr>
                <w:lang w:val="en-AU"/>
              </w:rPr>
              <w:t xml:space="preserve"> superior in effectiveness, with a</w:t>
            </w:r>
            <w:r w:rsidR="00663408" w:rsidRPr="009D743B">
              <w:rPr>
                <w:lang w:val="en-AU"/>
              </w:rPr>
              <w:t xml:space="preserve">n </w:t>
            </w:r>
            <w:r w:rsidR="00663408" w:rsidRPr="009D743B">
              <w:rPr>
                <w:u w:val="single"/>
                <w:lang w:val="en-AU"/>
              </w:rPr>
              <w:t xml:space="preserve">inferior </w:t>
            </w:r>
            <w:r w:rsidRPr="009D743B">
              <w:rPr>
                <w:u w:val="single"/>
                <w:lang w:val="en-AU"/>
              </w:rPr>
              <w:t>safety</w:t>
            </w:r>
            <w:r w:rsidRPr="009D743B">
              <w:rPr>
                <w:lang w:val="en-AU"/>
              </w:rPr>
              <w:t xml:space="preserve"> profile </w:t>
            </w:r>
            <w:r w:rsidR="00663408" w:rsidRPr="009D743B">
              <w:rPr>
                <w:lang w:val="en-AU"/>
              </w:rPr>
              <w:t>compared to placebo</w:t>
            </w:r>
            <w:r w:rsidR="00765BF7" w:rsidRPr="009D743B">
              <w:rPr>
                <w:lang w:val="en-AU"/>
              </w:rPr>
              <w:t xml:space="preserve"> + CC.</w:t>
            </w:r>
            <w:r w:rsidRPr="009D743B">
              <w:rPr>
                <w:lang w:val="en-AU"/>
              </w:rPr>
              <w:t xml:space="preserve">. </w:t>
            </w:r>
          </w:p>
        </w:tc>
      </w:tr>
    </w:tbl>
    <w:p w:rsidR="00F648C0" w:rsidRPr="009D743B" w:rsidRDefault="00F648C0" w:rsidP="00F648C0">
      <w:pPr>
        <w:widowControl w:val="0"/>
        <w:spacing w:before="0" w:after="0"/>
        <w:rPr>
          <w:rFonts w:ascii="Arial Narrow" w:eastAsia="Times New Roman" w:hAnsi="Arial Narrow" w:cs="Arial"/>
          <w:snapToGrid w:val="0"/>
          <w:sz w:val="18"/>
          <w:szCs w:val="18"/>
        </w:rPr>
      </w:pPr>
      <w:bookmarkStart w:id="4" w:name="_Toc413139272"/>
      <w:r w:rsidRPr="009D743B">
        <w:rPr>
          <w:rFonts w:ascii="Arial Narrow" w:eastAsia="Times New Roman" w:hAnsi="Arial Narrow" w:cs="Arial"/>
          <w:snapToGrid w:val="0"/>
          <w:sz w:val="18"/>
          <w:szCs w:val="18"/>
        </w:rPr>
        <w:t>Source: Table 1.1.1, p22-23 of the resubmission</w:t>
      </w:r>
    </w:p>
    <w:p w:rsidR="004F5B73" w:rsidRDefault="004F5B73">
      <w:pPr>
        <w:spacing w:before="0" w:line="259" w:lineRule="auto"/>
        <w:rPr>
          <w:rFonts w:ascii="Arial Narrow" w:eastAsia="Times New Roman" w:hAnsi="Arial Narrow" w:cs="Arial"/>
          <w:snapToGrid w:val="0"/>
          <w:sz w:val="18"/>
          <w:szCs w:val="18"/>
        </w:rPr>
      </w:pPr>
      <w:r>
        <w:rPr>
          <w:rFonts w:ascii="Arial Narrow" w:eastAsia="Times New Roman" w:hAnsi="Arial Narrow" w:cs="Arial"/>
          <w:snapToGrid w:val="0"/>
          <w:sz w:val="18"/>
          <w:szCs w:val="18"/>
        </w:rPr>
        <w:br w:type="page"/>
      </w:r>
    </w:p>
    <w:p w:rsidR="00E4041E" w:rsidRPr="009D743B" w:rsidRDefault="00C317F3" w:rsidP="00E4041E">
      <w:pPr>
        <w:pStyle w:val="Heading1"/>
        <w:ind w:left="709" w:hanging="709"/>
      </w:pPr>
      <w:bookmarkStart w:id="5" w:name="_Toc514253022"/>
      <w:r w:rsidRPr="009D743B">
        <w:lastRenderedPageBreak/>
        <w:t>Requested listing</w:t>
      </w:r>
      <w:bookmarkEnd w:id="4"/>
      <w:bookmarkEnd w:id="5"/>
      <w:r w:rsidR="005C6285" w:rsidRPr="009D743B">
        <w:t xml:space="preserve"> </w:t>
      </w:r>
    </w:p>
    <w:tbl>
      <w:tblPr>
        <w:tblStyle w:val="PlainTable211"/>
        <w:tblW w:w="9236" w:type="dxa"/>
        <w:tblLook w:val="04A0" w:firstRow="1" w:lastRow="0" w:firstColumn="1" w:lastColumn="0" w:noHBand="0" w:noVBand="1"/>
        <w:tblCaption w:val="Requested listing"/>
      </w:tblPr>
      <w:tblGrid>
        <w:gridCol w:w="1738"/>
        <w:gridCol w:w="672"/>
        <w:gridCol w:w="1107"/>
        <w:gridCol w:w="1328"/>
        <w:gridCol w:w="947"/>
        <w:gridCol w:w="1680"/>
        <w:gridCol w:w="1764"/>
      </w:tblGrid>
      <w:tr w:rsidR="000A573D" w:rsidRPr="009D743B" w:rsidTr="00D561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gridSpan w:val="2"/>
          </w:tcPr>
          <w:p w:rsidR="000A573D" w:rsidRPr="009D743B" w:rsidRDefault="000A573D" w:rsidP="000A573D">
            <w:pPr>
              <w:spacing w:before="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Name, restriction, manner of administration, form</w:t>
            </w:r>
          </w:p>
        </w:tc>
        <w:tc>
          <w:tcPr>
            <w:tcW w:w="1107" w:type="dxa"/>
          </w:tcPr>
          <w:p w:rsidR="000A573D" w:rsidRPr="009D743B" w:rsidRDefault="000A573D" w:rsidP="000A573D">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Maximum quantity (packs)</w:t>
            </w:r>
          </w:p>
        </w:tc>
        <w:tc>
          <w:tcPr>
            <w:tcW w:w="0" w:type="auto"/>
          </w:tcPr>
          <w:p w:rsidR="000A573D" w:rsidRPr="009D743B" w:rsidRDefault="000A573D" w:rsidP="000A573D">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Maximum quantity (units)</w:t>
            </w:r>
          </w:p>
        </w:tc>
        <w:tc>
          <w:tcPr>
            <w:tcW w:w="0" w:type="auto"/>
          </w:tcPr>
          <w:p w:rsidR="000A573D" w:rsidRPr="009D743B" w:rsidRDefault="000A573D" w:rsidP="000A573D">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No. of repeats</w:t>
            </w:r>
          </w:p>
        </w:tc>
        <w:tc>
          <w:tcPr>
            <w:tcW w:w="0" w:type="auto"/>
          </w:tcPr>
          <w:p w:rsidR="000A573D" w:rsidRPr="009D743B" w:rsidRDefault="000A573D" w:rsidP="000A573D">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Dispensed price for maximum quantity</w:t>
            </w:r>
          </w:p>
        </w:tc>
        <w:tc>
          <w:tcPr>
            <w:tcW w:w="0" w:type="auto"/>
          </w:tcPr>
          <w:p w:rsidR="000A573D" w:rsidRPr="009D743B" w:rsidRDefault="000A573D" w:rsidP="000A573D">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Proprietary name and manufacturer</w:t>
            </w:r>
          </w:p>
        </w:tc>
      </w:tr>
      <w:tr w:rsidR="00BF4E2C" w:rsidRPr="009D743B" w:rsidTr="00BF4E2C">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2410" w:type="dxa"/>
            <w:gridSpan w:val="2"/>
            <w:tcBorders>
              <w:bottom w:val="nil"/>
            </w:tcBorders>
          </w:tcPr>
          <w:p w:rsidR="00BF4E2C" w:rsidRPr="009D743B" w:rsidRDefault="00BF4E2C" w:rsidP="000A573D">
            <w:pPr>
              <w:spacing w:before="0"/>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GOLIMUMAB</w:t>
            </w:r>
          </w:p>
          <w:p w:rsidR="00BF4E2C" w:rsidRPr="009D743B" w:rsidRDefault="00BF4E2C" w:rsidP="000A573D">
            <w:pPr>
              <w:spacing w:before="0"/>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Initial treatment</w:t>
            </w:r>
          </w:p>
          <w:p w:rsidR="00BF4E2C" w:rsidRPr="009D743B" w:rsidRDefault="00BF4E2C" w:rsidP="000A573D">
            <w:pPr>
              <w:spacing w:before="0"/>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50mg/0.5mL pre-filled syringe</w:t>
            </w:r>
          </w:p>
          <w:p w:rsidR="00BF4E2C" w:rsidRPr="00BF4E2C" w:rsidRDefault="00BF4E2C" w:rsidP="000A573D">
            <w:pPr>
              <w:spacing w:before="0"/>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 xml:space="preserve">50mg/0.5mL </w:t>
            </w:r>
            <w:r w:rsidRPr="009D743B">
              <w:rPr>
                <w:rFonts w:ascii="Arial Narrow" w:eastAsia="Times New Roman" w:hAnsi="Arial Narrow" w:cs="Times New Roman"/>
                <w:b w:val="0"/>
                <w:sz w:val="20"/>
                <w:szCs w:val="20"/>
                <w:u w:val="single"/>
              </w:rPr>
              <w:t>pre-filled pen</w:t>
            </w:r>
          </w:p>
        </w:tc>
        <w:tc>
          <w:tcPr>
            <w:tcW w:w="1107" w:type="dxa"/>
            <w:tcBorders>
              <w:bottom w:val="nil"/>
            </w:tcBorders>
          </w:tcPr>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BF4E2C" w:rsidRPr="009D743B" w:rsidRDefault="00BF4E2C" w:rsidP="00BF4E2C">
            <w:pPr>
              <w:spacing w:before="0"/>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9D743B">
              <w:rPr>
                <w:rFonts w:ascii="Arial Narrow" w:eastAsia="Times New Roman" w:hAnsi="Arial Narrow" w:cs="Times New Roman"/>
                <w:sz w:val="20"/>
                <w:szCs w:val="20"/>
              </w:rPr>
              <w:t>1</w:t>
            </w:r>
          </w:p>
        </w:tc>
        <w:tc>
          <w:tcPr>
            <w:tcW w:w="0" w:type="auto"/>
            <w:tcBorders>
              <w:bottom w:val="nil"/>
            </w:tcBorders>
          </w:tcPr>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BF4E2C" w:rsidRPr="009D743B" w:rsidRDefault="00BF4E2C" w:rsidP="00BF4E2C">
            <w:pPr>
              <w:spacing w:before="0"/>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9D743B">
              <w:rPr>
                <w:rFonts w:ascii="Arial Narrow" w:eastAsia="Times New Roman" w:hAnsi="Arial Narrow" w:cs="Times New Roman"/>
                <w:sz w:val="20"/>
                <w:szCs w:val="20"/>
              </w:rPr>
              <w:t>1</w:t>
            </w:r>
          </w:p>
        </w:tc>
        <w:tc>
          <w:tcPr>
            <w:tcW w:w="0" w:type="auto"/>
            <w:tcBorders>
              <w:bottom w:val="nil"/>
            </w:tcBorders>
          </w:tcPr>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u w:val="single"/>
              </w:rPr>
            </w:pPr>
            <w:r w:rsidRPr="009D743B">
              <w:rPr>
                <w:rFonts w:ascii="Arial Narrow" w:eastAsia="Times New Roman" w:hAnsi="Arial Narrow" w:cs="Times New Roman"/>
                <w:sz w:val="20"/>
                <w:szCs w:val="20"/>
                <w:u w:val="single"/>
              </w:rPr>
              <w:t>3</w:t>
            </w:r>
          </w:p>
          <w:p w:rsidR="00BF4E2C" w:rsidRPr="009D743B" w:rsidRDefault="00BF4E2C" w:rsidP="00BF4E2C">
            <w:pPr>
              <w:spacing w:before="0"/>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9D743B">
              <w:rPr>
                <w:rFonts w:ascii="Arial Narrow" w:eastAsia="Times New Roman" w:hAnsi="Arial Narrow" w:cs="Times New Roman"/>
                <w:sz w:val="20"/>
                <w:szCs w:val="20"/>
                <w:u w:val="single"/>
              </w:rPr>
              <w:t>3</w:t>
            </w:r>
          </w:p>
        </w:tc>
        <w:tc>
          <w:tcPr>
            <w:tcW w:w="0" w:type="auto"/>
            <w:tcBorders>
              <w:bottom w:val="nil"/>
            </w:tcBorders>
          </w:tcPr>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$1,317.93</w:t>
            </w:r>
          </w:p>
          <w:p w:rsidR="00BF4E2C" w:rsidRPr="009D743B" w:rsidRDefault="00BF4E2C" w:rsidP="00BF4E2C">
            <w:pPr>
              <w:spacing w:before="0"/>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9D743B">
              <w:rPr>
                <w:rFonts w:ascii="Arial Narrow" w:eastAsia="Times New Roman" w:hAnsi="Arial Narrow" w:cs="Times New Roman"/>
                <w:sz w:val="20"/>
                <w:szCs w:val="20"/>
              </w:rPr>
              <w:t>$1,317.93</w:t>
            </w:r>
          </w:p>
        </w:tc>
        <w:tc>
          <w:tcPr>
            <w:tcW w:w="0" w:type="auto"/>
            <w:vMerge w:val="restart"/>
            <w:vAlign w:val="center"/>
          </w:tcPr>
          <w:p w:rsidR="00BF4E2C" w:rsidRPr="009D743B" w:rsidRDefault="00BF4E2C" w:rsidP="000A573D">
            <w:pPr>
              <w:spacing w:before="0"/>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9D743B">
              <w:rPr>
                <w:rFonts w:ascii="Arial Narrow" w:eastAsia="Times New Roman" w:hAnsi="Arial Narrow" w:cs="Times New Roman"/>
                <w:sz w:val="20"/>
                <w:szCs w:val="20"/>
              </w:rPr>
              <w:t>SIMPONI, Janssen-Cilag Pty Ltd</w:t>
            </w:r>
          </w:p>
        </w:tc>
      </w:tr>
      <w:tr w:rsidR="00BF4E2C" w:rsidRPr="009D743B" w:rsidTr="00BF4E2C">
        <w:trPr>
          <w:trHeight w:val="804"/>
        </w:trPr>
        <w:tc>
          <w:tcPr>
            <w:cnfStyle w:val="001000000000" w:firstRow="0" w:lastRow="0" w:firstColumn="1" w:lastColumn="0" w:oddVBand="0" w:evenVBand="0" w:oddHBand="0" w:evenHBand="0" w:firstRowFirstColumn="0" w:firstRowLastColumn="0" w:lastRowFirstColumn="0" w:lastRowLastColumn="0"/>
            <w:tcW w:w="2410" w:type="dxa"/>
            <w:gridSpan w:val="2"/>
            <w:tcBorders>
              <w:top w:val="nil"/>
              <w:bottom w:val="nil"/>
            </w:tcBorders>
          </w:tcPr>
          <w:p w:rsidR="00BF4E2C" w:rsidRPr="009D743B" w:rsidRDefault="00BF4E2C" w:rsidP="006D4124">
            <w:pPr>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Continuing treatment</w:t>
            </w:r>
          </w:p>
          <w:p w:rsidR="00BF4E2C" w:rsidRPr="009D743B" w:rsidRDefault="00BF4E2C" w:rsidP="000A573D">
            <w:pPr>
              <w:spacing w:before="0"/>
              <w:rPr>
                <w:rFonts w:ascii="Arial Narrow" w:eastAsia="Times New Roman" w:hAnsi="Arial Narrow" w:cs="Times New Roman"/>
                <w:sz w:val="20"/>
                <w:szCs w:val="20"/>
              </w:rPr>
            </w:pPr>
            <w:r w:rsidRPr="009D743B">
              <w:rPr>
                <w:rFonts w:ascii="Arial Narrow" w:eastAsia="Times New Roman" w:hAnsi="Arial Narrow" w:cs="Times New Roman"/>
                <w:b w:val="0"/>
                <w:sz w:val="20"/>
                <w:szCs w:val="20"/>
              </w:rPr>
              <w:t>50mg/0.5mL pre-filled syringe</w:t>
            </w:r>
            <w:r w:rsidRPr="009D743B">
              <w:rPr>
                <w:rFonts w:ascii="Arial Narrow" w:eastAsia="Times New Roman" w:hAnsi="Arial Narrow" w:cs="Times New Roman"/>
                <w:sz w:val="20"/>
                <w:szCs w:val="20"/>
              </w:rPr>
              <w:t xml:space="preserve"> </w:t>
            </w:r>
          </w:p>
          <w:p w:rsidR="00BF4E2C" w:rsidRPr="009D743B" w:rsidRDefault="00BF4E2C" w:rsidP="000A573D">
            <w:pPr>
              <w:spacing w:before="0"/>
              <w:rPr>
                <w:rFonts w:ascii="Arial Narrow" w:eastAsia="Times New Roman" w:hAnsi="Arial Narrow" w:cs="Times New Roman"/>
                <w:sz w:val="20"/>
                <w:szCs w:val="20"/>
              </w:rPr>
            </w:pPr>
            <w:r w:rsidRPr="009D743B">
              <w:rPr>
                <w:rFonts w:ascii="Arial Narrow" w:eastAsia="Times New Roman" w:hAnsi="Arial Narrow" w:cs="Times New Roman"/>
                <w:b w:val="0"/>
                <w:sz w:val="20"/>
                <w:szCs w:val="20"/>
              </w:rPr>
              <w:t xml:space="preserve">50mg/0.5mL </w:t>
            </w:r>
            <w:r w:rsidRPr="009D743B">
              <w:rPr>
                <w:rFonts w:ascii="Arial Narrow" w:eastAsia="Times New Roman" w:hAnsi="Arial Narrow" w:cs="Times New Roman"/>
                <w:b w:val="0"/>
                <w:sz w:val="20"/>
                <w:szCs w:val="20"/>
                <w:u w:val="single"/>
              </w:rPr>
              <w:t>pre-filled pen</w:t>
            </w:r>
          </w:p>
        </w:tc>
        <w:tc>
          <w:tcPr>
            <w:tcW w:w="1107" w:type="dxa"/>
            <w:tcBorders>
              <w:top w:val="nil"/>
              <w:bottom w:val="nil"/>
            </w:tcBorders>
          </w:tcPr>
          <w:p w:rsidR="00BF4E2C" w:rsidRPr="009D743B" w:rsidRDefault="00BF4E2C" w:rsidP="006D412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BF4E2C" w:rsidRPr="009D743B" w:rsidRDefault="00BF4E2C" w:rsidP="000A573D">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tc>
        <w:tc>
          <w:tcPr>
            <w:tcW w:w="0" w:type="auto"/>
            <w:tcBorders>
              <w:top w:val="nil"/>
              <w:bottom w:val="nil"/>
            </w:tcBorders>
          </w:tcPr>
          <w:p w:rsidR="00BF4E2C" w:rsidRPr="009D743B" w:rsidRDefault="00BF4E2C" w:rsidP="006D412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BF4E2C" w:rsidRPr="009D743B" w:rsidRDefault="00BF4E2C" w:rsidP="000A573D">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tc>
        <w:tc>
          <w:tcPr>
            <w:tcW w:w="0" w:type="auto"/>
            <w:tcBorders>
              <w:top w:val="nil"/>
              <w:bottom w:val="nil"/>
            </w:tcBorders>
          </w:tcPr>
          <w:p w:rsidR="00BF4E2C" w:rsidRPr="009D743B" w:rsidRDefault="00BF4E2C" w:rsidP="006D412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5</w:t>
            </w:r>
          </w:p>
          <w:p w:rsidR="00BF4E2C" w:rsidRPr="009D743B" w:rsidRDefault="00BF4E2C" w:rsidP="000A573D">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5</w:t>
            </w:r>
          </w:p>
        </w:tc>
        <w:tc>
          <w:tcPr>
            <w:tcW w:w="0" w:type="auto"/>
            <w:tcBorders>
              <w:top w:val="nil"/>
              <w:bottom w:val="nil"/>
            </w:tcBorders>
          </w:tcPr>
          <w:p w:rsidR="00BF4E2C" w:rsidRPr="009D743B" w:rsidRDefault="00BF4E2C" w:rsidP="006D412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p>
          <w:p w:rsidR="00BF4E2C" w:rsidRPr="009D743B" w:rsidRDefault="00BF4E2C" w:rsidP="000A573D">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$1,317.93</w:t>
            </w:r>
          </w:p>
          <w:p w:rsidR="00BF4E2C" w:rsidRPr="009D743B" w:rsidRDefault="00BF4E2C" w:rsidP="000A573D">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$1,317.93</w:t>
            </w:r>
          </w:p>
        </w:tc>
        <w:tc>
          <w:tcPr>
            <w:tcW w:w="0" w:type="auto"/>
            <w:vMerge/>
            <w:vAlign w:val="center"/>
          </w:tcPr>
          <w:p w:rsidR="00BF4E2C" w:rsidRPr="009D743B" w:rsidRDefault="00BF4E2C" w:rsidP="000A573D">
            <w:pPr>
              <w:spacing w:before="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p>
        </w:tc>
      </w:tr>
      <w:tr w:rsidR="00931DD5" w:rsidRPr="009D743B" w:rsidTr="00931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7"/>
            <w:tcBorders>
              <w:bottom w:val="single" w:sz="4" w:space="0" w:color="auto"/>
            </w:tcBorders>
          </w:tcPr>
          <w:p w:rsidR="00931DD5" w:rsidRPr="00110708" w:rsidRDefault="00931DD5" w:rsidP="00BF4E2C">
            <w:pPr>
              <w:rPr>
                <w:rFonts w:ascii="Arial Narrow" w:eastAsia="Times New Roman" w:hAnsi="Arial Narrow" w:cs="Times New Roman"/>
                <w:sz w:val="20"/>
                <w:szCs w:val="20"/>
              </w:rPr>
            </w:pPr>
            <w:r w:rsidRPr="00110708">
              <w:rPr>
                <w:rFonts w:ascii="Arial Narrow" w:hAnsi="Arial Narrow"/>
                <w:sz w:val="20"/>
                <w:szCs w:val="20"/>
              </w:rPr>
              <w:t>ABBREVIATED VERSION:</w:t>
            </w:r>
          </w:p>
        </w:tc>
      </w:tr>
      <w:tr w:rsidR="00931DD5" w:rsidRPr="009D743B" w:rsidTr="00931DD5">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b w:val="0"/>
                <w:sz w:val="20"/>
                <w:szCs w:val="20"/>
              </w:rPr>
              <w:t>C</w:t>
            </w:r>
            <w:r w:rsidRPr="00110708">
              <w:rPr>
                <w:rFonts w:ascii="Arial Narrow" w:hAnsi="Arial Narrow"/>
                <w:sz w:val="20"/>
                <w:szCs w:val="20"/>
              </w:rPr>
              <w:t>ategory / Program</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110708">
              <w:rPr>
                <w:rFonts w:ascii="Arial Narrow" w:hAnsi="Arial Narrow"/>
                <w:sz w:val="20"/>
                <w:szCs w:val="20"/>
              </w:rPr>
              <w:t>General Schedule (Code GE)</w:t>
            </w:r>
          </w:p>
        </w:tc>
      </w:tr>
      <w:tr w:rsidR="00931DD5" w:rsidRPr="009D743B" w:rsidTr="00931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sz w:val="20"/>
                <w:szCs w:val="20"/>
              </w:rPr>
              <w:t>Prescriber type:</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110708">
              <w:rPr>
                <w:rFonts w:ascii="Arial Narrow" w:hAnsi="Arial Narrow"/>
                <w:sz w:val="20"/>
                <w:szCs w:val="20"/>
              </w:rPr>
              <w:fldChar w:fldCharType="begin">
                <w:ffData>
                  <w:name w:val=""/>
                  <w:enabled/>
                  <w:calcOnExit w:val="0"/>
                  <w:checkBox>
                    <w:sizeAuto/>
                    <w:default w:val="1"/>
                  </w:checkBox>
                </w:ffData>
              </w:fldChar>
            </w:r>
            <w:r w:rsidRPr="00110708">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110708">
              <w:rPr>
                <w:rFonts w:ascii="Arial Narrow" w:hAnsi="Arial Narrow"/>
                <w:sz w:val="20"/>
                <w:szCs w:val="20"/>
              </w:rPr>
              <w:fldChar w:fldCharType="end"/>
            </w:r>
            <w:r w:rsidRPr="00110708">
              <w:rPr>
                <w:rFonts w:ascii="Arial Narrow" w:hAnsi="Arial Narrow"/>
                <w:sz w:val="20"/>
                <w:szCs w:val="20"/>
              </w:rPr>
              <w:t xml:space="preserve">Medical Practitioners </w:t>
            </w:r>
          </w:p>
        </w:tc>
      </w:tr>
      <w:tr w:rsidR="00931DD5" w:rsidRPr="009D743B" w:rsidTr="00931DD5">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sz w:val="20"/>
                <w:szCs w:val="20"/>
              </w:rPr>
              <w:t>PBS Indication:</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110708">
              <w:rPr>
                <w:rFonts w:ascii="Arial Narrow" w:hAnsi="Arial Narrow"/>
                <w:sz w:val="20"/>
                <w:szCs w:val="20"/>
              </w:rPr>
              <w:t xml:space="preserve">Active non-radiographic axial spondyloarthritis </w:t>
            </w:r>
          </w:p>
        </w:tc>
      </w:tr>
      <w:tr w:rsidR="00931DD5" w:rsidRPr="009D743B" w:rsidTr="00931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sz w:val="20"/>
                <w:szCs w:val="20"/>
              </w:rPr>
              <w:t>Treatment phase:</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110708">
              <w:rPr>
                <w:rFonts w:ascii="Arial Narrow" w:hAnsi="Arial Narrow"/>
                <w:sz w:val="20"/>
                <w:szCs w:val="20"/>
              </w:rPr>
              <w:t>Initial treatment - Initial 1 (new patients)</w:t>
            </w:r>
          </w:p>
        </w:tc>
      </w:tr>
      <w:tr w:rsidR="00931DD5" w:rsidRPr="009D743B" w:rsidTr="00931DD5">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sz w:val="20"/>
                <w:szCs w:val="20"/>
              </w:rPr>
              <w:t>Restriction:</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110708">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110708">
              <w:rPr>
                <w:rFonts w:ascii="Arial Narrow" w:eastAsia="Times New Roman" w:hAnsi="Arial Narrow" w:cs="Arial"/>
                <w:sz w:val="20"/>
                <w:szCs w:val="20"/>
                <w:lang w:eastAsia="en-AU"/>
              </w:rPr>
              <w:instrText xml:space="preserve"> FORMCHECKBOX </w:instrText>
            </w:r>
            <w:r w:rsidR="00916C9F">
              <w:rPr>
                <w:rFonts w:ascii="Arial Narrow" w:eastAsia="Times New Roman" w:hAnsi="Arial Narrow" w:cs="Arial"/>
                <w:sz w:val="20"/>
                <w:szCs w:val="20"/>
                <w:lang w:eastAsia="en-AU"/>
              </w:rPr>
            </w:r>
            <w:r w:rsidR="00916C9F">
              <w:rPr>
                <w:rFonts w:ascii="Arial Narrow" w:eastAsia="Times New Roman" w:hAnsi="Arial Narrow" w:cs="Arial"/>
                <w:sz w:val="20"/>
                <w:szCs w:val="20"/>
                <w:lang w:eastAsia="en-AU"/>
              </w:rPr>
              <w:fldChar w:fldCharType="separate"/>
            </w:r>
            <w:r w:rsidRPr="00110708">
              <w:rPr>
                <w:rFonts w:ascii="Arial Narrow" w:eastAsia="Times New Roman" w:hAnsi="Arial Narrow" w:cs="Arial"/>
                <w:sz w:val="20"/>
                <w:szCs w:val="20"/>
                <w:lang w:eastAsia="en-AU"/>
              </w:rPr>
              <w:fldChar w:fldCharType="end"/>
            </w:r>
            <w:r w:rsidRPr="00110708">
              <w:rPr>
                <w:rFonts w:ascii="Arial Narrow" w:eastAsia="Times New Roman" w:hAnsi="Arial Narrow" w:cs="Arial"/>
                <w:sz w:val="20"/>
                <w:szCs w:val="20"/>
                <w:lang w:eastAsia="en-AU"/>
              </w:rPr>
              <w:t xml:space="preserve">Authority Required - In Writing </w:t>
            </w:r>
          </w:p>
        </w:tc>
      </w:tr>
      <w:tr w:rsidR="00931DD5" w:rsidRPr="009D743B" w:rsidTr="00931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sz w:val="20"/>
                <w:szCs w:val="20"/>
              </w:rPr>
              <w:t>Clinical criteria:</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The condition must be non-radiographic axial spondyloarthritis, as defined by Assessment of Spondyloarthritis International Society (ASAS) criteria</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AND</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Patient must have chronic lower back pain and stiffness for 3 or more months that is relieved by exercise but not rest,</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AND</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 xml:space="preserve">Patient must have BASDAI of at least 4 </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AND</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Patient must have failed to achieve an adequate response following treatment with at least 2 NSAIDs whilst completing an appropriate exercise program, for a total period of 3 months</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AND</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u w:val="single"/>
              </w:rPr>
            </w:pPr>
            <w:r w:rsidRPr="00110708">
              <w:rPr>
                <w:rFonts w:ascii="Arial Narrow" w:hAnsi="Arial Narrow"/>
                <w:sz w:val="20"/>
                <w:szCs w:val="20"/>
              </w:rPr>
              <w:t>Patient must have elevated CRP level</w:t>
            </w:r>
            <w:r w:rsidRPr="00110708">
              <w:rPr>
                <w:rFonts w:ascii="Arial Narrow" w:hAnsi="Arial Narrow"/>
                <w:sz w:val="20"/>
                <w:szCs w:val="20"/>
                <w:u w:val="single"/>
              </w:rPr>
              <w:t xml:space="preserve"> of greater than 10mg/L</w:t>
            </w:r>
            <w:r w:rsidRPr="00110708">
              <w:rPr>
                <w:rFonts w:ascii="Arial Narrow" w:hAnsi="Arial Narrow"/>
                <w:sz w:val="20"/>
                <w:szCs w:val="20"/>
                <w:u w:val="single"/>
                <w:vertAlign w:val="superscript"/>
              </w:rPr>
              <w:t>a</w:t>
            </w:r>
            <w:r w:rsidRPr="00110708">
              <w:rPr>
                <w:rFonts w:ascii="Arial Narrow" w:hAnsi="Arial Narrow"/>
                <w:sz w:val="20"/>
                <w:szCs w:val="20"/>
                <w:u w:val="single"/>
              </w:rPr>
              <w:t xml:space="preserve">. </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AND</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 xml:space="preserve">The condition must be sacroiliitis with active inflammation and/or oedema that is not visible on a plain X-ray but is visible on MRI; </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AND</w:t>
            </w:r>
          </w:p>
          <w:p w:rsidR="00931DD5" w:rsidRPr="00110708" w:rsidRDefault="00931DD5" w:rsidP="000A573D">
            <w:pPr>
              <w:spacing w:before="0"/>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110708">
              <w:rPr>
                <w:rFonts w:ascii="Arial Narrow" w:hAnsi="Arial Narrow"/>
                <w:sz w:val="20"/>
                <w:szCs w:val="20"/>
              </w:rPr>
              <w:t xml:space="preserve">The patient must have experienced one or more of the following: </w:t>
            </w:r>
            <w:r w:rsidRPr="00110708">
              <w:rPr>
                <w:rFonts w:ascii="Arial Narrow" w:hAnsi="Arial Narrow"/>
                <w:sz w:val="20"/>
                <w:szCs w:val="20"/>
                <w:u w:val="single"/>
              </w:rPr>
              <w:t>(a) Enthesitis (heel); (b) Uveitis; (c) Dactylitis; (d) Psoriasis; (e) Inflammatory bowel disease; OR (f) HLA-B27</w:t>
            </w:r>
            <w:r w:rsidRPr="00110708">
              <w:rPr>
                <w:rFonts w:ascii="Arial Narrow" w:hAnsi="Arial Narrow"/>
                <w:sz w:val="20"/>
                <w:szCs w:val="20"/>
                <w:u w:val="single"/>
                <w:vertAlign w:val="superscript"/>
              </w:rPr>
              <w:t>b</w:t>
            </w:r>
            <w:r w:rsidRPr="00110708">
              <w:rPr>
                <w:rFonts w:ascii="Arial Narrow" w:hAnsi="Arial Narrow"/>
                <w:sz w:val="20"/>
                <w:szCs w:val="20"/>
                <w:u w:val="single"/>
              </w:rPr>
              <w:t>.</w:t>
            </w:r>
          </w:p>
        </w:tc>
      </w:tr>
      <w:tr w:rsidR="00931DD5" w:rsidRPr="009D743B" w:rsidTr="00931DD5">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sz w:val="20"/>
                <w:szCs w:val="20"/>
              </w:rPr>
              <w:t>Population criteria</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110708">
              <w:rPr>
                <w:rFonts w:ascii="Arial Narrow" w:hAnsi="Arial Narrow"/>
                <w:color w:val="222222"/>
                <w:sz w:val="20"/>
                <w:szCs w:val="20"/>
                <w:shd w:val="clear" w:color="auto" w:fill="FFFFFF"/>
              </w:rPr>
              <w:t>Patient must be an adult over 18 years of age</w:t>
            </w:r>
          </w:p>
        </w:tc>
      </w:tr>
      <w:tr w:rsidR="00931DD5" w:rsidRPr="009D743B" w:rsidTr="00931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sz w:val="20"/>
                <w:szCs w:val="20"/>
              </w:rPr>
              <w:t>Treatment criteria</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110708">
              <w:rPr>
                <w:rFonts w:ascii="Arial Narrow" w:hAnsi="Arial Narrow"/>
                <w:color w:val="222222"/>
                <w:sz w:val="20"/>
                <w:szCs w:val="20"/>
                <w:shd w:val="clear" w:color="auto" w:fill="FFFFFF"/>
              </w:rPr>
              <w:t>Must be treated by a rheumatologist</w:t>
            </w:r>
          </w:p>
        </w:tc>
      </w:tr>
      <w:tr w:rsidR="00931DD5" w:rsidRPr="009D743B" w:rsidTr="00931DD5">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sz w:val="20"/>
                <w:szCs w:val="20"/>
              </w:rPr>
              <w:t>Treatment phase:</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110708">
              <w:rPr>
                <w:rFonts w:ascii="Arial Narrow" w:hAnsi="Arial Narrow"/>
                <w:sz w:val="20"/>
                <w:szCs w:val="20"/>
              </w:rPr>
              <w:t>Initial treatment – initial 2 (initial PBS-subsidised supply for continuing treatment in a patient commenced on non-PBS-subsidised therapy or recommencement in a patient who has had previous PBS-subsidised therapy) and continuing treatment</w:t>
            </w:r>
          </w:p>
        </w:tc>
      </w:tr>
      <w:tr w:rsidR="00931DD5" w:rsidRPr="009D743B" w:rsidTr="00931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auto"/>
              <w:left w:val="single" w:sz="4" w:space="0" w:color="auto"/>
              <w:bottom w:val="single" w:sz="4" w:space="0" w:color="auto"/>
              <w:right w:val="single" w:sz="4" w:space="0" w:color="auto"/>
            </w:tcBorders>
          </w:tcPr>
          <w:p w:rsidR="00931DD5" w:rsidRPr="00110708" w:rsidRDefault="00931DD5" w:rsidP="000A573D">
            <w:pPr>
              <w:spacing w:before="0"/>
              <w:rPr>
                <w:rFonts w:ascii="Arial Narrow" w:hAnsi="Arial Narrow"/>
                <w:b w:val="0"/>
                <w:sz w:val="20"/>
                <w:szCs w:val="20"/>
              </w:rPr>
            </w:pPr>
            <w:r w:rsidRPr="00110708">
              <w:rPr>
                <w:rFonts w:ascii="Arial Narrow" w:hAnsi="Arial Narrow"/>
                <w:sz w:val="20"/>
                <w:szCs w:val="20"/>
              </w:rPr>
              <w:t>Clinical criteria:</w:t>
            </w:r>
          </w:p>
        </w:tc>
        <w:tc>
          <w:tcPr>
            <w:tcW w:w="7498" w:type="dxa"/>
            <w:gridSpan w:val="6"/>
            <w:tcBorders>
              <w:top w:val="single" w:sz="4" w:space="0" w:color="auto"/>
              <w:left w:val="single" w:sz="4" w:space="0" w:color="auto"/>
              <w:bottom w:val="single" w:sz="4" w:space="0" w:color="auto"/>
              <w:right w:val="single" w:sz="4" w:space="0" w:color="auto"/>
            </w:tcBorders>
          </w:tcPr>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 xml:space="preserve">Patient must have a documented history of non-radiographic axial spondyloarthritis </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AND</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 xml:space="preserve">Patient must have previously received PBS-subsidised therapy with this drug for this condition </w:t>
            </w:r>
          </w:p>
          <w:p w:rsidR="00931DD5" w:rsidRPr="00110708" w:rsidRDefault="00931DD5" w:rsidP="00931DD5">
            <w:pPr>
              <w:keepNext/>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10708">
              <w:rPr>
                <w:rFonts w:ascii="Arial Narrow" w:hAnsi="Arial Narrow"/>
                <w:sz w:val="20"/>
                <w:szCs w:val="20"/>
              </w:rPr>
              <w:t>AND</w:t>
            </w:r>
          </w:p>
          <w:p w:rsidR="00931DD5" w:rsidRPr="00110708" w:rsidRDefault="00931DD5" w:rsidP="000A573D">
            <w:pPr>
              <w:spacing w:before="0"/>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110708">
              <w:rPr>
                <w:rFonts w:ascii="Arial Narrow" w:hAnsi="Arial Narrow"/>
                <w:sz w:val="20"/>
                <w:szCs w:val="20"/>
              </w:rPr>
              <w:t>Patient must have previously demonstrated an adequate response to PBS-subsidised therapy with this drug for this condition based on a reduction in the BASDAI score by 2 or more units</w:t>
            </w:r>
          </w:p>
        </w:tc>
      </w:tr>
    </w:tbl>
    <w:p w:rsidR="00C22601" w:rsidRPr="009D743B" w:rsidRDefault="00C22601" w:rsidP="00C22601">
      <w:pPr>
        <w:tabs>
          <w:tab w:val="left" w:pos="284"/>
        </w:tabs>
        <w:spacing w:before="0" w:after="0"/>
        <w:rPr>
          <w:rFonts w:ascii="Arial Narrow" w:hAnsi="Arial Narrow"/>
          <w:sz w:val="18"/>
        </w:rPr>
      </w:pPr>
      <w:r w:rsidRPr="009D743B">
        <w:rPr>
          <w:rFonts w:ascii="Arial Narrow" w:hAnsi="Arial Narrow"/>
          <w:sz w:val="18"/>
          <w:szCs w:val="18"/>
          <w:vertAlign w:val="superscript"/>
        </w:rPr>
        <w:t>a</w:t>
      </w:r>
      <w:r w:rsidRPr="009D743B">
        <w:rPr>
          <w:rFonts w:ascii="Arial Narrow" w:hAnsi="Arial Narrow"/>
          <w:sz w:val="18"/>
          <w:szCs w:val="18"/>
          <w:vertAlign w:val="superscript"/>
        </w:rPr>
        <w:tab/>
      </w:r>
      <w:r w:rsidRPr="009D743B">
        <w:rPr>
          <w:rFonts w:ascii="Arial Narrow" w:hAnsi="Arial Narrow"/>
          <w:sz w:val="18"/>
        </w:rPr>
        <w:t>elevated CRP was defined as a ‘level greater than the upper limit of normal</w:t>
      </w:r>
      <w:r w:rsidR="0062627B" w:rsidRPr="009D743B">
        <w:rPr>
          <w:rFonts w:ascii="Arial Narrow" w:hAnsi="Arial Narrow"/>
          <w:sz w:val="18"/>
        </w:rPr>
        <w:t>’</w:t>
      </w:r>
      <w:r w:rsidRPr="009D743B">
        <w:rPr>
          <w:rFonts w:ascii="Arial Narrow" w:hAnsi="Arial Narrow"/>
          <w:sz w:val="18"/>
        </w:rPr>
        <w:t xml:space="preserve"> in the requested restriction in the previous submission.</w:t>
      </w:r>
    </w:p>
    <w:p w:rsidR="00C22601" w:rsidRPr="009D743B" w:rsidRDefault="00C22601" w:rsidP="00C22601">
      <w:pPr>
        <w:tabs>
          <w:tab w:val="left" w:pos="284"/>
        </w:tabs>
        <w:spacing w:before="0" w:after="0"/>
        <w:ind w:left="284" w:hanging="284"/>
        <w:jc w:val="both"/>
        <w:rPr>
          <w:rFonts w:ascii="Arial Narrow" w:hAnsi="Arial Narrow"/>
          <w:sz w:val="16"/>
          <w:szCs w:val="18"/>
        </w:rPr>
      </w:pPr>
      <w:r w:rsidRPr="009D743B">
        <w:rPr>
          <w:rFonts w:ascii="Arial Narrow" w:hAnsi="Arial Narrow"/>
          <w:sz w:val="18"/>
          <w:vertAlign w:val="superscript"/>
        </w:rPr>
        <w:t>b</w:t>
      </w:r>
      <w:r w:rsidRPr="009D743B">
        <w:rPr>
          <w:rFonts w:ascii="Arial Narrow" w:hAnsi="Arial Narrow"/>
          <w:sz w:val="18"/>
        </w:rPr>
        <w:tab/>
        <w:t>the patient must have experienced one or more of the following: (a) Arthritis; (b) Enthesitis (heel); (c) Uveitis; (d) Dactylitis; (e) Psoriasis; (f) Inflammatory bowel disease; (g) Family history of spondyloarthritis; (h) HLA-B27; or (I) Elevated CRP in the requested restriction in the previous submission</w:t>
      </w:r>
    </w:p>
    <w:p w:rsidR="00851332" w:rsidRPr="009D743B" w:rsidRDefault="00851332" w:rsidP="00A741D9">
      <w:pPr>
        <w:spacing w:before="0" w:after="240"/>
        <w:rPr>
          <w:rFonts w:ascii="Arial Narrow" w:hAnsi="Arial Narrow"/>
          <w:sz w:val="18"/>
          <w:szCs w:val="18"/>
        </w:rPr>
      </w:pPr>
      <w:r w:rsidRPr="009D743B">
        <w:rPr>
          <w:rFonts w:ascii="Arial Narrow" w:hAnsi="Arial Narrow"/>
          <w:sz w:val="18"/>
          <w:szCs w:val="18"/>
        </w:rPr>
        <w:lastRenderedPageBreak/>
        <w:t>The full version of the requested restriction can be found in Table Att.1.4.1, Attachment 1 of th</w:t>
      </w:r>
      <w:r w:rsidR="00412BD7" w:rsidRPr="009D743B">
        <w:rPr>
          <w:rFonts w:ascii="Arial Narrow" w:hAnsi="Arial Narrow"/>
          <w:sz w:val="18"/>
          <w:szCs w:val="18"/>
        </w:rPr>
        <w:t>e</w:t>
      </w:r>
      <w:r w:rsidRPr="009D743B">
        <w:rPr>
          <w:rFonts w:ascii="Arial Narrow" w:hAnsi="Arial Narrow"/>
          <w:sz w:val="18"/>
          <w:szCs w:val="18"/>
        </w:rPr>
        <w:t xml:space="preserve"> commentary</w:t>
      </w:r>
    </w:p>
    <w:p w:rsidR="001F513F" w:rsidRPr="009D743B" w:rsidRDefault="001F513F" w:rsidP="00B876BB">
      <w:pPr>
        <w:pStyle w:val="ListParagraph"/>
        <w:numPr>
          <w:ilvl w:val="0"/>
          <w:numId w:val="10"/>
        </w:numPr>
        <w:spacing w:before="0" w:after="120"/>
        <w:ind w:left="567" w:hanging="567"/>
        <w:jc w:val="both"/>
      </w:pPr>
      <w:r w:rsidRPr="009D743B">
        <w:t>The D</w:t>
      </w:r>
      <w:r w:rsidR="0023622B" w:rsidRPr="009D743B">
        <w:t xml:space="preserve">ispensed </w:t>
      </w:r>
      <w:r w:rsidRPr="009D743B">
        <w:t>P</w:t>
      </w:r>
      <w:r w:rsidR="0023622B" w:rsidRPr="009D743B">
        <w:t xml:space="preserve">rice for </w:t>
      </w:r>
      <w:r w:rsidRPr="009D743B">
        <w:t>M</w:t>
      </w:r>
      <w:r w:rsidR="0023622B" w:rsidRPr="009D743B">
        <w:t xml:space="preserve">aximum </w:t>
      </w:r>
      <w:r w:rsidRPr="009D743B">
        <w:t>Q</w:t>
      </w:r>
      <w:r w:rsidR="0023622B" w:rsidRPr="009D743B">
        <w:t>uantity (DPMQ)</w:t>
      </w:r>
      <w:r w:rsidRPr="009D743B">
        <w:t xml:space="preserve"> proposed in the resubmission was </w:t>
      </w:r>
      <w:r w:rsidR="0050211C">
        <w:rPr>
          <w:noProof/>
          <w:color w:val="000000"/>
          <w:highlight w:val="black"/>
        </w:rPr>
        <w:t>''''''</w:t>
      </w:r>
      <w:r w:rsidRPr="009D743B">
        <w:t>% lower than the previous submission (revised DPMQ of $1,317.93 versus $</w:t>
      </w:r>
      <w:r w:rsidR="0050211C">
        <w:rPr>
          <w:noProof/>
          <w:color w:val="000000"/>
          <w:highlight w:val="black"/>
        </w:rPr>
        <w:t>'''''''''''''''''</w:t>
      </w:r>
      <w:r w:rsidRPr="009D743B">
        <w:t xml:space="preserve">). The </w:t>
      </w:r>
      <w:r w:rsidR="004B29D9" w:rsidRPr="009D743B">
        <w:t>Pre-Sub-Committee Response (</w:t>
      </w:r>
      <w:r w:rsidRPr="009D743B">
        <w:t xml:space="preserve">PSCR) stated this was to address “uncertainty issues” with the restriction. </w:t>
      </w:r>
      <w:r w:rsidR="004804E8" w:rsidRPr="009D743B">
        <w:t xml:space="preserve">The DPMQ requested in the resubmission was the same as the current </w:t>
      </w:r>
      <w:r w:rsidR="00453795" w:rsidRPr="009D743B">
        <w:t xml:space="preserve">PBS </w:t>
      </w:r>
      <w:r w:rsidR="004804E8" w:rsidRPr="009D743B">
        <w:t>price for golimumab</w:t>
      </w:r>
      <w:r w:rsidR="00453795" w:rsidRPr="009D743B">
        <w:t>,</w:t>
      </w:r>
      <w:r w:rsidR="004804E8" w:rsidRPr="009D743B">
        <w:t xml:space="preserve"> which </w:t>
      </w:r>
      <w:r w:rsidR="00A23F70" w:rsidRPr="009D743B">
        <w:t xml:space="preserve">the submission stated </w:t>
      </w:r>
      <w:r w:rsidR="004804E8" w:rsidRPr="009D743B">
        <w:t xml:space="preserve">is </w:t>
      </w:r>
      <w:r w:rsidR="00B741B7" w:rsidRPr="009D743B">
        <w:t xml:space="preserve">the </w:t>
      </w:r>
      <w:r w:rsidR="004804E8" w:rsidRPr="009D743B">
        <w:t xml:space="preserve">weighted price across various indications. </w:t>
      </w:r>
    </w:p>
    <w:p w:rsidR="00C317F3" w:rsidRPr="009D743B" w:rsidRDefault="008B4743" w:rsidP="00B876BB">
      <w:pPr>
        <w:pStyle w:val="ListParagraph"/>
        <w:numPr>
          <w:ilvl w:val="0"/>
          <w:numId w:val="10"/>
        </w:numPr>
        <w:spacing w:before="0" w:after="120"/>
        <w:ind w:left="567" w:hanging="567"/>
        <w:jc w:val="both"/>
      </w:pPr>
      <w:r w:rsidRPr="009D743B">
        <w:t>No special pricing arrangement was proposed</w:t>
      </w:r>
      <w:r w:rsidR="00E73A86" w:rsidRPr="009D743B">
        <w:t>, however the resubmission proposed that the Sponsor would work with the Secretariat and the Department to incorporate the final negotiated price for patients with nr-axSpA into the weighted price calculation that currently exists for golimumab across the PBS listed indications.</w:t>
      </w:r>
    </w:p>
    <w:p w:rsidR="00CC4604" w:rsidRPr="009D743B" w:rsidRDefault="00017B08" w:rsidP="00B876BB">
      <w:pPr>
        <w:pStyle w:val="ListParagraph"/>
        <w:numPr>
          <w:ilvl w:val="0"/>
          <w:numId w:val="10"/>
        </w:numPr>
        <w:spacing w:before="0" w:after="120"/>
        <w:ind w:left="567" w:hanging="567"/>
        <w:jc w:val="both"/>
      </w:pPr>
      <w:r w:rsidRPr="009D743B">
        <w:t xml:space="preserve">In November 2017, the PBAC considered that a number of changes to the restriction would be required in order to better target patients with the highest clinical need and those who would benefit the most, see </w:t>
      </w:r>
      <w:r w:rsidRPr="009D743B">
        <w:rPr>
          <w:rFonts w:cstheme="minorHAnsi"/>
          <w:iCs/>
        </w:rPr>
        <w:t>Table 2</w:t>
      </w:r>
      <w:r w:rsidRPr="009D743B">
        <w:t xml:space="preserve"> (6.04 Golimumab PBAC November 2017 </w:t>
      </w:r>
      <w:r w:rsidR="00675454">
        <w:t>Public Summary Document (PSD)</w:t>
      </w:r>
      <w:r w:rsidRPr="009D743B">
        <w:t xml:space="preserve">, paragraph 7.4). </w:t>
      </w:r>
      <w:r w:rsidR="00182FE9" w:rsidRPr="009D743B">
        <w:t>Table 2 a</w:t>
      </w:r>
      <w:r w:rsidRPr="009D743B">
        <w:t>lso summarise</w:t>
      </w:r>
      <w:r w:rsidR="00182FE9" w:rsidRPr="009D743B">
        <w:t>s</w:t>
      </w:r>
      <w:r w:rsidRPr="009D743B">
        <w:t xml:space="preserve"> whether the resubmission </w:t>
      </w:r>
      <w:r w:rsidR="00182FE9" w:rsidRPr="009D743B">
        <w:t>incorporated</w:t>
      </w:r>
      <w:r w:rsidRPr="009D743B">
        <w:t xml:space="preserve"> these chang</w:t>
      </w:r>
      <w:r w:rsidR="00CC4604" w:rsidRPr="009D743B">
        <w:t>es</w:t>
      </w:r>
      <w:r w:rsidR="00182FE9" w:rsidRPr="009D743B">
        <w:t>, along with</w:t>
      </w:r>
      <w:r w:rsidR="00CC4604" w:rsidRPr="009D743B">
        <w:t xml:space="preserve"> the rationale provided in the resubmission </w:t>
      </w:r>
      <w:r w:rsidR="000412CF" w:rsidRPr="009D743B">
        <w:t>for not</w:t>
      </w:r>
      <w:r w:rsidR="00CC4604" w:rsidRPr="009D743B">
        <w:t xml:space="preserve"> incorporati</w:t>
      </w:r>
      <w:r w:rsidR="000412CF" w:rsidRPr="009D743B">
        <w:t>ng</w:t>
      </w:r>
      <w:r w:rsidR="00CC4604" w:rsidRPr="009D743B">
        <w:t xml:space="preserve"> some of the changes.</w:t>
      </w:r>
    </w:p>
    <w:p w:rsidR="00017B08" w:rsidRPr="009D743B" w:rsidRDefault="00017B08" w:rsidP="008F00B4">
      <w:pPr>
        <w:pStyle w:val="Caption"/>
        <w:keepLines/>
        <w:rPr>
          <w:rFonts w:ascii="Arial Narrow" w:hAnsi="Arial Narrow"/>
        </w:rPr>
      </w:pPr>
      <w:bookmarkStart w:id="6" w:name="_Ref514020205"/>
      <w:r w:rsidRPr="009D743B">
        <w:rPr>
          <w:rFonts w:ascii="Arial Narrow" w:hAnsi="Arial Narrow"/>
        </w:rPr>
        <w:lastRenderedPageBreak/>
        <w:t xml:space="preserve">Table </w:t>
      </w:r>
      <w:r w:rsidR="00A6130B">
        <w:rPr>
          <w:rFonts w:ascii="Arial Narrow" w:hAnsi="Arial Narrow"/>
          <w:noProof/>
        </w:rPr>
        <w:t>2</w:t>
      </w:r>
      <w:bookmarkEnd w:id="6"/>
      <w:r w:rsidRPr="009D743B">
        <w:rPr>
          <w:rFonts w:ascii="Arial Narrow" w:hAnsi="Arial Narrow"/>
        </w:rPr>
        <w:t>: Recommend</w:t>
      </w:r>
      <w:r w:rsidR="00074CDF" w:rsidRPr="009D743B">
        <w:rPr>
          <w:rFonts w:ascii="Arial Narrow" w:hAnsi="Arial Narrow"/>
        </w:rPr>
        <w:t>ation</w:t>
      </w:r>
      <w:r w:rsidRPr="009D743B">
        <w:rPr>
          <w:rFonts w:ascii="Arial Narrow" w:hAnsi="Arial Narrow"/>
        </w:rPr>
        <w:t xml:space="preserve">s </w:t>
      </w:r>
      <w:r w:rsidR="000D7738" w:rsidRPr="009D743B">
        <w:rPr>
          <w:rFonts w:ascii="Arial Narrow" w:hAnsi="Arial Narrow"/>
        </w:rPr>
        <w:t xml:space="preserve">based on the previous submission </w:t>
      </w:r>
      <w:r w:rsidR="00074CDF" w:rsidRPr="009D743B">
        <w:rPr>
          <w:rFonts w:ascii="Arial Narrow" w:hAnsi="Arial Narrow"/>
        </w:rPr>
        <w:t>for restricting use to the appropriate patient group</w:t>
      </w:r>
      <w:r w:rsidRPr="009D743B">
        <w:rPr>
          <w:rFonts w:ascii="Arial Narrow" w:hAnsi="Arial Narrow"/>
        </w:rPr>
        <w:t xml:space="preserve"> </w:t>
      </w:r>
    </w:p>
    <w:tbl>
      <w:tblPr>
        <w:tblStyle w:val="TableGridbeth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 Recommendations based on the previous submission for restricting use to the appropriate patient group "/>
      </w:tblPr>
      <w:tblGrid>
        <w:gridCol w:w="3997"/>
        <w:gridCol w:w="851"/>
        <w:gridCol w:w="4234"/>
      </w:tblGrid>
      <w:tr w:rsidR="00A532C4" w:rsidRPr="009D743B" w:rsidTr="00D561BA">
        <w:trPr>
          <w:cnfStyle w:val="100000000000" w:firstRow="1" w:lastRow="0" w:firstColumn="0" w:lastColumn="0" w:oddVBand="0" w:evenVBand="0" w:oddHBand="0" w:evenHBand="0" w:firstRowFirstColumn="0" w:firstRowLastColumn="0" w:lastRowFirstColumn="0" w:lastRowLastColumn="0"/>
          <w:tblHeader/>
        </w:trPr>
        <w:tc>
          <w:tcPr>
            <w:tcW w:w="3997" w:type="dxa"/>
            <w:shd w:val="clear" w:color="auto" w:fill="auto"/>
          </w:tcPr>
          <w:p w:rsidR="00A532C4" w:rsidRPr="009D743B" w:rsidRDefault="00A532C4" w:rsidP="00217E96">
            <w:pPr>
              <w:keepNext/>
              <w:keepLines/>
              <w:spacing w:before="40" w:after="40"/>
              <w:rPr>
                <w:rFonts w:ascii="Arial Narrow" w:hAnsi="Arial Narrow"/>
                <w:sz w:val="20"/>
                <w:szCs w:val="20"/>
                <w:lang w:val="en-AU"/>
              </w:rPr>
            </w:pPr>
            <w:r w:rsidRPr="009D743B">
              <w:rPr>
                <w:rFonts w:ascii="Arial Narrow" w:hAnsi="Arial Narrow"/>
                <w:sz w:val="20"/>
                <w:szCs w:val="20"/>
                <w:lang w:val="en-AU"/>
              </w:rPr>
              <w:t xml:space="preserve">Recommended additions to the requested restriction (6.04 Golimumab November 2017 PBAC </w:t>
            </w:r>
            <w:r w:rsidR="00217E96">
              <w:rPr>
                <w:rFonts w:ascii="Arial Narrow" w:hAnsi="Arial Narrow"/>
                <w:sz w:val="20"/>
                <w:szCs w:val="20"/>
                <w:lang w:val="en-AU"/>
              </w:rPr>
              <w:t>Public Summary Document</w:t>
            </w:r>
            <w:r w:rsidRPr="009D743B">
              <w:rPr>
                <w:rFonts w:ascii="Arial Narrow" w:hAnsi="Arial Narrow"/>
                <w:sz w:val="20"/>
                <w:szCs w:val="20"/>
                <w:lang w:val="en-AU"/>
              </w:rPr>
              <w:t xml:space="preserve">, paragraphs 2.7 and 7.4) </w:t>
            </w:r>
          </w:p>
        </w:tc>
        <w:tc>
          <w:tcPr>
            <w:tcW w:w="851" w:type="dxa"/>
            <w:shd w:val="clear" w:color="auto" w:fill="auto"/>
            <w:vAlign w:val="center"/>
          </w:tcPr>
          <w:p w:rsidR="00A532C4" w:rsidRPr="009D743B" w:rsidRDefault="00A532C4" w:rsidP="008F00B4">
            <w:pPr>
              <w:keepNext/>
              <w:keepLines/>
              <w:spacing w:before="40" w:after="40"/>
              <w:jc w:val="center"/>
              <w:rPr>
                <w:rFonts w:ascii="Arial Narrow" w:hAnsi="Arial Narrow"/>
                <w:sz w:val="20"/>
                <w:szCs w:val="20"/>
                <w:lang w:val="en-AU"/>
              </w:rPr>
            </w:pPr>
            <w:r w:rsidRPr="009D743B">
              <w:rPr>
                <w:rFonts w:ascii="Arial Narrow" w:hAnsi="Arial Narrow"/>
                <w:sz w:val="20"/>
                <w:szCs w:val="20"/>
                <w:lang w:val="en-AU"/>
              </w:rPr>
              <w:t>Incorp</w:t>
            </w:r>
            <w:r w:rsidR="00FF32D3" w:rsidRPr="009D743B">
              <w:rPr>
                <w:rFonts w:ascii="Arial Narrow" w:hAnsi="Arial Narrow"/>
                <w:sz w:val="20"/>
                <w:szCs w:val="20"/>
                <w:lang w:val="en-AU"/>
              </w:rPr>
              <w:t>-</w:t>
            </w:r>
            <w:r w:rsidRPr="009D743B">
              <w:rPr>
                <w:rFonts w:ascii="Arial Narrow" w:hAnsi="Arial Narrow"/>
                <w:sz w:val="20"/>
                <w:szCs w:val="20"/>
                <w:lang w:val="en-AU"/>
              </w:rPr>
              <w:t>orated?</w:t>
            </w:r>
          </w:p>
        </w:tc>
        <w:tc>
          <w:tcPr>
            <w:tcW w:w="4234" w:type="dxa"/>
            <w:shd w:val="clear" w:color="auto" w:fill="auto"/>
          </w:tcPr>
          <w:p w:rsidR="00A532C4" w:rsidRPr="009D743B" w:rsidRDefault="00CC460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Rationale in the resubmission for not incorporating</w:t>
            </w:r>
          </w:p>
        </w:tc>
      </w:tr>
      <w:tr w:rsidR="00A532C4" w:rsidRPr="009D743B" w:rsidTr="008B3D53">
        <w:tc>
          <w:tcPr>
            <w:tcW w:w="3997" w:type="dxa"/>
            <w:shd w:val="clear" w:color="auto" w:fill="auto"/>
          </w:tcPr>
          <w:p w:rsidR="00A532C4" w:rsidRPr="009D743B" w:rsidRDefault="00A532C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 xml:space="preserve">Limit use to patients with </w:t>
            </w:r>
            <w:r w:rsidRPr="009D743B">
              <w:rPr>
                <w:rFonts w:ascii="Arial Narrow" w:hAnsi="Arial Narrow"/>
                <w:sz w:val="20"/>
                <w:szCs w:val="20"/>
                <w:u w:val="single"/>
                <w:lang w:val="en-AU"/>
              </w:rPr>
              <w:t>elevated CRP and positive MRI</w:t>
            </w:r>
          </w:p>
        </w:tc>
        <w:tc>
          <w:tcPr>
            <w:tcW w:w="851" w:type="dxa"/>
            <w:shd w:val="clear" w:color="auto" w:fill="auto"/>
            <w:vAlign w:val="center"/>
          </w:tcPr>
          <w:p w:rsidR="00A532C4" w:rsidRPr="009D743B" w:rsidRDefault="00A532C4" w:rsidP="008F00B4">
            <w:pPr>
              <w:keepNext/>
              <w:keepLines/>
              <w:spacing w:before="40" w:after="40"/>
              <w:jc w:val="center"/>
              <w:rPr>
                <w:rFonts w:ascii="Arial Narrow" w:hAnsi="Arial Narrow"/>
                <w:sz w:val="20"/>
                <w:szCs w:val="20"/>
                <w:lang w:val="en-AU"/>
              </w:rPr>
            </w:pPr>
            <w:r w:rsidRPr="009D743B">
              <w:rPr>
                <w:rFonts w:ascii="Arial Narrow" w:hAnsi="Arial Narrow"/>
                <w:sz w:val="20"/>
                <w:szCs w:val="20"/>
                <w:lang w:val="en-AU"/>
              </w:rPr>
              <w:sym w:font="Wingdings 2" w:char="F050"/>
            </w:r>
          </w:p>
        </w:tc>
        <w:tc>
          <w:tcPr>
            <w:tcW w:w="4234" w:type="dxa"/>
          </w:tcPr>
          <w:p w:rsidR="00A532C4" w:rsidRPr="009D743B" w:rsidRDefault="00A532C4" w:rsidP="008F00B4">
            <w:pPr>
              <w:keepNext/>
              <w:keepLines/>
              <w:spacing w:before="40" w:after="40"/>
              <w:jc w:val="center"/>
              <w:rPr>
                <w:rFonts w:ascii="Arial Narrow" w:hAnsi="Arial Narrow"/>
                <w:sz w:val="20"/>
                <w:szCs w:val="20"/>
                <w:lang w:val="en-AU"/>
              </w:rPr>
            </w:pPr>
          </w:p>
        </w:tc>
      </w:tr>
      <w:tr w:rsidR="00A532C4" w:rsidRPr="009D743B" w:rsidTr="008B3D53">
        <w:tc>
          <w:tcPr>
            <w:tcW w:w="3997" w:type="dxa"/>
            <w:shd w:val="clear" w:color="auto" w:fill="auto"/>
          </w:tcPr>
          <w:p w:rsidR="00A532C4" w:rsidRPr="009D743B" w:rsidRDefault="00A532C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Initial treatment: “the condition must be sacroiliitis with active inflammation and/or oedema that is not visible on a plain X-ray but is visible on MRI; AND the patient must have experienced one or more of the following: (a) Enthesitis (heel); (b) Uveitis; (c) Dactylitis; (d) Psoriasis; (e) Inflammatory bowel disease; OR (f) HLA-B27.”</w:t>
            </w:r>
          </w:p>
        </w:tc>
        <w:tc>
          <w:tcPr>
            <w:tcW w:w="851" w:type="dxa"/>
            <w:shd w:val="clear" w:color="auto" w:fill="auto"/>
            <w:vAlign w:val="center"/>
          </w:tcPr>
          <w:p w:rsidR="00A532C4" w:rsidRPr="009D743B" w:rsidRDefault="00A532C4" w:rsidP="008F00B4">
            <w:pPr>
              <w:keepNext/>
              <w:keepLines/>
              <w:spacing w:before="40" w:after="40"/>
              <w:jc w:val="center"/>
              <w:rPr>
                <w:rFonts w:ascii="Arial Narrow" w:hAnsi="Arial Narrow"/>
                <w:sz w:val="20"/>
                <w:szCs w:val="20"/>
                <w:lang w:val="en-AU"/>
              </w:rPr>
            </w:pPr>
            <w:r w:rsidRPr="009D743B">
              <w:rPr>
                <w:rFonts w:ascii="Arial Narrow" w:hAnsi="Arial Narrow"/>
                <w:sz w:val="20"/>
                <w:szCs w:val="20"/>
                <w:lang w:val="en-AU"/>
              </w:rPr>
              <w:sym w:font="Wingdings 2" w:char="F050"/>
            </w:r>
          </w:p>
        </w:tc>
        <w:tc>
          <w:tcPr>
            <w:tcW w:w="4234" w:type="dxa"/>
          </w:tcPr>
          <w:p w:rsidR="00A532C4" w:rsidRPr="009D743B" w:rsidRDefault="0032185D"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In July 2018, t</w:t>
            </w:r>
            <w:r w:rsidR="00074CDF" w:rsidRPr="009D743B">
              <w:rPr>
                <w:rFonts w:ascii="Arial Narrow" w:hAnsi="Arial Narrow"/>
                <w:sz w:val="20"/>
                <w:szCs w:val="20"/>
                <w:lang w:val="en-AU"/>
              </w:rPr>
              <w:t xml:space="preserve">he PBAC considered that </w:t>
            </w:r>
            <w:r w:rsidR="00283E8D" w:rsidRPr="009D743B">
              <w:rPr>
                <w:rFonts w:ascii="Arial Narrow" w:hAnsi="Arial Narrow"/>
                <w:sz w:val="20"/>
                <w:szCs w:val="20"/>
                <w:lang w:val="en-AU"/>
              </w:rPr>
              <w:t xml:space="preserve">more work would be required on the definition of changes visible on MRI in the proposed restriction to exclude changes that would be </w:t>
            </w:r>
            <w:r w:rsidR="00283E8D" w:rsidRPr="009D743B">
              <w:rPr>
                <w:rFonts w:ascii="Arial Narrow" w:hAnsi="Arial Narrow"/>
                <w:bCs/>
                <w:sz w:val="20"/>
                <w:szCs w:val="20"/>
                <w:lang w:val="en-AU"/>
              </w:rPr>
              <w:t>documented to occur in the normal population</w:t>
            </w:r>
            <w:r w:rsidR="00283E8D" w:rsidRPr="009D743B">
              <w:rPr>
                <w:rFonts w:ascii="Arial Narrow" w:hAnsi="Arial Narrow"/>
                <w:sz w:val="20"/>
                <w:szCs w:val="20"/>
                <w:lang w:val="en-AU"/>
              </w:rPr>
              <w:t xml:space="preserve">. </w:t>
            </w:r>
          </w:p>
        </w:tc>
      </w:tr>
      <w:tr w:rsidR="00A532C4" w:rsidRPr="009D743B" w:rsidTr="008B3D53">
        <w:tc>
          <w:tcPr>
            <w:tcW w:w="3997" w:type="dxa"/>
            <w:shd w:val="clear" w:color="auto" w:fill="auto"/>
          </w:tcPr>
          <w:p w:rsidR="00A532C4" w:rsidRPr="009D743B" w:rsidRDefault="00A532C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For the elevated CRP, there should be no allowance made for patients currently on corticosteroids with normal inflammatory markers</w:t>
            </w:r>
          </w:p>
        </w:tc>
        <w:tc>
          <w:tcPr>
            <w:tcW w:w="851" w:type="dxa"/>
            <w:shd w:val="clear" w:color="auto" w:fill="auto"/>
            <w:vAlign w:val="center"/>
          </w:tcPr>
          <w:p w:rsidR="00A532C4" w:rsidRPr="009D743B" w:rsidRDefault="002208C5" w:rsidP="008F00B4">
            <w:pPr>
              <w:keepNext/>
              <w:keepLines/>
              <w:spacing w:before="40" w:after="40"/>
              <w:jc w:val="center"/>
              <w:rPr>
                <w:rFonts w:ascii="Arial Narrow" w:hAnsi="Arial Narrow"/>
                <w:sz w:val="20"/>
                <w:szCs w:val="20"/>
                <w:lang w:val="en-AU"/>
              </w:rPr>
            </w:pPr>
            <w:r w:rsidRPr="009D743B">
              <w:rPr>
                <w:rFonts w:ascii="Arial Narrow" w:hAnsi="Arial Narrow"/>
                <w:sz w:val="20"/>
                <w:szCs w:val="20"/>
                <w:lang w:val="en-AU"/>
              </w:rPr>
              <w:sym w:font="Wingdings 2" w:char="F050"/>
            </w:r>
          </w:p>
        </w:tc>
        <w:tc>
          <w:tcPr>
            <w:tcW w:w="4234" w:type="dxa"/>
          </w:tcPr>
          <w:p w:rsidR="00A532C4" w:rsidRPr="009D743B" w:rsidRDefault="004C3E4B"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Though the resubmission argued that s</w:t>
            </w:r>
            <w:r w:rsidR="00CC4604" w:rsidRPr="009D743B">
              <w:rPr>
                <w:rFonts w:ascii="Arial Narrow" w:hAnsi="Arial Narrow"/>
                <w:sz w:val="20"/>
                <w:szCs w:val="20"/>
                <w:lang w:val="en-AU"/>
              </w:rPr>
              <w:t xml:space="preserve">ome patients have </w:t>
            </w:r>
            <w:r w:rsidR="00B741B7" w:rsidRPr="009D743B">
              <w:rPr>
                <w:rFonts w:ascii="Arial Narrow" w:hAnsi="Arial Narrow"/>
                <w:sz w:val="20"/>
                <w:szCs w:val="20"/>
                <w:lang w:val="en-AU"/>
              </w:rPr>
              <w:t xml:space="preserve">a </w:t>
            </w:r>
            <w:r w:rsidR="00CC4604" w:rsidRPr="009D743B">
              <w:rPr>
                <w:rFonts w:ascii="Arial Narrow" w:hAnsi="Arial Narrow"/>
                <w:sz w:val="20"/>
                <w:szCs w:val="20"/>
                <w:lang w:val="en-AU"/>
              </w:rPr>
              <w:t>clinical need for corticosteroids</w:t>
            </w:r>
            <w:r w:rsidRPr="009D743B">
              <w:rPr>
                <w:rFonts w:ascii="Arial Narrow" w:hAnsi="Arial Narrow"/>
                <w:sz w:val="20"/>
                <w:szCs w:val="20"/>
                <w:lang w:val="en-AU"/>
              </w:rPr>
              <w:t>,</w:t>
            </w:r>
            <w:r w:rsidR="00CC4604" w:rsidRPr="009D743B">
              <w:rPr>
                <w:rFonts w:ascii="Arial Narrow" w:hAnsi="Arial Narrow"/>
                <w:sz w:val="20"/>
                <w:szCs w:val="20"/>
                <w:lang w:val="en-AU"/>
              </w:rPr>
              <w:t xml:space="preserve"> </w:t>
            </w:r>
            <w:r w:rsidR="000104F1" w:rsidRPr="009D743B">
              <w:rPr>
                <w:rFonts w:ascii="Arial Narrow" w:hAnsi="Arial Narrow"/>
                <w:sz w:val="20"/>
                <w:szCs w:val="20"/>
                <w:lang w:val="en-AU"/>
              </w:rPr>
              <w:t xml:space="preserve">the resubmission stated that </w:t>
            </w:r>
            <w:r w:rsidR="00CC4604" w:rsidRPr="009D743B">
              <w:rPr>
                <w:rFonts w:ascii="Arial Narrow" w:hAnsi="Arial Narrow"/>
                <w:sz w:val="20"/>
                <w:szCs w:val="20"/>
                <w:lang w:val="en-AU"/>
              </w:rPr>
              <w:t>such use is not common</w:t>
            </w:r>
            <w:r w:rsidRPr="009D743B">
              <w:rPr>
                <w:rFonts w:ascii="Arial Narrow" w:hAnsi="Arial Narrow"/>
                <w:sz w:val="20"/>
                <w:szCs w:val="20"/>
                <w:lang w:val="en-AU"/>
              </w:rPr>
              <w:t>, and that this was accounted for in the r</w:t>
            </w:r>
            <w:r w:rsidR="00CC4604" w:rsidRPr="009D743B">
              <w:rPr>
                <w:rFonts w:ascii="Arial Narrow" w:hAnsi="Arial Narrow"/>
                <w:sz w:val="20"/>
                <w:szCs w:val="20"/>
                <w:lang w:val="en-AU"/>
              </w:rPr>
              <w:t>evised price and RSA</w:t>
            </w:r>
            <w:r w:rsidR="000D7738" w:rsidRPr="009D743B">
              <w:rPr>
                <w:rFonts w:ascii="Arial Narrow" w:hAnsi="Arial Narrow"/>
                <w:sz w:val="20"/>
                <w:szCs w:val="20"/>
                <w:lang w:val="en-AU"/>
              </w:rPr>
              <w:t>.</w:t>
            </w:r>
            <w:r w:rsidR="004B29D9" w:rsidRPr="009D743B">
              <w:rPr>
                <w:rFonts w:ascii="Arial Narrow" w:hAnsi="Arial Narrow"/>
                <w:sz w:val="20"/>
                <w:szCs w:val="20"/>
                <w:lang w:val="en-AU"/>
              </w:rPr>
              <w:t xml:space="preserve"> </w:t>
            </w:r>
            <w:r w:rsidR="000D7738" w:rsidRPr="009D743B">
              <w:rPr>
                <w:rFonts w:ascii="Arial Narrow" w:hAnsi="Arial Narrow"/>
                <w:sz w:val="20"/>
                <w:szCs w:val="20"/>
                <w:lang w:val="en-AU"/>
              </w:rPr>
              <w:t>T</w:t>
            </w:r>
            <w:r w:rsidR="009F591B" w:rsidRPr="009D743B">
              <w:rPr>
                <w:rFonts w:ascii="Arial Narrow" w:hAnsi="Arial Narrow"/>
                <w:sz w:val="20"/>
                <w:szCs w:val="20"/>
                <w:lang w:val="en-AU"/>
              </w:rPr>
              <w:t xml:space="preserve">he ESC noted the requested restriction </w:t>
            </w:r>
            <w:r w:rsidR="001135D7" w:rsidRPr="009D743B">
              <w:rPr>
                <w:rFonts w:ascii="Arial Narrow" w:hAnsi="Arial Narrow"/>
                <w:sz w:val="20"/>
                <w:szCs w:val="20"/>
                <w:lang w:val="en-AU"/>
              </w:rPr>
              <w:t xml:space="preserve">had </w:t>
            </w:r>
            <w:r w:rsidR="001135D7" w:rsidRPr="009D743B">
              <w:rPr>
                <w:rFonts w:ascii="Arial Narrow" w:hAnsi="Arial Narrow"/>
                <w:sz w:val="20"/>
                <w:szCs w:val="20"/>
                <w:u w:val="single"/>
                <w:lang w:val="en-AU"/>
              </w:rPr>
              <w:t>not</w:t>
            </w:r>
            <w:r w:rsidR="001135D7" w:rsidRPr="009D743B">
              <w:rPr>
                <w:rFonts w:ascii="Arial Narrow" w:hAnsi="Arial Narrow"/>
                <w:sz w:val="20"/>
                <w:szCs w:val="20"/>
                <w:lang w:val="en-AU"/>
              </w:rPr>
              <w:t xml:space="preserve"> included</w:t>
            </w:r>
            <w:r w:rsidR="009F591B" w:rsidRPr="009D743B">
              <w:rPr>
                <w:rFonts w:ascii="Arial Narrow" w:hAnsi="Arial Narrow"/>
                <w:sz w:val="20"/>
                <w:szCs w:val="20"/>
                <w:lang w:val="en-AU"/>
              </w:rPr>
              <w:t xml:space="preserve"> a</w:t>
            </w:r>
            <w:r w:rsidR="001135D7" w:rsidRPr="009D743B">
              <w:rPr>
                <w:rFonts w:ascii="Arial Narrow" w:hAnsi="Arial Narrow"/>
                <w:sz w:val="20"/>
                <w:szCs w:val="20"/>
                <w:lang w:val="en-AU"/>
              </w:rPr>
              <w:t>ny</w:t>
            </w:r>
            <w:r w:rsidR="009F591B" w:rsidRPr="009D743B">
              <w:rPr>
                <w:rFonts w:ascii="Arial Narrow" w:hAnsi="Arial Narrow"/>
                <w:sz w:val="20"/>
                <w:szCs w:val="20"/>
                <w:lang w:val="en-AU"/>
              </w:rPr>
              <w:t xml:space="preserve"> exceptions to the CRP requirement for patients using concurrent corticosteroids. The ESC considered this was appropriate</w:t>
            </w:r>
            <w:r w:rsidR="004B29D9" w:rsidRPr="009D743B">
              <w:rPr>
                <w:rFonts w:ascii="Arial Narrow" w:hAnsi="Arial Narrow"/>
                <w:sz w:val="20"/>
                <w:szCs w:val="20"/>
                <w:lang w:val="en-AU"/>
              </w:rPr>
              <w:t xml:space="preserve"> (i.e. no exceptions)</w:t>
            </w:r>
            <w:r w:rsidR="009F591B" w:rsidRPr="009D743B">
              <w:rPr>
                <w:rFonts w:ascii="Arial Narrow" w:hAnsi="Arial Narrow"/>
                <w:sz w:val="20"/>
                <w:szCs w:val="20"/>
                <w:lang w:val="en-AU"/>
              </w:rPr>
              <w:t>.</w:t>
            </w:r>
            <w:r w:rsidR="000104F1" w:rsidRPr="009D743B">
              <w:rPr>
                <w:rFonts w:ascii="Arial Narrow" w:hAnsi="Arial Narrow"/>
                <w:sz w:val="20"/>
                <w:szCs w:val="20"/>
                <w:lang w:val="en-AU"/>
              </w:rPr>
              <w:t xml:space="preserve"> The PBAC considered that 8-10% of patients may be on corticosteroids.</w:t>
            </w:r>
          </w:p>
        </w:tc>
      </w:tr>
      <w:tr w:rsidR="00A532C4" w:rsidRPr="009D743B" w:rsidTr="008B3D53">
        <w:tc>
          <w:tcPr>
            <w:tcW w:w="3997" w:type="dxa"/>
            <w:shd w:val="clear" w:color="auto" w:fill="auto"/>
          </w:tcPr>
          <w:p w:rsidR="00A532C4" w:rsidRPr="009D743B" w:rsidRDefault="00A532C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For the positive MRI there should be independent reading and confirmation of sacroiliitis by radiologists who are blinded to the patient’s history, as the diagnosis of sacroiliitis on MRI can be subjective, especially earlier in the course of the disease</w:t>
            </w:r>
          </w:p>
        </w:tc>
        <w:tc>
          <w:tcPr>
            <w:tcW w:w="851" w:type="dxa"/>
            <w:shd w:val="clear" w:color="auto" w:fill="auto"/>
            <w:vAlign w:val="center"/>
          </w:tcPr>
          <w:p w:rsidR="00A532C4" w:rsidRPr="009D743B" w:rsidRDefault="00A532C4" w:rsidP="008F00B4">
            <w:pPr>
              <w:keepNext/>
              <w:keepLines/>
              <w:spacing w:before="40" w:after="40"/>
              <w:jc w:val="center"/>
              <w:rPr>
                <w:rFonts w:ascii="Arial Narrow" w:hAnsi="Arial Narrow"/>
                <w:sz w:val="20"/>
                <w:szCs w:val="20"/>
                <w:lang w:val="en-AU"/>
              </w:rPr>
            </w:pPr>
            <w:r w:rsidRPr="009D743B">
              <w:rPr>
                <w:rFonts w:ascii="Arial Narrow" w:hAnsi="Arial Narrow"/>
                <w:sz w:val="20"/>
                <w:szCs w:val="20"/>
                <w:lang w:val="en-AU"/>
              </w:rPr>
              <w:sym w:font="Wingdings 2" w:char="F04F"/>
            </w:r>
          </w:p>
        </w:tc>
        <w:tc>
          <w:tcPr>
            <w:tcW w:w="4234" w:type="dxa"/>
          </w:tcPr>
          <w:p w:rsidR="00A532C4" w:rsidRPr="009D743B" w:rsidRDefault="00CC460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 xml:space="preserve">Insufficient radiologists trained in diagnosis in Australia. </w:t>
            </w:r>
            <w:r w:rsidR="001F513F" w:rsidRPr="009D743B">
              <w:rPr>
                <w:rFonts w:ascii="Arial Narrow" w:hAnsi="Arial Narrow"/>
                <w:sz w:val="20"/>
                <w:szCs w:val="20"/>
                <w:lang w:val="en-AU"/>
              </w:rPr>
              <w:t xml:space="preserve">The ESC </w:t>
            </w:r>
            <w:r w:rsidR="00FF32D3" w:rsidRPr="009D743B">
              <w:rPr>
                <w:rFonts w:ascii="Arial Narrow" w:hAnsi="Arial Narrow"/>
                <w:sz w:val="20"/>
                <w:szCs w:val="20"/>
                <w:lang w:val="en-AU"/>
              </w:rPr>
              <w:t xml:space="preserve">agreed this may be difficult </w:t>
            </w:r>
            <w:r w:rsidR="000A754E" w:rsidRPr="009D743B">
              <w:rPr>
                <w:rFonts w:ascii="Arial Narrow" w:hAnsi="Arial Narrow"/>
                <w:sz w:val="20"/>
                <w:szCs w:val="20"/>
                <w:lang w:val="en-AU"/>
              </w:rPr>
              <w:t xml:space="preserve">to implement </w:t>
            </w:r>
            <w:r w:rsidR="00FF32D3" w:rsidRPr="009D743B">
              <w:rPr>
                <w:rFonts w:ascii="Arial Narrow" w:hAnsi="Arial Narrow"/>
                <w:sz w:val="20"/>
                <w:szCs w:val="20"/>
                <w:lang w:val="en-AU"/>
              </w:rPr>
              <w:t xml:space="preserve">in practice as patients may have </w:t>
            </w:r>
            <w:r w:rsidR="001F513F" w:rsidRPr="009D743B">
              <w:rPr>
                <w:rFonts w:ascii="Arial Narrow" w:hAnsi="Arial Narrow"/>
                <w:sz w:val="20"/>
                <w:szCs w:val="20"/>
                <w:lang w:val="en-AU"/>
              </w:rPr>
              <w:t xml:space="preserve">insufficient access to radiologists.  </w:t>
            </w:r>
          </w:p>
        </w:tc>
      </w:tr>
      <w:tr w:rsidR="00A532C4" w:rsidRPr="009D743B" w:rsidTr="008B3D53">
        <w:tc>
          <w:tcPr>
            <w:tcW w:w="3997" w:type="dxa"/>
            <w:shd w:val="clear" w:color="auto" w:fill="auto"/>
          </w:tcPr>
          <w:p w:rsidR="00A532C4" w:rsidRPr="009D743B" w:rsidRDefault="00A532C4" w:rsidP="008F00B4">
            <w:pPr>
              <w:keepNext/>
              <w:keepLines/>
              <w:spacing w:before="40" w:after="40"/>
              <w:jc w:val="both"/>
              <w:rPr>
                <w:rFonts w:ascii="Arial Narrow" w:hAnsi="Arial Narrow"/>
                <w:sz w:val="20"/>
                <w:szCs w:val="20"/>
                <w:lang w:val="en-AU"/>
              </w:rPr>
            </w:pPr>
            <w:r w:rsidRPr="009D743B">
              <w:rPr>
                <w:rFonts w:ascii="Arial Narrow" w:hAnsi="Arial Narrow"/>
                <w:sz w:val="20"/>
                <w:szCs w:val="20"/>
                <w:lang w:val="en-AU"/>
              </w:rPr>
              <w:t>Limit use to patients with an age of onset of back pain of 45 years or less, per the GO-AHEAD trial</w:t>
            </w:r>
          </w:p>
        </w:tc>
        <w:tc>
          <w:tcPr>
            <w:tcW w:w="851" w:type="dxa"/>
            <w:shd w:val="clear" w:color="auto" w:fill="auto"/>
            <w:vAlign w:val="center"/>
          </w:tcPr>
          <w:p w:rsidR="00A532C4" w:rsidRPr="009D743B" w:rsidRDefault="00A532C4" w:rsidP="008F00B4">
            <w:pPr>
              <w:keepNext/>
              <w:keepLines/>
              <w:spacing w:before="40" w:after="40"/>
              <w:jc w:val="center"/>
              <w:rPr>
                <w:rFonts w:ascii="Arial Narrow" w:hAnsi="Arial Narrow"/>
                <w:sz w:val="20"/>
                <w:szCs w:val="20"/>
                <w:lang w:val="en-AU"/>
              </w:rPr>
            </w:pPr>
            <w:r w:rsidRPr="009D743B">
              <w:rPr>
                <w:rFonts w:ascii="Arial Narrow" w:hAnsi="Arial Narrow"/>
                <w:sz w:val="20"/>
                <w:szCs w:val="20"/>
                <w:lang w:val="en-AU"/>
              </w:rPr>
              <w:sym w:font="Wingdings 2" w:char="F04F"/>
            </w:r>
          </w:p>
        </w:tc>
        <w:tc>
          <w:tcPr>
            <w:tcW w:w="4234" w:type="dxa"/>
          </w:tcPr>
          <w:p w:rsidR="00A532C4" w:rsidRPr="009D743B" w:rsidRDefault="00CC460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Part of ASAS diagnostic criteria</w:t>
            </w:r>
            <w:r w:rsidR="001C12C8" w:rsidRPr="009D743B">
              <w:rPr>
                <w:rFonts w:ascii="Arial Narrow" w:hAnsi="Arial Narrow"/>
                <w:sz w:val="20"/>
                <w:szCs w:val="20"/>
                <w:lang w:val="en-AU"/>
              </w:rPr>
              <w:t>.</w:t>
            </w:r>
            <w:r w:rsidR="008B0925" w:rsidRPr="009D743B">
              <w:rPr>
                <w:rFonts w:ascii="Arial Narrow" w:hAnsi="Arial Narrow"/>
                <w:sz w:val="20"/>
                <w:szCs w:val="20"/>
                <w:lang w:val="en-AU"/>
              </w:rPr>
              <w:t xml:space="preserve"> </w:t>
            </w:r>
            <w:r w:rsidR="00FF32D3" w:rsidRPr="009D743B">
              <w:rPr>
                <w:rFonts w:ascii="Arial Narrow" w:hAnsi="Arial Narrow"/>
                <w:sz w:val="20"/>
                <w:szCs w:val="20"/>
                <w:lang w:val="en-AU"/>
              </w:rPr>
              <w:t xml:space="preserve">The ESC </w:t>
            </w:r>
            <w:r w:rsidR="00902F90" w:rsidRPr="009D743B">
              <w:rPr>
                <w:rFonts w:ascii="Arial Narrow" w:hAnsi="Arial Narrow"/>
                <w:sz w:val="20"/>
                <w:szCs w:val="20"/>
                <w:lang w:val="en-AU"/>
              </w:rPr>
              <w:t xml:space="preserve">further </w:t>
            </w:r>
            <w:r w:rsidR="00FF32D3" w:rsidRPr="009D743B">
              <w:rPr>
                <w:rFonts w:ascii="Arial Narrow" w:hAnsi="Arial Narrow"/>
                <w:sz w:val="20"/>
                <w:szCs w:val="20"/>
                <w:lang w:val="en-AU"/>
              </w:rPr>
              <w:t>noted this may be difficult to prove as it would be based on patient history.</w:t>
            </w:r>
          </w:p>
        </w:tc>
      </w:tr>
      <w:tr w:rsidR="00A532C4" w:rsidRPr="009D743B" w:rsidTr="008B3D53">
        <w:tc>
          <w:tcPr>
            <w:tcW w:w="3997" w:type="dxa"/>
            <w:shd w:val="clear" w:color="auto" w:fill="auto"/>
          </w:tcPr>
          <w:p w:rsidR="00A532C4" w:rsidRPr="009D743B" w:rsidRDefault="00A532C4" w:rsidP="008F00B4">
            <w:pPr>
              <w:keepNext/>
              <w:keepLines/>
              <w:spacing w:before="40" w:after="40"/>
              <w:jc w:val="both"/>
              <w:rPr>
                <w:rFonts w:ascii="Arial Narrow" w:hAnsi="Arial Narrow"/>
                <w:sz w:val="20"/>
                <w:szCs w:val="20"/>
                <w:lang w:val="en-AU"/>
              </w:rPr>
            </w:pPr>
            <w:r w:rsidRPr="009D743B">
              <w:rPr>
                <w:rFonts w:ascii="Arial Narrow" w:hAnsi="Arial Narrow"/>
                <w:sz w:val="20"/>
                <w:szCs w:val="20"/>
                <w:lang w:val="en-AU"/>
              </w:rPr>
              <w:t>Limit use to patients with a symptom duration of less than five years, per the GO-AHEAD trial</w:t>
            </w:r>
          </w:p>
        </w:tc>
        <w:tc>
          <w:tcPr>
            <w:tcW w:w="851" w:type="dxa"/>
            <w:shd w:val="clear" w:color="auto" w:fill="auto"/>
            <w:vAlign w:val="center"/>
          </w:tcPr>
          <w:p w:rsidR="00A532C4" w:rsidRPr="009D743B" w:rsidRDefault="00A532C4" w:rsidP="008F00B4">
            <w:pPr>
              <w:keepNext/>
              <w:keepLines/>
              <w:spacing w:before="40" w:after="40"/>
              <w:jc w:val="center"/>
              <w:rPr>
                <w:rFonts w:ascii="Arial Narrow" w:hAnsi="Arial Narrow"/>
                <w:sz w:val="20"/>
                <w:szCs w:val="20"/>
                <w:lang w:val="en-AU"/>
              </w:rPr>
            </w:pPr>
            <w:r w:rsidRPr="009D743B">
              <w:rPr>
                <w:rFonts w:ascii="Arial Narrow" w:hAnsi="Arial Narrow"/>
                <w:sz w:val="20"/>
                <w:szCs w:val="20"/>
                <w:lang w:val="en-AU"/>
              </w:rPr>
              <w:sym w:font="Wingdings 2" w:char="F04F"/>
            </w:r>
          </w:p>
        </w:tc>
        <w:tc>
          <w:tcPr>
            <w:tcW w:w="4234" w:type="dxa"/>
          </w:tcPr>
          <w:p w:rsidR="00A532C4" w:rsidRPr="009D743B" w:rsidRDefault="00CC460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Delayed diagnosis is common; diagnosis may take &gt; 5 years.</w:t>
            </w:r>
            <w:r w:rsidR="001F513F" w:rsidRPr="009D743B">
              <w:rPr>
                <w:rFonts w:ascii="Arial Narrow" w:hAnsi="Arial Narrow"/>
                <w:sz w:val="20"/>
                <w:szCs w:val="20"/>
                <w:lang w:val="en-AU"/>
              </w:rPr>
              <w:t xml:space="preserve"> </w:t>
            </w:r>
            <w:r w:rsidR="00FF32D3" w:rsidRPr="009D743B">
              <w:rPr>
                <w:rFonts w:ascii="Arial Narrow" w:hAnsi="Arial Narrow"/>
                <w:sz w:val="20"/>
                <w:szCs w:val="20"/>
                <w:lang w:val="en-AU"/>
              </w:rPr>
              <w:t xml:space="preserve">The </w:t>
            </w:r>
            <w:r w:rsidR="001F513F" w:rsidRPr="009D743B">
              <w:rPr>
                <w:rFonts w:ascii="Arial Narrow" w:hAnsi="Arial Narrow"/>
                <w:sz w:val="20"/>
                <w:szCs w:val="20"/>
                <w:lang w:val="en-AU"/>
              </w:rPr>
              <w:t xml:space="preserve">ESC </w:t>
            </w:r>
            <w:r w:rsidR="00FF32D3" w:rsidRPr="009D743B">
              <w:rPr>
                <w:rFonts w:ascii="Arial Narrow" w:hAnsi="Arial Narrow"/>
                <w:sz w:val="20"/>
                <w:szCs w:val="20"/>
                <w:lang w:val="en-AU"/>
              </w:rPr>
              <w:t>noted this would exclude some patients with delayed diagnosis or whose condition has deteriorated</w:t>
            </w:r>
            <w:r w:rsidR="001F513F" w:rsidRPr="009D743B">
              <w:rPr>
                <w:rFonts w:ascii="Arial Narrow" w:hAnsi="Arial Narrow"/>
                <w:sz w:val="20"/>
                <w:szCs w:val="20"/>
                <w:lang w:val="en-AU"/>
              </w:rPr>
              <w:t>.</w:t>
            </w:r>
          </w:p>
        </w:tc>
      </w:tr>
      <w:tr w:rsidR="00A532C4" w:rsidRPr="009D743B" w:rsidTr="008B3D53">
        <w:tc>
          <w:tcPr>
            <w:tcW w:w="3997" w:type="dxa"/>
            <w:shd w:val="clear" w:color="auto" w:fill="auto"/>
          </w:tcPr>
          <w:p w:rsidR="00A532C4" w:rsidRPr="009D743B" w:rsidRDefault="00A532C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Include a stopping rule, whereby patients must cease treatment after a certain time period. Patients could re-commence if they relapse. This was based on the lack of long-term data for golimumab, and supported by a study that showed that some patients maintain their response after discontinuing biologic therapy</w:t>
            </w:r>
          </w:p>
        </w:tc>
        <w:tc>
          <w:tcPr>
            <w:tcW w:w="851" w:type="dxa"/>
            <w:shd w:val="clear" w:color="auto" w:fill="auto"/>
            <w:vAlign w:val="center"/>
          </w:tcPr>
          <w:p w:rsidR="00A532C4" w:rsidRPr="009D743B" w:rsidRDefault="00A532C4" w:rsidP="008F00B4">
            <w:pPr>
              <w:keepNext/>
              <w:keepLines/>
              <w:spacing w:before="40" w:after="40"/>
              <w:jc w:val="center"/>
              <w:rPr>
                <w:rFonts w:ascii="Arial Narrow" w:hAnsi="Arial Narrow"/>
                <w:sz w:val="20"/>
                <w:szCs w:val="20"/>
                <w:lang w:val="en-AU"/>
              </w:rPr>
            </w:pPr>
            <w:r w:rsidRPr="009D743B">
              <w:rPr>
                <w:rFonts w:ascii="Arial Narrow" w:hAnsi="Arial Narrow"/>
                <w:sz w:val="20"/>
                <w:szCs w:val="20"/>
                <w:lang w:val="en-AU"/>
              </w:rPr>
              <w:sym w:font="Wingdings 2" w:char="F04F"/>
            </w:r>
          </w:p>
        </w:tc>
        <w:tc>
          <w:tcPr>
            <w:tcW w:w="4234" w:type="dxa"/>
          </w:tcPr>
          <w:p w:rsidR="003334E0" w:rsidRPr="009D743B" w:rsidRDefault="00CC4604" w:rsidP="008F00B4">
            <w:pPr>
              <w:keepNext/>
              <w:keepLines/>
              <w:spacing w:before="40" w:after="40"/>
              <w:rPr>
                <w:rFonts w:ascii="Arial Narrow" w:hAnsi="Arial Narrow"/>
                <w:sz w:val="20"/>
                <w:szCs w:val="20"/>
                <w:lang w:val="en-AU"/>
              </w:rPr>
            </w:pPr>
            <w:r w:rsidRPr="009D743B">
              <w:rPr>
                <w:rFonts w:ascii="Arial Narrow" w:hAnsi="Arial Narrow"/>
                <w:sz w:val="20"/>
                <w:szCs w:val="20"/>
                <w:lang w:val="en-AU"/>
              </w:rPr>
              <w:t>Insufficient evidence for fixed course followed by treatment cessation.</w:t>
            </w:r>
            <w:r w:rsidR="001F513F" w:rsidRPr="009D743B">
              <w:rPr>
                <w:rFonts w:ascii="Arial Narrow" w:hAnsi="Arial Narrow"/>
                <w:sz w:val="20"/>
                <w:szCs w:val="20"/>
                <w:lang w:val="en-AU"/>
              </w:rPr>
              <w:t xml:space="preserve"> </w:t>
            </w:r>
            <w:r w:rsidR="003334E0" w:rsidRPr="009D743B">
              <w:rPr>
                <w:rFonts w:ascii="Arial Narrow" w:hAnsi="Arial Narrow"/>
                <w:sz w:val="20"/>
                <w:szCs w:val="20"/>
                <w:lang w:val="en-AU"/>
              </w:rPr>
              <w:t xml:space="preserve">The PSCR stated that a continuation rule (based on a reduction from baseline in the BASDAI score by &gt; 2) was included instead of a stopping rule. </w:t>
            </w:r>
            <w:r w:rsidR="001135D7" w:rsidRPr="009D743B">
              <w:rPr>
                <w:rFonts w:ascii="Arial Narrow" w:hAnsi="Arial Narrow"/>
                <w:sz w:val="20"/>
                <w:szCs w:val="20"/>
                <w:lang w:val="en-AU"/>
              </w:rPr>
              <w:t xml:space="preserve">The ESC noted that the continuation rule </w:t>
            </w:r>
            <w:r w:rsidR="008B3D53" w:rsidRPr="009D743B">
              <w:rPr>
                <w:rFonts w:ascii="Arial Narrow" w:hAnsi="Arial Narrow"/>
                <w:sz w:val="20"/>
                <w:szCs w:val="20"/>
                <w:lang w:val="en-AU"/>
              </w:rPr>
              <w:t>differed</w:t>
            </w:r>
            <w:r w:rsidR="001135D7" w:rsidRPr="009D743B">
              <w:rPr>
                <w:rFonts w:ascii="Arial Narrow" w:hAnsi="Arial Narrow"/>
                <w:sz w:val="20"/>
                <w:szCs w:val="20"/>
                <w:lang w:val="en-AU"/>
              </w:rPr>
              <w:t xml:space="preserve"> to the stopping rule proposed by the PBAC</w:t>
            </w:r>
            <w:r w:rsidR="00FF32D3" w:rsidRPr="009D743B">
              <w:rPr>
                <w:rFonts w:ascii="Arial Narrow" w:hAnsi="Arial Narrow"/>
                <w:sz w:val="20"/>
                <w:szCs w:val="20"/>
                <w:lang w:val="en-AU"/>
              </w:rPr>
              <w:t xml:space="preserve"> where patients would cease regardless of response</w:t>
            </w:r>
            <w:r w:rsidR="001135D7" w:rsidRPr="009D743B">
              <w:rPr>
                <w:rFonts w:ascii="Arial Narrow" w:hAnsi="Arial Narrow"/>
                <w:sz w:val="20"/>
                <w:szCs w:val="20"/>
                <w:lang w:val="en-AU"/>
              </w:rPr>
              <w:t xml:space="preserve">. The ESC </w:t>
            </w:r>
            <w:r w:rsidR="00FF32D3" w:rsidRPr="009D743B">
              <w:rPr>
                <w:rFonts w:ascii="Arial Narrow" w:hAnsi="Arial Narrow"/>
                <w:sz w:val="20"/>
                <w:szCs w:val="20"/>
                <w:lang w:val="en-AU"/>
              </w:rPr>
              <w:t xml:space="preserve">noted there was no evidence for prolonged use in this indication and considered that </w:t>
            </w:r>
            <w:r w:rsidR="000A754E" w:rsidRPr="009D743B">
              <w:rPr>
                <w:rFonts w:ascii="Arial Narrow" w:hAnsi="Arial Narrow"/>
                <w:sz w:val="20"/>
                <w:szCs w:val="20"/>
                <w:lang w:val="en-AU"/>
              </w:rPr>
              <w:t>a stopping rule should have be</w:t>
            </w:r>
            <w:r w:rsidR="0032185D" w:rsidRPr="009D743B">
              <w:rPr>
                <w:rFonts w:ascii="Arial Narrow" w:hAnsi="Arial Narrow"/>
                <w:sz w:val="20"/>
                <w:szCs w:val="20"/>
                <w:lang w:val="en-AU"/>
              </w:rPr>
              <w:t>en</w:t>
            </w:r>
            <w:r w:rsidR="000D7738" w:rsidRPr="009D743B">
              <w:rPr>
                <w:rFonts w:ascii="Arial Narrow" w:hAnsi="Arial Narrow"/>
                <w:sz w:val="20"/>
                <w:szCs w:val="20"/>
                <w:lang w:val="en-AU"/>
              </w:rPr>
              <w:t xml:space="preserve"> considered</w:t>
            </w:r>
            <w:r w:rsidR="000A754E" w:rsidRPr="009D743B">
              <w:rPr>
                <w:rFonts w:ascii="Arial Narrow" w:hAnsi="Arial Narrow"/>
                <w:sz w:val="20"/>
                <w:szCs w:val="20"/>
                <w:lang w:val="en-AU"/>
              </w:rPr>
              <w:t xml:space="preserve"> in the requested restriction.</w:t>
            </w:r>
          </w:p>
        </w:tc>
      </w:tr>
    </w:tbl>
    <w:p w:rsidR="00017B08" w:rsidRPr="009D743B" w:rsidRDefault="00017B08" w:rsidP="008F00B4">
      <w:pPr>
        <w:keepNext/>
        <w:keepLines/>
        <w:spacing w:before="0" w:after="120"/>
        <w:jc w:val="both"/>
        <w:rPr>
          <w:rFonts w:ascii="Arial Narrow" w:hAnsi="Arial Narrow"/>
          <w:sz w:val="18"/>
          <w:szCs w:val="18"/>
        </w:rPr>
      </w:pPr>
      <w:r w:rsidRPr="009D743B">
        <w:rPr>
          <w:rFonts w:ascii="Arial Narrow" w:hAnsi="Arial Narrow"/>
          <w:sz w:val="18"/>
          <w:szCs w:val="18"/>
        </w:rPr>
        <w:t xml:space="preserve">Source: Compiled during the evaluation from section 1 of the resubmission and the 6.04 golimumab November 2017 PBAC </w:t>
      </w:r>
      <w:r w:rsidR="00217E96">
        <w:rPr>
          <w:rFonts w:ascii="Arial Narrow" w:hAnsi="Arial Narrow"/>
          <w:sz w:val="18"/>
          <w:szCs w:val="18"/>
        </w:rPr>
        <w:t>Public Summary Document</w:t>
      </w:r>
      <w:r w:rsidRPr="009D743B">
        <w:rPr>
          <w:rFonts w:ascii="Arial Narrow" w:hAnsi="Arial Narrow"/>
          <w:sz w:val="18"/>
          <w:szCs w:val="18"/>
        </w:rPr>
        <w:t>, paragraphs 2.7 and 7.4</w:t>
      </w:r>
    </w:p>
    <w:p w:rsidR="00136094" w:rsidRPr="009D743B" w:rsidRDefault="008B4743" w:rsidP="00B876BB">
      <w:pPr>
        <w:pStyle w:val="ListParagraph"/>
        <w:numPr>
          <w:ilvl w:val="0"/>
          <w:numId w:val="10"/>
        </w:numPr>
        <w:spacing w:before="0" w:after="0"/>
        <w:ind w:left="567" w:hanging="567"/>
        <w:jc w:val="both"/>
      </w:pPr>
      <w:r w:rsidRPr="009D743B">
        <w:t>Compared to the requested restriction</w:t>
      </w:r>
      <w:r w:rsidR="00136094" w:rsidRPr="009D743B">
        <w:t xml:space="preserve"> in the previous submission, the following changes have been made:</w:t>
      </w:r>
    </w:p>
    <w:p w:rsidR="00136094" w:rsidRPr="009D743B" w:rsidRDefault="00136094" w:rsidP="00B876BB">
      <w:pPr>
        <w:pStyle w:val="ListParagraph"/>
        <w:numPr>
          <w:ilvl w:val="0"/>
          <w:numId w:val="8"/>
        </w:numPr>
        <w:spacing w:before="0" w:after="0"/>
        <w:ind w:left="851" w:hanging="284"/>
        <w:jc w:val="both"/>
      </w:pPr>
      <w:r w:rsidRPr="009D743B">
        <w:t>Requesting listing of both the pre-filled syringe and pre-filled pen (only the pre-filled syringe was requested in the previous submission);</w:t>
      </w:r>
    </w:p>
    <w:p w:rsidR="00136094" w:rsidRPr="009D743B" w:rsidRDefault="00136094" w:rsidP="00B876BB">
      <w:pPr>
        <w:pStyle w:val="ListParagraph"/>
        <w:numPr>
          <w:ilvl w:val="0"/>
          <w:numId w:val="8"/>
        </w:numPr>
        <w:spacing w:before="0" w:after="0"/>
        <w:ind w:left="851" w:hanging="284"/>
        <w:jc w:val="both"/>
      </w:pPr>
      <w:r w:rsidRPr="009D743B">
        <w:lastRenderedPageBreak/>
        <w:t>A reduction in the number of repeats from 4 to 3 for initial treatment</w:t>
      </w:r>
      <w:r w:rsidR="00AD67F3" w:rsidRPr="009D743B">
        <w:t xml:space="preserve"> (as requested by</w:t>
      </w:r>
      <w:r w:rsidR="00B831FC" w:rsidRPr="009D743B">
        <w:t xml:space="preserve"> the</w:t>
      </w:r>
      <w:r w:rsidR="00AD67F3" w:rsidRPr="009D743B">
        <w:t xml:space="preserve"> PBAC in November 2017)</w:t>
      </w:r>
      <w:r w:rsidRPr="009D743B">
        <w:t>;</w:t>
      </w:r>
    </w:p>
    <w:p w:rsidR="00136094" w:rsidRPr="009D743B" w:rsidRDefault="00136094" w:rsidP="00B876BB">
      <w:pPr>
        <w:pStyle w:val="ListParagraph"/>
        <w:numPr>
          <w:ilvl w:val="0"/>
          <w:numId w:val="8"/>
        </w:numPr>
        <w:spacing w:before="0"/>
        <w:ind w:left="851" w:hanging="284"/>
        <w:jc w:val="both"/>
      </w:pPr>
      <w:r w:rsidRPr="009D743B">
        <w:t>The proposed listing for Initial 2 has changed between submissions</w:t>
      </w:r>
      <w:r w:rsidR="00E959CC" w:rsidRPr="009D743B">
        <w:t xml:space="preserve">. </w:t>
      </w:r>
      <w:r w:rsidRPr="009D743B">
        <w:t xml:space="preserve">Advice received from the Sponsor during the evaluation indicated that the intention for the Initial 2 listing was to cover patients who either re-commence (have had previous PBS-subsidised therapy) </w:t>
      </w:r>
      <w:r w:rsidR="00765BF7" w:rsidRPr="009D743B">
        <w:t>or</w:t>
      </w:r>
      <w:r w:rsidRPr="009D743B">
        <w:t xml:space="preserve"> who are grandfathered onto PBS-subsidised therapy (have not had previous PBS-subsidised therapy</w:t>
      </w:r>
      <w:r w:rsidR="00043202" w:rsidRPr="009D743B">
        <w:t>, though this was not specified in the requested listing provided</w:t>
      </w:r>
      <w:r w:rsidRPr="009D743B">
        <w:t>) and indicated that a further (Initial 3) listing may be required</w:t>
      </w:r>
      <w:r w:rsidR="00A803A2" w:rsidRPr="009D743B">
        <w:t xml:space="preserve"> to cover both these patient groups</w:t>
      </w:r>
      <w:r w:rsidRPr="009D743B">
        <w:t>. Amended wording in relation to the recommencing and grandfathering listings was not provided</w:t>
      </w:r>
      <w:r w:rsidR="00F015EC">
        <w:t>.</w:t>
      </w:r>
    </w:p>
    <w:p w:rsidR="003334E0" w:rsidRPr="009D743B" w:rsidRDefault="00136094" w:rsidP="00B876BB">
      <w:pPr>
        <w:pStyle w:val="ListParagraph"/>
        <w:numPr>
          <w:ilvl w:val="0"/>
          <w:numId w:val="10"/>
        </w:numPr>
        <w:spacing w:before="0" w:after="120"/>
        <w:ind w:left="567" w:hanging="567"/>
        <w:jc w:val="both"/>
      </w:pPr>
      <w:r w:rsidRPr="009D743B">
        <w:t>T</w:t>
      </w:r>
      <w:r w:rsidR="008B4743" w:rsidRPr="009D743B">
        <w:t xml:space="preserve">he resubmission </w:t>
      </w:r>
      <w:r w:rsidR="005065CC" w:rsidRPr="009D743B">
        <w:t>included</w:t>
      </w:r>
      <w:r w:rsidR="008B4743" w:rsidRPr="009D743B">
        <w:t xml:space="preserve"> requirement</w:t>
      </w:r>
      <w:r w:rsidR="005065CC" w:rsidRPr="009D743B">
        <w:t>s</w:t>
      </w:r>
      <w:r w:rsidR="008B4743" w:rsidRPr="009D743B">
        <w:t xml:space="preserve"> for </w:t>
      </w:r>
      <w:r w:rsidR="00B02E51" w:rsidRPr="009D743B">
        <w:t xml:space="preserve">patients to have </w:t>
      </w:r>
      <w:r w:rsidR="005065CC" w:rsidRPr="009D743B">
        <w:t xml:space="preserve">(i) </w:t>
      </w:r>
      <w:r w:rsidR="00B02E51" w:rsidRPr="009D743B">
        <w:t xml:space="preserve">both </w:t>
      </w:r>
      <w:r w:rsidR="008B4743" w:rsidRPr="009D743B">
        <w:t xml:space="preserve">elevated CRP </w:t>
      </w:r>
      <w:r w:rsidR="008B4743" w:rsidRPr="009D743B">
        <w:rPr>
          <w:u w:val="single"/>
        </w:rPr>
        <w:t>and</w:t>
      </w:r>
      <w:r w:rsidR="008B4743" w:rsidRPr="009D743B">
        <w:t xml:space="preserve"> sacroiliitis on MRI</w:t>
      </w:r>
      <w:r w:rsidR="00EA3507" w:rsidRPr="009D743B">
        <w:t>;</w:t>
      </w:r>
      <w:r w:rsidR="00B02E51" w:rsidRPr="009D743B">
        <w:t xml:space="preserve"> </w:t>
      </w:r>
      <w:r w:rsidRPr="009D743B">
        <w:t xml:space="preserve">and </w:t>
      </w:r>
      <w:r w:rsidR="005065CC" w:rsidRPr="009D743B">
        <w:t xml:space="preserve">(ii) </w:t>
      </w:r>
      <w:r w:rsidRPr="009D743B">
        <w:t xml:space="preserve">the condition must be sacroiliitis with active inflammation and/or oedema that is not visible on a plain X-ray but is visible on MRI; AND the patient must have experienced one or more of the following: (a) Enthesitis (heel); (b) Uveitis; (c) Dactylitis; (d) Psoriasis; (e) Inflammatory bowel disease; OR (f) </w:t>
      </w:r>
      <w:r w:rsidR="00236526">
        <w:t xml:space="preserve">positive </w:t>
      </w:r>
      <w:r w:rsidRPr="009D743B">
        <w:t xml:space="preserve">HLA-B27 </w:t>
      </w:r>
      <w:r w:rsidR="00B02E51" w:rsidRPr="009D743B">
        <w:t>for eligibility in the initial treatment phase</w:t>
      </w:r>
      <w:r w:rsidR="00EC71FE" w:rsidRPr="009D743B">
        <w:t xml:space="preserve"> (as requested by the PBAC in November 2017)</w:t>
      </w:r>
      <w:r w:rsidR="008B4743" w:rsidRPr="009D743B">
        <w:t xml:space="preserve">. </w:t>
      </w:r>
      <w:r w:rsidR="003334E0" w:rsidRPr="009D743B">
        <w:t>The PSCR stated that the sponsor was “willing to accept the changes in the Restriction suggested by the PBAC and highlighted in the Commentary, but believes that these changes need careful consideration in terms of the implications for clinicians”.</w:t>
      </w:r>
    </w:p>
    <w:p w:rsidR="00465567" w:rsidRPr="009D743B" w:rsidRDefault="00465567" w:rsidP="00B876BB">
      <w:pPr>
        <w:pStyle w:val="ListParagraph"/>
        <w:numPr>
          <w:ilvl w:val="0"/>
          <w:numId w:val="10"/>
        </w:numPr>
        <w:spacing w:before="0" w:after="120"/>
        <w:ind w:left="567" w:hanging="567"/>
        <w:jc w:val="both"/>
      </w:pPr>
      <w:r w:rsidRPr="009D743B">
        <w:t>The ESC considered that there may be practical issues with including some of these criteria, recalling that the PBAC had previously considered that some of these factors would be difficult to address adequately within a PBS restriction (Para 7.4, November 2017</w:t>
      </w:r>
      <w:r w:rsidR="00833C5A">
        <w:t xml:space="preserve"> PSD</w:t>
      </w:r>
      <w:r w:rsidRPr="009D743B">
        <w:t>). As such, the ESC considered that alternative methods, such as a Risk Sharing Arrangement (RSA), may be required to address the risk of use outside the intended population (i.e. patients with the highest clinical need and those who would benefit the most).</w:t>
      </w:r>
      <w:r w:rsidR="008C20F9" w:rsidRPr="009D743B">
        <w:t xml:space="preserve"> The pre-PBAC response stated that defining an appropriate population through a restriction </w:t>
      </w:r>
      <w:r w:rsidR="00C442C2" w:rsidRPr="009D743B">
        <w:t>would be</w:t>
      </w:r>
      <w:r w:rsidR="008C20F9" w:rsidRPr="009D743B">
        <w:t xml:space="preserve"> difficult and proposed a revised RSA in order to address the risk of use outside the intended population</w:t>
      </w:r>
      <w:r w:rsidR="00283E8D" w:rsidRPr="009D743B">
        <w:t xml:space="preserve"> (see </w:t>
      </w:r>
      <w:r w:rsidR="00283E8D" w:rsidRPr="009D743B">
        <w:rPr>
          <w:i/>
        </w:rPr>
        <w:t>Financial management – risk sharing arrangements</w:t>
      </w:r>
      <w:r w:rsidR="00283E8D" w:rsidRPr="009D743B">
        <w:t xml:space="preserve"> section)</w:t>
      </w:r>
      <w:r w:rsidR="008C20F9" w:rsidRPr="009D743B">
        <w:t xml:space="preserve">. </w:t>
      </w:r>
    </w:p>
    <w:p w:rsidR="00EF6942" w:rsidRPr="009D743B" w:rsidRDefault="00283E8D" w:rsidP="00B876BB">
      <w:pPr>
        <w:pStyle w:val="ListParagraph"/>
        <w:numPr>
          <w:ilvl w:val="0"/>
          <w:numId w:val="10"/>
        </w:numPr>
        <w:spacing w:before="0" w:after="120"/>
        <w:ind w:left="567" w:hanging="567"/>
        <w:jc w:val="both"/>
      </w:pPr>
      <w:r w:rsidRPr="009D743B">
        <w:t>As noted in Table 2, t</w:t>
      </w:r>
      <w:r w:rsidR="007836BF" w:rsidRPr="009D743B">
        <w:t xml:space="preserve">he PBAC considered </w:t>
      </w:r>
      <w:r w:rsidR="0050323A" w:rsidRPr="009D743B">
        <w:t>more work would be required on</w:t>
      </w:r>
      <w:r w:rsidR="007836BF" w:rsidRPr="009D743B">
        <w:t xml:space="preserve"> the definition of </w:t>
      </w:r>
      <w:r w:rsidR="00EF6942" w:rsidRPr="009D743B">
        <w:t xml:space="preserve">changes visible on MRI </w:t>
      </w:r>
      <w:r w:rsidR="0050323A" w:rsidRPr="009D743B">
        <w:t xml:space="preserve">in the proposed restriction </w:t>
      </w:r>
      <w:r w:rsidR="00EF6942" w:rsidRPr="009D743B">
        <w:t>to exclude changes that would be</w:t>
      </w:r>
      <w:r w:rsidR="0050323A" w:rsidRPr="009D743B">
        <w:t xml:space="preserve"> </w:t>
      </w:r>
      <w:r w:rsidR="0050323A" w:rsidRPr="009D743B">
        <w:rPr>
          <w:rFonts w:cs="Arial"/>
          <w:bCs/>
          <w:snapToGrid w:val="0"/>
        </w:rPr>
        <w:t>documented to occur in the normal population</w:t>
      </w:r>
      <w:r w:rsidR="007836BF" w:rsidRPr="009D743B">
        <w:t xml:space="preserve">. </w:t>
      </w:r>
    </w:p>
    <w:p w:rsidR="00E632D6" w:rsidRPr="009D743B" w:rsidRDefault="00E632D6" w:rsidP="0050323A">
      <w:pPr>
        <w:ind w:left="567"/>
        <w:jc w:val="both"/>
        <w:rPr>
          <w:i/>
        </w:rPr>
      </w:pPr>
      <w:r w:rsidRPr="009D743B">
        <w:rPr>
          <w:i/>
        </w:rPr>
        <w:t>For more detail on PBAC’s view, see section 7 PBAC outcome.</w:t>
      </w:r>
    </w:p>
    <w:p w:rsidR="00C317F3" w:rsidRPr="009D743B" w:rsidRDefault="00C317F3" w:rsidP="002001C6">
      <w:pPr>
        <w:pStyle w:val="Heading1"/>
        <w:ind w:left="709" w:hanging="709"/>
      </w:pPr>
      <w:bookmarkStart w:id="7" w:name="_Toc413139273"/>
      <w:bookmarkStart w:id="8" w:name="_Toc514253023"/>
      <w:r w:rsidRPr="009D743B">
        <w:t>Background</w:t>
      </w:r>
      <w:bookmarkEnd w:id="7"/>
      <w:bookmarkEnd w:id="8"/>
    </w:p>
    <w:p w:rsidR="0017638E" w:rsidRPr="009D743B" w:rsidRDefault="0017638E" w:rsidP="0017638E">
      <w:pPr>
        <w:pStyle w:val="Heading2"/>
        <w:rPr>
          <w:i w:val="0"/>
        </w:rPr>
      </w:pPr>
      <w:bookmarkStart w:id="9" w:name="_Toc514253024"/>
      <w:r w:rsidRPr="009D743B">
        <w:rPr>
          <w:i w:val="0"/>
        </w:rPr>
        <w:t>Registration status</w:t>
      </w:r>
      <w:bookmarkEnd w:id="9"/>
    </w:p>
    <w:p w:rsidR="00F65F5E" w:rsidRPr="009D743B" w:rsidRDefault="00F65F5E" w:rsidP="00B876BB">
      <w:pPr>
        <w:pStyle w:val="ListParagraph"/>
        <w:numPr>
          <w:ilvl w:val="0"/>
          <w:numId w:val="12"/>
        </w:numPr>
        <w:ind w:hanging="720"/>
        <w:jc w:val="both"/>
      </w:pPr>
      <w:r w:rsidRPr="009D743B">
        <w:t xml:space="preserve">Golimumab was registered on 2 September 2016 for the treatment of adults with active nr-axSpA with objective signs of inflammation (OSI) as indicated by elevated </w:t>
      </w:r>
      <w:r w:rsidRPr="009D743B">
        <w:lastRenderedPageBreak/>
        <w:t>CRP and/or MRI evidence, who have had an inadequate response to, or are intolerant to, non-steroidal anti-inflammatory drugs (NSAIDs).</w:t>
      </w:r>
    </w:p>
    <w:p w:rsidR="00A72FBF" w:rsidRPr="009D743B" w:rsidRDefault="00A72FBF" w:rsidP="00B876BB">
      <w:pPr>
        <w:pStyle w:val="ListParagraph"/>
        <w:numPr>
          <w:ilvl w:val="0"/>
          <w:numId w:val="12"/>
        </w:numPr>
        <w:ind w:hanging="720"/>
        <w:jc w:val="both"/>
      </w:pPr>
      <w:r w:rsidRPr="009D743B">
        <w:t xml:space="preserve">Table 3 outlines </w:t>
      </w:r>
      <w:r w:rsidR="00B660C6" w:rsidRPr="009D743B">
        <w:t xml:space="preserve">the registration status of </w:t>
      </w:r>
      <w:r w:rsidRPr="009D743B">
        <w:t xml:space="preserve">biologic agents that are registered for use in nr-axSpA </w:t>
      </w:r>
      <w:r w:rsidR="00B660C6" w:rsidRPr="009D743B">
        <w:t xml:space="preserve">and/or ankylosing spondylitis </w:t>
      </w:r>
      <w:r w:rsidRPr="009D743B">
        <w:t>in Australia and internationally.</w:t>
      </w:r>
    </w:p>
    <w:p w:rsidR="00A72FBF" w:rsidRPr="009D743B" w:rsidRDefault="00A72FBF" w:rsidP="00A72FBF">
      <w:pPr>
        <w:pStyle w:val="Caption"/>
        <w:ind w:left="360" w:hanging="360"/>
        <w:rPr>
          <w:rFonts w:ascii="Arial Narrow" w:hAnsi="Arial Narrow"/>
        </w:rPr>
      </w:pPr>
      <w:r w:rsidRPr="009D743B">
        <w:rPr>
          <w:rFonts w:ascii="Arial Narrow" w:hAnsi="Arial Narrow"/>
        </w:rPr>
        <w:t xml:space="preserve">Table 3: Summary of biological agents that are registered for use in </w:t>
      </w:r>
      <w:r w:rsidR="00B660C6" w:rsidRPr="009D743B">
        <w:rPr>
          <w:rFonts w:ascii="Arial Narrow" w:hAnsi="Arial Narrow"/>
        </w:rPr>
        <w:t xml:space="preserve">AS or </w:t>
      </w:r>
      <w:r w:rsidRPr="009D743B">
        <w:rPr>
          <w:rFonts w:ascii="Arial Narrow" w:hAnsi="Arial Narrow"/>
        </w:rPr>
        <w:t>nr-axSpA in Australia and internationally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45"/>
        <w:gridCol w:w="1192"/>
        <w:gridCol w:w="1751"/>
        <w:gridCol w:w="2203"/>
        <w:gridCol w:w="2191"/>
      </w:tblGrid>
      <w:tr w:rsidR="00A72FBF" w:rsidRPr="009D743B" w:rsidTr="008D7AE2">
        <w:tc>
          <w:tcPr>
            <w:tcW w:w="961" w:type="pct"/>
            <w:vMerge w:val="restart"/>
            <w:shd w:val="clear" w:color="auto" w:fill="auto"/>
            <w:vAlign w:val="center"/>
          </w:tcPr>
          <w:p w:rsidR="00A72FBF" w:rsidRPr="009D743B" w:rsidRDefault="00A72FBF" w:rsidP="008D7AE2">
            <w:pPr>
              <w:pStyle w:val="TableText"/>
              <w:rPr>
                <w:b/>
              </w:rPr>
            </w:pPr>
            <w:r w:rsidRPr="009D743B">
              <w:rPr>
                <w:b/>
              </w:rPr>
              <w:t>Drug</w:t>
            </w:r>
          </w:p>
        </w:tc>
        <w:tc>
          <w:tcPr>
            <w:tcW w:w="1620" w:type="pct"/>
            <w:gridSpan w:val="2"/>
            <w:shd w:val="clear" w:color="auto" w:fill="auto"/>
            <w:vAlign w:val="center"/>
          </w:tcPr>
          <w:p w:rsidR="00A72FBF" w:rsidRPr="009D743B" w:rsidRDefault="00A72FBF" w:rsidP="008D7AE2">
            <w:pPr>
              <w:pStyle w:val="TableText"/>
              <w:jc w:val="center"/>
              <w:rPr>
                <w:b/>
              </w:rPr>
            </w:pPr>
            <w:r w:rsidRPr="009D743B">
              <w:rPr>
                <w:b/>
              </w:rPr>
              <w:t>TGA-registration</w:t>
            </w:r>
          </w:p>
        </w:tc>
        <w:tc>
          <w:tcPr>
            <w:tcW w:w="2420" w:type="pct"/>
            <w:gridSpan w:val="2"/>
          </w:tcPr>
          <w:p w:rsidR="00A72FBF" w:rsidRPr="009D743B" w:rsidRDefault="00A72FBF" w:rsidP="008D7AE2">
            <w:pPr>
              <w:pStyle w:val="TableText"/>
              <w:jc w:val="center"/>
              <w:rPr>
                <w:b/>
              </w:rPr>
            </w:pPr>
            <w:r w:rsidRPr="009D743B">
              <w:rPr>
                <w:b/>
              </w:rPr>
              <w:t>International registration for nr-axSpA</w:t>
            </w:r>
          </w:p>
        </w:tc>
      </w:tr>
      <w:tr w:rsidR="00A72FBF" w:rsidRPr="009D743B" w:rsidTr="008D7AE2">
        <w:tc>
          <w:tcPr>
            <w:tcW w:w="961" w:type="pct"/>
            <w:vMerge/>
            <w:shd w:val="clear" w:color="auto" w:fill="auto"/>
            <w:vAlign w:val="center"/>
          </w:tcPr>
          <w:p w:rsidR="00A72FBF" w:rsidRPr="009D743B" w:rsidRDefault="00A72FBF" w:rsidP="008D7AE2">
            <w:pPr>
              <w:pStyle w:val="TableText"/>
              <w:rPr>
                <w:b/>
              </w:rPr>
            </w:pPr>
          </w:p>
        </w:tc>
        <w:tc>
          <w:tcPr>
            <w:tcW w:w="656" w:type="pct"/>
            <w:shd w:val="clear" w:color="auto" w:fill="auto"/>
            <w:vAlign w:val="center"/>
          </w:tcPr>
          <w:p w:rsidR="00A72FBF" w:rsidRPr="009D743B" w:rsidRDefault="00A72FBF" w:rsidP="008D7AE2">
            <w:pPr>
              <w:pStyle w:val="TableText"/>
              <w:jc w:val="center"/>
              <w:rPr>
                <w:b/>
              </w:rPr>
            </w:pPr>
            <w:r w:rsidRPr="009D743B">
              <w:rPr>
                <w:b/>
              </w:rPr>
              <w:t>AS</w:t>
            </w:r>
          </w:p>
        </w:tc>
        <w:tc>
          <w:tcPr>
            <w:tcW w:w="963" w:type="pct"/>
          </w:tcPr>
          <w:p w:rsidR="00A72FBF" w:rsidRPr="009D743B" w:rsidRDefault="00A72FBF" w:rsidP="008D7AE2">
            <w:pPr>
              <w:pStyle w:val="TableText"/>
              <w:jc w:val="center"/>
              <w:rPr>
                <w:b/>
              </w:rPr>
            </w:pPr>
            <w:r w:rsidRPr="009D743B">
              <w:rPr>
                <w:b/>
              </w:rPr>
              <w:t>nr-axSpA</w:t>
            </w:r>
          </w:p>
        </w:tc>
        <w:tc>
          <w:tcPr>
            <w:tcW w:w="1213" w:type="pct"/>
          </w:tcPr>
          <w:p w:rsidR="00A72FBF" w:rsidRPr="009D743B" w:rsidRDefault="00A72FBF" w:rsidP="008D7AE2">
            <w:pPr>
              <w:pStyle w:val="TableText"/>
              <w:jc w:val="center"/>
              <w:rPr>
                <w:b/>
                <w:vertAlign w:val="superscript"/>
              </w:rPr>
            </w:pPr>
            <w:r w:rsidRPr="009D743B">
              <w:rPr>
                <w:b/>
              </w:rPr>
              <w:t xml:space="preserve">FDA </w:t>
            </w:r>
            <w:r w:rsidRPr="009D743B">
              <w:rPr>
                <w:b/>
                <w:vertAlign w:val="superscript"/>
              </w:rPr>
              <w:t>a</w:t>
            </w:r>
          </w:p>
        </w:tc>
        <w:tc>
          <w:tcPr>
            <w:tcW w:w="1207" w:type="pct"/>
          </w:tcPr>
          <w:p w:rsidR="00A72FBF" w:rsidRPr="009D743B" w:rsidRDefault="00A72FBF" w:rsidP="008D7AE2">
            <w:pPr>
              <w:pStyle w:val="TableText"/>
              <w:jc w:val="center"/>
              <w:rPr>
                <w:b/>
                <w:vertAlign w:val="superscript"/>
              </w:rPr>
            </w:pPr>
            <w:r w:rsidRPr="009D743B">
              <w:rPr>
                <w:b/>
              </w:rPr>
              <w:t xml:space="preserve">EMA </w:t>
            </w:r>
            <w:r w:rsidRPr="009D743B">
              <w:rPr>
                <w:b/>
                <w:vertAlign w:val="superscript"/>
              </w:rPr>
              <w:t>b</w:t>
            </w:r>
          </w:p>
        </w:tc>
      </w:tr>
      <w:tr w:rsidR="00A72FBF" w:rsidRPr="009D743B" w:rsidTr="008D7AE2">
        <w:tc>
          <w:tcPr>
            <w:tcW w:w="961" w:type="pct"/>
            <w:shd w:val="clear" w:color="auto" w:fill="auto"/>
          </w:tcPr>
          <w:p w:rsidR="00A72FBF" w:rsidRPr="009D743B" w:rsidRDefault="00A72FBF" w:rsidP="008D7AE2">
            <w:pPr>
              <w:pStyle w:val="TableText"/>
            </w:pPr>
            <w:r w:rsidRPr="009D743B">
              <w:t>Adalimumab</w:t>
            </w:r>
          </w:p>
        </w:tc>
        <w:tc>
          <w:tcPr>
            <w:tcW w:w="656" w:type="pct"/>
            <w:shd w:val="clear" w:color="auto" w:fill="auto"/>
            <w:vAlign w:val="center"/>
          </w:tcPr>
          <w:p w:rsidR="00A72FBF" w:rsidRPr="009D743B" w:rsidRDefault="00A72FBF" w:rsidP="008D7AE2">
            <w:pPr>
              <w:pStyle w:val="TableText"/>
              <w:jc w:val="center"/>
              <w:rPr>
                <w:b/>
              </w:rPr>
            </w:pPr>
            <w:r w:rsidRPr="009D743B">
              <w:rPr>
                <w:szCs w:val="20"/>
              </w:rPr>
              <w:sym w:font="Wingdings 2" w:char="F050"/>
            </w:r>
          </w:p>
        </w:tc>
        <w:tc>
          <w:tcPr>
            <w:tcW w:w="963" w:type="pct"/>
          </w:tcPr>
          <w:p w:rsidR="00A72FBF" w:rsidRPr="009D743B" w:rsidRDefault="00A72FBF" w:rsidP="008D7AE2">
            <w:pPr>
              <w:pStyle w:val="TableText"/>
              <w:jc w:val="center"/>
              <w:rPr>
                <w:b/>
              </w:rPr>
            </w:pPr>
            <w:r w:rsidRPr="009D743B">
              <w:rPr>
                <w:szCs w:val="20"/>
              </w:rPr>
              <w:sym w:font="Wingdings 2" w:char="F04F"/>
            </w:r>
          </w:p>
        </w:tc>
        <w:tc>
          <w:tcPr>
            <w:tcW w:w="1213" w:type="pct"/>
          </w:tcPr>
          <w:p w:rsidR="00A72FBF" w:rsidRPr="009D743B" w:rsidRDefault="00A72FBF" w:rsidP="008D7AE2">
            <w:pPr>
              <w:pStyle w:val="TableText"/>
              <w:jc w:val="center"/>
              <w:rPr>
                <w:b/>
              </w:rPr>
            </w:pPr>
            <w:r w:rsidRPr="009D743B">
              <w:rPr>
                <w:szCs w:val="20"/>
              </w:rPr>
              <w:sym w:font="Wingdings 2" w:char="F04F"/>
            </w:r>
          </w:p>
        </w:tc>
        <w:tc>
          <w:tcPr>
            <w:tcW w:w="1207" w:type="pct"/>
          </w:tcPr>
          <w:p w:rsidR="00A72FBF" w:rsidRPr="009D743B" w:rsidRDefault="00A72FBF" w:rsidP="008D7AE2">
            <w:pPr>
              <w:pStyle w:val="TableText"/>
              <w:jc w:val="center"/>
              <w:rPr>
                <w:b/>
              </w:rPr>
            </w:pPr>
            <w:r w:rsidRPr="009D743B">
              <w:rPr>
                <w:szCs w:val="20"/>
              </w:rPr>
              <w:sym w:font="Wingdings 2" w:char="F050"/>
            </w:r>
          </w:p>
        </w:tc>
      </w:tr>
      <w:tr w:rsidR="00A72FBF" w:rsidRPr="009D743B" w:rsidTr="008D7AE2">
        <w:tc>
          <w:tcPr>
            <w:tcW w:w="961" w:type="pct"/>
            <w:shd w:val="clear" w:color="auto" w:fill="auto"/>
          </w:tcPr>
          <w:p w:rsidR="00A72FBF" w:rsidRPr="009D743B" w:rsidRDefault="00A72FBF" w:rsidP="008D7AE2">
            <w:pPr>
              <w:pStyle w:val="TableText"/>
              <w:rPr>
                <w:rFonts w:eastAsia="Calibri" w:cs="Arial"/>
              </w:rPr>
            </w:pPr>
            <w:r w:rsidRPr="009D743B">
              <w:rPr>
                <w:rFonts w:eastAsia="Calibri" w:cs="Arial"/>
              </w:rPr>
              <w:t>Certolizumab</w:t>
            </w:r>
          </w:p>
        </w:tc>
        <w:tc>
          <w:tcPr>
            <w:tcW w:w="656" w:type="pct"/>
            <w:shd w:val="clear" w:color="auto" w:fill="auto"/>
          </w:tcPr>
          <w:p w:rsidR="00A72FBF" w:rsidRPr="009D743B" w:rsidRDefault="00A72FBF" w:rsidP="008D7AE2">
            <w:pPr>
              <w:pStyle w:val="TableText"/>
              <w:jc w:val="center"/>
              <w:rPr>
                <w:rFonts w:eastAsia="Calibri" w:cs="Arial"/>
              </w:rPr>
            </w:pPr>
            <w:r w:rsidRPr="009D743B">
              <w:rPr>
                <w:szCs w:val="20"/>
              </w:rPr>
              <w:sym w:font="Wingdings 2" w:char="F050"/>
            </w:r>
          </w:p>
        </w:tc>
        <w:tc>
          <w:tcPr>
            <w:tcW w:w="963" w:type="pct"/>
          </w:tcPr>
          <w:p w:rsidR="00A72FBF" w:rsidRPr="009D743B" w:rsidRDefault="00A72FBF" w:rsidP="008D7AE2">
            <w:pPr>
              <w:pStyle w:val="TableText"/>
              <w:jc w:val="center"/>
              <w:rPr>
                <w:rFonts w:eastAsia="Calibri" w:cs="Arial"/>
              </w:rPr>
            </w:pPr>
            <w:r w:rsidRPr="009D743B">
              <w:rPr>
                <w:szCs w:val="20"/>
              </w:rPr>
              <w:sym w:font="Wingdings 2" w:char="F04F"/>
            </w:r>
          </w:p>
        </w:tc>
        <w:tc>
          <w:tcPr>
            <w:tcW w:w="1213" w:type="pct"/>
          </w:tcPr>
          <w:p w:rsidR="00A72FBF" w:rsidRPr="009D743B" w:rsidRDefault="00A72FBF" w:rsidP="008D7AE2">
            <w:pPr>
              <w:pStyle w:val="TableText"/>
              <w:jc w:val="center"/>
              <w:rPr>
                <w:rFonts w:eastAsia="Calibri" w:cs="Arial"/>
              </w:rPr>
            </w:pPr>
            <w:r w:rsidRPr="009D743B">
              <w:rPr>
                <w:szCs w:val="20"/>
              </w:rPr>
              <w:sym w:font="Wingdings 2" w:char="F04F"/>
            </w:r>
          </w:p>
        </w:tc>
        <w:tc>
          <w:tcPr>
            <w:tcW w:w="1207" w:type="pct"/>
          </w:tcPr>
          <w:p w:rsidR="00A72FBF" w:rsidRPr="009D743B" w:rsidRDefault="00A72FBF" w:rsidP="008D7AE2">
            <w:pPr>
              <w:pStyle w:val="TableText"/>
              <w:jc w:val="center"/>
              <w:rPr>
                <w:rFonts w:eastAsia="Calibri" w:cs="Arial"/>
              </w:rPr>
            </w:pPr>
            <w:r w:rsidRPr="009D743B">
              <w:rPr>
                <w:szCs w:val="20"/>
              </w:rPr>
              <w:sym w:font="Wingdings 2" w:char="F050"/>
            </w:r>
          </w:p>
        </w:tc>
      </w:tr>
      <w:tr w:rsidR="00A72FBF" w:rsidRPr="009D743B" w:rsidTr="008D7AE2">
        <w:tc>
          <w:tcPr>
            <w:tcW w:w="961" w:type="pct"/>
            <w:shd w:val="clear" w:color="auto" w:fill="auto"/>
          </w:tcPr>
          <w:p w:rsidR="00A72FBF" w:rsidRPr="009D743B" w:rsidRDefault="00A72FBF" w:rsidP="008D7AE2">
            <w:pPr>
              <w:pStyle w:val="TableText"/>
              <w:rPr>
                <w:rFonts w:eastAsia="Calibri" w:cs="Arial"/>
              </w:rPr>
            </w:pPr>
            <w:r w:rsidRPr="009D743B">
              <w:rPr>
                <w:rFonts w:eastAsia="Calibri" w:cs="Arial"/>
              </w:rPr>
              <w:t xml:space="preserve">Etanercept </w:t>
            </w:r>
          </w:p>
        </w:tc>
        <w:tc>
          <w:tcPr>
            <w:tcW w:w="656" w:type="pct"/>
            <w:shd w:val="clear" w:color="auto" w:fill="auto"/>
          </w:tcPr>
          <w:p w:rsidR="00A72FBF" w:rsidRPr="009D743B" w:rsidRDefault="00A72FBF" w:rsidP="008D7AE2">
            <w:pPr>
              <w:pStyle w:val="TableText"/>
              <w:jc w:val="center"/>
              <w:rPr>
                <w:rFonts w:eastAsia="Calibri" w:cs="Arial"/>
              </w:rPr>
            </w:pPr>
            <w:r w:rsidRPr="009D743B">
              <w:rPr>
                <w:szCs w:val="20"/>
              </w:rPr>
              <w:sym w:font="Wingdings 2" w:char="F050"/>
            </w:r>
          </w:p>
        </w:tc>
        <w:tc>
          <w:tcPr>
            <w:tcW w:w="963" w:type="pct"/>
          </w:tcPr>
          <w:p w:rsidR="00A72FBF" w:rsidRPr="009D743B" w:rsidRDefault="00A72FBF" w:rsidP="008D7AE2">
            <w:pPr>
              <w:pStyle w:val="TableText"/>
              <w:jc w:val="center"/>
              <w:rPr>
                <w:rFonts w:eastAsia="Calibri" w:cs="Arial"/>
              </w:rPr>
            </w:pPr>
            <w:r w:rsidRPr="009D743B">
              <w:rPr>
                <w:szCs w:val="20"/>
              </w:rPr>
              <w:sym w:font="Wingdings 2" w:char="F050"/>
            </w:r>
          </w:p>
        </w:tc>
        <w:tc>
          <w:tcPr>
            <w:tcW w:w="1213" w:type="pct"/>
          </w:tcPr>
          <w:p w:rsidR="00A72FBF" w:rsidRPr="009D743B" w:rsidRDefault="00A72FBF" w:rsidP="008D7AE2">
            <w:pPr>
              <w:pStyle w:val="TableText"/>
              <w:jc w:val="center"/>
              <w:rPr>
                <w:rFonts w:eastAsia="Calibri" w:cs="Arial"/>
              </w:rPr>
            </w:pPr>
            <w:r w:rsidRPr="009D743B">
              <w:rPr>
                <w:szCs w:val="20"/>
              </w:rPr>
              <w:sym w:font="Wingdings 2" w:char="F04F"/>
            </w:r>
          </w:p>
        </w:tc>
        <w:tc>
          <w:tcPr>
            <w:tcW w:w="1207" w:type="pct"/>
          </w:tcPr>
          <w:p w:rsidR="00A72FBF" w:rsidRPr="009D743B" w:rsidRDefault="00A72FBF" w:rsidP="008D7AE2">
            <w:pPr>
              <w:pStyle w:val="TableText"/>
              <w:jc w:val="center"/>
              <w:rPr>
                <w:rFonts w:eastAsia="Calibri" w:cs="Arial"/>
              </w:rPr>
            </w:pPr>
            <w:r w:rsidRPr="009D743B">
              <w:rPr>
                <w:szCs w:val="20"/>
              </w:rPr>
              <w:sym w:font="Wingdings 2" w:char="F050"/>
            </w:r>
          </w:p>
        </w:tc>
      </w:tr>
      <w:tr w:rsidR="00A72FBF" w:rsidRPr="009D743B" w:rsidTr="008D7AE2">
        <w:tc>
          <w:tcPr>
            <w:tcW w:w="961" w:type="pct"/>
            <w:shd w:val="clear" w:color="auto" w:fill="auto"/>
          </w:tcPr>
          <w:p w:rsidR="00A72FBF" w:rsidRPr="009D743B" w:rsidRDefault="00A72FBF" w:rsidP="008D7AE2">
            <w:pPr>
              <w:pStyle w:val="TableText"/>
              <w:rPr>
                <w:rFonts w:eastAsia="Calibri" w:cs="Arial"/>
              </w:rPr>
            </w:pPr>
            <w:r w:rsidRPr="009D743B">
              <w:rPr>
                <w:rFonts w:eastAsia="Calibri" w:cs="Arial"/>
              </w:rPr>
              <w:t>Etanercept biosimilar</w:t>
            </w:r>
          </w:p>
        </w:tc>
        <w:tc>
          <w:tcPr>
            <w:tcW w:w="656" w:type="pct"/>
            <w:shd w:val="clear" w:color="auto" w:fill="auto"/>
          </w:tcPr>
          <w:p w:rsidR="00A72FBF" w:rsidRPr="009D743B" w:rsidRDefault="00A72FBF" w:rsidP="008D7AE2">
            <w:pPr>
              <w:pStyle w:val="TableText"/>
              <w:jc w:val="center"/>
              <w:rPr>
                <w:rFonts w:eastAsia="Calibri" w:cs="Arial"/>
              </w:rPr>
            </w:pPr>
            <w:r w:rsidRPr="009D743B">
              <w:rPr>
                <w:szCs w:val="20"/>
              </w:rPr>
              <w:sym w:font="Wingdings 2" w:char="F050"/>
            </w:r>
          </w:p>
        </w:tc>
        <w:tc>
          <w:tcPr>
            <w:tcW w:w="963" w:type="pct"/>
          </w:tcPr>
          <w:p w:rsidR="00A72FBF" w:rsidRPr="009D743B" w:rsidRDefault="00A72FBF" w:rsidP="008D7AE2">
            <w:pPr>
              <w:pStyle w:val="TableText"/>
              <w:jc w:val="center"/>
              <w:rPr>
                <w:rFonts w:eastAsia="Calibri" w:cs="Arial"/>
              </w:rPr>
            </w:pPr>
            <w:r w:rsidRPr="009D743B">
              <w:rPr>
                <w:szCs w:val="20"/>
              </w:rPr>
              <w:sym w:font="Wingdings 2" w:char="F050"/>
            </w:r>
          </w:p>
        </w:tc>
        <w:tc>
          <w:tcPr>
            <w:tcW w:w="1213" w:type="pct"/>
          </w:tcPr>
          <w:p w:rsidR="00A72FBF" w:rsidRPr="009D743B" w:rsidRDefault="00A72FBF" w:rsidP="008D7AE2">
            <w:pPr>
              <w:pStyle w:val="TableText"/>
              <w:jc w:val="center"/>
              <w:rPr>
                <w:rFonts w:eastAsia="Calibri" w:cs="Arial"/>
              </w:rPr>
            </w:pPr>
            <w:r w:rsidRPr="009D743B">
              <w:rPr>
                <w:rFonts w:eastAsia="Calibri" w:cs="Arial"/>
              </w:rPr>
              <w:t>-</w:t>
            </w:r>
          </w:p>
        </w:tc>
        <w:tc>
          <w:tcPr>
            <w:tcW w:w="1207" w:type="pct"/>
          </w:tcPr>
          <w:p w:rsidR="00A72FBF" w:rsidRPr="009D743B" w:rsidRDefault="00A72FBF" w:rsidP="008D7AE2">
            <w:pPr>
              <w:pStyle w:val="TableText"/>
              <w:jc w:val="center"/>
              <w:rPr>
                <w:rFonts w:eastAsia="Calibri" w:cs="Arial"/>
              </w:rPr>
            </w:pPr>
            <w:r w:rsidRPr="009D743B">
              <w:rPr>
                <w:rFonts w:eastAsia="Calibri" w:cs="Arial"/>
              </w:rPr>
              <w:t>-</w:t>
            </w:r>
          </w:p>
        </w:tc>
      </w:tr>
      <w:tr w:rsidR="00A72FBF" w:rsidRPr="009D743B" w:rsidTr="008D7AE2">
        <w:tc>
          <w:tcPr>
            <w:tcW w:w="961" w:type="pct"/>
            <w:shd w:val="clear" w:color="auto" w:fill="auto"/>
          </w:tcPr>
          <w:p w:rsidR="00A72FBF" w:rsidRPr="009D743B" w:rsidRDefault="00A72FBF" w:rsidP="008D7AE2">
            <w:pPr>
              <w:pStyle w:val="TableText"/>
              <w:rPr>
                <w:rFonts w:eastAsia="Calibri" w:cs="Arial"/>
              </w:rPr>
            </w:pPr>
            <w:r w:rsidRPr="009D743B">
              <w:rPr>
                <w:rFonts w:eastAsia="Calibri" w:cs="Arial"/>
              </w:rPr>
              <w:t>Golimumab</w:t>
            </w:r>
          </w:p>
        </w:tc>
        <w:tc>
          <w:tcPr>
            <w:tcW w:w="656" w:type="pct"/>
            <w:shd w:val="clear" w:color="auto" w:fill="auto"/>
          </w:tcPr>
          <w:p w:rsidR="00A72FBF" w:rsidRPr="009D743B" w:rsidRDefault="00A72FBF" w:rsidP="008D7AE2">
            <w:pPr>
              <w:pStyle w:val="TableText"/>
              <w:jc w:val="center"/>
              <w:rPr>
                <w:rFonts w:eastAsia="Calibri" w:cs="Arial"/>
              </w:rPr>
            </w:pPr>
            <w:r w:rsidRPr="009D743B">
              <w:rPr>
                <w:szCs w:val="20"/>
              </w:rPr>
              <w:sym w:font="Wingdings 2" w:char="F050"/>
            </w:r>
          </w:p>
        </w:tc>
        <w:tc>
          <w:tcPr>
            <w:tcW w:w="963" w:type="pct"/>
          </w:tcPr>
          <w:p w:rsidR="00A72FBF" w:rsidRPr="009D743B" w:rsidRDefault="00A72FBF" w:rsidP="008D7AE2">
            <w:pPr>
              <w:pStyle w:val="TableText"/>
              <w:jc w:val="center"/>
              <w:rPr>
                <w:rFonts w:eastAsia="Calibri" w:cs="Arial"/>
              </w:rPr>
            </w:pPr>
            <w:r w:rsidRPr="009D743B">
              <w:rPr>
                <w:szCs w:val="20"/>
              </w:rPr>
              <w:sym w:font="Wingdings 2" w:char="F050"/>
            </w:r>
          </w:p>
        </w:tc>
        <w:tc>
          <w:tcPr>
            <w:tcW w:w="1213" w:type="pct"/>
          </w:tcPr>
          <w:p w:rsidR="00A72FBF" w:rsidRPr="009D743B" w:rsidRDefault="00A72FBF" w:rsidP="008D7AE2">
            <w:pPr>
              <w:pStyle w:val="TableText"/>
              <w:jc w:val="center"/>
              <w:rPr>
                <w:rFonts w:eastAsia="Calibri" w:cs="Arial"/>
              </w:rPr>
            </w:pPr>
            <w:r w:rsidRPr="009D743B">
              <w:rPr>
                <w:szCs w:val="20"/>
              </w:rPr>
              <w:sym w:font="Wingdings 2" w:char="F04F"/>
            </w:r>
          </w:p>
        </w:tc>
        <w:tc>
          <w:tcPr>
            <w:tcW w:w="1207" w:type="pct"/>
          </w:tcPr>
          <w:p w:rsidR="00A72FBF" w:rsidRPr="009D743B" w:rsidRDefault="00A72FBF" w:rsidP="008D7AE2">
            <w:pPr>
              <w:pStyle w:val="TableText"/>
              <w:jc w:val="center"/>
              <w:rPr>
                <w:rFonts w:eastAsia="Calibri" w:cs="Arial"/>
              </w:rPr>
            </w:pPr>
            <w:r w:rsidRPr="009D743B">
              <w:rPr>
                <w:szCs w:val="20"/>
              </w:rPr>
              <w:sym w:font="Wingdings 2" w:char="F050"/>
            </w:r>
          </w:p>
        </w:tc>
      </w:tr>
      <w:tr w:rsidR="00A72FBF" w:rsidRPr="009D743B" w:rsidTr="008D7AE2">
        <w:tc>
          <w:tcPr>
            <w:tcW w:w="961" w:type="pct"/>
            <w:shd w:val="clear" w:color="auto" w:fill="auto"/>
          </w:tcPr>
          <w:p w:rsidR="00A72FBF" w:rsidRPr="009D743B" w:rsidRDefault="00A72FBF" w:rsidP="008D7AE2">
            <w:pPr>
              <w:pStyle w:val="TableText"/>
              <w:rPr>
                <w:rFonts w:eastAsia="Calibri" w:cs="Arial"/>
              </w:rPr>
            </w:pPr>
            <w:r w:rsidRPr="009D743B">
              <w:rPr>
                <w:rFonts w:eastAsia="Calibri" w:cs="Arial"/>
              </w:rPr>
              <w:t>Infliximab</w:t>
            </w:r>
          </w:p>
        </w:tc>
        <w:tc>
          <w:tcPr>
            <w:tcW w:w="656" w:type="pct"/>
            <w:shd w:val="clear" w:color="auto" w:fill="auto"/>
          </w:tcPr>
          <w:p w:rsidR="00A72FBF" w:rsidRPr="009D743B" w:rsidRDefault="00A72FBF" w:rsidP="008D7AE2">
            <w:pPr>
              <w:pStyle w:val="TableText"/>
              <w:jc w:val="center"/>
              <w:rPr>
                <w:rFonts w:eastAsia="Calibri" w:cs="Arial"/>
              </w:rPr>
            </w:pPr>
            <w:r w:rsidRPr="009D743B">
              <w:rPr>
                <w:szCs w:val="20"/>
              </w:rPr>
              <w:sym w:font="Wingdings 2" w:char="F050"/>
            </w:r>
          </w:p>
        </w:tc>
        <w:tc>
          <w:tcPr>
            <w:tcW w:w="963" w:type="pct"/>
          </w:tcPr>
          <w:p w:rsidR="00A72FBF" w:rsidRPr="009D743B" w:rsidRDefault="00A72FBF" w:rsidP="008D7AE2">
            <w:pPr>
              <w:pStyle w:val="TableText"/>
              <w:jc w:val="center"/>
              <w:rPr>
                <w:rFonts w:eastAsia="Calibri" w:cs="Arial"/>
              </w:rPr>
            </w:pPr>
            <w:r w:rsidRPr="009D743B">
              <w:rPr>
                <w:szCs w:val="20"/>
              </w:rPr>
              <w:sym w:font="Wingdings 2" w:char="F04F"/>
            </w:r>
          </w:p>
        </w:tc>
        <w:tc>
          <w:tcPr>
            <w:tcW w:w="1213" w:type="pct"/>
          </w:tcPr>
          <w:p w:rsidR="00A72FBF" w:rsidRPr="009D743B" w:rsidRDefault="00A72FBF" w:rsidP="008D7AE2">
            <w:pPr>
              <w:pStyle w:val="TableText"/>
              <w:jc w:val="center"/>
              <w:rPr>
                <w:rFonts w:eastAsia="Calibri" w:cs="Arial"/>
              </w:rPr>
            </w:pPr>
            <w:r w:rsidRPr="009D743B">
              <w:rPr>
                <w:szCs w:val="20"/>
              </w:rPr>
              <w:sym w:font="Wingdings 2" w:char="F04F"/>
            </w:r>
          </w:p>
        </w:tc>
        <w:tc>
          <w:tcPr>
            <w:tcW w:w="1207" w:type="pct"/>
          </w:tcPr>
          <w:p w:rsidR="00A72FBF" w:rsidRPr="009D743B" w:rsidRDefault="00A72FBF" w:rsidP="008D7AE2">
            <w:pPr>
              <w:pStyle w:val="TableText"/>
              <w:jc w:val="center"/>
              <w:rPr>
                <w:rFonts w:eastAsia="Calibri" w:cs="Arial"/>
              </w:rPr>
            </w:pPr>
            <w:r w:rsidRPr="009D743B">
              <w:rPr>
                <w:szCs w:val="20"/>
              </w:rPr>
              <w:sym w:font="Wingdings 2" w:char="F04F"/>
            </w:r>
          </w:p>
        </w:tc>
      </w:tr>
      <w:tr w:rsidR="00A72FBF" w:rsidRPr="009D743B" w:rsidTr="008D7AE2">
        <w:tc>
          <w:tcPr>
            <w:tcW w:w="961" w:type="pct"/>
            <w:shd w:val="clear" w:color="auto" w:fill="auto"/>
          </w:tcPr>
          <w:p w:rsidR="00A72FBF" w:rsidRPr="009D743B" w:rsidRDefault="00A72FBF" w:rsidP="008D7AE2">
            <w:pPr>
              <w:pStyle w:val="TableText"/>
              <w:rPr>
                <w:rFonts w:eastAsia="Calibri" w:cs="Arial"/>
              </w:rPr>
            </w:pPr>
            <w:r w:rsidRPr="009D743B">
              <w:rPr>
                <w:rFonts w:eastAsia="Calibri" w:cs="Arial"/>
              </w:rPr>
              <w:t>Infliximab biosimilar</w:t>
            </w:r>
          </w:p>
        </w:tc>
        <w:tc>
          <w:tcPr>
            <w:tcW w:w="656" w:type="pct"/>
            <w:shd w:val="clear" w:color="auto" w:fill="auto"/>
          </w:tcPr>
          <w:p w:rsidR="00A72FBF" w:rsidRPr="009D743B" w:rsidRDefault="00A72FBF" w:rsidP="008D7AE2">
            <w:pPr>
              <w:pStyle w:val="TableText"/>
              <w:jc w:val="center"/>
              <w:rPr>
                <w:szCs w:val="20"/>
              </w:rPr>
            </w:pPr>
            <w:r w:rsidRPr="009D743B">
              <w:rPr>
                <w:szCs w:val="20"/>
              </w:rPr>
              <w:sym w:font="Wingdings 2" w:char="F050"/>
            </w:r>
          </w:p>
        </w:tc>
        <w:tc>
          <w:tcPr>
            <w:tcW w:w="963" w:type="pct"/>
          </w:tcPr>
          <w:p w:rsidR="00A72FBF" w:rsidRPr="009D743B" w:rsidRDefault="00A72FBF" w:rsidP="008D7AE2">
            <w:pPr>
              <w:pStyle w:val="TableText"/>
              <w:jc w:val="center"/>
              <w:rPr>
                <w:szCs w:val="20"/>
              </w:rPr>
            </w:pPr>
            <w:r w:rsidRPr="009D743B">
              <w:rPr>
                <w:szCs w:val="20"/>
              </w:rPr>
              <w:sym w:font="Wingdings 2" w:char="F04F"/>
            </w:r>
          </w:p>
        </w:tc>
        <w:tc>
          <w:tcPr>
            <w:tcW w:w="1213" w:type="pct"/>
          </w:tcPr>
          <w:p w:rsidR="00A72FBF" w:rsidRPr="009D743B" w:rsidRDefault="00A72FBF" w:rsidP="008D7AE2">
            <w:pPr>
              <w:pStyle w:val="TableText"/>
              <w:jc w:val="center"/>
              <w:rPr>
                <w:szCs w:val="20"/>
              </w:rPr>
            </w:pPr>
            <w:r w:rsidRPr="009D743B">
              <w:rPr>
                <w:szCs w:val="20"/>
              </w:rPr>
              <w:t>-</w:t>
            </w:r>
          </w:p>
        </w:tc>
        <w:tc>
          <w:tcPr>
            <w:tcW w:w="1207" w:type="pct"/>
          </w:tcPr>
          <w:p w:rsidR="00A72FBF" w:rsidRPr="009D743B" w:rsidRDefault="00A72FBF" w:rsidP="008D7AE2">
            <w:pPr>
              <w:pStyle w:val="TableText"/>
              <w:jc w:val="center"/>
              <w:rPr>
                <w:szCs w:val="20"/>
              </w:rPr>
            </w:pPr>
            <w:r w:rsidRPr="009D743B">
              <w:rPr>
                <w:szCs w:val="20"/>
              </w:rPr>
              <w:t>-</w:t>
            </w:r>
          </w:p>
        </w:tc>
      </w:tr>
      <w:tr w:rsidR="00A72FBF" w:rsidRPr="009D743B" w:rsidTr="008D7AE2">
        <w:tc>
          <w:tcPr>
            <w:tcW w:w="961" w:type="pct"/>
            <w:shd w:val="clear" w:color="auto" w:fill="auto"/>
          </w:tcPr>
          <w:p w:rsidR="00A72FBF" w:rsidRPr="009D743B" w:rsidRDefault="00A72FBF" w:rsidP="008D7AE2">
            <w:pPr>
              <w:pStyle w:val="TableText"/>
              <w:rPr>
                <w:rFonts w:eastAsia="Calibri" w:cs="Arial"/>
              </w:rPr>
            </w:pPr>
            <w:r w:rsidRPr="009D743B">
              <w:rPr>
                <w:rFonts w:eastAsia="Calibri" w:cs="Arial"/>
              </w:rPr>
              <w:t>Secukinumab</w:t>
            </w:r>
          </w:p>
        </w:tc>
        <w:tc>
          <w:tcPr>
            <w:tcW w:w="656" w:type="pct"/>
            <w:shd w:val="clear" w:color="auto" w:fill="auto"/>
          </w:tcPr>
          <w:p w:rsidR="00A72FBF" w:rsidRPr="009D743B" w:rsidRDefault="00A72FBF" w:rsidP="008D7AE2">
            <w:pPr>
              <w:pStyle w:val="TableText"/>
              <w:jc w:val="center"/>
              <w:rPr>
                <w:rFonts w:eastAsia="Calibri" w:cs="Arial"/>
              </w:rPr>
            </w:pPr>
            <w:r w:rsidRPr="009D743B">
              <w:rPr>
                <w:szCs w:val="20"/>
              </w:rPr>
              <w:sym w:font="Wingdings 2" w:char="F050"/>
            </w:r>
          </w:p>
        </w:tc>
        <w:tc>
          <w:tcPr>
            <w:tcW w:w="963" w:type="pct"/>
          </w:tcPr>
          <w:p w:rsidR="00A72FBF" w:rsidRPr="009D743B" w:rsidRDefault="00A72FBF" w:rsidP="008D7AE2">
            <w:pPr>
              <w:pStyle w:val="TableText"/>
              <w:jc w:val="center"/>
              <w:rPr>
                <w:rFonts w:eastAsia="Calibri" w:cs="Arial"/>
              </w:rPr>
            </w:pPr>
            <w:r w:rsidRPr="009D743B">
              <w:rPr>
                <w:szCs w:val="20"/>
              </w:rPr>
              <w:sym w:font="Wingdings 2" w:char="F04F"/>
            </w:r>
          </w:p>
        </w:tc>
        <w:tc>
          <w:tcPr>
            <w:tcW w:w="1213" w:type="pct"/>
          </w:tcPr>
          <w:p w:rsidR="00A72FBF" w:rsidRPr="009D743B" w:rsidRDefault="00A72FBF" w:rsidP="008D7AE2">
            <w:pPr>
              <w:pStyle w:val="TableText"/>
              <w:jc w:val="center"/>
              <w:rPr>
                <w:rFonts w:eastAsia="Calibri" w:cs="Arial"/>
              </w:rPr>
            </w:pPr>
            <w:r w:rsidRPr="009D743B">
              <w:rPr>
                <w:szCs w:val="20"/>
              </w:rPr>
              <w:sym w:font="Wingdings 2" w:char="F04F"/>
            </w:r>
          </w:p>
        </w:tc>
        <w:tc>
          <w:tcPr>
            <w:tcW w:w="1207" w:type="pct"/>
          </w:tcPr>
          <w:p w:rsidR="00A72FBF" w:rsidRPr="009D743B" w:rsidRDefault="00A72FBF" w:rsidP="008D7AE2">
            <w:pPr>
              <w:pStyle w:val="TableText"/>
              <w:jc w:val="center"/>
              <w:rPr>
                <w:rFonts w:eastAsia="Calibri" w:cs="Arial"/>
              </w:rPr>
            </w:pPr>
            <w:r w:rsidRPr="009D743B">
              <w:rPr>
                <w:szCs w:val="20"/>
              </w:rPr>
              <w:sym w:font="Wingdings 2" w:char="F04F"/>
            </w:r>
          </w:p>
        </w:tc>
      </w:tr>
    </w:tbl>
    <w:p w:rsidR="00A72FBF" w:rsidRPr="009D743B" w:rsidRDefault="00A72FBF" w:rsidP="00A72FBF">
      <w:pPr>
        <w:pStyle w:val="TableFooter"/>
        <w:spacing w:after="0"/>
        <w:contextualSpacing w:val="0"/>
      </w:pPr>
      <w:r w:rsidRPr="009D743B">
        <w:t>AS = ankylosing spondylitis; EMA = European Medicines Agency; FDA = Food and Drug Administration; nr-axSpA = non-radiographic axial spondyloarthritis; tx = treatment</w:t>
      </w:r>
    </w:p>
    <w:p w:rsidR="00A72FBF" w:rsidRPr="009D743B" w:rsidRDefault="00A72FBF" w:rsidP="00B660C6">
      <w:pPr>
        <w:pStyle w:val="TableFooter"/>
        <w:spacing w:after="0"/>
        <w:contextualSpacing w:val="0"/>
      </w:pPr>
      <w:r w:rsidRPr="009D743B">
        <w:rPr>
          <w:vertAlign w:val="superscript"/>
        </w:rPr>
        <w:t>a</w:t>
      </w:r>
      <w:r w:rsidRPr="009D743B">
        <w:t xml:space="preserve"> Proft et al</w:t>
      </w:r>
      <w:r w:rsidR="00B660C6" w:rsidRPr="009D743B">
        <w:t xml:space="preserve"> stated:</w:t>
      </w:r>
      <w:r w:rsidRPr="009D743B">
        <w:t xml:space="preserve"> “ the US FDA rejected the approval for TNF inhibitors for nr-axSpA, due to questions about the specificity of the ASAS criteria and the natural history of the disease entity, hinting that a significant proportion of these patients may show spontaneous remission and therefore might not require the costly and potentially harmful anti-TNF therapy.”</w:t>
      </w:r>
    </w:p>
    <w:p w:rsidR="00A72FBF" w:rsidRPr="009D743B" w:rsidRDefault="00A72FBF" w:rsidP="00B660C6">
      <w:pPr>
        <w:pStyle w:val="TableFooter"/>
        <w:spacing w:after="0"/>
        <w:contextualSpacing w:val="0"/>
      </w:pPr>
      <w:r w:rsidRPr="009D743B">
        <w:rPr>
          <w:vertAlign w:val="superscript"/>
        </w:rPr>
        <w:t xml:space="preserve">b </w:t>
      </w:r>
      <w:r w:rsidR="00B660C6" w:rsidRPr="009D743B">
        <w:t xml:space="preserve">Proft et al stated: </w:t>
      </w:r>
      <w:r w:rsidRPr="009D743B">
        <w:t>“The EMA further demanded a therapy-withdrawal trial design to investigate whether patients with nr-axSpA can achieve a disease state of ‘drug-free remission’ after a treatment cycle like an ‘induction therapy’. These trials are still ongoing.”</w:t>
      </w:r>
    </w:p>
    <w:p w:rsidR="00A72FBF" w:rsidRPr="009D743B" w:rsidRDefault="00A72FBF" w:rsidP="00B660C6">
      <w:pPr>
        <w:pStyle w:val="ListParagraph"/>
        <w:numPr>
          <w:ilvl w:val="0"/>
          <w:numId w:val="0"/>
        </w:numPr>
        <w:spacing w:before="0" w:after="0"/>
        <w:rPr>
          <w:rFonts w:ascii="Arial Narrow" w:eastAsia="Times New Roman" w:hAnsi="Arial Narrow" w:cs="Arial"/>
          <w:snapToGrid w:val="0"/>
          <w:sz w:val="18"/>
          <w:szCs w:val="20"/>
        </w:rPr>
      </w:pPr>
      <w:r w:rsidRPr="009D743B">
        <w:rPr>
          <w:rFonts w:ascii="Arial Narrow" w:eastAsia="Times New Roman" w:hAnsi="Arial Narrow" w:cs="Arial"/>
          <w:snapToGrid w:val="0"/>
          <w:sz w:val="18"/>
          <w:szCs w:val="20"/>
        </w:rPr>
        <w:t>Source: Compiled during</w:t>
      </w:r>
      <w:r w:rsidR="00B660C6" w:rsidRPr="009D743B">
        <w:rPr>
          <w:rFonts w:ascii="Arial Narrow" w:eastAsia="Times New Roman" w:hAnsi="Arial Narrow" w:cs="Arial"/>
          <w:snapToGrid w:val="0"/>
          <w:sz w:val="18"/>
          <w:szCs w:val="20"/>
        </w:rPr>
        <w:t xml:space="preserve"> preparation of ESC advice</w:t>
      </w:r>
      <w:r w:rsidRPr="009D743B">
        <w:rPr>
          <w:rFonts w:ascii="Arial Narrow" w:eastAsia="Times New Roman" w:hAnsi="Arial Narrow" w:cs="Arial"/>
          <w:snapToGrid w:val="0"/>
          <w:sz w:val="18"/>
          <w:szCs w:val="20"/>
        </w:rPr>
        <w:t xml:space="preserve">; Proft F, Poddubnyy D </w:t>
      </w:r>
      <w:r w:rsidRPr="009D743B">
        <w:t>‘</w:t>
      </w:r>
      <w:r w:rsidRPr="009D743B">
        <w:rPr>
          <w:rFonts w:ascii="Arial Narrow" w:eastAsia="Times New Roman" w:hAnsi="Arial Narrow" w:cs="Arial"/>
          <w:snapToGrid w:val="0"/>
          <w:sz w:val="18"/>
          <w:szCs w:val="20"/>
        </w:rPr>
        <w:t xml:space="preserve">Ankylosing spondylitis and axial spondyloarthritis: recent insights and impact of new classification criteria’, Therapeutic Advances in Musculoskeletal Disease, 2018: 10 (5-6), p. 129 – 139. Accessed at: </w:t>
      </w:r>
      <w:r w:rsidRPr="0050211C">
        <w:rPr>
          <w:rFonts w:ascii="Arial Narrow" w:eastAsia="Times New Roman" w:hAnsi="Arial Narrow" w:cs="Arial"/>
          <w:snapToGrid w:val="0"/>
          <w:sz w:val="18"/>
          <w:szCs w:val="20"/>
        </w:rPr>
        <w:t>http://journals.sagepub.com/doi/full/10.1177/1759720X18773726</w:t>
      </w:r>
    </w:p>
    <w:p w:rsidR="0017638E" w:rsidRPr="009D743B" w:rsidRDefault="0017638E" w:rsidP="0017638E">
      <w:pPr>
        <w:pStyle w:val="Heading2"/>
        <w:rPr>
          <w:i w:val="0"/>
        </w:rPr>
      </w:pPr>
      <w:bookmarkStart w:id="10" w:name="_Toc514253025"/>
      <w:r w:rsidRPr="009D743B">
        <w:rPr>
          <w:i w:val="0"/>
        </w:rPr>
        <w:t>Previous PBAC consideration</w:t>
      </w:r>
      <w:bookmarkEnd w:id="10"/>
    </w:p>
    <w:p w:rsidR="006F34BE" w:rsidRPr="009D743B" w:rsidRDefault="00DB3886" w:rsidP="00B876BB">
      <w:pPr>
        <w:pStyle w:val="ListParagraph"/>
        <w:numPr>
          <w:ilvl w:val="0"/>
          <w:numId w:val="12"/>
        </w:numPr>
        <w:ind w:hanging="720"/>
        <w:jc w:val="both"/>
      </w:pPr>
      <w:r w:rsidRPr="009D743B">
        <w:t>This wa</w:t>
      </w:r>
      <w:r w:rsidR="00F65F5E" w:rsidRPr="009D743B">
        <w:t>s the second submission to the PBAC</w:t>
      </w:r>
      <w:r w:rsidRPr="009D743B">
        <w:t xml:space="preserve"> for golimumab for the treatment of patients with nr-axSpA</w:t>
      </w:r>
      <w:r w:rsidR="00F65F5E" w:rsidRPr="009D743B">
        <w:t xml:space="preserve">. Matters of outstanding concern from the November 2017 PBAC Meeting are </w:t>
      </w:r>
      <w:r w:rsidR="00017B08" w:rsidRPr="009D743B">
        <w:t xml:space="preserve">summarised </w:t>
      </w:r>
      <w:r w:rsidR="006F34BE" w:rsidRPr="009D743B">
        <w:t xml:space="preserve">in </w:t>
      </w:r>
      <w:r w:rsidR="00B40F42" w:rsidRPr="009D743B">
        <w:t xml:space="preserve">Table </w:t>
      </w:r>
      <w:r w:rsidR="00A72FBF" w:rsidRPr="009D743B">
        <w:t>4</w:t>
      </w:r>
      <w:r w:rsidR="00017B08" w:rsidRPr="009D743B">
        <w:t xml:space="preserve">. </w:t>
      </w:r>
    </w:p>
    <w:p w:rsidR="006F34BE" w:rsidRPr="009D743B" w:rsidRDefault="006F34BE" w:rsidP="003C20CA">
      <w:pPr>
        <w:pStyle w:val="TableHeading0"/>
        <w:keepLines/>
      </w:pPr>
      <w:bookmarkStart w:id="11" w:name="_Ref514020151"/>
      <w:r w:rsidRPr="009D743B">
        <w:t xml:space="preserve">Table </w:t>
      </w:r>
      <w:bookmarkEnd w:id="11"/>
      <w:r w:rsidR="00A72FBF" w:rsidRPr="009D743B">
        <w:t>4</w:t>
      </w:r>
      <w:r w:rsidRPr="009D743B">
        <w:t>: Summary of outstanding matters of concern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Summary of outstanding matters of concern"/>
      </w:tblPr>
      <w:tblGrid>
        <w:gridCol w:w="1271"/>
        <w:gridCol w:w="3872"/>
        <w:gridCol w:w="3873"/>
      </w:tblGrid>
      <w:tr w:rsidR="006F34BE" w:rsidRPr="009D743B" w:rsidTr="00DB7BEB">
        <w:trPr>
          <w:cnfStyle w:val="100000000000" w:firstRow="1" w:lastRow="0" w:firstColumn="0" w:lastColumn="0" w:oddVBand="0" w:evenVBand="0" w:oddHBand="0" w:evenHBand="0" w:firstRowFirstColumn="0" w:firstRowLastColumn="0" w:lastRowFirstColumn="0" w:lastRowLastColumn="0"/>
          <w:cantSplit/>
          <w:tblHeader/>
        </w:trPr>
        <w:tc>
          <w:tcPr>
            <w:tcW w:w="1271" w:type="dxa"/>
            <w:shd w:val="clear" w:color="auto" w:fill="auto"/>
          </w:tcPr>
          <w:p w:rsidR="006F34BE" w:rsidRPr="009D743B" w:rsidRDefault="006F34BE" w:rsidP="003C20CA">
            <w:pPr>
              <w:keepNext/>
              <w:keepLines/>
              <w:spacing w:before="40" w:after="40"/>
              <w:rPr>
                <w:rFonts w:ascii="Arial Narrow" w:hAnsi="Arial Narrow"/>
                <w:sz w:val="20"/>
                <w:lang w:val="en-AU"/>
              </w:rPr>
            </w:pPr>
            <w:r w:rsidRPr="009D743B">
              <w:rPr>
                <w:rFonts w:ascii="Arial Narrow" w:hAnsi="Arial Narrow"/>
                <w:sz w:val="20"/>
                <w:lang w:val="en-AU"/>
              </w:rPr>
              <w:t xml:space="preserve">Component </w:t>
            </w:r>
          </w:p>
        </w:tc>
        <w:tc>
          <w:tcPr>
            <w:tcW w:w="3872" w:type="dxa"/>
            <w:shd w:val="clear" w:color="auto" w:fill="auto"/>
            <w:vAlign w:val="center"/>
          </w:tcPr>
          <w:p w:rsidR="006F34BE" w:rsidRPr="009D743B" w:rsidRDefault="006F34BE" w:rsidP="003C20CA">
            <w:pPr>
              <w:keepNext/>
              <w:keepLines/>
              <w:spacing w:before="40" w:after="40"/>
              <w:jc w:val="center"/>
              <w:rPr>
                <w:rFonts w:ascii="Arial Narrow" w:hAnsi="Arial Narrow"/>
                <w:sz w:val="20"/>
                <w:lang w:val="en-AU"/>
              </w:rPr>
            </w:pPr>
            <w:r w:rsidRPr="009D743B">
              <w:rPr>
                <w:rFonts w:ascii="Arial Narrow" w:hAnsi="Arial Narrow"/>
                <w:sz w:val="20"/>
                <w:lang w:val="en-AU"/>
              </w:rPr>
              <w:t>Matter of concern</w:t>
            </w:r>
          </w:p>
        </w:tc>
        <w:tc>
          <w:tcPr>
            <w:tcW w:w="3873" w:type="dxa"/>
            <w:shd w:val="clear" w:color="auto" w:fill="auto"/>
            <w:vAlign w:val="center"/>
          </w:tcPr>
          <w:p w:rsidR="006F34BE" w:rsidRPr="009D743B" w:rsidRDefault="006F34BE" w:rsidP="003C20CA">
            <w:pPr>
              <w:keepNext/>
              <w:keepLines/>
              <w:spacing w:before="40" w:after="40"/>
              <w:jc w:val="center"/>
              <w:rPr>
                <w:rFonts w:ascii="Arial Narrow" w:hAnsi="Arial Narrow"/>
                <w:sz w:val="20"/>
                <w:lang w:val="en-AU"/>
              </w:rPr>
            </w:pPr>
            <w:r w:rsidRPr="009D743B">
              <w:rPr>
                <w:rFonts w:ascii="Arial Narrow" w:hAnsi="Arial Narrow"/>
                <w:sz w:val="20"/>
                <w:lang w:val="en-AU"/>
              </w:rPr>
              <w:t>How the resubmission addresses it</w:t>
            </w:r>
          </w:p>
        </w:tc>
      </w:tr>
      <w:tr w:rsidR="006F34BE" w:rsidRPr="009D743B" w:rsidTr="00DB7BEB">
        <w:trPr>
          <w:cantSplit/>
        </w:trPr>
        <w:tc>
          <w:tcPr>
            <w:tcW w:w="1271" w:type="dxa"/>
            <w:shd w:val="clear" w:color="auto" w:fill="auto"/>
          </w:tcPr>
          <w:p w:rsidR="006F34BE" w:rsidRPr="009D743B" w:rsidRDefault="006F34BE" w:rsidP="003C20CA">
            <w:pPr>
              <w:keepNext/>
              <w:keepLines/>
              <w:spacing w:before="40" w:after="40"/>
              <w:rPr>
                <w:rFonts w:ascii="Arial Narrow" w:hAnsi="Arial Narrow"/>
                <w:sz w:val="20"/>
                <w:lang w:val="en-AU"/>
              </w:rPr>
            </w:pPr>
            <w:r w:rsidRPr="009D743B">
              <w:rPr>
                <w:rFonts w:ascii="Arial Narrow" w:hAnsi="Arial Narrow"/>
                <w:sz w:val="20"/>
                <w:lang w:val="en-AU"/>
              </w:rPr>
              <w:t xml:space="preserve">Restriction </w:t>
            </w:r>
          </w:p>
        </w:tc>
        <w:tc>
          <w:tcPr>
            <w:tcW w:w="7745" w:type="dxa"/>
            <w:gridSpan w:val="2"/>
            <w:shd w:val="clear" w:color="auto" w:fill="auto"/>
            <w:vAlign w:val="center"/>
          </w:tcPr>
          <w:p w:rsidR="006F34BE" w:rsidRPr="009D743B" w:rsidRDefault="006F34BE" w:rsidP="003C20CA">
            <w:pPr>
              <w:keepNext/>
              <w:keepLines/>
              <w:spacing w:before="40" w:after="40"/>
              <w:jc w:val="center"/>
              <w:rPr>
                <w:rFonts w:ascii="Arial Narrow" w:hAnsi="Arial Narrow"/>
                <w:sz w:val="20"/>
                <w:lang w:val="en-AU"/>
              </w:rPr>
            </w:pPr>
            <w:r w:rsidRPr="009D743B">
              <w:rPr>
                <w:rFonts w:ascii="Arial Narrow" w:hAnsi="Arial Narrow"/>
                <w:sz w:val="20"/>
                <w:lang w:val="en-AU"/>
              </w:rPr>
              <w:t xml:space="preserve">See </w:t>
            </w:r>
            <w:r w:rsidR="00B40F42" w:rsidRPr="009D743B">
              <w:rPr>
                <w:rFonts w:ascii="Arial Narrow" w:hAnsi="Arial Narrow"/>
                <w:iCs/>
                <w:sz w:val="20"/>
                <w:szCs w:val="20"/>
                <w:lang w:val="en-AU"/>
              </w:rPr>
              <w:t xml:space="preserve">Table </w:t>
            </w:r>
            <w:r w:rsidR="00B40F42" w:rsidRPr="009D743B">
              <w:rPr>
                <w:rFonts w:ascii="Arial Narrow" w:hAnsi="Arial Narrow"/>
                <w:sz w:val="20"/>
                <w:szCs w:val="20"/>
                <w:lang w:val="en-AU"/>
              </w:rPr>
              <w:t>2</w:t>
            </w:r>
            <w:r w:rsidRPr="009D743B">
              <w:rPr>
                <w:rFonts w:ascii="Arial Narrow" w:hAnsi="Arial Narrow"/>
                <w:sz w:val="20"/>
                <w:lang w:val="en-AU"/>
              </w:rPr>
              <w:t xml:space="preserve"> above</w:t>
            </w:r>
          </w:p>
        </w:tc>
      </w:tr>
      <w:tr w:rsidR="006F34BE" w:rsidRPr="009D743B" w:rsidTr="00DB7BEB">
        <w:trPr>
          <w:cantSplit/>
        </w:trPr>
        <w:tc>
          <w:tcPr>
            <w:tcW w:w="1271" w:type="dxa"/>
            <w:vMerge w:val="restart"/>
            <w:shd w:val="clear" w:color="auto" w:fill="auto"/>
          </w:tcPr>
          <w:p w:rsidR="006F34BE" w:rsidRPr="009D743B" w:rsidRDefault="006F34BE" w:rsidP="003C20CA">
            <w:pPr>
              <w:keepLines/>
              <w:spacing w:before="40" w:after="40"/>
              <w:rPr>
                <w:rFonts w:ascii="Arial Narrow" w:hAnsi="Arial Narrow"/>
                <w:sz w:val="20"/>
                <w:lang w:val="en-AU"/>
              </w:rPr>
            </w:pPr>
            <w:r w:rsidRPr="009D743B">
              <w:rPr>
                <w:rFonts w:ascii="Arial Narrow" w:hAnsi="Arial Narrow"/>
                <w:sz w:val="20"/>
                <w:lang w:val="en-AU"/>
              </w:rPr>
              <w:t>Clinical issues</w:t>
            </w:r>
          </w:p>
        </w:tc>
        <w:tc>
          <w:tcPr>
            <w:tcW w:w="3872" w:type="dxa"/>
            <w:shd w:val="clear" w:color="auto" w:fill="auto"/>
          </w:tcPr>
          <w:p w:rsidR="006F34BE" w:rsidRPr="009D743B" w:rsidRDefault="006F34BE" w:rsidP="003C20CA">
            <w:pPr>
              <w:keepLines/>
              <w:spacing w:before="40" w:after="40"/>
              <w:rPr>
                <w:rFonts w:ascii="Arial Narrow" w:hAnsi="Arial Narrow"/>
                <w:sz w:val="20"/>
                <w:lang w:val="en-AU"/>
              </w:rPr>
            </w:pPr>
            <w:r w:rsidRPr="009D743B">
              <w:rPr>
                <w:rFonts w:ascii="Arial Narrow" w:hAnsi="Arial Narrow"/>
                <w:bCs/>
                <w:sz w:val="20"/>
                <w:lang w:val="en-AU"/>
              </w:rPr>
              <w:t>The claim of non-inferior comparative safety was not adequately supported by the data (Para 7.6).</w:t>
            </w:r>
          </w:p>
        </w:tc>
        <w:tc>
          <w:tcPr>
            <w:tcW w:w="3873" w:type="dxa"/>
            <w:shd w:val="clear" w:color="auto" w:fill="auto"/>
          </w:tcPr>
          <w:p w:rsidR="006F34BE" w:rsidRPr="009D743B" w:rsidRDefault="006F34BE" w:rsidP="003C20CA">
            <w:pPr>
              <w:keepLines/>
              <w:spacing w:before="40" w:after="40"/>
              <w:rPr>
                <w:rFonts w:ascii="Arial Narrow" w:hAnsi="Arial Narrow"/>
                <w:sz w:val="20"/>
                <w:lang w:val="en-AU"/>
              </w:rPr>
            </w:pPr>
            <w:r w:rsidRPr="009D743B">
              <w:rPr>
                <w:rFonts w:ascii="Arial Narrow" w:hAnsi="Arial Narrow"/>
                <w:sz w:val="20"/>
                <w:lang w:val="en-AU"/>
              </w:rPr>
              <w:t>A claim of inferior safety was included.</w:t>
            </w:r>
          </w:p>
        </w:tc>
      </w:tr>
      <w:tr w:rsidR="006F34BE" w:rsidRPr="009D743B" w:rsidTr="00DB7BEB">
        <w:trPr>
          <w:cantSplit/>
        </w:trPr>
        <w:tc>
          <w:tcPr>
            <w:tcW w:w="1271" w:type="dxa"/>
            <w:vMerge/>
            <w:shd w:val="clear" w:color="auto" w:fill="auto"/>
          </w:tcPr>
          <w:p w:rsidR="006F34BE" w:rsidRPr="009D743B" w:rsidRDefault="006F34BE" w:rsidP="003C20CA">
            <w:pPr>
              <w:keepLines/>
              <w:spacing w:before="40" w:after="40"/>
              <w:rPr>
                <w:rFonts w:ascii="Arial Narrow" w:hAnsi="Arial Narrow"/>
                <w:sz w:val="20"/>
                <w:lang w:val="en-AU"/>
              </w:rPr>
            </w:pPr>
          </w:p>
        </w:tc>
        <w:tc>
          <w:tcPr>
            <w:tcW w:w="3872" w:type="dxa"/>
            <w:shd w:val="clear" w:color="auto" w:fill="auto"/>
          </w:tcPr>
          <w:p w:rsidR="006F34BE" w:rsidRPr="009D743B" w:rsidRDefault="006F34BE" w:rsidP="003C20CA">
            <w:pPr>
              <w:keepLines/>
              <w:spacing w:before="40" w:after="40"/>
              <w:rPr>
                <w:rFonts w:ascii="Arial Narrow" w:hAnsi="Arial Narrow"/>
                <w:sz w:val="20"/>
                <w:lang w:val="en-AU"/>
              </w:rPr>
            </w:pPr>
            <w:r w:rsidRPr="009D743B">
              <w:rPr>
                <w:rFonts w:ascii="Arial Narrow" w:hAnsi="Arial Narrow"/>
                <w:bCs/>
                <w:sz w:val="20"/>
                <w:lang w:val="en-AU"/>
              </w:rPr>
              <w:t>It was unclear whether the incremental benefit would be sustained long-term (Para 7.5).</w:t>
            </w:r>
          </w:p>
        </w:tc>
        <w:tc>
          <w:tcPr>
            <w:tcW w:w="3873" w:type="dxa"/>
            <w:shd w:val="clear" w:color="auto" w:fill="auto"/>
          </w:tcPr>
          <w:p w:rsidR="006F34BE" w:rsidRPr="009D743B" w:rsidRDefault="006F34BE" w:rsidP="003C20CA">
            <w:pPr>
              <w:keepLines/>
              <w:spacing w:before="40" w:after="40"/>
              <w:rPr>
                <w:rFonts w:ascii="Arial Narrow" w:hAnsi="Arial Narrow"/>
                <w:sz w:val="20"/>
                <w:lang w:val="en-AU"/>
              </w:rPr>
            </w:pPr>
            <w:r w:rsidRPr="009D743B">
              <w:rPr>
                <w:rFonts w:ascii="Arial Narrow" w:hAnsi="Arial Narrow"/>
                <w:sz w:val="20"/>
                <w:lang w:val="en-AU"/>
              </w:rPr>
              <w:t xml:space="preserve">A price discount was offered to take into account uncertainty </w:t>
            </w:r>
            <w:r w:rsidR="00B50A4B" w:rsidRPr="009D743B">
              <w:rPr>
                <w:rFonts w:ascii="Arial Narrow" w:hAnsi="Arial Narrow"/>
                <w:sz w:val="20"/>
                <w:lang w:val="en-AU"/>
              </w:rPr>
              <w:t>surrounding</w:t>
            </w:r>
            <w:r w:rsidRPr="009D743B">
              <w:rPr>
                <w:rFonts w:ascii="Arial Narrow" w:hAnsi="Arial Narrow"/>
                <w:sz w:val="20"/>
                <w:lang w:val="en-AU"/>
              </w:rPr>
              <w:t xml:space="preserve"> long-term cost-effectiveness.</w:t>
            </w:r>
          </w:p>
        </w:tc>
      </w:tr>
      <w:tr w:rsidR="00254E9F" w:rsidRPr="009D743B" w:rsidTr="00DB7BEB">
        <w:trPr>
          <w:cantSplit/>
        </w:trPr>
        <w:tc>
          <w:tcPr>
            <w:tcW w:w="1271" w:type="dxa"/>
            <w:vMerge w:val="restart"/>
            <w:shd w:val="clear" w:color="auto" w:fill="auto"/>
          </w:tcPr>
          <w:p w:rsidR="00254E9F" w:rsidRPr="009D743B" w:rsidRDefault="00254E9F" w:rsidP="006F34BE">
            <w:pPr>
              <w:spacing w:before="40" w:after="40"/>
              <w:rPr>
                <w:rFonts w:ascii="Arial Narrow" w:hAnsi="Arial Narrow"/>
                <w:sz w:val="20"/>
                <w:lang w:val="en-AU"/>
              </w:rPr>
            </w:pPr>
            <w:r w:rsidRPr="009D743B">
              <w:rPr>
                <w:rFonts w:ascii="Arial Narrow" w:hAnsi="Arial Narrow"/>
                <w:sz w:val="20"/>
                <w:lang w:val="en-AU"/>
              </w:rPr>
              <w:t>Economic model</w:t>
            </w:r>
          </w:p>
        </w:tc>
        <w:tc>
          <w:tcPr>
            <w:tcW w:w="3872" w:type="dxa"/>
            <w:shd w:val="clear" w:color="auto" w:fill="auto"/>
          </w:tcPr>
          <w:p w:rsidR="00254E9F" w:rsidRPr="009D743B" w:rsidRDefault="00254E9F" w:rsidP="006F34BE">
            <w:pPr>
              <w:spacing w:before="40" w:after="40"/>
              <w:rPr>
                <w:rFonts w:ascii="Arial Narrow" w:hAnsi="Arial Narrow"/>
                <w:sz w:val="20"/>
                <w:lang w:val="en-AU"/>
              </w:rPr>
            </w:pPr>
            <w:r w:rsidRPr="009D743B">
              <w:rPr>
                <w:rFonts w:ascii="Arial Narrow" w:hAnsi="Arial Narrow"/>
                <w:sz w:val="20"/>
                <w:lang w:val="en-AU"/>
              </w:rPr>
              <w:t>Lack of long-term data to inform the model (Para 7.7).</w:t>
            </w:r>
          </w:p>
        </w:tc>
        <w:tc>
          <w:tcPr>
            <w:tcW w:w="3873" w:type="dxa"/>
            <w:shd w:val="clear" w:color="auto" w:fill="auto"/>
          </w:tcPr>
          <w:p w:rsidR="00254E9F" w:rsidRPr="009D743B" w:rsidRDefault="00254E9F" w:rsidP="0023622B">
            <w:pPr>
              <w:spacing w:before="40" w:after="40"/>
              <w:rPr>
                <w:rFonts w:ascii="Arial Narrow" w:hAnsi="Arial Narrow"/>
                <w:sz w:val="20"/>
                <w:lang w:val="en-AU"/>
              </w:rPr>
            </w:pPr>
            <w:r w:rsidRPr="009D743B">
              <w:rPr>
                <w:rFonts w:ascii="Arial Narrow" w:hAnsi="Arial Narrow"/>
                <w:sz w:val="20"/>
                <w:lang w:val="en-AU"/>
              </w:rPr>
              <w:t>Reduced model to a 20 year time horizon (from 30 years) and a discounted DPMQ to account for uncertainty. No additional follow-up data were included (still based on 16 weeks of RCT data</w:t>
            </w:r>
            <w:r w:rsidR="0023622B" w:rsidRPr="009D743B">
              <w:rPr>
                <w:rFonts w:ascii="Arial Narrow" w:hAnsi="Arial Narrow"/>
                <w:sz w:val="20"/>
                <w:lang w:val="en-AU"/>
              </w:rPr>
              <w:t xml:space="preserve"> plus 32 weeks of open-label follow-up</w:t>
            </w:r>
            <w:r w:rsidRPr="009D743B">
              <w:rPr>
                <w:rFonts w:ascii="Arial Narrow" w:hAnsi="Arial Narrow"/>
                <w:sz w:val="20"/>
                <w:lang w:val="en-AU"/>
              </w:rPr>
              <w:t>)</w:t>
            </w:r>
          </w:p>
        </w:tc>
      </w:tr>
      <w:tr w:rsidR="00254E9F" w:rsidRPr="009D743B" w:rsidTr="00DB7BEB">
        <w:trPr>
          <w:cantSplit/>
        </w:trPr>
        <w:tc>
          <w:tcPr>
            <w:tcW w:w="1271" w:type="dxa"/>
            <w:vMerge/>
            <w:shd w:val="clear" w:color="auto" w:fill="auto"/>
          </w:tcPr>
          <w:p w:rsidR="00254E9F" w:rsidRPr="009D743B" w:rsidRDefault="00254E9F" w:rsidP="006F34BE">
            <w:pPr>
              <w:spacing w:before="40" w:after="40"/>
              <w:rPr>
                <w:rFonts w:ascii="Arial Narrow" w:hAnsi="Arial Narrow"/>
                <w:sz w:val="20"/>
                <w:lang w:val="en-AU"/>
              </w:rPr>
            </w:pPr>
          </w:p>
        </w:tc>
        <w:tc>
          <w:tcPr>
            <w:tcW w:w="3872" w:type="dxa"/>
            <w:shd w:val="clear" w:color="auto" w:fill="auto"/>
          </w:tcPr>
          <w:p w:rsidR="00254E9F" w:rsidRPr="009D743B" w:rsidRDefault="00254E9F" w:rsidP="006F34BE">
            <w:pPr>
              <w:spacing w:before="40" w:after="40"/>
              <w:rPr>
                <w:rFonts w:ascii="Arial Narrow" w:hAnsi="Arial Narrow"/>
                <w:sz w:val="20"/>
                <w:lang w:val="en-AU"/>
              </w:rPr>
            </w:pPr>
            <w:r w:rsidRPr="009D743B">
              <w:rPr>
                <w:rFonts w:ascii="Arial Narrow" w:hAnsi="Arial Narrow"/>
                <w:sz w:val="20"/>
                <w:lang w:val="en-AU"/>
              </w:rPr>
              <w:t>Confine use to patients likely to achieve a very high level of response (Para 7.7).</w:t>
            </w:r>
          </w:p>
        </w:tc>
        <w:tc>
          <w:tcPr>
            <w:tcW w:w="3873" w:type="dxa"/>
            <w:shd w:val="clear" w:color="auto" w:fill="auto"/>
          </w:tcPr>
          <w:p w:rsidR="00254E9F" w:rsidRPr="009D743B" w:rsidRDefault="00254E9F" w:rsidP="00215D57">
            <w:pPr>
              <w:spacing w:before="40" w:after="40"/>
              <w:rPr>
                <w:rFonts w:ascii="Arial Narrow" w:hAnsi="Arial Narrow"/>
                <w:sz w:val="20"/>
                <w:lang w:val="en-AU"/>
              </w:rPr>
            </w:pPr>
            <w:r w:rsidRPr="009D743B">
              <w:rPr>
                <w:rFonts w:ascii="Arial Narrow" w:hAnsi="Arial Narrow"/>
                <w:sz w:val="20"/>
                <w:lang w:val="en-AU"/>
              </w:rPr>
              <w:t xml:space="preserve">Although the requested listing was amended to those with elevated CRP </w:t>
            </w:r>
            <w:r w:rsidRPr="009D743B">
              <w:rPr>
                <w:rFonts w:ascii="Arial Narrow" w:hAnsi="Arial Narrow"/>
                <w:sz w:val="20"/>
                <w:u w:val="single"/>
                <w:lang w:val="en-AU"/>
              </w:rPr>
              <w:t>and</w:t>
            </w:r>
            <w:r w:rsidRPr="009D743B">
              <w:rPr>
                <w:rFonts w:ascii="Arial Narrow" w:hAnsi="Arial Narrow"/>
                <w:sz w:val="20"/>
                <w:lang w:val="en-AU"/>
              </w:rPr>
              <w:t xml:space="preserve"> positive MRI, the population in the model was the OSI population from the GO-</w:t>
            </w:r>
            <w:r w:rsidRPr="0088301D">
              <w:rPr>
                <w:rFonts w:ascii="Arial Narrow" w:hAnsi="Arial Narrow"/>
                <w:sz w:val="20"/>
                <w:lang w:val="en-AU"/>
              </w:rPr>
              <w:t xml:space="preserve">AHEAD trial; </w:t>
            </w:r>
            <w:r w:rsidR="0050211C">
              <w:rPr>
                <w:rFonts w:ascii="Arial Narrow" w:eastAsia="Calibri" w:hAnsi="Arial Narrow" w:cs="Arial"/>
                <w:noProof/>
                <w:color w:val="000000"/>
                <w:sz w:val="20"/>
                <w:highlight w:val="black"/>
                <w:lang w:val="en-AU"/>
              </w:rPr>
              <w:t>'''''''''''</w:t>
            </w:r>
            <w:r w:rsidRPr="0088301D">
              <w:rPr>
                <w:rFonts w:ascii="Arial Narrow" w:hAnsi="Arial Narrow"/>
                <w:sz w:val="20"/>
                <w:lang w:val="en-AU"/>
              </w:rPr>
              <w:t>% of patients in the OSI subgroup met both criteria</w:t>
            </w:r>
            <w:r w:rsidR="00C51359" w:rsidRPr="0088301D">
              <w:rPr>
                <w:rFonts w:ascii="Arial Narrow" w:hAnsi="Arial Narrow"/>
                <w:sz w:val="20"/>
                <w:lang w:val="en-AU"/>
              </w:rPr>
              <w:t>.</w:t>
            </w:r>
            <w:r w:rsidRPr="0088301D">
              <w:rPr>
                <w:rFonts w:ascii="Arial Narrow" w:hAnsi="Arial Narrow"/>
                <w:sz w:val="20"/>
                <w:lang w:val="en-AU"/>
              </w:rPr>
              <w:t xml:space="preserve"> The ESC noted that this further limited the applicability of the trial data (i.e. only </w:t>
            </w:r>
            <w:r w:rsidR="0050211C">
              <w:rPr>
                <w:rFonts w:ascii="Arial Narrow" w:eastAsia="Calibri" w:hAnsi="Arial Narrow" w:cs="Arial"/>
                <w:noProof/>
                <w:color w:val="000000"/>
                <w:sz w:val="20"/>
                <w:highlight w:val="black"/>
                <w:lang w:val="en-AU"/>
              </w:rPr>
              <w:t>'''''</w:t>
            </w:r>
            <w:r w:rsidRPr="0088301D">
              <w:rPr>
                <w:rFonts w:ascii="Arial Narrow" w:hAnsi="Arial Narrow"/>
                <w:sz w:val="20"/>
                <w:lang w:val="en-AU"/>
              </w:rPr>
              <w:t>% of the total trial</w:t>
            </w:r>
            <w:r w:rsidRPr="009D743B">
              <w:rPr>
                <w:rFonts w:ascii="Arial Narrow" w:hAnsi="Arial Narrow"/>
                <w:sz w:val="20"/>
                <w:lang w:val="en-AU"/>
              </w:rPr>
              <w:t xml:space="preserve"> population would meet the requirement for elevated CRP and positive MRI; and the trial applicability was further limited </w:t>
            </w:r>
            <w:r w:rsidR="008F6BC8" w:rsidRPr="009D743B">
              <w:rPr>
                <w:rFonts w:ascii="Arial Narrow" w:hAnsi="Arial Narrow"/>
                <w:sz w:val="20"/>
                <w:lang w:val="en-AU"/>
              </w:rPr>
              <w:t>due to less stringent requirements around prior NSAIDs and no requirement for</w:t>
            </w:r>
            <w:r w:rsidRPr="009D743B">
              <w:rPr>
                <w:rFonts w:ascii="Arial Narrow" w:hAnsi="Arial Narrow"/>
                <w:sz w:val="20"/>
                <w:lang w:val="en-AU"/>
              </w:rPr>
              <w:t xml:space="preserve"> </w:t>
            </w:r>
            <w:r w:rsidR="00215D57" w:rsidRPr="009D743B">
              <w:rPr>
                <w:rFonts w:ascii="Arial Narrow" w:hAnsi="Arial Narrow"/>
                <w:sz w:val="20"/>
                <w:lang w:val="en-AU"/>
              </w:rPr>
              <w:t>to have completed</w:t>
            </w:r>
            <w:r w:rsidR="00C51359" w:rsidRPr="009D743B">
              <w:rPr>
                <w:rFonts w:ascii="Arial Narrow" w:hAnsi="Arial Narrow"/>
                <w:sz w:val="20"/>
                <w:lang w:val="en-AU"/>
              </w:rPr>
              <w:t xml:space="preserve"> an </w:t>
            </w:r>
            <w:r w:rsidRPr="009D743B">
              <w:rPr>
                <w:rFonts w:ascii="Arial Narrow" w:hAnsi="Arial Narrow"/>
                <w:sz w:val="20"/>
                <w:lang w:val="en-AU"/>
              </w:rPr>
              <w:t xml:space="preserve">exercise </w:t>
            </w:r>
            <w:r w:rsidR="008F6BC8" w:rsidRPr="009D743B">
              <w:rPr>
                <w:rFonts w:ascii="Arial Narrow" w:hAnsi="Arial Narrow"/>
                <w:sz w:val="20"/>
                <w:lang w:val="en-AU"/>
              </w:rPr>
              <w:t xml:space="preserve">program </w:t>
            </w:r>
            <w:r w:rsidRPr="009D743B">
              <w:rPr>
                <w:rFonts w:ascii="Arial Narrow" w:hAnsi="Arial Narrow"/>
                <w:sz w:val="20"/>
                <w:lang w:val="en-AU"/>
              </w:rPr>
              <w:t xml:space="preserve">in </w:t>
            </w:r>
            <w:r w:rsidR="00C51359" w:rsidRPr="009D743B">
              <w:rPr>
                <w:rFonts w:ascii="Arial Narrow" w:hAnsi="Arial Narrow"/>
                <w:sz w:val="20"/>
                <w:lang w:val="en-AU"/>
              </w:rPr>
              <w:t xml:space="preserve">the </w:t>
            </w:r>
            <w:r w:rsidRPr="009D743B">
              <w:rPr>
                <w:rFonts w:ascii="Arial Narrow" w:hAnsi="Arial Narrow"/>
                <w:sz w:val="20"/>
                <w:lang w:val="en-AU"/>
              </w:rPr>
              <w:t>RCT</w:t>
            </w:r>
            <w:r w:rsidR="008F6BC8" w:rsidRPr="009D743B">
              <w:rPr>
                <w:rFonts w:ascii="Arial Narrow" w:hAnsi="Arial Narrow"/>
                <w:sz w:val="20"/>
                <w:lang w:val="en-AU"/>
              </w:rPr>
              <w:t>)</w:t>
            </w:r>
            <w:r w:rsidRPr="009D743B">
              <w:rPr>
                <w:rFonts w:ascii="Arial Narrow" w:hAnsi="Arial Narrow"/>
                <w:sz w:val="20"/>
                <w:lang w:val="en-AU"/>
              </w:rPr>
              <w:t>.</w:t>
            </w:r>
          </w:p>
        </w:tc>
      </w:tr>
      <w:tr w:rsidR="00254E9F" w:rsidRPr="009D743B" w:rsidTr="00DB7BEB">
        <w:trPr>
          <w:cantSplit/>
        </w:trPr>
        <w:tc>
          <w:tcPr>
            <w:tcW w:w="1271" w:type="dxa"/>
            <w:vMerge/>
            <w:shd w:val="clear" w:color="auto" w:fill="auto"/>
          </w:tcPr>
          <w:p w:rsidR="00254E9F" w:rsidRPr="009D743B" w:rsidRDefault="00254E9F" w:rsidP="006F34BE">
            <w:pPr>
              <w:spacing w:before="40" w:after="40"/>
              <w:rPr>
                <w:rFonts w:ascii="Arial Narrow" w:hAnsi="Arial Narrow"/>
                <w:sz w:val="20"/>
                <w:lang w:val="en-AU"/>
              </w:rPr>
            </w:pPr>
          </w:p>
        </w:tc>
        <w:tc>
          <w:tcPr>
            <w:tcW w:w="3872" w:type="dxa"/>
            <w:shd w:val="clear" w:color="auto" w:fill="auto"/>
          </w:tcPr>
          <w:p w:rsidR="00254E9F" w:rsidRPr="001D45D9" w:rsidRDefault="00254E9F" w:rsidP="001D45D9">
            <w:pPr>
              <w:spacing w:before="40" w:after="40"/>
              <w:rPr>
                <w:rFonts w:ascii="Arial Narrow" w:hAnsi="Arial Narrow"/>
                <w:sz w:val="20"/>
                <w:lang w:val="en-AU"/>
              </w:rPr>
            </w:pPr>
            <w:r w:rsidRPr="001D45D9">
              <w:rPr>
                <w:rFonts w:ascii="Arial Narrow" w:hAnsi="Arial Narrow"/>
                <w:sz w:val="20"/>
                <w:lang w:val="en-AU"/>
              </w:rPr>
              <w:t xml:space="preserve">Inappropriate assumption that all CC responders at Week 16 </w:t>
            </w:r>
            <w:r w:rsidR="006122E8" w:rsidRPr="001D45D9">
              <w:rPr>
                <w:rFonts w:ascii="Arial Narrow" w:eastAsia="Calibri" w:hAnsi="Arial Narrow" w:cs="Arial"/>
                <w:sz w:val="20"/>
                <w:lang w:val="en-AU"/>
              </w:rPr>
              <w:t xml:space="preserve">28.8%) </w:t>
            </w:r>
            <w:r w:rsidRPr="001D45D9">
              <w:rPr>
                <w:rFonts w:ascii="Arial Narrow" w:hAnsi="Arial Narrow"/>
                <w:sz w:val="20"/>
                <w:lang w:val="en-AU"/>
              </w:rPr>
              <w:t>lose their response (revert to non-responder) by Week 32 (Para 7.7).</w:t>
            </w:r>
          </w:p>
        </w:tc>
        <w:tc>
          <w:tcPr>
            <w:tcW w:w="3873" w:type="dxa"/>
            <w:shd w:val="clear" w:color="auto" w:fill="auto"/>
          </w:tcPr>
          <w:p w:rsidR="00254E9F" w:rsidRPr="001D45D9" w:rsidRDefault="00254E9F" w:rsidP="00C51359">
            <w:pPr>
              <w:spacing w:before="40" w:after="40"/>
              <w:rPr>
                <w:rFonts w:ascii="Arial Narrow" w:hAnsi="Arial Narrow"/>
                <w:sz w:val="20"/>
                <w:lang w:val="en-AU"/>
              </w:rPr>
            </w:pPr>
            <w:r w:rsidRPr="001D45D9">
              <w:rPr>
                <w:rFonts w:ascii="Arial Narrow" w:hAnsi="Arial Narrow"/>
                <w:sz w:val="20"/>
                <w:lang w:val="en-AU"/>
              </w:rPr>
              <w:t>All CC responders at Week 16 (</w:t>
            </w:r>
            <w:r w:rsidR="006122E8" w:rsidRPr="001D45D9">
              <w:rPr>
                <w:rFonts w:ascii="Arial Narrow" w:eastAsia="Calibri" w:hAnsi="Arial Narrow" w:cs="Arial"/>
                <w:sz w:val="20"/>
                <w:lang w:val="en-AU"/>
              </w:rPr>
              <w:t>28.8</w:t>
            </w:r>
            <w:r w:rsidRPr="001D45D9">
              <w:rPr>
                <w:rFonts w:ascii="Arial Narrow" w:hAnsi="Arial Narrow"/>
                <w:sz w:val="20"/>
                <w:lang w:val="en-AU"/>
              </w:rPr>
              <w:t>%) were assumed to lose their response (revert to non-responder) by Week 52 (rather than 32 weeks</w:t>
            </w:r>
            <w:r w:rsidR="00C51359" w:rsidRPr="001D45D9">
              <w:rPr>
                <w:rFonts w:ascii="Arial Narrow" w:hAnsi="Arial Narrow"/>
                <w:sz w:val="20"/>
                <w:lang w:val="en-AU"/>
              </w:rPr>
              <w:t xml:space="preserve"> in the previous submission</w:t>
            </w:r>
            <w:r w:rsidRPr="001D45D9">
              <w:rPr>
                <w:rFonts w:ascii="Arial Narrow" w:hAnsi="Arial Narrow"/>
                <w:sz w:val="20"/>
                <w:lang w:val="en-AU"/>
              </w:rPr>
              <w:t xml:space="preserve">). </w:t>
            </w:r>
            <w:r w:rsidR="008F6BC8" w:rsidRPr="001D45D9">
              <w:rPr>
                <w:rFonts w:ascii="Arial Narrow" w:hAnsi="Arial Narrow"/>
                <w:sz w:val="20"/>
                <w:lang w:val="en-AU"/>
              </w:rPr>
              <w:t xml:space="preserve">The ESC noted that this was </w:t>
            </w:r>
            <w:r w:rsidRPr="001D45D9">
              <w:rPr>
                <w:rFonts w:ascii="Arial Narrow" w:hAnsi="Arial Narrow"/>
                <w:sz w:val="20"/>
                <w:lang w:val="en-AU"/>
              </w:rPr>
              <w:t>not supported by any RCT data.</w:t>
            </w:r>
          </w:p>
        </w:tc>
      </w:tr>
      <w:tr w:rsidR="00254E9F" w:rsidRPr="009D743B" w:rsidTr="00DB7BEB">
        <w:trPr>
          <w:cantSplit/>
        </w:trPr>
        <w:tc>
          <w:tcPr>
            <w:tcW w:w="1271" w:type="dxa"/>
            <w:vMerge/>
            <w:shd w:val="clear" w:color="auto" w:fill="auto"/>
          </w:tcPr>
          <w:p w:rsidR="00254E9F" w:rsidRPr="009D743B" w:rsidRDefault="00254E9F" w:rsidP="006F34BE">
            <w:pPr>
              <w:spacing w:before="40" w:after="40"/>
              <w:rPr>
                <w:rFonts w:ascii="Arial Narrow" w:hAnsi="Arial Narrow"/>
                <w:sz w:val="20"/>
                <w:lang w:val="en-AU"/>
              </w:rPr>
            </w:pPr>
          </w:p>
        </w:tc>
        <w:tc>
          <w:tcPr>
            <w:tcW w:w="3872" w:type="dxa"/>
            <w:shd w:val="clear" w:color="auto" w:fill="auto"/>
          </w:tcPr>
          <w:p w:rsidR="00254E9F" w:rsidRPr="001B06D8" w:rsidRDefault="00254E9F" w:rsidP="00B27D46">
            <w:pPr>
              <w:spacing w:before="40" w:after="40"/>
              <w:rPr>
                <w:rFonts w:ascii="Arial Narrow" w:hAnsi="Arial Narrow"/>
                <w:sz w:val="20"/>
                <w:lang w:val="en-AU"/>
              </w:rPr>
            </w:pPr>
            <w:r w:rsidRPr="001B06D8">
              <w:rPr>
                <w:rFonts w:ascii="Arial Narrow" w:hAnsi="Arial Narrow"/>
                <w:sz w:val="20"/>
                <w:lang w:val="en-AU"/>
              </w:rPr>
              <w:t>Assumptions around discontinuation rates (</w:t>
            </w:r>
            <w:r w:rsidR="0050211C">
              <w:rPr>
                <w:rFonts w:ascii="Arial Narrow" w:eastAsia="Calibri" w:hAnsi="Arial Narrow" w:cs="Arial"/>
                <w:noProof/>
                <w:color w:val="000000"/>
                <w:sz w:val="20"/>
                <w:highlight w:val="black"/>
                <w:lang w:val="en-AU"/>
              </w:rPr>
              <w:t>'''''''''</w:t>
            </w:r>
            <w:r w:rsidRPr="001B06D8">
              <w:rPr>
                <w:rFonts w:ascii="Arial Narrow" w:hAnsi="Arial Narrow"/>
                <w:sz w:val="20"/>
                <w:lang w:val="en-AU"/>
              </w:rPr>
              <w:t>%) may not have been applicable (Para 7.7).</w:t>
            </w:r>
          </w:p>
        </w:tc>
        <w:tc>
          <w:tcPr>
            <w:tcW w:w="3873" w:type="dxa"/>
            <w:shd w:val="clear" w:color="auto" w:fill="auto"/>
          </w:tcPr>
          <w:p w:rsidR="00254E9F" w:rsidRPr="001B06D8" w:rsidRDefault="00254E9F" w:rsidP="00B27D46">
            <w:pPr>
              <w:spacing w:before="40" w:after="40"/>
              <w:rPr>
                <w:rFonts w:ascii="Arial Narrow" w:hAnsi="Arial Narrow"/>
                <w:sz w:val="20"/>
                <w:lang w:val="en-AU"/>
              </w:rPr>
            </w:pPr>
            <w:r w:rsidRPr="001B06D8">
              <w:rPr>
                <w:rFonts w:ascii="Arial Narrow" w:hAnsi="Arial Narrow"/>
                <w:sz w:val="20"/>
                <w:lang w:val="en-AU"/>
              </w:rPr>
              <w:t xml:space="preserve">Discontinuation rates: </w:t>
            </w:r>
            <w:r w:rsidR="0050211C">
              <w:rPr>
                <w:rFonts w:ascii="Arial Narrow" w:eastAsia="Calibri" w:hAnsi="Arial Narrow" w:cs="Arial"/>
                <w:noProof/>
                <w:color w:val="000000"/>
                <w:sz w:val="20"/>
                <w:highlight w:val="black"/>
                <w:lang w:val="en-AU"/>
              </w:rPr>
              <w:t>'''''''''</w:t>
            </w:r>
            <w:r w:rsidRPr="001B06D8">
              <w:rPr>
                <w:rFonts w:ascii="Arial Narrow" w:hAnsi="Arial Narrow"/>
                <w:sz w:val="20"/>
                <w:lang w:val="en-AU"/>
              </w:rPr>
              <w:t xml:space="preserve">% per annum and a </w:t>
            </w:r>
            <w:r w:rsidR="0050211C">
              <w:rPr>
                <w:rFonts w:ascii="Arial Narrow" w:eastAsia="Calibri" w:hAnsi="Arial Narrow" w:cs="Arial"/>
                <w:noProof/>
                <w:color w:val="000000"/>
                <w:sz w:val="20"/>
                <w:highlight w:val="black"/>
                <w:lang w:val="en-AU"/>
              </w:rPr>
              <w:t>'''''''''</w:t>
            </w:r>
            <w:r w:rsidRPr="001B06D8">
              <w:rPr>
                <w:rFonts w:ascii="Arial Narrow" w:hAnsi="Arial Narrow"/>
                <w:sz w:val="20"/>
                <w:lang w:val="en-AU"/>
              </w:rPr>
              <w:t>% additional discontinuation due to AEs.</w:t>
            </w:r>
          </w:p>
        </w:tc>
      </w:tr>
      <w:tr w:rsidR="00254E9F" w:rsidRPr="009D743B" w:rsidTr="00DB7BEB">
        <w:trPr>
          <w:cantSplit/>
        </w:trPr>
        <w:tc>
          <w:tcPr>
            <w:tcW w:w="1271" w:type="dxa"/>
            <w:vMerge/>
            <w:shd w:val="clear" w:color="auto" w:fill="auto"/>
          </w:tcPr>
          <w:p w:rsidR="00254E9F" w:rsidRPr="009D743B" w:rsidRDefault="00254E9F" w:rsidP="006F34BE">
            <w:pPr>
              <w:spacing w:before="40" w:after="40"/>
              <w:rPr>
                <w:rFonts w:ascii="Arial Narrow" w:hAnsi="Arial Narrow"/>
                <w:sz w:val="20"/>
                <w:lang w:val="en-AU"/>
              </w:rPr>
            </w:pPr>
          </w:p>
        </w:tc>
        <w:tc>
          <w:tcPr>
            <w:tcW w:w="3872" w:type="dxa"/>
            <w:shd w:val="clear" w:color="auto" w:fill="auto"/>
          </w:tcPr>
          <w:p w:rsidR="00254E9F" w:rsidRPr="001B06D8" w:rsidRDefault="00254E9F" w:rsidP="006F34BE">
            <w:pPr>
              <w:spacing w:before="40" w:after="40"/>
              <w:rPr>
                <w:rFonts w:ascii="Arial Narrow" w:hAnsi="Arial Narrow"/>
                <w:sz w:val="20"/>
                <w:lang w:val="en-AU"/>
              </w:rPr>
            </w:pPr>
            <w:r w:rsidRPr="001B06D8">
              <w:rPr>
                <w:rFonts w:ascii="Arial Narrow" w:hAnsi="Arial Narrow"/>
                <w:sz w:val="20"/>
                <w:lang w:val="en-AU"/>
              </w:rPr>
              <w:t>Reasonable for the base case to include transitions to AS, although there was limited reliable data to inform the rate of progression to AS (Para 7.7).</w:t>
            </w:r>
          </w:p>
        </w:tc>
        <w:tc>
          <w:tcPr>
            <w:tcW w:w="3873" w:type="dxa"/>
            <w:shd w:val="clear" w:color="auto" w:fill="auto"/>
          </w:tcPr>
          <w:p w:rsidR="00254E9F" w:rsidRPr="001B06D8" w:rsidRDefault="00254E9F" w:rsidP="006F34BE">
            <w:pPr>
              <w:spacing w:before="40" w:after="40"/>
              <w:rPr>
                <w:rFonts w:ascii="Arial Narrow" w:hAnsi="Arial Narrow"/>
                <w:sz w:val="20"/>
                <w:lang w:val="en-AU"/>
              </w:rPr>
            </w:pPr>
            <w:r w:rsidRPr="001B06D8">
              <w:rPr>
                <w:rFonts w:ascii="Arial Narrow" w:hAnsi="Arial Narrow"/>
                <w:sz w:val="20"/>
                <w:lang w:val="en-AU"/>
              </w:rPr>
              <w:t>Base case did not include transitions to AS.</w:t>
            </w:r>
          </w:p>
        </w:tc>
      </w:tr>
      <w:tr w:rsidR="00254E9F" w:rsidRPr="009D743B" w:rsidTr="00DB7BEB">
        <w:trPr>
          <w:cantSplit/>
        </w:trPr>
        <w:tc>
          <w:tcPr>
            <w:tcW w:w="1271" w:type="dxa"/>
            <w:vMerge/>
            <w:shd w:val="clear" w:color="auto" w:fill="auto"/>
          </w:tcPr>
          <w:p w:rsidR="00254E9F" w:rsidRPr="009D743B" w:rsidRDefault="00254E9F" w:rsidP="006F34BE">
            <w:pPr>
              <w:spacing w:before="40" w:after="40"/>
              <w:rPr>
                <w:rFonts w:ascii="Arial Narrow" w:hAnsi="Arial Narrow"/>
                <w:sz w:val="20"/>
                <w:lang w:val="en-AU"/>
              </w:rPr>
            </w:pPr>
          </w:p>
        </w:tc>
        <w:tc>
          <w:tcPr>
            <w:tcW w:w="3872" w:type="dxa"/>
            <w:shd w:val="clear" w:color="auto" w:fill="auto"/>
          </w:tcPr>
          <w:p w:rsidR="00254E9F" w:rsidRPr="001B06D8" w:rsidRDefault="00254E9F" w:rsidP="006F34BE">
            <w:pPr>
              <w:spacing w:before="40" w:after="40"/>
              <w:rPr>
                <w:rFonts w:ascii="Arial Narrow" w:hAnsi="Arial Narrow"/>
                <w:sz w:val="20"/>
                <w:lang w:val="en-AU"/>
              </w:rPr>
            </w:pPr>
            <w:r w:rsidRPr="001B06D8">
              <w:rPr>
                <w:rFonts w:ascii="Arial Narrow" w:hAnsi="Arial Narrow"/>
                <w:sz w:val="20"/>
                <w:lang w:val="en-AU"/>
              </w:rPr>
              <w:t xml:space="preserve">The model should have included costs and disutilities to address the long-term safety of golimumab (Para 7.7). </w:t>
            </w:r>
          </w:p>
        </w:tc>
        <w:tc>
          <w:tcPr>
            <w:tcW w:w="3873" w:type="dxa"/>
            <w:shd w:val="clear" w:color="auto" w:fill="auto"/>
          </w:tcPr>
          <w:p w:rsidR="00254E9F" w:rsidRPr="001B06D8" w:rsidRDefault="00254E9F" w:rsidP="00B27D46">
            <w:pPr>
              <w:spacing w:before="40" w:after="40"/>
              <w:rPr>
                <w:rFonts w:ascii="Arial Narrow" w:hAnsi="Arial Narrow"/>
                <w:sz w:val="20"/>
                <w:lang w:val="en-AU"/>
              </w:rPr>
            </w:pPr>
            <w:r w:rsidRPr="001B06D8">
              <w:rPr>
                <w:rFonts w:ascii="Arial Narrow" w:hAnsi="Arial Narrow"/>
                <w:sz w:val="20"/>
                <w:lang w:val="en-AU"/>
              </w:rPr>
              <w:t xml:space="preserve">Increased cost of serious infection management, and disutility added for serious infection for 2 weeks, with serious infection rates of </w:t>
            </w:r>
            <w:r w:rsidR="0050211C">
              <w:rPr>
                <w:rFonts w:ascii="Arial Narrow" w:eastAsia="Calibri" w:hAnsi="Arial Narrow" w:cs="Arial"/>
                <w:noProof/>
                <w:color w:val="000000"/>
                <w:sz w:val="20"/>
                <w:highlight w:val="black"/>
                <w:lang w:val="en-AU"/>
              </w:rPr>
              <w:t>''''''''</w:t>
            </w:r>
            <w:r w:rsidRPr="001B06D8">
              <w:rPr>
                <w:rFonts w:ascii="Arial Narrow" w:hAnsi="Arial Narrow"/>
                <w:sz w:val="20"/>
                <w:lang w:val="en-AU"/>
              </w:rPr>
              <w:t>%/year.</w:t>
            </w:r>
          </w:p>
        </w:tc>
      </w:tr>
      <w:tr w:rsidR="00254E9F" w:rsidRPr="009D743B" w:rsidTr="00DB7BEB">
        <w:trPr>
          <w:cantSplit/>
        </w:trPr>
        <w:tc>
          <w:tcPr>
            <w:tcW w:w="1271" w:type="dxa"/>
            <w:vMerge/>
            <w:shd w:val="clear" w:color="auto" w:fill="auto"/>
          </w:tcPr>
          <w:p w:rsidR="00254E9F" w:rsidRPr="009D743B" w:rsidRDefault="00254E9F" w:rsidP="006F34BE">
            <w:pPr>
              <w:spacing w:before="40" w:after="40"/>
              <w:rPr>
                <w:rFonts w:ascii="Arial Narrow" w:hAnsi="Arial Narrow"/>
                <w:sz w:val="20"/>
                <w:lang w:val="en-AU"/>
              </w:rPr>
            </w:pPr>
          </w:p>
        </w:tc>
        <w:tc>
          <w:tcPr>
            <w:tcW w:w="3872" w:type="dxa"/>
            <w:shd w:val="clear" w:color="auto" w:fill="auto"/>
          </w:tcPr>
          <w:p w:rsidR="00254E9F" w:rsidRPr="009D743B" w:rsidRDefault="00254E9F" w:rsidP="00B27D46">
            <w:pPr>
              <w:spacing w:before="40" w:after="40"/>
              <w:rPr>
                <w:rFonts w:ascii="Arial Narrow" w:hAnsi="Arial Narrow"/>
                <w:sz w:val="20"/>
                <w:lang w:val="en-AU"/>
              </w:rPr>
            </w:pPr>
            <w:r w:rsidRPr="009D743B">
              <w:rPr>
                <w:rFonts w:ascii="Arial Narrow" w:hAnsi="Arial Narrow"/>
                <w:sz w:val="20"/>
                <w:lang w:val="en-AU"/>
              </w:rPr>
              <w:t>The transition parameters used in the model were largely fixed over the course of the model; did not appear to represent the clinical course (Para 6.45).</w:t>
            </w:r>
          </w:p>
        </w:tc>
        <w:tc>
          <w:tcPr>
            <w:tcW w:w="3873" w:type="dxa"/>
            <w:shd w:val="clear" w:color="auto" w:fill="auto"/>
          </w:tcPr>
          <w:p w:rsidR="00254E9F" w:rsidRPr="009D743B" w:rsidRDefault="00254E9F" w:rsidP="006F34BE">
            <w:pPr>
              <w:spacing w:before="40" w:after="40"/>
              <w:rPr>
                <w:rFonts w:ascii="Arial Narrow" w:hAnsi="Arial Narrow"/>
                <w:sz w:val="20"/>
                <w:lang w:val="en-AU"/>
              </w:rPr>
            </w:pPr>
            <w:r w:rsidRPr="009D743B">
              <w:rPr>
                <w:rFonts w:ascii="Arial Narrow" w:hAnsi="Arial Narrow"/>
                <w:sz w:val="20"/>
                <w:lang w:val="en-AU"/>
              </w:rPr>
              <w:t>Not addressed.</w:t>
            </w:r>
          </w:p>
        </w:tc>
      </w:tr>
      <w:tr w:rsidR="00254E9F" w:rsidRPr="009D743B" w:rsidTr="00DB7BEB">
        <w:trPr>
          <w:cantSplit/>
        </w:trPr>
        <w:tc>
          <w:tcPr>
            <w:tcW w:w="1271" w:type="dxa"/>
            <w:vMerge/>
            <w:shd w:val="clear" w:color="auto" w:fill="auto"/>
          </w:tcPr>
          <w:p w:rsidR="00254E9F" w:rsidRPr="009D743B" w:rsidRDefault="00254E9F" w:rsidP="006F34BE">
            <w:pPr>
              <w:spacing w:before="40" w:after="40"/>
              <w:rPr>
                <w:rFonts w:ascii="Arial Narrow" w:hAnsi="Arial Narrow"/>
                <w:sz w:val="20"/>
                <w:lang w:val="en-AU"/>
              </w:rPr>
            </w:pPr>
          </w:p>
        </w:tc>
        <w:tc>
          <w:tcPr>
            <w:tcW w:w="3872" w:type="dxa"/>
            <w:shd w:val="clear" w:color="auto" w:fill="auto"/>
          </w:tcPr>
          <w:p w:rsidR="00254E9F" w:rsidRPr="009D743B" w:rsidRDefault="00254E9F" w:rsidP="006F34BE">
            <w:pPr>
              <w:spacing w:before="40" w:after="40"/>
              <w:rPr>
                <w:rFonts w:ascii="Arial Narrow" w:hAnsi="Arial Narrow"/>
                <w:sz w:val="20"/>
                <w:lang w:val="en-AU"/>
              </w:rPr>
            </w:pPr>
            <w:r w:rsidRPr="009D743B">
              <w:rPr>
                <w:rFonts w:ascii="Arial Narrow" w:hAnsi="Arial Narrow"/>
                <w:sz w:val="20"/>
                <w:lang w:val="en-AU"/>
              </w:rPr>
              <w:t>Derivation of the regression equation</w:t>
            </w:r>
            <w:r w:rsidRPr="009D743B">
              <w:rPr>
                <w:lang w:val="en-AU"/>
              </w:rPr>
              <w:t xml:space="preserve"> </w:t>
            </w:r>
            <w:r w:rsidRPr="009D743B">
              <w:rPr>
                <w:rFonts w:ascii="Arial Narrow" w:hAnsi="Arial Narrow"/>
                <w:sz w:val="20"/>
                <w:lang w:val="en-AU"/>
              </w:rPr>
              <w:t>to assign utility scores to health states could not be validated (PBAC Minutes, Table 8).</w:t>
            </w:r>
          </w:p>
        </w:tc>
        <w:tc>
          <w:tcPr>
            <w:tcW w:w="3873" w:type="dxa"/>
            <w:shd w:val="clear" w:color="auto" w:fill="auto"/>
          </w:tcPr>
          <w:p w:rsidR="00254E9F" w:rsidRPr="009D743B" w:rsidRDefault="00254E9F" w:rsidP="006F34BE">
            <w:pPr>
              <w:spacing w:before="40" w:after="40"/>
              <w:rPr>
                <w:rFonts w:ascii="Arial Narrow" w:hAnsi="Arial Narrow"/>
                <w:sz w:val="20"/>
                <w:lang w:val="en-AU"/>
              </w:rPr>
            </w:pPr>
            <w:r w:rsidRPr="009D743B">
              <w:rPr>
                <w:rFonts w:ascii="Arial Narrow" w:hAnsi="Arial Narrow"/>
                <w:sz w:val="20"/>
                <w:lang w:val="en-AU"/>
              </w:rPr>
              <w:t>Additional information provided, although it was unclear whether the same regression equation would be applicable over the longer term. The ESC noted it was not based on Australian data.</w:t>
            </w:r>
          </w:p>
        </w:tc>
      </w:tr>
      <w:tr w:rsidR="00254E9F" w:rsidRPr="009D743B" w:rsidTr="00DB7BEB">
        <w:trPr>
          <w:cantSplit/>
        </w:trPr>
        <w:tc>
          <w:tcPr>
            <w:tcW w:w="1271" w:type="dxa"/>
            <w:vMerge/>
            <w:shd w:val="clear" w:color="auto" w:fill="auto"/>
          </w:tcPr>
          <w:p w:rsidR="00254E9F" w:rsidRPr="009D743B" w:rsidRDefault="00254E9F" w:rsidP="006F34BE">
            <w:pPr>
              <w:spacing w:before="40" w:after="40"/>
              <w:rPr>
                <w:rFonts w:ascii="Arial Narrow" w:hAnsi="Arial Narrow"/>
                <w:sz w:val="20"/>
                <w:lang w:val="en-AU"/>
              </w:rPr>
            </w:pPr>
          </w:p>
        </w:tc>
        <w:tc>
          <w:tcPr>
            <w:tcW w:w="3872" w:type="dxa"/>
            <w:shd w:val="clear" w:color="auto" w:fill="auto"/>
          </w:tcPr>
          <w:p w:rsidR="00254E9F" w:rsidRPr="009D743B" w:rsidRDefault="00254E9F" w:rsidP="00217E96">
            <w:pPr>
              <w:spacing w:before="0"/>
              <w:rPr>
                <w:rFonts w:ascii="Arial Narrow" w:hAnsi="Arial Narrow"/>
                <w:sz w:val="20"/>
                <w:lang w:val="en-AU"/>
              </w:rPr>
            </w:pPr>
            <w:r w:rsidRPr="009D743B">
              <w:rPr>
                <w:rFonts w:ascii="Arial Narrow" w:hAnsi="Arial Narrow"/>
                <w:sz w:val="20"/>
                <w:lang w:val="en-AU"/>
              </w:rPr>
              <w:t xml:space="preserve">Annual disease costs </w:t>
            </w:r>
            <w:r w:rsidR="00C51359" w:rsidRPr="009D743B">
              <w:rPr>
                <w:rFonts w:ascii="Arial Narrow" w:hAnsi="Arial Narrow"/>
                <w:sz w:val="20"/>
                <w:lang w:val="en-AU"/>
              </w:rPr>
              <w:t xml:space="preserve">were </w:t>
            </w:r>
            <w:r w:rsidR="00851AD4" w:rsidRPr="009D743B">
              <w:rPr>
                <w:rFonts w:ascii="Arial Narrow" w:hAnsi="Arial Narrow"/>
                <w:sz w:val="20"/>
                <w:lang w:val="en-AU"/>
              </w:rPr>
              <w:t>based</w:t>
            </w:r>
            <w:r w:rsidRPr="009D743B">
              <w:rPr>
                <w:rFonts w:ascii="Arial Narrow" w:hAnsi="Arial Narrow"/>
                <w:sz w:val="20"/>
                <w:lang w:val="en-AU"/>
              </w:rPr>
              <w:t xml:space="preserve"> on a regression equation fr</w:t>
            </w:r>
            <w:r w:rsidR="00C51359" w:rsidRPr="009D743B">
              <w:rPr>
                <w:rFonts w:ascii="Arial Narrow" w:hAnsi="Arial Narrow"/>
                <w:sz w:val="20"/>
                <w:lang w:val="en-AU"/>
              </w:rPr>
              <w:t>o</w:t>
            </w:r>
            <w:r w:rsidRPr="009D743B">
              <w:rPr>
                <w:rFonts w:ascii="Arial Narrow" w:hAnsi="Arial Narrow"/>
                <w:sz w:val="20"/>
                <w:lang w:val="en-AU"/>
              </w:rPr>
              <w:t>m Tilden (2004) with health care costs linked to BASFI scores. “The original COI study (Tilden 2004) provides no detailed information on the methodology of the study</w:t>
            </w:r>
            <w:r w:rsidR="00C51359" w:rsidRPr="009D743B">
              <w:rPr>
                <w:rFonts w:ascii="Arial Narrow" w:hAnsi="Arial Narrow"/>
                <w:sz w:val="20"/>
                <w:lang w:val="en-AU"/>
              </w:rPr>
              <w:t>...</w:t>
            </w:r>
            <w:r w:rsidRPr="009D743B">
              <w:rPr>
                <w:rFonts w:ascii="Arial Narrow" w:hAnsi="Arial Narrow"/>
                <w:sz w:val="20"/>
                <w:lang w:val="en-AU"/>
              </w:rPr>
              <w:t>nor does it provide information on the specific costs included other than specifying ‘categories’ of costs. As such, the validity of this regression equation in predicting nr-axSpA disease-management costs was unclear.” (Golimumab Nov</w:t>
            </w:r>
            <w:r w:rsidR="00C51359" w:rsidRPr="009D743B">
              <w:rPr>
                <w:rFonts w:ascii="Arial Narrow" w:hAnsi="Arial Narrow"/>
                <w:sz w:val="20"/>
                <w:lang w:val="en-AU"/>
              </w:rPr>
              <w:t>.</w:t>
            </w:r>
            <w:r w:rsidRPr="009D743B">
              <w:rPr>
                <w:rFonts w:ascii="Arial Narrow" w:hAnsi="Arial Narrow"/>
                <w:sz w:val="20"/>
                <w:lang w:val="en-AU"/>
              </w:rPr>
              <w:t xml:space="preserve">2017 PBAC </w:t>
            </w:r>
            <w:r w:rsidR="00217E96">
              <w:rPr>
                <w:rFonts w:ascii="Arial Narrow" w:hAnsi="Arial Narrow"/>
                <w:sz w:val="20"/>
                <w:lang w:val="en-AU"/>
              </w:rPr>
              <w:t>PSD</w:t>
            </w:r>
            <w:r w:rsidRPr="009D743B">
              <w:rPr>
                <w:rFonts w:ascii="Arial Narrow" w:hAnsi="Arial Narrow"/>
                <w:sz w:val="20"/>
                <w:lang w:val="en-AU"/>
              </w:rPr>
              <w:t>, Table 8)</w:t>
            </w:r>
          </w:p>
        </w:tc>
        <w:tc>
          <w:tcPr>
            <w:tcW w:w="3873" w:type="dxa"/>
            <w:shd w:val="clear" w:color="auto" w:fill="auto"/>
          </w:tcPr>
          <w:p w:rsidR="00254E9F" w:rsidRPr="009D743B" w:rsidRDefault="00254E9F" w:rsidP="006F666C">
            <w:pPr>
              <w:spacing w:before="0"/>
              <w:rPr>
                <w:rFonts w:ascii="Arial Narrow" w:hAnsi="Arial Narrow"/>
                <w:sz w:val="20"/>
                <w:lang w:val="en-AU"/>
              </w:rPr>
            </w:pPr>
            <w:r w:rsidRPr="009D743B">
              <w:rPr>
                <w:rFonts w:ascii="Arial Narrow" w:hAnsi="Arial Narrow"/>
                <w:sz w:val="20"/>
                <w:lang w:val="en-AU"/>
              </w:rPr>
              <w:t>Not addressed.</w:t>
            </w:r>
          </w:p>
        </w:tc>
      </w:tr>
      <w:tr w:rsidR="004B7390" w:rsidRPr="009D743B" w:rsidTr="00DB7BEB">
        <w:trPr>
          <w:cantSplit/>
        </w:trPr>
        <w:tc>
          <w:tcPr>
            <w:tcW w:w="1271" w:type="dxa"/>
            <w:vMerge w:val="restart"/>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Financial impact: High and uncertain financial impact</w:t>
            </w:r>
          </w:p>
        </w:tc>
        <w:tc>
          <w:tcPr>
            <w:tcW w:w="3872"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The number of eligible patients was based on studies that were not relevant to the Australian population (Para 7.9)</w:t>
            </w:r>
          </w:p>
        </w:tc>
        <w:tc>
          <w:tcPr>
            <w:tcW w:w="3873"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Same prevalence rate used from US Strand 2013 study: Not addressed.</w:t>
            </w:r>
          </w:p>
        </w:tc>
      </w:tr>
      <w:tr w:rsidR="004B7390" w:rsidRPr="009D743B" w:rsidTr="00DB7BEB">
        <w:trPr>
          <w:cantSplit/>
        </w:trPr>
        <w:tc>
          <w:tcPr>
            <w:tcW w:w="1271" w:type="dxa"/>
            <w:vMerge/>
            <w:shd w:val="clear" w:color="auto" w:fill="auto"/>
          </w:tcPr>
          <w:p w:rsidR="004B7390" w:rsidRPr="009D743B" w:rsidRDefault="004B7390" w:rsidP="004B7390">
            <w:pPr>
              <w:spacing w:before="40" w:after="40"/>
              <w:rPr>
                <w:rFonts w:ascii="Arial Narrow" w:hAnsi="Arial Narrow"/>
                <w:sz w:val="20"/>
                <w:lang w:val="en-AU"/>
              </w:rPr>
            </w:pPr>
          </w:p>
        </w:tc>
        <w:tc>
          <w:tcPr>
            <w:tcW w:w="3872"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Patients 45 years or older who were diagnosed before the age of 45 should have been included in the financial estimates (Para 7.9).</w:t>
            </w:r>
          </w:p>
        </w:tc>
        <w:tc>
          <w:tcPr>
            <w:tcW w:w="3873"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An allowance was made for an additional 5% of the estimated prevalent patient population to be aged over 45 years.</w:t>
            </w:r>
          </w:p>
        </w:tc>
      </w:tr>
      <w:tr w:rsidR="004B7390" w:rsidRPr="009D743B" w:rsidTr="00DB7BEB">
        <w:trPr>
          <w:cantSplit/>
        </w:trPr>
        <w:tc>
          <w:tcPr>
            <w:tcW w:w="1271" w:type="dxa"/>
            <w:vMerge/>
            <w:shd w:val="clear" w:color="auto" w:fill="auto"/>
          </w:tcPr>
          <w:p w:rsidR="004B7390" w:rsidRPr="009D743B" w:rsidRDefault="004B7390" w:rsidP="004B7390">
            <w:pPr>
              <w:spacing w:before="40" w:after="40"/>
              <w:rPr>
                <w:rFonts w:ascii="Arial Narrow" w:hAnsi="Arial Narrow"/>
                <w:sz w:val="20"/>
                <w:lang w:val="en-AU"/>
              </w:rPr>
            </w:pPr>
          </w:p>
        </w:tc>
        <w:tc>
          <w:tcPr>
            <w:tcW w:w="3872"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16 weeks initial treatment in estimates: inconsistent with the requested listing of 20 weeks (Para 7.9).</w:t>
            </w:r>
          </w:p>
        </w:tc>
        <w:tc>
          <w:tcPr>
            <w:tcW w:w="3873"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The requested listing in the resubmission was for 16 weeks of initial treatment. Issue addressed.</w:t>
            </w:r>
          </w:p>
        </w:tc>
      </w:tr>
      <w:tr w:rsidR="004B7390" w:rsidRPr="009D743B" w:rsidTr="00DB7BEB">
        <w:trPr>
          <w:cantSplit/>
        </w:trPr>
        <w:tc>
          <w:tcPr>
            <w:tcW w:w="1271" w:type="dxa"/>
            <w:vMerge/>
            <w:shd w:val="clear" w:color="auto" w:fill="auto"/>
          </w:tcPr>
          <w:p w:rsidR="004B7390" w:rsidRPr="009D743B" w:rsidRDefault="004B7390" w:rsidP="004B7390">
            <w:pPr>
              <w:spacing w:before="40" w:after="40"/>
              <w:rPr>
                <w:rFonts w:ascii="Arial Narrow" w:hAnsi="Arial Narrow"/>
                <w:sz w:val="20"/>
                <w:lang w:val="en-AU"/>
              </w:rPr>
            </w:pPr>
          </w:p>
        </w:tc>
        <w:tc>
          <w:tcPr>
            <w:tcW w:w="3872"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Uptake rates and continuation rates may be higher than estimated due to high unmet clinical need and ease of use (Para 7.9).</w:t>
            </w:r>
          </w:p>
        </w:tc>
        <w:tc>
          <w:tcPr>
            <w:tcW w:w="3873"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The resubmission used higher uptake rates, although continuation rates were not increased.  The resubmission used higher discontinuation rates.</w:t>
            </w:r>
          </w:p>
        </w:tc>
      </w:tr>
      <w:tr w:rsidR="004B7390" w:rsidRPr="009D743B" w:rsidTr="00DB7BEB">
        <w:trPr>
          <w:cantSplit/>
        </w:trPr>
        <w:tc>
          <w:tcPr>
            <w:tcW w:w="1271" w:type="dxa"/>
            <w:vMerge/>
            <w:shd w:val="clear" w:color="auto" w:fill="auto"/>
          </w:tcPr>
          <w:p w:rsidR="004B7390" w:rsidRPr="009D743B" w:rsidRDefault="004B7390" w:rsidP="004B7390">
            <w:pPr>
              <w:spacing w:before="40" w:after="40"/>
              <w:rPr>
                <w:rFonts w:ascii="Arial Narrow" w:hAnsi="Arial Narrow"/>
                <w:sz w:val="20"/>
                <w:lang w:val="en-AU"/>
              </w:rPr>
            </w:pPr>
          </w:p>
        </w:tc>
        <w:tc>
          <w:tcPr>
            <w:tcW w:w="3872"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High likelihood of substantial leakage beyond the proposed population (in those with chronic back pain) (Para 7.9).</w:t>
            </w:r>
          </w:p>
        </w:tc>
        <w:tc>
          <w:tcPr>
            <w:tcW w:w="3873" w:type="dxa"/>
            <w:shd w:val="clear" w:color="auto" w:fill="auto"/>
          </w:tcPr>
          <w:p w:rsidR="004B7390" w:rsidRPr="009D743B" w:rsidRDefault="004B7390" w:rsidP="00C51359">
            <w:pPr>
              <w:spacing w:before="40" w:after="40"/>
              <w:rPr>
                <w:rFonts w:ascii="Arial Narrow" w:hAnsi="Arial Narrow"/>
                <w:sz w:val="20"/>
                <w:lang w:val="en-AU"/>
              </w:rPr>
            </w:pPr>
            <w:r w:rsidRPr="009D743B">
              <w:rPr>
                <w:rFonts w:ascii="Arial Narrow" w:hAnsi="Arial Narrow"/>
                <w:sz w:val="20"/>
                <w:lang w:val="en-AU"/>
              </w:rPr>
              <w:t>Not specifically addressed: although a RSA might be negotiated to reduce leakage.</w:t>
            </w:r>
            <w:r w:rsidR="00C51359" w:rsidRPr="009D743B">
              <w:rPr>
                <w:rFonts w:ascii="Arial Narrow" w:hAnsi="Arial Narrow"/>
                <w:sz w:val="20"/>
                <w:lang w:val="en-AU"/>
              </w:rPr>
              <w:t xml:space="preserve"> Details of an </w:t>
            </w:r>
            <w:r w:rsidR="00254E9F" w:rsidRPr="009D743B">
              <w:rPr>
                <w:rFonts w:ascii="Arial Narrow" w:hAnsi="Arial Narrow"/>
                <w:sz w:val="20"/>
                <w:lang w:val="en-AU"/>
              </w:rPr>
              <w:t xml:space="preserve">RSA </w:t>
            </w:r>
            <w:r w:rsidR="00C51359" w:rsidRPr="009D743B">
              <w:rPr>
                <w:rFonts w:ascii="Arial Narrow" w:hAnsi="Arial Narrow"/>
                <w:sz w:val="20"/>
                <w:lang w:val="en-AU"/>
              </w:rPr>
              <w:t>were provided in the PSCR</w:t>
            </w:r>
            <w:r w:rsidR="00254E9F" w:rsidRPr="009D743B">
              <w:rPr>
                <w:rFonts w:ascii="Arial Narrow" w:hAnsi="Arial Narrow"/>
                <w:sz w:val="20"/>
                <w:lang w:val="en-AU"/>
              </w:rPr>
              <w:t>.</w:t>
            </w:r>
          </w:p>
        </w:tc>
      </w:tr>
      <w:tr w:rsidR="004B7390" w:rsidRPr="009D743B" w:rsidTr="00DB7BEB">
        <w:trPr>
          <w:cantSplit/>
        </w:trPr>
        <w:tc>
          <w:tcPr>
            <w:tcW w:w="1271" w:type="dxa"/>
            <w:vMerge/>
            <w:shd w:val="clear" w:color="auto" w:fill="auto"/>
          </w:tcPr>
          <w:p w:rsidR="004B7390" w:rsidRPr="009D743B" w:rsidRDefault="004B7390" w:rsidP="004B7390">
            <w:pPr>
              <w:spacing w:before="40" w:after="40"/>
              <w:rPr>
                <w:rFonts w:ascii="Arial Narrow" w:hAnsi="Arial Narrow"/>
                <w:sz w:val="20"/>
                <w:lang w:val="en-AU"/>
              </w:rPr>
            </w:pPr>
          </w:p>
        </w:tc>
        <w:tc>
          <w:tcPr>
            <w:tcW w:w="3872" w:type="dxa"/>
            <w:shd w:val="clear" w:color="auto" w:fill="auto"/>
          </w:tcPr>
          <w:p w:rsidR="004B7390" w:rsidRPr="009D743B" w:rsidRDefault="004B7390" w:rsidP="000A2ECD">
            <w:pPr>
              <w:spacing w:before="40" w:after="40"/>
              <w:rPr>
                <w:rFonts w:ascii="Arial Narrow" w:hAnsi="Arial Narrow"/>
                <w:sz w:val="20"/>
                <w:lang w:val="en-AU"/>
              </w:rPr>
            </w:pPr>
            <w:r w:rsidRPr="009D743B">
              <w:rPr>
                <w:rFonts w:ascii="Arial Narrow" w:hAnsi="Arial Narrow"/>
                <w:sz w:val="20"/>
                <w:lang w:val="en-AU"/>
              </w:rPr>
              <w:t xml:space="preserve">Hospital costs may not represent a real cost-offset (Para 6.52). Estimated cost-offsets to the PBS </w:t>
            </w:r>
            <w:r w:rsidR="000A2ECD" w:rsidRPr="009D743B">
              <w:rPr>
                <w:rFonts w:ascii="Arial Narrow" w:hAnsi="Arial Narrow"/>
                <w:sz w:val="20"/>
                <w:lang w:val="en-AU"/>
              </w:rPr>
              <w:t xml:space="preserve">from </w:t>
            </w:r>
            <w:r w:rsidRPr="009D743B">
              <w:rPr>
                <w:rFonts w:ascii="Arial Narrow" w:hAnsi="Arial Narrow"/>
                <w:sz w:val="20"/>
                <w:lang w:val="en-AU"/>
              </w:rPr>
              <w:t>nr-axSpA medications were unclear (Para 6.52).</w:t>
            </w:r>
          </w:p>
        </w:tc>
        <w:tc>
          <w:tcPr>
            <w:tcW w:w="3873" w:type="dxa"/>
            <w:shd w:val="clear" w:color="auto" w:fill="auto"/>
          </w:tcPr>
          <w:p w:rsidR="004B7390" w:rsidRPr="009D743B" w:rsidRDefault="004B7390" w:rsidP="00D7200D">
            <w:pPr>
              <w:spacing w:before="40" w:after="40"/>
              <w:rPr>
                <w:rFonts w:ascii="Arial Narrow" w:hAnsi="Arial Narrow"/>
                <w:sz w:val="20"/>
                <w:lang w:val="en-AU"/>
              </w:rPr>
            </w:pPr>
            <w:r w:rsidRPr="009D743B">
              <w:rPr>
                <w:rFonts w:ascii="Arial Narrow" w:hAnsi="Arial Narrow"/>
                <w:sz w:val="20"/>
                <w:lang w:val="en-AU"/>
              </w:rPr>
              <w:t>Previously included hospital costs and disease related costs were excluded.</w:t>
            </w:r>
            <w:r w:rsidR="008F6BC8" w:rsidRPr="009D743B">
              <w:rPr>
                <w:rFonts w:ascii="Arial Narrow" w:hAnsi="Arial Narrow"/>
                <w:sz w:val="20"/>
                <w:lang w:val="en-AU"/>
              </w:rPr>
              <w:t xml:space="preserve"> </w:t>
            </w:r>
            <w:r w:rsidR="00D7200D" w:rsidRPr="009D743B">
              <w:rPr>
                <w:rFonts w:ascii="Arial Narrow" w:hAnsi="Arial Narrow"/>
                <w:sz w:val="20"/>
                <w:lang w:val="en-AU"/>
              </w:rPr>
              <w:t xml:space="preserve">The PSCR included hospitalisation costs for treating serious infections. </w:t>
            </w:r>
            <w:r w:rsidR="008F6BC8" w:rsidRPr="009D743B">
              <w:rPr>
                <w:rFonts w:ascii="Arial Narrow" w:hAnsi="Arial Narrow"/>
                <w:sz w:val="20"/>
                <w:lang w:val="en-AU"/>
              </w:rPr>
              <w:t xml:space="preserve">The ESC noted that </w:t>
            </w:r>
            <w:r w:rsidR="00D7200D" w:rsidRPr="009D743B">
              <w:rPr>
                <w:rFonts w:ascii="Arial Narrow" w:hAnsi="Arial Narrow"/>
                <w:sz w:val="20"/>
                <w:lang w:val="en-AU"/>
              </w:rPr>
              <w:t xml:space="preserve">other </w:t>
            </w:r>
            <w:r w:rsidR="00C51359" w:rsidRPr="009D743B">
              <w:rPr>
                <w:rFonts w:ascii="Arial Narrow" w:hAnsi="Arial Narrow"/>
                <w:sz w:val="20"/>
                <w:lang w:val="en-AU"/>
              </w:rPr>
              <w:t xml:space="preserve">hospitalisation costs </w:t>
            </w:r>
            <w:r w:rsidR="00D7200D" w:rsidRPr="009D743B">
              <w:rPr>
                <w:rFonts w:ascii="Arial Narrow" w:hAnsi="Arial Narrow"/>
                <w:sz w:val="20"/>
                <w:lang w:val="en-AU"/>
              </w:rPr>
              <w:t xml:space="preserve">that were applied </w:t>
            </w:r>
            <w:r w:rsidR="00C51359" w:rsidRPr="009D743B">
              <w:rPr>
                <w:rFonts w:ascii="Arial Narrow" w:hAnsi="Arial Narrow"/>
                <w:sz w:val="20"/>
                <w:lang w:val="en-AU"/>
              </w:rPr>
              <w:t xml:space="preserve">in the </w:t>
            </w:r>
            <w:r w:rsidR="00D7200D" w:rsidRPr="009D743B">
              <w:rPr>
                <w:rFonts w:ascii="Arial Narrow" w:hAnsi="Arial Narrow"/>
                <w:sz w:val="20"/>
                <w:lang w:val="en-AU"/>
              </w:rPr>
              <w:t xml:space="preserve">economic model (i.e. annual disease costs rather than specific adverse event costs) were </w:t>
            </w:r>
            <w:r w:rsidR="008F6BC8" w:rsidRPr="009D743B">
              <w:rPr>
                <w:rFonts w:ascii="Arial Narrow" w:hAnsi="Arial Narrow"/>
                <w:sz w:val="20"/>
                <w:lang w:val="en-AU"/>
              </w:rPr>
              <w:t>not based on recent Australian data so</w:t>
            </w:r>
            <w:r w:rsidR="00D7200D" w:rsidRPr="009D743B">
              <w:rPr>
                <w:rFonts w:ascii="Arial Narrow" w:hAnsi="Arial Narrow"/>
                <w:sz w:val="20"/>
                <w:lang w:val="en-AU"/>
              </w:rPr>
              <w:t xml:space="preserve"> may not represent reliable</w:t>
            </w:r>
            <w:r w:rsidR="008F6BC8" w:rsidRPr="009D743B">
              <w:rPr>
                <w:rFonts w:ascii="Arial Narrow" w:hAnsi="Arial Narrow"/>
                <w:sz w:val="20"/>
                <w:lang w:val="en-AU"/>
              </w:rPr>
              <w:t xml:space="preserve"> estimate</w:t>
            </w:r>
            <w:r w:rsidR="00D7200D" w:rsidRPr="009D743B">
              <w:rPr>
                <w:rFonts w:ascii="Arial Narrow" w:hAnsi="Arial Narrow"/>
                <w:sz w:val="20"/>
                <w:lang w:val="en-AU"/>
              </w:rPr>
              <w:t xml:space="preserve">s. </w:t>
            </w:r>
          </w:p>
        </w:tc>
      </w:tr>
      <w:tr w:rsidR="004B7390" w:rsidRPr="009D743B" w:rsidTr="00DB7BEB">
        <w:trPr>
          <w:cantSplit/>
        </w:trPr>
        <w:tc>
          <w:tcPr>
            <w:tcW w:w="1271" w:type="dxa"/>
            <w:shd w:val="clear" w:color="auto" w:fill="auto"/>
            <w:vAlign w:val="center"/>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Price</w:t>
            </w:r>
          </w:p>
        </w:tc>
        <w:tc>
          <w:tcPr>
            <w:tcW w:w="3872" w:type="dxa"/>
            <w:shd w:val="clear" w:color="auto" w:fill="auto"/>
            <w:vAlign w:val="center"/>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Any future submission for a bDMARD for this condition would need to … propose a lower cost per patient in the context of the lack of long-term outcome data (Para 7.10).</w:t>
            </w:r>
          </w:p>
        </w:tc>
        <w:tc>
          <w:tcPr>
            <w:tcW w:w="3873" w:type="dxa"/>
            <w:shd w:val="clear" w:color="auto" w:fill="auto"/>
          </w:tcPr>
          <w:p w:rsidR="004B7390" w:rsidRPr="009D743B" w:rsidRDefault="004B7390" w:rsidP="004B7390">
            <w:pPr>
              <w:spacing w:before="40" w:after="40"/>
              <w:rPr>
                <w:rFonts w:ascii="Arial Narrow" w:hAnsi="Arial Narrow"/>
                <w:sz w:val="20"/>
                <w:lang w:val="en-AU"/>
              </w:rPr>
            </w:pPr>
            <w:r w:rsidRPr="009D743B">
              <w:rPr>
                <w:rFonts w:ascii="Arial Narrow" w:hAnsi="Arial Narrow"/>
                <w:sz w:val="20"/>
                <w:lang w:val="en-AU"/>
              </w:rPr>
              <w:t xml:space="preserve">The proposed DPMQ proposed was lowered by approximately </w:t>
            </w:r>
            <w:r w:rsidR="0050211C">
              <w:rPr>
                <w:rFonts w:ascii="Arial Narrow" w:hAnsi="Arial Narrow"/>
                <w:noProof/>
                <w:color w:val="000000"/>
                <w:sz w:val="20"/>
                <w:highlight w:val="black"/>
                <w:lang w:val="en-AU"/>
              </w:rPr>
              <w:t>'''''''</w:t>
            </w:r>
            <w:r w:rsidRPr="009D743B">
              <w:rPr>
                <w:rFonts w:ascii="Arial Narrow" w:hAnsi="Arial Narrow"/>
                <w:sz w:val="20"/>
                <w:lang w:val="en-AU"/>
              </w:rPr>
              <w:t>% to $1,317.93.</w:t>
            </w:r>
          </w:p>
        </w:tc>
      </w:tr>
    </w:tbl>
    <w:p w:rsidR="004B7390" w:rsidRPr="009D743B" w:rsidRDefault="004B7390" w:rsidP="004B7390">
      <w:pPr>
        <w:pStyle w:val="TableFooter"/>
      </w:pPr>
      <w:r w:rsidRPr="009D743B">
        <w:t>Para = paragraph; CC = conventional care; AE = adverse events; MRI = magnetic resonance imaging; CRP = C=reactive protein; RSA = risk sharing arrangement</w:t>
      </w:r>
      <w:r w:rsidR="00B50A4B" w:rsidRPr="009D743B">
        <w:t>; AS = ankylosing spondylitis</w:t>
      </w:r>
      <w:r w:rsidR="0023622B" w:rsidRPr="009D743B">
        <w:t>; RCT = randomised controlled trial</w:t>
      </w:r>
      <w:r w:rsidR="00D32AD3" w:rsidRPr="009D743B">
        <w:t>; bDMARD = biological disease-modifying anti-rheumatic drug</w:t>
      </w:r>
    </w:p>
    <w:p w:rsidR="004B7390" w:rsidRPr="009D743B" w:rsidRDefault="004B7390" w:rsidP="004B7390">
      <w:pPr>
        <w:pStyle w:val="TableFooter"/>
      </w:pPr>
      <w:r w:rsidRPr="009D743B">
        <w:t xml:space="preserve">Note: All paragraph references refer to the Golimumab PBAC </w:t>
      </w:r>
      <w:r w:rsidR="00370B41">
        <w:t>Public Summary Document</w:t>
      </w:r>
      <w:r w:rsidRPr="009D743B">
        <w:t>, November 2017 unless otherwise stated</w:t>
      </w:r>
    </w:p>
    <w:p w:rsidR="001722AD" w:rsidRPr="009D743B" w:rsidRDefault="004B7390" w:rsidP="004B7390">
      <w:pPr>
        <w:pStyle w:val="TableFooter"/>
      </w:pPr>
      <w:r w:rsidRPr="009D743B">
        <w:t>Source: Compiled during the evaluation.</w:t>
      </w:r>
    </w:p>
    <w:p w:rsidR="00C317F3" w:rsidRPr="009D743B" w:rsidRDefault="00C317F3" w:rsidP="002001C6">
      <w:pPr>
        <w:pStyle w:val="Heading1"/>
        <w:ind w:left="709" w:hanging="709"/>
      </w:pPr>
      <w:bookmarkStart w:id="12" w:name="_Toc514253026"/>
      <w:r w:rsidRPr="009D743B">
        <w:t>Population and disease</w:t>
      </w:r>
      <w:bookmarkEnd w:id="12"/>
    </w:p>
    <w:p w:rsidR="00702A9D" w:rsidRPr="009D743B" w:rsidRDefault="00B27D46" w:rsidP="004B7390">
      <w:pPr>
        <w:ind w:left="576" w:hanging="576"/>
        <w:jc w:val="both"/>
      </w:pPr>
      <w:r w:rsidRPr="009D743B">
        <w:rPr>
          <w:bCs/>
          <w:iCs/>
        </w:rPr>
        <w:t>4.1</w:t>
      </w:r>
      <w:r w:rsidRPr="009D743B">
        <w:rPr>
          <w:bCs/>
          <w:iCs/>
        </w:rPr>
        <w:tab/>
      </w:r>
      <w:r w:rsidR="00370730" w:rsidRPr="009D743B">
        <w:rPr>
          <w:bCs/>
          <w:iCs/>
        </w:rPr>
        <w:t xml:space="preserve">Axial spondyloarthritis (axSpA) is a spectrum of related immune mediated diseases with diverse clinical presentations that all feature axial inflammatory arthritis. Axial spondyloarthritis includes both nr-axSpA and </w:t>
      </w:r>
      <w:r w:rsidR="00F81107" w:rsidRPr="009D743B">
        <w:rPr>
          <w:bCs/>
          <w:iCs/>
        </w:rPr>
        <w:t>ankylosing spondylitis (</w:t>
      </w:r>
      <w:r w:rsidR="00370730" w:rsidRPr="009D743B">
        <w:rPr>
          <w:bCs/>
          <w:iCs/>
        </w:rPr>
        <w:t>AS</w:t>
      </w:r>
      <w:r w:rsidR="00F81107" w:rsidRPr="009D743B">
        <w:rPr>
          <w:bCs/>
          <w:iCs/>
        </w:rPr>
        <w:t>)</w:t>
      </w:r>
      <w:r w:rsidR="00370730" w:rsidRPr="009D743B">
        <w:rPr>
          <w:bCs/>
          <w:iCs/>
        </w:rPr>
        <w:t xml:space="preserve">. </w:t>
      </w:r>
      <w:r w:rsidR="00702A9D" w:rsidRPr="009D743B">
        <w:t>Although not well characterised, risk factors for progression from nr-axSpA to AS include elevated CRP, baseline inflammation on MRI and positivity for the HLA-B27 gene (Dougados M, 2017).</w:t>
      </w:r>
    </w:p>
    <w:p w:rsidR="00C317F3" w:rsidRPr="009D743B" w:rsidRDefault="00C317F3" w:rsidP="002001C6">
      <w:pPr>
        <w:pStyle w:val="Heading1"/>
        <w:ind w:left="709" w:hanging="709"/>
      </w:pPr>
      <w:bookmarkStart w:id="13" w:name="_Toc413139275"/>
      <w:bookmarkStart w:id="14" w:name="_Toc514253027"/>
      <w:r w:rsidRPr="009D743B">
        <w:t>Comparator</w:t>
      </w:r>
      <w:bookmarkEnd w:id="13"/>
      <w:bookmarkEnd w:id="14"/>
    </w:p>
    <w:p w:rsidR="0095170D" w:rsidRPr="009D743B" w:rsidRDefault="00A17C14" w:rsidP="00A17C14">
      <w:pPr>
        <w:ind w:left="567" w:hanging="567"/>
        <w:jc w:val="both"/>
      </w:pPr>
      <w:r w:rsidRPr="009D743B">
        <w:t>5.1</w:t>
      </w:r>
      <w:r w:rsidRPr="009D743B">
        <w:tab/>
      </w:r>
      <w:r w:rsidR="00B16CCD" w:rsidRPr="009D743B">
        <w:t xml:space="preserve">The </w:t>
      </w:r>
      <w:r w:rsidR="00BD3F31" w:rsidRPr="009D743B">
        <w:t>re</w:t>
      </w:r>
      <w:r w:rsidR="00B16CCD" w:rsidRPr="009D743B">
        <w:t>submission nominated conventional care (CC)</w:t>
      </w:r>
      <w:r w:rsidR="000A2ECD" w:rsidRPr="009D743B">
        <w:t>,</w:t>
      </w:r>
      <w:r w:rsidR="00B16CCD" w:rsidRPr="009D743B">
        <w:t xml:space="preserve"> as represented by placebo in the GO-AHEAD trial, plus background NSAIDs (</w:t>
      </w:r>
      <w:r w:rsidR="00B16CCD" w:rsidRPr="009D743B">
        <w:rPr>
          <w:rFonts w:cstheme="minorHAnsi"/>
        </w:rPr>
        <w:t>±</w:t>
      </w:r>
      <w:r w:rsidR="00B16CCD" w:rsidRPr="009D743B">
        <w:t xml:space="preserve"> NSAIDs) as the comparator. This was the same comparator as that nominated for the previous submission, which the PBAC considered appropriate. </w:t>
      </w:r>
    </w:p>
    <w:p w:rsidR="00C317F3" w:rsidRPr="009D743B" w:rsidRDefault="00C317F3" w:rsidP="002001C6">
      <w:pPr>
        <w:pStyle w:val="Heading1"/>
        <w:ind w:left="709" w:hanging="709"/>
      </w:pPr>
      <w:bookmarkStart w:id="15" w:name="_Toc413139276"/>
      <w:bookmarkStart w:id="16" w:name="_Toc514253028"/>
      <w:r w:rsidRPr="009D743B">
        <w:t>Consideration of the evidence</w:t>
      </w:r>
      <w:bookmarkEnd w:id="15"/>
      <w:bookmarkEnd w:id="16"/>
    </w:p>
    <w:p w:rsidR="00ED4FA5" w:rsidRPr="009D743B" w:rsidRDefault="00ED4FA5" w:rsidP="00ED4FA5">
      <w:pPr>
        <w:widowControl w:val="0"/>
        <w:spacing w:before="240" w:line="276" w:lineRule="auto"/>
        <w:jc w:val="both"/>
        <w:rPr>
          <w:rFonts w:cs="Arial"/>
          <w:b/>
          <w:bCs/>
          <w:i/>
          <w:snapToGrid w:val="0"/>
          <w:sz w:val="28"/>
          <w:szCs w:val="28"/>
        </w:rPr>
      </w:pPr>
      <w:bookmarkStart w:id="17" w:name="_Toc413139277"/>
      <w:bookmarkStart w:id="18" w:name="_Toc514253029"/>
      <w:r w:rsidRPr="009D743B">
        <w:rPr>
          <w:rFonts w:cs="Arial"/>
          <w:b/>
          <w:bCs/>
          <w:i/>
          <w:snapToGrid w:val="0"/>
          <w:sz w:val="28"/>
          <w:szCs w:val="28"/>
        </w:rPr>
        <w:t>Sponsor hearing</w:t>
      </w:r>
    </w:p>
    <w:p w:rsidR="00ED4FA5" w:rsidRPr="009D743B" w:rsidRDefault="000104F1" w:rsidP="00B876BB">
      <w:pPr>
        <w:pStyle w:val="ListParagraph"/>
        <w:numPr>
          <w:ilvl w:val="0"/>
          <w:numId w:val="11"/>
        </w:numPr>
        <w:spacing w:before="0" w:after="120"/>
        <w:ind w:left="567" w:hanging="567"/>
        <w:jc w:val="both"/>
        <w:rPr>
          <w:rFonts w:cs="Arial"/>
          <w:bCs/>
          <w:snapToGrid w:val="0"/>
        </w:rPr>
      </w:pPr>
      <w:r w:rsidRPr="009D743B">
        <w:rPr>
          <w:rFonts w:cs="Arial"/>
          <w:bCs/>
          <w:snapToGrid w:val="0"/>
        </w:rPr>
        <w:t>T</w:t>
      </w:r>
      <w:r w:rsidR="00ED4FA5" w:rsidRPr="009D743B">
        <w:rPr>
          <w:rFonts w:cs="Arial"/>
          <w:bCs/>
          <w:snapToGrid w:val="0"/>
        </w:rPr>
        <w:t xml:space="preserve">he sponsor requested a hearing for this item. The </w:t>
      </w:r>
      <w:r w:rsidRPr="009D743B">
        <w:rPr>
          <w:rFonts w:cs="Arial"/>
          <w:bCs/>
          <w:snapToGrid w:val="0"/>
        </w:rPr>
        <w:t xml:space="preserve">sponsor outlined the RSA proposed in the pre-PBAC response and the issues with limiting use to the population requested by PBAC via means of a restriction. </w:t>
      </w:r>
    </w:p>
    <w:p w:rsidR="00ED4FA5" w:rsidRPr="009D743B" w:rsidRDefault="00ED4FA5" w:rsidP="00ED4FA5">
      <w:pPr>
        <w:widowControl w:val="0"/>
        <w:spacing w:before="240" w:line="276" w:lineRule="auto"/>
        <w:jc w:val="both"/>
        <w:rPr>
          <w:rFonts w:cs="Arial"/>
          <w:b/>
          <w:bCs/>
          <w:i/>
          <w:snapToGrid w:val="0"/>
          <w:sz w:val="28"/>
          <w:szCs w:val="28"/>
        </w:rPr>
      </w:pPr>
      <w:r w:rsidRPr="009D743B">
        <w:rPr>
          <w:rFonts w:cs="Arial"/>
          <w:b/>
          <w:bCs/>
          <w:i/>
          <w:snapToGrid w:val="0"/>
          <w:sz w:val="28"/>
          <w:szCs w:val="28"/>
        </w:rPr>
        <w:lastRenderedPageBreak/>
        <w:t>Consumer comments</w:t>
      </w:r>
    </w:p>
    <w:p w:rsidR="00AC4B83" w:rsidRPr="009D743B" w:rsidRDefault="00ED4FA5" w:rsidP="00B876BB">
      <w:pPr>
        <w:pStyle w:val="ListParagraph"/>
        <w:numPr>
          <w:ilvl w:val="0"/>
          <w:numId w:val="11"/>
        </w:numPr>
        <w:spacing w:before="0" w:after="120"/>
        <w:ind w:left="567" w:hanging="567"/>
        <w:jc w:val="both"/>
        <w:rPr>
          <w:rFonts w:cs="Arial"/>
          <w:bCs/>
          <w:snapToGrid w:val="0"/>
        </w:rPr>
      </w:pPr>
      <w:r w:rsidRPr="009D743B">
        <w:rPr>
          <w:rFonts w:cs="Arial"/>
          <w:bCs/>
          <w:snapToGrid w:val="0"/>
        </w:rPr>
        <w:t>The PBAC noted and welcomed the input from individuals (4), hea</w:t>
      </w:r>
      <w:r w:rsidR="00D32AD3" w:rsidRPr="009D743B">
        <w:rPr>
          <w:rFonts w:cs="Arial"/>
          <w:bCs/>
          <w:snapToGrid w:val="0"/>
        </w:rPr>
        <w:t>lth care professionals (5</w:t>
      </w:r>
      <w:r w:rsidRPr="009D743B">
        <w:rPr>
          <w:rFonts w:cs="Arial"/>
          <w:bCs/>
          <w:snapToGrid w:val="0"/>
        </w:rPr>
        <w:t xml:space="preserve">) and organisations (1) via the Consumer Comments facility on the PBS website.  The comments </w:t>
      </w:r>
      <w:r w:rsidR="00AC4B83" w:rsidRPr="009D743B">
        <w:rPr>
          <w:rFonts w:cs="Arial"/>
          <w:bCs/>
          <w:snapToGrid w:val="0"/>
        </w:rPr>
        <w:t xml:space="preserve">outlined the impacts of nr-axSpA on </w:t>
      </w:r>
      <w:r w:rsidR="001E6DE6" w:rsidRPr="009D743B">
        <w:rPr>
          <w:rFonts w:cs="Arial"/>
          <w:bCs/>
          <w:snapToGrid w:val="0"/>
        </w:rPr>
        <w:t>patients’</w:t>
      </w:r>
      <w:r w:rsidR="00AC4B83" w:rsidRPr="009D743B">
        <w:rPr>
          <w:rFonts w:cs="Arial"/>
          <w:bCs/>
          <w:snapToGrid w:val="0"/>
        </w:rPr>
        <w:t xml:space="preserve"> ability to work, exercise, study, and maintain family life</w:t>
      </w:r>
      <w:r w:rsidR="00EA7170" w:rsidRPr="009D743B">
        <w:rPr>
          <w:rFonts w:cs="Arial"/>
          <w:bCs/>
          <w:snapToGrid w:val="0"/>
        </w:rPr>
        <w:t>. The comments</w:t>
      </w:r>
      <w:r w:rsidR="00AC4B83" w:rsidRPr="009D743B">
        <w:rPr>
          <w:rFonts w:cs="Arial"/>
          <w:b/>
          <w:bCs/>
          <w:snapToGrid w:val="0"/>
        </w:rPr>
        <w:t xml:space="preserve"> </w:t>
      </w:r>
      <w:r w:rsidRPr="009D743B">
        <w:rPr>
          <w:rFonts w:cs="Arial"/>
          <w:bCs/>
          <w:snapToGrid w:val="0"/>
        </w:rPr>
        <w:t xml:space="preserve">described a range of benefits of treatment with </w:t>
      </w:r>
      <w:r w:rsidR="00D32AD3" w:rsidRPr="009D743B">
        <w:rPr>
          <w:rFonts w:cs="Arial"/>
          <w:bCs/>
          <w:snapToGrid w:val="0"/>
        </w:rPr>
        <w:t>golimumab</w:t>
      </w:r>
      <w:r w:rsidRPr="009D743B">
        <w:rPr>
          <w:rFonts w:cs="Arial"/>
          <w:bCs/>
          <w:snapToGrid w:val="0"/>
        </w:rPr>
        <w:t xml:space="preserve"> including </w:t>
      </w:r>
      <w:r w:rsidR="00D32AD3" w:rsidRPr="009D743B">
        <w:rPr>
          <w:rFonts w:cs="Arial"/>
          <w:bCs/>
          <w:snapToGrid w:val="0"/>
        </w:rPr>
        <w:t>the early use of a biological disease-modifying anti-rheumatic drug (bDMARD) reducing symptoms and radiographic progress, giving these patients better long term outcomes.</w:t>
      </w:r>
      <w:r w:rsidR="00AC4B83" w:rsidRPr="009D743B">
        <w:rPr>
          <w:rFonts w:cs="Arial"/>
          <w:bCs/>
          <w:snapToGrid w:val="0"/>
        </w:rPr>
        <w:t xml:space="preserve"> Health professionals requested </w:t>
      </w:r>
      <w:r w:rsidR="00851AD4" w:rsidRPr="009D743B">
        <w:rPr>
          <w:rFonts w:cs="Arial"/>
          <w:bCs/>
          <w:snapToGrid w:val="0"/>
        </w:rPr>
        <w:t xml:space="preserve">that </w:t>
      </w:r>
      <w:r w:rsidR="00AC4B83" w:rsidRPr="009D743B">
        <w:rPr>
          <w:rFonts w:cs="Arial"/>
          <w:bCs/>
          <w:snapToGrid w:val="0"/>
        </w:rPr>
        <w:t>evidence of change be well described and exclude minor changes or the changes on MRI documented to occur in the normal population. The concern was without sufficient restriction there was potential for a very large market and exposure of patients to unnecessary risks</w:t>
      </w:r>
      <w:r w:rsidR="001E6DE6" w:rsidRPr="009D743B">
        <w:rPr>
          <w:rFonts w:cs="Arial"/>
          <w:bCs/>
          <w:snapToGrid w:val="0"/>
        </w:rPr>
        <w:t xml:space="preserve"> of treatment with a bDMARD</w:t>
      </w:r>
      <w:r w:rsidR="00AC4B83" w:rsidRPr="009D743B">
        <w:rPr>
          <w:rFonts w:cs="Arial"/>
          <w:bCs/>
          <w:snapToGrid w:val="0"/>
        </w:rPr>
        <w:t>.</w:t>
      </w:r>
      <w:r w:rsidR="00EA7170" w:rsidRPr="009D743B">
        <w:rPr>
          <w:rFonts w:cs="Arial"/>
          <w:bCs/>
          <w:snapToGrid w:val="0"/>
        </w:rPr>
        <w:t xml:space="preserve"> </w:t>
      </w:r>
    </w:p>
    <w:p w:rsidR="00ED4FA5" w:rsidRPr="00590838" w:rsidRDefault="00ED4FA5" w:rsidP="00B876BB">
      <w:pPr>
        <w:pStyle w:val="ListParagraph"/>
        <w:numPr>
          <w:ilvl w:val="0"/>
          <w:numId w:val="11"/>
        </w:numPr>
        <w:spacing w:before="0" w:after="120"/>
        <w:ind w:left="567" w:hanging="567"/>
        <w:jc w:val="both"/>
        <w:rPr>
          <w:rFonts w:cs="Arial"/>
          <w:bCs/>
          <w:snapToGrid w:val="0"/>
        </w:rPr>
      </w:pPr>
      <w:r w:rsidRPr="00590838">
        <w:rPr>
          <w:rFonts w:cs="Arial"/>
          <w:bCs/>
          <w:snapToGrid w:val="0"/>
        </w:rPr>
        <w:t xml:space="preserve">The PBAC noted the advice received from </w:t>
      </w:r>
      <w:r w:rsidR="00590838" w:rsidRPr="00590838">
        <w:rPr>
          <w:rFonts w:cs="Arial"/>
          <w:bCs/>
          <w:snapToGrid w:val="0"/>
        </w:rPr>
        <w:t>CreakyJoints Australia</w:t>
      </w:r>
      <w:r w:rsidRPr="00590838">
        <w:rPr>
          <w:rFonts w:cs="Arial"/>
          <w:bCs/>
          <w:snapToGrid w:val="0"/>
        </w:rPr>
        <w:t xml:space="preserve"> clarifying the likely use of </w:t>
      </w:r>
      <w:r w:rsidR="00590838" w:rsidRPr="00590838">
        <w:rPr>
          <w:rFonts w:cs="Arial"/>
          <w:bCs/>
          <w:snapToGrid w:val="0"/>
        </w:rPr>
        <w:t xml:space="preserve">golimumab </w:t>
      </w:r>
      <w:r w:rsidRPr="00590838">
        <w:rPr>
          <w:rFonts w:cs="Arial"/>
          <w:bCs/>
          <w:snapToGrid w:val="0"/>
        </w:rPr>
        <w:t xml:space="preserve">in clinical practice.  The PBAC specifically noted the advice that the </w:t>
      </w:r>
      <w:r w:rsidR="00590838" w:rsidRPr="00590838">
        <w:rPr>
          <w:rFonts w:cs="Arial"/>
          <w:bCs/>
          <w:snapToGrid w:val="0"/>
        </w:rPr>
        <w:t>current treatment options for patients are limited and often less effective</w:t>
      </w:r>
      <w:r w:rsidR="00590838">
        <w:rPr>
          <w:rFonts w:cs="Arial"/>
          <w:bCs/>
          <w:snapToGrid w:val="0"/>
        </w:rPr>
        <w:t xml:space="preserve"> than a bDMARD</w:t>
      </w:r>
      <w:r w:rsidR="00590838" w:rsidRPr="00590838">
        <w:rPr>
          <w:rFonts w:cs="Arial"/>
          <w:bCs/>
          <w:snapToGrid w:val="0"/>
        </w:rPr>
        <w:t xml:space="preserve">. </w:t>
      </w:r>
      <w:r w:rsidR="00590838">
        <w:rPr>
          <w:rFonts w:cs="Arial"/>
          <w:bCs/>
          <w:snapToGrid w:val="0"/>
        </w:rPr>
        <w:t>I</w:t>
      </w:r>
      <w:r w:rsidR="00590838" w:rsidRPr="00590838">
        <w:rPr>
          <w:rFonts w:cs="Arial"/>
          <w:bCs/>
          <w:snapToGrid w:val="0"/>
        </w:rPr>
        <w:t xml:space="preserve">t </w:t>
      </w:r>
      <w:r w:rsidR="00590838">
        <w:rPr>
          <w:rFonts w:cs="Arial"/>
          <w:bCs/>
          <w:snapToGrid w:val="0"/>
        </w:rPr>
        <w:t xml:space="preserve">was further stated that it </w:t>
      </w:r>
      <w:r w:rsidR="00590838" w:rsidRPr="00590838">
        <w:rPr>
          <w:rFonts w:cs="Arial"/>
          <w:bCs/>
          <w:snapToGrid w:val="0"/>
        </w:rPr>
        <w:t>is important for patients with nr</w:t>
      </w:r>
      <w:r w:rsidR="00590838">
        <w:rPr>
          <w:rFonts w:cs="Arial"/>
          <w:bCs/>
          <w:snapToGrid w:val="0"/>
        </w:rPr>
        <w:t>-a</w:t>
      </w:r>
      <w:r w:rsidR="00590838" w:rsidRPr="00590838">
        <w:rPr>
          <w:rFonts w:cs="Arial"/>
          <w:bCs/>
          <w:snapToGrid w:val="0"/>
        </w:rPr>
        <w:t>xSpA to have access to as many treatment options as possible, to reduce the</w:t>
      </w:r>
      <w:r w:rsidR="00590838">
        <w:rPr>
          <w:rFonts w:cs="Arial"/>
          <w:bCs/>
          <w:snapToGrid w:val="0"/>
        </w:rPr>
        <w:t xml:space="preserve"> </w:t>
      </w:r>
      <w:r w:rsidR="00590838" w:rsidRPr="00590838">
        <w:rPr>
          <w:rFonts w:cs="Arial"/>
          <w:bCs/>
          <w:snapToGrid w:val="0"/>
        </w:rPr>
        <w:t>chance of bone damage</w:t>
      </w:r>
      <w:r w:rsidR="00590838">
        <w:rPr>
          <w:rFonts w:cs="Arial"/>
          <w:bCs/>
          <w:snapToGrid w:val="0"/>
        </w:rPr>
        <w:t xml:space="preserve"> and progression of the disease</w:t>
      </w:r>
      <w:r w:rsidRPr="00590838">
        <w:rPr>
          <w:rFonts w:cs="Arial"/>
          <w:bCs/>
          <w:snapToGrid w:val="0"/>
        </w:rPr>
        <w:t xml:space="preserve">. The </w:t>
      </w:r>
      <w:r w:rsidR="00005314">
        <w:rPr>
          <w:rFonts w:cs="Arial"/>
          <w:bCs/>
          <w:snapToGrid w:val="0"/>
        </w:rPr>
        <w:t>PBAC noted that this advice was generally</w:t>
      </w:r>
      <w:r w:rsidRPr="00590838">
        <w:rPr>
          <w:rFonts w:cs="Arial"/>
          <w:bCs/>
          <w:snapToGrid w:val="0"/>
        </w:rPr>
        <w:t xml:space="preserve"> supportive of the evidence provided in the submission</w:t>
      </w:r>
      <w:r w:rsidR="00005314">
        <w:rPr>
          <w:rFonts w:cs="Arial"/>
          <w:bCs/>
          <w:snapToGrid w:val="0"/>
        </w:rPr>
        <w:t>, although no long term comparative data was available</w:t>
      </w:r>
      <w:r w:rsidRPr="00590838">
        <w:rPr>
          <w:rFonts w:cs="Arial"/>
          <w:bCs/>
          <w:snapToGrid w:val="0"/>
        </w:rPr>
        <w:t>.</w:t>
      </w:r>
    </w:p>
    <w:p w:rsidR="00C317F3" w:rsidRPr="00B876BB" w:rsidRDefault="00C317F3" w:rsidP="00772501">
      <w:pPr>
        <w:pStyle w:val="Heading2"/>
      </w:pPr>
      <w:r w:rsidRPr="00B876BB">
        <w:t>Clinical trials</w:t>
      </w:r>
      <w:bookmarkEnd w:id="17"/>
      <w:bookmarkEnd w:id="18"/>
    </w:p>
    <w:p w:rsidR="00A17C14" w:rsidRPr="009D743B" w:rsidRDefault="00904CAE" w:rsidP="00B876BB">
      <w:pPr>
        <w:pStyle w:val="ListParagraph"/>
        <w:numPr>
          <w:ilvl w:val="0"/>
          <w:numId w:val="11"/>
        </w:numPr>
        <w:spacing w:before="0" w:after="120"/>
        <w:ind w:left="567" w:hanging="567"/>
        <w:jc w:val="both"/>
      </w:pPr>
      <w:r w:rsidRPr="009D743B">
        <w:t xml:space="preserve">The resubmission was based on the same head-to-head randomised trial (GO-AHEAD) </w:t>
      </w:r>
      <w:r w:rsidR="005065CC" w:rsidRPr="009D743B">
        <w:t>that</w:t>
      </w:r>
      <w:r w:rsidRPr="009D743B">
        <w:t xml:space="preserve"> was presented in the previous submission. The trial compared golimumab 50 mg once every 4 weeks (n=9</w:t>
      </w:r>
      <w:r w:rsidR="00EE32E8" w:rsidRPr="009D743B">
        <w:t>8</w:t>
      </w:r>
      <w:r w:rsidRPr="009D743B">
        <w:t xml:space="preserve">) to placebo (n=100) with an assessment at 16 weeks (GO-AHEAD Part I), with </w:t>
      </w:r>
      <w:r w:rsidR="00BD3F31" w:rsidRPr="009D743B">
        <w:t xml:space="preserve">patients in </w:t>
      </w:r>
      <w:r w:rsidRPr="009D743B">
        <w:t xml:space="preserve">both treatment arms being able to receive background NSAID therapy. </w:t>
      </w:r>
      <w:r w:rsidR="00C317F3" w:rsidRPr="009D743B">
        <w:t xml:space="preserve"> </w:t>
      </w:r>
    </w:p>
    <w:p w:rsidR="00AA4C86" w:rsidRPr="009D743B" w:rsidRDefault="00AA4C86" w:rsidP="00B876BB">
      <w:pPr>
        <w:pStyle w:val="ListParagraph"/>
        <w:numPr>
          <w:ilvl w:val="0"/>
          <w:numId w:val="11"/>
        </w:numPr>
        <w:spacing w:before="0" w:after="120"/>
        <w:ind w:left="567" w:hanging="567"/>
        <w:jc w:val="both"/>
      </w:pPr>
      <w:r w:rsidRPr="009D743B">
        <w:t xml:space="preserve">The GO-AHEAD trial also included an open-label extension phase </w:t>
      </w:r>
      <w:r w:rsidR="004D2653" w:rsidRPr="009D743B">
        <w:t xml:space="preserve">in which </w:t>
      </w:r>
      <w:r w:rsidRPr="009D743B">
        <w:t xml:space="preserve">all patients received golimumab 50 mg from Week 16 up to the final assessment point at Week 52 (GO-AHEAD Part II). A safety assessment was available up to </w:t>
      </w:r>
      <w:r w:rsidR="00067338" w:rsidRPr="009D743B">
        <w:t>W</w:t>
      </w:r>
      <w:r w:rsidRPr="009D743B">
        <w:t>eek 60.</w:t>
      </w:r>
    </w:p>
    <w:p w:rsidR="00AA4C86" w:rsidRPr="009D743B" w:rsidRDefault="00AA4C86" w:rsidP="00B876BB">
      <w:pPr>
        <w:pStyle w:val="ListParagraph"/>
        <w:numPr>
          <w:ilvl w:val="0"/>
          <w:numId w:val="11"/>
        </w:numPr>
        <w:spacing w:before="0" w:after="120"/>
        <w:ind w:left="567" w:hanging="567"/>
        <w:jc w:val="both"/>
      </w:pPr>
      <w:r w:rsidRPr="009D743B">
        <w:t xml:space="preserve">Details of the trial </w:t>
      </w:r>
      <w:r w:rsidR="00993A60" w:rsidRPr="009D743B">
        <w:t xml:space="preserve">remain unchanged from the previous submission and </w:t>
      </w:r>
      <w:r w:rsidRPr="009D743B">
        <w:t xml:space="preserve">are provided in </w:t>
      </w:r>
      <w:r w:rsidR="00B40F42" w:rsidRPr="009D743B">
        <w:t xml:space="preserve">Table </w:t>
      </w:r>
      <w:r w:rsidR="00A72FBF" w:rsidRPr="009D743B">
        <w:t>5</w:t>
      </w:r>
      <w:r w:rsidRPr="009D743B">
        <w:t xml:space="preserve">.  </w:t>
      </w:r>
    </w:p>
    <w:p w:rsidR="00AA4C86" w:rsidRPr="009D743B" w:rsidRDefault="00AA4C86" w:rsidP="00AA4C86">
      <w:pPr>
        <w:pStyle w:val="Caption"/>
        <w:rPr>
          <w:rFonts w:ascii="Arial Narrow" w:hAnsi="Arial Narrow"/>
        </w:rPr>
      </w:pPr>
      <w:bookmarkStart w:id="19" w:name="_Ref510002206"/>
      <w:r w:rsidRPr="009D743B">
        <w:rPr>
          <w:rFonts w:ascii="Arial Narrow" w:hAnsi="Arial Narrow"/>
        </w:rPr>
        <w:lastRenderedPageBreak/>
        <w:t xml:space="preserve">Table </w:t>
      </w:r>
      <w:bookmarkEnd w:id="19"/>
      <w:r w:rsidR="00A72FBF" w:rsidRPr="009D743B">
        <w:rPr>
          <w:rFonts w:ascii="Arial Narrow" w:hAnsi="Arial Narrow"/>
        </w:rPr>
        <w:t>5</w:t>
      </w:r>
      <w:r w:rsidRPr="009D743B">
        <w:rPr>
          <w:rFonts w:ascii="Arial Narrow" w:hAnsi="Arial Narrow"/>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1"/>
        <w:gridCol w:w="5140"/>
        <w:gridCol w:w="2661"/>
      </w:tblGrid>
      <w:tr w:rsidR="00AA4C86" w:rsidRPr="009D743B" w:rsidTr="00CB79B9">
        <w:tc>
          <w:tcPr>
            <w:tcW w:w="705" w:type="pct"/>
          </w:tcPr>
          <w:p w:rsidR="00AA4C86" w:rsidRPr="009D743B" w:rsidRDefault="00AA4C86" w:rsidP="00AA4C86">
            <w:pPr>
              <w:keepNext/>
              <w:spacing w:before="40" w:after="40"/>
              <w:rPr>
                <w:rFonts w:ascii="Arial Narrow" w:hAnsi="Arial Narrow"/>
                <w:b/>
                <w:sz w:val="20"/>
              </w:rPr>
            </w:pPr>
            <w:r w:rsidRPr="009D743B">
              <w:rPr>
                <w:rFonts w:ascii="Arial Narrow" w:hAnsi="Arial Narrow"/>
                <w:b/>
                <w:sz w:val="20"/>
              </w:rPr>
              <w:t>Trial ID</w:t>
            </w:r>
          </w:p>
        </w:tc>
        <w:tc>
          <w:tcPr>
            <w:tcW w:w="2830" w:type="pct"/>
          </w:tcPr>
          <w:p w:rsidR="00AA4C86" w:rsidRPr="009D743B" w:rsidRDefault="00AA4C86" w:rsidP="00AA4C86">
            <w:pPr>
              <w:keepNext/>
              <w:spacing w:before="40" w:after="40"/>
              <w:jc w:val="center"/>
              <w:rPr>
                <w:rFonts w:ascii="Arial Narrow" w:hAnsi="Arial Narrow"/>
                <w:b/>
                <w:sz w:val="20"/>
              </w:rPr>
            </w:pPr>
            <w:r w:rsidRPr="009D743B">
              <w:rPr>
                <w:rFonts w:ascii="Arial Narrow" w:hAnsi="Arial Narrow"/>
                <w:b/>
                <w:sz w:val="20"/>
              </w:rPr>
              <w:t>Protocol title/ Publication title</w:t>
            </w:r>
          </w:p>
        </w:tc>
        <w:tc>
          <w:tcPr>
            <w:tcW w:w="1465" w:type="pct"/>
          </w:tcPr>
          <w:p w:rsidR="00AA4C86" w:rsidRPr="009D743B" w:rsidRDefault="00AA4C86" w:rsidP="00AA4C86">
            <w:pPr>
              <w:keepNext/>
              <w:spacing w:before="40" w:after="40"/>
              <w:jc w:val="center"/>
              <w:rPr>
                <w:rFonts w:ascii="Arial Narrow" w:hAnsi="Arial Narrow"/>
                <w:b/>
                <w:sz w:val="20"/>
              </w:rPr>
            </w:pPr>
            <w:r w:rsidRPr="009D743B">
              <w:rPr>
                <w:rFonts w:ascii="Arial Narrow" w:hAnsi="Arial Narrow"/>
                <w:b/>
                <w:sz w:val="20"/>
              </w:rPr>
              <w:t>Publication citation</w:t>
            </w:r>
          </w:p>
        </w:tc>
      </w:tr>
      <w:tr w:rsidR="00AA4C86" w:rsidRPr="009D743B" w:rsidTr="00CB79B9">
        <w:tc>
          <w:tcPr>
            <w:tcW w:w="5000" w:type="pct"/>
            <w:gridSpan w:val="3"/>
          </w:tcPr>
          <w:p w:rsidR="00AA4C86" w:rsidRPr="009D743B" w:rsidRDefault="00AA4C86" w:rsidP="00AA4C86">
            <w:pPr>
              <w:keepNext/>
              <w:spacing w:before="40" w:after="40"/>
              <w:rPr>
                <w:rFonts w:ascii="Arial Narrow" w:hAnsi="Arial Narrow"/>
                <w:b/>
                <w:sz w:val="20"/>
              </w:rPr>
            </w:pPr>
            <w:r w:rsidRPr="009D743B">
              <w:rPr>
                <w:rFonts w:ascii="Arial Narrow" w:hAnsi="Arial Narrow"/>
                <w:b/>
                <w:sz w:val="20"/>
              </w:rPr>
              <w:t>Direct randomised trial</w:t>
            </w:r>
          </w:p>
        </w:tc>
      </w:tr>
      <w:tr w:rsidR="00AA4C86" w:rsidRPr="009D743B" w:rsidTr="00CB79B9">
        <w:tc>
          <w:tcPr>
            <w:tcW w:w="705" w:type="pct"/>
            <w:vMerge w:val="restart"/>
          </w:tcPr>
          <w:p w:rsidR="00AA4C86" w:rsidRPr="009D743B" w:rsidRDefault="00AA4C86" w:rsidP="00AA4C86">
            <w:pPr>
              <w:keepNext/>
              <w:spacing w:before="40" w:after="40"/>
              <w:rPr>
                <w:rFonts w:ascii="Arial Narrow" w:hAnsi="Arial Narrow"/>
                <w:sz w:val="20"/>
              </w:rPr>
            </w:pPr>
            <w:r w:rsidRPr="009D743B">
              <w:rPr>
                <w:rFonts w:ascii="Arial Narrow" w:hAnsi="Arial Narrow"/>
                <w:sz w:val="20"/>
              </w:rPr>
              <w:t>GO-AHEAD (CSR P006)</w:t>
            </w:r>
          </w:p>
        </w:tc>
        <w:tc>
          <w:tcPr>
            <w:tcW w:w="2830" w:type="pct"/>
          </w:tcPr>
          <w:p w:rsidR="00AA4C86" w:rsidRPr="009D743B" w:rsidRDefault="00AA4C86" w:rsidP="00AA4C86">
            <w:pPr>
              <w:keepNext/>
              <w:spacing w:before="40" w:after="40"/>
              <w:rPr>
                <w:rFonts w:ascii="Arial Narrow" w:hAnsi="Arial Narrow"/>
                <w:sz w:val="20"/>
              </w:rPr>
            </w:pPr>
            <w:r w:rsidRPr="009D743B">
              <w:rPr>
                <w:rFonts w:ascii="Arial Narrow" w:hAnsi="Arial Narrow"/>
                <w:sz w:val="20"/>
              </w:rPr>
              <w:t>A Multicenter, Randomized, Double-blind, Placebo-controlled Study of the Effect of Golimumab (GLM) Administered Subcutaneously (SC) in Subjects with Active Axial Spondyloarthritis (SpA)</w:t>
            </w:r>
          </w:p>
        </w:tc>
        <w:tc>
          <w:tcPr>
            <w:tcW w:w="1465" w:type="pct"/>
          </w:tcPr>
          <w:p w:rsidR="00AA4C86" w:rsidRPr="009D743B" w:rsidRDefault="00AA4C86" w:rsidP="00AA4C86">
            <w:pPr>
              <w:keepNext/>
              <w:spacing w:before="40" w:after="40"/>
              <w:rPr>
                <w:rFonts w:ascii="Arial Narrow" w:hAnsi="Arial Narrow"/>
                <w:sz w:val="20"/>
              </w:rPr>
            </w:pPr>
            <w:r w:rsidRPr="009D743B">
              <w:rPr>
                <w:rFonts w:ascii="Arial Narrow" w:hAnsi="Arial Narrow"/>
                <w:sz w:val="20"/>
              </w:rPr>
              <w:t>02 October 2014 (24-week CSR)</w:t>
            </w:r>
          </w:p>
          <w:p w:rsidR="00AA4C86" w:rsidRPr="009D743B" w:rsidRDefault="00AA4C86" w:rsidP="00AA4C86">
            <w:pPr>
              <w:keepNext/>
              <w:spacing w:before="40" w:after="40"/>
              <w:rPr>
                <w:rFonts w:ascii="Arial Narrow" w:hAnsi="Arial Narrow"/>
                <w:sz w:val="20"/>
              </w:rPr>
            </w:pPr>
            <w:r w:rsidRPr="009D743B">
              <w:rPr>
                <w:rFonts w:ascii="Arial Narrow" w:hAnsi="Arial Narrow"/>
                <w:sz w:val="20"/>
              </w:rPr>
              <w:t>12 November 2015 (60-week CSR)</w:t>
            </w:r>
          </w:p>
        </w:tc>
      </w:tr>
      <w:tr w:rsidR="00AA4C86" w:rsidRPr="009D743B" w:rsidTr="00CB79B9">
        <w:tc>
          <w:tcPr>
            <w:tcW w:w="705" w:type="pct"/>
            <w:vMerge/>
          </w:tcPr>
          <w:p w:rsidR="00AA4C86" w:rsidRPr="009D743B" w:rsidRDefault="00AA4C86" w:rsidP="00AA4C86">
            <w:pPr>
              <w:keepNext/>
              <w:spacing w:before="40" w:after="40"/>
              <w:rPr>
                <w:rFonts w:ascii="Arial Narrow" w:hAnsi="Arial Narrow"/>
                <w:sz w:val="20"/>
              </w:rPr>
            </w:pPr>
          </w:p>
        </w:tc>
        <w:tc>
          <w:tcPr>
            <w:tcW w:w="2830" w:type="pct"/>
          </w:tcPr>
          <w:p w:rsidR="00AA4C86" w:rsidRPr="009D743B" w:rsidRDefault="00AA4C86" w:rsidP="00AA4C86">
            <w:pPr>
              <w:keepNext/>
              <w:spacing w:before="40" w:after="40"/>
              <w:rPr>
                <w:rFonts w:ascii="Arial Narrow" w:hAnsi="Arial Narrow"/>
                <w:sz w:val="20"/>
              </w:rPr>
            </w:pPr>
            <w:r w:rsidRPr="009D743B">
              <w:rPr>
                <w:rFonts w:ascii="Arial Narrow" w:hAnsi="Arial Narrow"/>
                <w:sz w:val="20"/>
              </w:rPr>
              <w:t>Sieper et al. A randomized, double-blind, placebo-controlled, 16-week study of subcutaneous golimumab in patients with active nonradiographic axial spondyloarthritis</w:t>
            </w:r>
          </w:p>
        </w:tc>
        <w:tc>
          <w:tcPr>
            <w:tcW w:w="1465" w:type="pct"/>
          </w:tcPr>
          <w:p w:rsidR="00AA4C86" w:rsidRPr="009D743B" w:rsidRDefault="00AA4C86" w:rsidP="00AA4C86">
            <w:pPr>
              <w:keepNext/>
              <w:spacing w:before="40" w:after="40"/>
              <w:rPr>
                <w:rFonts w:ascii="Arial Narrow" w:hAnsi="Arial Narrow"/>
                <w:sz w:val="20"/>
              </w:rPr>
            </w:pPr>
            <w:r w:rsidRPr="009D743B">
              <w:rPr>
                <w:rFonts w:ascii="Arial Narrow" w:hAnsi="Arial Narrow"/>
                <w:sz w:val="20"/>
              </w:rPr>
              <w:t>Arthritis and Rheumatology 2014; 66:S1283-S1284</w:t>
            </w:r>
          </w:p>
        </w:tc>
      </w:tr>
      <w:tr w:rsidR="00AA4C86" w:rsidRPr="009D743B" w:rsidTr="00CB79B9">
        <w:tc>
          <w:tcPr>
            <w:tcW w:w="705" w:type="pct"/>
            <w:vMerge/>
          </w:tcPr>
          <w:p w:rsidR="00AA4C86" w:rsidRPr="009D743B" w:rsidRDefault="00AA4C86" w:rsidP="00AA4C86">
            <w:pPr>
              <w:keepNext/>
              <w:spacing w:before="40" w:after="40"/>
              <w:rPr>
                <w:rFonts w:ascii="Arial Narrow" w:hAnsi="Arial Narrow"/>
                <w:sz w:val="20"/>
              </w:rPr>
            </w:pPr>
          </w:p>
        </w:tc>
        <w:tc>
          <w:tcPr>
            <w:tcW w:w="2830" w:type="pct"/>
          </w:tcPr>
          <w:p w:rsidR="00AA4C86" w:rsidRPr="009D743B" w:rsidRDefault="00AA4C86" w:rsidP="00AA4C86">
            <w:pPr>
              <w:keepNext/>
              <w:spacing w:before="40" w:after="40"/>
              <w:rPr>
                <w:rFonts w:ascii="Arial Narrow" w:hAnsi="Arial Narrow"/>
                <w:sz w:val="20"/>
              </w:rPr>
            </w:pPr>
            <w:r w:rsidRPr="009D743B">
              <w:rPr>
                <w:rFonts w:ascii="Arial Narrow" w:hAnsi="Arial Narrow"/>
                <w:sz w:val="20"/>
              </w:rPr>
              <w:t>Sieper et al. A randomized, double-blind, placebo-controlled, sixteen-week study of subcutaneous golimumab in patients with active nonradiographic axial spondyloarthritis</w:t>
            </w:r>
          </w:p>
        </w:tc>
        <w:tc>
          <w:tcPr>
            <w:tcW w:w="1465" w:type="pct"/>
          </w:tcPr>
          <w:p w:rsidR="00AA4C86" w:rsidRPr="009D743B" w:rsidRDefault="00AA4C86" w:rsidP="00AA4C86">
            <w:pPr>
              <w:keepNext/>
              <w:spacing w:before="40" w:after="40"/>
              <w:rPr>
                <w:rFonts w:ascii="Arial Narrow" w:hAnsi="Arial Narrow"/>
                <w:sz w:val="20"/>
              </w:rPr>
            </w:pPr>
            <w:r w:rsidRPr="009D743B">
              <w:rPr>
                <w:rFonts w:ascii="Arial Narrow" w:hAnsi="Arial Narrow"/>
                <w:sz w:val="20"/>
              </w:rPr>
              <w:t>Arthritis &amp; rheumatology 2015; 67: (10):2702-2712.</w:t>
            </w:r>
          </w:p>
        </w:tc>
      </w:tr>
      <w:tr w:rsidR="00AA4C86" w:rsidRPr="009D743B" w:rsidTr="00CB79B9">
        <w:tc>
          <w:tcPr>
            <w:tcW w:w="705" w:type="pct"/>
            <w:vMerge/>
          </w:tcPr>
          <w:p w:rsidR="00AA4C86" w:rsidRPr="009D743B" w:rsidRDefault="00AA4C86" w:rsidP="00AA4C86">
            <w:pPr>
              <w:keepNext/>
              <w:spacing w:before="40" w:after="40"/>
              <w:rPr>
                <w:rFonts w:ascii="Arial Narrow" w:hAnsi="Arial Narrow"/>
                <w:sz w:val="20"/>
              </w:rPr>
            </w:pPr>
          </w:p>
        </w:tc>
        <w:tc>
          <w:tcPr>
            <w:tcW w:w="2830" w:type="pct"/>
          </w:tcPr>
          <w:p w:rsidR="00AA4C86" w:rsidRPr="009D743B" w:rsidRDefault="00AA4C86" w:rsidP="00AA4C86">
            <w:pPr>
              <w:keepNext/>
              <w:spacing w:before="40" w:after="40"/>
              <w:rPr>
                <w:rFonts w:ascii="Arial Narrow" w:hAnsi="Arial Narrow"/>
                <w:sz w:val="20"/>
              </w:rPr>
            </w:pPr>
            <w:r w:rsidRPr="009D743B">
              <w:rPr>
                <w:rFonts w:ascii="Arial Narrow" w:hAnsi="Arial Narrow"/>
                <w:sz w:val="20"/>
              </w:rPr>
              <w:t>Sieper et al. Efficacy of golimumab for nonradiographic axial spondyloarthritis (nr-axSpA): Subgroup analysis by baseline MRI and C-reactive protein status</w:t>
            </w:r>
          </w:p>
        </w:tc>
        <w:tc>
          <w:tcPr>
            <w:tcW w:w="1465" w:type="pct"/>
          </w:tcPr>
          <w:p w:rsidR="00AA4C86" w:rsidRPr="009D743B" w:rsidRDefault="00AA4C86" w:rsidP="00AA4C86">
            <w:pPr>
              <w:keepNext/>
              <w:spacing w:before="40" w:after="40"/>
              <w:rPr>
                <w:rFonts w:ascii="Arial Narrow" w:hAnsi="Arial Narrow"/>
                <w:sz w:val="20"/>
              </w:rPr>
            </w:pPr>
            <w:r w:rsidRPr="009D743B">
              <w:rPr>
                <w:rFonts w:ascii="Arial Narrow" w:hAnsi="Arial Narrow"/>
                <w:sz w:val="20"/>
              </w:rPr>
              <w:t>Arthritis and Rheumatology 2016; 68:943-945</w:t>
            </w:r>
          </w:p>
        </w:tc>
      </w:tr>
    </w:tbl>
    <w:p w:rsidR="00AA4C86" w:rsidRPr="009D743B" w:rsidRDefault="00AA4C86" w:rsidP="00A17C14">
      <w:pPr>
        <w:widowControl w:val="0"/>
        <w:spacing w:before="0" w:after="240"/>
        <w:ind w:left="567" w:hanging="567"/>
        <w:jc w:val="both"/>
        <w:rPr>
          <w:rFonts w:ascii="Arial Narrow" w:eastAsia="Times New Roman" w:hAnsi="Arial Narrow" w:cs="Arial"/>
          <w:snapToGrid w:val="0"/>
          <w:sz w:val="18"/>
          <w:szCs w:val="20"/>
        </w:rPr>
      </w:pPr>
      <w:r w:rsidRPr="009D743B">
        <w:rPr>
          <w:rFonts w:ascii="Arial Narrow" w:eastAsia="Times New Roman" w:hAnsi="Arial Narrow" w:cs="Arial"/>
          <w:snapToGrid w:val="0"/>
          <w:sz w:val="18"/>
          <w:szCs w:val="20"/>
        </w:rPr>
        <w:t>Source: Table 2.2.1, p55 of the resubmission</w:t>
      </w:r>
    </w:p>
    <w:p w:rsidR="00C317F3" w:rsidRPr="009D743B" w:rsidRDefault="00C317F3" w:rsidP="00B876BB">
      <w:pPr>
        <w:pStyle w:val="ListParagraph"/>
        <w:numPr>
          <w:ilvl w:val="0"/>
          <w:numId w:val="11"/>
        </w:numPr>
        <w:spacing w:before="0" w:after="120"/>
        <w:ind w:left="567" w:hanging="567"/>
        <w:jc w:val="both"/>
      </w:pPr>
      <w:r w:rsidRPr="009D743B">
        <w:t>The key features of the direct randomised trial</w:t>
      </w:r>
      <w:r w:rsidR="000666C7" w:rsidRPr="009D743B">
        <w:t xml:space="preserve"> were identical to those previously presented</w:t>
      </w:r>
      <w:r w:rsidR="004D2653" w:rsidRPr="009D743B">
        <w:t xml:space="preserve"> and are </w:t>
      </w:r>
      <w:r w:rsidR="005065CC" w:rsidRPr="009D743B">
        <w:t xml:space="preserve">shown </w:t>
      </w:r>
      <w:r w:rsidR="005065CC" w:rsidRPr="009D743B">
        <w:rPr>
          <w:rFonts w:ascii="Calibri" w:hAnsi="Calibri"/>
          <w:szCs w:val="24"/>
        </w:rPr>
        <w:t xml:space="preserve">in </w:t>
      </w:r>
      <w:r w:rsidR="00B40F42" w:rsidRPr="009D743B">
        <w:rPr>
          <w:rFonts w:ascii="Calibri" w:hAnsi="Calibri"/>
          <w:szCs w:val="24"/>
        </w:rPr>
        <w:t xml:space="preserve">Table </w:t>
      </w:r>
      <w:r w:rsidR="00A72FBF" w:rsidRPr="009D743B">
        <w:rPr>
          <w:rFonts w:ascii="Calibri" w:hAnsi="Calibri"/>
          <w:szCs w:val="24"/>
        </w:rPr>
        <w:t>6</w:t>
      </w:r>
      <w:r w:rsidR="000666C7" w:rsidRPr="009D743B">
        <w:t xml:space="preserve">. </w:t>
      </w:r>
    </w:p>
    <w:p w:rsidR="005065CC" w:rsidRPr="009D743B" w:rsidRDefault="005065CC" w:rsidP="005065CC">
      <w:pPr>
        <w:keepNext/>
        <w:spacing w:before="0" w:after="60"/>
        <w:rPr>
          <w:rFonts w:ascii="Arial Narrow" w:hAnsi="Arial Narrow"/>
          <w:b/>
          <w:sz w:val="20"/>
        </w:rPr>
      </w:pPr>
      <w:bookmarkStart w:id="20" w:name="_Ref511821730"/>
      <w:r w:rsidRPr="009D743B">
        <w:rPr>
          <w:rFonts w:ascii="Arial Narrow" w:hAnsi="Arial Narrow"/>
          <w:b/>
          <w:sz w:val="20"/>
          <w:szCs w:val="20"/>
        </w:rPr>
        <w:t xml:space="preserve">Table </w:t>
      </w:r>
      <w:bookmarkEnd w:id="20"/>
      <w:r w:rsidR="00A72FBF" w:rsidRPr="009D743B">
        <w:rPr>
          <w:rFonts w:ascii="Arial Narrow" w:hAnsi="Arial Narrow"/>
          <w:b/>
          <w:sz w:val="20"/>
          <w:szCs w:val="20"/>
        </w:rPr>
        <w:t>6</w:t>
      </w:r>
      <w:r w:rsidRPr="009D743B">
        <w:rPr>
          <w:rFonts w:ascii="Arial Narrow" w:hAnsi="Arial Narrow"/>
          <w:b/>
          <w:sz w:val="20"/>
          <w:szCs w:val="20"/>
        </w:rPr>
        <w:t>: Key</w:t>
      </w:r>
      <w:r w:rsidRPr="009D743B">
        <w:rPr>
          <w:rFonts w:ascii="Arial Narrow" w:hAnsi="Arial Narrow"/>
          <w:b/>
          <w:sz w:val="20"/>
        </w:rPr>
        <w:t xml:space="preserve"> features of the GO-AHEAD trial </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1852"/>
        <w:gridCol w:w="1416"/>
        <w:gridCol w:w="1280"/>
        <w:gridCol w:w="1137"/>
        <w:gridCol w:w="1950"/>
      </w:tblGrid>
      <w:tr w:rsidR="005065CC" w:rsidRPr="009D743B" w:rsidTr="004D2653">
        <w:tc>
          <w:tcPr>
            <w:tcW w:w="783" w:type="pct"/>
            <w:tcBorders>
              <w:top w:val="single" w:sz="4" w:space="0" w:color="auto"/>
              <w:left w:val="single" w:sz="4" w:space="0" w:color="auto"/>
              <w:bottom w:val="single" w:sz="4" w:space="0" w:color="auto"/>
              <w:right w:val="single" w:sz="4" w:space="0" w:color="auto"/>
            </w:tcBorders>
            <w:vAlign w:val="center"/>
          </w:tcPr>
          <w:p w:rsidR="005065CC" w:rsidRPr="009D743B" w:rsidRDefault="005065CC" w:rsidP="00AD67F3">
            <w:pPr>
              <w:keepNext/>
              <w:spacing w:before="40" w:after="40"/>
              <w:jc w:val="center"/>
              <w:rPr>
                <w:rFonts w:ascii="Arial Narrow" w:hAnsi="Arial Narrow"/>
                <w:b/>
                <w:sz w:val="20"/>
              </w:rPr>
            </w:pPr>
            <w:r w:rsidRPr="009D743B">
              <w:rPr>
                <w:rFonts w:ascii="Arial Narrow" w:hAnsi="Arial Narrow"/>
                <w:b/>
                <w:sz w:val="20"/>
              </w:rPr>
              <w:t xml:space="preserve">Therapy </w:t>
            </w:r>
          </w:p>
          <w:p w:rsidR="005065CC" w:rsidRPr="009D743B" w:rsidRDefault="005065CC" w:rsidP="00AD67F3">
            <w:pPr>
              <w:keepNext/>
              <w:spacing w:before="40" w:after="40"/>
              <w:jc w:val="center"/>
              <w:rPr>
                <w:rFonts w:ascii="Arial Narrow" w:hAnsi="Arial Narrow"/>
                <w:b/>
                <w:sz w:val="20"/>
              </w:rPr>
            </w:pPr>
            <w:r w:rsidRPr="009D743B">
              <w:rPr>
                <w:rFonts w:ascii="Arial Narrow" w:hAnsi="Arial Narrow"/>
                <w:b/>
                <w:sz w:val="20"/>
              </w:rPr>
              <w:t>(N randomised)</w:t>
            </w:r>
          </w:p>
        </w:tc>
        <w:tc>
          <w:tcPr>
            <w:tcW w:w="1023" w:type="pct"/>
            <w:tcBorders>
              <w:top w:val="single" w:sz="4" w:space="0" w:color="auto"/>
              <w:left w:val="single" w:sz="4" w:space="0" w:color="auto"/>
              <w:bottom w:val="single" w:sz="4" w:space="0" w:color="auto"/>
              <w:right w:val="single" w:sz="4" w:space="0" w:color="auto"/>
            </w:tcBorders>
            <w:vAlign w:val="center"/>
          </w:tcPr>
          <w:p w:rsidR="005065CC" w:rsidRPr="009D743B" w:rsidRDefault="005065CC" w:rsidP="00AD67F3">
            <w:pPr>
              <w:keepNext/>
              <w:spacing w:before="40" w:after="40"/>
              <w:jc w:val="center"/>
              <w:rPr>
                <w:rFonts w:ascii="Arial Narrow" w:hAnsi="Arial Narrow"/>
                <w:b/>
                <w:sz w:val="20"/>
              </w:rPr>
            </w:pPr>
            <w:r w:rsidRPr="009D743B">
              <w:rPr>
                <w:rFonts w:ascii="Arial Narrow" w:hAnsi="Arial Narrow"/>
                <w:b/>
                <w:sz w:val="20"/>
              </w:rPr>
              <w:t>Design/duration</w:t>
            </w:r>
          </w:p>
        </w:tc>
        <w:tc>
          <w:tcPr>
            <w:tcW w:w="782" w:type="pct"/>
            <w:tcBorders>
              <w:top w:val="single" w:sz="4" w:space="0" w:color="auto"/>
              <w:left w:val="single" w:sz="4" w:space="0" w:color="auto"/>
              <w:bottom w:val="single" w:sz="4" w:space="0" w:color="auto"/>
              <w:right w:val="single" w:sz="4" w:space="0" w:color="auto"/>
            </w:tcBorders>
            <w:vAlign w:val="center"/>
          </w:tcPr>
          <w:p w:rsidR="005065CC" w:rsidRPr="009D743B" w:rsidRDefault="005065CC" w:rsidP="00AD67F3">
            <w:pPr>
              <w:keepNext/>
              <w:spacing w:before="40" w:after="40"/>
              <w:jc w:val="center"/>
              <w:rPr>
                <w:rFonts w:ascii="Arial Narrow" w:hAnsi="Arial Narrow"/>
                <w:b/>
                <w:sz w:val="20"/>
              </w:rPr>
            </w:pPr>
            <w:r w:rsidRPr="009D743B">
              <w:rPr>
                <w:rFonts w:ascii="Arial Narrow" w:hAnsi="Arial Narrow"/>
                <w:b/>
                <w:sz w:val="20"/>
              </w:rPr>
              <w:t>Risk of bias</w:t>
            </w:r>
          </w:p>
        </w:tc>
        <w:tc>
          <w:tcPr>
            <w:tcW w:w="707" w:type="pct"/>
            <w:tcBorders>
              <w:top w:val="single" w:sz="4" w:space="0" w:color="auto"/>
              <w:left w:val="single" w:sz="4" w:space="0" w:color="auto"/>
              <w:bottom w:val="single" w:sz="4" w:space="0" w:color="auto"/>
              <w:right w:val="single" w:sz="4" w:space="0" w:color="auto"/>
            </w:tcBorders>
            <w:vAlign w:val="center"/>
          </w:tcPr>
          <w:p w:rsidR="005065CC" w:rsidRPr="009D743B" w:rsidRDefault="005065CC" w:rsidP="00AD67F3">
            <w:pPr>
              <w:keepNext/>
              <w:spacing w:before="40" w:after="40"/>
              <w:jc w:val="center"/>
              <w:rPr>
                <w:rFonts w:ascii="Arial Narrow" w:hAnsi="Arial Narrow"/>
                <w:b/>
                <w:sz w:val="20"/>
              </w:rPr>
            </w:pPr>
            <w:r w:rsidRPr="009D743B">
              <w:rPr>
                <w:rFonts w:ascii="Arial Narrow" w:hAnsi="Arial Narrow"/>
                <w:b/>
                <w:sz w:val="20"/>
              </w:rPr>
              <w:t>Patient population</w:t>
            </w:r>
          </w:p>
        </w:tc>
        <w:tc>
          <w:tcPr>
            <w:tcW w:w="628" w:type="pct"/>
            <w:tcBorders>
              <w:top w:val="single" w:sz="4" w:space="0" w:color="auto"/>
              <w:left w:val="single" w:sz="4" w:space="0" w:color="auto"/>
              <w:bottom w:val="single" w:sz="4" w:space="0" w:color="auto"/>
              <w:right w:val="single" w:sz="4" w:space="0" w:color="auto"/>
            </w:tcBorders>
            <w:vAlign w:val="center"/>
          </w:tcPr>
          <w:p w:rsidR="005065CC" w:rsidRPr="009D743B" w:rsidRDefault="005065CC" w:rsidP="00AD67F3">
            <w:pPr>
              <w:keepNext/>
              <w:spacing w:before="40" w:after="40"/>
              <w:jc w:val="center"/>
              <w:rPr>
                <w:rFonts w:ascii="Arial Narrow" w:hAnsi="Arial Narrow"/>
                <w:b/>
                <w:sz w:val="20"/>
              </w:rPr>
            </w:pPr>
            <w:r w:rsidRPr="009D743B">
              <w:rPr>
                <w:rFonts w:ascii="Arial Narrow" w:hAnsi="Arial Narrow"/>
                <w:b/>
                <w:sz w:val="20"/>
              </w:rPr>
              <w:t>Key outcomes</w:t>
            </w:r>
          </w:p>
        </w:tc>
        <w:tc>
          <w:tcPr>
            <w:tcW w:w="1077" w:type="pct"/>
            <w:shd w:val="clear" w:color="auto" w:fill="auto"/>
            <w:vAlign w:val="center"/>
          </w:tcPr>
          <w:p w:rsidR="005065CC" w:rsidRPr="009D743B" w:rsidRDefault="005065CC" w:rsidP="00AD67F3">
            <w:pPr>
              <w:keepNext/>
              <w:spacing w:before="40" w:after="40"/>
              <w:jc w:val="center"/>
              <w:rPr>
                <w:rFonts w:ascii="Arial Narrow" w:hAnsi="Arial Narrow"/>
                <w:b/>
                <w:sz w:val="20"/>
              </w:rPr>
            </w:pPr>
            <w:r w:rsidRPr="009D743B">
              <w:rPr>
                <w:rFonts w:ascii="Arial Narrow" w:hAnsi="Arial Narrow"/>
                <w:b/>
                <w:sz w:val="20"/>
              </w:rPr>
              <w:t>Use in modelled evaluation</w:t>
            </w:r>
          </w:p>
        </w:tc>
      </w:tr>
      <w:tr w:rsidR="005065CC" w:rsidRPr="009D743B" w:rsidTr="004D2653">
        <w:tc>
          <w:tcPr>
            <w:tcW w:w="783" w:type="pct"/>
            <w:tcBorders>
              <w:top w:val="single" w:sz="4" w:space="0" w:color="auto"/>
              <w:left w:val="single" w:sz="4" w:space="0" w:color="auto"/>
              <w:bottom w:val="single" w:sz="4" w:space="0" w:color="auto"/>
              <w:right w:val="single" w:sz="4" w:space="0" w:color="auto"/>
            </w:tcBorders>
          </w:tcPr>
          <w:p w:rsidR="005065CC" w:rsidRPr="009D743B" w:rsidRDefault="005065CC" w:rsidP="00AD67F3">
            <w:pPr>
              <w:keepNext/>
              <w:spacing w:before="40" w:after="40"/>
              <w:jc w:val="center"/>
              <w:rPr>
                <w:rFonts w:ascii="Times" w:eastAsia="Times New Roman" w:hAnsi="Times" w:cs="Times New Roman"/>
                <w:sz w:val="20"/>
              </w:rPr>
            </w:pPr>
            <w:r w:rsidRPr="009D743B">
              <w:rPr>
                <w:rFonts w:ascii="Arial Narrow" w:hAnsi="Arial Narrow"/>
                <w:sz w:val="20"/>
              </w:rPr>
              <w:t>Golimumab 50mg  (98)</w:t>
            </w:r>
          </w:p>
          <w:p w:rsidR="005065CC" w:rsidRPr="009D743B" w:rsidRDefault="005065CC" w:rsidP="00AD67F3">
            <w:pPr>
              <w:keepNext/>
              <w:spacing w:before="40" w:after="40"/>
              <w:jc w:val="center"/>
              <w:rPr>
                <w:rFonts w:ascii="Arial Narrow" w:hAnsi="Arial Narrow"/>
                <w:sz w:val="20"/>
              </w:rPr>
            </w:pPr>
            <w:r w:rsidRPr="009D743B">
              <w:rPr>
                <w:rFonts w:ascii="Arial Narrow" w:hAnsi="Arial Narrow"/>
                <w:sz w:val="20"/>
              </w:rPr>
              <w:t>Placebo  (100)</w:t>
            </w:r>
          </w:p>
        </w:tc>
        <w:tc>
          <w:tcPr>
            <w:tcW w:w="1023" w:type="pct"/>
            <w:tcBorders>
              <w:top w:val="single" w:sz="4" w:space="0" w:color="auto"/>
              <w:left w:val="single" w:sz="4" w:space="0" w:color="auto"/>
              <w:bottom w:val="single" w:sz="4" w:space="0" w:color="auto"/>
              <w:right w:val="single" w:sz="4" w:space="0" w:color="auto"/>
            </w:tcBorders>
          </w:tcPr>
          <w:p w:rsidR="005065CC" w:rsidRPr="009D743B" w:rsidRDefault="005065CC" w:rsidP="00AD67F3">
            <w:pPr>
              <w:keepNext/>
              <w:spacing w:before="40" w:after="40"/>
              <w:jc w:val="center"/>
              <w:rPr>
                <w:rFonts w:ascii="Arial Narrow" w:hAnsi="Arial Narrow"/>
                <w:sz w:val="20"/>
              </w:rPr>
            </w:pPr>
            <w:r w:rsidRPr="009D743B">
              <w:rPr>
                <w:rFonts w:ascii="Arial Narrow" w:hAnsi="Arial Narrow"/>
                <w:sz w:val="20"/>
              </w:rPr>
              <w:t>Part I: R, MC, DB, 16 weeks</w:t>
            </w:r>
          </w:p>
          <w:p w:rsidR="005065CC" w:rsidRPr="009D743B" w:rsidRDefault="005065CC" w:rsidP="00AD67F3">
            <w:pPr>
              <w:keepNext/>
              <w:spacing w:before="40" w:after="40"/>
              <w:jc w:val="center"/>
              <w:rPr>
                <w:rFonts w:ascii="Arial Narrow" w:hAnsi="Arial Narrow"/>
                <w:sz w:val="20"/>
              </w:rPr>
            </w:pPr>
            <w:r w:rsidRPr="009D743B">
              <w:rPr>
                <w:rFonts w:ascii="Arial Narrow" w:hAnsi="Arial Narrow"/>
                <w:sz w:val="20"/>
              </w:rPr>
              <w:t>Part II: OL extension of golimumab only to Week 52</w:t>
            </w:r>
          </w:p>
        </w:tc>
        <w:tc>
          <w:tcPr>
            <w:tcW w:w="782" w:type="pct"/>
            <w:tcBorders>
              <w:top w:val="single" w:sz="4" w:space="0" w:color="auto"/>
              <w:left w:val="single" w:sz="4" w:space="0" w:color="auto"/>
              <w:bottom w:val="single" w:sz="4" w:space="0" w:color="auto"/>
              <w:right w:val="single" w:sz="4" w:space="0" w:color="auto"/>
            </w:tcBorders>
          </w:tcPr>
          <w:p w:rsidR="005065CC" w:rsidRPr="009D743B" w:rsidRDefault="005065CC" w:rsidP="00AD67F3">
            <w:pPr>
              <w:keepNext/>
              <w:spacing w:before="40" w:after="40"/>
              <w:jc w:val="center"/>
              <w:rPr>
                <w:rFonts w:ascii="Arial Narrow" w:hAnsi="Arial Narrow"/>
                <w:sz w:val="20"/>
              </w:rPr>
            </w:pPr>
            <w:r w:rsidRPr="009D743B">
              <w:rPr>
                <w:rFonts w:ascii="Arial Narrow" w:hAnsi="Arial Narrow"/>
                <w:sz w:val="20"/>
              </w:rPr>
              <w:t>Low in Part I</w:t>
            </w:r>
          </w:p>
        </w:tc>
        <w:tc>
          <w:tcPr>
            <w:tcW w:w="707" w:type="pct"/>
            <w:tcBorders>
              <w:top w:val="single" w:sz="4" w:space="0" w:color="auto"/>
              <w:left w:val="single" w:sz="4" w:space="0" w:color="auto"/>
              <w:bottom w:val="single" w:sz="4" w:space="0" w:color="auto"/>
              <w:right w:val="single" w:sz="4" w:space="0" w:color="auto"/>
            </w:tcBorders>
          </w:tcPr>
          <w:p w:rsidR="005065CC" w:rsidRPr="009D743B" w:rsidRDefault="005065CC" w:rsidP="00AD67F3">
            <w:pPr>
              <w:keepNext/>
              <w:spacing w:before="40" w:after="40"/>
              <w:jc w:val="center"/>
              <w:rPr>
                <w:rFonts w:ascii="Arial Narrow" w:hAnsi="Arial Narrow"/>
                <w:sz w:val="20"/>
              </w:rPr>
            </w:pPr>
            <w:r w:rsidRPr="009D743B">
              <w:rPr>
                <w:rFonts w:ascii="Arial Narrow" w:hAnsi="Arial Narrow"/>
                <w:sz w:val="20"/>
              </w:rPr>
              <w:t>nr-axSpA</w:t>
            </w:r>
          </w:p>
        </w:tc>
        <w:tc>
          <w:tcPr>
            <w:tcW w:w="628" w:type="pct"/>
            <w:tcBorders>
              <w:top w:val="single" w:sz="4" w:space="0" w:color="auto"/>
              <w:left w:val="single" w:sz="4" w:space="0" w:color="auto"/>
              <w:bottom w:val="single" w:sz="4" w:space="0" w:color="auto"/>
              <w:right w:val="single" w:sz="4" w:space="0" w:color="auto"/>
            </w:tcBorders>
          </w:tcPr>
          <w:p w:rsidR="005065CC" w:rsidRPr="009D743B" w:rsidRDefault="005065CC" w:rsidP="00AD67F3">
            <w:pPr>
              <w:keepNext/>
              <w:spacing w:before="40" w:after="40"/>
              <w:jc w:val="center"/>
              <w:rPr>
                <w:rFonts w:ascii="Arial Narrow" w:hAnsi="Arial Narrow"/>
                <w:sz w:val="20"/>
              </w:rPr>
            </w:pPr>
            <w:r w:rsidRPr="009D743B">
              <w:rPr>
                <w:rFonts w:ascii="Arial Narrow" w:hAnsi="Arial Narrow"/>
                <w:sz w:val="20"/>
              </w:rPr>
              <w:t>Primary: ASAS 20</w:t>
            </w:r>
          </w:p>
          <w:p w:rsidR="005065CC" w:rsidRPr="009D743B" w:rsidRDefault="005065CC" w:rsidP="00AD67F3">
            <w:pPr>
              <w:keepNext/>
              <w:spacing w:before="40" w:after="40"/>
              <w:jc w:val="center"/>
              <w:rPr>
                <w:rFonts w:ascii="Arial Narrow" w:hAnsi="Arial Narrow"/>
                <w:sz w:val="20"/>
              </w:rPr>
            </w:pPr>
            <w:r w:rsidRPr="009D743B">
              <w:rPr>
                <w:rFonts w:ascii="Arial Narrow" w:hAnsi="Arial Narrow"/>
                <w:sz w:val="20"/>
              </w:rPr>
              <w:t>Secondary: BASDAI, BAFSI, EQ-5D</w:t>
            </w:r>
          </w:p>
        </w:tc>
        <w:tc>
          <w:tcPr>
            <w:tcW w:w="1077" w:type="pct"/>
            <w:shd w:val="clear" w:color="auto" w:fill="auto"/>
          </w:tcPr>
          <w:p w:rsidR="005065CC" w:rsidRPr="009D743B" w:rsidRDefault="005065CC" w:rsidP="00AD67F3">
            <w:pPr>
              <w:keepNext/>
              <w:spacing w:before="40" w:after="40"/>
              <w:jc w:val="center"/>
              <w:rPr>
                <w:rFonts w:ascii="Arial Narrow" w:hAnsi="Arial Narrow"/>
                <w:sz w:val="20"/>
                <w:szCs w:val="20"/>
              </w:rPr>
            </w:pPr>
            <w:r w:rsidRPr="009D743B">
              <w:rPr>
                <w:rFonts w:ascii="Arial Narrow" w:hAnsi="Arial Narrow"/>
                <w:sz w:val="20"/>
                <w:szCs w:val="20"/>
              </w:rPr>
              <w:t>BASDAI 50 response at Week 16</w:t>
            </w:r>
          </w:p>
          <w:p w:rsidR="005065CC" w:rsidRPr="009D743B" w:rsidRDefault="005065CC" w:rsidP="00AD67F3">
            <w:pPr>
              <w:keepNext/>
              <w:spacing w:before="40" w:after="40"/>
              <w:jc w:val="center"/>
              <w:rPr>
                <w:rFonts w:ascii="Arial Narrow" w:hAnsi="Arial Narrow"/>
                <w:sz w:val="20"/>
              </w:rPr>
            </w:pPr>
            <w:r w:rsidRPr="009D743B">
              <w:rPr>
                <w:rFonts w:ascii="Arial Narrow" w:hAnsi="Arial Narrow"/>
                <w:sz w:val="20"/>
                <w:szCs w:val="20"/>
              </w:rPr>
              <w:t>EQ-5D data used to develop regression model to estimate change in utilities</w:t>
            </w:r>
          </w:p>
        </w:tc>
      </w:tr>
    </w:tbl>
    <w:p w:rsidR="005065CC" w:rsidRPr="009D743B" w:rsidRDefault="005065CC" w:rsidP="005065CC">
      <w:pPr>
        <w:widowControl w:val="0"/>
        <w:spacing w:before="40" w:after="40"/>
        <w:contextualSpacing/>
        <w:jc w:val="both"/>
        <w:rPr>
          <w:rFonts w:ascii="Arial Narrow" w:eastAsia="Times New Roman" w:hAnsi="Arial Narrow" w:cs="Arial"/>
          <w:snapToGrid w:val="0"/>
          <w:sz w:val="18"/>
          <w:szCs w:val="20"/>
        </w:rPr>
      </w:pPr>
      <w:r w:rsidRPr="009D743B">
        <w:rPr>
          <w:rFonts w:ascii="Arial Narrow" w:eastAsia="Times New Roman" w:hAnsi="Arial Narrow" w:cs="Arial"/>
          <w:snapToGrid w:val="0"/>
          <w:sz w:val="18"/>
          <w:szCs w:val="20"/>
        </w:rPr>
        <w:t xml:space="preserve">R = randomised; MC = multi-centre; DB = double-blind; OL = open-label; nr-axSpA = non-radiographic axial </w:t>
      </w:r>
      <w:r w:rsidR="001442A6" w:rsidRPr="009D743B">
        <w:rPr>
          <w:rFonts w:ascii="Arial Narrow" w:eastAsia="Times New Roman" w:hAnsi="Arial Narrow" w:cs="Arial"/>
          <w:snapToGrid w:val="0"/>
          <w:sz w:val="18"/>
          <w:szCs w:val="20"/>
        </w:rPr>
        <w:t>spondyloarthritis</w:t>
      </w:r>
      <w:r w:rsidRPr="009D743B">
        <w:rPr>
          <w:rFonts w:ascii="Arial Narrow" w:eastAsia="Times New Roman" w:hAnsi="Arial Narrow" w:cs="Arial"/>
          <w:snapToGrid w:val="0"/>
          <w:sz w:val="18"/>
          <w:szCs w:val="20"/>
        </w:rPr>
        <w:t>; ASAS = Ankylosing Spondylitis Activity Score; BASDAI = Bath Ankylosing Spondylitis Disease Activity Index; BASFI = Bath ankylosing spondylitis functional index; EQ-5D = EuroQoL 5D Health Questionnaire</w:t>
      </w:r>
    </w:p>
    <w:p w:rsidR="005065CC" w:rsidRPr="009D743B" w:rsidRDefault="005065CC" w:rsidP="00EA3507">
      <w:pPr>
        <w:widowControl w:val="0"/>
        <w:spacing w:before="0" w:after="240"/>
        <w:jc w:val="both"/>
        <w:rPr>
          <w:rFonts w:ascii="Arial Narrow" w:eastAsia="Times New Roman" w:hAnsi="Arial Narrow" w:cs="Arial"/>
          <w:snapToGrid w:val="0"/>
          <w:sz w:val="18"/>
          <w:szCs w:val="20"/>
        </w:rPr>
      </w:pPr>
      <w:r w:rsidRPr="009D743B">
        <w:rPr>
          <w:rFonts w:ascii="Arial Narrow" w:eastAsia="Times New Roman" w:hAnsi="Arial Narrow" w:cs="Arial"/>
          <w:snapToGrid w:val="0"/>
          <w:sz w:val="18"/>
          <w:szCs w:val="20"/>
        </w:rPr>
        <w:t>Source: Sections 2.3, 2.4, 2.5 and Section 3 of the resubmission</w:t>
      </w:r>
    </w:p>
    <w:p w:rsidR="00254E9F" w:rsidRPr="009D743B" w:rsidRDefault="000666C7" w:rsidP="00B876BB">
      <w:pPr>
        <w:pStyle w:val="ListParagraph"/>
        <w:numPr>
          <w:ilvl w:val="0"/>
          <w:numId w:val="11"/>
        </w:numPr>
        <w:spacing w:before="0" w:after="120"/>
        <w:ind w:left="567" w:hanging="567"/>
        <w:jc w:val="both"/>
      </w:pPr>
      <w:r w:rsidRPr="009D743B">
        <w:t xml:space="preserve">The </w:t>
      </w:r>
      <w:r w:rsidR="00C53DBA" w:rsidRPr="009D743B">
        <w:t>resubmission was based on</w:t>
      </w:r>
      <w:r w:rsidRPr="009D743B">
        <w:t xml:space="preserve"> a pre-specified subgroup of patients </w:t>
      </w:r>
      <w:r w:rsidR="005065CC" w:rsidRPr="009D743B">
        <w:t xml:space="preserve">with objective signs of inflammation (OSI) </w:t>
      </w:r>
      <w:r w:rsidRPr="009D743B">
        <w:t>in the GO-AHEAD trial</w:t>
      </w:r>
      <w:r w:rsidR="005065CC" w:rsidRPr="009D743B">
        <w:t xml:space="preserve">. </w:t>
      </w:r>
      <w:r w:rsidR="00C53DBA" w:rsidRPr="009D743B">
        <w:t xml:space="preserve">The OSI population (n=158; 80%) consisted of patients with baseline evidence of sacroiliitis (active inflammation) on MRI </w:t>
      </w:r>
      <w:r w:rsidR="00C53DBA" w:rsidRPr="009D743B">
        <w:rPr>
          <w:u w:val="single"/>
        </w:rPr>
        <w:t>and/or</w:t>
      </w:r>
      <w:r w:rsidR="00C53DBA" w:rsidRPr="009D743B">
        <w:t xml:space="preserve"> a screening C-reactive protein (CRP) </w:t>
      </w:r>
      <w:r w:rsidR="000A2ECD" w:rsidRPr="009D743B">
        <w:t>greater than the upper limit</w:t>
      </w:r>
      <w:r w:rsidR="004D2653" w:rsidRPr="009D743B">
        <w:t xml:space="preserve"> </w:t>
      </w:r>
      <w:r w:rsidR="000A2ECD" w:rsidRPr="009D743B">
        <w:t>of normal (ULN)</w:t>
      </w:r>
      <w:r w:rsidR="00C53DBA" w:rsidRPr="009D743B">
        <w:t xml:space="preserve">. This differed to the proposed PBS population who are required to have </w:t>
      </w:r>
      <w:r w:rsidR="00CB79B9" w:rsidRPr="009D743B">
        <w:t xml:space="preserve">both </w:t>
      </w:r>
      <w:r w:rsidR="004D2653" w:rsidRPr="009D743B">
        <w:t xml:space="preserve">an </w:t>
      </w:r>
      <w:r w:rsidR="00CB79B9" w:rsidRPr="009D743B">
        <w:t xml:space="preserve">elevated screening CRP level </w:t>
      </w:r>
      <w:r w:rsidR="00BD3F31" w:rsidRPr="009D743B">
        <w:t>greater than the</w:t>
      </w:r>
      <w:r w:rsidR="00CB79B9" w:rsidRPr="009D743B">
        <w:t xml:space="preserve"> ULN </w:t>
      </w:r>
      <w:r w:rsidR="00CB79B9" w:rsidRPr="009D743B">
        <w:rPr>
          <w:u w:val="single"/>
        </w:rPr>
        <w:t>and</w:t>
      </w:r>
      <w:r w:rsidR="00CB79B9" w:rsidRPr="009D743B">
        <w:t xml:space="preserve"> evidence of sacroiliitis on MRI</w:t>
      </w:r>
      <w:r w:rsidR="00C53DBA" w:rsidRPr="009D743B">
        <w:t xml:space="preserve">. Of </w:t>
      </w:r>
      <w:r w:rsidR="00EA3507" w:rsidRPr="009D743B">
        <w:t xml:space="preserve">the 158 </w:t>
      </w:r>
      <w:r w:rsidR="00C53DBA" w:rsidRPr="009D743B">
        <w:t xml:space="preserve">patients with </w:t>
      </w:r>
      <w:r w:rsidR="00C53DBA" w:rsidRPr="00216BAC">
        <w:t xml:space="preserve">OSI, </w:t>
      </w:r>
      <w:r w:rsidR="0050211C">
        <w:rPr>
          <w:rFonts w:ascii="Calibri" w:eastAsia="Calibri" w:hAnsi="Calibri" w:cs="Arial"/>
          <w:noProof/>
          <w:color w:val="000000"/>
          <w:highlight w:val="black"/>
        </w:rPr>
        <w:t>'''''</w:t>
      </w:r>
      <w:r w:rsidR="00AC6359" w:rsidRPr="00216BAC">
        <w:rPr>
          <w:rFonts w:ascii="Calibri" w:eastAsia="Calibri" w:hAnsi="Calibri" w:cs="Arial"/>
        </w:rPr>
        <w:t xml:space="preserve"> (</w:t>
      </w:r>
      <w:r w:rsidR="0050211C">
        <w:rPr>
          <w:rFonts w:ascii="Calibri" w:eastAsia="Calibri" w:hAnsi="Calibri" w:cs="Arial"/>
          <w:noProof/>
          <w:color w:val="000000"/>
          <w:highlight w:val="black"/>
        </w:rPr>
        <w:t>''''''''</w:t>
      </w:r>
      <w:r w:rsidR="00AC6359" w:rsidRPr="00216BAC">
        <w:rPr>
          <w:rFonts w:ascii="Calibri" w:eastAsia="Calibri" w:hAnsi="Calibri" w:cs="Arial"/>
        </w:rPr>
        <w:t xml:space="preserve">%; or </w:t>
      </w:r>
      <w:r w:rsidR="0050211C">
        <w:rPr>
          <w:rFonts w:ascii="Calibri" w:eastAsia="Calibri" w:hAnsi="Calibri" w:cs="Arial"/>
          <w:noProof/>
          <w:color w:val="000000"/>
          <w:highlight w:val="black"/>
        </w:rPr>
        <w:t>''''''''</w:t>
      </w:r>
      <w:r w:rsidR="00C53DBA" w:rsidRPr="00216BAC">
        <w:t>% of</w:t>
      </w:r>
      <w:r w:rsidR="00C53DBA" w:rsidRPr="009D743B">
        <w:t xml:space="preserve"> the total population) had both </w:t>
      </w:r>
      <w:r w:rsidR="004D2653" w:rsidRPr="009D743B">
        <w:t xml:space="preserve">an </w:t>
      </w:r>
      <w:r w:rsidR="00C53DBA" w:rsidRPr="009D743B">
        <w:t xml:space="preserve">elevated CRP </w:t>
      </w:r>
      <w:r w:rsidR="00C53DBA" w:rsidRPr="009D743B">
        <w:rPr>
          <w:u w:val="single"/>
        </w:rPr>
        <w:t>and</w:t>
      </w:r>
      <w:r w:rsidR="00C53DBA" w:rsidRPr="009D743B">
        <w:t xml:space="preserve"> a positive MRI.</w:t>
      </w:r>
      <w:r w:rsidR="00361C6B" w:rsidRPr="009D743B">
        <w:t xml:space="preserve"> </w:t>
      </w:r>
    </w:p>
    <w:p w:rsidR="000666C7" w:rsidRPr="009D743B" w:rsidRDefault="00361C6B" w:rsidP="00B876BB">
      <w:pPr>
        <w:pStyle w:val="ListParagraph"/>
        <w:numPr>
          <w:ilvl w:val="0"/>
          <w:numId w:val="11"/>
        </w:numPr>
        <w:spacing w:before="0" w:after="120"/>
        <w:ind w:left="567" w:hanging="567"/>
        <w:jc w:val="both"/>
      </w:pPr>
      <w:r w:rsidRPr="009D743B">
        <w:t xml:space="preserve">The ESC noted that this was a relatively small proportion of the </w:t>
      </w:r>
      <w:r w:rsidR="00D7200D" w:rsidRPr="009D743B">
        <w:t>total trial</w:t>
      </w:r>
      <w:r w:rsidRPr="009D743B">
        <w:t xml:space="preserve"> population, which </w:t>
      </w:r>
      <w:r w:rsidR="00215D57" w:rsidRPr="009D743B">
        <w:t xml:space="preserve">may have </w:t>
      </w:r>
      <w:r w:rsidRPr="009D743B">
        <w:t>reduced the applicability of the results. The applicability of the trial was further reduced as patients in the trial</w:t>
      </w:r>
      <w:r w:rsidR="00254E9F" w:rsidRPr="009D743B">
        <w:t>:</w:t>
      </w:r>
      <w:r w:rsidRPr="009D743B">
        <w:t xml:space="preserve"> were only required to </w:t>
      </w:r>
      <w:r w:rsidR="00254E9F" w:rsidRPr="009D743B">
        <w:t>have trialled</w:t>
      </w:r>
      <w:r w:rsidRPr="009D743B">
        <w:t xml:space="preserve"> one prior NSAID (</w:t>
      </w:r>
      <w:r w:rsidR="00254E9F" w:rsidRPr="009D743B">
        <w:t xml:space="preserve">versus </w:t>
      </w:r>
      <w:r w:rsidRPr="009D743B">
        <w:t>two in the PBS restriction)</w:t>
      </w:r>
      <w:r w:rsidR="00254E9F" w:rsidRPr="009D743B">
        <w:t>;</w:t>
      </w:r>
      <w:r w:rsidRPr="009D743B">
        <w:t xml:space="preserve"> </w:t>
      </w:r>
      <w:r w:rsidR="00254E9F" w:rsidRPr="009D743B">
        <w:t xml:space="preserve">and were not required to have </w:t>
      </w:r>
      <w:r w:rsidR="00215D57" w:rsidRPr="009D743B">
        <w:t>completed</w:t>
      </w:r>
      <w:r w:rsidR="00254E9F" w:rsidRPr="009D743B">
        <w:t xml:space="preserve"> an exercise program (required in the PBS restriction)</w:t>
      </w:r>
      <w:r w:rsidRPr="009D743B">
        <w:t>.</w:t>
      </w:r>
    </w:p>
    <w:p w:rsidR="00C317F3" w:rsidRPr="00B876BB" w:rsidRDefault="00C317F3" w:rsidP="00772501">
      <w:pPr>
        <w:pStyle w:val="Heading2"/>
      </w:pPr>
      <w:bookmarkStart w:id="21" w:name="_Toc413139278"/>
      <w:bookmarkStart w:id="22" w:name="_Toc514253030"/>
      <w:r w:rsidRPr="00B876BB">
        <w:lastRenderedPageBreak/>
        <w:t>Comparative effectiveness</w:t>
      </w:r>
      <w:bookmarkEnd w:id="21"/>
      <w:bookmarkEnd w:id="22"/>
      <w:r w:rsidRPr="00B876BB">
        <w:t xml:space="preserve"> </w:t>
      </w:r>
    </w:p>
    <w:p w:rsidR="00C53DBA" w:rsidRPr="009D743B" w:rsidRDefault="002C05A6" w:rsidP="00B876BB">
      <w:pPr>
        <w:pStyle w:val="ListParagraph"/>
        <w:numPr>
          <w:ilvl w:val="0"/>
          <w:numId w:val="11"/>
        </w:numPr>
        <w:spacing w:before="0" w:after="120"/>
        <w:ind w:left="567" w:hanging="567"/>
        <w:jc w:val="both"/>
        <w:rPr>
          <w:rFonts w:ascii="Calibri" w:hAnsi="Calibri"/>
        </w:rPr>
      </w:pPr>
      <w:r w:rsidRPr="009D743B">
        <w:t xml:space="preserve">The results presented </w:t>
      </w:r>
      <w:r w:rsidR="00407747" w:rsidRPr="009D743B">
        <w:t xml:space="preserve">for comparative effectiveness in the resubmission </w:t>
      </w:r>
      <w:r w:rsidRPr="009D743B">
        <w:t>were the same as those presented for the previous submission</w:t>
      </w:r>
      <w:r w:rsidR="00C53DBA" w:rsidRPr="009D743B">
        <w:t xml:space="preserve">, summarised </w:t>
      </w:r>
      <w:r w:rsidR="00C53DBA" w:rsidRPr="009D743B">
        <w:rPr>
          <w:rFonts w:ascii="Calibri" w:hAnsi="Calibri"/>
        </w:rPr>
        <w:t xml:space="preserve">in </w:t>
      </w:r>
      <w:r w:rsidR="00B40F42" w:rsidRPr="009D743B">
        <w:rPr>
          <w:rFonts w:ascii="Calibri" w:hAnsi="Calibri"/>
        </w:rPr>
        <w:t xml:space="preserve">Table </w:t>
      </w:r>
      <w:r w:rsidR="00A72FBF" w:rsidRPr="009D743B">
        <w:rPr>
          <w:rFonts w:ascii="Calibri" w:hAnsi="Calibri"/>
        </w:rPr>
        <w:t>7</w:t>
      </w:r>
      <w:r w:rsidR="00C53DBA" w:rsidRPr="009D743B">
        <w:rPr>
          <w:rFonts w:ascii="Calibri" w:hAnsi="Calibri"/>
        </w:rPr>
        <w:t>.</w:t>
      </w:r>
    </w:p>
    <w:p w:rsidR="00C53DBA" w:rsidRPr="009D743B" w:rsidRDefault="00C53DBA" w:rsidP="00C53DBA">
      <w:pPr>
        <w:pStyle w:val="Caption"/>
        <w:rPr>
          <w:rFonts w:ascii="Arial Narrow" w:hAnsi="Arial Narrow"/>
        </w:rPr>
      </w:pPr>
      <w:bookmarkStart w:id="23" w:name="_Ref511822387"/>
      <w:r w:rsidRPr="009D743B">
        <w:rPr>
          <w:rFonts w:ascii="Arial Narrow" w:hAnsi="Arial Narrow"/>
        </w:rPr>
        <w:t xml:space="preserve">Table </w:t>
      </w:r>
      <w:bookmarkEnd w:id="23"/>
      <w:r w:rsidR="00A72FBF" w:rsidRPr="009D743B">
        <w:rPr>
          <w:rFonts w:ascii="Arial Narrow" w:hAnsi="Arial Narrow"/>
        </w:rPr>
        <w:t>7</w:t>
      </w:r>
      <w:r w:rsidRPr="009D743B">
        <w:rPr>
          <w:rFonts w:ascii="Arial Narrow" w:hAnsi="Arial Narrow"/>
        </w:rPr>
        <w:t xml:space="preserve">: GO-AHEAD Trial Part I: </w:t>
      </w:r>
      <w:r w:rsidR="0096037B" w:rsidRPr="009D743B">
        <w:rPr>
          <w:rFonts w:ascii="Arial Narrow" w:hAnsi="Arial Narrow"/>
        </w:rPr>
        <w:t xml:space="preserve">Proportion of patients achieving </w:t>
      </w:r>
      <w:r w:rsidRPr="009D743B">
        <w:rPr>
          <w:rFonts w:ascii="Arial Narrow" w:hAnsi="Arial Narrow"/>
        </w:rPr>
        <w:t xml:space="preserve">ASAS 20 </w:t>
      </w:r>
      <w:r w:rsidR="0096037B" w:rsidRPr="009D743B">
        <w:rPr>
          <w:rFonts w:ascii="Arial Narrow" w:hAnsi="Arial Narrow"/>
        </w:rPr>
        <w:t xml:space="preserve">response </w:t>
      </w:r>
      <w:r w:rsidRPr="009D743B">
        <w:rPr>
          <w:rFonts w:ascii="Arial Narrow" w:hAnsi="Arial Narrow"/>
        </w:rPr>
        <w:t xml:space="preserve">(primary outcome) and BADAI 50 endpoints at 16 weeks in the whole </w:t>
      </w:r>
      <w:r w:rsidR="0096037B" w:rsidRPr="009D743B">
        <w:rPr>
          <w:rFonts w:ascii="Arial Narrow" w:hAnsi="Arial Narrow"/>
        </w:rPr>
        <w:t xml:space="preserve">(FAS) </w:t>
      </w:r>
      <w:r w:rsidRPr="009D743B">
        <w:rPr>
          <w:rFonts w:ascii="Arial Narrow" w:hAnsi="Arial Narrow"/>
        </w:rPr>
        <w:t xml:space="preserve">and OSI and non-OSI populations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1666"/>
        <w:gridCol w:w="1666"/>
        <w:gridCol w:w="1667"/>
        <w:gridCol w:w="2518"/>
      </w:tblGrid>
      <w:tr w:rsidR="00C53DBA" w:rsidRPr="009D743B" w:rsidTr="00AD67F3">
        <w:trPr>
          <w:trHeight w:val="458"/>
        </w:trPr>
        <w:tc>
          <w:tcPr>
            <w:tcW w:w="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3DBA" w:rsidRPr="009D743B" w:rsidRDefault="00C53DBA" w:rsidP="00AD67F3">
            <w:pPr>
              <w:pStyle w:val="TableText"/>
              <w:rPr>
                <w:b/>
              </w:rPr>
            </w:pPr>
            <w:r w:rsidRPr="009D743B">
              <w:rPr>
                <w:b/>
              </w:rPr>
              <w:t xml:space="preserve">Population </w:t>
            </w:r>
          </w:p>
        </w:tc>
        <w:tc>
          <w:tcPr>
            <w:tcW w:w="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DBA" w:rsidRPr="009D743B" w:rsidRDefault="00C53DBA" w:rsidP="00AD67F3">
            <w:pPr>
              <w:pStyle w:val="TableText"/>
              <w:jc w:val="center"/>
              <w:rPr>
                <w:b/>
              </w:rPr>
            </w:pPr>
            <w:r w:rsidRPr="009D743B">
              <w:rPr>
                <w:b/>
              </w:rPr>
              <w:t xml:space="preserve">Golimumab 50mg </w:t>
            </w:r>
          </w:p>
          <w:p w:rsidR="00C53DBA" w:rsidRPr="009D743B" w:rsidRDefault="00C53DBA" w:rsidP="00AD67F3">
            <w:pPr>
              <w:pStyle w:val="TableText"/>
              <w:jc w:val="center"/>
              <w:rPr>
                <w:b/>
              </w:rPr>
            </w:pPr>
            <w:r w:rsidRPr="009D743B">
              <w:rPr>
                <w:b/>
              </w:rPr>
              <w:t>n/N (%)</w:t>
            </w:r>
          </w:p>
        </w:tc>
        <w:tc>
          <w:tcPr>
            <w:tcW w:w="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DBA" w:rsidRPr="009D743B" w:rsidRDefault="00C53DBA" w:rsidP="00AD67F3">
            <w:pPr>
              <w:pStyle w:val="TableText"/>
              <w:jc w:val="center"/>
              <w:rPr>
                <w:b/>
              </w:rPr>
            </w:pPr>
            <w:r w:rsidRPr="009D743B">
              <w:rPr>
                <w:b/>
              </w:rPr>
              <w:t xml:space="preserve">Placebo </w:t>
            </w:r>
          </w:p>
          <w:p w:rsidR="00C53DBA" w:rsidRPr="009D743B" w:rsidRDefault="00C53DBA" w:rsidP="00AD67F3">
            <w:pPr>
              <w:pStyle w:val="TableText"/>
              <w:jc w:val="center"/>
              <w:rPr>
                <w:b/>
              </w:rPr>
            </w:pPr>
            <w:r w:rsidRPr="009D743B">
              <w:rPr>
                <w:b/>
              </w:rPr>
              <w:t>n/N (%)</w:t>
            </w:r>
          </w:p>
        </w:tc>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DBA" w:rsidRPr="009D743B" w:rsidRDefault="00C53DBA" w:rsidP="00AD67F3">
            <w:pPr>
              <w:pStyle w:val="TableText"/>
              <w:jc w:val="center"/>
              <w:rPr>
                <w:b/>
              </w:rPr>
            </w:pPr>
            <w:r w:rsidRPr="009D743B">
              <w:rPr>
                <w:b/>
              </w:rPr>
              <w:t>Relative risk</w:t>
            </w:r>
          </w:p>
          <w:p w:rsidR="00C53DBA" w:rsidRPr="009D743B" w:rsidRDefault="00C53DBA" w:rsidP="00AD67F3">
            <w:pPr>
              <w:pStyle w:val="TableText"/>
              <w:jc w:val="center"/>
              <w:rPr>
                <w:b/>
              </w:rPr>
            </w:pPr>
            <w:r w:rsidRPr="009D743B">
              <w:rPr>
                <w:b/>
              </w:rPr>
              <w:t>(95% CI)</w:t>
            </w:r>
          </w:p>
        </w:tc>
        <w:tc>
          <w:tcPr>
            <w:tcW w:w="1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DBA" w:rsidRPr="009D743B" w:rsidRDefault="00C53DBA" w:rsidP="00AD67F3">
            <w:pPr>
              <w:pStyle w:val="TableText"/>
              <w:jc w:val="center"/>
              <w:rPr>
                <w:b/>
              </w:rPr>
            </w:pPr>
            <w:r w:rsidRPr="009D743B">
              <w:rPr>
                <w:b/>
              </w:rPr>
              <w:t>Risk difference (%)</w:t>
            </w:r>
          </w:p>
          <w:p w:rsidR="00C53DBA" w:rsidRPr="009D743B" w:rsidRDefault="00C53DBA" w:rsidP="00AD67F3">
            <w:pPr>
              <w:pStyle w:val="TableText"/>
              <w:jc w:val="center"/>
              <w:rPr>
                <w:b/>
              </w:rPr>
            </w:pPr>
            <w:r w:rsidRPr="009D743B">
              <w:rPr>
                <w:b/>
              </w:rPr>
              <w:t>(95% CI);</w:t>
            </w:r>
            <w:r w:rsidRPr="009D743B">
              <w:rPr>
                <w:b/>
                <w:vertAlign w:val="superscript"/>
              </w:rPr>
              <w:t xml:space="preserve"> </w:t>
            </w:r>
            <w:r w:rsidRPr="009D743B">
              <w:rPr>
                <w:b/>
              </w:rPr>
              <w:t>p-value</w:t>
            </w:r>
          </w:p>
        </w:tc>
      </w:tr>
      <w:tr w:rsidR="00C53DBA" w:rsidRPr="009D743B" w:rsidTr="00AD67F3">
        <w:trPr>
          <w:trHeight w:val="70"/>
        </w:trPr>
        <w:tc>
          <w:tcPr>
            <w:tcW w:w="5000" w:type="pct"/>
            <w:gridSpan w:val="5"/>
            <w:tcBorders>
              <w:top w:val="single" w:sz="4" w:space="0" w:color="auto"/>
              <w:left w:val="single" w:sz="4" w:space="0" w:color="auto"/>
              <w:bottom w:val="single" w:sz="4" w:space="0" w:color="auto"/>
              <w:right w:val="single" w:sz="4" w:space="0" w:color="auto"/>
            </w:tcBorders>
          </w:tcPr>
          <w:p w:rsidR="00C53DBA" w:rsidRPr="009D743B" w:rsidRDefault="00C53DBA" w:rsidP="0096037B">
            <w:pPr>
              <w:pStyle w:val="TableText"/>
              <w:rPr>
                <w:b/>
              </w:rPr>
            </w:pPr>
            <w:r w:rsidRPr="009D743B">
              <w:rPr>
                <w:b/>
              </w:rPr>
              <w:t>ASAS 20 (primary outcome)</w:t>
            </w:r>
          </w:p>
        </w:tc>
      </w:tr>
      <w:tr w:rsidR="00590BE1" w:rsidRPr="009D743B" w:rsidTr="00AD67F3">
        <w:trPr>
          <w:trHeight w:val="70"/>
        </w:trPr>
        <w:tc>
          <w:tcPr>
            <w:tcW w:w="862" w:type="pct"/>
            <w:tcBorders>
              <w:top w:val="single" w:sz="4" w:space="0" w:color="auto"/>
              <w:left w:val="single" w:sz="4" w:space="0" w:color="auto"/>
              <w:bottom w:val="single" w:sz="4" w:space="0" w:color="auto"/>
              <w:right w:val="single" w:sz="4" w:space="0" w:color="auto"/>
            </w:tcBorders>
            <w:vAlign w:val="center"/>
          </w:tcPr>
          <w:p w:rsidR="00590BE1" w:rsidRPr="009D743B" w:rsidRDefault="00590BE1" w:rsidP="00AD67F3">
            <w:pPr>
              <w:pStyle w:val="TableText"/>
            </w:pPr>
            <w:r w:rsidRPr="009D743B">
              <w:t>Whole trial (FAS)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pPr>
            <w:r w:rsidRPr="0061060D">
              <w:t>69/97 (71.1%)</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pPr>
            <w:r w:rsidRPr="0061060D">
              <w:t>40/100 (40.0%)</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rPr>
                <w:b/>
              </w:rPr>
            </w:pPr>
            <w:r w:rsidRPr="0061060D">
              <w:rPr>
                <w:b/>
              </w:rPr>
              <w:t>1.78 (1.36, 2.33)</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rPr>
                <w:b/>
              </w:rPr>
            </w:pPr>
            <w:r w:rsidRPr="0061060D">
              <w:rPr>
                <w:b/>
              </w:rPr>
              <w:t>31.2 (17.5, 43.6), p&lt;0.0001</w:t>
            </w:r>
          </w:p>
        </w:tc>
      </w:tr>
      <w:tr w:rsidR="00590BE1" w:rsidRPr="009D743B" w:rsidTr="00AD67F3">
        <w:trPr>
          <w:trHeight w:val="70"/>
        </w:trPr>
        <w:tc>
          <w:tcPr>
            <w:tcW w:w="862" w:type="pct"/>
            <w:tcBorders>
              <w:top w:val="single" w:sz="4" w:space="0" w:color="auto"/>
              <w:left w:val="single" w:sz="4" w:space="0" w:color="auto"/>
              <w:bottom w:val="single" w:sz="4" w:space="0" w:color="auto"/>
              <w:right w:val="single" w:sz="4" w:space="0" w:color="auto"/>
            </w:tcBorders>
            <w:vAlign w:val="center"/>
          </w:tcPr>
          <w:p w:rsidR="00590BE1" w:rsidRPr="009D743B" w:rsidRDefault="00590BE1" w:rsidP="00AD67F3">
            <w:pPr>
              <w:pStyle w:val="TableText"/>
            </w:pPr>
            <w:r w:rsidRPr="009D743B">
              <w:t>OSI</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pPr>
            <w:r w:rsidRPr="0061060D">
              <w:t>60/78 (76.9%)</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pPr>
            <w:r w:rsidRPr="0061060D">
              <w:t>30/80 (37.5%)</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rPr>
                <w:b/>
              </w:rPr>
            </w:pPr>
            <w:r w:rsidRPr="0061060D">
              <w:rPr>
                <w:b/>
              </w:rPr>
              <w:t>2.05 (1.51, 2.79)</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rPr>
                <w:b/>
              </w:rPr>
            </w:pPr>
            <w:r w:rsidRPr="0061060D">
              <w:rPr>
                <w:b/>
              </w:rPr>
              <w:t>39.6 (24.6, 52.6), p&lt;0.0001</w:t>
            </w:r>
          </w:p>
        </w:tc>
      </w:tr>
      <w:tr w:rsidR="00590BE1" w:rsidRPr="009D743B" w:rsidTr="00AD67F3">
        <w:tc>
          <w:tcPr>
            <w:tcW w:w="862" w:type="pct"/>
            <w:tcBorders>
              <w:top w:val="single" w:sz="4" w:space="0" w:color="auto"/>
              <w:left w:val="single" w:sz="4" w:space="0" w:color="auto"/>
              <w:bottom w:val="single" w:sz="4" w:space="0" w:color="auto"/>
              <w:right w:val="single" w:sz="4" w:space="0" w:color="auto"/>
            </w:tcBorders>
            <w:vAlign w:val="center"/>
          </w:tcPr>
          <w:p w:rsidR="00590BE1" w:rsidRPr="009D743B" w:rsidRDefault="00590BE1" w:rsidP="00AD67F3">
            <w:pPr>
              <w:pStyle w:val="TableText"/>
            </w:pPr>
            <w:r w:rsidRPr="009D743B">
              <w:t>Non-OSI</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pPr>
            <w:r w:rsidRPr="0061060D">
              <w:t>9/19 (47.4%)</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pPr>
            <w:r w:rsidRPr="0061060D">
              <w:t>10/20 (50.0%)</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pPr>
            <w:r w:rsidRPr="0061060D">
              <w:t>0.95 (0.50, 1.81)</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590BE1" w:rsidRPr="0061060D" w:rsidRDefault="00590BE1" w:rsidP="00AD67F3">
            <w:pPr>
              <w:pStyle w:val="TableText"/>
              <w:jc w:val="center"/>
            </w:pPr>
            <w:r w:rsidRPr="0061060D">
              <w:t>2.6 (-32.7, 27.9), p&lt;0.8711</w:t>
            </w:r>
          </w:p>
        </w:tc>
      </w:tr>
      <w:tr w:rsidR="00C53DBA" w:rsidRPr="009D743B" w:rsidTr="00AD67F3">
        <w:tc>
          <w:tcPr>
            <w:tcW w:w="2696" w:type="pct"/>
            <w:gridSpan w:val="3"/>
            <w:tcBorders>
              <w:top w:val="single" w:sz="4" w:space="0" w:color="auto"/>
              <w:left w:val="single" w:sz="4" w:space="0" w:color="auto"/>
              <w:bottom w:val="single" w:sz="4" w:space="0" w:color="auto"/>
              <w:right w:val="single" w:sz="4" w:space="0" w:color="auto"/>
            </w:tcBorders>
            <w:vAlign w:val="center"/>
          </w:tcPr>
          <w:p w:rsidR="00C53DBA" w:rsidRPr="0061060D" w:rsidRDefault="00C53DBA" w:rsidP="00AD67F3">
            <w:pPr>
              <w:pStyle w:val="TableText"/>
            </w:pPr>
            <w:r w:rsidRPr="0061060D">
              <w:t>Test for interaction (OSI v non-OSI)</w:t>
            </w:r>
            <w:r w:rsidRPr="0061060D">
              <w:rPr>
                <w:vertAlign w:val="superscript"/>
              </w:rPr>
              <w:t>a</w:t>
            </w:r>
            <w:r w:rsidRPr="0061060D">
              <w:t xml:space="preserve"> </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C53DBA" w:rsidRPr="0061060D" w:rsidRDefault="00C53DBA" w:rsidP="00AD67F3">
            <w:pPr>
              <w:pStyle w:val="TableText"/>
              <w:jc w:val="center"/>
              <w:rPr>
                <w:b/>
              </w:rPr>
            </w:pPr>
            <w:r w:rsidRPr="0061060D">
              <w:rPr>
                <w:b/>
              </w:rPr>
              <w:t>p=0.017</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C53DBA" w:rsidRPr="0061060D" w:rsidRDefault="00C53DBA" w:rsidP="00AD67F3">
            <w:pPr>
              <w:pStyle w:val="TableText"/>
              <w:jc w:val="center"/>
              <w:rPr>
                <w:b/>
              </w:rPr>
            </w:pPr>
            <w:r w:rsidRPr="0061060D">
              <w:rPr>
                <w:b/>
              </w:rPr>
              <w:t>p=0.034</w:t>
            </w:r>
          </w:p>
        </w:tc>
      </w:tr>
      <w:tr w:rsidR="00C53DBA" w:rsidRPr="009D743B" w:rsidTr="00AD67F3">
        <w:tc>
          <w:tcPr>
            <w:tcW w:w="5000" w:type="pct"/>
            <w:gridSpan w:val="5"/>
            <w:tcBorders>
              <w:top w:val="single" w:sz="4" w:space="0" w:color="auto"/>
              <w:left w:val="single" w:sz="4" w:space="0" w:color="auto"/>
              <w:bottom w:val="single" w:sz="4" w:space="0" w:color="auto"/>
              <w:right w:val="single" w:sz="4" w:space="0" w:color="auto"/>
            </w:tcBorders>
          </w:tcPr>
          <w:p w:rsidR="00C53DBA" w:rsidRPr="0061060D" w:rsidRDefault="00C53DBA" w:rsidP="00AD67F3">
            <w:pPr>
              <w:pStyle w:val="TableText"/>
              <w:rPr>
                <w:b/>
              </w:rPr>
            </w:pPr>
            <w:r w:rsidRPr="0061060D">
              <w:rPr>
                <w:b/>
              </w:rPr>
              <w:t>BASDAI 50 (relied on in the economic evaluation)</w:t>
            </w:r>
          </w:p>
        </w:tc>
      </w:tr>
      <w:tr w:rsidR="00160C96" w:rsidRPr="009D743B" w:rsidTr="00AD67F3">
        <w:tc>
          <w:tcPr>
            <w:tcW w:w="862" w:type="pct"/>
            <w:tcBorders>
              <w:top w:val="single" w:sz="4" w:space="0" w:color="auto"/>
              <w:left w:val="single" w:sz="4" w:space="0" w:color="auto"/>
              <w:bottom w:val="single" w:sz="4" w:space="0" w:color="auto"/>
              <w:right w:val="single" w:sz="4" w:space="0" w:color="auto"/>
            </w:tcBorders>
            <w:vAlign w:val="center"/>
          </w:tcPr>
          <w:p w:rsidR="00160C96" w:rsidRPr="009D743B" w:rsidRDefault="00160C96" w:rsidP="00AD67F3">
            <w:pPr>
              <w:pStyle w:val="TableText"/>
            </w:pPr>
            <w:r w:rsidRPr="009D743B">
              <w:t>Whole trial (FAS)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160C96" w:rsidRPr="0061060D" w:rsidRDefault="00160C96" w:rsidP="00AD67F3">
            <w:pPr>
              <w:pStyle w:val="TableText"/>
              <w:jc w:val="center"/>
            </w:pPr>
            <w:r w:rsidRPr="0061060D">
              <w:t>56/97 (57.7%)</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160C96" w:rsidRPr="0061060D" w:rsidRDefault="00160C96" w:rsidP="00AD67F3">
            <w:pPr>
              <w:pStyle w:val="TableText"/>
              <w:jc w:val="center"/>
            </w:pPr>
            <w:r w:rsidRPr="0061060D">
              <w:t>30/100 (30.0%)</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160C96" w:rsidRPr="0061060D" w:rsidRDefault="00160C96" w:rsidP="00AD67F3">
            <w:pPr>
              <w:pStyle w:val="TableText"/>
              <w:jc w:val="center"/>
              <w:rPr>
                <w:b/>
              </w:rPr>
            </w:pPr>
            <w:r w:rsidRPr="0061060D">
              <w:rPr>
                <w:b/>
              </w:rPr>
              <w:t>1.92 (1.36, 2.72)</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160C96" w:rsidRPr="0061060D" w:rsidRDefault="00160C96" w:rsidP="00AD67F3">
            <w:pPr>
              <w:pStyle w:val="TableText"/>
              <w:jc w:val="center"/>
              <w:rPr>
                <w:b/>
              </w:rPr>
            </w:pPr>
            <w:r w:rsidRPr="0061060D">
              <w:rPr>
                <w:b/>
              </w:rPr>
              <w:t>28.0 (14.4, 40.6), p&lt;0.0001</w:t>
            </w:r>
          </w:p>
        </w:tc>
      </w:tr>
      <w:tr w:rsidR="00AD1AB3" w:rsidRPr="009D743B" w:rsidTr="00AD67F3">
        <w:tc>
          <w:tcPr>
            <w:tcW w:w="862" w:type="pct"/>
            <w:tcBorders>
              <w:top w:val="single" w:sz="4" w:space="0" w:color="auto"/>
              <w:left w:val="single" w:sz="4" w:space="0" w:color="auto"/>
              <w:bottom w:val="single" w:sz="4" w:space="0" w:color="auto"/>
              <w:right w:val="single" w:sz="4" w:space="0" w:color="auto"/>
            </w:tcBorders>
            <w:vAlign w:val="center"/>
          </w:tcPr>
          <w:p w:rsidR="00AD1AB3" w:rsidRPr="009D743B" w:rsidRDefault="00AD1AB3" w:rsidP="00AD67F3">
            <w:pPr>
              <w:pStyle w:val="TableText"/>
            </w:pPr>
            <w:r w:rsidRPr="009D743B">
              <w:t>OSI</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AD1AB3" w:rsidP="00AD67F3">
            <w:pPr>
              <w:pStyle w:val="TableText"/>
              <w:jc w:val="center"/>
            </w:pPr>
            <w:r w:rsidRPr="0061060D">
              <w:t>46/78 (59.0%)</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AD1AB3" w:rsidP="00AD67F3">
            <w:pPr>
              <w:pStyle w:val="TableText"/>
              <w:jc w:val="center"/>
            </w:pPr>
            <w:r w:rsidRPr="0061060D">
              <w:t>23/80 (28.8%)</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AD1AB3" w:rsidP="00AD67F3">
            <w:pPr>
              <w:pStyle w:val="TableText"/>
              <w:jc w:val="center"/>
              <w:rPr>
                <w:b/>
              </w:rPr>
            </w:pPr>
            <w:r w:rsidRPr="0061060D">
              <w:rPr>
                <w:b/>
              </w:rPr>
              <w:t>2.05 (1.39, 3.03)</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AD1AB3" w:rsidP="00AD67F3">
            <w:pPr>
              <w:pStyle w:val="TableText"/>
              <w:jc w:val="center"/>
              <w:rPr>
                <w:b/>
              </w:rPr>
            </w:pPr>
            <w:r w:rsidRPr="0061060D">
              <w:rPr>
                <w:b/>
              </w:rPr>
              <w:t>30.5 (15.4, 44.3); p&lt;0.0001</w:t>
            </w:r>
          </w:p>
        </w:tc>
      </w:tr>
      <w:tr w:rsidR="00AD1AB3" w:rsidRPr="009D743B" w:rsidTr="00AD67F3">
        <w:tc>
          <w:tcPr>
            <w:tcW w:w="862" w:type="pct"/>
            <w:tcBorders>
              <w:top w:val="single" w:sz="4" w:space="0" w:color="auto"/>
              <w:left w:val="single" w:sz="4" w:space="0" w:color="auto"/>
              <w:bottom w:val="single" w:sz="4" w:space="0" w:color="auto"/>
              <w:right w:val="single" w:sz="4" w:space="0" w:color="auto"/>
            </w:tcBorders>
            <w:vAlign w:val="center"/>
          </w:tcPr>
          <w:p w:rsidR="00AD1AB3" w:rsidRPr="009D743B" w:rsidRDefault="00AD1AB3" w:rsidP="00AD67F3">
            <w:pPr>
              <w:pStyle w:val="TableText"/>
            </w:pPr>
            <w:r w:rsidRPr="009D743B">
              <w:t>Non-OSI</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50211C" w:rsidP="00AD67F3">
            <w:pPr>
              <w:pStyle w:val="TableText"/>
              <w:jc w:val="center"/>
              <w:rPr>
                <w:highlight w:val="black"/>
              </w:rPr>
            </w:pPr>
            <w:r>
              <w:rPr>
                <w:noProof/>
                <w:color w:val="000000"/>
                <w:highlight w:val="black"/>
              </w:rPr>
              <w:t>''''''''''''''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50211C" w:rsidP="00AD67F3">
            <w:pPr>
              <w:pStyle w:val="TableText"/>
              <w:jc w:val="center"/>
              <w:rPr>
                <w:highlight w:val="black"/>
              </w:rPr>
            </w:pPr>
            <w:r>
              <w:rPr>
                <w:noProof/>
                <w:color w:val="000000"/>
                <w:highlight w:val="black"/>
              </w:rPr>
              <w:t>'''''''''' '''''''''''''''''</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50211C" w:rsidP="00AD67F3">
            <w:pPr>
              <w:pStyle w:val="TableText"/>
              <w:jc w:val="center"/>
              <w:rPr>
                <w:highlight w:val="black"/>
              </w:rPr>
            </w:pPr>
            <w:r>
              <w:rPr>
                <w:noProof/>
                <w:color w:val="000000"/>
                <w:highlight w:val="black"/>
              </w:rPr>
              <w:t>'''''''''' '''''''''''''''' ''''''''''''</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50211C" w:rsidP="00AD67F3">
            <w:pPr>
              <w:pStyle w:val="TableText"/>
              <w:jc w:val="center"/>
              <w:rPr>
                <w:highlight w:val="black"/>
              </w:rPr>
            </w:pPr>
            <w:r>
              <w:rPr>
                <w:noProof/>
                <w:color w:val="000000"/>
                <w:highlight w:val="black"/>
              </w:rPr>
              <w:t>'''''''''' ''''''''''''''' '''''''''''''' '''''''''''''''''''''''</w:t>
            </w:r>
          </w:p>
        </w:tc>
      </w:tr>
      <w:tr w:rsidR="00AD1AB3" w:rsidRPr="009D743B" w:rsidTr="00AD67F3">
        <w:tc>
          <w:tcPr>
            <w:tcW w:w="2696" w:type="pct"/>
            <w:gridSpan w:val="3"/>
            <w:tcBorders>
              <w:top w:val="single" w:sz="4" w:space="0" w:color="auto"/>
              <w:left w:val="single" w:sz="4" w:space="0" w:color="auto"/>
              <w:bottom w:val="single" w:sz="4" w:space="0" w:color="auto"/>
              <w:right w:val="single" w:sz="4" w:space="0" w:color="auto"/>
            </w:tcBorders>
            <w:vAlign w:val="center"/>
          </w:tcPr>
          <w:p w:rsidR="00AD1AB3" w:rsidRPr="0061060D" w:rsidRDefault="00AD1AB3" w:rsidP="00AD67F3">
            <w:pPr>
              <w:pStyle w:val="TableText"/>
            </w:pPr>
            <w:r w:rsidRPr="0061060D">
              <w:t>Test for interaction (OSI v non-OSI)</w:t>
            </w:r>
            <w:r w:rsidRPr="0061060D">
              <w:rPr>
                <w:vertAlign w:val="superscript"/>
              </w:rPr>
              <w:t>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50211C" w:rsidP="00AD67F3">
            <w:pPr>
              <w:pStyle w:val="TableText"/>
              <w:jc w:val="center"/>
              <w:rPr>
                <w:highlight w:val="black"/>
              </w:rPr>
            </w:pPr>
            <w:r>
              <w:rPr>
                <w:noProof/>
                <w:color w:val="000000"/>
                <w:highlight w:val="black"/>
              </w:rPr>
              <w:t>''''''''''''''''</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AD1AB3" w:rsidRPr="0050211C" w:rsidRDefault="0050211C" w:rsidP="00AD67F3">
            <w:pPr>
              <w:pStyle w:val="TableText"/>
              <w:jc w:val="center"/>
              <w:rPr>
                <w:highlight w:val="black"/>
              </w:rPr>
            </w:pPr>
            <w:r>
              <w:rPr>
                <w:noProof/>
                <w:color w:val="000000"/>
                <w:highlight w:val="black"/>
              </w:rPr>
              <w:t>''''''''''''''''</w:t>
            </w:r>
          </w:p>
        </w:tc>
      </w:tr>
    </w:tbl>
    <w:p w:rsidR="00C53DBA" w:rsidRPr="009D743B" w:rsidRDefault="00C53DBA" w:rsidP="00993A60">
      <w:pPr>
        <w:pStyle w:val="TableNotes"/>
        <w:spacing w:after="0"/>
        <w:rPr>
          <w:rFonts w:ascii="Arial Narrow" w:hAnsi="Arial Narrow"/>
          <w:sz w:val="18"/>
        </w:rPr>
      </w:pPr>
      <w:r w:rsidRPr="009D743B">
        <w:rPr>
          <w:rFonts w:ascii="Arial Narrow" w:hAnsi="Arial Narrow"/>
          <w:sz w:val="18"/>
        </w:rPr>
        <w:t>Source: Table 2.6.1, p127 and Table 2.6.2, p129 of the resubmission</w:t>
      </w:r>
    </w:p>
    <w:p w:rsidR="00C53DBA" w:rsidRPr="009D743B" w:rsidRDefault="003E1DD2" w:rsidP="003E1DD2">
      <w:pPr>
        <w:pStyle w:val="TableNotes"/>
        <w:contextualSpacing/>
        <w:rPr>
          <w:rFonts w:ascii="Arial Narrow" w:hAnsi="Arial Narrow"/>
          <w:sz w:val="18"/>
        </w:rPr>
      </w:pPr>
      <w:r w:rsidRPr="009D743B">
        <w:rPr>
          <w:rFonts w:ascii="Arial Narrow" w:hAnsi="Arial Narrow"/>
          <w:sz w:val="18"/>
          <w:vertAlign w:val="superscript"/>
        </w:rPr>
        <w:t xml:space="preserve">a </w:t>
      </w:r>
      <w:r w:rsidR="00C53DBA" w:rsidRPr="009D743B">
        <w:rPr>
          <w:rFonts w:ascii="Arial Narrow" w:hAnsi="Arial Narrow"/>
          <w:sz w:val="18"/>
        </w:rPr>
        <w:t>Test for interaction conducted during the evaluation</w:t>
      </w:r>
    </w:p>
    <w:p w:rsidR="003E1DD2" w:rsidRPr="009D743B" w:rsidRDefault="003E1DD2" w:rsidP="003E1DD2">
      <w:pPr>
        <w:pStyle w:val="TableNotes"/>
        <w:contextualSpacing/>
        <w:rPr>
          <w:rFonts w:ascii="Arial Narrow" w:hAnsi="Arial Narrow"/>
          <w:sz w:val="18"/>
        </w:rPr>
      </w:pPr>
      <w:r w:rsidRPr="009D743B">
        <w:rPr>
          <w:rFonts w:ascii="Arial Narrow" w:hAnsi="Arial Narrow"/>
          <w:sz w:val="18"/>
        </w:rPr>
        <w:t>ASAS 20 = Ankylosing Spondylitis Disease Activity Score; BASDAI = Bath Ankylosing Spondylitis Disease Activity Index; CI = confidence interval; FAS = full analysis set; OSI = objective signs of inflammation</w:t>
      </w:r>
    </w:p>
    <w:p w:rsidR="003E1DD2" w:rsidRPr="009D743B" w:rsidRDefault="003E1DD2" w:rsidP="003E1DD2">
      <w:pPr>
        <w:pStyle w:val="TableNotes"/>
        <w:contextualSpacing/>
        <w:rPr>
          <w:rFonts w:ascii="Arial Narrow" w:hAnsi="Arial Narrow"/>
          <w:sz w:val="18"/>
        </w:rPr>
      </w:pPr>
      <w:r w:rsidRPr="009D743B">
        <w:rPr>
          <w:rFonts w:ascii="Arial Narrow" w:hAnsi="Arial Narrow"/>
          <w:sz w:val="18"/>
        </w:rPr>
        <w:t>Bold indicates statistically significant differences</w:t>
      </w:r>
    </w:p>
    <w:p w:rsidR="006D6AE1" w:rsidRPr="009D743B" w:rsidRDefault="00993A60" w:rsidP="00B876BB">
      <w:pPr>
        <w:pStyle w:val="ListParagraph"/>
        <w:numPr>
          <w:ilvl w:val="0"/>
          <w:numId w:val="11"/>
        </w:numPr>
        <w:spacing w:before="0" w:after="120"/>
        <w:ind w:left="567" w:hanging="567"/>
        <w:jc w:val="both"/>
      </w:pPr>
      <w:r w:rsidRPr="009D743B">
        <w:t>The analyse</w:t>
      </w:r>
      <w:r w:rsidR="00A1472B" w:rsidRPr="009D743B">
        <w:t>s w</w:t>
      </w:r>
      <w:r w:rsidRPr="009D743B">
        <w:t>ere</w:t>
      </w:r>
      <w:r w:rsidR="00A1472B" w:rsidRPr="009D743B">
        <w:t xml:space="preserve"> not adjusted for multiplicity</w:t>
      </w:r>
      <w:r w:rsidR="00407747" w:rsidRPr="009D743B">
        <w:t xml:space="preserve"> and it was unclear whether the presence of OSI was a treatment effect modifier</w:t>
      </w:r>
      <w:r w:rsidR="00D17B0A" w:rsidRPr="009D743B">
        <w:t xml:space="preserve"> given the probable lack of power in the non-OSI population</w:t>
      </w:r>
      <w:r w:rsidR="00A1472B" w:rsidRPr="009D743B">
        <w:t xml:space="preserve">. </w:t>
      </w:r>
      <w:r w:rsidR="00917A99" w:rsidRPr="009D743B">
        <w:t xml:space="preserve">The proportion of patients who responded at Week 16 and who maintained a BASDAI 50 response to Week 52 remained the same as that previously presented, </w:t>
      </w:r>
      <w:r w:rsidR="00917A99" w:rsidRPr="004E7B27">
        <w:t xml:space="preserve">with </w:t>
      </w:r>
      <w:r w:rsidR="0050211C">
        <w:rPr>
          <w:rFonts w:ascii="Calibri" w:eastAsia="Calibri" w:hAnsi="Calibri" w:cs="Arial"/>
          <w:noProof/>
          <w:color w:val="000000"/>
          <w:highlight w:val="black"/>
        </w:rPr>
        <w:t>'''''''''</w:t>
      </w:r>
      <w:r w:rsidR="00917A99" w:rsidRPr="004E7B27">
        <w:t xml:space="preserve">% of </w:t>
      </w:r>
      <w:r w:rsidR="0096037B" w:rsidRPr="004E7B27">
        <w:t>Week</w:t>
      </w:r>
      <w:r w:rsidR="0096037B" w:rsidRPr="009D743B">
        <w:t xml:space="preserve"> 16 responders</w:t>
      </w:r>
      <w:r w:rsidR="00917A99" w:rsidRPr="009D743B">
        <w:t xml:space="preserve"> maintaining response to Week 52</w:t>
      </w:r>
      <w:r w:rsidR="004C793D" w:rsidRPr="009D743B">
        <w:t>.</w:t>
      </w:r>
      <w:r w:rsidR="00917A99" w:rsidRPr="009D743B">
        <w:t xml:space="preserve"> Based on this</w:t>
      </w:r>
      <w:r w:rsidR="0033402E" w:rsidRPr="009D743B">
        <w:t xml:space="preserve"> data</w:t>
      </w:r>
      <w:r w:rsidR="00917A99" w:rsidRPr="009D743B">
        <w:t xml:space="preserve"> an annual rate of discontinuation due to loss of BASDAI 50 response was applied to golimumab responders in the economic model, which was appropriate. </w:t>
      </w:r>
      <w:r w:rsidR="004C793D" w:rsidRPr="009D743B">
        <w:t xml:space="preserve"> </w:t>
      </w:r>
    </w:p>
    <w:p w:rsidR="003965C0" w:rsidRPr="009D743B" w:rsidRDefault="003965C0" w:rsidP="00B876BB">
      <w:pPr>
        <w:pStyle w:val="ListParagraph"/>
        <w:numPr>
          <w:ilvl w:val="0"/>
          <w:numId w:val="11"/>
        </w:numPr>
        <w:spacing w:before="0" w:after="120"/>
        <w:ind w:left="567" w:hanging="567"/>
        <w:jc w:val="both"/>
        <w:rPr>
          <w:snapToGrid w:val="0"/>
        </w:rPr>
      </w:pPr>
      <w:r w:rsidRPr="009D743B">
        <w:rPr>
          <w:snapToGrid w:val="0"/>
        </w:rPr>
        <w:t xml:space="preserve">In assessing this data on the OSI population previously, “The PBAC considered that the claim of superior comparative effectiveness was reasonable, but the magnitude of the incremental benefit was not well-supported due to: the reliance on data from a subgroup </w:t>
      </w:r>
      <w:r w:rsidRPr="009D743B">
        <w:t>of</w:t>
      </w:r>
      <w:r w:rsidRPr="009D743B">
        <w:rPr>
          <w:snapToGrid w:val="0"/>
        </w:rPr>
        <w:t xml:space="preserve"> the total trial population; the short duration of the randomised trial for a long-term treatment; and the lack of applicability to the requested restriction given that </w:t>
      </w:r>
      <w:r w:rsidRPr="003B116E">
        <w:rPr>
          <w:snapToGrid w:val="0"/>
        </w:rPr>
        <w:t xml:space="preserve">only </w:t>
      </w:r>
      <w:r w:rsidR="0050211C">
        <w:rPr>
          <w:rFonts w:ascii="Calibri" w:eastAsia="Calibri" w:hAnsi="Calibri" w:cs="Arial"/>
          <w:noProof/>
          <w:snapToGrid w:val="0"/>
          <w:color w:val="000000"/>
          <w:highlight w:val="black"/>
        </w:rPr>
        <w:t>''''''''</w:t>
      </w:r>
      <w:r w:rsidRPr="003B116E">
        <w:rPr>
          <w:snapToGrid w:val="0"/>
        </w:rPr>
        <w:t>% of the</w:t>
      </w:r>
      <w:r w:rsidRPr="009D743B">
        <w:rPr>
          <w:snapToGrid w:val="0"/>
        </w:rPr>
        <w:t xml:space="preserve"> trial population had failed two or more NSAIDs” (6.04 Golimumab November 2017 </w:t>
      </w:r>
      <w:r w:rsidR="00833C5A">
        <w:rPr>
          <w:snapToGrid w:val="0"/>
        </w:rPr>
        <w:t>PSD</w:t>
      </w:r>
      <w:r w:rsidRPr="009D743B">
        <w:rPr>
          <w:snapToGrid w:val="0"/>
        </w:rPr>
        <w:t xml:space="preserve">, paragraph 6.36). </w:t>
      </w:r>
      <w:r w:rsidR="00851AD4" w:rsidRPr="009D743B">
        <w:rPr>
          <w:snapToGrid w:val="0"/>
        </w:rPr>
        <w:t xml:space="preserve">Also contributing to the difficulty in determining the degree of incremental effectiveness is the fact that the proposed restriction has narrowed the patient group from the trial that was applicable to the PBS population thereby causing the ESC to note that the applicability of the trial data is reduced. </w:t>
      </w:r>
      <w:r w:rsidR="00DA3746" w:rsidRPr="009D743B">
        <w:rPr>
          <w:snapToGrid w:val="0"/>
        </w:rPr>
        <w:t xml:space="preserve">The Pre-PBAC response noted that there will be no further clinical data to address this concern (the open-label follow-up did not continue beyond 60 weeks) and as such the magnitude of incremental effectiveness will remain uncertain. </w:t>
      </w:r>
    </w:p>
    <w:p w:rsidR="00A1472B" w:rsidRPr="009D743B" w:rsidRDefault="006D6AE1" w:rsidP="00B876BB">
      <w:pPr>
        <w:pStyle w:val="ListParagraph"/>
        <w:numPr>
          <w:ilvl w:val="0"/>
          <w:numId w:val="11"/>
        </w:numPr>
        <w:spacing w:before="0" w:after="120"/>
        <w:ind w:left="567" w:hanging="567"/>
        <w:jc w:val="both"/>
      </w:pPr>
      <w:r w:rsidRPr="009D743B">
        <w:lastRenderedPageBreak/>
        <w:t xml:space="preserve">The </w:t>
      </w:r>
      <w:r w:rsidR="004C793D" w:rsidRPr="009D743B">
        <w:t xml:space="preserve">resubmission did not present any </w:t>
      </w:r>
      <w:r w:rsidR="00150A56" w:rsidRPr="009D743B">
        <w:t>new</w:t>
      </w:r>
      <w:r w:rsidR="004C793D" w:rsidRPr="009D743B">
        <w:t xml:space="preserve"> data </w:t>
      </w:r>
      <w:r w:rsidR="00150A56" w:rsidRPr="009D743B">
        <w:t>for</w:t>
      </w:r>
      <w:r w:rsidR="004C793D" w:rsidRPr="009D743B">
        <w:t xml:space="preserve"> </w:t>
      </w:r>
      <w:r w:rsidRPr="009D743B">
        <w:t xml:space="preserve">patients with OSI </w:t>
      </w:r>
      <w:r w:rsidR="00150A56" w:rsidRPr="009D743B">
        <w:t xml:space="preserve">who had </w:t>
      </w:r>
      <w:r w:rsidRPr="009D743B">
        <w:t xml:space="preserve">both </w:t>
      </w:r>
      <w:r w:rsidR="004D2653" w:rsidRPr="009D743B">
        <w:t xml:space="preserve">an </w:t>
      </w:r>
      <w:r w:rsidRPr="009D743B">
        <w:t>elevated CRP and evidence of sacroiliitis on MRI</w:t>
      </w:r>
      <w:r w:rsidR="004C793D" w:rsidRPr="009D743B">
        <w:t xml:space="preserve">, </w:t>
      </w:r>
      <w:r w:rsidR="00993A60" w:rsidRPr="009D743B">
        <w:t xml:space="preserve">reasonably </w:t>
      </w:r>
      <w:r w:rsidR="004C793D" w:rsidRPr="009D743B">
        <w:t>stating that there would be a lack of power for this analysis.</w:t>
      </w:r>
      <w:r w:rsidRPr="009D743B">
        <w:t xml:space="preserve"> </w:t>
      </w:r>
      <w:r w:rsidR="004C793D" w:rsidRPr="009D743B">
        <w:t xml:space="preserve">The only results presented in the resubmission </w:t>
      </w:r>
      <w:r w:rsidR="00993A60" w:rsidRPr="009D743B">
        <w:t xml:space="preserve">(and in the previous submission) </w:t>
      </w:r>
      <w:r w:rsidR="004C793D" w:rsidRPr="009D743B">
        <w:t xml:space="preserve">for this patient population related to the outcome of ASAS 20, and these </w:t>
      </w:r>
      <w:r w:rsidRPr="009D743B">
        <w:t xml:space="preserve">are presented in </w:t>
      </w:r>
      <w:r w:rsidR="00B40F42" w:rsidRPr="009D743B">
        <w:t>Figure 1</w:t>
      </w:r>
      <w:r w:rsidRPr="009D743B">
        <w:t>.</w:t>
      </w:r>
    </w:p>
    <w:p w:rsidR="00AB6CE8" w:rsidRPr="009D743B" w:rsidRDefault="00AB6CE8" w:rsidP="00AB6CE8">
      <w:pPr>
        <w:pStyle w:val="Caption"/>
        <w:rPr>
          <w:rFonts w:ascii="Arial Narrow" w:hAnsi="Arial Narrow"/>
          <w:b w:val="0"/>
          <w:sz w:val="18"/>
        </w:rPr>
      </w:pPr>
      <w:bookmarkStart w:id="24" w:name="_Ref510006212"/>
      <w:r w:rsidRPr="009D743B">
        <w:rPr>
          <w:rFonts w:ascii="Arial Narrow" w:hAnsi="Arial Narrow"/>
        </w:rPr>
        <w:t xml:space="preserve">Figure </w:t>
      </w:r>
      <w:r w:rsidR="00B40F42" w:rsidRPr="009D743B">
        <w:rPr>
          <w:rFonts w:ascii="Arial Narrow" w:hAnsi="Arial Narrow"/>
        </w:rPr>
        <w:t>1</w:t>
      </w:r>
      <w:bookmarkEnd w:id="24"/>
      <w:r w:rsidRPr="009D743B">
        <w:rPr>
          <w:rFonts w:ascii="Arial Narrow" w:hAnsi="Arial Narrow"/>
        </w:rPr>
        <w:t xml:space="preserve">: Difference in percent ASAS 20 responder’s status at </w:t>
      </w:r>
      <w:r w:rsidR="00917A99" w:rsidRPr="009D743B">
        <w:rPr>
          <w:rFonts w:ascii="Arial Narrow" w:hAnsi="Arial Narrow"/>
        </w:rPr>
        <w:t>W</w:t>
      </w:r>
      <w:r w:rsidRPr="009D743B">
        <w:rPr>
          <w:rFonts w:ascii="Arial Narrow" w:hAnsi="Arial Narrow"/>
        </w:rPr>
        <w:t>eek 16 by baseline factors – point estimate and 95% confidence interval – GLM 50 mg versus placebo (full analysis set population, Part I)</w:t>
      </w:r>
    </w:p>
    <w:p w:rsidR="00AB6CE8" w:rsidRPr="009D743B" w:rsidRDefault="00AB6CE8" w:rsidP="00993A60">
      <w:pPr>
        <w:pStyle w:val="TableHeading0"/>
        <w:jc w:val="center"/>
        <w:rPr>
          <w:b w:val="0"/>
          <w:sz w:val="18"/>
          <w:szCs w:val="18"/>
          <w:highlight w:val="cyan"/>
        </w:rPr>
      </w:pPr>
      <w:r w:rsidRPr="009D743B">
        <w:rPr>
          <w:b w:val="0"/>
          <w:noProof/>
          <w:sz w:val="18"/>
          <w:szCs w:val="18"/>
          <w:lang w:eastAsia="en-AU"/>
        </w:rPr>
        <w:drawing>
          <wp:inline distT="0" distB="0" distL="0" distR="0" wp14:anchorId="26F88286" wp14:editId="26B408D3">
            <wp:extent cx="4488180" cy="3773562"/>
            <wp:effectExtent l="0" t="0" r="7620" b="0"/>
            <wp:docPr id="13" name="Picture 13" title="Figure 1: Difference in percent ASAS 20 responder’s status at Week 16 by baseline factors – point estimate and 95% confidence interval – GLM 50 mg versus placebo (full analysis set population, Part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3673" cy="3786588"/>
                    </a:xfrm>
                    <a:prstGeom prst="rect">
                      <a:avLst/>
                    </a:prstGeom>
                    <a:noFill/>
                  </pic:spPr>
                </pic:pic>
              </a:graphicData>
            </a:graphic>
          </wp:inline>
        </w:drawing>
      </w:r>
    </w:p>
    <w:p w:rsidR="00AB6CE8" w:rsidRPr="009D743B" w:rsidRDefault="00AB6CE8" w:rsidP="00AB6CE8">
      <w:pPr>
        <w:pStyle w:val="TableHeading0"/>
        <w:spacing w:after="120"/>
        <w:rPr>
          <w:b w:val="0"/>
          <w:sz w:val="18"/>
          <w:szCs w:val="18"/>
        </w:rPr>
      </w:pPr>
      <w:r w:rsidRPr="009D743B">
        <w:rPr>
          <w:b w:val="0"/>
          <w:sz w:val="18"/>
          <w:szCs w:val="18"/>
        </w:rPr>
        <w:t>Source: Figure 2.6.1, p129 of the resubmission</w:t>
      </w:r>
    </w:p>
    <w:p w:rsidR="00905B6A" w:rsidRPr="009D743B" w:rsidRDefault="0033402E" w:rsidP="00B876BB">
      <w:pPr>
        <w:pStyle w:val="ListParagraph"/>
        <w:numPr>
          <w:ilvl w:val="0"/>
          <w:numId w:val="11"/>
        </w:numPr>
        <w:spacing w:before="0" w:after="120"/>
        <w:ind w:left="567" w:hanging="567"/>
        <w:jc w:val="both"/>
        <w:rPr>
          <w:rFonts w:cs="Arial"/>
          <w:snapToGrid w:val="0"/>
          <w:szCs w:val="20"/>
        </w:rPr>
      </w:pPr>
      <w:r w:rsidRPr="009D743B">
        <w:rPr>
          <w:rFonts w:cs="Arial"/>
          <w:snapToGrid w:val="0"/>
          <w:szCs w:val="20"/>
        </w:rPr>
        <w:t xml:space="preserve">In relation to this data, </w:t>
      </w:r>
      <w:r w:rsidR="00905B6A" w:rsidRPr="009D743B">
        <w:rPr>
          <w:rFonts w:cs="Arial"/>
          <w:snapToGrid w:val="0"/>
          <w:szCs w:val="20"/>
        </w:rPr>
        <w:t xml:space="preserve">the PBAC </w:t>
      </w:r>
      <w:r w:rsidR="00150A56" w:rsidRPr="009D743B">
        <w:rPr>
          <w:rFonts w:cs="Arial"/>
          <w:snapToGrid w:val="0"/>
          <w:szCs w:val="20"/>
        </w:rPr>
        <w:t xml:space="preserve">previously </w:t>
      </w:r>
      <w:r w:rsidR="00905B6A" w:rsidRPr="009D743B">
        <w:rPr>
          <w:rFonts w:cs="Arial"/>
          <w:snapToGrid w:val="0"/>
          <w:szCs w:val="20"/>
        </w:rPr>
        <w:t>“noted that golimumab appeared to be most efficacious in the subgroups of patients with elevated CRP and MRI changes, which was a subset of the requested PBS population. However, the PBAC acknowledged that the key trial (</w:t>
      </w:r>
      <w:r w:rsidR="00905B6A" w:rsidRPr="009D743B">
        <w:t>GO</w:t>
      </w:r>
      <w:r w:rsidR="00905B6A" w:rsidRPr="009D743B">
        <w:rPr>
          <w:rFonts w:cs="Arial"/>
          <w:snapToGrid w:val="0"/>
          <w:szCs w:val="20"/>
        </w:rPr>
        <w:t xml:space="preserve">-AHEAD) was not powered for these subgroup analyses” (6.04 Golimumab November 2017 </w:t>
      </w:r>
      <w:r w:rsidR="00833C5A">
        <w:rPr>
          <w:rFonts w:cs="Arial"/>
          <w:snapToGrid w:val="0"/>
          <w:szCs w:val="20"/>
        </w:rPr>
        <w:t>PSD</w:t>
      </w:r>
      <w:r w:rsidR="00905B6A" w:rsidRPr="009D743B">
        <w:rPr>
          <w:rFonts w:cs="Arial"/>
          <w:snapToGrid w:val="0"/>
          <w:szCs w:val="20"/>
        </w:rPr>
        <w:t>, paragraph 7.3).</w:t>
      </w:r>
    </w:p>
    <w:p w:rsidR="001F513F" w:rsidRPr="009D743B" w:rsidRDefault="001F513F" w:rsidP="00B876BB">
      <w:pPr>
        <w:pStyle w:val="ListParagraph"/>
        <w:numPr>
          <w:ilvl w:val="0"/>
          <w:numId w:val="11"/>
        </w:numPr>
        <w:spacing w:before="0" w:after="120"/>
        <w:ind w:left="567" w:hanging="567"/>
        <w:jc w:val="both"/>
        <w:rPr>
          <w:rFonts w:cs="Arial"/>
          <w:snapToGrid w:val="0"/>
          <w:szCs w:val="20"/>
        </w:rPr>
      </w:pPr>
      <w:r w:rsidRPr="009D743B">
        <w:rPr>
          <w:rFonts w:cs="Arial"/>
          <w:snapToGrid w:val="0"/>
          <w:szCs w:val="20"/>
        </w:rPr>
        <w:t xml:space="preserve">The ESC noted that the </w:t>
      </w:r>
      <w:r w:rsidR="00412BD7" w:rsidRPr="009D743B">
        <w:rPr>
          <w:rFonts w:cs="Arial"/>
          <w:snapToGrid w:val="0"/>
          <w:szCs w:val="20"/>
        </w:rPr>
        <w:t xml:space="preserve">effect size (percent of </w:t>
      </w:r>
      <w:r w:rsidRPr="009D743B">
        <w:rPr>
          <w:rFonts w:cs="Arial"/>
          <w:snapToGrid w:val="0"/>
          <w:szCs w:val="20"/>
        </w:rPr>
        <w:t>ASAS</w:t>
      </w:r>
      <w:r w:rsidR="00412BD7" w:rsidRPr="009D743B">
        <w:rPr>
          <w:rFonts w:cs="Arial"/>
          <w:snapToGrid w:val="0"/>
          <w:szCs w:val="20"/>
        </w:rPr>
        <w:t xml:space="preserve"> 20</w:t>
      </w:r>
      <w:r w:rsidRPr="009D743B">
        <w:rPr>
          <w:rFonts w:cs="Arial"/>
          <w:snapToGrid w:val="0"/>
          <w:szCs w:val="20"/>
        </w:rPr>
        <w:t xml:space="preserve"> respon</w:t>
      </w:r>
      <w:r w:rsidR="00412BD7" w:rsidRPr="009D743B">
        <w:rPr>
          <w:rFonts w:cs="Arial"/>
          <w:snapToGrid w:val="0"/>
          <w:szCs w:val="20"/>
        </w:rPr>
        <w:t>ders)</w:t>
      </w:r>
      <w:r w:rsidRPr="009D743B">
        <w:rPr>
          <w:rFonts w:cs="Arial"/>
          <w:snapToGrid w:val="0"/>
          <w:szCs w:val="20"/>
        </w:rPr>
        <w:t xml:space="preserve"> appeared </w:t>
      </w:r>
      <w:r w:rsidR="00412BD7" w:rsidRPr="009D743B">
        <w:rPr>
          <w:rFonts w:cs="Arial"/>
          <w:snapToGrid w:val="0"/>
          <w:szCs w:val="20"/>
        </w:rPr>
        <w:t xml:space="preserve">to be </w:t>
      </w:r>
      <w:r w:rsidRPr="009D743B">
        <w:rPr>
          <w:rFonts w:cs="Arial"/>
          <w:snapToGrid w:val="0"/>
          <w:szCs w:val="20"/>
        </w:rPr>
        <w:t xml:space="preserve">similar </w:t>
      </w:r>
      <w:r w:rsidR="00412BD7" w:rsidRPr="009D743B">
        <w:rPr>
          <w:rFonts w:cs="Arial"/>
          <w:snapToGrid w:val="0"/>
          <w:szCs w:val="20"/>
        </w:rPr>
        <w:t>in</w:t>
      </w:r>
      <w:r w:rsidRPr="009D743B">
        <w:rPr>
          <w:rFonts w:cs="Arial"/>
          <w:snapToGrid w:val="0"/>
          <w:szCs w:val="20"/>
        </w:rPr>
        <w:t xml:space="preserve"> the subgroup </w:t>
      </w:r>
      <w:r w:rsidR="00902F90" w:rsidRPr="009D743B">
        <w:rPr>
          <w:rFonts w:cs="Arial"/>
          <w:snapToGrid w:val="0"/>
          <w:szCs w:val="20"/>
        </w:rPr>
        <w:t xml:space="preserve">of patients </w:t>
      </w:r>
      <w:r w:rsidRPr="009D743B">
        <w:rPr>
          <w:rFonts w:cs="Arial"/>
          <w:snapToGrid w:val="0"/>
          <w:szCs w:val="20"/>
        </w:rPr>
        <w:t xml:space="preserve">who </w:t>
      </w:r>
      <w:r w:rsidR="00412BD7" w:rsidRPr="009D743B">
        <w:rPr>
          <w:rFonts w:cs="Arial"/>
          <w:snapToGrid w:val="0"/>
          <w:szCs w:val="20"/>
        </w:rPr>
        <w:t xml:space="preserve">had an </w:t>
      </w:r>
      <w:r w:rsidR="00412BD7" w:rsidRPr="00E52A7F">
        <w:rPr>
          <w:rFonts w:cs="Arial"/>
          <w:snapToGrid w:val="0"/>
          <w:szCs w:val="20"/>
        </w:rPr>
        <w:t xml:space="preserve">elevated CRP </w:t>
      </w:r>
      <w:r w:rsidR="007C07C4" w:rsidRPr="00E52A7F">
        <w:rPr>
          <w:rFonts w:ascii="Calibri" w:eastAsia="Calibri" w:hAnsi="Calibri" w:cs="Arial"/>
          <w:snapToGrid w:val="0"/>
          <w:szCs w:val="20"/>
        </w:rPr>
        <w:t xml:space="preserve">n = </w:t>
      </w:r>
      <w:r w:rsidR="0050211C">
        <w:rPr>
          <w:rFonts w:ascii="Calibri" w:eastAsia="Calibri" w:hAnsi="Calibri" w:cs="Arial"/>
          <w:noProof/>
          <w:snapToGrid w:val="0"/>
          <w:color w:val="000000"/>
          <w:szCs w:val="20"/>
          <w:highlight w:val="black"/>
        </w:rPr>
        <w:t xml:space="preserve">''''' </w:t>
      </w:r>
      <w:r w:rsidR="00412BD7" w:rsidRPr="00E52A7F">
        <w:rPr>
          <w:rFonts w:cs="Arial"/>
          <w:snapToGrid w:val="0"/>
          <w:szCs w:val="20"/>
        </w:rPr>
        <w:t xml:space="preserve">and the subgroup who had </w:t>
      </w:r>
      <w:r w:rsidRPr="00E52A7F">
        <w:rPr>
          <w:rFonts w:cs="Arial"/>
          <w:snapToGrid w:val="0"/>
          <w:szCs w:val="20"/>
        </w:rPr>
        <w:t xml:space="preserve">both </w:t>
      </w:r>
      <w:r w:rsidR="00412BD7" w:rsidRPr="00E52A7F">
        <w:rPr>
          <w:rFonts w:cs="Arial"/>
          <w:snapToGrid w:val="0"/>
          <w:szCs w:val="20"/>
        </w:rPr>
        <w:t xml:space="preserve">positive </w:t>
      </w:r>
      <w:r w:rsidRPr="00E52A7F">
        <w:rPr>
          <w:rFonts w:cs="Arial"/>
          <w:snapToGrid w:val="0"/>
          <w:szCs w:val="20"/>
        </w:rPr>
        <w:t xml:space="preserve">MRI and </w:t>
      </w:r>
      <w:r w:rsidR="00412BD7" w:rsidRPr="00E52A7F">
        <w:rPr>
          <w:rFonts w:cs="Arial"/>
          <w:snapToGrid w:val="0"/>
          <w:szCs w:val="20"/>
        </w:rPr>
        <w:t xml:space="preserve">elevated </w:t>
      </w:r>
      <w:r w:rsidRPr="00E52A7F">
        <w:rPr>
          <w:rFonts w:cs="Arial"/>
          <w:snapToGrid w:val="0"/>
          <w:szCs w:val="20"/>
        </w:rPr>
        <w:t xml:space="preserve">CRP </w:t>
      </w:r>
      <w:r w:rsidR="007C07C4" w:rsidRPr="00E52A7F">
        <w:rPr>
          <w:rFonts w:ascii="Calibri" w:eastAsia="Calibri" w:hAnsi="Calibri" w:cs="Arial"/>
          <w:snapToGrid w:val="0"/>
          <w:szCs w:val="20"/>
        </w:rPr>
        <w:t xml:space="preserve">n = </w:t>
      </w:r>
      <w:r w:rsidR="0050211C">
        <w:rPr>
          <w:rFonts w:ascii="Calibri" w:eastAsia="Calibri" w:hAnsi="Calibri" w:cs="Arial"/>
          <w:noProof/>
          <w:snapToGrid w:val="0"/>
          <w:color w:val="000000"/>
          <w:szCs w:val="20"/>
          <w:highlight w:val="black"/>
        </w:rPr>
        <w:t>'''''</w:t>
      </w:r>
      <w:r w:rsidRPr="00E52A7F">
        <w:rPr>
          <w:rFonts w:cs="Arial"/>
          <w:snapToGrid w:val="0"/>
          <w:szCs w:val="20"/>
        </w:rPr>
        <w:t>.</w:t>
      </w:r>
      <w:r w:rsidR="00215D57" w:rsidRPr="00E52A7F">
        <w:rPr>
          <w:rFonts w:cs="Arial"/>
          <w:snapToGrid w:val="0"/>
          <w:szCs w:val="20"/>
        </w:rPr>
        <w:t xml:space="preserve"> The effect</w:t>
      </w:r>
      <w:r w:rsidR="00215D57" w:rsidRPr="009D743B">
        <w:rPr>
          <w:rFonts w:cs="Arial"/>
          <w:snapToGrid w:val="0"/>
          <w:szCs w:val="20"/>
        </w:rPr>
        <w:t xml:space="preserve"> size in these two subgroups </w:t>
      </w:r>
      <w:r w:rsidR="008B3D53" w:rsidRPr="009D743B">
        <w:rPr>
          <w:rFonts w:cs="Arial"/>
          <w:snapToGrid w:val="0"/>
          <w:szCs w:val="20"/>
        </w:rPr>
        <w:t xml:space="preserve">was larger </w:t>
      </w:r>
      <w:r w:rsidR="00215D57" w:rsidRPr="009D743B">
        <w:rPr>
          <w:rFonts w:cs="Arial"/>
          <w:snapToGrid w:val="0"/>
          <w:szCs w:val="20"/>
        </w:rPr>
        <w:t xml:space="preserve">than in the overall OSI population (not shown in Figure 1, but </w:t>
      </w:r>
      <w:r w:rsidR="0070580A" w:rsidRPr="009D743B">
        <w:rPr>
          <w:rFonts w:cs="Arial"/>
          <w:snapToGrid w:val="0"/>
          <w:szCs w:val="20"/>
        </w:rPr>
        <w:t>as outlined in</w:t>
      </w:r>
      <w:r w:rsidR="00215D57" w:rsidRPr="009D743B">
        <w:rPr>
          <w:rFonts w:cs="Arial"/>
          <w:snapToGrid w:val="0"/>
          <w:szCs w:val="20"/>
        </w:rPr>
        <w:t xml:space="preserve"> Tab</w:t>
      </w:r>
      <w:r w:rsidR="0070580A" w:rsidRPr="009D743B">
        <w:rPr>
          <w:rFonts w:cs="Arial"/>
          <w:snapToGrid w:val="0"/>
          <w:szCs w:val="20"/>
        </w:rPr>
        <w:t xml:space="preserve">le </w:t>
      </w:r>
      <w:r w:rsidR="00A72FBF" w:rsidRPr="009D743B">
        <w:rPr>
          <w:rFonts w:cs="Arial"/>
          <w:snapToGrid w:val="0"/>
          <w:szCs w:val="20"/>
        </w:rPr>
        <w:t>7</w:t>
      </w:r>
      <w:r w:rsidR="0070580A" w:rsidRPr="009D743B">
        <w:rPr>
          <w:rFonts w:cs="Arial"/>
          <w:snapToGrid w:val="0"/>
          <w:szCs w:val="20"/>
        </w:rPr>
        <w:t>, is 39.6% (95% CI: 24.6%, 52.6%)</w:t>
      </w:r>
      <w:r w:rsidR="008F645F" w:rsidRPr="009D743B">
        <w:rPr>
          <w:rFonts w:cs="Arial"/>
          <w:snapToGrid w:val="0"/>
          <w:szCs w:val="20"/>
        </w:rPr>
        <w:t>)</w:t>
      </w:r>
      <w:r w:rsidR="008B3D53" w:rsidRPr="009D743B">
        <w:rPr>
          <w:rFonts w:cs="Arial"/>
          <w:snapToGrid w:val="0"/>
          <w:szCs w:val="20"/>
        </w:rPr>
        <w:t>,</w:t>
      </w:r>
      <w:r w:rsidR="0070580A" w:rsidRPr="009D743B">
        <w:rPr>
          <w:rFonts w:cs="Arial"/>
          <w:snapToGrid w:val="0"/>
          <w:szCs w:val="20"/>
        </w:rPr>
        <w:t xml:space="preserve"> although the ESC acknowledged the limitations of these subgroup analyses.</w:t>
      </w:r>
    </w:p>
    <w:p w:rsidR="00980034" w:rsidRPr="009D743B" w:rsidRDefault="00851AD4" w:rsidP="00B876BB">
      <w:pPr>
        <w:pStyle w:val="ListParagraph"/>
        <w:numPr>
          <w:ilvl w:val="0"/>
          <w:numId w:val="11"/>
        </w:numPr>
        <w:spacing w:before="0" w:after="120"/>
        <w:ind w:left="567" w:hanging="567"/>
        <w:jc w:val="both"/>
        <w:rPr>
          <w:rFonts w:cs="Arial"/>
          <w:snapToGrid w:val="0"/>
          <w:szCs w:val="20"/>
        </w:rPr>
      </w:pPr>
      <w:r w:rsidRPr="009D743B">
        <w:rPr>
          <w:rFonts w:cs="Arial"/>
          <w:snapToGrid w:val="0"/>
          <w:szCs w:val="20"/>
        </w:rPr>
        <w:t xml:space="preserve">The </w:t>
      </w:r>
      <w:r w:rsidR="00980034" w:rsidRPr="009D743B">
        <w:rPr>
          <w:rFonts w:cs="Arial"/>
          <w:snapToGrid w:val="0"/>
          <w:szCs w:val="20"/>
        </w:rPr>
        <w:t xml:space="preserve">PBAC noted the sub-group analysis showed no benefit in </w:t>
      </w:r>
      <w:r w:rsidRPr="009D743B">
        <w:rPr>
          <w:rFonts w:cs="Arial"/>
          <w:snapToGrid w:val="0"/>
          <w:szCs w:val="20"/>
        </w:rPr>
        <w:t xml:space="preserve">the </w:t>
      </w:r>
      <w:r w:rsidR="00980034" w:rsidRPr="009D743B">
        <w:rPr>
          <w:rFonts w:cs="Arial"/>
          <w:snapToGrid w:val="0"/>
          <w:szCs w:val="20"/>
        </w:rPr>
        <w:t>non-OSI population, however acknowle</w:t>
      </w:r>
      <w:r w:rsidRPr="009D743B">
        <w:rPr>
          <w:rFonts w:cs="Arial"/>
          <w:snapToGrid w:val="0"/>
          <w:szCs w:val="20"/>
        </w:rPr>
        <w:t>dged patient numbers were small a</w:t>
      </w:r>
      <w:r w:rsidR="00236526">
        <w:rPr>
          <w:rFonts w:cs="Arial"/>
          <w:snapToGrid w:val="0"/>
          <w:szCs w:val="20"/>
        </w:rPr>
        <w:t>n</w:t>
      </w:r>
      <w:r w:rsidRPr="009D743B">
        <w:rPr>
          <w:rFonts w:cs="Arial"/>
          <w:snapToGrid w:val="0"/>
          <w:szCs w:val="20"/>
        </w:rPr>
        <w:t>d there were</w:t>
      </w:r>
      <w:r w:rsidR="00980034" w:rsidRPr="009D743B">
        <w:rPr>
          <w:rFonts w:cs="Arial"/>
          <w:snapToGrid w:val="0"/>
          <w:szCs w:val="20"/>
        </w:rPr>
        <w:t xml:space="preserve"> limitations </w:t>
      </w:r>
      <w:r w:rsidRPr="009D743B">
        <w:rPr>
          <w:rFonts w:cs="Arial"/>
          <w:snapToGrid w:val="0"/>
          <w:szCs w:val="20"/>
        </w:rPr>
        <w:t>to</w:t>
      </w:r>
      <w:r w:rsidR="00980034" w:rsidRPr="009D743B">
        <w:rPr>
          <w:rFonts w:cs="Arial"/>
          <w:snapToGrid w:val="0"/>
          <w:szCs w:val="20"/>
        </w:rPr>
        <w:t xml:space="preserve"> </w:t>
      </w:r>
      <w:r w:rsidRPr="009D743B">
        <w:rPr>
          <w:rFonts w:cs="Arial"/>
          <w:snapToGrid w:val="0"/>
          <w:szCs w:val="20"/>
        </w:rPr>
        <w:t xml:space="preserve">the </w:t>
      </w:r>
      <w:r w:rsidR="00980034" w:rsidRPr="009D743B">
        <w:rPr>
          <w:rFonts w:cs="Arial"/>
          <w:snapToGrid w:val="0"/>
          <w:szCs w:val="20"/>
        </w:rPr>
        <w:t xml:space="preserve">sub-group analysis. </w:t>
      </w:r>
    </w:p>
    <w:p w:rsidR="00C317F3" w:rsidRPr="00B876BB" w:rsidRDefault="00C317F3" w:rsidP="00772501">
      <w:pPr>
        <w:pStyle w:val="Heading2"/>
      </w:pPr>
      <w:bookmarkStart w:id="25" w:name="_Toc413139279"/>
      <w:bookmarkStart w:id="26" w:name="_Toc514253031"/>
      <w:r w:rsidRPr="00B876BB">
        <w:lastRenderedPageBreak/>
        <w:t>Comparative harms</w:t>
      </w:r>
      <w:bookmarkEnd w:id="25"/>
      <w:bookmarkEnd w:id="26"/>
    </w:p>
    <w:p w:rsidR="0092060F" w:rsidRPr="009D743B" w:rsidRDefault="00D37F28" w:rsidP="00B876BB">
      <w:pPr>
        <w:pStyle w:val="ListParagraph"/>
        <w:numPr>
          <w:ilvl w:val="0"/>
          <w:numId w:val="11"/>
        </w:numPr>
        <w:spacing w:before="0" w:after="120"/>
        <w:ind w:left="567" w:hanging="567"/>
        <w:jc w:val="both"/>
      </w:pPr>
      <w:r w:rsidRPr="009D743B">
        <w:t xml:space="preserve">The </w:t>
      </w:r>
      <w:r w:rsidR="00E81009" w:rsidRPr="009D743B">
        <w:t xml:space="preserve">resubmission </w:t>
      </w:r>
      <w:r w:rsidR="009C025E" w:rsidRPr="009D743B">
        <w:t>presented the same i</w:t>
      </w:r>
      <w:r w:rsidR="00993A60" w:rsidRPr="009D743B">
        <w:t xml:space="preserve">nformation on comparative </w:t>
      </w:r>
      <w:r w:rsidR="001442A6" w:rsidRPr="009D743B">
        <w:t>harms;</w:t>
      </w:r>
      <w:r w:rsidR="0033402E" w:rsidRPr="009D743B">
        <w:t xml:space="preserve"> h</w:t>
      </w:r>
      <w:r w:rsidR="009C025E" w:rsidRPr="009D743B">
        <w:t xml:space="preserve">owever, in relation to the </w:t>
      </w:r>
      <w:r w:rsidRPr="009D743B">
        <w:t xml:space="preserve">population with OSI in the GO-AHEAD trial, the </w:t>
      </w:r>
      <w:r w:rsidR="009C025E" w:rsidRPr="009D743B">
        <w:t xml:space="preserve">resubmission </w:t>
      </w:r>
      <w:r w:rsidR="0033402E" w:rsidRPr="009D743B">
        <w:t xml:space="preserve">additionally </w:t>
      </w:r>
      <w:r w:rsidR="009C025E" w:rsidRPr="009D743B">
        <w:t xml:space="preserve">reported that the </w:t>
      </w:r>
      <w:r w:rsidRPr="009D743B">
        <w:t xml:space="preserve">proportion of patients who experienced serious infections in the golimumab arm was </w:t>
      </w:r>
      <w:r w:rsidR="0050211C">
        <w:rPr>
          <w:rFonts w:ascii="Calibri" w:eastAsia="Calibri" w:hAnsi="Calibri" w:cs="Arial"/>
          <w:noProof/>
          <w:color w:val="000000"/>
          <w:highlight w:val="black"/>
        </w:rPr>
        <w:t>'''''''</w:t>
      </w:r>
      <w:r w:rsidRPr="00E52A7F">
        <w:t>% (</w:t>
      </w:r>
      <w:r w:rsidR="0050211C">
        <w:rPr>
          <w:rFonts w:ascii="Calibri" w:eastAsia="Calibri" w:hAnsi="Calibri" w:cs="Arial"/>
          <w:noProof/>
          <w:color w:val="000000"/>
          <w:highlight w:val="black"/>
        </w:rPr>
        <w:t>''' '''''''''</w:t>
      </w:r>
      <w:r w:rsidRPr="00E52A7F">
        <w:t xml:space="preserve"> of bacterial infection/76 patients in the OSI population). This compared to 1.0% (1/93)</w:t>
      </w:r>
      <w:r w:rsidRPr="009D743B">
        <w:t xml:space="preserve"> of patients treated with golimumab in the full study population. The </w:t>
      </w:r>
      <w:r w:rsidR="004D614C" w:rsidRPr="009D743B">
        <w:t xml:space="preserve">duration </w:t>
      </w:r>
      <w:r w:rsidRPr="009D743B">
        <w:t xml:space="preserve">of the episode was </w:t>
      </w:r>
      <w:r w:rsidR="0050211C">
        <w:rPr>
          <w:rFonts w:ascii="Calibri" w:eastAsia="Calibri" w:hAnsi="Calibri" w:cs="Arial"/>
          <w:noProof/>
          <w:color w:val="000000"/>
          <w:highlight w:val="black"/>
        </w:rPr>
        <w:t>''''''''</w:t>
      </w:r>
      <w:r w:rsidR="00E41C90" w:rsidRPr="00E52A7F">
        <w:rPr>
          <w:rFonts w:ascii="Calibri" w:eastAsia="Calibri" w:hAnsi="Calibri" w:cs="Arial"/>
        </w:rPr>
        <w:t xml:space="preserve"> </w:t>
      </w:r>
      <w:r w:rsidR="004D614C" w:rsidRPr="00E52A7F">
        <w:t>weeks</w:t>
      </w:r>
      <w:r w:rsidR="00E81009" w:rsidRPr="009D743B">
        <w:t xml:space="preserve">. </w:t>
      </w:r>
      <w:r w:rsidRPr="009D743B">
        <w:t xml:space="preserve">An annual rate of serious infection of </w:t>
      </w:r>
      <w:r w:rsidR="0050211C">
        <w:rPr>
          <w:rFonts w:ascii="Calibri" w:eastAsia="Calibri" w:hAnsi="Calibri" w:cs="Arial"/>
          <w:noProof/>
          <w:color w:val="000000"/>
          <w:highlight w:val="black"/>
        </w:rPr>
        <w:t>''''''</w:t>
      </w:r>
      <w:r w:rsidRPr="00E52A7F">
        <w:t>%</w:t>
      </w:r>
      <w:r w:rsidRPr="009D743B">
        <w:t xml:space="preserve"> was used in the economic model with the duration assumed to be 2 weeks. </w:t>
      </w:r>
      <w:r w:rsidR="00983B61" w:rsidRPr="009D743B">
        <w:t xml:space="preserve">This was </w:t>
      </w:r>
      <w:r w:rsidR="00673118" w:rsidRPr="009D743B">
        <w:t>reasonable as golimumab is associated with increased infections, but it should be noted that the incidence of infection was not statistically significant</w:t>
      </w:r>
      <w:r w:rsidR="00933D1A" w:rsidRPr="009D743B">
        <w:t>ly</w:t>
      </w:r>
      <w:r w:rsidR="00673118" w:rsidRPr="009D743B">
        <w:t xml:space="preserve"> different between treatment groups in the GO-AHEAD trial, nor in the OSI population</w:t>
      </w:r>
      <w:r w:rsidR="000A2ECD" w:rsidRPr="009D743B">
        <w:t>s</w:t>
      </w:r>
      <w:r w:rsidR="00983B61" w:rsidRPr="009D743B">
        <w:t>.</w:t>
      </w:r>
      <w:r w:rsidR="00E70D7B" w:rsidRPr="009D743B">
        <w:t xml:space="preserve"> </w:t>
      </w:r>
    </w:p>
    <w:p w:rsidR="00E81009" w:rsidRPr="009D743B" w:rsidRDefault="0092060F" w:rsidP="00B876BB">
      <w:pPr>
        <w:pStyle w:val="ListParagraph"/>
        <w:numPr>
          <w:ilvl w:val="0"/>
          <w:numId w:val="11"/>
        </w:numPr>
        <w:spacing w:before="0" w:after="120"/>
        <w:ind w:left="567" w:hanging="567"/>
        <w:jc w:val="both"/>
      </w:pPr>
      <w:r w:rsidRPr="009D743B">
        <w:t>T</w:t>
      </w:r>
      <w:r w:rsidR="00E70D7B" w:rsidRPr="009D743B">
        <w:t>he GO-AHEAD trial duration was not sufficient to determine the long-term risk of infections in the broader population of patients who would be treated in Australian clinical practice.</w:t>
      </w:r>
    </w:p>
    <w:p w:rsidR="00624315" w:rsidRPr="00B876BB" w:rsidRDefault="00624315" w:rsidP="00772501">
      <w:pPr>
        <w:pStyle w:val="Heading2"/>
      </w:pPr>
      <w:bookmarkStart w:id="27" w:name="_Toc514253032"/>
      <w:bookmarkStart w:id="28" w:name="_Toc413139281"/>
      <w:r w:rsidRPr="00B876BB">
        <w:t>Benefits and harms</w:t>
      </w:r>
      <w:bookmarkEnd w:id="27"/>
    </w:p>
    <w:p w:rsidR="00AA3193" w:rsidRPr="009D743B" w:rsidRDefault="00AA3193" w:rsidP="00B876BB">
      <w:pPr>
        <w:pStyle w:val="ListParagraph"/>
        <w:numPr>
          <w:ilvl w:val="0"/>
          <w:numId w:val="11"/>
        </w:numPr>
        <w:spacing w:before="0" w:after="120"/>
        <w:ind w:left="567" w:hanging="567"/>
        <w:jc w:val="both"/>
      </w:pPr>
      <w:r w:rsidRPr="009D743B">
        <w:t xml:space="preserve">A summary of the comparative benefits </w:t>
      </w:r>
      <w:r w:rsidR="001F3513" w:rsidRPr="009D743B">
        <w:t xml:space="preserve">and harms </w:t>
      </w:r>
      <w:r w:rsidRPr="009D743B">
        <w:t>for golimumab versus placebo is presented in</w:t>
      </w:r>
      <w:r w:rsidR="001F3513" w:rsidRPr="009D743B">
        <w:t xml:space="preserve"> </w:t>
      </w:r>
      <w:r w:rsidR="00B40F42" w:rsidRPr="009D743B">
        <w:t xml:space="preserve">Table </w:t>
      </w:r>
      <w:r w:rsidR="00A72FBF" w:rsidRPr="009D743B">
        <w:t>8</w:t>
      </w:r>
      <w:r w:rsidR="00FD42DD" w:rsidRPr="009D743B">
        <w:t>.</w:t>
      </w:r>
      <w:r w:rsidR="00993A60" w:rsidRPr="009D743B">
        <w:t xml:space="preserve"> These remain unchanged from the previous</w:t>
      </w:r>
      <w:r w:rsidR="00EA3507" w:rsidRPr="009D743B">
        <w:t xml:space="preserve"> submission</w:t>
      </w:r>
      <w:r w:rsidR="00993A60" w:rsidRPr="009D743B">
        <w:t>, with the exception of serious infections.</w:t>
      </w:r>
    </w:p>
    <w:p w:rsidR="00FD42DD" w:rsidRPr="009D743B" w:rsidRDefault="00FD42DD" w:rsidP="00FD42DD">
      <w:pPr>
        <w:pStyle w:val="Caption"/>
        <w:rPr>
          <w:rFonts w:ascii="Arial Narrow" w:hAnsi="Arial Narrow"/>
        </w:rPr>
      </w:pPr>
      <w:bookmarkStart w:id="29" w:name="_Ref510521553"/>
      <w:r w:rsidRPr="009D743B">
        <w:rPr>
          <w:rFonts w:ascii="Arial Narrow" w:hAnsi="Arial Narrow"/>
        </w:rPr>
        <w:t xml:space="preserve">Table </w:t>
      </w:r>
      <w:bookmarkEnd w:id="29"/>
      <w:r w:rsidR="00A72FBF" w:rsidRPr="009D743B">
        <w:rPr>
          <w:rFonts w:ascii="Arial Narrow" w:hAnsi="Arial Narrow"/>
        </w:rPr>
        <w:t>8</w:t>
      </w:r>
      <w:r w:rsidRPr="009D743B">
        <w:rPr>
          <w:rFonts w:ascii="Arial Narrow" w:hAnsi="Arial Narrow"/>
        </w:rPr>
        <w:t>: Summary of comparative benefits for golimumab 50 mg and placebo</w:t>
      </w:r>
    </w:p>
    <w:tbl>
      <w:tblPr>
        <w:tblStyle w:val="TableGridbeth1"/>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ummary of comparative benefits for golimumab 50 mg and placebo"/>
      </w:tblPr>
      <w:tblGrid>
        <w:gridCol w:w="2391"/>
        <w:gridCol w:w="995"/>
        <w:gridCol w:w="1000"/>
        <w:gridCol w:w="1287"/>
        <w:gridCol w:w="1140"/>
        <w:gridCol w:w="1002"/>
        <w:gridCol w:w="1258"/>
      </w:tblGrid>
      <w:tr w:rsidR="0033402E" w:rsidRPr="009D743B" w:rsidTr="00D561BA">
        <w:trPr>
          <w:cnfStyle w:val="100000000000" w:firstRow="1" w:lastRow="0" w:firstColumn="0" w:lastColumn="0" w:oddVBand="0" w:evenVBand="0" w:oddHBand="0" w:evenHBand="0" w:firstRowFirstColumn="0" w:firstRowLastColumn="0" w:lastRowFirstColumn="0" w:lastRowLastColumn="0"/>
          <w:trHeight w:val="150"/>
          <w:tblHeader/>
        </w:trPr>
        <w:tc>
          <w:tcPr>
            <w:tcW w:w="1318" w:type="pct"/>
            <w:vMerge w:val="restart"/>
            <w:shd w:val="clear" w:color="auto" w:fill="auto"/>
            <w:vAlign w:val="center"/>
          </w:tcPr>
          <w:p w:rsidR="0033402E" w:rsidRPr="009D743B" w:rsidRDefault="0033402E" w:rsidP="00AD3C26">
            <w:pPr>
              <w:keepNext/>
              <w:spacing w:before="40" w:after="40"/>
              <w:rPr>
                <w:rFonts w:ascii="Arial Narrow" w:hAnsi="Arial Narrow"/>
                <w:sz w:val="20"/>
                <w:lang w:val="en-AU"/>
              </w:rPr>
            </w:pPr>
            <w:r w:rsidRPr="009D743B">
              <w:rPr>
                <w:rFonts w:ascii="Arial Narrow" w:hAnsi="Arial Narrow"/>
                <w:sz w:val="20"/>
                <w:lang w:val="en-AU"/>
              </w:rPr>
              <w:t>GO-AHEAD trial: OSI population</w:t>
            </w:r>
          </w:p>
        </w:tc>
        <w:tc>
          <w:tcPr>
            <w:tcW w:w="549" w:type="pct"/>
            <w:vMerge w:val="restart"/>
            <w:shd w:val="clear" w:color="auto" w:fill="auto"/>
            <w:vAlign w:val="center"/>
          </w:tcPr>
          <w:p w:rsidR="0033402E" w:rsidRPr="009D743B" w:rsidRDefault="0033402E" w:rsidP="00AD3C26">
            <w:pPr>
              <w:keepNext/>
              <w:spacing w:before="40" w:after="40"/>
              <w:jc w:val="center"/>
              <w:rPr>
                <w:rFonts w:ascii="Arial Narrow" w:hAnsi="Arial Narrow"/>
                <w:sz w:val="20"/>
                <w:lang w:val="en-AU"/>
              </w:rPr>
            </w:pPr>
            <w:r w:rsidRPr="009D743B">
              <w:rPr>
                <w:rFonts w:ascii="Arial Narrow" w:hAnsi="Arial Narrow"/>
                <w:sz w:val="20"/>
                <w:lang w:val="en-AU"/>
              </w:rPr>
              <w:t>Golimumab</w:t>
            </w:r>
          </w:p>
        </w:tc>
        <w:tc>
          <w:tcPr>
            <w:tcW w:w="551" w:type="pct"/>
            <w:vMerge w:val="restart"/>
            <w:shd w:val="clear" w:color="auto" w:fill="auto"/>
            <w:vAlign w:val="center"/>
          </w:tcPr>
          <w:p w:rsidR="0033402E" w:rsidRPr="009D743B" w:rsidRDefault="0033402E" w:rsidP="00AD3C26">
            <w:pPr>
              <w:keepNext/>
              <w:spacing w:before="40" w:after="40"/>
              <w:jc w:val="center"/>
              <w:rPr>
                <w:rFonts w:ascii="Arial Narrow" w:hAnsi="Arial Narrow"/>
                <w:sz w:val="20"/>
                <w:lang w:val="en-AU"/>
              </w:rPr>
            </w:pPr>
            <w:r w:rsidRPr="009D743B">
              <w:rPr>
                <w:rFonts w:ascii="Arial Narrow" w:hAnsi="Arial Narrow"/>
                <w:sz w:val="20"/>
                <w:lang w:val="en-AU"/>
              </w:rPr>
              <w:t>Placebo</w:t>
            </w:r>
          </w:p>
        </w:tc>
        <w:tc>
          <w:tcPr>
            <w:tcW w:w="709" w:type="pct"/>
            <w:vMerge w:val="restart"/>
            <w:shd w:val="clear" w:color="auto" w:fill="auto"/>
            <w:vAlign w:val="center"/>
          </w:tcPr>
          <w:p w:rsidR="0033402E" w:rsidRPr="009D743B" w:rsidRDefault="0033402E" w:rsidP="00AD3C26">
            <w:pPr>
              <w:keepNext/>
              <w:spacing w:before="40" w:after="40"/>
              <w:jc w:val="center"/>
              <w:rPr>
                <w:rFonts w:ascii="Arial Narrow" w:hAnsi="Arial Narrow"/>
                <w:sz w:val="20"/>
                <w:lang w:val="en-AU"/>
              </w:rPr>
            </w:pPr>
            <w:r w:rsidRPr="009D743B">
              <w:rPr>
                <w:rFonts w:ascii="Arial Narrow" w:hAnsi="Arial Narrow"/>
                <w:sz w:val="20"/>
                <w:lang w:val="en-AU"/>
              </w:rPr>
              <w:t>RR</w:t>
            </w:r>
          </w:p>
          <w:p w:rsidR="0033402E" w:rsidRPr="009D743B" w:rsidRDefault="0033402E" w:rsidP="00AD3C26">
            <w:pPr>
              <w:keepNext/>
              <w:spacing w:before="40" w:after="40"/>
              <w:jc w:val="center"/>
              <w:rPr>
                <w:rFonts w:ascii="Arial Narrow" w:hAnsi="Arial Narrow"/>
                <w:sz w:val="20"/>
                <w:lang w:val="en-AU"/>
              </w:rPr>
            </w:pPr>
            <w:r w:rsidRPr="009D743B">
              <w:rPr>
                <w:rFonts w:ascii="Arial Narrow" w:hAnsi="Arial Narrow"/>
                <w:sz w:val="20"/>
                <w:lang w:val="en-AU"/>
              </w:rPr>
              <w:t>(95% CI)</w:t>
            </w:r>
          </w:p>
        </w:tc>
        <w:tc>
          <w:tcPr>
            <w:tcW w:w="1180" w:type="pct"/>
            <w:gridSpan w:val="2"/>
            <w:shd w:val="clear" w:color="auto" w:fill="auto"/>
            <w:vAlign w:val="center"/>
          </w:tcPr>
          <w:p w:rsidR="0033402E" w:rsidRPr="009D743B" w:rsidRDefault="0033402E" w:rsidP="00AD3C26">
            <w:pPr>
              <w:keepNext/>
              <w:spacing w:before="40" w:after="40"/>
              <w:jc w:val="center"/>
              <w:rPr>
                <w:rFonts w:ascii="Arial Narrow" w:hAnsi="Arial Narrow"/>
                <w:sz w:val="20"/>
                <w:lang w:val="en-AU"/>
              </w:rPr>
            </w:pPr>
            <w:r w:rsidRPr="009D743B">
              <w:rPr>
                <w:rFonts w:ascii="Arial Narrow" w:hAnsi="Arial Narrow"/>
                <w:sz w:val="20"/>
                <w:lang w:val="en-AU"/>
              </w:rPr>
              <w:t>Events/100 patients</w:t>
            </w:r>
          </w:p>
        </w:tc>
        <w:tc>
          <w:tcPr>
            <w:tcW w:w="692" w:type="pct"/>
            <w:vMerge w:val="restart"/>
            <w:shd w:val="clear" w:color="auto" w:fill="auto"/>
            <w:vAlign w:val="center"/>
          </w:tcPr>
          <w:p w:rsidR="0033402E" w:rsidRPr="009D743B" w:rsidRDefault="0033402E" w:rsidP="00AD3C26">
            <w:pPr>
              <w:keepNext/>
              <w:spacing w:before="40" w:after="40"/>
              <w:jc w:val="center"/>
              <w:rPr>
                <w:rFonts w:ascii="Arial Narrow" w:hAnsi="Arial Narrow"/>
                <w:sz w:val="20"/>
                <w:lang w:val="en-AU"/>
              </w:rPr>
            </w:pPr>
            <w:r w:rsidRPr="009D743B">
              <w:rPr>
                <w:rFonts w:ascii="Arial Narrow" w:hAnsi="Arial Narrow"/>
                <w:sz w:val="20"/>
                <w:lang w:val="en-AU"/>
              </w:rPr>
              <w:t>RD</w:t>
            </w:r>
          </w:p>
          <w:p w:rsidR="0033402E" w:rsidRPr="009D743B" w:rsidRDefault="0033402E" w:rsidP="00AD3C26">
            <w:pPr>
              <w:keepNext/>
              <w:spacing w:before="40" w:after="40"/>
              <w:jc w:val="center"/>
              <w:rPr>
                <w:rFonts w:ascii="Arial Narrow" w:hAnsi="Arial Narrow"/>
                <w:sz w:val="20"/>
                <w:lang w:val="en-AU"/>
              </w:rPr>
            </w:pPr>
            <w:r w:rsidRPr="009D743B">
              <w:rPr>
                <w:rFonts w:ascii="Arial Narrow" w:hAnsi="Arial Narrow"/>
                <w:sz w:val="20"/>
                <w:lang w:val="en-AU"/>
              </w:rPr>
              <w:t>(95% CI)</w:t>
            </w:r>
          </w:p>
        </w:tc>
      </w:tr>
      <w:tr w:rsidR="0033402E" w:rsidRPr="009D743B" w:rsidTr="00D561BA">
        <w:trPr>
          <w:cnfStyle w:val="100000000000" w:firstRow="1" w:lastRow="0" w:firstColumn="0" w:lastColumn="0" w:oddVBand="0" w:evenVBand="0" w:oddHBand="0" w:evenHBand="0" w:firstRowFirstColumn="0" w:firstRowLastColumn="0" w:lastRowFirstColumn="0" w:lastRowLastColumn="0"/>
          <w:trHeight w:val="315"/>
          <w:tblHeader/>
        </w:trPr>
        <w:tc>
          <w:tcPr>
            <w:tcW w:w="1318" w:type="pct"/>
            <w:vMerge/>
            <w:shd w:val="clear" w:color="auto" w:fill="auto"/>
            <w:vAlign w:val="center"/>
          </w:tcPr>
          <w:p w:rsidR="0033402E" w:rsidRPr="009D743B" w:rsidRDefault="0033402E" w:rsidP="00906164">
            <w:pPr>
              <w:keepNext/>
              <w:spacing w:before="40" w:after="40"/>
              <w:rPr>
                <w:rFonts w:ascii="Arial Narrow" w:hAnsi="Arial Narrow"/>
                <w:b w:val="0"/>
                <w:sz w:val="20"/>
                <w:lang w:val="en-AU"/>
              </w:rPr>
            </w:pPr>
          </w:p>
        </w:tc>
        <w:tc>
          <w:tcPr>
            <w:tcW w:w="549" w:type="pct"/>
            <w:vMerge/>
            <w:shd w:val="clear" w:color="auto" w:fill="auto"/>
            <w:vAlign w:val="center"/>
          </w:tcPr>
          <w:p w:rsidR="0033402E" w:rsidRPr="009D743B" w:rsidRDefault="0033402E" w:rsidP="00906164">
            <w:pPr>
              <w:keepNext/>
              <w:spacing w:before="40" w:after="40"/>
              <w:jc w:val="center"/>
              <w:rPr>
                <w:rFonts w:ascii="Arial Narrow" w:hAnsi="Arial Narrow"/>
                <w:sz w:val="20"/>
                <w:lang w:val="en-AU"/>
              </w:rPr>
            </w:pPr>
          </w:p>
        </w:tc>
        <w:tc>
          <w:tcPr>
            <w:tcW w:w="551" w:type="pct"/>
            <w:vMerge/>
            <w:shd w:val="clear" w:color="auto" w:fill="auto"/>
            <w:vAlign w:val="center"/>
          </w:tcPr>
          <w:p w:rsidR="0033402E" w:rsidRPr="009D743B" w:rsidRDefault="0033402E" w:rsidP="00906164">
            <w:pPr>
              <w:keepNext/>
              <w:spacing w:before="40" w:after="40"/>
              <w:jc w:val="center"/>
              <w:rPr>
                <w:rFonts w:ascii="Arial Narrow" w:hAnsi="Arial Narrow"/>
                <w:sz w:val="20"/>
                <w:lang w:val="en-AU"/>
              </w:rPr>
            </w:pPr>
          </w:p>
        </w:tc>
        <w:tc>
          <w:tcPr>
            <w:tcW w:w="709" w:type="pct"/>
            <w:vMerge/>
            <w:shd w:val="clear" w:color="auto" w:fill="auto"/>
            <w:vAlign w:val="center"/>
          </w:tcPr>
          <w:p w:rsidR="0033402E" w:rsidRPr="009D743B" w:rsidRDefault="0033402E" w:rsidP="00906164">
            <w:pPr>
              <w:keepNext/>
              <w:spacing w:before="40" w:after="40"/>
              <w:jc w:val="center"/>
              <w:rPr>
                <w:rFonts w:ascii="Arial Narrow" w:hAnsi="Arial Narrow"/>
                <w:sz w:val="20"/>
                <w:lang w:val="en-AU"/>
              </w:rPr>
            </w:pPr>
          </w:p>
        </w:tc>
        <w:tc>
          <w:tcPr>
            <w:tcW w:w="628" w:type="pct"/>
            <w:shd w:val="clear" w:color="auto" w:fill="auto"/>
            <w:vAlign w:val="center"/>
          </w:tcPr>
          <w:p w:rsidR="0033402E" w:rsidRPr="009D743B" w:rsidRDefault="0033402E" w:rsidP="00906164">
            <w:pPr>
              <w:keepNext/>
              <w:spacing w:before="40" w:after="40"/>
              <w:jc w:val="center"/>
              <w:rPr>
                <w:rFonts w:ascii="Arial Narrow" w:hAnsi="Arial Narrow"/>
                <w:b w:val="0"/>
                <w:sz w:val="20"/>
                <w:lang w:val="en-AU"/>
              </w:rPr>
            </w:pPr>
            <w:r w:rsidRPr="009D743B">
              <w:rPr>
                <w:rFonts w:ascii="Arial Narrow" w:hAnsi="Arial Narrow"/>
                <w:sz w:val="20"/>
                <w:lang w:val="en-AU"/>
              </w:rPr>
              <w:t>Golimumab</w:t>
            </w:r>
          </w:p>
        </w:tc>
        <w:tc>
          <w:tcPr>
            <w:tcW w:w="552" w:type="pct"/>
            <w:shd w:val="clear" w:color="auto" w:fill="auto"/>
            <w:vAlign w:val="center"/>
          </w:tcPr>
          <w:p w:rsidR="0033402E" w:rsidRPr="009D743B" w:rsidRDefault="0033402E" w:rsidP="00906164">
            <w:pPr>
              <w:keepNext/>
              <w:spacing w:before="40" w:after="40"/>
              <w:jc w:val="center"/>
              <w:rPr>
                <w:rFonts w:ascii="Arial Narrow" w:hAnsi="Arial Narrow"/>
                <w:b w:val="0"/>
                <w:sz w:val="20"/>
                <w:lang w:val="en-AU"/>
              </w:rPr>
            </w:pPr>
            <w:r w:rsidRPr="009D743B">
              <w:rPr>
                <w:rFonts w:ascii="Arial Narrow" w:hAnsi="Arial Narrow"/>
                <w:sz w:val="20"/>
                <w:lang w:val="en-AU"/>
              </w:rPr>
              <w:t>Placebo</w:t>
            </w:r>
          </w:p>
        </w:tc>
        <w:tc>
          <w:tcPr>
            <w:tcW w:w="692" w:type="pct"/>
            <w:vMerge/>
            <w:shd w:val="clear" w:color="auto" w:fill="auto"/>
            <w:vAlign w:val="center"/>
          </w:tcPr>
          <w:p w:rsidR="0033402E" w:rsidRPr="009D743B" w:rsidRDefault="0033402E" w:rsidP="00906164">
            <w:pPr>
              <w:keepNext/>
              <w:spacing w:before="40" w:after="40"/>
              <w:jc w:val="center"/>
              <w:rPr>
                <w:rFonts w:ascii="Arial Narrow" w:hAnsi="Arial Narrow"/>
                <w:sz w:val="20"/>
                <w:lang w:val="en-AU"/>
              </w:rPr>
            </w:pPr>
          </w:p>
        </w:tc>
      </w:tr>
      <w:tr w:rsidR="0033402E" w:rsidRPr="009D743B" w:rsidTr="0033402E">
        <w:tc>
          <w:tcPr>
            <w:tcW w:w="5000" w:type="pct"/>
            <w:gridSpan w:val="7"/>
            <w:shd w:val="clear" w:color="auto" w:fill="auto"/>
            <w:vAlign w:val="center"/>
          </w:tcPr>
          <w:p w:rsidR="0033402E" w:rsidRPr="009D743B" w:rsidRDefault="0033402E" w:rsidP="0033402E">
            <w:pPr>
              <w:keepNext/>
              <w:spacing w:before="40" w:after="40"/>
              <w:rPr>
                <w:rFonts w:ascii="Arial Narrow" w:hAnsi="Arial Narrow"/>
                <w:b/>
                <w:sz w:val="20"/>
                <w:lang w:val="en-AU"/>
              </w:rPr>
            </w:pPr>
            <w:r w:rsidRPr="009D743B">
              <w:rPr>
                <w:rFonts w:ascii="Arial Narrow" w:hAnsi="Arial Narrow"/>
                <w:b/>
                <w:sz w:val="20"/>
                <w:lang w:val="en-AU"/>
              </w:rPr>
              <w:t>Benefits</w:t>
            </w:r>
          </w:p>
        </w:tc>
      </w:tr>
      <w:tr w:rsidR="00561642" w:rsidRPr="009D743B" w:rsidTr="00561642">
        <w:tc>
          <w:tcPr>
            <w:tcW w:w="1318" w:type="pct"/>
            <w:shd w:val="clear" w:color="auto" w:fill="auto"/>
            <w:vAlign w:val="center"/>
          </w:tcPr>
          <w:p w:rsidR="00561642" w:rsidRPr="0061060D" w:rsidRDefault="00561642" w:rsidP="00906164">
            <w:pPr>
              <w:keepNext/>
              <w:spacing w:before="40" w:after="40"/>
              <w:rPr>
                <w:rFonts w:ascii="Arial Narrow" w:hAnsi="Arial Narrow"/>
                <w:sz w:val="20"/>
                <w:lang w:val="en-AU"/>
              </w:rPr>
            </w:pPr>
            <w:r w:rsidRPr="0061060D">
              <w:rPr>
                <w:rFonts w:ascii="Arial Narrow" w:hAnsi="Arial Narrow"/>
                <w:sz w:val="20"/>
                <w:lang w:val="en-AU"/>
              </w:rPr>
              <w:t>ASAS 20 response at 16 weeks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561642" w:rsidRPr="0050211C" w:rsidRDefault="00561642" w:rsidP="00906164">
            <w:pPr>
              <w:keepNext/>
              <w:spacing w:before="40" w:after="40"/>
              <w:jc w:val="center"/>
              <w:rPr>
                <w:rFonts w:ascii="Arial Narrow" w:hAnsi="Arial Narrow"/>
                <w:sz w:val="20"/>
                <w:lang w:val="en-AU"/>
              </w:rPr>
            </w:pPr>
            <w:r w:rsidRPr="0061060D">
              <w:rPr>
                <w:rFonts w:ascii="Arial Narrow" w:hAnsi="Arial Narrow"/>
                <w:sz w:val="20"/>
                <w:szCs w:val="20"/>
                <w:lang w:val="en-AU"/>
              </w:rPr>
              <w:t>60/78</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61642" w:rsidRPr="0050211C" w:rsidRDefault="00561642" w:rsidP="00906164">
            <w:pPr>
              <w:keepNext/>
              <w:spacing w:before="40" w:after="40"/>
              <w:jc w:val="center"/>
              <w:rPr>
                <w:rFonts w:ascii="Arial Narrow" w:hAnsi="Arial Narrow"/>
                <w:sz w:val="20"/>
                <w:lang w:val="en-AU"/>
              </w:rPr>
            </w:pPr>
            <w:r w:rsidRPr="0061060D">
              <w:rPr>
                <w:rFonts w:ascii="Arial Narrow" w:hAnsi="Arial Narrow"/>
                <w:sz w:val="20"/>
                <w:szCs w:val="20"/>
                <w:lang w:val="en-AU"/>
              </w:rPr>
              <w:t>30/80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561642" w:rsidRPr="0061060D" w:rsidRDefault="00561642" w:rsidP="002609A6">
            <w:pPr>
              <w:keepNext/>
              <w:spacing w:before="40" w:after="40"/>
              <w:jc w:val="center"/>
              <w:rPr>
                <w:rFonts w:ascii="Arial Narrow" w:hAnsi="Arial Narrow"/>
                <w:b/>
                <w:sz w:val="20"/>
                <w:szCs w:val="20"/>
                <w:lang w:val="en-AU"/>
              </w:rPr>
            </w:pPr>
            <w:r w:rsidRPr="0061060D">
              <w:rPr>
                <w:rFonts w:ascii="Arial Narrow" w:hAnsi="Arial Narrow"/>
                <w:b/>
                <w:sz w:val="20"/>
                <w:szCs w:val="20"/>
                <w:lang w:val="en-AU"/>
              </w:rPr>
              <w:t xml:space="preserve">2.05 </w:t>
            </w:r>
          </w:p>
          <w:p w:rsidR="00561642" w:rsidRPr="0050211C" w:rsidRDefault="00561642" w:rsidP="00906164">
            <w:pPr>
              <w:keepNext/>
              <w:spacing w:before="40" w:after="40"/>
              <w:jc w:val="center"/>
              <w:rPr>
                <w:rFonts w:ascii="Arial Narrow" w:hAnsi="Arial Narrow"/>
                <w:b/>
                <w:sz w:val="20"/>
                <w:lang w:val="en-AU"/>
              </w:rPr>
            </w:pPr>
            <w:r w:rsidRPr="0061060D">
              <w:rPr>
                <w:rFonts w:ascii="Arial Narrow" w:hAnsi="Arial Narrow"/>
                <w:b/>
                <w:sz w:val="20"/>
                <w:szCs w:val="20"/>
                <w:lang w:val="en-AU"/>
              </w:rPr>
              <w:t>(1.51, 2.79)</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61642" w:rsidRPr="0050211C" w:rsidRDefault="00561642" w:rsidP="00906164">
            <w:pPr>
              <w:keepNext/>
              <w:spacing w:before="40" w:after="40"/>
              <w:jc w:val="center"/>
              <w:rPr>
                <w:rFonts w:ascii="Arial Narrow" w:hAnsi="Arial Narrow"/>
                <w:sz w:val="20"/>
                <w:lang w:val="en-AU"/>
              </w:rPr>
            </w:pPr>
            <w:r w:rsidRPr="0061060D">
              <w:rPr>
                <w:rFonts w:ascii="Arial Narrow" w:hAnsi="Arial Narrow"/>
                <w:sz w:val="20"/>
                <w:lang w:val="en-AU"/>
              </w:rPr>
              <w:t>76.9</w:t>
            </w:r>
          </w:p>
        </w:tc>
        <w:tc>
          <w:tcPr>
            <w:tcW w:w="552" w:type="pct"/>
            <w:shd w:val="clear" w:color="auto" w:fill="auto"/>
            <w:vAlign w:val="center"/>
          </w:tcPr>
          <w:p w:rsidR="00561642" w:rsidRPr="0050211C" w:rsidRDefault="00561642" w:rsidP="00906164">
            <w:pPr>
              <w:keepNext/>
              <w:spacing w:before="40" w:after="40"/>
              <w:jc w:val="center"/>
              <w:rPr>
                <w:rFonts w:ascii="Arial Narrow" w:hAnsi="Arial Narrow"/>
                <w:sz w:val="20"/>
                <w:lang w:val="en-AU"/>
              </w:rPr>
            </w:pPr>
            <w:r w:rsidRPr="0061060D">
              <w:rPr>
                <w:rFonts w:ascii="Arial Narrow" w:hAnsi="Arial Narrow"/>
                <w:sz w:val="20"/>
                <w:lang w:val="en-AU"/>
              </w:rPr>
              <w:t>37.5</w:t>
            </w:r>
          </w:p>
        </w:tc>
        <w:tc>
          <w:tcPr>
            <w:tcW w:w="692" w:type="pct"/>
            <w:shd w:val="clear" w:color="auto" w:fill="auto"/>
            <w:vAlign w:val="center"/>
          </w:tcPr>
          <w:p w:rsidR="00561642" w:rsidRPr="0061060D" w:rsidRDefault="00561642" w:rsidP="002609A6">
            <w:pPr>
              <w:keepNext/>
              <w:spacing w:before="40" w:after="40"/>
              <w:jc w:val="center"/>
              <w:rPr>
                <w:rFonts w:ascii="Arial Narrow" w:hAnsi="Arial Narrow"/>
                <w:b/>
                <w:sz w:val="20"/>
                <w:lang w:val="en-AU"/>
              </w:rPr>
            </w:pPr>
            <w:r w:rsidRPr="0061060D">
              <w:rPr>
                <w:rFonts w:ascii="Arial Narrow" w:hAnsi="Arial Narrow"/>
                <w:b/>
                <w:sz w:val="20"/>
                <w:lang w:val="en-AU"/>
              </w:rPr>
              <w:t xml:space="preserve">0.40 </w:t>
            </w:r>
          </w:p>
          <w:p w:rsidR="00561642" w:rsidRPr="0050211C" w:rsidRDefault="00561642" w:rsidP="00906164">
            <w:pPr>
              <w:keepNext/>
              <w:spacing w:before="40" w:after="40"/>
              <w:jc w:val="center"/>
              <w:rPr>
                <w:rFonts w:ascii="Arial Narrow" w:hAnsi="Arial Narrow"/>
                <w:b/>
                <w:sz w:val="20"/>
                <w:lang w:val="en-AU"/>
              </w:rPr>
            </w:pPr>
            <w:r w:rsidRPr="0061060D">
              <w:rPr>
                <w:rFonts w:ascii="Arial Narrow" w:hAnsi="Arial Narrow"/>
                <w:b/>
                <w:sz w:val="20"/>
                <w:lang w:val="en-AU"/>
              </w:rPr>
              <w:t>(0.25, 0.53)</w:t>
            </w:r>
          </w:p>
        </w:tc>
      </w:tr>
      <w:tr w:rsidR="00561642" w:rsidRPr="009D743B" w:rsidTr="00561642">
        <w:tc>
          <w:tcPr>
            <w:tcW w:w="1318" w:type="pct"/>
            <w:shd w:val="clear" w:color="auto" w:fill="auto"/>
            <w:vAlign w:val="center"/>
          </w:tcPr>
          <w:p w:rsidR="00561642" w:rsidRPr="0061060D" w:rsidRDefault="00561642" w:rsidP="00906164">
            <w:pPr>
              <w:keepNext/>
              <w:spacing w:before="40" w:after="40"/>
              <w:rPr>
                <w:rFonts w:ascii="Arial Narrow" w:hAnsi="Arial Narrow"/>
                <w:sz w:val="20"/>
                <w:lang w:val="en-AU"/>
              </w:rPr>
            </w:pPr>
            <w:r w:rsidRPr="0061060D">
              <w:rPr>
                <w:rFonts w:ascii="Arial Narrow" w:hAnsi="Arial Narrow"/>
                <w:sz w:val="20"/>
                <w:lang w:val="en-AU"/>
              </w:rPr>
              <w:t>BASDAI 50 response at 16 weeks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561642" w:rsidRPr="0050211C" w:rsidRDefault="00561642" w:rsidP="00906164">
            <w:pPr>
              <w:keepNext/>
              <w:spacing w:before="40" w:after="40"/>
              <w:jc w:val="center"/>
              <w:rPr>
                <w:rFonts w:ascii="Arial Narrow" w:hAnsi="Arial Narrow"/>
                <w:sz w:val="20"/>
                <w:szCs w:val="20"/>
                <w:lang w:val="en-AU"/>
              </w:rPr>
            </w:pPr>
            <w:r w:rsidRPr="0061060D">
              <w:rPr>
                <w:rFonts w:ascii="Arial Narrow" w:hAnsi="Arial Narrow"/>
                <w:sz w:val="20"/>
                <w:szCs w:val="20"/>
                <w:lang w:val="en-AU"/>
              </w:rPr>
              <w:t>46/78</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61642" w:rsidRPr="0050211C" w:rsidRDefault="00561642" w:rsidP="00906164">
            <w:pPr>
              <w:keepNext/>
              <w:spacing w:before="40" w:after="40"/>
              <w:jc w:val="center"/>
              <w:rPr>
                <w:rFonts w:ascii="Arial Narrow" w:hAnsi="Arial Narrow"/>
                <w:sz w:val="20"/>
                <w:szCs w:val="20"/>
                <w:lang w:val="en-AU"/>
              </w:rPr>
            </w:pPr>
            <w:r w:rsidRPr="0061060D">
              <w:rPr>
                <w:rFonts w:ascii="Arial Narrow" w:hAnsi="Arial Narrow"/>
                <w:sz w:val="20"/>
                <w:szCs w:val="20"/>
                <w:lang w:val="en-AU"/>
              </w:rPr>
              <w:t>23/80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561642" w:rsidRPr="0061060D" w:rsidRDefault="00561642" w:rsidP="002609A6">
            <w:pPr>
              <w:keepNext/>
              <w:spacing w:before="40" w:after="40"/>
              <w:jc w:val="center"/>
              <w:rPr>
                <w:rFonts w:ascii="Arial Narrow" w:hAnsi="Arial Narrow"/>
                <w:b/>
                <w:sz w:val="20"/>
                <w:szCs w:val="20"/>
                <w:lang w:val="en-AU"/>
              </w:rPr>
            </w:pPr>
            <w:r w:rsidRPr="0061060D">
              <w:rPr>
                <w:rFonts w:ascii="Arial Narrow" w:hAnsi="Arial Narrow"/>
                <w:b/>
                <w:sz w:val="20"/>
                <w:szCs w:val="20"/>
                <w:lang w:val="en-AU"/>
              </w:rPr>
              <w:t>2.05</w:t>
            </w:r>
          </w:p>
          <w:p w:rsidR="00561642" w:rsidRPr="0050211C" w:rsidRDefault="00561642" w:rsidP="00906164">
            <w:pPr>
              <w:keepNext/>
              <w:spacing w:before="40" w:after="40"/>
              <w:jc w:val="center"/>
              <w:rPr>
                <w:rFonts w:ascii="Arial Narrow" w:hAnsi="Arial Narrow"/>
                <w:sz w:val="20"/>
                <w:szCs w:val="20"/>
                <w:lang w:val="en-AU"/>
              </w:rPr>
            </w:pPr>
            <w:r w:rsidRPr="0061060D">
              <w:rPr>
                <w:rFonts w:ascii="Arial Narrow" w:hAnsi="Arial Narrow"/>
                <w:b/>
                <w:sz w:val="20"/>
                <w:szCs w:val="20"/>
                <w:lang w:val="en-AU"/>
              </w:rPr>
              <w:t xml:space="preserve"> (1.39, 3.03)</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61642" w:rsidRPr="0050211C" w:rsidRDefault="00561642" w:rsidP="00906164">
            <w:pPr>
              <w:keepNext/>
              <w:spacing w:before="40" w:after="40"/>
              <w:jc w:val="center"/>
              <w:rPr>
                <w:rFonts w:ascii="Arial Narrow" w:hAnsi="Arial Narrow"/>
                <w:sz w:val="20"/>
                <w:lang w:val="en-AU"/>
              </w:rPr>
            </w:pPr>
            <w:r w:rsidRPr="0061060D">
              <w:rPr>
                <w:rFonts w:ascii="Arial Narrow" w:hAnsi="Arial Narrow"/>
                <w:sz w:val="20"/>
                <w:lang w:val="en-AU"/>
              </w:rPr>
              <w:t>59.0</w:t>
            </w:r>
          </w:p>
        </w:tc>
        <w:tc>
          <w:tcPr>
            <w:tcW w:w="552" w:type="pct"/>
            <w:shd w:val="clear" w:color="auto" w:fill="auto"/>
            <w:vAlign w:val="center"/>
          </w:tcPr>
          <w:p w:rsidR="00561642" w:rsidRPr="0050211C" w:rsidRDefault="00561642" w:rsidP="00906164">
            <w:pPr>
              <w:keepNext/>
              <w:spacing w:before="40" w:after="40"/>
              <w:jc w:val="center"/>
              <w:rPr>
                <w:rFonts w:ascii="Arial Narrow" w:hAnsi="Arial Narrow"/>
                <w:sz w:val="20"/>
                <w:lang w:val="en-AU"/>
              </w:rPr>
            </w:pPr>
            <w:r w:rsidRPr="0061060D">
              <w:rPr>
                <w:rFonts w:ascii="Arial Narrow" w:hAnsi="Arial Narrow"/>
                <w:sz w:val="20"/>
                <w:lang w:val="en-AU"/>
              </w:rPr>
              <w:t>28.8</w:t>
            </w:r>
          </w:p>
        </w:tc>
        <w:tc>
          <w:tcPr>
            <w:tcW w:w="692" w:type="pct"/>
            <w:shd w:val="clear" w:color="auto" w:fill="auto"/>
            <w:vAlign w:val="center"/>
          </w:tcPr>
          <w:p w:rsidR="00561642" w:rsidRPr="0061060D" w:rsidRDefault="00561642" w:rsidP="002609A6">
            <w:pPr>
              <w:keepNext/>
              <w:spacing w:before="40" w:after="40"/>
              <w:jc w:val="center"/>
              <w:rPr>
                <w:rFonts w:ascii="Arial Narrow" w:hAnsi="Arial Narrow"/>
                <w:b/>
                <w:sz w:val="20"/>
                <w:lang w:val="en-AU"/>
              </w:rPr>
            </w:pPr>
            <w:r w:rsidRPr="0061060D">
              <w:rPr>
                <w:rFonts w:ascii="Arial Narrow" w:hAnsi="Arial Narrow"/>
                <w:b/>
                <w:sz w:val="20"/>
                <w:lang w:val="en-AU"/>
              </w:rPr>
              <w:t>0.31</w:t>
            </w:r>
          </w:p>
          <w:p w:rsidR="00561642" w:rsidRPr="0050211C" w:rsidRDefault="00561642" w:rsidP="00906164">
            <w:pPr>
              <w:keepNext/>
              <w:spacing w:before="40" w:after="40"/>
              <w:jc w:val="center"/>
              <w:rPr>
                <w:rFonts w:ascii="Arial Narrow" w:hAnsi="Arial Narrow"/>
                <w:b/>
                <w:sz w:val="20"/>
                <w:lang w:val="en-AU"/>
              </w:rPr>
            </w:pPr>
            <w:r w:rsidRPr="0061060D">
              <w:rPr>
                <w:rFonts w:ascii="Arial Narrow" w:hAnsi="Arial Narrow"/>
                <w:b/>
                <w:sz w:val="20"/>
                <w:lang w:val="en-AU"/>
              </w:rPr>
              <w:t>(0.15, 0.44)</w:t>
            </w:r>
          </w:p>
        </w:tc>
      </w:tr>
    </w:tbl>
    <w:p w:rsidR="00906164" w:rsidRPr="009D743B" w:rsidRDefault="00906164" w:rsidP="00906164">
      <w:pPr>
        <w:widowControl w:val="0"/>
        <w:spacing w:before="0" w:after="120"/>
        <w:contextualSpacing/>
        <w:jc w:val="both"/>
        <w:rPr>
          <w:rFonts w:ascii="Arial Narrow" w:eastAsia="Times New Roman" w:hAnsi="Arial Narrow" w:cs="Arial"/>
          <w:snapToGrid w:val="0"/>
          <w:sz w:val="18"/>
          <w:szCs w:val="20"/>
        </w:rPr>
      </w:pPr>
      <w:r w:rsidRPr="009D743B">
        <w:rPr>
          <w:rFonts w:ascii="Arial Narrow" w:eastAsia="Times New Roman" w:hAnsi="Arial Narrow" w:cs="Arial"/>
          <w:snapToGrid w:val="0"/>
          <w:sz w:val="18"/>
          <w:szCs w:val="20"/>
        </w:rPr>
        <w:t>RD = risk difference; RR = risk ratio; OSI = objective signs of inflammation</w:t>
      </w:r>
    </w:p>
    <w:p w:rsidR="00AA3193" w:rsidRPr="009D743B" w:rsidRDefault="00906164" w:rsidP="0033402E">
      <w:pPr>
        <w:widowControl w:val="0"/>
        <w:spacing w:before="0" w:after="0"/>
        <w:jc w:val="both"/>
        <w:rPr>
          <w:rFonts w:ascii="Arial Narrow" w:eastAsia="Times New Roman" w:hAnsi="Arial Narrow" w:cs="Arial"/>
          <w:snapToGrid w:val="0"/>
          <w:sz w:val="18"/>
          <w:szCs w:val="20"/>
        </w:rPr>
      </w:pPr>
      <w:r w:rsidRPr="009D743B">
        <w:rPr>
          <w:rFonts w:ascii="Arial Narrow" w:eastAsia="Times New Roman" w:hAnsi="Arial Narrow" w:cs="Arial"/>
          <w:snapToGrid w:val="0"/>
          <w:sz w:val="18"/>
          <w:szCs w:val="20"/>
        </w:rPr>
        <w:t xml:space="preserve">Source: </w:t>
      </w:r>
      <w:r w:rsidR="00DC6CBE" w:rsidRPr="009D743B">
        <w:rPr>
          <w:rFonts w:ascii="Arial Narrow" w:eastAsia="Times New Roman" w:hAnsi="Arial Narrow" w:cs="Arial"/>
          <w:snapToGrid w:val="0"/>
          <w:sz w:val="18"/>
          <w:szCs w:val="20"/>
        </w:rPr>
        <w:t>T</w:t>
      </w:r>
      <w:r w:rsidR="00601664" w:rsidRPr="009D743B">
        <w:rPr>
          <w:rFonts w:ascii="Arial Narrow" w:eastAsia="Times New Roman" w:hAnsi="Arial Narrow" w:cs="Arial"/>
          <w:snapToGrid w:val="0"/>
          <w:sz w:val="18"/>
          <w:szCs w:val="20"/>
        </w:rPr>
        <w:t xml:space="preserve">able 2.6.1 and 2.6.2, </w:t>
      </w:r>
      <w:r w:rsidRPr="009D743B">
        <w:rPr>
          <w:rFonts w:ascii="Arial Narrow" w:eastAsia="Times New Roman" w:hAnsi="Arial Narrow" w:cs="Arial"/>
          <w:snapToGrid w:val="0"/>
          <w:sz w:val="18"/>
          <w:szCs w:val="20"/>
        </w:rPr>
        <w:t>p</w:t>
      </w:r>
      <w:r w:rsidR="00DC6CBE" w:rsidRPr="009D743B">
        <w:rPr>
          <w:rFonts w:ascii="Arial Narrow" w:eastAsia="Times New Roman" w:hAnsi="Arial Narrow" w:cs="Arial"/>
          <w:snapToGrid w:val="0"/>
          <w:sz w:val="18"/>
          <w:szCs w:val="20"/>
        </w:rPr>
        <w:t>128</w:t>
      </w:r>
      <w:r w:rsidRPr="009D743B">
        <w:rPr>
          <w:rFonts w:ascii="Arial Narrow" w:eastAsia="Times New Roman" w:hAnsi="Arial Narrow" w:cs="Arial"/>
          <w:snapToGrid w:val="0"/>
          <w:sz w:val="18"/>
          <w:szCs w:val="20"/>
        </w:rPr>
        <w:t xml:space="preserve"> </w:t>
      </w:r>
      <w:r w:rsidR="00601664" w:rsidRPr="009D743B">
        <w:rPr>
          <w:rFonts w:ascii="Arial Narrow" w:eastAsia="Times New Roman" w:hAnsi="Arial Narrow" w:cs="Arial"/>
          <w:snapToGrid w:val="0"/>
          <w:sz w:val="18"/>
          <w:szCs w:val="20"/>
        </w:rPr>
        <w:t xml:space="preserve">and p130 </w:t>
      </w:r>
      <w:r w:rsidRPr="009D743B">
        <w:rPr>
          <w:rFonts w:ascii="Arial Narrow" w:eastAsia="Times New Roman" w:hAnsi="Arial Narrow" w:cs="Arial"/>
          <w:snapToGrid w:val="0"/>
          <w:sz w:val="18"/>
          <w:szCs w:val="20"/>
        </w:rPr>
        <w:t>of the resubmission</w:t>
      </w:r>
      <w:r w:rsidR="00BA1238" w:rsidRPr="009D743B">
        <w:rPr>
          <w:rFonts w:ascii="Arial Narrow" w:eastAsia="Times New Roman" w:hAnsi="Arial Narrow" w:cs="Arial"/>
          <w:snapToGrid w:val="0"/>
          <w:sz w:val="18"/>
          <w:szCs w:val="20"/>
        </w:rPr>
        <w:t>, and Tables 12-3 and 12-9 GO-AHEAD 60-week clinical study report</w:t>
      </w:r>
    </w:p>
    <w:p w:rsidR="0033402E" w:rsidRPr="009D743B" w:rsidRDefault="0033402E" w:rsidP="0033402E">
      <w:pPr>
        <w:widowControl w:val="0"/>
        <w:spacing w:before="0" w:after="0"/>
        <w:jc w:val="both"/>
      </w:pPr>
    </w:p>
    <w:bookmarkEnd w:id="28"/>
    <w:p w:rsidR="00AA3193" w:rsidRPr="009D743B" w:rsidRDefault="00AA3193" w:rsidP="00B876BB">
      <w:pPr>
        <w:pStyle w:val="ListParagraph"/>
        <w:numPr>
          <w:ilvl w:val="0"/>
          <w:numId w:val="11"/>
        </w:numPr>
        <w:spacing w:before="0" w:after="0"/>
        <w:ind w:left="567" w:hanging="567"/>
        <w:jc w:val="both"/>
      </w:pPr>
      <w:r w:rsidRPr="009D743B">
        <w:t xml:space="preserve">On the basis of direct evidence presented by the </w:t>
      </w:r>
      <w:r w:rsidR="00A569FF" w:rsidRPr="009D743B">
        <w:t>re</w:t>
      </w:r>
      <w:r w:rsidRPr="009D743B">
        <w:t>submission, for every 100 patients treated with golimumab in comparison to placebo</w:t>
      </w:r>
      <w:r w:rsidR="00291B24" w:rsidRPr="009D743B">
        <w:t>,</w:t>
      </w:r>
      <w:r w:rsidRPr="009D743B">
        <w:t xml:space="preserve"> in the population with </w:t>
      </w:r>
      <w:r w:rsidR="00291B24" w:rsidRPr="009D743B">
        <w:t>OSI</w:t>
      </w:r>
      <w:r w:rsidRPr="009D743B">
        <w:t>:</w:t>
      </w:r>
    </w:p>
    <w:p w:rsidR="00AA3193" w:rsidRPr="009D743B" w:rsidRDefault="00AA3193" w:rsidP="00DB7BEB">
      <w:pPr>
        <w:numPr>
          <w:ilvl w:val="0"/>
          <w:numId w:val="3"/>
        </w:numPr>
        <w:spacing w:before="0" w:after="0"/>
        <w:ind w:left="851" w:hanging="284"/>
        <w:jc w:val="both"/>
      </w:pPr>
      <w:r w:rsidRPr="00E52A7F">
        <w:t xml:space="preserve">approximately </w:t>
      </w:r>
      <w:r w:rsidR="00561642" w:rsidRPr="00E52A7F">
        <w:rPr>
          <w:rFonts w:ascii="Calibri" w:eastAsia="Calibri" w:hAnsi="Calibri" w:cs="Arial"/>
        </w:rPr>
        <w:t>40</w:t>
      </w:r>
      <w:r w:rsidRPr="00E52A7F">
        <w:t xml:space="preserve"> additional</w:t>
      </w:r>
      <w:r w:rsidRPr="009D743B">
        <w:t xml:space="preserve"> patients would have an ASAS 20 response over a maximum duration of exposure of 16 weeks; and</w:t>
      </w:r>
    </w:p>
    <w:p w:rsidR="00361C6B" w:rsidRPr="009D743B" w:rsidRDefault="00AA3193" w:rsidP="00DB7BEB">
      <w:pPr>
        <w:numPr>
          <w:ilvl w:val="0"/>
          <w:numId w:val="3"/>
        </w:numPr>
        <w:spacing w:before="0" w:after="120"/>
        <w:ind w:left="851" w:hanging="284"/>
        <w:jc w:val="both"/>
      </w:pPr>
      <w:r w:rsidRPr="00E52A7F">
        <w:t xml:space="preserve">approximately </w:t>
      </w:r>
      <w:r w:rsidR="00561642" w:rsidRPr="00E52A7F">
        <w:rPr>
          <w:rFonts w:ascii="Calibri" w:eastAsia="Calibri" w:hAnsi="Calibri" w:cs="Arial"/>
        </w:rPr>
        <w:t>31</w:t>
      </w:r>
      <w:r w:rsidRPr="00E52A7F">
        <w:t xml:space="preserve"> additional</w:t>
      </w:r>
      <w:r w:rsidRPr="009D743B">
        <w:t xml:space="preserve"> patients would have a BASDAI 50 response over a maximum duration of exposure of 16 weeks</w:t>
      </w:r>
      <w:r w:rsidR="0070580A" w:rsidRPr="009D743B">
        <w:t>.</w:t>
      </w:r>
      <w:r w:rsidR="00361C6B" w:rsidRPr="009D743B">
        <w:t xml:space="preserve"> </w:t>
      </w:r>
    </w:p>
    <w:p w:rsidR="00AA3193" w:rsidRPr="009D743B" w:rsidRDefault="00361C6B" w:rsidP="00B876BB">
      <w:pPr>
        <w:pStyle w:val="ListParagraph"/>
        <w:numPr>
          <w:ilvl w:val="0"/>
          <w:numId w:val="11"/>
        </w:numPr>
        <w:spacing w:before="0" w:after="0"/>
        <w:ind w:left="567" w:hanging="567"/>
        <w:jc w:val="both"/>
      </w:pPr>
      <w:r w:rsidRPr="009D743B">
        <w:t xml:space="preserve">The ESC </w:t>
      </w:r>
      <w:r w:rsidR="0070580A" w:rsidRPr="009D743B">
        <w:t xml:space="preserve">noted </w:t>
      </w:r>
      <w:r w:rsidR="00C00A62" w:rsidRPr="009D743B">
        <w:t xml:space="preserve">there was </w:t>
      </w:r>
      <w:r w:rsidR="0070580A" w:rsidRPr="009D743B">
        <w:t xml:space="preserve">no statistically significant difference </w:t>
      </w:r>
      <w:r w:rsidR="00C00A62" w:rsidRPr="009D743B">
        <w:t>in</w:t>
      </w:r>
      <w:r w:rsidR="0070580A" w:rsidRPr="009D743B">
        <w:t xml:space="preserve"> the risk of serious infection between golimumab and placebo </w:t>
      </w:r>
      <w:r w:rsidR="00C00A62" w:rsidRPr="009D743B">
        <w:t xml:space="preserve">in the GO-AHEAD trial, but </w:t>
      </w:r>
      <w:r w:rsidR="0070580A" w:rsidRPr="009D743B">
        <w:t xml:space="preserve">re-iterated its previous advice that </w:t>
      </w:r>
      <w:r w:rsidRPr="009D743B">
        <w:t>given GO-AHEAD excluded patients with a history of infections, and its short duration, the</w:t>
      </w:r>
      <w:r w:rsidR="0070580A" w:rsidRPr="009D743B">
        <w:t xml:space="preserve">re was a </w:t>
      </w:r>
      <w:r w:rsidRPr="009D743B">
        <w:t xml:space="preserve">possibility of an increased risk of infection with golimumab that would not be detected within the trial. </w:t>
      </w:r>
    </w:p>
    <w:p w:rsidR="00C317F3" w:rsidRPr="00B876BB" w:rsidRDefault="008058E8" w:rsidP="00772501">
      <w:pPr>
        <w:pStyle w:val="Heading2"/>
      </w:pPr>
      <w:bookmarkStart w:id="30" w:name="_Toc514253033"/>
      <w:r w:rsidRPr="00B876BB">
        <w:lastRenderedPageBreak/>
        <w:t>Interpretation of clinical evidence</w:t>
      </w:r>
      <w:bookmarkEnd w:id="30"/>
    </w:p>
    <w:p w:rsidR="00AA3193" w:rsidRPr="009D743B" w:rsidRDefault="00AA3193" w:rsidP="00B876BB">
      <w:pPr>
        <w:pStyle w:val="ListParagraph"/>
        <w:numPr>
          <w:ilvl w:val="0"/>
          <w:numId w:val="11"/>
        </w:numPr>
        <w:spacing w:before="0" w:after="120"/>
        <w:ind w:left="567" w:hanging="567"/>
        <w:jc w:val="both"/>
      </w:pPr>
      <w:r w:rsidRPr="009D743B">
        <w:t xml:space="preserve">The resubmission described golimumab as superior in terms of comparative effectiveness and inferior in terms of comparative safety compared to placebo. This differed from the previous submission where a claim of non-inferior safety was presented. </w:t>
      </w:r>
    </w:p>
    <w:p w:rsidR="00AA3193" w:rsidRPr="009D743B" w:rsidRDefault="00AA3193" w:rsidP="00B876BB">
      <w:pPr>
        <w:pStyle w:val="ListParagraph"/>
        <w:numPr>
          <w:ilvl w:val="0"/>
          <w:numId w:val="11"/>
        </w:numPr>
        <w:spacing w:before="0" w:after="0"/>
        <w:ind w:left="567" w:hanging="567"/>
        <w:jc w:val="both"/>
      </w:pPr>
      <w:r w:rsidRPr="009D743B">
        <w:t xml:space="preserve">The resubmission’s claim was considered adequately supported by the evidence presented although </w:t>
      </w:r>
      <w:r w:rsidR="007836BF" w:rsidRPr="009D743B">
        <w:t xml:space="preserve">the PBAC considered that </w:t>
      </w:r>
      <w:r w:rsidRPr="009D743B">
        <w:t>the degree of incremental benefit was difficult to determine because:</w:t>
      </w:r>
    </w:p>
    <w:p w:rsidR="00AA3193" w:rsidRPr="009D743B" w:rsidRDefault="00AA3193" w:rsidP="00ED4FA5">
      <w:pPr>
        <w:pStyle w:val="ListParagraph"/>
        <w:numPr>
          <w:ilvl w:val="1"/>
          <w:numId w:val="7"/>
        </w:numPr>
        <w:spacing w:before="0" w:after="0"/>
        <w:ind w:left="851" w:hanging="284"/>
        <w:jc w:val="both"/>
      </w:pPr>
      <w:r w:rsidRPr="009D743B">
        <w:t>The 16-week randomised phase of the GO-AHEAD trial was of insufficient duration to accurately assess the long-term benefits of golimumab.</w:t>
      </w:r>
    </w:p>
    <w:p w:rsidR="00AA3193" w:rsidRPr="009D743B" w:rsidRDefault="00EA3507" w:rsidP="00ED4FA5">
      <w:pPr>
        <w:pStyle w:val="ListParagraph"/>
        <w:numPr>
          <w:ilvl w:val="1"/>
          <w:numId w:val="7"/>
        </w:numPr>
        <w:spacing w:before="0" w:after="120"/>
        <w:ind w:left="851" w:hanging="284"/>
        <w:jc w:val="both"/>
      </w:pPr>
      <w:r w:rsidRPr="009D743B">
        <w:t xml:space="preserve">While a statistically significant difference was observed between golimumab and placebo among the pre-specified subgroup of patients with objective signs of inflammation (OSI) in the GO-AHEAD trial, only </w:t>
      </w:r>
      <w:r w:rsidR="0050211C">
        <w:rPr>
          <w:rFonts w:ascii="Calibri" w:eastAsia="Calibri" w:hAnsi="Calibri" w:cs="Arial"/>
          <w:noProof/>
          <w:color w:val="000000"/>
          <w:highlight w:val="black"/>
        </w:rPr>
        <w:t>'''''''''</w:t>
      </w:r>
      <w:r w:rsidRPr="009D743B">
        <w:t xml:space="preserve">% of the OSI population would be considered representative of the proposed PBS population (those with elevated CRP </w:t>
      </w:r>
      <w:r w:rsidRPr="009D743B">
        <w:rPr>
          <w:u w:val="single"/>
        </w:rPr>
        <w:t>and</w:t>
      </w:r>
      <w:r w:rsidRPr="009D743B">
        <w:t xml:space="preserve"> evidence of sacroiliitis on MRI). The proportion of the OSI population being representative of the proposed population would further diminish if the criteria for prior failure of two or more NSAIDs, whilst completing an appropriate exercise program for a total period of </w:t>
      </w:r>
      <w:r w:rsidR="00CB111E" w:rsidRPr="009D743B">
        <w:t xml:space="preserve">three </w:t>
      </w:r>
      <w:r w:rsidRPr="009D743B">
        <w:t>months</w:t>
      </w:r>
      <w:r w:rsidR="00FC7676" w:rsidRPr="009D743B">
        <w:t>,</w:t>
      </w:r>
      <w:r w:rsidRPr="009D743B">
        <w:t xml:space="preserve"> was also considered.</w:t>
      </w:r>
    </w:p>
    <w:p w:rsidR="00685F33" w:rsidRPr="009D743B" w:rsidRDefault="00685F33" w:rsidP="00B876BB">
      <w:pPr>
        <w:pStyle w:val="ListParagraph"/>
        <w:numPr>
          <w:ilvl w:val="0"/>
          <w:numId w:val="11"/>
        </w:numPr>
        <w:spacing w:before="0" w:after="120"/>
        <w:ind w:left="567" w:hanging="567"/>
        <w:jc w:val="both"/>
      </w:pPr>
      <w:r w:rsidRPr="009D743B">
        <w:t>The pre-PBAC response stated that “no further follow-up for the GO-AHEAD trial or additional golimumab trials in nr-axSpA will be available in the future”</w:t>
      </w:r>
    </w:p>
    <w:p w:rsidR="00ED4FA5" w:rsidRPr="009D743B" w:rsidRDefault="00ED4FA5" w:rsidP="00B876BB">
      <w:pPr>
        <w:pStyle w:val="ListParagraph"/>
        <w:numPr>
          <w:ilvl w:val="0"/>
          <w:numId w:val="11"/>
        </w:numPr>
        <w:spacing w:before="0" w:after="120"/>
        <w:ind w:left="567" w:hanging="567"/>
        <w:jc w:val="both"/>
        <w:rPr>
          <w:rFonts w:cs="Arial"/>
          <w:snapToGrid w:val="0"/>
          <w:szCs w:val="20"/>
        </w:rPr>
      </w:pPr>
      <w:r w:rsidRPr="009D743B">
        <w:rPr>
          <w:rFonts w:cs="Arial"/>
          <w:snapToGrid w:val="0"/>
          <w:szCs w:val="20"/>
        </w:rPr>
        <w:t>The PBAC considered that the inferior comparative safety was reasonable.</w:t>
      </w:r>
    </w:p>
    <w:p w:rsidR="00B33C27" w:rsidRPr="009D743B" w:rsidRDefault="00B33C27" w:rsidP="00B33C27">
      <w:pPr>
        <w:pStyle w:val="ListParagraph"/>
        <w:numPr>
          <w:ilvl w:val="0"/>
          <w:numId w:val="0"/>
        </w:numPr>
        <w:ind w:left="786" w:hanging="219"/>
        <w:jc w:val="both"/>
        <w:rPr>
          <w:i/>
        </w:rPr>
      </w:pPr>
      <w:r w:rsidRPr="009D743B">
        <w:rPr>
          <w:i/>
        </w:rPr>
        <w:t>For more detail on PBAC’s view, see section 7 PBAC outcome.</w:t>
      </w:r>
    </w:p>
    <w:p w:rsidR="00C317F3" w:rsidRPr="00B876BB" w:rsidRDefault="00C317F3" w:rsidP="00772501">
      <w:pPr>
        <w:pStyle w:val="Heading2"/>
      </w:pPr>
      <w:bookmarkStart w:id="31" w:name="_Toc413139282"/>
      <w:bookmarkStart w:id="32" w:name="_Toc514253034"/>
      <w:r w:rsidRPr="00B876BB">
        <w:t>Economic analysis</w:t>
      </w:r>
      <w:bookmarkEnd w:id="31"/>
      <w:bookmarkEnd w:id="32"/>
    </w:p>
    <w:p w:rsidR="00974BA1" w:rsidRPr="009D743B" w:rsidRDefault="00974BA1" w:rsidP="00B876BB">
      <w:pPr>
        <w:pStyle w:val="ListParagraph"/>
        <w:numPr>
          <w:ilvl w:val="0"/>
          <w:numId w:val="11"/>
        </w:numPr>
        <w:spacing w:before="0" w:after="120"/>
        <w:ind w:left="567" w:hanging="567"/>
        <w:jc w:val="both"/>
      </w:pPr>
      <w:r w:rsidRPr="009D743B">
        <w:t>As for the previous submission, the resubmission presented a stepped economic evaluation based on the 16 week direct randomised trial (GO-AHEAD) comparing golimumab 50</w:t>
      </w:r>
      <w:r w:rsidR="00825F46" w:rsidRPr="009D743B">
        <w:t xml:space="preserve"> </w:t>
      </w:r>
      <w:r w:rsidRPr="009D743B">
        <w:t xml:space="preserve">mg + conventional care (GLM+CC) versus placebo + conventional care (CC alone), and implemented a modelled economic evaluation based on </w:t>
      </w:r>
      <w:r w:rsidR="004D2653" w:rsidRPr="009D743B">
        <w:t xml:space="preserve">the </w:t>
      </w:r>
      <w:r w:rsidRPr="009D743B">
        <w:t xml:space="preserve">52-week open-label extension of the GO-AHEAD trial. The economic evaluation aimed to quantify the incremental costs and effects associated with GLM+CC versus CC alone in nr-axSpA patients with OSI who are eligible for TNF-α-inhibitor therapy. </w:t>
      </w:r>
    </w:p>
    <w:p w:rsidR="003A31A0" w:rsidRPr="009D743B" w:rsidRDefault="00186603" w:rsidP="00B876BB">
      <w:pPr>
        <w:pStyle w:val="ListParagraph"/>
        <w:numPr>
          <w:ilvl w:val="0"/>
          <w:numId w:val="11"/>
        </w:numPr>
        <w:spacing w:before="0" w:after="120"/>
        <w:ind w:left="567" w:hanging="567"/>
        <w:jc w:val="both"/>
        <w:rPr>
          <w:szCs w:val="24"/>
        </w:rPr>
      </w:pPr>
      <w:r w:rsidRPr="009D743B">
        <w:rPr>
          <w:szCs w:val="24"/>
        </w:rPr>
        <w:t xml:space="preserve">The approach and structure of the model presented in the resubmission </w:t>
      </w:r>
      <w:r w:rsidR="004D2653" w:rsidRPr="009D743B">
        <w:rPr>
          <w:szCs w:val="24"/>
        </w:rPr>
        <w:t xml:space="preserve">was </w:t>
      </w:r>
      <w:r w:rsidRPr="009D743B">
        <w:rPr>
          <w:szCs w:val="24"/>
        </w:rPr>
        <w:t>unchanged from the previous submission</w:t>
      </w:r>
      <w:r w:rsidR="004D2653" w:rsidRPr="009D743B">
        <w:rPr>
          <w:szCs w:val="24"/>
        </w:rPr>
        <w:t>,</w:t>
      </w:r>
      <w:r w:rsidR="00E94F38" w:rsidRPr="009D743B">
        <w:rPr>
          <w:szCs w:val="24"/>
        </w:rPr>
        <w:t xml:space="preserve"> with trajectories of BASDAI/BASFI scores within health states representing transitions between different levels of health</w:t>
      </w:r>
      <w:r w:rsidR="0092060F" w:rsidRPr="009D743B">
        <w:rPr>
          <w:szCs w:val="24"/>
        </w:rPr>
        <w:t>. H</w:t>
      </w:r>
      <w:r w:rsidRPr="009D743B">
        <w:rPr>
          <w:szCs w:val="24"/>
        </w:rPr>
        <w:t>owever</w:t>
      </w:r>
      <w:r w:rsidR="003A31A0" w:rsidRPr="009D743B">
        <w:rPr>
          <w:szCs w:val="24"/>
        </w:rPr>
        <w:t>,</w:t>
      </w:r>
      <w:r w:rsidRPr="009D743B">
        <w:rPr>
          <w:szCs w:val="24"/>
        </w:rPr>
        <w:t xml:space="preserve"> numerous changes to </w:t>
      </w:r>
      <w:r w:rsidR="003A31A0" w:rsidRPr="009D743B">
        <w:rPr>
          <w:szCs w:val="24"/>
        </w:rPr>
        <w:t xml:space="preserve">the </w:t>
      </w:r>
      <w:r w:rsidRPr="009D743B">
        <w:rPr>
          <w:szCs w:val="24"/>
        </w:rPr>
        <w:t>inputs and assumptions were made</w:t>
      </w:r>
      <w:r w:rsidR="00DC28E8" w:rsidRPr="009D743B">
        <w:rPr>
          <w:szCs w:val="24"/>
        </w:rPr>
        <w:t>. Key changes included</w:t>
      </w:r>
      <w:r w:rsidR="00E50C74" w:rsidRPr="009D743B">
        <w:rPr>
          <w:szCs w:val="24"/>
        </w:rPr>
        <w:t>:</w:t>
      </w:r>
      <w:r w:rsidR="00DC28E8" w:rsidRPr="009D743B">
        <w:rPr>
          <w:szCs w:val="24"/>
        </w:rPr>
        <w:t xml:space="preserve"> </w:t>
      </w:r>
      <w:r w:rsidR="00623370" w:rsidRPr="009D743B">
        <w:rPr>
          <w:szCs w:val="24"/>
        </w:rPr>
        <w:t>a 20</w:t>
      </w:r>
      <w:r w:rsidR="002910E4" w:rsidRPr="009D743B">
        <w:rPr>
          <w:szCs w:val="24"/>
        </w:rPr>
        <w:t>-</w:t>
      </w:r>
      <w:r w:rsidR="00623370" w:rsidRPr="009D743B">
        <w:rPr>
          <w:szCs w:val="24"/>
        </w:rPr>
        <w:t xml:space="preserve">year </w:t>
      </w:r>
      <w:r w:rsidR="007C5672" w:rsidRPr="009D743B">
        <w:rPr>
          <w:szCs w:val="24"/>
        </w:rPr>
        <w:t xml:space="preserve">time </w:t>
      </w:r>
      <w:r w:rsidR="00E94F38" w:rsidRPr="009D743B">
        <w:rPr>
          <w:szCs w:val="24"/>
        </w:rPr>
        <w:t xml:space="preserve">horizon </w:t>
      </w:r>
      <w:r w:rsidR="00623370" w:rsidRPr="009D743B">
        <w:rPr>
          <w:szCs w:val="24"/>
        </w:rPr>
        <w:t>for the model</w:t>
      </w:r>
      <w:r w:rsidRPr="009D743B">
        <w:rPr>
          <w:szCs w:val="24"/>
        </w:rPr>
        <w:t xml:space="preserve"> (30 years previously)</w:t>
      </w:r>
      <w:r w:rsidR="00E50C74" w:rsidRPr="009D743B">
        <w:rPr>
          <w:szCs w:val="24"/>
        </w:rPr>
        <w:t>;</w:t>
      </w:r>
      <w:r w:rsidR="00623370" w:rsidRPr="009D743B">
        <w:rPr>
          <w:szCs w:val="24"/>
        </w:rPr>
        <w:t xml:space="preserve"> transition time from responder to non-responder in the CC arm increased from 32 to 52 weeks</w:t>
      </w:r>
      <w:r w:rsidR="001A4F6E" w:rsidRPr="009D743B">
        <w:rPr>
          <w:szCs w:val="24"/>
        </w:rPr>
        <w:t>;</w:t>
      </w:r>
      <w:r w:rsidR="00623370" w:rsidRPr="009D743B">
        <w:rPr>
          <w:szCs w:val="24"/>
        </w:rPr>
        <w:t xml:space="preserve"> a disutility for serious infections of -0.31 </w:t>
      </w:r>
      <w:r w:rsidR="00E50C74" w:rsidRPr="009D743B">
        <w:rPr>
          <w:szCs w:val="24"/>
        </w:rPr>
        <w:t xml:space="preserve">was </w:t>
      </w:r>
      <w:r w:rsidR="00623370" w:rsidRPr="00A2167D">
        <w:rPr>
          <w:szCs w:val="24"/>
        </w:rPr>
        <w:t xml:space="preserve">applied to </w:t>
      </w:r>
      <w:r w:rsidR="0050211C">
        <w:rPr>
          <w:rFonts w:ascii="Calibri" w:eastAsia="Calibri" w:hAnsi="Calibri" w:cs="Arial"/>
          <w:noProof/>
          <w:color w:val="000000"/>
          <w:szCs w:val="24"/>
          <w:highlight w:val="black"/>
        </w:rPr>
        <w:t>'''''''</w:t>
      </w:r>
      <w:r w:rsidR="00623370" w:rsidRPr="00A2167D">
        <w:rPr>
          <w:szCs w:val="24"/>
        </w:rPr>
        <w:t>% of patients per year</w:t>
      </w:r>
      <w:r w:rsidR="00E94F38" w:rsidRPr="00A2167D">
        <w:rPr>
          <w:szCs w:val="24"/>
        </w:rPr>
        <w:t xml:space="preserve"> for 2 weeks</w:t>
      </w:r>
      <w:r w:rsidR="001A4F6E" w:rsidRPr="00A2167D">
        <w:rPr>
          <w:szCs w:val="24"/>
        </w:rPr>
        <w:t>;</w:t>
      </w:r>
      <w:r w:rsidR="00623370" w:rsidRPr="00A2167D">
        <w:rPr>
          <w:szCs w:val="24"/>
        </w:rPr>
        <w:t xml:space="preserve"> an increased </w:t>
      </w:r>
      <w:r w:rsidR="00774525" w:rsidRPr="00A2167D">
        <w:rPr>
          <w:szCs w:val="24"/>
        </w:rPr>
        <w:t xml:space="preserve">annual </w:t>
      </w:r>
      <w:r w:rsidR="00623370" w:rsidRPr="00A2167D">
        <w:rPr>
          <w:szCs w:val="24"/>
        </w:rPr>
        <w:t>discontinuation rate</w:t>
      </w:r>
      <w:r w:rsidR="008F144B" w:rsidRPr="00A2167D">
        <w:rPr>
          <w:szCs w:val="24"/>
        </w:rPr>
        <w:t xml:space="preserve"> of </w:t>
      </w:r>
      <w:r w:rsidR="0050211C">
        <w:rPr>
          <w:rFonts w:ascii="Calibri" w:eastAsia="Calibri" w:hAnsi="Calibri" w:cs="Arial"/>
          <w:noProof/>
          <w:color w:val="000000"/>
          <w:szCs w:val="24"/>
          <w:highlight w:val="black"/>
        </w:rPr>
        <w:t>''''''</w:t>
      </w:r>
      <w:r w:rsidR="008F144B" w:rsidRPr="00A2167D">
        <w:rPr>
          <w:szCs w:val="24"/>
        </w:rPr>
        <w:t xml:space="preserve">% </w:t>
      </w:r>
      <w:r w:rsidR="00E50C74" w:rsidRPr="00A2167D">
        <w:rPr>
          <w:szCs w:val="24"/>
        </w:rPr>
        <w:t xml:space="preserve">was </w:t>
      </w:r>
      <w:r w:rsidR="008F144B" w:rsidRPr="00A2167D">
        <w:rPr>
          <w:szCs w:val="24"/>
        </w:rPr>
        <w:t>applied</w:t>
      </w:r>
      <w:r w:rsidR="00BD563D" w:rsidRPr="00A2167D">
        <w:rPr>
          <w:szCs w:val="24"/>
        </w:rPr>
        <w:t xml:space="preserve"> (</w:t>
      </w:r>
      <w:r w:rsidR="0092060F" w:rsidRPr="00A2167D">
        <w:rPr>
          <w:szCs w:val="24"/>
        </w:rPr>
        <w:t xml:space="preserve">it was previously </w:t>
      </w:r>
      <w:r w:rsidR="0050211C">
        <w:rPr>
          <w:rFonts w:ascii="Calibri" w:eastAsia="Calibri" w:hAnsi="Calibri" w:cs="Arial"/>
          <w:noProof/>
          <w:color w:val="000000"/>
          <w:szCs w:val="24"/>
          <w:highlight w:val="black"/>
        </w:rPr>
        <w:t>'''''''</w:t>
      </w:r>
      <w:r w:rsidR="00BD563D" w:rsidRPr="00A2167D">
        <w:rPr>
          <w:szCs w:val="24"/>
        </w:rPr>
        <w:t xml:space="preserve">% </w:t>
      </w:r>
      <w:r w:rsidR="00523CCA" w:rsidRPr="00A2167D">
        <w:rPr>
          <w:szCs w:val="24"/>
        </w:rPr>
        <w:t xml:space="preserve">in Year 1 and </w:t>
      </w:r>
      <w:r w:rsidR="0050211C">
        <w:rPr>
          <w:rFonts w:ascii="Calibri" w:eastAsia="Calibri" w:hAnsi="Calibri" w:cs="Arial"/>
          <w:noProof/>
          <w:color w:val="000000"/>
          <w:szCs w:val="24"/>
          <w:highlight w:val="black"/>
        </w:rPr>
        <w:t>''''''</w:t>
      </w:r>
      <w:r w:rsidR="00523CCA" w:rsidRPr="00A2167D">
        <w:rPr>
          <w:szCs w:val="24"/>
        </w:rPr>
        <w:t>% thereafter</w:t>
      </w:r>
      <w:r w:rsidR="00BD563D" w:rsidRPr="00A2167D">
        <w:rPr>
          <w:szCs w:val="24"/>
        </w:rPr>
        <w:t>)</w:t>
      </w:r>
      <w:r w:rsidR="001A4F6E" w:rsidRPr="00A2167D">
        <w:rPr>
          <w:szCs w:val="24"/>
        </w:rPr>
        <w:t>;</w:t>
      </w:r>
      <w:r w:rsidR="00623370" w:rsidRPr="00A2167D">
        <w:rPr>
          <w:szCs w:val="24"/>
        </w:rPr>
        <w:t xml:space="preserve"> and equal BASFI</w:t>
      </w:r>
      <w:r w:rsidR="00623370" w:rsidRPr="009D743B">
        <w:rPr>
          <w:szCs w:val="24"/>
        </w:rPr>
        <w:t xml:space="preserve"> progression </w:t>
      </w:r>
      <w:r w:rsidR="00E50C74" w:rsidRPr="009D743B">
        <w:rPr>
          <w:szCs w:val="24"/>
        </w:rPr>
        <w:t xml:space="preserve">was </w:t>
      </w:r>
      <w:r w:rsidR="00623370" w:rsidRPr="009D743B">
        <w:rPr>
          <w:szCs w:val="24"/>
        </w:rPr>
        <w:lastRenderedPageBreak/>
        <w:t>assumed for both golimumab and CC arms</w:t>
      </w:r>
      <w:r w:rsidR="00BD563D" w:rsidRPr="009D743B">
        <w:rPr>
          <w:szCs w:val="24"/>
        </w:rPr>
        <w:t xml:space="preserve"> (</w:t>
      </w:r>
      <w:r w:rsidR="0092060F" w:rsidRPr="009D743B">
        <w:rPr>
          <w:szCs w:val="24"/>
        </w:rPr>
        <w:t xml:space="preserve">the previous submission assumed </w:t>
      </w:r>
      <w:r w:rsidR="002910E4" w:rsidRPr="009D743B">
        <w:rPr>
          <w:szCs w:val="24"/>
        </w:rPr>
        <w:t xml:space="preserve">a lower rate of BASFI progression for golimumab </w:t>
      </w:r>
      <w:r w:rsidR="00562A3F" w:rsidRPr="009D743B">
        <w:rPr>
          <w:szCs w:val="24"/>
        </w:rPr>
        <w:t>responders</w:t>
      </w:r>
      <w:r w:rsidR="002910E4" w:rsidRPr="009D743B">
        <w:rPr>
          <w:szCs w:val="24"/>
        </w:rPr>
        <w:t xml:space="preserve"> after 4 years</w:t>
      </w:r>
      <w:r w:rsidR="00BD563D" w:rsidRPr="009D743B">
        <w:rPr>
          <w:szCs w:val="24"/>
        </w:rPr>
        <w:t>)</w:t>
      </w:r>
      <w:r w:rsidR="00DC28E8" w:rsidRPr="009D743B">
        <w:rPr>
          <w:szCs w:val="24"/>
        </w:rPr>
        <w:t xml:space="preserve">. </w:t>
      </w:r>
    </w:p>
    <w:p w:rsidR="00254E9F" w:rsidRPr="009D743B" w:rsidRDefault="00254E9F" w:rsidP="00B876BB">
      <w:pPr>
        <w:pStyle w:val="ListParagraph"/>
        <w:numPr>
          <w:ilvl w:val="0"/>
          <w:numId w:val="11"/>
        </w:numPr>
        <w:spacing w:before="0" w:after="120"/>
        <w:ind w:left="567" w:hanging="567"/>
        <w:jc w:val="both"/>
        <w:rPr>
          <w:szCs w:val="24"/>
        </w:rPr>
      </w:pPr>
      <w:r w:rsidRPr="009D743B">
        <w:rPr>
          <w:szCs w:val="24"/>
        </w:rPr>
        <w:t>The ESC noted that most</w:t>
      </w:r>
      <w:r w:rsidR="00C00A62" w:rsidRPr="009D743B">
        <w:rPr>
          <w:szCs w:val="24"/>
        </w:rPr>
        <w:t xml:space="preserve"> of these</w:t>
      </w:r>
      <w:r w:rsidRPr="009D743B">
        <w:rPr>
          <w:szCs w:val="24"/>
        </w:rPr>
        <w:t xml:space="preserve"> changes were minor and did not address the core underlying concerns raised </w:t>
      </w:r>
      <w:r w:rsidR="00F23EE2" w:rsidRPr="009D743B">
        <w:rPr>
          <w:szCs w:val="24"/>
        </w:rPr>
        <w:t>by the PBAC in its</w:t>
      </w:r>
      <w:r w:rsidRPr="009D743B">
        <w:rPr>
          <w:szCs w:val="24"/>
        </w:rPr>
        <w:t xml:space="preserve"> previous </w:t>
      </w:r>
      <w:r w:rsidR="00F23EE2" w:rsidRPr="009D743B">
        <w:rPr>
          <w:szCs w:val="24"/>
        </w:rPr>
        <w:t>consideration</w:t>
      </w:r>
      <w:r w:rsidRPr="009D743B">
        <w:rPr>
          <w:szCs w:val="24"/>
        </w:rPr>
        <w:t xml:space="preserve"> (</w:t>
      </w:r>
      <w:r w:rsidR="007868B2" w:rsidRPr="009D743B">
        <w:rPr>
          <w:szCs w:val="24"/>
        </w:rPr>
        <w:t>particularly</w:t>
      </w:r>
      <w:r w:rsidRPr="009D743B">
        <w:rPr>
          <w:szCs w:val="24"/>
        </w:rPr>
        <w:t xml:space="preserve"> </w:t>
      </w:r>
      <w:r w:rsidR="007868B2" w:rsidRPr="009D743B">
        <w:rPr>
          <w:szCs w:val="24"/>
        </w:rPr>
        <w:t xml:space="preserve">the lack of </w:t>
      </w:r>
      <w:r w:rsidR="009D743B" w:rsidRPr="009D743B">
        <w:rPr>
          <w:szCs w:val="24"/>
        </w:rPr>
        <w:t>long-term</w:t>
      </w:r>
      <w:r w:rsidR="007868B2" w:rsidRPr="009D743B">
        <w:rPr>
          <w:szCs w:val="24"/>
        </w:rPr>
        <w:t xml:space="preserve"> data and the uncertain utilities</w:t>
      </w:r>
      <w:r w:rsidRPr="009D743B">
        <w:rPr>
          <w:szCs w:val="24"/>
        </w:rPr>
        <w:t>).</w:t>
      </w:r>
      <w:r w:rsidR="00EF2A66" w:rsidRPr="009D743B">
        <w:rPr>
          <w:szCs w:val="24"/>
        </w:rPr>
        <w:t xml:space="preserve"> Further, while the time horizon was reduced from 30 years</w:t>
      </w:r>
      <w:r w:rsidR="007868B2" w:rsidRPr="009D743B">
        <w:rPr>
          <w:szCs w:val="24"/>
        </w:rPr>
        <w:t xml:space="preserve"> to</w:t>
      </w:r>
      <w:r w:rsidR="00C00A62" w:rsidRPr="009D743B">
        <w:rPr>
          <w:szCs w:val="24"/>
        </w:rPr>
        <w:t xml:space="preserve"> </w:t>
      </w:r>
      <w:r w:rsidR="00EF2A66" w:rsidRPr="009D743B">
        <w:rPr>
          <w:szCs w:val="24"/>
        </w:rPr>
        <w:t>20 year</w:t>
      </w:r>
      <w:r w:rsidR="007868B2" w:rsidRPr="009D743B">
        <w:rPr>
          <w:szCs w:val="24"/>
        </w:rPr>
        <w:t>s, th</w:t>
      </w:r>
      <w:r w:rsidR="00C00A62" w:rsidRPr="009D743B">
        <w:rPr>
          <w:szCs w:val="24"/>
        </w:rPr>
        <w:t>e ESC considered that 20 years</w:t>
      </w:r>
      <w:r w:rsidR="00EF2A66" w:rsidRPr="009D743B">
        <w:rPr>
          <w:szCs w:val="24"/>
        </w:rPr>
        <w:t xml:space="preserve"> may not be appropriate given the </w:t>
      </w:r>
      <w:r w:rsidR="007868B2" w:rsidRPr="009D743B">
        <w:rPr>
          <w:szCs w:val="24"/>
        </w:rPr>
        <w:t xml:space="preserve">uncertain extrapolation </w:t>
      </w:r>
      <w:r w:rsidR="008D7AE2" w:rsidRPr="009D743B">
        <w:rPr>
          <w:szCs w:val="24"/>
        </w:rPr>
        <w:t xml:space="preserve">from 16 weeks of randomised data </w:t>
      </w:r>
      <w:r w:rsidR="007868B2" w:rsidRPr="009D743B">
        <w:rPr>
          <w:szCs w:val="24"/>
        </w:rPr>
        <w:t>and</w:t>
      </w:r>
      <w:r w:rsidR="00EF2A66" w:rsidRPr="009D743B">
        <w:rPr>
          <w:szCs w:val="24"/>
        </w:rPr>
        <w:t xml:space="preserve"> lack of long-term data to inform the model.</w:t>
      </w:r>
      <w:r w:rsidR="00C442C2" w:rsidRPr="009D743B">
        <w:rPr>
          <w:szCs w:val="24"/>
        </w:rPr>
        <w:t xml:space="preserve"> The pre-PBAC response stated that </w:t>
      </w:r>
      <w:r w:rsidR="00924615" w:rsidRPr="009D743B">
        <w:rPr>
          <w:szCs w:val="24"/>
        </w:rPr>
        <w:t>“</w:t>
      </w:r>
      <w:r w:rsidR="00C442C2" w:rsidRPr="009D743B">
        <w:rPr>
          <w:szCs w:val="24"/>
        </w:rPr>
        <w:t>When the time horizon is changed to 10 years the resultant ICER is $</w:t>
      </w:r>
      <w:r w:rsidR="0050211C">
        <w:rPr>
          <w:noProof/>
          <w:color w:val="000000"/>
          <w:szCs w:val="24"/>
          <w:highlight w:val="black"/>
        </w:rPr>
        <w:t>''''''''''''''</w:t>
      </w:r>
      <w:r w:rsidR="00C442C2" w:rsidRPr="009D743B">
        <w:rPr>
          <w:szCs w:val="24"/>
        </w:rPr>
        <w:t>/QALY compared to 20 year base case of $</w:t>
      </w:r>
      <w:r w:rsidR="0050211C">
        <w:rPr>
          <w:noProof/>
          <w:color w:val="000000"/>
          <w:szCs w:val="24"/>
          <w:highlight w:val="black"/>
        </w:rPr>
        <w:t>''''''''''''''</w:t>
      </w:r>
      <w:r w:rsidR="00C442C2" w:rsidRPr="009D743B">
        <w:rPr>
          <w:szCs w:val="24"/>
        </w:rPr>
        <w:t>/QALY, a minimal change despite a halving of the time horizon</w:t>
      </w:r>
      <w:r w:rsidR="00924615" w:rsidRPr="009D743B">
        <w:rPr>
          <w:szCs w:val="24"/>
        </w:rPr>
        <w:t>”</w:t>
      </w:r>
      <w:r w:rsidR="00C442C2" w:rsidRPr="009D743B">
        <w:rPr>
          <w:szCs w:val="24"/>
        </w:rPr>
        <w:t>.</w:t>
      </w:r>
    </w:p>
    <w:p w:rsidR="000C7112" w:rsidRPr="009D743B" w:rsidRDefault="00B40F42" w:rsidP="00B876BB">
      <w:pPr>
        <w:pStyle w:val="ListParagraph"/>
        <w:numPr>
          <w:ilvl w:val="0"/>
          <w:numId w:val="11"/>
        </w:numPr>
        <w:spacing w:before="0" w:after="120"/>
        <w:ind w:left="567" w:hanging="567"/>
        <w:jc w:val="both"/>
        <w:rPr>
          <w:szCs w:val="24"/>
        </w:rPr>
      </w:pPr>
      <w:r w:rsidRPr="009D743B">
        <w:rPr>
          <w:szCs w:val="24"/>
        </w:rPr>
        <w:t xml:space="preserve">Table </w:t>
      </w:r>
      <w:r w:rsidR="00322547" w:rsidRPr="009D743B">
        <w:rPr>
          <w:szCs w:val="24"/>
        </w:rPr>
        <w:t>9</w:t>
      </w:r>
      <w:r w:rsidR="00684D40" w:rsidRPr="009D743B">
        <w:rPr>
          <w:szCs w:val="24"/>
        </w:rPr>
        <w:t xml:space="preserve"> </w:t>
      </w:r>
      <w:r w:rsidR="00186603" w:rsidRPr="009D743B">
        <w:rPr>
          <w:szCs w:val="24"/>
        </w:rPr>
        <w:t>provides a summary of the model structure and rationale.</w:t>
      </w:r>
    </w:p>
    <w:p w:rsidR="009A7D75" w:rsidRPr="009D743B" w:rsidRDefault="009A7D75" w:rsidP="00A73019">
      <w:pPr>
        <w:pStyle w:val="Caption"/>
        <w:jc w:val="both"/>
        <w:rPr>
          <w:rFonts w:ascii="Arial Narrow" w:hAnsi="Arial Narrow"/>
        </w:rPr>
      </w:pPr>
      <w:bookmarkStart w:id="33" w:name="_Ref511823826"/>
      <w:r w:rsidRPr="009D743B">
        <w:rPr>
          <w:rFonts w:ascii="Arial Narrow" w:hAnsi="Arial Narrow"/>
        </w:rPr>
        <w:t xml:space="preserve">Table </w:t>
      </w:r>
      <w:bookmarkEnd w:id="33"/>
      <w:r w:rsidR="00A72FBF" w:rsidRPr="009D743B">
        <w:rPr>
          <w:rFonts w:ascii="Arial Narrow" w:hAnsi="Arial Narrow"/>
        </w:rPr>
        <w:t>9</w:t>
      </w:r>
      <w:r w:rsidRPr="009D743B">
        <w:rPr>
          <w:rFonts w:ascii="Arial Narrow" w:hAnsi="Arial Narrow"/>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9"/>
        <w:gridCol w:w="7353"/>
      </w:tblGrid>
      <w:tr w:rsidR="00C317F3" w:rsidRPr="009D743B" w:rsidTr="00006ED6">
        <w:trPr>
          <w:tblHeader/>
        </w:trPr>
        <w:tc>
          <w:tcPr>
            <w:tcW w:w="952" w:type="pct"/>
            <w:shd w:val="clear" w:color="auto" w:fill="auto"/>
            <w:vAlign w:val="center"/>
          </w:tcPr>
          <w:p w:rsidR="00C317F3" w:rsidRPr="009D743B" w:rsidRDefault="00C317F3" w:rsidP="00772501">
            <w:pPr>
              <w:pStyle w:val="TableText"/>
              <w:rPr>
                <w:b/>
              </w:rPr>
            </w:pPr>
            <w:r w:rsidRPr="009D743B">
              <w:rPr>
                <w:b/>
              </w:rPr>
              <w:t>Component</w:t>
            </w:r>
          </w:p>
        </w:tc>
        <w:tc>
          <w:tcPr>
            <w:tcW w:w="4048" w:type="pct"/>
            <w:shd w:val="clear" w:color="auto" w:fill="auto"/>
            <w:vAlign w:val="center"/>
          </w:tcPr>
          <w:p w:rsidR="00C317F3" w:rsidRPr="009D743B" w:rsidRDefault="00C317F3" w:rsidP="00772501">
            <w:pPr>
              <w:pStyle w:val="TableText"/>
              <w:rPr>
                <w:b/>
              </w:rPr>
            </w:pPr>
            <w:r w:rsidRPr="009D743B">
              <w:rPr>
                <w:b/>
              </w:rPr>
              <w:t>Summary</w:t>
            </w:r>
          </w:p>
        </w:tc>
      </w:tr>
      <w:tr w:rsidR="00C317F3" w:rsidRPr="009D743B" w:rsidTr="00006ED6">
        <w:tc>
          <w:tcPr>
            <w:tcW w:w="952" w:type="pct"/>
            <w:shd w:val="clear" w:color="auto" w:fill="auto"/>
            <w:vAlign w:val="center"/>
          </w:tcPr>
          <w:p w:rsidR="00C317F3" w:rsidRPr="009D743B" w:rsidRDefault="00C317F3" w:rsidP="00772501">
            <w:pPr>
              <w:pStyle w:val="TableText"/>
            </w:pPr>
            <w:r w:rsidRPr="009D743B">
              <w:t>Time horizon</w:t>
            </w:r>
          </w:p>
        </w:tc>
        <w:tc>
          <w:tcPr>
            <w:tcW w:w="4048" w:type="pct"/>
            <w:shd w:val="clear" w:color="auto" w:fill="auto"/>
            <w:vAlign w:val="center"/>
          </w:tcPr>
          <w:p w:rsidR="00C317F3" w:rsidRPr="009D743B" w:rsidRDefault="008F144B" w:rsidP="000F4DEC">
            <w:pPr>
              <w:pStyle w:val="TableText"/>
              <w:rPr>
                <w:rFonts w:ascii="Times" w:eastAsia="Times New Roman" w:hAnsi="Times" w:cs="Times New Roman"/>
              </w:rPr>
            </w:pPr>
            <w:r w:rsidRPr="009D743B">
              <w:t>20</w:t>
            </w:r>
            <w:r w:rsidR="00C317F3" w:rsidRPr="009D743B">
              <w:t xml:space="preserve"> years in the model base case versus</w:t>
            </w:r>
            <w:r w:rsidR="005A4C36" w:rsidRPr="009D743B">
              <w:t xml:space="preserve"> </w:t>
            </w:r>
            <w:r w:rsidRPr="009D743B">
              <w:t xml:space="preserve">16 </w:t>
            </w:r>
            <w:r w:rsidR="00C317F3" w:rsidRPr="009D743B">
              <w:t xml:space="preserve">weeks </w:t>
            </w:r>
            <w:r w:rsidRPr="009D743B">
              <w:t xml:space="preserve">randomised data in the </w:t>
            </w:r>
            <w:r w:rsidR="00C317F3" w:rsidRPr="009D743B">
              <w:t>trial</w:t>
            </w:r>
            <w:r w:rsidRPr="009D743B">
              <w:t xml:space="preserve"> </w:t>
            </w:r>
          </w:p>
        </w:tc>
      </w:tr>
      <w:tr w:rsidR="00C317F3" w:rsidRPr="009D743B" w:rsidTr="00006ED6">
        <w:tc>
          <w:tcPr>
            <w:tcW w:w="952" w:type="pct"/>
            <w:shd w:val="clear" w:color="auto" w:fill="auto"/>
            <w:vAlign w:val="center"/>
          </w:tcPr>
          <w:p w:rsidR="00C317F3" w:rsidRPr="009D743B" w:rsidRDefault="00C317F3" w:rsidP="00772501">
            <w:pPr>
              <w:pStyle w:val="TableText"/>
              <w:rPr>
                <w:rFonts w:ascii="Times" w:eastAsia="Times New Roman" w:hAnsi="Times" w:cs="Times New Roman"/>
              </w:rPr>
            </w:pPr>
            <w:r w:rsidRPr="009D743B">
              <w:t>Outcomes</w:t>
            </w:r>
          </w:p>
        </w:tc>
        <w:tc>
          <w:tcPr>
            <w:tcW w:w="4048" w:type="pct"/>
            <w:shd w:val="clear" w:color="auto" w:fill="auto"/>
            <w:vAlign w:val="center"/>
          </w:tcPr>
          <w:p w:rsidR="00C317F3" w:rsidRPr="009D743B" w:rsidRDefault="00C317F3" w:rsidP="00EB3257">
            <w:pPr>
              <w:pStyle w:val="TableText"/>
              <w:rPr>
                <w:rFonts w:ascii="Times" w:eastAsia="Times New Roman" w:hAnsi="Times" w:cs="Times New Roman"/>
              </w:rPr>
            </w:pPr>
            <w:r w:rsidRPr="009D743B">
              <w:t>L</w:t>
            </w:r>
            <w:r w:rsidR="00EB3257" w:rsidRPr="009D743B">
              <w:t>Y</w:t>
            </w:r>
            <w:r w:rsidR="008F144B" w:rsidRPr="009D743B">
              <w:t xml:space="preserve">s and </w:t>
            </w:r>
            <w:r w:rsidRPr="009D743B">
              <w:t>QALYs</w:t>
            </w:r>
            <w:r w:rsidR="008F144B" w:rsidRPr="009D743B">
              <w:t>, with LYs assumed to be equal in both arms</w:t>
            </w:r>
          </w:p>
        </w:tc>
      </w:tr>
      <w:tr w:rsidR="00C317F3" w:rsidRPr="009D743B" w:rsidTr="00006ED6">
        <w:tc>
          <w:tcPr>
            <w:tcW w:w="952" w:type="pct"/>
            <w:shd w:val="clear" w:color="auto" w:fill="auto"/>
            <w:vAlign w:val="center"/>
          </w:tcPr>
          <w:p w:rsidR="00C317F3" w:rsidRPr="009D743B" w:rsidRDefault="00C317F3" w:rsidP="00772501">
            <w:pPr>
              <w:pStyle w:val="TableText"/>
              <w:rPr>
                <w:rFonts w:ascii="Times" w:eastAsia="Times New Roman" w:hAnsi="Times" w:cs="Times New Roman"/>
              </w:rPr>
            </w:pPr>
            <w:r w:rsidRPr="009D743B">
              <w:t>Methods used to generate results</w:t>
            </w:r>
          </w:p>
        </w:tc>
        <w:tc>
          <w:tcPr>
            <w:tcW w:w="4048" w:type="pct"/>
            <w:shd w:val="clear" w:color="auto" w:fill="auto"/>
            <w:vAlign w:val="center"/>
          </w:tcPr>
          <w:p w:rsidR="00C317F3" w:rsidRPr="009D743B" w:rsidRDefault="006574E4" w:rsidP="00772501">
            <w:pPr>
              <w:pStyle w:val="TableText"/>
              <w:rPr>
                <w:rFonts w:ascii="Times" w:eastAsia="Times New Roman" w:hAnsi="Times" w:cs="Times New Roman"/>
              </w:rPr>
            </w:pPr>
            <w:r w:rsidRPr="009D743B">
              <w:t>Markov cohort analysis</w:t>
            </w:r>
          </w:p>
        </w:tc>
      </w:tr>
      <w:tr w:rsidR="00C317F3" w:rsidRPr="009D743B" w:rsidTr="00006ED6">
        <w:tc>
          <w:tcPr>
            <w:tcW w:w="952" w:type="pct"/>
            <w:shd w:val="clear" w:color="auto" w:fill="auto"/>
            <w:vAlign w:val="center"/>
          </w:tcPr>
          <w:p w:rsidR="00C317F3" w:rsidRPr="009D743B" w:rsidRDefault="00C317F3" w:rsidP="00772501">
            <w:pPr>
              <w:pStyle w:val="TableText"/>
              <w:rPr>
                <w:rFonts w:ascii="Times" w:eastAsia="Times New Roman" w:hAnsi="Times" w:cs="Times New Roman"/>
              </w:rPr>
            </w:pPr>
            <w:r w:rsidRPr="009D743B">
              <w:t>Health states</w:t>
            </w:r>
          </w:p>
        </w:tc>
        <w:tc>
          <w:tcPr>
            <w:tcW w:w="4048" w:type="pct"/>
            <w:shd w:val="clear" w:color="auto" w:fill="auto"/>
            <w:vAlign w:val="center"/>
          </w:tcPr>
          <w:p w:rsidR="00C317F3" w:rsidRPr="009D743B" w:rsidRDefault="0043286E" w:rsidP="009B0AB7">
            <w:pPr>
              <w:pStyle w:val="TableText"/>
              <w:rPr>
                <w:rFonts w:ascii="Times" w:eastAsia="Times New Roman" w:hAnsi="Times" w:cs="Times New Roman"/>
              </w:rPr>
            </w:pPr>
            <w:r w:rsidRPr="009D743B">
              <w:rPr>
                <w:szCs w:val="20"/>
              </w:rPr>
              <w:t>Three golimumab living health states of responder, non-responder and discontinue</w:t>
            </w:r>
            <w:r w:rsidR="00AB007B" w:rsidRPr="009D743B">
              <w:rPr>
                <w:szCs w:val="20"/>
              </w:rPr>
              <w:t>d</w:t>
            </w:r>
            <w:r w:rsidRPr="009D743B">
              <w:rPr>
                <w:szCs w:val="20"/>
              </w:rPr>
              <w:t xml:space="preserve"> after golimumab response; two conventional care living health states of responder and non-responder, in the base case, plus a dead health state</w:t>
            </w:r>
            <w:r w:rsidR="00AB61F2" w:rsidRPr="009D743B">
              <w:rPr>
                <w:szCs w:val="20"/>
              </w:rPr>
              <w:t xml:space="preserve">. </w:t>
            </w:r>
            <w:r w:rsidR="00562A3F" w:rsidRPr="009D743B">
              <w:rPr>
                <w:szCs w:val="20"/>
              </w:rPr>
              <w:t>As p</w:t>
            </w:r>
            <w:r w:rsidR="009B0AB7" w:rsidRPr="009D743B">
              <w:rPr>
                <w:szCs w:val="20"/>
              </w:rPr>
              <w:t>er the previous submission, t</w:t>
            </w:r>
            <w:r w:rsidR="00AB61F2" w:rsidRPr="009D743B">
              <w:rPr>
                <w:szCs w:val="20"/>
              </w:rPr>
              <w:t>he model stratified each arm by response status at the beginning of the model as opposed to when response was measured in the GO-AHEAD trial (16 weeks) for the purposes of applying utilities and costs. Additionally, all conventional care responders at Week 16 (</w:t>
            </w:r>
            <w:r w:rsidR="00DE1BD8" w:rsidRPr="00DE1BD8">
              <w:rPr>
                <w:szCs w:val="20"/>
              </w:rPr>
              <w:t>28.8</w:t>
            </w:r>
            <w:r w:rsidR="00DE1BD8">
              <w:rPr>
                <w:szCs w:val="20"/>
              </w:rPr>
              <w:t>%</w:t>
            </w:r>
            <w:r w:rsidR="00AB61F2" w:rsidRPr="009D743B">
              <w:rPr>
                <w:szCs w:val="20"/>
              </w:rPr>
              <w:t>) were assumed to be non-responders by Week 52, thus no potential placebo effect was incorporated in the model beyond 52 weeks.</w:t>
            </w:r>
          </w:p>
        </w:tc>
      </w:tr>
      <w:tr w:rsidR="003A537E" w:rsidRPr="009D743B" w:rsidTr="00006ED6">
        <w:tc>
          <w:tcPr>
            <w:tcW w:w="952" w:type="pct"/>
            <w:shd w:val="clear" w:color="auto" w:fill="auto"/>
            <w:vAlign w:val="center"/>
          </w:tcPr>
          <w:p w:rsidR="003A537E" w:rsidRPr="009D743B" w:rsidRDefault="003A537E" w:rsidP="00772501">
            <w:pPr>
              <w:pStyle w:val="TableText"/>
              <w:rPr>
                <w:rFonts w:ascii="Times" w:eastAsia="Times New Roman" w:hAnsi="Times" w:cs="Times New Roman"/>
              </w:rPr>
            </w:pPr>
            <w:r w:rsidRPr="009D743B">
              <w:t>Utilities</w:t>
            </w:r>
          </w:p>
        </w:tc>
        <w:tc>
          <w:tcPr>
            <w:tcW w:w="4048" w:type="pct"/>
            <w:shd w:val="clear" w:color="auto" w:fill="auto"/>
            <w:vAlign w:val="center"/>
          </w:tcPr>
          <w:p w:rsidR="003A537E" w:rsidRPr="009D743B" w:rsidRDefault="00971CE6" w:rsidP="00A73019">
            <w:pPr>
              <w:pStyle w:val="TableText"/>
              <w:rPr>
                <w:rFonts w:ascii="Times" w:eastAsia="Times New Roman" w:hAnsi="Times" w:cs="Times New Roman"/>
              </w:rPr>
            </w:pPr>
            <w:r w:rsidRPr="009D743B">
              <w:rPr>
                <w:szCs w:val="20"/>
              </w:rPr>
              <w:t>As p</w:t>
            </w:r>
            <w:r w:rsidR="00505AE4" w:rsidRPr="009D743B">
              <w:rPr>
                <w:szCs w:val="20"/>
              </w:rPr>
              <w:t>er the previous submission, u</w:t>
            </w:r>
            <w:r w:rsidR="000F4DEC" w:rsidRPr="009D743B">
              <w:rPr>
                <w:szCs w:val="20"/>
              </w:rPr>
              <w:t>tilities were estimated from a regression equation from a separate study that used BASDAI/BASFI terms (from trial and extrapolations) to estimate and assign utilities</w:t>
            </w:r>
            <w:r w:rsidR="00AB61F2" w:rsidRPr="009D743B">
              <w:rPr>
                <w:szCs w:val="20"/>
              </w:rPr>
              <w:t xml:space="preserve">. The model was demonstrated to be </w:t>
            </w:r>
            <w:r w:rsidR="008D7AE2" w:rsidRPr="009D743B">
              <w:rPr>
                <w:szCs w:val="20"/>
              </w:rPr>
              <w:t xml:space="preserve">highly </w:t>
            </w:r>
            <w:r w:rsidR="00AB61F2" w:rsidRPr="009D743B">
              <w:rPr>
                <w:szCs w:val="20"/>
              </w:rPr>
              <w:t>sensitive to the utility regression equation applied.</w:t>
            </w:r>
            <w:r w:rsidR="00562A3F" w:rsidRPr="009D743B">
              <w:rPr>
                <w:szCs w:val="20"/>
              </w:rPr>
              <w:t xml:space="preserve"> An additional disutility was included for serious infections</w:t>
            </w:r>
            <w:r w:rsidR="00A73019" w:rsidRPr="009D743B">
              <w:rPr>
                <w:szCs w:val="20"/>
              </w:rPr>
              <w:t xml:space="preserve"> in the resubmission</w:t>
            </w:r>
            <w:r w:rsidR="00562A3F" w:rsidRPr="009D743B">
              <w:rPr>
                <w:szCs w:val="20"/>
              </w:rPr>
              <w:t>.</w:t>
            </w:r>
          </w:p>
        </w:tc>
      </w:tr>
      <w:tr w:rsidR="00C317F3" w:rsidRPr="009D743B" w:rsidTr="007B775A">
        <w:tc>
          <w:tcPr>
            <w:tcW w:w="952" w:type="pct"/>
            <w:shd w:val="clear" w:color="auto" w:fill="auto"/>
            <w:vAlign w:val="center"/>
          </w:tcPr>
          <w:p w:rsidR="00C317F3" w:rsidRPr="009D743B" w:rsidRDefault="00C317F3" w:rsidP="00772501">
            <w:pPr>
              <w:pStyle w:val="TableText"/>
              <w:rPr>
                <w:rFonts w:ascii="Times" w:eastAsia="Times New Roman" w:hAnsi="Times" w:cs="Times New Roman"/>
              </w:rPr>
            </w:pPr>
            <w:r w:rsidRPr="009D743B">
              <w:t>Cycle length</w:t>
            </w:r>
          </w:p>
        </w:tc>
        <w:tc>
          <w:tcPr>
            <w:tcW w:w="4048" w:type="pct"/>
            <w:shd w:val="clear" w:color="auto" w:fill="auto"/>
            <w:vAlign w:val="center"/>
          </w:tcPr>
          <w:p w:rsidR="00C317F3" w:rsidRPr="009D743B" w:rsidRDefault="009A7D75" w:rsidP="003A31A0">
            <w:pPr>
              <w:pStyle w:val="TableText"/>
              <w:rPr>
                <w:rFonts w:ascii="Times" w:eastAsia="Times New Roman" w:hAnsi="Times" w:cs="Times New Roman"/>
              </w:rPr>
            </w:pPr>
            <w:r w:rsidRPr="009D743B">
              <w:t>Weekly in Year 1, and annually in Years 2-20</w:t>
            </w:r>
            <w:r w:rsidR="00AB61F2" w:rsidRPr="009D743B">
              <w:t xml:space="preserve">. </w:t>
            </w:r>
            <w:r w:rsidR="00AB61F2" w:rsidRPr="009D743B">
              <w:rPr>
                <w:szCs w:val="20"/>
              </w:rPr>
              <w:t xml:space="preserve">Cycle lengths were </w:t>
            </w:r>
            <w:r w:rsidR="001442A6" w:rsidRPr="009D743B">
              <w:rPr>
                <w:szCs w:val="20"/>
              </w:rPr>
              <w:t>reasonable;</w:t>
            </w:r>
            <w:r w:rsidR="00AB61F2" w:rsidRPr="009D743B">
              <w:rPr>
                <w:szCs w:val="20"/>
              </w:rPr>
              <w:t xml:space="preserve"> however the lack of half-cycle correction in the annual cycles likely resulted in </w:t>
            </w:r>
            <w:r w:rsidR="003A31A0" w:rsidRPr="009D743B">
              <w:rPr>
                <w:szCs w:val="20"/>
              </w:rPr>
              <w:t xml:space="preserve">an </w:t>
            </w:r>
            <w:r w:rsidR="00AB61F2" w:rsidRPr="009D743B">
              <w:rPr>
                <w:szCs w:val="20"/>
              </w:rPr>
              <w:t>inaccurate accrual of costs and benefits.</w:t>
            </w:r>
          </w:p>
        </w:tc>
      </w:tr>
      <w:tr w:rsidR="00C317F3" w:rsidRPr="009D743B" w:rsidTr="00006ED6">
        <w:tc>
          <w:tcPr>
            <w:tcW w:w="952" w:type="pct"/>
            <w:shd w:val="clear" w:color="auto" w:fill="auto"/>
            <w:vAlign w:val="center"/>
          </w:tcPr>
          <w:p w:rsidR="00C317F3" w:rsidRPr="009D743B" w:rsidRDefault="00C317F3" w:rsidP="00772501">
            <w:pPr>
              <w:pStyle w:val="TableText"/>
              <w:rPr>
                <w:rFonts w:ascii="Times" w:eastAsia="Times New Roman" w:hAnsi="Times" w:cs="Times New Roman"/>
              </w:rPr>
            </w:pPr>
            <w:r w:rsidRPr="009D743B">
              <w:t>Transition probabilities</w:t>
            </w:r>
          </w:p>
        </w:tc>
        <w:tc>
          <w:tcPr>
            <w:tcW w:w="4048" w:type="pct"/>
            <w:shd w:val="clear" w:color="auto" w:fill="auto"/>
            <w:vAlign w:val="center"/>
          </w:tcPr>
          <w:p w:rsidR="00C317F3" w:rsidRPr="009D743B" w:rsidRDefault="000F4DEC" w:rsidP="003A31A0">
            <w:pPr>
              <w:pStyle w:val="TableText"/>
              <w:rPr>
                <w:rFonts w:ascii="Times" w:eastAsia="Times New Roman" w:hAnsi="Times" w:cs="Times New Roman"/>
              </w:rPr>
            </w:pPr>
            <w:r w:rsidRPr="009D743B">
              <w:rPr>
                <w:szCs w:val="20"/>
              </w:rPr>
              <w:t xml:space="preserve">Derived from trial data through to Week 16, from open-label study data to Week 52 for golimumab responders, </w:t>
            </w:r>
            <w:r w:rsidR="00B8244F" w:rsidRPr="009D743B">
              <w:rPr>
                <w:szCs w:val="20"/>
              </w:rPr>
              <w:t xml:space="preserve">and from </w:t>
            </w:r>
            <w:r w:rsidRPr="009D743B">
              <w:rPr>
                <w:szCs w:val="20"/>
              </w:rPr>
              <w:t xml:space="preserve">Sponsor assumptions </w:t>
            </w:r>
            <w:r w:rsidR="00562A3F" w:rsidRPr="009D743B">
              <w:rPr>
                <w:szCs w:val="20"/>
              </w:rPr>
              <w:t xml:space="preserve"> </w:t>
            </w:r>
          </w:p>
        </w:tc>
      </w:tr>
      <w:tr w:rsidR="007B775A" w:rsidRPr="009D743B" w:rsidTr="003A31A0">
        <w:tc>
          <w:tcPr>
            <w:tcW w:w="952" w:type="pct"/>
            <w:shd w:val="clear" w:color="auto" w:fill="auto"/>
            <w:vAlign w:val="center"/>
          </w:tcPr>
          <w:p w:rsidR="007B775A" w:rsidRPr="009D743B" w:rsidRDefault="007B775A" w:rsidP="00772501">
            <w:pPr>
              <w:pStyle w:val="TableText"/>
            </w:pPr>
            <w:r w:rsidRPr="009D743B">
              <w:t>Annual disease costs</w:t>
            </w:r>
          </w:p>
        </w:tc>
        <w:tc>
          <w:tcPr>
            <w:tcW w:w="4048" w:type="pct"/>
            <w:shd w:val="clear" w:color="auto" w:fill="auto"/>
            <w:vAlign w:val="center"/>
          </w:tcPr>
          <w:p w:rsidR="007B775A" w:rsidRPr="009D743B" w:rsidRDefault="007B775A" w:rsidP="00217E96">
            <w:pPr>
              <w:pStyle w:val="TableText"/>
              <w:rPr>
                <w:szCs w:val="20"/>
              </w:rPr>
            </w:pPr>
            <w:r w:rsidRPr="009D743B">
              <w:t xml:space="preserve">Based on a regression equation form Tilden (2004), with health care costs linked to BASFI scores. This was considered inappropriate in the previous submission with the PBAC Minutes concluding “The original COI study (Tilden 2004) provides no detailed information on the methodology of the study (for example, the healthcare resource-use questions included in the survey, the characteristics of the sample population and whether any eligibility criteria were applied) nor does it provide information on the specific costs included other than specifying ‘categories’ of costs. As such, the validity of this regression equation in predicting nr-axSpA disease-management costs was unclear.” (6.04 Golimumab November 2017 PBAC </w:t>
            </w:r>
            <w:r w:rsidR="00217E96">
              <w:t>PSD</w:t>
            </w:r>
            <w:r w:rsidRPr="009D743B">
              <w:t>, Table 8)</w:t>
            </w:r>
          </w:p>
        </w:tc>
      </w:tr>
    </w:tbl>
    <w:p w:rsidR="00C317F3" w:rsidRPr="009D743B" w:rsidRDefault="00C317F3" w:rsidP="00772501">
      <w:pPr>
        <w:pStyle w:val="TableFooter"/>
      </w:pPr>
      <w:r w:rsidRPr="009D743B">
        <w:t xml:space="preserve">Source: </w:t>
      </w:r>
      <w:r w:rsidR="000F4DEC" w:rsidRPr="009D743B">
        <w:t>Sections 3.1-3.5 of the resubmission</w:t>
      </w:r>
    </w:p>
    <w:p w:rsidR="00E37424" w:rsidRPr="009D743B" w:rsidRDefault="00AB61F2" w:rsidP="00B876BB">
      <w:pPr>
        <w:pStyle w:val="ListParagraph"/>
        <w:numPr>
          <w:ilvl w:val="0"/>
          <w:numId w:val="11"/>
        </w:numPr>
        <w:spacing w:before="0" w:after="120"/>
        <w:ind w:left="567" w:hanging="567"/>
        <w:jc w:val="both"/>
      </w:pPr>
      <w:r w:rsidRPr="009D743B">
        <w:t xml:space="preserve">Key </w:t>
      </w:r>
      <w:r w:rsidRPr="009D743B">
        <w:rPr>
          <w:szCs w:val="24"/>
        </w:rPr>
        <w:t>drivers</w:t>
      </w:r>
      <w:r w:rsidRPr="009D743B">
        <w:t xml:space="preserve"> of the model are presented in</w:t>
      </w:r>
      <w:r w:rsidR="00842E88" w:rsidRPr="009D743B">
        <w:t xml:space="preserve"> </w:t>
      </w:r>
      <w:r w:rsidR="00B40F42" w:rsidRPr="009D743B">
        <w:t xml:space="preserve">Table </w:t>
      </w:r>
      <w:r w:rsidR="00A72FBF" w:rsidRPr="009D743B">
        <w:t>10</w:t>
      </w:r>
      <w:r w:rsidRPr="009D743B">
        <w:t>.</w:t>
      </w:r>
      <w:r w:rsidR="00E37424" w:rsidRPr="009D743B">
        <w:t xml:space="preserve"> </w:t>
      </w:r>
    </w:p>
    <w:p w:rsidR="00842E88" w:rsidRPr="009D743B" w:rsidRDefault="00842E88" w:rsidP="00842E88">
      <w:pPr>
        <w:pStyle w:val="Caption"/>
        <w:rPr>
          <w:rFonts w:ascii="Arial Narrow" w:hAnsi="Arial Narrow"/>
        </w:rPr>
      </w:pPr>
      <w:bookmarkStart w:id="34" w:name="_Ref510105055"/>
      <w:r w:rsidRPr="009D743B">
        <w:rPr>
          <w:rFonts w:ascii="Arial Narrow" w:hAnsi="Arial Narrow"/>
        </w:rPr>
        <w:lastRenderedPageBreak/>
        <w:t xml:space="preserve">Table </w:t>
      </w:r>
      <w:bookmarkEnd w:id="34"/>
      <w:r w:rsidR="00A72FBF" w:rsidRPr="009D743B">
        <w:rPr>
          <w:rFonts w:ascii="Arial Narrow" w:hAnsi="Arial Narrow"/>
        </w:rPr>
        <w:t>10</w:t>
      </w:r>
      <w:r w:rsidRPr="009D743B">
        <w:rPr>
          <w:rFonts w:ascii="Arial Narrow" w:hAnsi="Arial Narrow"/>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6663"/>
        <w:gridCol w:w="1115"/>
      </w:tblGrid>
      <w:tr w:rsidR="00E37424" w:rsidRPr="009D743B" w:rsidTr="005D23F5">
        <w:trPr>
          <w:tblHeader/>
        </w:trPr>
        <w:tc>
          <w:tcPr>
            <w:tcW w:w="718" w:type="pct"/>
            <w:shd w:val="clear" w:color="auto" w:fill="auto"/>
            <w:vAlign w:val="center"/>
          </w:tcPr>
          <w:p w:rsidR="00E37424" w:rsidRPr="009D743B" w:rsidRDefault="00E37424" w:rsidP="00772501">
            <w:pPr>
              <w:pStyle w:val="TableText"/>
              <w:rPr>
                <w:b/>
              </w:rPr>
            </w:pPr>
            <w:r w:rsidRPr="009D743B">
              <w:rPr>
                <w:b/>
              </w:rPr>
              <w:t>Description</w:t>
            </w:r>
          </w:p>
        </w:tc>
        <w:tc>
          <w:tcPr>
            <w:tcW w:w="3668" w:type="pct"/>
            <w:shd w:val="clear" w:color="auto" w:fill="auto"/>
            <w:vAlign w:val="center"/>
          </w:tcPr>
          <w:p w:rsidR="00E37424" w:rsidRPr="009D743B" w:rsidRDefault="00E37424" w:rsidP="00772501">
            <w:pPr>
              <w:pStyle w:val="TableText"/>
              <w:rPr>
                <w:b/>
              </w:rPr>
            </w:pPr>
            <w:r w:rsidRPr="009D743B">
              <w:rPr>
                <w:b/>
              </w:rPr>
              <w:t>Method/Value</w:t>
            </w:r>
          </w:p>
        </w:tc>
        <w:tc>
          <w:tcPr>
            <w:tcW w:w="614" w:type="pct"/>
            <w:shd w:val="clear" w:color="auto" w:fill="auto"/>
            <w:vAlign w:val="center"/>
          </w:tcPr>
          <w:p w:rsidR="00E37424" w:rsidRPr="009D743B" w:rsidRDefault="00E37424" w:rsidP="00772501">
            <w:pPr>
              <w:pStyle w:val="TableText"/>
              <w:rPr>
                <w:b/>
              </w:rPr>
            </w:pPr>
            <w:r w:rsidRPr="009D743B">
              <w:rPr>
                <w:b/>
              </w:rPr>
              <w:t>Impact</w:t>
            </w:r>
          </w:p>
        </w:tc>
      </w:tr>
      <w:tr w:rsidR="002702F9" w:rsidRPr="009D743B" w:rsidTr="005D23F5">
        <w:tc>
          <w:tcPr>
            <w:tcW w:w="718" w:type="pct"/>
            <w:shd w:val="clear" w:color="auto" w:fill="auto"/>
            <w:vAlign w:val="center"/>
          </w:tcPr>
          <w:p w:rsidR="002702F9" w:rsidRPr="009D743B" w:rsidRDefault="002702F9" w:rsidP="002702F9">
            <w:pPr>
              <w:pStyle w:val="TableText"/>
            </w:pPr>
            <w:r w:rsidRPr="009D743B">
              <w:t>Utilities</w:t>
            </w:r>
            <w:r w:rsidR="0050312D" w:rsidRPr="009D743B">
              <w:t>/</w:t>
            </w:r>
            <w:r w:rsidR="003A31A0" w:rsidRPr="009D743B">
              <w:br/>
            </w:r>
            <w:r w:rsidR="0050312D" w:rsidRPr="009D743B">
              <w:t>Extrapolation</w:t>
            </w:r>
          </w:p>
        </w:tc>
        <w:tc>
          <w:tcPr>
            <w:tcW w:w="3668" w:type="pct"/>
            <w:shd w:val="clear" w:color="auto" w:fill="auto"/>
            <w:vAlign w:val="center"/>
          </w:tcPr>
          <w:p w:rsidR="002702F9" w:rsidRPr="009D743B" w:rsidRDefault="00CF690C" w:rsidP="003A31A0">
            <w:pPr>
              <w:pStyle w:val="TableText"/>
            </w:pPr>
            <w:r w:rsidRPr="009D743B">
              <w:t>Long-term u</w:t>
            </w:r>
            <w:r w:rsidR="002702F9" w:rsidRPr="009D743B">
              <w:t xml:space="preserve">tility values </w:t>
            </w:r>
            <w:r w:rsidRPr="009D743B">
              <w:t xml:space="preserve">were </w:t>
            </w:r>
            <w:r w:rsidR="002702F9" w:rsidRPr="009D743B">
              <w:t>estimated from a regression equation</w:t>
            </w:r>
            <w:r w:rsidRPr="009D743B">
              <w:t xml:space="preserve">. </w:t>
            </w:r>
            <w:r w:rsidR="00F35E9E" w:rsidRPr="009D743B">
              <w:t>While some verification of the regression equation was provided in the resubmission, i</w:t>
            </w:r>
            <w:r w:rsidRPr="009D743B">
              <w:t>t</w:t>
            </w:r>
            <w:r w:rsidR="0050312D" w:rsidRPr="009D743B">
              <w:t xml:space="preserve"> was not clear </w:t>
            </w:r>
            <w:r w:rsidR="003A31A0" w:rsidRPr="009D743B">
              <w:t xml:space="preserve">whether </w:t>
            </w:r>
            <w:r w:rsidR="0050312D" w:rsidRPr="009D743B">
              <w:t xml:space="preserve">the regression equation would be </w:t>
            </w:r>
            <w:r w:rsidRPr="009D743B">
              <w:t xml:space="preserve">relevant over the 20-year time horizon of the model. </w:t>
            </w:r>
            <w:r w:rsidR="005F1592" w:rsidRPr="009D743B">
              <w:t>As per the previous submission, o</w:t>
            </w:r>
            <w:r w:rsidR="00F35E9E" w:rsidRPr="009D743B">
              <w:t>f</w:t>
            </w:r>
            <w:r w:rsidRPr="009D743B">
              <w:t xml:space="preserve"> the four </w:t>
            </w:r>
            <w:r w:rsidR="00F35E9E" w:rsidRPr="009D743B">
              <w:t>utility estimation algorithms</w:t>
            </w:r>
            <w:r w:rsidR="003A31A0" w:rsidRPr="009D743B">
              <w:t xml:space="preserve"> provided</w:t>
            </w:r>
            <w:r w:rsidRPr="009D743B">
              <w:t xml:space="preserve">, the </w:t>
            </w:r>
            <w:r w:rsidR="00F63373" w:rsidRPr="009D743B">
              <w:t>submission</w:t>
            </w:r>
            <w:r w:rsidRPr="009D743B">
              <w:t xml:space="preserve"> used the </w:t>
            </w:r>
            <w:r w:rsidR="004F4985" w:rsidRPr="009D743B">
              <w:t xml:space="preserve">algorithm </w:t>
            </w:r>
            <w:r w:rsidR="00AD7416" w:rsidRPr="009D743B">
              <w:t>based on the GO-AHEAD trial</w:t>
            </w:r>
            <w:r w:rsidR="003A31A0" w:rsidRPr="009D743B">
              <w:t>. Th</w:t>
            </w:r>
            <w:r w:rsidR="00AD7416" w:rsidRPr="009D743B">
              <w:t>is algorithm</w:t>
            </w:r>
            <w:r w:rsidRPr="009D743B">
              <w:t xml:space="preserve"> </w:t>
            </w:r>
            <w:r w:rsidR="006D1792" w:rsidRPr="009D743B">
              <w:t>resulted in the lowest ICER</w:t>
            </w:r>
            <w:r w:rsidR="003A31A0" w:rsidRPr="009D743B">
              <w:t>.</w:t>
            </w:r>
          </w:p>
        </w:tc>
        <w:tc>
          <w:tcPr>
            <w:tcW w:w="614" w:type="pct"/>
            <w:shd w:val="clear" w:color="auto" w:fill="auto"/>
            <w:vAlign w:val="center"/>
          </w:tcPr>
          <w:p w:rsidR="002702F9" w:rsidRPr="009D743B" w:rsidRDefault="002702F9" w:rsidP="002702F9">
            <w:pPr>
              <w:pStyle w:val="TableText"/>
            </w:pPr>
            <w:r w:rsidRPr="009D743B">
              <w:t>High (base case values favour golimumab)</w:t>
            </w:r>
          </w:p>
        </w:tc>
      </w:tr>
    </w:tbl>
    <w:p w:rsidR="00E37424" w:rsidRPr="009D743B" w:rsidRDefault="0050312D" w:rsidP="00772501">
      <w:pPr>
        <w:pStyle w:val="TableFooter"/>
      </w:pPr>
      <w:r w:rsidRPr="009D743B">
        <w:t>Source: C</w:t>
      </w:r>
      <w:r w:rsidR="00E37424" w:rsidRPr="009D743B">
        <w:t>ompiled during the evaluation</w:t>
      </w:r>
      <w:r w:rsidR="002702F9" w:rsidRPr="009D743B">
        <w:t xml:space="preserve"> </w:t>
      </w:r>
    </w:p>
    <w:p w:rsidR="00C317F3" w:rsidRPr="009D743B" w:rsidRDefault="00E14C33" w:rsidP="00B876BB">
      <w:pPr>
        <w:pStyle w:val="ListParagraph"/>
        <w:numPr>
          <w:ilvl w:val="0"/>
          <w:numId w:val="11"/>
        </w:numPr>
        <w:spacing w:before="0" w:after="120"/>
        <w:ind w:left="567" w:hanging="567"/>
        <w:jc w:val="both"/>
      </w:pPr>
      <w:r w:rsidRPr="009D743B">
        <w:t xml:space="preserve">Table </w:t>
      </w:r>
      <w:r w:rsidR="00186A07" w:rsidRPr="009D743B">
        <w:t>1</w:t>
      </w:r>
      <w:r w:rsidR="00A72FBF" w:rsidRPr="009D743B">
        <w:t>1</w:t>
      </w:r>
      <w:r w:rsidR="00684D40" w:rsidRPr="009D743B">
        <w:t xml:space="preserve"> </w:t>
      </w:r>
      <w:r w:rsidR="00F65D41" w:rsidRPr="009D743B">
        <w:t xml:space="preserve">presents the results of the economic evaluation. </w:t>
      </w:r>
      <w:r w:rsidR="00186603" w:rsidRPr="009D743B">
        <w:t>The base case of the stepped economic evaluation utilised a cost for golimumab of $</w:t>
      </w:r>
      <w:r w:rsidR="0050211C">
        <w:rPr>
          <w:noProof/>
          <w:color w:val="000000"/>
          <w:highlight w:val="black"/>
        </w:rPr>
        <w:t>'''''''''''''''</w:t>
      </w:r>
      <w:r w:rsidR="00186603" w:rsidRPr="009D743B">
        <w:t>, with the propos</w:t>
      </w:r>
      <w:r w:rsidR="0099120D" w:rsidRPr="009D743B">
        <w:t>ed DPMQ of $1,317.93 used in a s</w:t>
      </w:r>
      <w:r w:rsidR="00186603" w:rsidRPr="009D743B">
        <w:t>cenario analysis.</w:t>
      </w:r>
      <w:r w:rsidR="005F1592" w:rsidRPr="009D743B">
        <w:t xml:space="preserve"> The resubmission stated that the lower price was to mitigate the uncertainty from the lack of </w:t>
      </w:r>
      <w:r w:rsidR="009D743B" w:rsidRPr="009D743B">
        <w:t>longer-term</w:t>
      </w:r>
      <w:r w:rsidR="005F1592" w:rsidRPr="009D743B">
        <w:t xml:space="preserve"> data.</w:t>
      </w:r>
    </w:p>
    <w:p w:rsidR="00F65D41" w:rsidRPr="009D743B" w:rsidRDefault="00F65D41" w:rsidP="00F65D41">
      <w:pPr>
        <w:pStyle w:val="Caption"/>
        <w:rPr>
          <w:rFonts w:ascii="Arial Narrow" w:hAnsi="Arial Narrow"/>
        </w:rPr>
      </w:pPr>
      <w:bookmarkStart w:id="35" w:name="_Ref510111689"/>
      <w:r w:rsidRPr="009D743B">
        <w:rPr>
          <w:rFonts w:ascii="Arial Narrow" w:hAnsi="Arial Narrow"/>
        </w:rPr>
        <w:t xml:space="preserve">Table </w:t>
      </w:r>
      <w:bookmarkEnd w:id="35"/>
      <w:r w:rsidR="00A72FBF" w:rsidRPr="009D743B">
        <w:rPr>
          <w:rFonts w:ascii="Arial Narrow" w:hAnsi="Arial Narrow"/>
        </w:rPr>
        <w:t>11</w:t>
      </w:r>
      <w:r w:rsidRPr="009D743B">
        <w:rPr>
          <w:rFonts w:ascii="Arial Narrow" w:hAnsi="Arial Narrow"/>
        </w:rPr>
        <w:t>: Results of the stepped economic evaluation</w:t>
      </w:r>
    </w:p>
    <w:tbl>
      <w:tblPr>
        <w:tblW w:w="501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15"/>
        <w:gridCol w:w="7"/>
        <w:gridCol w:w="1858"/>
        <w:gridCol w:w="6"/>
        <w:gridCol w:w="1854"/>
        <w:gridCol w:w="15"/>
        <w:gridCol w:w="1962"/>
      </w:tblGrid>
      <w:tr w:rsidR="00AE693C" w:rsidRPr="009D743B" w:rsidTr="00DE1BD8">
        <w:trPr>
          <w:tblHeader/>
        </w:trPr>
        <w:tc>
          <w:tcPr>
            <w:tcW w:w="1877" w:type="pct"/>
            <w:gridSpan w:val="2"/>
            <w:vAlign w:val="center"/>
          </w:tcPr>
          <w:p w:rsidR="00AE693C" w:rsidRPr="009D743B" w:rsidRDefault="00AE693C" w:rsidP="00AE693C">
            <w:pPr>
              <w:keepNext/>
              <w:spacing w:before="40" w:after="40"/>
              <w:rPr>
                <w:rFonts w:ascii="Arial Narrow" w:hAnsi="Arial Narrow"/>
                <w:b/>
                <w:sz w:val="20"/>
              </w:rPr>
            </w:pPr>
            <w:r w:rsidRPr="009D743B">
              <w:rPr>
                <w:rFonts w:ascii="Arial Narrow" w:hAnsi="Arial Narrow"/>
                <w:b/>
                <w:sz w:val="20"/>
              </w:rPr>
              <w:t>Step and component</w:t>
            </w:r>
          </w:p>
        </w:tc>
        <w:tc>
          <w:tcPr>
            <w:tcW w:w="1019" w:type="pct"/>
            <w:vAlign w:val="center"/>
          </w:tcPr>
          <w:p w:rsidR="00AE693C" w:rsidRPr="009D743B" w:rsidRDefault="00AE693C" w:rsidP="00AE693C">
            <w:pPr>
              <w:keepNext/>
              <w:spacing w:before="40" w:after="40"/>
              <w:jc w:val="center"/>
              <w:rPr>
                <w:rFonts w:ascii="Arial Narrow" w:hAnsi="Arial Narrow"/>
                <w:b/>
                <w:sz w:val="20"/>
              </w:rPr>
            </w:pPr>
            <w:r w:rsidRPr="009D743B">
              <w:rPr>
                <w:rFonts w:ascii="Arial Narrow" w:hAnsi="Arial Narrow"/>
                <w:b/>
                <w:sz w:val="20"/>
              </w:rPr>
              <w:t>Golimumab + conventional care</w:t>
            </w:r>
          </w:p>
        </w:tc>
        <w:tc>
          <w:tcPr>
            <w:tcW w:w="1020" w:type="pct"/>
            <w:gridSpan w:val="2"/>
            <w:vAlign w:val="center"/>
          </w:tcPr>
          <w:p w:rsidR="00AE693C" w:rsidRPr="009D743B" w:rsidRDefault="00AE693C" w:rsidP="00AE693C">
            <w:pPr>
              <w:keepNext/>
              <w:spacing w:before="40" w:after="40"/>
              <w:jc w:val="center"/>
              <w:rPr>
                <w:rFonts w:ascii="Arial Narrow" w:hAnsi="Arial Narrow"/>
                <w:b/>
                <w:sz w:val="20"/>
              </w:rPr>
            </w:pPr>
            <w:r w:rsidRPr="009D743B">
              <w:rPr>
                <w:rFonts w:ascii="Arial Narrow" w:hAnsi="Arial Narrow"/>
                <w:b/>
                <w:sz w:val="20"/>
              </w:rPr>
              <w:t>Conventional care</w:t>
            </w:r>
          </w:p>
        </w:tc>
        <w:tc>
          <w:tcPr>
            <w:tcW w:w="1084" w:type="pct"/>
            <w:gridSpan w:val="2"/>
            <w:vAlign w:val="center"/>
          </w:tcPr>
          <w:p w:rsidR="00AE693C" w:rsidRPr="009D743B" w:rsidRDefault="00AE693C" w:rsidP="00AE693C">
            <w:pPr>
              <w:keepNext/>
              <w:spacing w:before="40" w:after="40"/>
              <w:jc w:val="center"/>
              <w:rPr>
                <w:rFonts w:ascii="Arial Narrow" w:hAnsi="Arial Narrow"/>
                <w:b/>
                <w:sz w:val="20"/>
              </w:rPr>
            </w:pPr>
            <w:r w:rsidRPr="009D743B">
              <w:rPr>
                <w:rFonts w:ascii="Arial Narrow" w:hAnsi="Arial Narrow"/>
                <w:b/>
                <w:sz w:val="20"/>
              </w:rPr>
              <w:t>Increment</w:t>
            </w:r>
          </w:p>
        </w:tc>
      </w:tr>
      <w:tr w:rsidR="00AE693C" w:rsidRPr="009D743B" w:rsidTr="00AF326E">
        <w:tc>
          <w:tcPr>
            <w:tcW w:w="5000" w:type="pct"/>
            <w:gridSpan w:val="7"/>
            <w:vAlign w:val="center"/>
          </w:tcPr>
          <w:p w:rsidR="00AE693C" w:rsidRPr="009D743B" w:rsidRDefault="00AE693C" w:rsidP="00FA3962">
            <w:pPr>
              <w:keepNext/>
              <w:spacing w:before="40" w:after="40"/>
              <w:rPr>
                <w:rFonts w:ascii="Arial Narrow" w:hAnsi="Arial Narrow"/>
                <w:b/>
                <w:snapToGrid w:val="0"/>
                <w:sz w:val="20"/>
              </w:rPr>
            </w:pPr>
            <w:r w:rsidRPr="009D743B">
              <w:rPr>
                <w:rFonts w:ascii="Arial Narrow" w:hAnsi="Arial Narrow"/>
                <w:b/>
                <w:snapToGrid w:val="0"/>
                <w:sz w:val="20"/>
              </w:rPr>
              <w:t xml:space="preserve">Step 1: </w:t>
            </w:r>
            <w:r w:rsidRPr="009D743B">
              <w:rPr>
                <w:rFonts w:ascii="Arial Narrow" w:hAnsi="Arial Narrow"/>
                <w:b/>
                <w:sz w:val="20"/>
              </w:rPr>
              <w:t>Trial-based analysis [16 weeks; costs</w:t>
            </w:r>
            <w:r w:rsidR="00FA3962" w:rsidRPr="009D743B">
              <w:rPr>
                <w:rFonts w:ascii="Arial Narrow" w:hAnsi="Arial Narrow"/>
                <w:b/>
                <w:sz w:val="20"/>
              </w:rPr>
              <w:t xml:space="preserve"> and </w:t>
            </w:r>
            <w:r w:rsidRPr="009D743B">
              <w:rPr>
                <w:rFonts w:ascii="Arial Narrow" w:hAnsi="Arial Narrow"/>
                <w:b/>
                <w:sz w:val="20"/>
              </w:rPr>
              <w:t>outcomes undiscounted]</w:t>
            </w:r>
            <w:r w:rsidR="004F4985" w:rsidRPr="009D743B">
              <w:rPr>
                <w:rFonts w:ascii="Arial Narrow" w:hAnsi="Arial Narrow"/>
                <w:b/>
                <w:sz w:val="20"/>
              </w:rPr>
              <w:t xml:space="preserve"> using DPMQ of $</w:t>
            </w:r>
            <w:r w:rsidR="0050211C">
              <w:rPr>
                <w:rFonts w:ascii="Arial Narrow" w:hAnsi="Arial Narrow"/>
                <w:b/>
                <w:noProof/>
                <w:color w:val="000000"/>
                <w:sz w:val="20"/>
                <w:highlight w:val="black"/>
              </w:rPr>
              <w:t>'''''''''''''''''</w:t>
            </w:r>
          </w:p>
        </w:tc>
      </w:tr>
      <w:tr w:rsidR="00AE693C" w:rsidRPr="009D743B" w:rsidTr="00DE1BD8">
        <w:tc>
          <w:tcPr>
            <w:tcW w:w="1877" w:type="pct"/>
            <w:gridSpan w:val="2"/>
            <w:vAlign w:val="center"/>
          </w:tcPr>
          <w:p w:rsidR="00AE693C" w:rsidRPr="009D743B" w:rsidRDefault="00AE693C" w:rsidP="00AE693C">
            <w:pPr>
              <w:keepNext/>
              <w:spacing w:before="40" w:after="40"/>
              <w:rPr>
                <w:rFonts w:ascii="Times" w:eastAsia="Times New Roman" w:hAnsi="Times" w:cs="Times New Roman"/>
                <w:sz w:val="20"/>
              </w:rPr>
            </w:pPr>
            <w:r w:rsidRPr="009D743B">
              <w:rPr>
                <w:rFonts w:ascii="Arial Narrow" w:hAnsi="Arial Narrow"/>
                <w:sz w:val="20"/>
              </w:rPr>
              <w:t>Costs = golimumab, administration, treatment initiation, non-serious infection management</w:t>
            </w:r>
          </w:p>
        </w:tc>
        <w:tc>
          <w:tcPr>
            <w:tcW w:w="1019" w:type="pct"/>
            <w:vAlign w:val="center"/>
          </w:tcPr>
          <w:p w:rsidR="00AE693C" w:rsidRPr="009D743B" w:rsidRDefault="00AE693C" w:rsidP="00AE693C">
            <w:pPr>
              <w:keepNext/>
              <w:spacing w:before="40" w:after="40"/>
              <w:jc w:val="center"/>
              <w:rPr>
                <w:rFonts w:ascii="Times" w:eastAsia="Times New Roman" w:hAnsi="Times" w:cs="Times New Roman"/>
                <w:sz w:val="20"/>
              </w:rPr>
            </w:pPr>
            <w:r w:rsidRPr="009D743B">
              <w:rPr>
                <w:rFonts w:ascii="Arial Narrow" w:hAnsi="Arial Narrow"/>
                <w:sz w:val="20"/>
              </w:rPr>
              <w:t>$</w:t>
            </w:r>
            <w:r w:rsidR="0050211C">
              <w:rPr>
                <w:rFonts w:ascii="Arial Narrow" w:hAnsi="Arial Narrow"/>
                <w:noProof/>
                <w:color w:val="000000"/>
                <w:sz w:val="20"/>
                <w:highlight w:val="black"/>
              </w:rPr>
              <w:t>'''''''''''''</w:t>
            </w:r>
          </w:p>
        </w:tc>
        <w:tc>
          <w:tcPr>
            <w:tcW w:w="1020" w:type="pct"/>
            <w:gridSpan w:val="2"/>
            <w:vAlign w:val="center"/>
          </w:tcPr>
          <w:p w:rsidR="00AE693C" w:rsidRPr="009D743B" w:rsidRDefault="00AE693C" w:rsidP="00AE693C">
            <w:pPr>
              <w:keepNext/>
              <w:spacing w:before="40" w:after="40"/>
              <w:jc w:val="center"/>
              <w:rPr>
                <w:rFonts w:ascii="Times" w:eastAsia="Times New Roman" w:hAnsi="Times" w:cs="Times New Roman"/>
                <w:sz w:val="20"/>
              </w:rPr>
            </w:pPr>
            <w:r w:rsidRPr="009D743B">
              <w:rPr>
                <w:rFonts w:ascii="Arial Narrow" w:hAnsi="Arial Narrow"/>
                <w:sz w:val="20"/>
              </w:rPr>
              <w:t>$</w:t>
            </w:r>
            <w:r w:rsidR="0050211C">
              <w:rPr>
                <w:rFonts w:ascii="Arial Narrow" w:hAnsi="Arial Narrow"/>
                <w:noProof/>
                <w:color w:val="000000"/>
                <w:sz w:val="20"/>
                <w:highlight w:val="black"/>
              </w:rPr>
              <w:t>''''''</w:t>
            </w:r>
          </w:p>
        </w:tc>
        <w:tc>
          <w:tcPr>
            <w:tcW w:w="1084" w:type="pct"/>
            <w:gridSpan w:val="2"/>
            <w:vAlign w:val="center"/>
          </w:tcPr>
          <w:p w:rsidR="00AE693C" w:rsidRPr="009D743B" w:rsidRDefault="00AE693C" w:rsidP="00AE693C">
            <w:pPr>
              <w:keepNext/>
              <w:spacing w:before="40" w:after="40"/>
              <w:jc w:val="center"/>
              <w:rPr>
                <w:rFonts w:ascii="Times" w:eastAsia="Times New Roman" w:hAnsi="Times" w:cs="Times New Roman"/>
                <w:sz w:val="20"/>
              </w:rPr>
            </w:pPr>
            <w:r w:rsidRPr="009D743B">
              <w:rPr>
                <w:rFonts w:ascii="Arial Narrow" w:hAnsi="Arial Narrow"/>
                <w:sz w:val="20"/>
              </w:rPr>
              <w:t>$</w:t>
            </w:r>
            <w:r w:rsidR="0050211C">
              <w:rPr>
                <w:rFonts w:ascii="Arial Narrow" w:hAnsi="Arial Narrow"/>
                <w:noProof/>
                <w:color w:val="000000"/>
                <w:sz w:val="20"/>
                <w:highlight w:val="black"/>
              </w:rPr>
              <w:t>''''''''''''</w:t>
            </w:r>
          </w:p>
        </w:tc>
      </w:tr>
      <w:tr w:rsidR="00DE1BD8" w:rsidRPr="009D743B" w:rsidTr="00DE1BD8">
        <w:tc>
          <w:tcPr>
            <w:tcW w:w="1877" w:type="pct"/>
            <w:gridSpan w:val="2"/>
            <w:vAlign w:val="center"/>
          </w:tcPr>
          <w:p w:rsidR="00DE1BD8" w:rsidRPr="009D743B" w:rsidRDefault="00DE1BD8" w:rsidP="00AE693C">
            <w:pPr>
              <w:keepNext/>
              <w:spacing w:before="40" w:after="40"/>
              <w:rPr>
                <w:rFonts w:ascii="Times" w:eastAsia="Times New Roman" w:hAnsi="Times" w:cs="Times New Roman"/>
                <w:sz w:val="20"/>
              </w:rPr>
            </w:pPr>
            <w:r w:rsidRPr="009D743B">
              <w:rPr>
                <w:rFonts w:ascii="Arial Narrow" w:hAnsi="Arial Narrow"/>
                <w:sz w:val="20"/>
              </w:rPr>
              <w:t>Outcome = BASDAI 50 responder rate</w:t>
            </w:r>
          </w:p>
        </w:tc>
        <w:tc>
          <w:tcPr>
            <w:tcW w:w="1019" w:type="pct"/>
            <w:vAlign w:val="center"/>
          </w:tcPr>
          <w:p w:rsidR="00DE1BD8" w:rsidRPr="00DE7BA7" w:rsidRDefault="00DE1BD8" w:rsidP="00AE693C">
            <w:pPr>
              <w:keepNext/>
              <w:spacing w:before="40" w:after="40"/>
              <w:jc w:val="center"/>
              <w:rPr>
                <w:rFonts w:ascii="Times" w:eastAsia="Times New Roman" w:hAnsi="Times" w:cs="Times New Roman"/>
                <w:sz w:val="20"/>
              </w:rPr>
            </w:pPr>
            <w:r w:rsidRPr="00DE7BA7">
              <w:rPr>
                <w:rFonts w:ascii="Arial Narrow" w:hAnsi="Arial Narrow"/>
                <w:sz w:val="20"/>
              </w:rPr>
              <w:t>59.0%</w:t>
            </w:r>
          </w:p>
        </w:tc>
        <w:tc>
          <w:tcPr>
            <w:tcW w:w="1020" w:type="pct"/>
            <w:gridSpan w:val="2"/>
            <w:vAlign w:val="center"/>
          </w:tcPr>
          <w:p w:rsidR="00DE1BD8" w:rsidRPr="00DE7BA7" w:rsidRDefault="00DE1BD8" w:rsidP="00AE693C">
            <w:pPr>
              <w:keepNext/>
              <w:spacing w:before="40" w:after="40"/>
              <w:jc w:val="center"/>
              <w:rPr>
                <w:rFonts w:ascii="Times" w:eastAsia="Times New Roman" w:hAnsi="Times" w:cs="Times New Roman"/>
                <w:sz w:val="20"/>
              </w:rPr>
            </w:pPr>
            <w:r w:rsidRPr="00DE7BA7">
              <w:rPr>
                <w:rFonts w:ascii="Arial Narrow" w:hAnsi="Arial Narrow"/>
                <w:sz w:val="20"/>
              </w:rPr>
              <w:t>28.8%</w:t>
            </w:r>
          </w:p>
        </w:tc>
        <w:tc>
          <w:tcPr>
            <w:tcW w:w="1084" w:type="pct"/>
            <w:gridSpan w:val="2"/>
            <w:vAlign w:val="center"/>
          </w:tcPr>
          <w:p w:rsidR="00DE1BD8" w:rsidRPr="00DE7BA7" w:rsidRDefault="00DE1BD8" w:rsidP="00AE693C">
            <w:pPr>
              <w:keepNext/>
              <w:spacing w:before="40" w:after="40"/>
              <w:jc w:val="center"/>
              <w:rPr>
                <w:rFonts w:ascii="Arial Narrow" w:hAnsi="Arial Narrow"/>
                <w:sz w:val="20"/>
              </w:rPr>
            </w:pPr>
            <w:r w:rsidRPr="00DE7BA7">
              <w:rPr>
                <w:rFonts w:ascii="Arial Narrow" w:hAnsi="Arial Narrow"/>
                <w:sz w:val="20"/>
              </w:rPr>
              <w:t>30.2%</w:t>
            </w:r>
          </w:p>
        </w:tc>
      </w:tr>
      <w:tr w:rsidR="00AE693C" w:rsidRPr="009D743B" w:rsidTr="00DE1BD8">
        <w:tc>
          <w:tcPr>
            <w:tcW w:w="3916" w:type="pct"/>
            <w:gridSpan w:val="5"/>
            <w:vAlign w:val="center"/>
          </w:tcPr>
          <w:p w:rsidR="00AE693C" w:rsidRPr="009D743B" w:rsidRDefault="00AE693C" w:rsidP="00AE693C">
            <w:pPr>
              <w:keepNext/>
              <w:spacing w:before="40" w:after="40"/>
              <w:rPr>
                <w:rFonts w:ascii="Times" w:eastAsia="Times New Roman" w:hAnsi="Times" w:cs="Times New Roman"/>
                <w:snapToGrid w:val="0"/>
                <w:sz w:val="20"/>
              </w:rPr>
            </w:pPr>
            <w:r w:rsidRPr="009D743B">
              <w:rPr>
                <w:rFonts w:ascii="Arial Narrow" w:hAnsi="Arial Narrow"/>
                <w:sz w:val="20"/>
              </w:rPr>
              <w:t>Incremental cost/additional responder</w:t>
            </w:r>
          </w:p>
        </w:tc>
        <w:tc>
          <w:tcPr>
            <w:tcW w:w="1084" w:type="pct"/>
            <w:gridSpan w:val="2"/>
            <w:vAlign w:val="center"/>
          </w:tcPr>
          <w:p w:rsidR="00AE693C" w:rsidRPr="009D743B" w:rsidRDefault="00AE693C" w:rsidP="00AE693C">
            <w:pPr>
              <w:keepNext/>
              <w:spacing w:before="40" w:after="40"/>
              <w:jc w:val="center"/>
              <w:rPr>
                <w:rFonts w:ascii="Times" w:eastAsia="Times New Roman" w:hAnsi="Times" w:cs="Times New Roman"/>
                <w:sz w:val="20"/>
              </w:rPr>
            </w:pPr>
            <w:r w:rsidRPr="009D743B">
              <w:rPr>
                <w:rFonts w:ascii="Arial Narrow" w:hAnsi="Arial Narrow"/>
                <w:sz w:val="20"/>
              </w:rPr>
              <w:t>$</w:t>
            </w:r>
            <w:r w:rsidR="0050211C">
              <w:rPr>
                <w:rFonts w:ascii="Arial Narrow" w:hAnsi="Arial Narrow"/>
                <w:noProof/>
                <w:color w:val="000000"/>
                <w:sz w:val="20"/>
                <w:highlight w:val="black"/>
              </w:rPr>
              <w:t>''''''''''''''''</w:t>
            </w:r>
          </w:p>
        </w:tc>
      </w:tr>
      <w:tr w:rsidR="00AF326E" w:rsidRPr="009D743B" w:rsidTr="00AF326E">
        <w:tc>
          <w:tcPr>
            <w:tcW w:w="5000" w:type="pct"/>
            <w:gridSpan w:val="7"/>
            <w:vAlign w:val="center"/>
          </w:tcPr>
          <w:p w:rsidR="00AF326E" w:rsidRPr="009D743B" w:rsidRDefault="00AF326E" w:rsidP="002B5FD9">
            <w:pPr>
              <w:keepNext/>
              <w:spacing w:before="40" w:after="40"/>
              <w:rPr>
                <w:rFonts w:ascii="Arial Narrow" w:hAnsi="Arial Narrow"/>
                <w:b/>
                <w:snapToGrid w:val="0"/>
                <w:sz w:val="20"/>
              </w:rPr>
            </w:pPr>
            <w:r w:rsidRPr="009D743B">
              <w:rPr>
                <w:rFonts w:ascii="Arial Narrow" w:hAnsi="Arial Narrow"/>
                <w:b/>
                <w:snapToGrid w:val="0"/>
                <w:sz w:val="20"/>
              </w:rPr>
              <w:t xml:space="preserve">Step 2a: </w:t>
            </w:r>
            <w:r w:rsidR="002B5FD9" w:rsidRPr="009D743B">
              <w:rPr>
                <w:rFonts w:ascii="Arial Narrow" w:hAnsi="Arial Narrow"/>
                <w:b/>
                <w:snapToGrid w:val="0"/>
                <w:sz w:val="20"/>
              </w:rPr>
              <w:t>Base case m</w:t>
            </w:r>
            <w:r w:rsidRPr="009D743B">
              <w:rPr>
                <w:rFonts w:ascii="Arial Narrow" w:hAnsi="Arial Narrow"/>
                <w:b/>
                <w:sz w:val="20"/>
              </w:rPr>
              <w:t>odel-based analysis [20 years; discount</w:t>
            </w:r>
            <w:r w:rsidR="00FA3962" w:rsidRPr="009D743B">
              <w:rPr>
                <w:rFonts w:ascii="Arial Narrow" w:hAnsi="Arial Narrow"/>
                <w:b/>
                <w:sz w:val="20"/>
              </w:rPr>
              <w:t>ed</w:t>
            </w:r>
            <w:r w:rsidRPr="009D743B">
              <w:rPr>
                <w:rFonts w:ascii="Arial Narrow" w:hAnsi="Arial Narrow"/>
                <w:b/>
                <w:sz w:val="20"/>
              </w:rPr>
              <w:t xml:space="preserve"> at 5</w:t>
            </w:r>
            <w:r w:rsidR="00FA3962" w:rsidRPr="009D743B">
              <w:rPr>
                <w:rFonts w:ascii="Arial Narrow" w:hAnsi="Arial Narrow"/>
                <w:b/>
                <w:sz w:val="20"/>
              </w:rPr>
              <w:t>% per annum</w:t>
            </w:r>
            <w:r w:rsidRPr="009D743B">
              <w:rPr>
                <w:rFonts w:ascii="Arial Narrow" w:hAnsi="Arial Narrow"/>
                <w:b/>
                <w:sz w:val="20"/>
              </w:rPr>
              <w:t>]</w:t>
            </w:r>
            <w:r w:rsidR="004F4985" w:rsidRPr="009D743B">
              <w:rPr>
                <w:rFonts w:ascii="Arial Narrow" w:hAnsi="Arial Narrow"/>
                <w:b/>
                <w:sz w:val="20"/>
              </w:rPr>
              <w:t xml:space="preserve"> using DPMQ of $</w:t>
            </w:r>
            <w:r w:rsidR="0050211C">
              <w:rPr>
                <w:rFonts w:ascii="Arial Narrow" w:hAnsi="Arial Narrow"/>
                <w:b/>
                <w:noProof/>
                <w:color w:val="000000"/>
                <w:sz w:val="20"/>
                <w:highlight w:val="black"/>
              </w:rPr>
              <w:t>'''''''''''''''''</w:t>
            </w:r>
          </w:p>
        </w:tc>
      </w:tr>
      <w:tr w:rsidR="00AF326E" w:rsidRPr="009D743B" w:rsidTr="00AF326E">
        <w:tc>
          <w:tcPr>
            <w:tcW w:w="1873" w:type="pct"/>
            <w:vAlign w:val="center"/>
          </w:tcPr>
          <w:p w:rsidR="00AF326E" w:rsidRPr="009D743B" w:rsidRDefault="00AF326E" w:rsidP="00AF326E">
            <w:pPr>
              <w:keepNext/>
              <w:spacing w:before="40" w:after="40"/>
              <w:rPr>
                <w:rFonts w:ascii="Times" w:eastAsia="Times New Roman" w:hAnsi="Times" w:cs="Times New Roman"/>
                <w:sz w:val="20"/>
              </w:rPr>
            </w:pPr>
            <w:r w:rsidRPr="009D743B">
              <w:rPr>
                <w:rFonts w:ascii="Arial Narrow" w:hAnsi="Arial Narrow"/>
                <w:sz w:val="20"/>
              </w:rPr>
              <w:t>Costs = all extrapolated costs</w:t>
            </w:r>
          </w:p>
        </w:tc>
        <w:tc>
          <w:tcPr>
            <w:tcW w:w="1026" w:type="pct"/>
            <w:gridSpan w:val="3"/>
            <w:shd w:val="clear" w:color="auto" w:fill="FFFFFF" w:themeFill="background1"/>
          </w:tcPr>
          <w:p w:rsidR="00AF326E" w:rsidRPr="009D743B" w:rsidRDefault="00AF326E" w:rsidP="00AF326E">
            <w:pPr>
              <w:keepNext/>
              <w:spacing w:before="40" w:after="40"/>
              <w:jc w:val="center"/>
              <w:rPr>
                <w:rFonts w:ascii="Times" w:eastAsia="Times New Roman" w:hAnsi="Times" w:cs="Times New Roman"/>
                <w:sz w:val="20"/>
              </w:rPr>
            </w:pPr>
            <w:r w:rsidRPr="009D743B">
              <w:rPr>
                <w:rFonts w:ascii="Arial Narrow" w:hAnsi="Arial Narrow"/>
                <w:sz w:val="20"/>
                <w:szCs w:val="20"/>
              </w:rPr>
              <w:t>$</w:t>
            </w:r>
            <w:r w:rsidR="0050211C">
              <w:rPr>
                <w:rFonts w:ascii="Arial Narrow" w:hAnsi="Arial Narrow"/>
                <w:noProof/>
                <w:color w:val="000000"/>
                <w:sz w:val="20"/>
                <w:szCs w:val="20"/>
                <w:highlight w:val="black"/>
              </w:rPr>
              <w:t>'''''''''''''''''''''</w:t>
            </w:r>
          </w:p>
        </w:tc>
        <w:tc>
          <w:tcPr>
            <w:tcW w:w="1025" w:type="pct"/>
            <w:gridSpan w:val="2"/>
            <w:shd w:val="clear" w:color="auto" w:fill="FFFFFF" w:themeFill="background1"/>
          </w:tcPr>
          <w:p w:rsidR="00AF326E" w:rsidRPr="009D743B" w:rsidRDefault="00AF326E" w:rsidP="00AF326E">
            <w:pPr>
              <w:keepNext/>
              <w:spacing w:before="40" w:after="40"/>
              <w:jc w:val="center"/>
              <w:rPr>
                <w:rFonts w:ascii="Times" w:eastAsia="Times New Roman" w:hAnsi="Times" w:cs="Times New Roman"/>
                <w:sz w:val="20"/>
              </w:rPr>
            </w:pPr>
            <w:r w:rsidRPr="009D743B">
              <w:rPr>
                <w:rFonts w:ascii="Arial Narrow" w:hAnsi="Arial Narrow"/>
                <w:sz w:val="20"/>
                <w:szCs w:val="20"/>
              </w:rPr>
              <w:t>$</w:t>
            </w:r>
            <w:r w:rsidR="0050211C">
              <w:rPr>
                <w:rFonts w:ascii="Arial Narrow" w:hAnsi="Arial Narrow"/>
                <w:noProof/>
                <w:color w:val="000000"/>
                <w:sz w:val="20"/>
                <w:szCs w:val="20"/>
                <w:highlight w:val="black"/>
              </w:rPr>
              <w:t>'''''''''''''''''</w:t>
            </w:r>
          </w:p>
        </w:tc>
        <w:tc>
          <w:tcPr>
            <w:tcW w:w="1076" w:type="pct"/>
            <w:shd w:val="clear" w:color="auto" w:fill="FFFFFF" w:themeFill="background1"/>
          </w:tcPr>
          <w:p w:rsidR="00AF326E" w:rsidRPr="009D743B" w:rsidRDefault="00AF326E" w:rsidP="00AF326E">
            <w:pPr>
              <w:keepNext/>
              <w:spacing w:before="40" w:after="40"/>
              <w:jc w:val="center"/>
              <w:rPr>
                <w:rFonts w:ascii="Times" w:eastAsia="Times New Roman" w:hAnsi="Times" w:cs="Times New Roman"/>
                <w:sz w:val="20"/>
              </w:rPr>
            </w:pPr>
            <w:r w:rsidRPr="009D743B">
              <w:rPr>
                <w:rFonts w:ascii="Arial Narrow" w:hAnsi="Arial Narrow"/>
                <w:sz w:val="20"/>
                <w:szCs w:val="20"/>
              </w:rPr>
              <w:t>$</w:t>
            </w:r>
            <w:r w:rsidR="0050211C">
              <w:rPr>
                <w:rFonts w:ascii="Arial Narrow" w:hAnsi="Arial Narrow"/>
                <w:noProof/>
                <w:color w:val="000000"/>
                <w:sz w:val="20"/>
                <w:szCs w:val="20"/>
                <w:highlight w:val="black"/>
              </w:rPr>
              <w:t>''''''''''''''''''</w:t>
            </w:r>
          </w:p>
        </w:tc>
      </w:tr>
      <w:tr w:rsidR="00DE1BD8" w:rsidRPr="009D743B" w:rsidTr="00AF326E">
        <w:tc>
          <w:tcPr>
            <w:tcW w:w="1873" w:type="pct"/>
            <w:vAlign w:val="center"/>
          </w:tcPr>
          <w:p w:rsidR="00DE1BD8" w:rsidRPr="009D743B" w:rsidRDefault="00DE1BD8" w:rsidP="00AF326E">
            <w:pPr>
              <w:keepNext/>
              <w:spacing w:before="40" w:after="40"/>
              <w:rPr>
                <w:rFonts w:ascii="Times" w:eastAsia="Times New Roman" w:hAnsi="Times" w:cs="Times New Roman"/>
                <w:sz w:val="20"/>
              </w:rPr>
            </w:pPr>
            <w:r w:rsidRPr="009D743B">
              <w:rPr>
                <w:rFonts w:ascii="Arial Narrow" w:hAnsi="Arial Narrow"/>
                <w:sz w:val="20"/>
              </w:rPr>
              <w:t>Outcome = QALYs</w:t>
            </w:r>
          </w:p>
        </w:tc>
        <w:tc>
          <w:tcPr>
            <w:tcW w:w="1026" w:type="pct"/>
            <w:gridSpan w:val="3"/>
            <w:vAlign w:val="center"/>
          </w:tcPr>
          <w:p w:rsidR="00DE1BD8" w:rsidRPr="0050211C" w:rsidRDefault="0050211C" w:rsidP="00AF326E">
            <w:pPr>
              <w:keepNext/>
              <w:spacing w:before="40" w:after="40"/>
              <w:jc w:val="center"/>
              <w:rPr>
                <w:rFonts w:ascii="Times" w:eastAsia="Times New Roman" w:hAnsi="Times" w:cs="Times New Roman"/>
                <w:sz w:val="20"/>
                <w:highlight w:val="black"/>
              </w:rPr>
            </w:pPr>
            <w:r>
              <w:rPr>
                <w:rFonts w:ascii="Arial Narrow" w:hAnsi="Arial Narrow"/>
                <w:noProof/>
                <w:color w:val="000000"/>
                <w:sz w:val="20"/>
                <w:highlight w:val="black"/>
              </w:rPr>
              <w:t>''''''''''</w:t>
            </w:r>
          </w:p>
        </w:tc>
        <w:tc>
          <w:tcPr>
            <w:tcW w:w="1025" w:type="pct"/>
            <w:gridSpan w:val="2"/>
            <w:vAlign w:val="center"/>
          </w:tcPr>
          <w:p w:rsidR="00DE1BD8" w:rsidRPr="0050211C" w:rsidRDefault="0050211C" w:rsidP="00AF326E">
            <w:pPr>
              <w:keepNext/>
              <w:spacing w:before="40" w:after="40"/>
              <w:jc w:val="center"/>
              <w:rPr>
                <w:rFonts w:ascii="Times" w:eastAsia="Times New Roman" w:hAnsi="Times" w:cs="Times New Roman"/>
                <w:sz w:val="20"/>
                <w:highlight w:val="black"/>
              </w:rPr>
            </w:pPr>
            <w:r>
              <w:rPr>
                <w:rFonts w:ascii="Arial Narrow" w:hAnsi="Arial Narrow"/>
                <w:noProof/>
                <w:color w:val="000000"/>
                <w:sz w:val="20"/>
                <w:highlight w:val="black"/>
              </w:rPr>
              <w:t>'''''''''''</w:t>
            </w:r>
          </w:p>
        </w:tc>
        <w:tc>
          <w:tcPr>
            <w:tcW w:w="1076" w:type="pct"/>
            <w:vAlign w:val="center"/>
          </w:tcPr>
          <w:p w:rsidR="00DE1BD8" w:rsidRPr="0050211C" w:rsidRDefault="0050211C" w:rsidP="00AF326E">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r>
      <w:tr w:rsidR="00AF326E" w:rsidRPr="009D743B" w:rsidTr="00AF326E">
        <w:tc>
          <w:tcPr>
            <w:tcW w:w="3924" w:type="pct"/>
            <w:gridSpan w:val="6"/>
            <w:vAlign w:val="center"/>
          </w:tcPr>
          <w:p w:rsidR="00AF326E" w:rsidRPr="009D743B" w:rsidRDefault="00AF326E" w:rsidP="00AF326E">
            <w:pPr>
              <w:keepNext/>
              <w:spacing w:before="40" w:after="40"/>
              <w:rPr>
                <w:rFonts w:ascii="Times" w:eastAsia="Times New Roman" w:hAnsi="Times" w:cs="Times New Roman"/>
                <w:snapToGrid w:val="0"/>
                <w:sz w:val="20"/>
              </w:rPr>
            </w:pPr>
            <w:r w:rsidRPr="009D743B">
              <w:rPr>
                <w:rFonts w:ascii="Arial Narrow" w:hAnsi="Arial Narrow"/>
                <w:sz w:val="20"/>
              </w:rPr>
              <w:t>Incremental cost//QALY</w:t>
            </w:r>
          </w:p>
        </w:tc>
        <w:tc>
          <w:tcPr>
            <w:tcW w:w="1076" w:type="pct"/>
            <w:vAlign w:val="center"/>
          </w:tcPr>
          <w:p w:rsidR="00AF326E" w:rsidRPr="009D743B" w:rsidRDefault="00AF326E" w:rsidP="00AF326E">
            <w:pPr>
              <w:keepNext/>
              <w:spacing w:before="40" w:after="40"/>
              <w:jc w:val="center"/>
              <w:rPr>
                <w:rFonts w:ascii="Times" w:eastAsia="Times New Roman" w:hAnsi="Times" w:cs="Times New Roman"/>
                <w:b/>
                <w:sz w:val="20"/>
              </w:rPr>
            </w:pPr>
            <w:r w:rsidRPr="009D743B">
              <w:rPr>
                <w:rFonts w:ascii="Arial Narrow" w:hAnsi="Arial Narrow"/>
                <w:b/>
                <w:sz w:val="20"/>
              </w:rPr>
              <w:t>$</w:t>
            </w:r>
            <w:r w:rsidR="0050211C">
              <w:rPr>
                <w:rFonts w:ascii="Arial Narrow" w:hAnsi="Arial Narrow"/>
                <w:b/>
                <w:noProof/>
                <w:color w:val="000000"/>
                <w:sz w:val="20"/>
                <w:highlight w:val="black"/>
              </w:rPr>
              <w:t>''''''''''''''</w:t>
            </w:r>
          </w:p>
        </w:tc>
      </w:tr>
      <w:tr w:rsidR="005A2561" w:rsidRPr="009D743B" w:rsidTr="00AD3C26">
        <w:tc>
          <w:tcPr>
            <w:tcW w:w="5000" w:type="pct"/>
            <w:gridSpan w:val="7"/>
            <w:vAlign w:val="center"/>
          </w:tcPr>
          <w:p w:rsidR="005A2561" w:rsidRPr="009D743B" w:rsidRDefault="005A2561" w:rsidP="005A2561">
            <w:pPr>
              <w:keepNext/>
              <w:spacing w:before="40" w:after="40"/>
              <w:rPr>
                <w:rFonts w:ascii="Arial Narrow" w:hAnsi="Arial Narrow"/>
                <w:b/>
                <w:snapToGrid w:val="0"/>
                <w:sz w:val="20"/>
              </w:rPr>
            </w:pPr>
            <w:r w:rsidRPr="009D743B">
              <w:rPr>
                <w:rFonts w:ascii="Arial Narrow" w:hAnsi="Arial Narrow"/>
                <w:b/>
                <w:snapToGrid w:val="0"/>
                <w:sz w:val="20"/>
              </w:rPr>
              <w:t>Step 2b: Scenario of m</w:t>
            </w:r>
            <w:r w:rsidRPr="009D743B">
              <w:rPr>
                <w:rFonts w:ascii="Arial Narrow" w:hAnsi="Arial Narrow"/>
                <w:b/>
                <w:sz w:val="20"/>
              </w:rPr>
              <w:t xml:space="preserve">odel-based analysis with new </w:t>
            </w:r>
            <w:r w:rsidR="001866AA" w:rsidRPr="009D743B">
              <w:rPr>
                <w:rFonts w:ascii="Arial Narrow" w:hAnsi="Arial Narrow"/>
                <w:b/>
                <w:sz w:val="20"/>
              </w:rPr>
              <w:t xml:space="preserve">requested </w:t>
            </w:r>
            <w:r w:rsidRPr="009D743B">
              <w:rPr>
                <w:rFonts w:ascii="Arial Narrow" w:hAnsi="Arial Narrow"/>
                <w:b/>
                <w:sz w:val="20"/>
              </w:rPr>
              <w:t>DPMQ of $1,317.93  [20 years; discounted at 5% per annum]</w:t>
            </w:r>
          </w:p>
        </w:tc>
      </w:tr>
      <w:tr w:rsidR="005A2561" w:rsidRPr="009D743B" w:rsidTr="00AD3C26">
        <w:tc>
          <w:tcPr>
            <w:tcW w:w="1873" w:type="pct"/>
            <w:vAlign w:val="center"/>
          </w:tcPr>
          <w:p w:rsidR="005A2561" w:rsidRPr="009D743B" w:rsidRDefault="005A2561" w:rsidP="00AD3C26">
            <w:pPr>
              <w:keepNext/>
              <w:spacing w:before="40" w:after="40"/>
              <w:rPr>
                <w:rFonts w:ascii="Times" w:eastAsia="Times New Roman" w:hAnsi="Times" w:cs="Times New Roman"/>
                <w:sz w:val="20"/>
              </w:rPr>
            </w:pPr>
            <w:r w:rsidRPr="009D743B">
              <w:rPr>
                <w:rFonts w:ascii="Arial Narrow" w:hAnsi="Arial Narrow"/>
                <w:sz w:val="20"/>
              </w:rPr>
              <w:t>Costs = all extrapolated costs</w:t>
            </w:r>
          </w:p>
        </w:tc>
        <w:tc>
          <w:tcPr>
            <w:tcW w:w="1026" w:type="pct"/>
            <w:gridSpan w:val="3"/>
            <w:shd w:val="clear" w:color="auto" w:fill="FFFFFF" w:themeFill="background1"/>
          </w:tcPr>
          <w:p w:rsidR="005A2561" w:rsidRPr="009D743B" w:rsidRDefault="005A2561" w:rsidP="00AD3C26">
            <w:pPr>
              <w:keepNext/>
              <w:spacing w:before="40" w:after="40"/>
              <w:jc w:val="center"/>
              <w:rPr>
                <w:rFonts w:ascii="Arial Narrow" w:eastAsia="Times New Roman" w:hAnsi="Arial Narrow" w:cs="Times New Roman"/>
                <w:sz w:val="20"/>
              </w:rPr>
            </w:pPr>
            <w:r w:rsidRPr="009D743B">
              <w:rPr>
                <w:rFonts w:ascii="Arial Narrow" w:eastAsia="Times New Roman" w:hAnsi="Arial Narrow" w:cs="Times New Roman"/>
                <w:sz w:val="20"/>
              </w:rPr>
              <w:t>$</w:t>
            </w:r>
            <w:r w:rsidR="0050211C">
              <w:rPr>
                <w:rFonts w:ascii="Arial Narrow" w:eastAsia="Times New Roman" w:hAnsi="Arial Narrow" w:cs="Times New Roman"/>
                <w:noProof/>
                <w:color w:val="000000"/>
                <w:sz w:val="20"/>
                <w:highlight w:val="black"/>
              </w:rPr>
              <w:t>''''''''''''''''''''</w:t>
            </w:r>
          </w:p>
        </w:tc>
        <w:tc>
          <w:tcPr>
            <w:tcW w:w="1025" w:type="pct"/>
            <w:gridSpan w:val="2"/>
            <w:shd w:val="clear" w:color="auto" w:fill="FFFFFF" w:themeFill="background1"/>
          </w:tcPr>
          <w:p w:rsidR="005A2561" w:rsidRPr="009D743B" w:rsidRDefault="005A2561" w:rsidP="00AD3C26">
            <w:pPr>
              <w:keepNext/>
              <w:spacing w:before="40" w:after="40"/>
              <w:jc w:val="center"/>
              <w:rPr>
                <w:rFonts w:ascii="Arial Narrow" w:eastAsia="Times New Roman" w:hAnsi="Arial Narrow" w:cs="Times New Roman"/>
                <w:sz w:val="20"/>
              </w:rPr>
            </w:pPr>
            <w:r w:rsidRPr="009D743B">
              <w:rPr>
                <w:rFonts w:ascii="Arial Narrow" w:hAnsi="Arial Narrow"/>
                <w:sz w:val="20"/>
                <w:szCs w:val="20"/>
              </w:rPr>
              <w:t>$</w:t>
            </w:r>
            <w:r w:rsidR="0050211C">
              <w:rPr>
                <w:rFonts w:ascii="Arial Narrow" w:hAnsi="Arial Narrow"/>
                <w:noProof/>
                <w:color w:val="000000"/>
                <w:sz w:val="20"/>
                <w:szCs w:val="20"/>
                <w:highlight w:val="black"/>
              </w:rPr>
              <w:t>'''''''''''''''''''</w:t>
            </w:r>
          </w:p>
        </w:tc>
        <w:tc>
          <w:tcPr>
            <w:tcW w:w="1076" w:type="pct"/>
            <w:shd w:val="clear" w:color="auto" w:fill="FFFFFF" w:themeFill="background1"/>
          </w:tcPr>
          <w:p w:rsidR="005A2561" w:rsidRPr="009D743B" w:rsidRDefault="005A2561" w:rsidP="00AD3C26">
            <w:pPr>
              <w:keepNext/>
              <w:spacing w:before="40" w:after="40"/>
              <w:jc w:val="center"/>
              <w:rPr>
                <w:rFonts w:ascii="Arial Narrow" w:eastAsia="Times New Roman" w:hAnsi="Arial Narrow" w:cs="Times New Roman"/>
                <w:sz w:val="20"/>
              </w:rPr>
            </w:pPr>
            <w:r w:rsidRPr="009D743B">
              <w:rPr>
                <w:rFonts w:ascii="Arial Narrow" w:eastAsia="Times New Roman" w:hAnsi="Arial Narrow" w:cs="Times New Roman"/>
                <w:sz w:val="20"/>
              </w:rPr>
              <w:t>$</w:t>
            </w:r>
            <w:r w:rsidR="0050211C">
              <w:rPr>
                <w:rFonts w:ascii="Arial Narrow" w:eastAsia="Times New Roman" w:hAnsi="Arial Narrow" w:cs="Times New Roman"/>
                <w:noProof/>
                <w:color w:val="000000"/>
                <w:sz w:val="20"/>
                <w:highlight w:val="black"/>
              </w:rPr>
              <w:t>'''''''''''''''''</w:t>
            </w:r>
          </w:p>
        </w:tc>
      </w:tr>
      <w:tr w:rsidR="005A2561" w:rsidRPr="009D743B" w:rsidTr="00AD3C26">
        <w:tc>
          <w:tcPr>
            <w:tcW w:w="1873" w:type="pct"/>
            <w:vAlign w:val="center"/>
          </w:tcPr>
          <w:p w:rsidR="005A2561" w:rsidRPr="009D743B" w:rsidRDefault="005A2561" w:rsidP="00AD3C26">
            <w:pPr>
              <w:keepNext/>
              <w:spacing w:before="40" w:after="40"/>
              <w:rPr>
                <w:rFonts w:ascii="Times" w:eastAsia="Times New Roman" w:hAnsi="Times" w:cs="Times New Roman"/>
                <w:sz w:val="20"/>
              </w:rPr>
            </w:pPr>
            <w:r w:rsidRPr="009D743B">
              <w:rPr>
                <w:rFonts w:ascii="Arial Narrow" w:hAnsi="Arial Narrow"/>
                <w:sz w:val="20"/>
              </w:rPr>
              <w:t>Outcome = QALYs</w:t>
            </w:r>
          </w:p>
        </w:tc>
        <w:tc>
          <w:tcPr>
            <w:tcW w:w="1026" w:type="pct"/>
            <w:gridSpan w:val="3"/>
            <w:vAlign w:val="center"/>
          </w:tcPr>
          <w:p w:rsidR="005A2561" w:rsidRPr="0050211C" w:rsidRDefault="0050211C" w:rsidP="00AD3C26">
            <w:pPr>
              <w:keepNext/>
              <w:spacing w:before="40" w:after="40"/>
              <w:jc w:val="center"/>
              <w:rPr>
                <w:rFonts w:ascii="Arial Narrow" w:eastAsia="Times New Roman" w:hAnsi="Arial Narrow" w:cs="Times New Roman"/>
                <w:sz w:val="20"/>
                <w:highlight w:val="black"/>
              </w:rPr>
            </w:pPr>
            <w:r>
              <w:rPr>
                <w:rFonts w:ascii="Arial Narrow" w:eastAsia="Times New Roman" w:hAnsi="Arial Narrow" w:cs="Times New Roman"/>
                <w:noProof/>
                <w:color w:val="000000"/>
                <w:sz w:val="20"/>
                <w:highlight w:val="black"/>
              </w:rPr>
              <w:t>''''''''''''</w:t>
            </w:r>
          </w:p>
        </w:tc>
        <w:tc>
          <w:tcPr>
            <w:tcW w:w="1025" w:type="pct"/>
            <w:gridSpan w:val="2"/>
            <w:vAlign w:val="center"/>
          </w:tcPr>
          <w:p w:rsidR="005A2561" w:rsidRPr="0050211C" w:rsidRDefault="0050211C" w:rsidP="00AD3C26">
            <w:pPr>
              <w:keepNext/>
              <w:spacing w:before="40" w:after="40"/>
              <w:jc w:val="center"/>
              <w:rPr>
                <w:rFonts w:ascii="Arial Narrow" w:eastAsia="Times New Roman" w:hAnsi="Arial Narrow" w:cs="Times New Roman"/>
                <w:sz w:val="20"/>
                <w:highlight w:val="black"/>
              </w:rPr>
            </w:pPr>
            <w:r>
              <w:rPr>
                <w:rFonts w:ascii="Arial Narrow" w:hAnsi="Arial Narrow"/>
                <w:noProof/>
                <w:color w:val="000000"/>
                <w:sz w:val="20"/>
                <w:highlight w:val="black"/>
              </w:rPr>
              <w:t>'''''''''''</w:t>
            </w:r>
          </w:p>
        </w:tc>
        <w:tc>
          <w:tcPr>
            <w:tcW w:w="1076" w:type="pct"/>
            <w:vAlign w:val="center"/>
          </w:tcPr>
          <w:p w:rsidR="005A2561" w:rsidRPr="0050211C" w:rsidRDefault="0050211C" w:rsidP="00AD3C26">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r>
      <w:tr w:rsidR="005A2561" w:rsidRPr="009D743B" w:rsidTr="00AD3C26">
        <w:tc>
          <w:tcPr>
            <w:tcW w:w="3924" w:type="pct"/>
            <w:gridSpan w:val="6"/>
            <w:vAlign w:val="center"/>
          </w:tcPr>
          <w:p w:rsidR="005A2561" w:rsidRPr="009D743B" w:rsidRDefault="005A2561" w:rsidP="00AD3C26">
            <w:pPr>
              <w:keepNext/>
              <w:spacing w:before="40" w:after="40"/>
              <w:rPr>
                <w:rFonts w:ascii="Arial Narrow" w:eastAsia="Times New Roman" w:hAnsi="Arial Narrow" w:cs="Times New Roman"/>
                <w:snapToGrid w:val="0"/>
                <w:sz w:val="20"/>
              </w:rPr>
            </w:pPr>
            <w:r w:rsidRPr="009D743B">
              <w:rPr>
                <w:rFonts w:ascii="Arial Narrow" w:hAnsi="Arial Narrow"/>
                <w:sz w:val="20"/>
              </w:rPr>
              <w:t>Incremental cost//QALY</w:t>
            </w:r>
          </w:p>
        </w:tc>
        <w:tc>
          <w:tcPr>
            <w:tcW w:w="1076" w:type="pct"/>
            <w:vAlign w:val="center"/>
          </w:tcPr>
          <w:p w:rsidR="005A2561" w:rsidRPr="009D743B" w:rsidRDefault="005A2561" w:rsidP="00AD3C26">
            <w:pPr>
              <w:keepNext/>
              <w:spacing w:before="40" w:after="40"/>
              <w:jc w:val="center"/>
              <w:rPr>
                <w:rFonts w:ascii="Arial Narrow" w:eastAsia="Times New Roman" w:hAnsi="Arial Narrow" w:cs="Times New Roman"/>
                <w:b/>
                <w:sz w:val="20"/>
              </w:rPr>
            </w:pPr>
            <w:r w:rsidRPr="009D743B">
              <w:rPr>
                <w:rFonts w:ascii="Arial Narrow" w:eastAsia="Times New Roman" w:hAnsi="Arial Narrow" w:cs="Times New Roman"/>
                <w:b/>
                <w:sz w:val="20"/>
              </w:rPr>
              <w:t>$</w:t>
            </w:r>
            <w:r w:rsidR="0050211C">
              <w:rPr>
                <w:rFonts w:ascii="Arial Narrow" w:eastAsia="Times New Roman" w:hAnsi="Arial Narrow" w:cs="Times New Roman"/>
                <w:b/>
                <w:noProof/>
                <w:color w:val="000000"/>
                <w:sz w:val="20"/>
                <w:highlight w:val="black"/>
              </w:rPr>
              <w:t>''''''''''''''</w:t>
            </w:r>
          </w:p>
        </w:tc>
      </w:tr>
    </w:tbl>
    <w:p w:rsidR="00AE693C" w:rsidRPr="009D743B" w:rsidRDefault="00AE693C" w:rsidP="00772501">
      <w:pPr>
        <w:pStyle w:val="TableFooter"/>
      </w:pPr>
      <w:r w:rsidRPr="009D743B">
        <w:t>The economic evaluation’s base case used the previously requested DPMQ of $1</w:t>
      </w:r>
      <w:r w:rsidR="0050211C">
        <w:rPr>
          <w:noProof/>
          <w:color w:val="000000"/>
          <w:highlight w:val="black"/>
        </w:rPr>
        <w:t>''''''''''''''''''</w:t>
      </w:r>
    </w:p>
    <w:p w:rsidR="00C317F3" w:rsidRPr="009D743B" w:rsidRDefault="00C317F3" w:rsidP="00772501">
      <w:pPr>
        <w:pStyle w:val="TableFooter"/>
      </w:pPr>
      <w:r w:rsidRPr="009D743B">
        <w:t>Source: Table</w:t>
      </w:r>
      <w:r w:rsidR="005A2561" w:rsidRPr="009D743B">
        <w:t xml:space="preserve"> 3.8.1, p199 of the re</w:t>
      </w:r>
      <w:r w:rsidRPr="009D743B">
        <w:t>submission</w:t>
      </w:r>
    </w:p>
    <w:p w:rsidR="00AF326E" w:rsidRPr="009D743B" w:rsidRDefault="00AF326E" w:rsidP="00B876BB">
      <w:pPr>
        <w:pStyle w:val="ListParagraph"/>
        <w:numPr>
          <w:ilvl w:val="0"/>
          <w:numId w:val="11"/>
        </w:numPr>
        <w:spacing w:before="0" w:after="120"/>
        <w:ind w:left="567" w:hanging="567"/>
        <w:jc w:val="both"/>
      </w:pPr>
      <w:r w:rsidRPr="009D743B">
        <w:t>The trial-based analysis was identical to that presented in the previous submission</w:t>
      </w:r>
      <w:r w:rsidR="00374F8B" w:rsidRPr="009D743B">
        <w:t xml:space="preserve">, with both analyses assuming 16 weeks of golimumab treatment prior to </w:t>
      </w:r>
      <w:r w:rsidR="00EF6433" w:rsidRPr="009D743B">
        <w:t xml:space="preserve">assessment of </w:t>
      </w:r>
      <w:r w:rsidR="00374F8B" w:rsidRPr="009D743B">
        <w:t>response</w:t>
      </w:r>
      <w:r w:rsidR="00186603" w:rsidRPr="009D743B">
        <w:t xml:space="preserve"> and resulting </w:t>
      </w:r>
      <w:r w:rsidR="004F4985" w:rsidRPr="009D743B">
        <w:t xml:space="preserve">in </w:t>
      </w:r>
      <w:r w:rsidR="00186603" w:rsidRPr="009D743B">
        <w:t>an ICER of $</w:t>
      </w:r>
      <w:r w:rsidR="009A64B5">
        <w:t>15,000/QALY - $45,000/QALY</w:t>
      </w:r>
      <w:r w:rsidR="00186603" w:rsidRPr="009D743B">
        <w:t xml:space="preserve"> per additional responder over 16 weeks</w:t>
      </w:r>
      <w:r w:rsidR="004F4985" w:rsidRPr="009D743B">
        <w:t xml:space="preserve"> (using the </w:t>
      </w:r>
      <w:r w:rsidR="001866AA" w:rsidRPr="009D743B">
        <w:t xml:space="preserve">previously requested </w:t>
      </w:r>
      <w:r w:rsidR="004F4985" w:rsidRPr="009D743B">
        <w:t>DPMQ of $</w:t>
      </w:r>
      <w:r w:rsidR="0050211C">
        <w:rPr>
          <w:noProof/>
          <w:color w:val="000000"/>
          <w:highlight w:val="black"/>
        </w:rPr>
        <w:t>'''''''''''''''''</w:t>
      </w:r>
      <w:r w:rsidR="004F4985" w:rsidRPr="009D743B">
        <w:t>)</w:t>
      </w:r>
      <w:r w:rsidRPr="009D743B">
        <w:t xml:space="preserve">. </w:t>
      </w:r>
      <w:r w:rsidR="00186603" w:rsidRPr="009D743B">
        <w:t xml:space="preserve">Using the proposed DPMQ of $1,317.93, the ICER becomes </w:t>
      </w:r>
      <w:r w:rsidR="009A64B5" w:rsidRPr="009A64B5">
        <w:t>15,000/QALY - $45,000/QALY</w:t>
      </w:r>
      <w:r w:rsidR="00186603" w:rsidRPr="009D743B">
        <w:t xml:space="preserve"> per additional responder over 16 weeks.</w:t>
      </w:r>
    </w:p>
    <w:p w:rsidR="00C317F3" w:rsidRPr="009D743B" w:rsidRDefault="002B5FD9" w:rsidP="00B876BB">
      <w:pPr>
        <w:pStyle w:val="ListParagraph"/>
        <w:numPr>
          <w:ilvl w:val="0"/>
          <w:numId w:val="11"/>
        </w:numPr>
        <w:spacing w:before="0" w:after="120"/>
        <w:ind w:left="567" w:hanging="567"/>
        <w:jc w:val="both"/>
      </w:pPr>
      <w:r w:rsidRPr="009D743B">
        <w:t xml:space="preserve">The base case model-based analysis over 20 years estimated the ICER to be </w:t>
      </w:r>
      <w:r w:rsidR="009A64B5" w:rsidRPr="009A64B5">
        <w:t xml:space="preserve">15,000/QALY - $45,000/QALY </w:t>
      </w:r>
      <w:r w:rsidRPr="009D743B">
        <w:t xml:space="preserve">per QALY </w:t>
      </w:r>
      <w:r w:rsidR="00A73019" w:rsidRPr="009D743B">
        <w:t>gained</w:t>
      </w:r>
      <w:r w:rsidR="005358A1" w:rsidRPr="009D743B">
        <w:t>; this</w:t>
      </w:r>
      <w:r w:rsidR="00A73019" w:rsidRPr="009D743B">
        <w:t xml:space="preserve"> </w:t>
      </w:r>
      <w:r w:rsidRPr="009D743B">
        <w:t xml:space="preserve">compared to </w:t>
      </w:r>
      <w:r w:rsidR="009A64B5" w:rsidRPr="009A64B5">
        <w:t xml:space="preserve">15,000/QALY - $45,000/QALY </w:t>
      </w:r>
      <w:r w:rsidR="00623005" w:rsidRPr="009D743B">
        <w:t xml:space="preserve">over 30 years (or </w:t>
      </w:r>
      <w:r w:rsidR="009A64B5" w:rsidRPr="009A64B5">
        <w:t xml:space="preserve">15,000/QALY - $45,000/QALY </w:t>
      </w:r>
      <w:r w:rsidR="00623005" w:rsidRPr="009D743B">
        <w:t>over 20 years)</w:t>
      </w:r>
      <w:r w:rsidRPr="009D743B">
        <w:t xml:space="preserve"> in the previous submission</w:t>
      </w:r>
      <w:r w:rsidR="005358A1" w:rsidRPr="009D743B">
        <w:t xml:space="preserve"> (all using a DPMQ of $</w:t>
      </w:r>
      <w:r w:rsidR="0050211C">
        <w:rPr>
          <w:noProof/>
          <w:color w:val="000000"/>
          <w:highlight w:val="black"/>
        </w:rPr>
        <w:t>''''''''''''''''</w:t>
      </w:r>
      <w:r w:rsidR="005358A1" w:rsidRPr="009D743B">
        <w:t>)</w:t>
      </w:r>
      <w:r w:rsidRPr="009D743B">
        <w:t xml:space="preserve">. Using the discounted DPMQ of $1,317.93, the ICER reduced to </w:t>
      </w:r>
      <w:r w:rsidR="00370B41">
        <w:t>$</w:t>
      </w:r>
      <w:r w:rsidR="009A64B5" w:rsidRPr="009A64B5">
        <w:t>15,000/QALY - $45,000/QALY</w:t>
      </w:r>
      <w:r w:rsidRPr="009D743B">
        <w:t xml:space="preserve"> per QALY </w:t>
      </w:r>
      <w:r w:rsidR="00623005" w:rsidRPr="009D743B">
        <w:t>gained</w:t>
      </w:r>
      <w:r w:rsidR="00D561BA">
        <w:t>.</w:t>
      </w:r>
    </w:p>
    <w:p w:rsidR="009D3628" w:rsidRPr="009D743B" w:rsidRDefault="004B25AA" w:rsidP="00B876BB">
      <w:pPr>
        <w:pStyle w:val="ListParagraph"/>
        <w:numPr>
          <w:ilvl w:val="0"/>
          <w:numId w:val="11"/>
        </w:numPr>
        <w:spacing w:before="0" w:after="120"/>
        <w:ind w:left="567" w:hanging="567"/>
        <w:jc w:val="both"/>
      </w:pPr>
      <w:r w:rsidRPr="009D743B">
        <w:lastRenderedPageBreak/>
        <w:t xml:space="preserve">The modelled ICER was associated with uncertainty due to the extrapolation of 16/52 week trial/open-label data to 20 years, the regression equations used to estimate </w:t>
      </w:r>
      <w:r w:rsidR="007B071D" w:rsidRPr="009D743B">
        <w:t xml:space="preserve">the </w:t>
      </w:r>
      <w:r w:rsidRPr="009D743B">
        <w:t xml:space="preserve">utilities and </w:t>
      </w:r>
      <w:r w:rsidR="007B071D" w:rsidRPr="009D743B">
        <w:t xml:space="preserve">the </w:t>
      </w:r>
      <w:r w:rsidRPr="009D743B">
        <w:t xml:space="preserve">disease </w:t>
      </w:r>
      <w:r w:rsidR="001955F2" w:rsidRPr="009D743B">
        <w:t xml:space="preserve">management </w:t>
      </w:r>
      <w:r w:rsidRPr="009D743B">
        <w:t>costs.</w:t>
      </w:r>
    </w:p>
    <w:p w:rsidR="007868B2" w:rsidRPr="009D743B" w:rsidRDefault="007868B2" w:rsidP="00B876BB">
      <w:pPr>
        <w:pStyle w:val="ListParagraph"/>
        <w:numPr>
          <w:ilvl w:val="0"/>
          <w:numId w:val="11"/>
        </w:numPr>
        <w:spacing w:before="0" w:after="0"/>
        <w:ind w:left="567" w:hanging="567"/>
        <w:jc w:val="both"/>
      </w:pPr>
      <w:r w:rsidRPr="009D743B">
        <w:t>The ESC noted that the model was structured in the following way:</w:t>
      </w:r>
    </w:p>
    <w:p w:rsidR="007868B2" w:rsidRPr="009D743B" w:rsidRDefault="007868B2" w:rsidP="00B876BB">
      <w:pPr>
        <w:pStyle w:val="ListParagraph"/>
        <w:numPr>
          <w:ilvl w:val="0"/>
          <w:numId w:val="14"/>
        </w:numPr>
        <w:spacing w:before="0" w:after="0"/>
        <w:ind w:left="851" w:hanging="284"/>
        <w:jc w:val="both"/>
      </w:pPr>
      <w:r w:rsidRPr="009D743B">
        <w:t>At the outset of the model (Week 0) patients are designated as either a responder or non-responder (based on the</w:t>
      </w:r>
      <w:r w:rsidR="005B6CAF" w:rsidRPr="009D743B">
        <w:t>ir</w:t>
      </w:r>
      <w:r w:rsidRPr="009D743B">
        <w:t xml:space="preserve"> BASDAI 50 response</w:t>
      </w:r>
      <w:r w:rsidR="005B6CAF" w:rsidRPr="009D743B">
        <w:t xml:space="preserve"> at 16 weeks</w:t>
      </w:r>
      <w:r w:rsidRPr="009D743B">
        <w:t>) and continue</w:t>
      </w:r>
      <w:r w:rsidR="005B6CAF" w:rsidRPr="009D743B">
        <w:t>d</w:t>
      </w:r>
      <w:r w:rsidRPr="009D743B">
        <w:t xml:space="preserve"> in this health state until Week 16 (conventional care) or Week 52 (golimumab)</w:t>
      </w:r>
      <w:r w:rsidR="005B6CAF" w:rsidRPr="009D743B">
        <w:t>;</w:t>
      </w:r>
    </w:p>
    <w:p w:rsidR="007868B2" w:rsidRPr="009D743B" w:rsidRDefault="007868B2" w:rsidP="00B876BB">
      <w:pPr>
        <w:pStyle w:val="ListParagraph"/>
        <w:numPr>
          <w:ilvl w:val="0"/>
          <w:numId w:val="14"/>
        </w:numPr>
        <w:spacing w:before="0" w:after="0"/>
        <w:ind w:left="851" w:hanging="284"/>
        <w:jc w:val="both"/>
      </w:pPr>
      <w:r w:rsidRPr="009D743B">
        <w:t xml:space="preserve">At Week 16, all conventional care responders </w:t>
      </w:r>
      <w:r w:rsidR="005B6CAF" w:rsidRPr="009D743B">
        <w:t>we</w:t>
      </w:r>
      <w:r w:rsidRPr="009D743B">
        <w:t>re assumed to lose their placebo re</w:t>
      </w:r>
      <w:r w:rsidR="005C133C" w:rsidRPr="009D743B">
        <w:t>s</w:t>
      </w:r>
      <w:r w:rsidRPr="009D743B">
        <w:t>ponse and become “conventional care non-responders</w:t>
      </w:r>
      <w:r w:rsidR="005C133C" w:rsidRPr="009D743B">
        <w:t>”</w:t>
      </w:r>
      <w:r w:rsidRPr="009D743B">
        <w:t xml:space="preserve"> by </w:t>
      </w:r>
      <w:r w:rsidR="005B6CAF" w:rsidRPr="009D743B">
        <w:t>W</w:t>
      </w:r>
      <w:r w:rsidRPr="009D743B">
        <w:t>eek 52, and remain</w:t>
      </w:r>
      <w:r w:rsidR="005B6CAF" w:rsidRPr="009D743B">
        <w:t>ed</w:t>
      </w:r>
      <w:r w:rsidRPr="009D743B">
        <w:t xml:space="preserve"> conventional care non-responders</w:t>
      </w:r>
      <w:r w:rsidR="005B6CAF" w:rsidRPr="009D743B">
        <w:t xml:space="preserve"> thereafter;</w:t>
      </w:r>
    </w:p>
    <w:p w:rsidR="007868B2" w:rsidRPr="009D743B" w:rsidRDefault="005B6CAF" w:rsidP="00B876BB">
      <w:pPr>
        <w:pStyle w:val="ListParagraph"/>
        <w:numPr>
          <w:ilvl w:val="0"/>
          <w:numId w:val="14"/>
        </w:numPr>
        <w:spacing w:before="0" w:after="0"/>
        <w:ind w:left="851" w:hanging="284"/>
        <w:jc w:val="both"/>
      </w:pPr>
      <w:r w:rsidRPr="009D743B">
        <w:t>BASFI and BASDAI scores u</w:t>
      </w:r>
      <w:r w:rsidR="007868B2" w:rsidRPr="009D743B">
        <w:t>nderpin each of the health states. After 16 weeks, the assumptions related to BASFI and BASDAI score progression differ</w:t>
      </w:r>
      <w:r w:rsidRPr="009D743B">
        <w:t>ed</w:t>
      </w:r>
      <w:r w:rsidR="007868B2" w:rsidRPr="009D743B">
        <w:t xml:space="preserve"> by group:</w:t>
      </w:r>
    </w:p>
    <w:p w:rsidR="005C133C" w:rsidRPr="009D743B" w:rsidRDefault="005C133C" w:rsidP="00B876BB">
      <w:pPr>
        <w:pStyle w:val="ListParagraph"/>
        <w:numPr>
          <w:ilvl w:val="1"/>
          <w:numId w:val="14"/>
        </w:numPr>
        <w:spacing w:before="0" w:after="0"/>
        <w:ind w:left="1135" w:hanging="284"/>
        <w:jc w:val="both"/>
      </w:pPr>
      <w:r w:rsidRPr="009D743B">
        <w:t xml:space="preserve">golimumab responders: after 16 weeks, BASFI and BASDAI scores </w:t>
      </w:r>
      <w:r w:rsidR="005B6CAF" w:rsidRPr="009D743B">
        <w:t>we</w:t>
      </w:r>
      <w:r w:rsidRPr="009D743B">
        <w:t xml:space="preserve">re kept constant through </w:t>
      </w:r>
      <w:r w:rsidR="005B6CAF" w:rsidRPr="009D743B">
        <w:t xml:space="preserve">to </w:t>
      </w:r>
      <w:r w:rsidRPr="009D743B">
        <w:t>52 weeks; thereafter, BASFI scores increase</w:t>
      </w:r>
      <w:r w:rsidR="005B6CAF" w:rsidRPr="009D743B">
        <w:t>d</w:t>
      </w:r>
      <w:r w:rsidRPr="009D743B">
        <w:t xml:space="preserve"> </w:t>
      </w:r>
      <w:r w:rsidR="0069278C" w:rsidRPr="009D743B">
        <w:t>(i.e. worsen</w:t>
      </w:r>
      <w:r w:rsidR="005B6CAF" w:rsidRPr="009D743B">
        <w:t>ed</w:t>
      </w:r>
      <w:r w:rsidR="0069278C" w:rsidRPr="009D743B">
        <w:t xml:space="preserve">) </w:t>
      </w:r>
      <w:r w:rsidR="005B6CAF" w:rsidRPr="009D743B">
        <w:t xml:space="preserve">based on </w:t>
      </w:r>
      <w:r w:rsidRPr="009D743B">
        <w:t xml:space="preserve">a long-term progression rate </w:t>
      </w:r>
      <w:r w:rsidR="005B6CAF" w:rsidRPr="009D743B">
        <w:t xml:space="preserve">while </w:t>
      </w:r>
      <w:r w:rsidRPr="009D743B">
        <w:t>BASDAI scores remain</w:t>
      </w:r>
      <w:r w:rsidR="005B6CAF" w:rsidRPr="009D743B">
        <w:t>ed</w:t>
      </w:r>
      <w:r w:rsidRPr="009D743B">
        <w:t xml:space="preserve"> constant</w:t>
      </w:r>
      <w:r w:rsidR="000A4B9D" w:rsidRPr="009D743B">
        <w:t xml:space="preserve"> at </w:t>
      </w:r>
      <w:r w:rsidR="005B6CAF" w:rsidRPr="009D743B">
        <w:t xml:space="preserve">a score of </w:t>
      </w:r>
      <w:r w:rsidR="000A4B9D" w:rsidRPr="009D743B">
        <w:t>1.2</w:t>
      </w:r>
      <w:r w:rsidRPr="009D743B">
        <w:t>.</w:t>
      </w:r>
    </w:p>
    <w:p w:rsidR="005C133C" w:rsidRPr="009D743B" w:rsidRDefault="005C133C" w:rsidP="00B876BB">
      <w:pPr>
        <w:pStyle w:val="ListParagraph"/>
        <w:numPr>
          <w:ilvl w:val="1"/>
          <w:numId w:val="14"/>
        </w:numPr>
        <w:spacing w:before="0" w:after="0"/>
        <w:ind w:left="1135" w:hanging="284"/>
        <w:jc w:val="both"/>
      </w:pPr>
      <w:r w:rsidRPr="009D743B">
        <w:t>conventional care responders: as outlined above, after 16 weeks, BASFI and BASDAI scores rebound</w:t>
      </w:r>
      <w:r w:rsidR="005B6CAF" w:rsidRPr="009D743B">
        <w:t>ed</w:t>
      </w:r>
      <w:r w:rsidRPr="009D743B">
        <w:t xml:space="preserve"> (i.e. worsen</w:t>
      </w:r>
      <w:r w:rsidR="005B6CAF" w:rsidRPr="009D743B">
        <w:t>ed</w:t>
      </w:r>
      <w:r w:rsidRPr="009D743B">
        <w:t xml:space="preserve">) to their respective baseline score by </w:t>
      </w:r>
      <w:r w:rsidR="005B6CAF" w:rsidRPr="009D743B">
        <w:t>W</w:t>
      </w:r>
      <w:r w:rsidRPr="009D743B">
        <w:t xml:space="preserve">eek 52; thereafter, conventional care responders </w:t>
      </w:r>
      <w:r w:rsidR="005B6CAF" w:rsidRPr="009D743B">
        <w:t>we</w:t>
      </w:r>
      <w:r w:rsidRPr="009D743B">
        <w:t>re immediately transitioned to the non-responder health state.</w:t>
      </w:r>
    </w:p>
    <w:p w:rsidR="007868B2" w:rsidRPr="009D743B" w:rsidRDefault="007868B2" w:rsidP="00B876BB">
      <w:pPr>
        <w:pStyle w:val="ListParagraph"/>
        <w:numPr>
          <w:ilvl w:val="1"/>
          <w:numId w:val="14"/>
        </w:numPr>
        <w:spacing w:before="0" w:after="120"/>
        <w:ind w:left="1135" w:hanging="284"/>
        <w:jc w:val="both"/>
      </w:pPr>
      <w:r w:rsidRPr="009D743B">
        <w:t xml:space="preserve">conventional care and golimumab non-responders: </w:t>
      </w:r>
      <w:r w:rsidR="005C133C" w:rsidRPr="009D743B">
        <w:t>a</w:t>
      </w:r>
      <w:r w:rsidRPr="009D743B">
        <w:t xml:space="preserve">fter 16 weeks, BASFI and BASDAI scores immediately rebound to their respective baseline scores; thereafter, BASFI scores increase </w:t>
      </w:r>
      <w:r w:rsidR="00465777" w:rsidRPr="009D743B">
        <w:t xml:space="preserve">(i.e. worsen) </w:t>
      </w:r>
      <w:r w:rsidRPr="009D743B">
        <w:t>using a long-term rate of progression and BASDAI scores remain constant</w:t>
      </w:r>
      <w:r w:rsidR="000A4B9D" w:rsidRPr="009D743B">
        <w:t xml:space="preserve"> at</w:t>
      </w:r>
      <w:r w:rsidR="005B6CAF" w:rsidRPr="009D743B">
        <w:t xml:space="preserve"> a score of</w:t>
      </w:r>
      <w:r w:rsidR="000A4B9D" w:rsidRPr="009D743B">
        <w:t xml:space="preserve"> 7.0.</w:t>
      </w:r>
    </w:p>
    <w:p w:rsidR="005C133C" w:rsidRPr="009D743B" w:rsidRDefault="005C133C" w:rsidP="00B876BB">
      <w:pPr>
        <w:pStyle w:val="ListParagraph"/>
        <w:numPr>
          <w:ilvl w:val="0"/>
          <w:numId w:val="11"/>
        </w:numPr>
        <w:spacing w:before="0" w:after="120"/>
        <w:ind w:left="567" w:hanging="567"/>
        <w:jc w:val="both"/>
      </w:pPr>
      <w:r w:rsidRPr="009D743B">
        <w:t xml:space="preserve">The ESC noted that the algorithm for determining </w:t>
      </w:r>
      <w:r w:rsidR="0069278C" w:rsidRPr="009D743B">
        <w:t>the utility value in each cycle</w:t>
      </w:r>
      <w:r w:rsidRPr="009D743B">
        <w:t xml:space="preserve"> was </w:t>
      </w:r>
      <w:r w:rsidR="0069278C" w:rsidRPr="009D743B">
        <w:t xml:space="preserve">largely driven by </w:t>
      </w:r>
      <w:r w:rsidR="00465777" w:rsidRPr="009D743B">
        <w:t>the</w:t>
      </w:r>
      <w:r w:rsidR="0069278C" w:rsidRPr="009D743B">
        <w:t xml:space="preserve"> change in BASDAI and BASFI score</w:t>
      </w:r>
      <w:r w:rsidR="00465777" w:rsidRPr="009D743B">
        <w:t xml:space="preserve"> over that cycle</w:t>
      </w:r>
      <w:r w:rsidR="0069278C" w:rsidRPr="009D743B">
        <w:t xml:space="preserve"> (with BASDAI scores having almost double the impact of BASFI scores).</w:t>
      </w:r>
      <w:r w:rsidR="0069278C" w:rsidRPr="009D743B">
        <w:rPr>
          <w:rStyle w:val="FootnoteReference"/>
        </w:rPr>
        <w:footnoteReference w:id="1"/>
      </w:r>
      <w:r w:rsidR="0069278C" w:rsidRPr="009D743B">
        <w:t xml:space="preserve"> Thus a key driver of the model was the assumption that BASDAI scores </w:t>
      </w:r>
      <w:r w:rsidR="005B6CAF" w:rsidRPr="009D743B">
        <w:t xml:space="preserve">would </w:t>
      </w:r>
      <w:r w:rsidR="0069278C" w:rsidRPr="009D743B">
        <w:t xml:space="preserve">remain constant </w:t>
      </w:r>
      <w:r w:rsidR="000A4B9D" w:rsidRPr="009D743B">
        <w:t xml:space="preserve">(at </w:t>
      </w:r>
      <w:r w:rsidR="005B6CAF" w:rsidRPr="009D743B">
        <w:t xml:space="preserve">a score of </w:t>
      </w:r>
      <w:r w:rsidR="000A4B9D" w:rsidRPr="009D743B">
        <w:t xml:space="preserve">1.2) </w:t>
      </w:r>
      <w:r w:rsidR="0069278C" w:rsidRPr="009D743B">
        <w:t xml:space="preserve">in </w:t>
      </w:r>
      <w:r w:rsidR="000A4B9D" w:rsidRPr="009D743B">
        <w:t xml:space="preserve">the </w:t>
      </w:r>
      <w:r w:rsidR="0069278C" w:rsidRPr="009D743B">
        <w:t>“golimumab responders” arm.</w:t>
      </w:r>
    </w:p>
    <w:p w:rsidR="00465777" w:rsidRPr="009D743B" w:rsidRDefault="00247106" w:rsidP="00B876BB">
      <w:pPr>
        <w:pStyle w:val="ListParagraph"/>
        <w:numPr>
          <w:ilvl w:val="0"/>
          <w:numId w:val="11"/>
        </w:numPr>
        <w:spacing w:before="0" w:after="120"/>
        <w:ind w:left="567" w:hanging="567"/>
        <w:jc w:val="both"/>
      </w:pPr>
      <w:r w:rsidRPr="009D743B">
        <w:t xml:space="preserve">The utility estimation algorithm applied in the resubmission was </w:t>
      </w:r>
      <w:r w:rsidR="008D7AE2" w:rsidRPr="009D743B">
        <w:t xml:space="preserve">produced for a submission to the Scottish Medical Consortium </w:t>
      </w:r>
      <w:r w:rsidRPr="009D743B">
        <w:t>based on individual patient data from the GO-AHEAD trial.</w:t>
      </w:r>
      <w:r w:rsidR="008D7AE2" w:rsidRPr="009D743B">
        <w:t xml:space="preserve"> The ESC noted the algorithm only </w:t>
      </w:r>
      <w:r w:rsidR="008D7AE2" w:rsidRPr="00DE7BA7">
        <w:t xml:space="preserve">explained </w:t>
      </w:r>
      <w:r w:rsidR="0050211C">
        <w:rPr>
          <w:rFonts w:ascii="Calibri" w:eastAsia="Calibri" w:hAnsi="Calibri" w:cs="Arial"/>
          <w:noProof/>
          <w:color w:val="000000"/>
          <w:highlight w:val="black"/>
        </w:rPr>
        <w:t>'''''''''''</w:t>
      </w:r>
      <w:r w:rsidR="008D7AE2" w:rsidRPr="00DE7BA7">
        <w:t>%</w:t>
      </w:r>
      <w:r w:rsidR="008D7AE2" w:rsidRPr="009D743B">
        <w:t xml:space="preserve"> of the variation in EQ-5D change, </w:t>
      </w:r>
      <w:r w:rsidR="009D743B" w:rsidRPr="009D743B">
        <w:t>and</w:t>
      </w:r>
      <w:r w:rsidR="008D7AE2" w:rsidRPr="009D743B">
        <w:t xml:space="preserve"> omitted baseline EQ-5D as an independent variable despite the mode</w:t>
      </w:r>
      <w:r w:rsidR="007C7DD3" w:rsidRPr="009D743B">
        <w:t>l</w:t>
      </w:r>
      <w:r w:rsidR="008D7AE2" w:rsidRPr="009D743B">
        <w:t>’s dependant variable being EQ-5D change.</w:t>
      </w:r>
      <w:r w:rsidRPr="009D743B">
        <w:t xml:space="preserve"> </w:t>
      </w:r>
      <w:r w:rsidR="00465777" w:rsidRPr="009D743B">
        <w:t xml:space="preserve">The ESC </w:t>
      </w:r>
      <w:r w:rsidR="008D7AE2" w:rsidRPr="009D743B">
        <w:t xml:space="preserve">also </w:t>
      </w:r>
      <w:r w:rsidR="00465777" w:rsidRPr="009D743B">
        <w:t xml:space="preserve">noted that three other algorithms </w:t>
      </w:r>
      <w:r w:rsidRPr="009D743B">
        <w:t xml:space="preserve">had been identified in the </w:t>
      </w:r>
      <w:r w:rsidR="005B6CAF" w:rsidRPr="009D743B">
        <w:t>resubmission</w:t>
      </w:r>
      <w:r w:rsidRPr="009D743B">
        <w:t>’s literature search (one was developed from a nr</w:t>
      </w:r>
      <w:r w:rsidR="00634B2D" w:rsidRPr="009D743B">
        <w:noBreakHyphen/>
      </w:r>
      <w:r w:rsidRPr="009D743B">
        <w:t>axSpA population</w:t>
      </w:r>
      <w:r w:rsidR="00C524E1" w:rsidRPr="009D743B">
        <w:t xml:space="preserve"> while the</w:t>
      </w:r>
      <w:r w:rsidRPr="009D743B">
        <w:t xml:space="preserve"> other two were developed from AS populations</w:t>
      </w:r>
      <w:r w:rsidR="00C524E1" w:rsidRPr="009D743B">
        <w:t>)</w:t>
      </w:r>
      <w:r w:rsidR="0090177E" w:rsidRPr="009D743B">
        <w:t xml:space="preserve">. The </w:t>
      </w:r>
      <w:r w:rsidRPr="009D743B">
        <w:t xml:space="preserve">ESC noted that the </w:t>
      </w:r>
      <w:r w:rsidR="0090177E" w:rsidRPr="009D743B">
        <w:t>ICER was very sensitive to the algorithm</w:t>
      </w:r>
      <w:r w:rsidR="005B6CAF" w:rsidRPr="009D743B">
        <w:t xml:space="preserve"> chosen</w:t>
      </w:r>
      <w:r w:rsidR="0090177E" w:rsidRPr="009D743B">
        <w:t xml:space="preserve"> </w:t>
      </w:r>
      <w:r w:rsidR="00634B2D" w:rsidRPr="009D743B">
        <w:t>(</w:t>
      </w:r>
      <w:r w:rsidRPr="009D743B">
        <w:t>and</w:t>
      </w:r>
      <w:r w:rsidR="0090177E" w:rsidRPr="009D743B">
        <w:t xml:space="preserve"> </w:t>
      </w:r>
      <w:r w:rsidR="00465777" w:rsidRPr="009D743B">
        <w:t xml:space="preserve">the one </w:t>
      </w:r>
      <w:r w:rsidR="005B6CAF" w:rsidRPr="009D743B">
        <w:t>selected in the base case</w:t>
      </w:r>
      <w:r w:rsidR="003E42AF" w:rsidRPr="009D743B">
        <w:t>, which was based on the GO-AHEAD trial,</w:t>
      </w:r>
      <w:r w:rsidR="00465777" w:rsidRPr="009D743B">
        <w:t xml:space="preserve"> </w:t>
      </w:r>
      <w:r w:rsidR="0090177E" w:rsidRPr="009D743B">
        <w:t>result</w:t>
      </w:r>
      <w:r w:rsidRPr="009D743B">
        <w:t>ed</w:t>
      </w:r>
      <w:r w:rsidR="0090177E" w:rsidRPr="009D743B">
        <w:t xml:space="preserve"> in the lowest</w:t>
      </w:r>
      <w:r w:rsidRPr="009D743B">
        <w:t xml:space="preserve"> ICER</w:t>
      </w:r>
      <w:r w:rsidR="00634B2D" w:rsidRPr="009D743B">
        <w:t>)</w:t>
      </w:r>
      <w:r w:rsidR="00465777" w:rsidRPr="009D743B">
        <w:t xml:space="preserve"> as shown in sensitivity analyses</w:t>
      </w:r>
      <w:r w:rsidR="005B6CAF" w:rsidRPr="009D743B">
        <w:t xml:space="preserve"> below</w:t>
      </w:r>
      <w:r w:rsidR="00465777" w:rsidRPr="009D743B">
        <w:t>.</w:t>
      </w:r>
      <w:r w:rsidR="008D7AE2" w:rsidRPr="009D743B">
        <w:t xml:space="preserve"> </w:t>
      </w:r>
      <w:r w:rsidR="00E86CA8" w:rsidRPr="009D743B">
        <w:t xml:space="preserve">The ESC </w:t>
      </w:r>
      <w:r w:rsidR="00E86CA8" w:rsidRPr="009D743B">
        <w:lastRenderedPageBreak/>
        <w:t xml:space="preserve">considered that, while </w:t>
      </w:r>
      <w:r w:rsidR="001A5E6E" w:rsidRPr="009D743B">
        <w:t xml:space="preserve">some verification of the regression equation was provided in the resubmission, it </w:t>
      </w:r>
      <w:r w:rsidR="00E86CA8" w:rsidRPr="009D743B">
        <w:t>remained unclear</w:t>
      </w:r>
      <w:r w:rsidR="001A5E6E" w:rsidRPr="009D743B">
        <w:t xml:space="preserve"> whether the regression equation would be relevant over the 20-year time horizon of the model.</w:t>
      </w:r>
    </w:p>
    <w:p w:rsidR="00924615" w:rsidRPr="009D743B" w:rsidRDefault="00924615" w:rsidP="00B876BB">
      <w:pPr>
        <w:pStyle w:val="ListParagraph"/>
        <w:numPr>
          <w:ilvl w:val="0"/>
          <w:numId w:val="11"/>
        </w:numPr>
        <w:spacing w:before="0" w:after="120"/>
        <w:ind w:left="567" w:hanging="567"/>
        <w:jc w:val="both"/>
      </w:pPr>
      <w:r w:rsidRPr="009D743B">
        <w:t>The pre-PBAC response</w:t>
      </w:r>
      <w:r w:rsidR="00964102" w:rsidRPr="009D743B">
        <w:t xml:space="preserve"> </w:t>
      </w:r>
      <w:r w:rsidRPr="009D743B">
        <w:t xml:space="preserve">stated that the main uncertainty with the utility mapping method was whether responders will continue to have a similar utility gain over time, because when patients lose BASDAI-50 response, the utility gain ceases. The pre-PBAC response attempted to evaluate this through two sensitivity analyses. Firstly, by reducing the time horizon which limits the duration of the ‘constancy’ in utility gain for responders versus non-responders: the ICER at 10 years (20 year base case result) is </w:t>
      </w:r>
      <w:r w:rsidR="00F81C20">
        <w:t>$</w:t>
      </w:r>
      <w:r w:rsidR="00350003" w:rsidRPr="00350003">
        <w:t>15,000/QALY - $45,000/QALY</w:t>
      </w:r>
      <w:r w:rsidRPr="009D743B">
        <w:t xml:space="preserve"> which as </w:t>
      </w:r>
      <w:r w:rsidRPr="00A12545">
        <w:t xml:space="preserve">discussed above is a minimal change from the base case </w:t>
      </w:r>
      <w:r w:rsidR="00A37410" w:rsidRPr="00A12545">
        <w:rPr>
          <w:rFonts w:ascii="Calibri" w:eastAsia="Calibri" w:hAnsi="Calibri" w:cs="Arial"/>
        </w:rPr>
        <w:t>($15,000/QALY - $45,000/QALY</w:t>
      </w:r>
      <w:r w:rsidRPr="00A12545">
        <w:t>.</w:t>
      </w:r>
      <w:r w:rsidRPr="009D743B">
        <w:t xml:space="preserve"> Second, by reducing the rate of long-term responders, which limits the application of the utility gain to much smaller cohorts; using high rates of annual discontinuation at 15% and 20% per year (base case discontinuation </w:t>
      </w:r>
      <w:r w:rsidRPr="00A12545">
        <w:t xml:space="preserve">was </w:t>
      </w:r>
      <w:r w:rsidR="0050211C">
        <w:rPr>
          <w:rFonts w:ascii="Calibri" w:eastAsia="Calibri" w:hAnsi="Calibri" w:cs="Arial"/>
          <w:noProof/>
          <w:color w:val="000000"/>
          <w:highlight w:val="black"/>
        </w:rPr>
        <w:t>''''''</w:t>
      </w:r>
      <w:r w:rsidRPr="00A12545">
        <w:t>%</w:t>
      </w:r>
      <w:r w:rsidRPr="009D743B">
        <w:t xml:space="preserve"> per year), provide ICERS of </w:t>
      </w:r>
      <w:r w:rsidR="00F81C20">
        <w:t>$</w:t>
      </w:r>
      <w:r w:rsidR="00350003" w:rsidRPr="00350003">
        <w:t>15,000/QALY - $45,000/QALY</w:t>
      </w:r>
      <w:r w:rsidRPr="009D743B">
        <w:t xml:space="preserve"> , both lower than the base-case ICER.</w:t>
      </w:r>
    </w:p>
    <w:p w:rsidR="001A12EF" w:rsidRPr="009D743B" w:rsidRDefault="001A12EF" w:rsidP="00B876BB">
      <w:pPr>
        <w:pStyle w:val="ListParagraph"/>
        <w:numPr>
          <w:ilvl w:val="0"/>
          <w:numId w:val="11"/>
        </w:numPr>
        <w:spacing w:before="0" w:after="120"/>
        <w:ind w:left="567" w:hanging="567"/>
        <w:jc w:val="both"/>
      </w:pPr>
      <w:r w:rsidRPr="009D743B">
        <w:rPr>
          <w:rFonts w:cstheme="minorHAnsi"/>
        </w:rPr>
        <w:t>Table 1</w:t>
      </w:r>
      <w:r w:rsidR="00322547" w:rsidRPr="009D743B">
        <w:rPr>
          <w:rFonts w:cstheme="minorHAnsi"/>
        </w:rPr>
        <w:t>2</w:t>
      </w:r>
      <w:r w:rsidRPr="009D743B">
        <w:rPr>
          <w:rFonts w:cstheme="minorHAnsi"/>
        </w:rPr>
        <w:t xml:space="preserve"> </w:t>
      </w:r>
      <w:r w:rsidRPr="009D743B">
        <w:t>summarises the key model parameters</w:t>
      </w:r>
      <w:r w:rsidR="00FE4A0B" w:rsidRPr="009D743B">
        <w:t xml:space="preserve"> and </w:t>
      </w:r>
      <w:r w:rsidR="009261E9" w:rsidRPr="009D743B">
        <w:t xml:space="preserve">the </w:t>
      </w:r>
      <w:r w:rsidR="00FE4A0B" w:rsidRPr="009D743B">
        <w:t>cost</w:t>
      </w:r>
      <w:r w:rsidR="009261E9" w:rsidRPr="009D743B">
        <w:t>s</w:t>
      </w:r>
      <w:r w:rsidR="00FE4A0B" w:rsidRPr="009D743B">
        <w:t xml:space="preserve"> and QALYs estimated </w:t>
      </w:r>
      <w:r w:rsidR="007B071D" w:rsidRPr="009D743B">
        <w:t xml:space="preserve">for </w:t>
      </w:r>
      <w:r w:rsidR="00FE4A0B" w:rsidRPr="009D743B">
        <w:t>each treatment group in the model</w:t>
      </w:r>
      <w:r w:rsidRPr="009D743B">
        <w:t>.</w:t>
      </w:r>
    </w:p>
    <w:p w:rsidR="00B876BB" w:rsidRDefault="00B876BB">
      <w:pPr>
        <w:spacing w:before="0" w:line="259" w:lineRule="auto"/>
        <w:rPr>
          <w:rFonts w:ascii="Arial Narrow" w:hAnsi="Arial Narrow"/>
          <w:b/>
          <w:iCs/>
          <w:sz w:val="20"/>
          <w:szCs w:val="18"/>
        </w:rPr>
      </w:pPr>
      <w:bookmarkStart w:id="36" w:name="_Ref512941412"/>
      <w:bookmarkStart w:id="37" w:name="_Ref512955599"/>
      <w:r>
        <w:rPr>
          <w:rFonts w:ascii="Arial Narrow" w:hAnsi="Arial Narrow"/>
        </w:rPr>
        <w:br w:type="page"/>
      </w:r>
    </w:p>
    <w:p w:rsidR="00481659" w:rsidRPr="009D743B" w:rsidRDefault="00DB1160" w:rsidP="00F43743">
      <w:pPr>
        <w:pStyle w:val="Caption"/>
        <w:jc w:val="both"/>
        <w:rPr>
          <w:rFonts w:ascii="Arial Narrow" w:hAnsi="Arial Narrow"/>
          <w:b w:val="0"/>
        </w:rPr>
      </w:pPr>
      <w:r w:rsidRPr="009D743B">
        <w:rPr>
          <w:rFonts w:ascii="Arial Narrow" w:hAnsi="Arial Narrow"/>
        </w:rPr>
        <w:lastRenderedPageBreak/>
        <w:t xml:space="preserve">Table </w:t>
      </w:r>
      <w:r w:rsidR="006F34BE" w:rsidRPr="009D743B">
        <w:rPr>
          <w:rFonts w:ascii="Arial Narrow" w:hAnsi="Arial Narrow"/>
        </w:rPr>
        <w:t>1</w:t>
      </w:r>
      <w:bookmarkEnd w:id="36"/>
      <w:r w:rsidR="00322547" w:rsidRPr="009D743B">
        <w:rPr>
          <w:rFonts w:ascii="Arial Narrow" w:hAnsi="Arial Narrow"/>
        </w:rPr>
        <w:t>2</w:t>
      </w:r>
      <w:r w:rsidRPr="009D743B">
        <w:rPr>
          <w:rFonts w:ascii="Arial Narrow" w:hAnsi="Arial Narrow"/>
        </w:rPr>
        <w:t>: Key model parameters</w:t>
      </w:r>
      <w:bookmarkEnd w:id="37"/>
    </w:p>
    <w:tbl>
      <w:tblPr>
        <w:tblStyle w:val="TableGridLight1"/>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model parameters"/>
      </w:tblPr>
      <w:tblGrid>
        <w:gridCol w:w="2518"/>
        <w:gridCol w:w="771"/>
        <w:gridCol w:w="992"/>
        <w:gridCol w:w="1417"/>
        <w:gridCol w:w="851"/>
        <w:gridCol w:w="1134"/>
        <w:gridCol w:w="1417"/>
      </w:tblGrid>
      <w:tr w:rsidR="009261E9" w:rsidRPr="009D743B" w:rsidTr="00D561BA">
        <w:trPr>
          <w:tblHeader/>
        </w:trPr>
        <w:tc>
          <w:tcPr>
            <w:tcW w:w="2518" w:type="dxa"/>
            <w:vMerge w:val="restart"/>
          </w:tcPr>
          <w:p w:rsidR="009261E9" w:rsidRPr="009D743B" w:rsidRDefault="009261E9" w:rsidP="00481659">
            <w:pPr>
              <w:keepNext/>
              <w:keepLines/>
              <w:spacing w:before="40" w:after="40"/>
              <w:jc w:val="both"/>
              <w:rPr>
                <w:rFonts w:ascii="Arial Narrow" w:hAnsi="Arial Narrow"/>
                <w:sz w:val="20"/>
                <w:szCs w:val="20"/>
              </w:rPr>
            </w:pPr>
            <w:r w:rsidRPr="009D743B">
              <w:rPr>
                <w:rFonts w:ascii="Arial Narrow" w:hAnsi="Arial Narrow"/>
                <w:color w:val="000000"/>
                <w:sz w:val="20"/>
                <w:szCs w:val="20"/>
              </w:rPr>
              <w:t> </w:t>
            </w:r>
          </w:p>
        </w:tc>
        <w:tc>
          <w:tcPr>
            <w:tcW w:w="3180" w:type="dxa"/>
            <w:gridSpan w:val="3"/>
          </w:tcPr>
          <w:p w:rsidR="009261E9" w:rsidRPr="009D743B" w:rsidRDefault="009261E9" w:rsidP="00481659">
            <w:pPr>
              <w:keepNext/>
              <w:keepLines/>
              <w:spacing w:before="40" w:after="40"/>
              <w:ind w:hanging="718"/>
              <w:jc w:val="center"/>
              <w:rPr>
                <w:rFonts w:ascii="Arial Narrow" w:hAnsi="Arial Narrow"/>
                <w:b/>
                <w:sz w:val="20"/>
                <w:szCs w:val="20"/>
              </w:rPr>
            </w:pPr>
            <w:r w:rsidRPr="009D743B">
              <w:rPr>
                <w:rFonts w:ascii="Arial Narrow" w:hAnsi="Arial Narrow"/>
                <w:b/>
                <w:sz w:val="20"/>
                <w:szCs w:val="20"/>
              </w:rPr>
              <w:t>Golimumab</w:t>
            </w:r>
          </w:p>
        </w:tc>
        <w:tc>
          <w:tcPr>
            <w:tcW w:w="3402" w:type="dxa"/>
            <w:gridSpan w:val="3"/>
          </w:tcPr>
          <w:p w:rsidR="009261E9" w:rsidRPr="009D743B" w:rsidRDefault="009261E9" w:rsidP="00481659">
            <w:pPr>
              <w:keepNext/>
              <w:keepLines/>
              <w:spacing w:before="40" w:after="40"/>
              <w:ind w:hanging="718"/>
              <w:jc w:val="center"/>
              <w:rPr>
                <w:rFonts w:ascii="Arial Narrow" w:hAnsi="Arial Narrow"/>
                <w:b/>
                <w:sz w:val="20"/>
                <w:szCs w:val="20"/>
              </w:rPr>
            </w:pPr>
            <w:r w:rsidRPr="009D743B">
              <w:rPr>
                <w:rFonts w:ascii="Arial Narrow" w:hAnsi="Arial Narrow"/>
                <w:b/>
                <w:sz w:val="20"/>
                <w:szCs w:val="20"/>
              </w:rPr>
              <w:t>Conventional care</w:t>
            </w:r>
          </w:p>
        </w:tc>
      </w:tr>
      <w:tr w:rsidR="009261E9" w:rsidRPr="009D743B" w:rsidTr="00D561BA">
        <w:trPr>
          <w:tblHeader/>
        </w:trPr>
        <w:tc>
          <w:tcPr>
            <w:tcW w:w="2518" w:type="dxa"/>
            <w:vMerge/>
            <w:vAlign w:val="bottom"/>
          </w:tcPr>
          <w:p w:rsidR="009261E9" w:rsidRPr="009D743B" w:rsidRDefault="009261E9" w:rsidP="00481659">
            <w:pPr>
              <w:keepNext/>
              <w:keepLines/>
              <w:spacing w:before="40" w:after="40"/>
              <w:jc w:val="both"/>
              <w:rPr>
                <w:rFonts w:ascii="Arial Narrow" w:hAnsi="Arial Narrow"/>
                <w:sz w:val="20"/>
                <w:szCs w:val="20"/>
              </w:rPr>
            </w:pPr>
          </w:p>
        </w:tc>
        <w:tc>
          <w:tcPr>
            <w:tcW w:w="771" w:type="dxa"/>
            <w:vAlign w:val="center"/>
          </w:tcPr>
          <w:p w:rsidR="009261E9" w:rsidRPr="009D743B" w:rsidRDefault="009261E9" w:rsidP="00F43743">
            <w:pPr>
              <w:keepNext/>
              <w:keepLines/>
              <w:spacing w:before="40" w:after="40"/>
              <w:jc w:val="center"/>
              <w:rPr>
                <w:rFonts w:ascii="Arial Narrow" w:hAnsi="Arial Narrow"/>
                <w:b/>
                <w:sz w:val="20"/>
                <w:szCs w:val="20"/>
              </w:rPr>
            </w:pPr>
            <w:r w:rsidRPr="009D743B">
              <w:rPr>
                <w:rFonts w:ascii="Arial Narrow" w:hAnsi="Arial Narrow"/>
                <w:b/>
                <w:bCs/>
                <w:color w:val="000000"/>
                <w:sz w:val="20"/>
                <w:szCs w:val="20"/>
              </w:rPr>
              <w:t>Total</w:t>
            </w:r>
          </w:p>
        </w:tc>
        <w:tc>
          <w:tcPr>
            <w:tcW w:w="992" w:type="dxa"/>
            <w:vAlign w:val="center"/>
          </w:tcPr>
          <w:p w:rsidR="009261E9" w:rsidRPr="009D743B" w:rsidRDefault="009261E9" w:rsidP="00F43743">
            <w:pPr>
              <w:keepNext/>
              <w:keepLines/>
              <w:spacing w:before="40" w:after="40"/>
              <w:jc w:val="center"/>
              <w:rPr>
                <w:rFonts w:ascii="Arial Narrow" w:hAnsi="Arial Narrow"/>
                <w:b/>
                <w:sz w:val="20"/>
                <w:szCs w:val="20"/>
              </w:rPr>
            </w:pPr>
            <w:r w:rsidRPr="009D743B">
              <w:rPr>
                <w:rFonts w:ascii="Arial Narrow" w:hAnsi="Arial Narrow"/>
                <w:b/>
                <w:bCs/>
                <w:color w:val="000000"/>
                <w:sz w:val="20"/>
                <w:szCs w:val="20"/>
              </w:rPr>
              <w:t>Responder</w:t>
            </w:r>
          </w:p>
        </w:tc>
        <w:tc>
          <w:tcPr>
            <w:tcW w:w="1417" w:type="dxa"/>
            <w:vAlign w:val="center"/>
          </w:tcPr>
          <w:p w:rsidR="009261E9" w:rsidRPr="009D743B" w:rsidRDefault="009261E9" w:rsidP="00F43743">
            <w:pPr>
              <w:keepNext/>
              <w:keepLines/>
              <w:spacing w:before="40" w:after="40"/>
              <w:jc w:val="center"/>
              <w:rPr>
                <w:rFonts w:ascii="Arial Narrow" w:hAnsi="Arial Narrow"/>
                <w:b/>
                <w:sz w:val="20"/>
                <w:szCs w:val="20"/>
              </w:rPr>
            </w:pPr>
            <w:r w:rsidRPr="009D743B">
              <w:rPr>
                <w:rFonts w:ascii="Arial Narrow" w:hAnsi="Arial Narrow"/>
                <w:b/>
                <w:bCs/>
                <w:color w:val="000000"/>
                <w:sz w:val="20"/>
                <w:szCs w:val="20"/>
              </w:rPr>
              <w:t>Non-responder</w:t>
            </w:r>
          </w:p>
        </w:tc>
        <w:tc>
          <w:tcPr>
            <w:tcW w:w="851" w:type="dxa"/>
            <w:vAlign w:val="center"/>
          </w:tcPr>
          <w:p w:rsidR="009261E9" w:rsidRPr="009D743B" w:rsidRDefault="009261E9" w:rsidP="00F43743">
            <w:pPr>
              <w:keepNext/>
              <w:keepLines/>
              <w:spacing w:before="40" w:after="40"/>
              <w:jc w:val="center"/>
              <w:rPr>
                <w:rFonts w:ascii="Arial Narrow" w:hAnsi="Arial Narrow"/>
                <w:b/>
                <w:sz w:val="20"/>
                <w:szCs w:val="20"/>
              </w:rPr>
            </w:pPr>
            <w:r w:rsidRPr="009D743B">
              <w:rPr>
                <w:rFonts w:ascii="Arial Narrow" w:hAnsi="Arial Narrow"/>
                <w:b/>
                <w:bCs/>
                <w:color w:val="000000"/>
                <w:sz w:val="20"/>
                <w:szCs w:val="20"/>
              </w:rPr>
              <w:t>Total</w:t>
            </w:r>
          </w:p>
        </w:tc>
        <w:tc>
          <w:tcPr>
            <w:tcW w:w="1134" w:type="dxa"/>
            <w:vAlign w:val="center"/>
          </w:tcPr>
          <w:p w:rsidR="009261E9" w:rsidRPr="009D743B" w:rsidRDefault="009261E9" w:rsidP="00F43743">
            <w:pPr>
              <w:keepNext/>
              <w:keepLines/>
              <w:spacing w:before="40" w:after="40"/>
              <w:jc w:val="center"/>
              <w:rPr>
                <w:rFonts w:ascii="Arial Narrow" w:hAnsi="Arial Narrow"/>
                <w:b/>
                <w:sz w:val="20"/>
                <w:szCs w:val="20"/>
              </w:rPr>
            </w:pPr>
            <w:r w:rsidRPr="009D743B">
              <w:rPr>
                <w:rFonts w:ascii="Arial Narrow" w:hAnsi="Arial Narrow"/>
                <w:b/>
                <w:bCs/>
                <w:color w:val="000000"/>
                <w:sz w:val="20"/>
                <w:szCs w:val="20"/>
              </w:rPr>
              <w:t>Responder</w:t>
            </w:r>
          </w:p>
        </w:tc>
        <w:tc>
          <w:tcPr>
            <w:tcW w:w="1417" w:type="dxa"/>
            <w:vAlign w:val="center"/>
          </w:tcPr>
          <w:p w:rsidR="009261E9" w:rsidRPr="009D743B" w:rsidRDefault="009261E9" w:rsidP="00F43743">
            <w:pPr>
              <w:keepNext/>
              <w:keepLines/>
              <w:spacing w:before="40" w:after="40"/>
              <w:jc w:val="center"/>
              <w:rPr>
                <w:rFonts w:ascii="Arial Narrow" w:hAnsi="Arial Narrow"/>
                <w:b/>
                <w:sz w:val="20"/>
                <w:szCs w:val="20"/>
              </w:rPr>
            </w:pPr>
            <w:r w:rsidRPr="009D743B">
              <w:rPr>
                <w:rFonts w:ascii="Arial Narrow" w:hAnsi="Arial Narrow"/>
                <w:b/>
                <w:bCs/>
                <w:color w:val="000000"/>
                <w:sz w:val="20"/>
                <w:szCs w:val="20"/>
              </w:rPr>
              <w:t>Non-responder</w:t>
            </w:r>
          </w:p>
        </w:tc>
      </w:tr>
      <w:tr w:rsidR="00481659" w:rsidRPr="009D743B" w:rsidTr="00320D29">
        <w:tc>
          <w:tcPr>
            <w:tcW w:w="9100" w:type="dxa"/>
            <w:gridSpan w:val="7"/>
            <w:vAlign w:val="bottom"/>
          </w:tcPr>
          <w:p w:rsidR="00481659" w:rsidRPr="009D743B" w:rsidRDefault="000674AA" w:rsidP="00481659">
            <w:pPr>
              <w:keepNext/>
              <w:keepLines/>
              <w:spacing w:before="40" w:after="40"/>
              <w:jc w:val="both"/>
              <w:rPr>
                <w:rFonts w:ascii="Arial Narrow" w:hAnsi="Arial Narrow"/>
                <w:color w:val="000000"/>
                <w:sz w:val="20"/>
                <w:szCs w:val="20"/>
              </w:rPr>
            </w:pPr>
            <w:r w:rsidRPr="009D743B">
              <w:rPr>
                <w:rFonts w:ascii="Arial Narrow" w:hAnsi="Arial Narrow"/>
                <w:b/>
                <w:color w:val="000000"/>
                <w:sz w:val="20"/>
                <w:szCs w:val="20"/>
              </w:rPr>
              <w:t>Costs</w:t>
            </w:r>
            <w:r w:rsidR="003D0283" w:rsidRPr="009D743B">
              <w:rPr>
                <w:rFonts w:ascii="Arial Narrow" w:hAnsi="Arial Narrow"/>
                <w:b/>
                <w:color w:val="000000"/>
                <w:sz w:val="20"/>
                <w:szCs w:val="20"/>
              </w:rPr>
              <w:t xml:space="preserve"> (discounted over 20 years)</w:t>
            </w:r>
          </w:p>
        </w:tc>
      </w:tr>
      <w:tr w:rsidR="009261E9" w:rsidRPr="009D743B" w:rsidTr="00320D29">
        <w:tc>
          <w:tcPr>
            <w:tcW w:w="2518" w:type="dxa"/>
            <w:vAlign w:val="bottom"/>
          </w:tcPr>
          <w:p w:rsidR="000674AA" w:rsidRPr="009D743B" w:rsidRDefault="000674AA" w:rsidP="00DB1160">
            <w:pPr>
              <w:keepNext/>
              <w:keepLines/>
              <w:spacing w:before="40" w:after="40"/>
              <w:rPr>
                <w:rFonts w:ascii="Arial Narrow" w:hAnsi="Arial Narrow"/>
                <w:color w:val="000000"/>
                <w:sz w:val="20"/>
                <w:szCs w:val="20"/>
              </w:rPr>
            </w:pPr>
            <w:r w:rsidRPr="009D743B">
              <w:rPr>
                <w:rFonts w:ascii="Arial Narrow" w:hAnsi="Arial Narrow"/>
                <w:color w:val="000000"/>
                <w:sz w:val="20"/>
                <w:szCs w:val="20"/>
              </w:rPr>
              <w:t>Total</w:t>
            </w:r>
          </w:p>
        </w:tc>
        <w:tc>
          <w:tcPr>
            <w:tcW w:w="771" w:type="dxa"/>
            <w:vAlign w:val="bottom"/>
          </w:tcPr>
          <w:p w:rsidR="000674AA" w:rsidRPr="009D743B" w:rsidRDefault="000674AA"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w:t>
            </w:r>
            <w:r w:rsidR="0050211C">
              <w:rPr>
                <w:rFonts w:ascii="Arial Narrow" w:hAnsi="Arial Narrow"/>
                <w:noProof/>
                <w:color w:val="000000"/>
                <w:sz w:val="20"/>
                <w:szCs w:val="20"/>
                <w:highlight w:val="black"/>
              </w:rPr>
              <w:t>'''''''''''''''''''</w:t>
            </w:r>
          </w:p>
        </w:tc>
        <w:tc>
          <w:tcPr>
            <w:tcW w:w="992" w:type="dxa"/>
            <w:vAlign w:val="bottom"/>
          </w:tcPr>
          <w:p w:rsidR="000674AA" w:rsidRPr="009D743B" w:rsidRDefault="000674AA"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w:t>
            </w:r>
          </w:p>
        </w:tc>
        <w:tc>
          <w:tcPr>
            <w:tcW w:w="1417" w:type="dxa"/>
            <w:vAlign w:val="bottom"/>
          </w:tcPr>
          <w:p w:rsidR="000674AA" w:rsidRPr="009D743B" w:rsidRDefault="000674AA"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w:t>
            </w:r>
          </w:p>
        </w:tc>
        <w:tc>
          <w:tcPr>
            <w:tcW w:w="851" w:type="dxa"/>
            <w:vAlign w:val="bottom"/>
          </w:tcPr>
          <w:p w:rsidR="000674AA" w:rsidRPr="009D743B" w:rsidRDefault="000674AA"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w:t>
            </w:r>
            <w:r w:rsidR="0050211C">
              <w:rPr>
                <w:rFonts w:ascii="Arial Narrow" w:hAnsi="Arial Narrow"/>
                <w:noProof/>
                <w:color w:val="000000"/>
                <w:sz w:val="20"/>
                <w:szCs w:val="20"/>
                <w:highlight w:val="black"/>
              </w:rPr>
              <w:t>''''''''''''''''''''''</w:t>
            </w:r>
          </w:p>
        </w:tc>
        <w:tc>
          <w:tcPr>
            <w:tcW w:w="1134" w:type="dxa"/>
            <w:vAlign w:val="bottom"/>
          </w:tcPr>
          <w:p w:rsidR="000674AA" w:rsidRPr="009D743B" w:rsidRDefault="000674AA"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w:t>
            </w:r>
          </w:p>
        </w:tc>
        <w:tc>
          <w:tcPr>
            <w:tcW w:w="1417" w:type="dxa"/>
            <w:vAlign w:val="bottom"/>
          </w:tcPr>
          <w:p w:rsidR="000674AA" w:rsidRPr="009D743B" w:rsidRDefault="000674AA"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w:t>
            </w:r>
          </w:p>
        </w:tc>
      </w:tr>
      <w:tr w:rsidR="009261E9" w:rsidRPr="009D743B" w:rsidTr="00320D29">
        <w:tc>
          <w:tcPr>
            <w:tcW w:w="2518" w:type="dxa"/>
            <w:vAlign w:val="bottom"/>
          </w:tcPr>
          <w:p w:rsidR="00481659" w:rsidRPr="009D743B" w:rsidRDefault="00481659" w:rsidP="001866AA">
            <w:pPr>
              <w:keepNext/>
              <w:keepLines/>
              <w:spacing w:before="40" w:after="40"/>
              <w:rPr>
                <w:rFonts w:ascii="Arial Narrow" w:hAnsi="Arial Narrow"/>
                <w:color w:val="000000"/>
                <w:sz w:val="20"/>
                <w:szCs w:val="20"/>
              </w:rPr>
            </w:pPr>
            <w:r w:rsidRPr="009D743B">
              <w:rPr>
                <w:rFonts w:ascii="Arial Narrow" w:hAnsi="Arial Narrow"/>
                <w:color w:val="000000"/>
                <w:sz w:val="20"/>
                <w:szCs w:val="20"/>
              </w:rPr>
              <w:t xml:space="preserve">% at </w:t>
            </w:r>
            <w:r w:rsidR="001866AA" w:rsidRPr="009D743B">
              <w:rPr>
                <w:rFonts w:ascii="Arial Narrow" w:hAnsi="Arial Narrow"/>
                <w:color w:val="000000"/>
                <w:sz w:val="20"/>
                <w:szCs w:val="20"/>
              </w:rPr>
              <w:t>W</w:t>
            </w:r>
            <w:r w:rsidRPr="009D743B">
              <w:rPr>
                <w:rFonts w:ascii="Arial Narrow" w:hAnsi="Arial Narrow"/>
                <w:color w:val="000000"/>
                <w:sz w:val="20"/>
                <w:szCs w:val="20"/>
              </w:rPr>
              <w:t>eek 16</w:t>
            </w:r>
          </w:p>
        </w:tc>
        <w:tc>
          <w:tcPr>
            <w:tcW w:w="771" w:type="dxa"/>
            <w:vAlign w:val="bottom"/>
          </w:tcPr>
          <w:p w:rsidR="00481659" w:rsidRPr="009D743B" w:rsidRDefault="000674AA"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100%</w:t>
            </w:r>
          </w:p>
        </w:tc>
        <w:tc>
          <w:tcPr>
            <w:tcW w:w="992"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59%</w:t>
            </w:r>
          </w:p>
        </w:tc>
        <w:tc>
          <w:tcPr>
            <w:tcW w:w="1417"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41%</w:t>
            </w:r>
          </w:p>
        </w:tc>
        <w:tc>
          <w:tcPr>
            <w:tcW w:w="851" w:type="dxa"/>
            <w:vAlign w:val="bottom"/>
          </w:tcPr>
          <w:p w:rsidR="00481659" w:rsidRPr="009D743B" w:rsidRDefault="000674AA"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100%</w:t>
            </w:r>
          </w:p>
        </w:tc>
        <w:tc>
          <w:tcPr>
            <w:tcW w:w="1134" w:type="dxa"/>
            <w:vAlign w:val="bottom"/>
          </w:tcPr>
          <w:p w:rsidR="00481659" w:rsidRPr="009D743B" w:rsidRDefault="00481659" w:rsidP="00AB007B">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2</w:t>
            </w:r>
            <w:r w:rsidR="00AB007B" w:rsidRPr="009D743B">
              <w:rPr>
                <w:rFonts w:ascii="Arial Narrow" w:hAnsi="Arial Narrow"/>
                <w:color w:val="000000"/>
                <w:sz w:val="20"/>
                <w:szCs w:val="20"/>
              </w:rPr>
              <w:t>9</w:t>
            </w:r>
            <w:r w:rsidRPr="009D743B">
              <w:rPr>
                <w:rFonts w:ascii="Arial Narrow" w:hAnsi="Arial Narrow"/>
                <w:color w:val="000000"/>
                <w:sz w:val="20"/>
                <w:szCs w:val="20"/>
              </w:rPr>
              <w:t>%</w:t>
            </w:r>
          </w:p>
        </w:tc>
        <w:tc>
          <w:tcPr>
            <w:tcW w:w="1417" w:type="dxa"/>
            <w:vAlign w:val="bottom"/>
          </w:tcPr>
          <w:p w:rsidR="00481659" w:rsidRPr="009D743B" w:rsidRDefault="00481659" w:rsidP="00AB007B">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71%</w:t>
            </w:r>
          </w:p>
        </w:tc>
      </w:tr>
      <w:tr w:rsidR="009261E9" w:rsidRPr="009D743B" w:rsidTr="00320D29">
        <w:tc>
          <w:tcPr>
            <w:tcW w:w="2518" w:type="dxa"/>
            <w:vAlign w:val="bottom"/>
          </w:tcPr>
          <w:p w:rsidR="00481659" w:rsidRPr="009D743B" w:rsidRDefault="00481659" w:rsidP="00481659">
            <w:pPr>
              <w:keepNext/>
              <w:keepLines/>
              <w:spacing w:before="40" w:after="40"/>
              <w:rPr>
                <w:rFonts w:ascii="Arial Narrow" w:hAnsi="Arial Narrow"/>
                <w:color w:val="000000"/>
                <w:sz w:val="20"/>
                <w:szCs w:val="20"/>
              </w:rPr>
            </w:pPr>
            <w:r w:rsidRPr="009D743B">
              <w:rPr>
                <w:rFonts w:ascii="Arial Narrow" w:hAnsi="Arial Narrow"/>
                <w:color w:val="000000"/>
                <w:sz w:val="20"/>
                <w:szCs w:val="20"/>
              </w:rPr>
              <w:t>Transition to non-responder</w:t>
            </w:r>
          </w:p>
          <w:p w:rsidR="00481659" w:rsidRPr="009D743B" w:rsidRDefault="00481659" w:rsidP="00B876BB">
            <w:pPr>
              <w:pStyle w:val="ListParagraph"/>
              <w:keepNext/>
              <w:keepLines/>
              <w:numPr>
                <w:ilvl w:val="0"/>
                <w:numId w:val="9"/>
              </w:numPr>
              <w:spacing w:before="40" w:after="40"/>
              <w:ind w:left="142" w:hanging="142"/>
              <w:rPr>
                <w:rFonts w:ascii="Arial Narrow" w:hAnsi="Arial Narrow"/>
                <w:color w:val="000000"/>
                <w:sz w:val="20"/>
                <w:szCs w:val="20"/>
              </w:rPr>
            </w:pPr>
            <w:r w:rsidRPr="009D743B">
              <w:rPr>
                <w:rFonts w:ascii="Arial Narrow" w:hAnsi="Arial Narrow"/>
                <w:color w:val="000000"/>
                <w:sz w:val="20"/>
                <w:szCs w:val="20"/>
              </w:rPr>
              <w:t>at Week 52</w:t>
            </w:r>
          </w:p>
          <w:p w:rsidR="00481659" w:rsidRPr="009D743B" w:rsidRDefault="00481659" w:rsidP="00B876BB">
            <w:pPr>
              <w:pStyle w:val="ListParagraph"/>
              <w:keepNext/>
              <w:keepLines/>
              <w:numPr>
                <w:ilvl w:val="0"/>
                <w:numId w:val="9"/>
              </w:numPr>
              <w:spacing w:before="40" w:after="40"/>
              <w:ind w:left="142" w:hanging="142"/>
              <w:rPr>
                <w:rFonts w:ascii="Arial Narrow" w:hAnsi="Arial Narrow"/>
                <w:color w:val="000000"/>
                <w:sz w:val="20"/>
                <w:szCs w:val="20"/>
              </w:rPr>
            </w:pPr>
            <w:r w:rsidRPr="009D743B">
              <w:rPr>
                <w:rFonts w:ascii="Arial Narrow" w:hAnsi="Arial Narrow"/>
                <w:color w:val="000000"/>
                <w:sz w:val="20"/>
                <w:szCs w:val="20"/>
              </w:rPr>
              <w:t>subsequent years</w:t>
            </w:r>
          </w:p>
        </w:tc>
        <w:tc>
          <w:tcPr>
            <w:tcW w:w="771"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p>
        </w:tc>
        <w:tc>
          <w:tcPr>
            <w:tcW w:w="992" w:type="dxa"/>
            <w:vAlign w:val="bottom"/>
          </w:tcPr>
          <w:p w:rsidR="00481659" w:rsidRPr="009D743B" w:rsidRDefault="0050211C" w:rsidP="00F43743">
            <w:pPr>
              <w:keepNext/>
              <w:keepLines/>
              <w:spacing w:before="40" w:after="40"/>
              <w:jc w:val="center"/>
              <w:rPr>
                <w:rFonts w:ascii="Arial Narrow" w:hAnsi="Arial Narrow"/>
                <w:color w:val="000000"/>
                <w:sz w:val="20"/>
                <w:szCs w:val="20"/>
                <w:vertAlign w:val="superscript"/>
              </w:rPr>
            </w:pPr>
            <w:r>
              <w:rPr>
                <w:rFonts w:ascii="Arial Narrow" w:hAnsi="Arial Narrow"/>
                <w:noProof/>
                <w:color w:val="000000"/>
                <w:sz w:val="20"/>
                <w:szCs w:val="20"/>
                <w:highlight w:val="black"/>
              </w:rPr>
              <w:t>'''''''''</w:t>
            </w:r>
            <w:r w:rsidR="00481659" w:rsidRPr="009D743B">
              <w:rPr>
                <w:rFonts w:ascii="Arial Narrow" w:hAnsi="Arial Narrow"/>
                <w:color w:val="000000"/>
                <w:sz w:val="20"/>
                <w:szCs w:val="20"/>
              </w:rPr>
              <w:t xml:space="preserve">% </w:t>
            </w:r>
            <w:r w:rsidR="00481659" w:rsidRPr="009D743B">
              <w:rPr>
                <w:rFonts w:ascii="Arial Narrow" w:hAnsi="Arial Narrow"/>
                <w:color w:val="000000"/>
                <w:sz w:val="20"/>
                <w:szCs w:val="20"/>
                <w:vertAlign w:val="superscript"/>
              </w:rPr>
              <w:t>a</w:t>
            </w:r>
          </w:p>
          <w:p w:rsidR="00481659" w:rsidRPr="009D743B" w:rsidRDefault="0050211C" w:rsidP="00F43743">
            <w:pPr>
              <w:keepNext/>
              <w:keepLines/>
              <w:spacing w:before="40" w:after="40"/>
              <w:jc w:val="center"/>
              <w:rPr>
                <w:rFonts w:ascii="Arial Narrow" w:hAnsi="Arial Narrow"/>
                <w:color w:val="000000"/>
                <w:sz w:val="20"/>
                <w:szCs w:val="20"/>
                <w:vertAlign w:val="superscript"/>
              </w:rPr>
            </w:pPr>
            <w:r>
              <w:rPr>
                <w:rFonts w:ascii="Arial Narrow" w:hAnsi="Arial Narrow"/>
                <w:noProof/>
                <w:color w:val="000000"/>
                <w:sz w:val="20"/>
                <w:szCs w:val="20"/>
                <w:highlight w:val="black"/>
              </w:rPr>
              <w:t>''''''''</w:t>
            </w:r>
            <w:r w:rsidR="00481659" w:rsidRPr="009D743B">
              <w:rPr>
                <w:rFonts w:ascii="Arial Narrow" w:hAnsi="Arial Narrow"/>
                <w:color w:val="000000"/>
                <w:sz w:val="20"/>
                <w:szCs w:val="20"/>
              </w:rPr>
              <w:t xml:space="preserve">% </w:t>
            </w:r>
            <w:r w:rsidR="00481659" w:rsidRPr="009D743B">
              <w:rPr>
                <w:rFonts w:ascii="Arial Narrow" w:hAnsi="Arial Narrow"/>
                <w:color w:val="000000"/>
                <w:sz w:val="20"/>
                <w:szCs w:val="20"/>
                <w:vertAlign w:val="superscript"/>
              </w:rPr>
              <w:t>a</w:t>
            </w:r>
          </w:p>
        </w:tc>
        <w:tc>
          <w:tcPr>
            <w:tcW w:w="1417"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p>
        </w:tc>
        <w:tc>
          <w:tcPr>
            <w:tcW w:w="851"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p>
        </w:tc>
        <w:tc>
          <w:tcPr>
            <w:tcW w:w="1134"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p>
          <w:p w:rsidR="00481659" w:rsidRPr="009D743B" w:rsidRDefault="0050211C" w:rsidP="00F43743">
            <w:pPr>
              <w:keepNext/>
              <w:keepLines/>
              <w:spacing w:before="40" w:after="40"/>
              <w:jc w:val="center"/>
              <w:rPr>
                <w:rFonts w:ascii="Arial Narrow" w:hAnsi="Arial Narrow"/>
                <w:color w:val="000000"/>
                <w:sz w:val="20"/>
                <w:szCs w:val="20"/>
                <w:vertAlign w:val="superscript"/>
              </w:rPr>
            </w:pPr>
            <w:r>
              <w:rPr>
                <w:rFonts w:ascii="Arial Narrow" w:hAnsi="Arial Narrow"/>
                <w:noProof/>
                <w:color w:val="000000"/>
                <w:sz w:val="20"/>
                <w:szCs w:val="20"/>
                <w:highlight w:val="black"/>
              </w:rPr>
              <w:t>''''''''''</w:t>
            </w:r>
            <w:r w:rsidR="00481659" w:rsidRPr="009D743B">
              <w:rPr>
                <w:rFonts w:ascii="Arial Narrow" w:hAnsi="Arial Narrow"/>
                <w:color w:val="000000"/>
                <w:sz w:val="20"/>
                <w:szCs w:val="20"/>
              </w:rPr>
              <w:t xml:space="preserve">% at </w:t>
            </w:r>
            <w:r w:rsidR="009261E9" w:rsidRPr="009D743B">
              <w:rPr>
                <w:rFonts w:ascii="Arial Narrow" w:hAnsi="Arial Narrow"/>
                <w:color w:val="000000"/>
                <w:sz w:val="20"/>
                <w:szCs w:val="20"/>
              </w:rPr>
              <w:br/>
            </w:r>
            <w:r w:rsidR="00481659" w:rsidRPr="009D743B">
              <w:rPr>
                <w:rFonts w:ascii="Arial Narrow" w:hAnsi="Arial Narrow"/>
                <w:color w:val="000000"/>
                <w:sz w:val="20"/>
                <w:szCs w:val="20"/>
              </w:rPr>
              <w:t xml:space="preserve">Week 52 </w:t>
            </w:r>
            <w:r w:rsidR="00481659" w:rsidRPr="009D743B">
              <w:rPr>
                <w:rFonts w:ascii="Arial Narrow" w:hAnsi="Arial Narrow"/>
                <w:color w:val="000000"/>
                <w:sz w:val="20"/>
                <w:szCs w:val="20"/>
                <w:vertAlign w:val="superscript"/>
              </w:rPr>
              <w:t>b</w:t>
            </w:r>
          </w:p>
        </w:tc>
        <w:tc>
          <w:tcPr>
            <w:tcW w:w="1417"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p>
        </w:tc>
      </w:tr>
      <w:tr w:rsidR="009261E9" w:rsidRPr="009D743B" w:rsidTr="00320D29">
        <w:tc>
          <w:tcPr>
            <w:tcW w:w="2518" w:type="dxa"/>
            <w:vAlign w:val="bottom"/>
          </w:tcPr>
          <w:p w:rsidR="00481659" w:rsidRPr="009D743B" w:rsidRDefault="00481659" w:rsidP="00481659">
            <w:pPr>
              <w:keepNext/>
              <w:keepLines/>
              <w:spacing w:before="40" w:after="40"/>
              <w:rPr>
                <w:rFonts w:ascii="Arial Narrow" w:hAnsi="Arial Narrow"/>
                <w:color w:val="000000"/>
                <w:sz w:val="20"/>
                <w:szCs w:val="20"/>
              </w:rPr>
            </w:pPr>
            <w:r w:rsidRPr="009D743B">
              <w:rPr>
                <w:rFonts w:ascii="Arial Narrow" w:hAnsi="Arial Narrow"/>
                <w:color w:val="000000"/>
                <w:sz w:val="20"/>
                <w:szCs w:val="20"/>
              </w:rPr>
              <w:t>Avg. no. injections per patient</w:t>
            </w:r>
          </w:p>
        </w:tc>
        <w:tc>
          <w:tcPr>
            <w:tcW w:w="771"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2" w:type="dxa"/>
            <w:vAlign w:val="bottom"/>
          </w:tcPr>
          <w:p w:rsidR="00481659" w:rsidRPr="009D743B" w:rsidRDefault="0050211C" w:rsidP="00F43743">
            <w:pPr>
              <w:keepNext/>
              <w:keepLines/>
              <w:spacing w:before="40" w:after="40"/>
              <w:jc w:val="center"/>
              <w:rPr>
                <w:rFonts w:ascii="Arial Narrow" w:hAnsi="Arial Narrow"/>
                <w:color w:val="000000"/>
                <w:sz w:val="20"/>
                <w:szCs w:val="20"/>
                <w:highlight w:val="yellow"/>
                <w:vertAlign w:val="superscript"/>
              </w:rPr>
            </w:pPr>
            <w:r>
              <w:rPr>
                <w:rFonts w:ascii="Arial Narrow" w:hAnsi="Arial Narrow"/>
                <w:noProof/>
                <w:color w:val="000000"/>
                <w:sz w:val="20"/>
                <w:szCs w:val="20"/>
                <w:highlight w:val="black"/>
              </w:rPr>
              <w:t>''''''''</w:t>
            </w:r>
            <w:r w:rsidR="00481659" w:rsidRPr="009D743B">
              <w:rPr>
                <w:rFonts w:ascii="Arial Narrow" w:hAnsi="Arial Narrow"/>
                <w:color w:val="000000"/>
                <w:sz w:val="20"/>
                <w:szCs w:val="20"/>
              </w:rPr>
              <w:t xml:space="preserve"> </w:t>
            </w:r>
            <w:r w:rsidR="00481659" w:rsidRPr="009D743B">
              <w:rPr>
                <w:rFonts w:ascii="Arial Narrow" w:hAnsi="Arial Narrow"/>
                <w:color w:val="000000"/>
                <w:sz w:val="20"/>
                <w:szCs w:val="20"/>
                <w:vertAlign w:val="superscript"/>
              </w:rPr>
              <w:t>c</w:t>
            </w:r>
          </w:p>
        </w:tc>
        <w:tc>
          <w:tcPr>
            <w:tcW w:w="1417"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51"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w:t>
            </w:r>
          </w:p>
        </w:tc>
        <w:tc>
          <w:tcPr>
            <w:tcW w:w="1134"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w:t>
            </w:r>
          </w:p>
        </w:tc>
        <w:tc>
          <w:tcPr>
            <w:tcW w:w="1417"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w:t>
            </w:r>
          </w:p>
        </w:tc>
      </w:tr>
      <w:tr w:rsidR="00481659" w:rsidRPr="009D743B" w:rsidTr="00320D29">
        <w:tc>
          <w:tcPr>
            <w:tcW w:w="9100" w:type="dxa"/>
            <w:gridSpan w:val="7"/>
            <w:vAlign w:val="bottom"/>
          </w:tcPr>
          <w:p w:rsidR="00481659" w:rsidRPr="009D743B" w:rsidRDefault="00481659" w:rsidP="00481659">
            <w:pPr>
              <w:keepNext/>
              <w:keepLines/>
              <w:spacing w:before="40" w:after="40"/>
              <w:rPr>
                <w:rFonts w:ascii="Arial Narrow" w:hAnsi="Arial Narrow"/>
                <w:b/>
                <w:color w:val="000000"/>
                <w:sz w:val="20"/>
                <w:szCs w:val="20"/>
              </w:rPr>
            </w:pPr>
            <w:r w:rsidRPr="009D743B">
              <w:rPr>
                <w:rFonts w:ascii="Arial Narrow" w:hAnsi="Arial Narrow"/>
                <w:b/>
                <w:color w:val="000000"/>
                <w:sz w:val="20"/>
                <w:szCs w:val="20"/>
              </w:rPr>
              <w:t>Levels of health within the model (impacts utility and disease management costs)</w:t>
            </w:r>
          </w:p>
        </w:tc>
      </w:tr>
      <w:tr w:rsidR="00481659" w:rsidRPr="009D743B" w:rsidTr="00320D29">
        <w:tc>
          <w:tcPr>
            <w:tcW w:w="2518" w:type="dxa"/>
            <w:vAlign w:val="bottom"/>
          </w:tcPr>
          <w:p w:rsidR="00481659" w:rsidRPr="009D743B" w:rsidRDefault="00481659" w:rsidP="00481659">
            <w:pPr>
              <w:keepNext/>
              <w:keepLines/>
              <w:spacing w:before="40" w:after="40"/>
              <w:rPr>
                <w:rFonts w:ascii="Arial Narrow" w:hAnsi="Arial Narrow"/>
                <w:color w:val="000000"/>
                <w:sz w:val="20"/>
                <w:szCs w:val="20"/>
                <w:vertAlign w:val="superscript"/>
              </w:rPr>
            </w:pPr>
            <w:r w:rsidRPr="009D743B">
              <w:rPr>
                <w:rFonts w:ascii="Arial Narrow" w:hAnsi="Arial Narrow"/>
                <w:color w:val="000000"/>
                <w:sz w:val="20"/>
                <w:szCs w:val="20"/>
              </w:rPr>
              <w:t>Baseline utility</w:t>
            </w:r>
            <w:r w:rsidR="0069278C" w:rsidRPr="009D743B">
              <w:rPr>
                <w:rFonts w:ascii="Arial Narrow" w:hAnsi="Arial Narrow"/>
                <w:color w:val="000000"/>
                <w:sz w:val="20"/>
                <w:szCs w:val="20"/>
              </w:rPr>
              <w:t xml:space="preserve"> </w:t>
            </w:r>
            <w:r w:rsidR="0069278C" w:rsidRPr="009D743B">
              <w:rPr>
                <w:rFonts w:ascii="Arial Narrow" w:hAnsi="Arial Narrow"/>
                <w:color w:val="000000"/>
                <w:sz w:val="20"/>
                <w:szCs w:val="20"/>
                <w:vertAlign w:val="superscript"/>
              </w:rPr>
              <w:t>h</w:t>
            </w:r>
          </w:p>
        </w:tc>
        <w:tc>
          <w:tcPr>
            <w:tcW w:w="771"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2" w:type="dxa"/>
            <w:vAlign w:val="bottom"/>
          </w:tcPr>
          <w:p w:rsidR="00481659" w:rsidRPr="009D743B" w:rsidRDefault="0050211C" w:rsidP="00F43743">
            <w:pPr>
              <w:keepNext/>
              <w:keepLines/>
              <w:spacing w:before="40" w:after="40"/>
              <w:jc w:val="center"/>
              <w:rPr>
                <w:rFonts w:ascii="Arial Narrow" w:hAnsi="Arial Narrow"/>
                <w:color w:val="000000"/>
                <w:sz w:val="20"/>
                <w:szCs w:val="20"/>
                <w:vertAlign w:val="superscript"/>
              </w:rPr>
            </w:pPr>
            <w:r>
              <w:rPr>
                <w:rFonts w:ascii="Arial Narrow" w:hAnsi="Arial Narrow"/>
                <w:noProof/>
                <w:color w:val="000000"/>
                <w:sz w:val="20"/>
                <w:szCs w:val="20"/>
                <w:highlight w:val="black"/>
              </w:rPr>
              <w:t>'''''''''''</w:t>
            </w:r>
            <w:r w:rsidR="00481659" w:rsidRPr="009D743B">
              <w:rPr>
                <w:rFonts w:ascii="Arial Narrow" w:hAnsi="Arial Narrow"/>
                <w:color w:val="000000"/>
                <w:sz w:val="20"/>
                <w:szCs w:val="20"/>
              </w:rPr>
              <w:t xml:space="preserve"> </w:t>
            </w:r>
            <w:r w:rsidR="00481659" w:rsidRPr="009D743B">
              <w:rPr>
                <w:rFonts w:ascii="Arial Narrow" w:hAnsi="Arial Narrow"/>
                <w:color w:val="000000"/>
                <w:sz w:val="20"/>
                <w:szCs w:val="20"/>
                <w:vertAlign w:val="superscript"/>
              </w:rPr>
              <w:t>d</w:t>
            </w:r>
          </w:p>
        </w:tc>
        <w:tc>
          <w:tcPr>
            <w:tcW w:w="1417"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vertAlign w:val="superscript"/>
              </w:rPr>
            </w:pPr>
            <w:r>
              <w:rPr>
                <w:rFonts w:ascii="Arial Narrow" w:hAnsi="Arial Narrow"/>
                <w:noProof/>
                <w:color w:val="000000"/>
                <w:sz w:val="20"/>
                <w:szCs w:val="20"/>
                <w:highlight w:val="black"/>
              </w:rPr>
              <w:t>''''''''''</w:t>
            </w:r>
          </w:p>
        </w:tc>
        <w:tc>
          <w:tcPr>
            <w:tcW w:w="851"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34"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481659" w:rsidRPr="009D743B" w:rsidTr="00320D29">
        <w:tc>
          <w:tcPr>
            <w:tcW w:w="2518" w:type="dxa"/>
            <w:vAlign w:val="bottom"/>
          </w:tcPr>
          <w:p w:rsidR="00481659" w:rsidRPr="009D743B" w:rsidRDefault="00481659" w:rsidP="00481659">
            <w:pPr>
              <w:keepNext/>
              <w:keepLines/>
              <w:spacing w:before="40" w:after="40"/>
              <w:rPr>
                <w:rFonts w:ascii="Arial Narrow" w:hAnsi="Arial Narrow"/>
                <w:color w:val="000000"/>
                <w:sz w:val="20"/>
                <w:szCs w:val="20"/>
              </w:rPr>
            </w:pPr>
            <w:r w:rsidRPr="009D743B">
              <w:rPr>
                <w:rFonts w:ascii="Arial Narrow" w:hAnsi="Arial Narrow"/>
                <w:color w:val="000000"/>
                <w:sz w:val="20"/>
                <w:szCs w:val="20"/>
              </w:rPr>
              <w:t>Mean change in utility at Week 16</w:t>
            </w:r>
          </w:p>
        </w:tc>
        <w:tc>
          <w:tcPr>
            <w:tcW w:w="771"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2"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51"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34"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481659" w:rsidRPr="009D743B" w:rsidTr="00320D29">
        <w:tc>
          <w:tcPr>
            <w:tcW w:w="2518" w:type="dxa"/>
            <w:vAlign w:val="bottom"/>
          </w:tcPr>
          <w:p w:rsidR="00481659" w:rsidRPr="009D743B" w:rsidRDefault="00481659" w:rsidP="00481659">
            <w:pPr>
              <w:keepNext/>
              <w:keepLines/>
              <w:spacing w:before="40" w:after="40"/>
              <w:rPr>
                <w:rFonts w:ascii="Arial Narrow" w:hAnsi="Arial Narrow"/>
                <w:color w:val="000000"/>
                <w:sz w:val="20"/>
                <w:szCs w:val="20"/>
              </w:rPr>
            </w:pPr>
            <w:r w:rsidRPr="009D743B">
              <w:rPr>
                <w:rFonts w:ascii="Arial Narrow" w:hAnsi="Arial Narrow"/>
                <w:color w:val="000000"/>
                <w:sz w:val="20"/>
                <w:szCs w:val="20"/>
              </w:rPr>
              <w:t>Baseline BASFI score</w:t>
            </w:r>
          </w:p>
        </w:tc>
        <w:tc>
          <w:tcPr>
            <w:tcW w:w="771"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p>
        </w:tc>
        <w:tc>
          <w:tcPr>
            <w:tcW w:w="992"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r w:rsidRPr="009D743B">
              <w:rPr>
                <w:rFonts w:ascii="Arial Narrow" w:hAnsi="Arial Narrow"/>
                <w:color w:val="000000"/>
                <w:sz w:val="20"/>
                <w:szCs w:val="20"/>
              </w:rPr>
              <w:t>4.9</w:t>
            </w:r>
          </w:p>
        </w:tc>
        <w:tc>
          <w:tcPr>
            <w:tcW w:w="1417"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51" w:type="dxa"/>
            <w:vAlign w:val="bottom"/>
          </w:tcPr>
          <w:p w:rsidR="00481659" w:rsidRPr="0050211C" w:rsidRDefault="00481659" w:rsidP="00F43743">
            <w:pPr>
              <w:keepNext/>
              <w:keepLines/>
              <w:spacing w:before="40" w:after="40"/>
              <w:jc w:val="center"/>
              <w:rPr>
                <w:rFonts w:ascii="Arial Narrow" w:hAnsi="Arial Narrow"/>
                <w:color w:val="000000"/>
                <w:sz w:val="20"/>
                <w:szCs w:val="20"/>
              </w:rPr>
            </w:pPr>
          </w:p>
        </w:tc>
        <w:tc>
          <w:tcPr>
            <w:tcW w:w="1134"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481659" w:rsidRPr="009D743B" w:rsidTr="00320D29">
        <w:tc>
          <w:tcPr>
            <w:tcW w:w="2518" w:type="dxa"/>
            <w:vAlign w:val="bottom"/>
          </w:tcPr>
          <w:p w:rsidR="00481659" w:rsidRPr="009D743B" w:rsidRDefault="00481659" w:rsidP="00481659">
            <w:pPr>
              <w:keepNext/>
              <w:keepLines/>
              <w:spacing w:before="40" w:after="40"/>
              <w:rPr>
                <w:rFonts w:ascii="Arial Narrow" w:hAnsi="Arial Narrow"/>
                <w:color w:val="000000"/>
                <w:sz w:val="20"/>
                <w:szCs w:val="20"/>
              </w:rPr>
            </w:pPr>
            <w:r w:rsidRPr="009D743B">
              <w:rPr>
                <w:rFonts w:ascii="Arial Narrow" w:hAnsi="Arial Narrow"/>
                <w:color w:val="000000"/>
                <w:sz w:val="20"/>
                <w:szCs w:val="20"/>
              </w:rPr>
              <w:t>Annual progression of BASFI score</w:t>
            </w:r>
          </w:p>
        </w:tc>
        <w:tc>
          <w:tcPr>
            <w:tcW w:w="771" w:type="dxa"/>
            <w:vAlign w:val="bottom"/>
          </w:tcPr>
          <w:p w:rsidR="00481659" w:rsidRPr="009D743B" w:rsidRDefault="00481659" w:rsidP="00F43743">
            <w:pPr>
              <w:keepNext/>
              <w:keepLines/>
              <w:spacing w:before="40" w:after="40"/>
              <w:jc w:val="center"/>
              <w:rPr>
                <w:rFonts w:ascii="Arial Narrow" w:hAnsi="Arial Narrow"/>
                <w:color w:val="000000"/>
                <w:sz w:val="20"/>
                <w:szCs w:val="20"/>
              </w:rPr>
            </w:pPr>
          </w:p>
        </w:tc>
        <w:tc>
          <w:tcPr>
            <w:tcW w:w="992" w:type="dxa"/>
            <w:vAlign w:val="bottom"/>
          </w:tcPr>
          <w:p w:rsidR="00481659" w:rsidRPr="009D743B" w:rsidRDefault="0050211C" w:rsidP="00F43743">
            <w:pPr>
              <w:keepNext/>
              <w:keepLines/>
              <w:spacing w:before="40" w:after="40"/>
              <w:jc w:val="center"/>
              <w:rPr>
                <w:rFonts w:ascii="Arial Narrow" w:hAnsi="Arial Narrow"/>
                <w:color w:val="000000"/>
                <w:sz w:val="20"/>
                <w:szCs w:val="20"/>
                <w:vertAlign w:val="superscript"/>
              </w:rPr>
            </w:pPr>
            <w:r>
              <w:rPr>
                <w:rFonts w:ascii="Arial Narrow" w:hAnsi="Arial Narrow"/>
                <w:noProof/>
                <w:color w:val="000000"/>
                <w:sz w:val="20"/>
                <w:szCs w:val="20"/>
                <w:highlight w:val="black"/>
              </w:rPr>
              <w:t>''''''''''''''</w:t>
            </w:r>
            <w:r w:rsidR="00481659" w:rsidRPr="009D743B">
              <w:rPr>
                <w:rFonts w:ascii="Arial Narrow" w:hAnsi="Arial Narrow"/>
                <w:color w:val="000000"/>
                <w:sz w:val="20"/>
                <w:szCs w:val="20"/>
              </w:rPr>
              <w:t xml:space="preserve"> </w:t>
            </w:r>
            <w:r w:rsidR="00481659" w:rsidRPr="009D743B">
              <w:rPr>
                <w:rFonts w:ascii="Arial Narrow" w:hAnsi="Arial Narrow"/>
                <w:color w:val="000000"/>
                <w:sz w:val="20"/>
                <w:szCs w:val="20"/>
                <w:vertAlign w:val="superscript"/>
              </w:rPr>
              <w:t>e</w:t>
            </w:r>
          </w:p>
        </w:tc>
        <w:tc>
          <w:tcPr>
            <w:tcW w:w="1417"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51" w:type="dxa"/>
            <w:vAlign w:val="bottom"/>
          </w:tcPr>
          <w:p w:rsidR="00481659" w:rsidRPr="0050211C" w:rsidRDefault="00481659" w:rsidP="00F43743">
            <w:pPr>
              <w:keepNext/>
              <w:keepLines/>
              <w:spacing w:before="40" w:after="40"/>
              <w:jc w:val="center"/>
              <w:rPr>
                <w:rFonts w:ascii="Arial Narrow" w:hAnsi="Arial Narrow"/>
                <w:color w:val="000000"/>
                <w:sz w:val="20"/>
                <w:szCs w:val="20"/>
              </w:rPr>
            </w:pPr>
          </w:p>
        </w:tc>
        <w:tc>
          <w:tcPr>
            <w:tcW w:w="1134"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481659" w:rsidRPr="009D743B" w:rsidTr="00320D29">
        <w:tc>
          <w:tcPr>
            <w:tcW w:w="9100" w:type="dxa"/>
            <w:gridSpan w:val="7"/>
            <w:vAlign w:val="bottom"/>
          </w:tcPr>
          <w:p w:rsidR="00481659" w:rsidRPr="009D743B" w:rsidRDefault="00481659" w:rsidP="00481659">
            <w:pPr>
              <w:keepNext/>
              <w:keepLines/>
              <w:spacing w:before="40" w:after="40"/>
              <w:rPr>
                <w:rFonts w:ascii="Arial Narrow" w:hAnsi="Arial Narrow"/>
                <w:b/>
                <w:color w:val="000000"/>
                <w:sz w:val="20"/>
                <w:szCs w:val="20"/>
              </w:rPr>
            </w:pPr>
            <w:r w:rsidRPr="009D743B">
              <w:rPr>
                <w:rFonts w:ascii="Arial Narrow" w:hAnsi="Arial Narrow"/>
                <w:b/>
                <w:color w:val="000000"/>
                <w:sz w:val="20"/>
                <w:szCs w:val="20"/>
              </w:rPr>
              <w:t>Utility gains in model (based on undiscounted results)</w:t>
            </w:r>
            <w:r w:rsidR="00687327" w:rsidRPr="009D743B">
              <w:rPr>
                <w:rFonts w:ascii="Arial Narrow" w:hAnsi="Arial Narrow"/>
                <w:b/>
                <w:color w:val="000000"/>
                <w:sz w:val="20"/>
                <w:szCs w:val="20"/>
              </w:rPr>
              <w:t xml:space="preserve"> </w:t>
            </w:r>
            <w:r w:rsidR="00687327" w:rsidRPr="009D743B">
              <w:rPr>
                <w:rFonts w:ascii="Arial Narrow" w:hAnsi="Arial Narrow"/>
                <w:color w:val="000000"/>
                <w:sz w:val="20"/>
                <w:szCs w:val="20"/>
                <w:vertAlign w:val="superscript"/>
              </w:rPr>
              <w:t>f</w:t>
            </w:r>
          </w:p>
        </w:tc>
      </w:tr>
      <w:tr w:rsidR="00481659" w:rsidRPr="009D743B" w:rsidTr="00320D29">
        <w:tc>
          <w:tcPr>
            <w:tcW w:w="2518" w:type="dxa"/>
            <w:vAlign w:val="bottom"/>
          </w:tcPr>
          <w:p w:rsidR="00481659" w:rsidRPr="009D743B" w:rsidRDefault="00481659" w:rsidP="00481659">
            <w:pPr>
              <w:keepNext/>
              <w:keepLines/>
              <w:spacing w:before="40" w:after="40"/>
              <w:rPr>
                <w:rFonts w:ascii="Arial Narrow" w:hAnsi="Arial Narrow"/>
                <w:sz w:val="20"/>
                <w:szCs w:val="20"/>
              </w:rPr>
            </w:pPr>
            <w:r w:rsidRPr="009D743B">
              <w:rPr>
                <w:rFonts w:ascii="Arial Narrow" w:hAnsi="Arial Narrow"/>
                <w:color w:val="000000"/>
                <w:sz w:val="20"/>
                <w:szCs w:val="20"/>
              </w:rPr>
              <w:t>Life years</w:t>
            </w:r>
          </w:p>
        </w:tc>
        <w:tc>
          <w:tcPr>
            <w:tcW w:w="771"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51"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81659" w:rsidRPr="009D743B" w:rsidTr="00320D29">
        <w:tc>
          <w:tcPr>
            <w:tcW w:w="2518" w:type="dxa"/>
            <w:vAlign w:val="bottom"/>
          </w:tcPr>
          <w:p w:rsidR="00481659" w:rsidRPr="009D743B" w:rsidRDefault="00481659" w:rsidP="00481659">
            <w:pPr>
              <w:keepNext/>
              <w:keepLines/>
              <w:spacing w:before="40" w:after="40"/>
              <w:rPr>
                <w:rFonts w:ascii="Arial Narrow" w:hAnsi="Arial Narrow"/>
                <w:sz w:val="20"/>
                <w:szCs w:val="20"/>
              </w:rPr>
            </w:pPr>
            <w:r w:rsidRPr="009D743B">
              <w:rPr>
                <w:rFonts w:ascii="Arial Narrow" w:hAnsi="Arial Narrow"/>
                <w:color w:val="000000"/>
                <w:sz w:val="20"/>
                <w:szCs w:val="20"/>
              </w:rPr>
              <w:t>QALYs</w:t>
            </w:r>
          </w:p>
        </w:tc>
        <w:tc>
          <w:tcPr>
            <w:tcW w:w="771"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51"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81659" w:rsidRPr="009D743B" w:rsidTr="00320D29">
        <w:tc>
          <w:tcPr>
            <w:tcW w:w="2518" w:type="dxa"/>
            <w:vAlign w:val="bottom"/>
          </w:tcPr>
          <w:p w:rsidR="00481659" w:rsidRPr="009D743B" w:rsidRDefault="00481659" w:rsidP="00481659">
            <w:pPr>
              <w:keepNext/>
              <w:keepLines/>
              <w:spacing w:before="40" w:after="40"/>
              <w:rPr>
                <w:rFonts w:ascii="Arial Narrow" w:hAnsi="Arial Narrow"/>
                <w:sz w:val="20"/>
                <w:szCs w:val="20"/>
              </w:rPr>
            </w:pPr>
            <w:r w:rsidRPr="009D743B">
              <w:rPr>
                <w:rFonts w:ascii="Arial Narrow" w:hAnsi="Arial Narrow"/>
                <w:color w:val="000000"/>
                <w:sz w:val="20"/>
                <w:szCs w:val="20"/>
              </w:rPr>
              <w:t>Average utility</w:t>
            </w:r>
          </w:p>
        </w:tc>
        <w:tc>
          <w:tcPr>
            <w:tcW w:w="771"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51"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7" w:type="dxa"/>
            <w:vAlign w:val="bottom"/>
          </w:tcPr>
          <w:p w:rsidR="00481659" w:rsidRPr="0050211C" w:rsidRDefault="0050211C" w:rsidP="00F43743">
            <w:pPr>
              <w:keepNext/>
              <w:keepLines/>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81659" w:rsidRPr="009D743B" w:rsidTr="00320D29">
        <w:tc>
          <w:tcPr>
            <w:tcW w:w="9100" w:type="dxa"/>
            <w:gridSpan w:val="7"/>
            <w:shd w:val="clear" w:color="auto" w:fill="D9D9D9" w:themeFill="background1" w:themeFillShade="D9"/>
            <w:vAlign w:val="bottom"/>
          </w:tcPr>
          <w:p w:rsidR="00481659" w:rsidRPr="009D743B" w:rsidRDefault="00481659" w:rsidP="00316152">
            <w:pPr>
              <w:keepNext/>
              <w:keepLines/>
              <w:spacing w:before="40" w:after="40"/>
              <w:rPr>
                <w:rFonts w:ascii="Arial Narrow" w:hAnsi="Arial Narrow"/>
                <w:color w:val="000000"/>
                <w:sz w:val="20"/>
                <w:szCs w:val="20"/>
              </w:rPr>
            </w:pPr>
            <w:r w:rsidRPr="009D743B">
              <w:rPr>
                <w:rFonts w:ascii="Arial Narrow" w:hAnsi="Arial Narrow"/>
                <w:b/>
                <w:color w:val="000000"/>
                <w:sz w:val="20"/>
                <w:szCs w:val="20"/>
              </w:rPr>
              <w:t>Previous model (November 2017)</w:t>
            </w:r>
            <w:r w:rsidR="00316152" w:rsidRPr="009D743B">
              <w:rPr>
                <w:rFonts w:ascii="Arial Narrow" w:hAnsi="Arial Narrow"/>
                <w:b/>
                <w:color w:val="000000"/>
                <w:sz w:val="20"/>
                <w:szCs w:val="20"/>
              </w:rPr>
              <w:t xml:space="preserve"> </w:t>
            </w:r>
            <w:r w:rsidR="00316152" w:rsidRPr="009D743B">
              <w:rPr>
                <w:rFonts w:ascii="Arial Narrow" w:hAnsi="Arial Narrow"/>
                <w:b/>
                <w:color w:val="000000"/>
                <w:sz w:val="20"/>
                <w:szCs w:val="20"/>
                <w:vertAlign w:val="superscript"/>
              </w:rPr>
              <w:t xml:space="preserve"> g</w:t>
            </w:r>
            <w:r w:rsidRPr="009D743B">
              <w:rPr>
                <w:rFonts w:ascii="Arial Narrow" w:hAnsi="Arial Narrow"/>
                <w:b/>
                <w:color w:val="000000"/>
                <w:sz w:val="20"/>
                <w:szCs w:val="20"/>
              </w:rPr>
              <w:t xml:space="preserve"> </w:t>
            </w:r>
          </w:p>
        </w:tc>
      </w:tr>
      <w:tr w:rsidR="00481659" w:rsidRPr="009D743B" w:rsidTr="00320D29">
        <w:tc>
          <w:tcPr>
            <w:tcW w:w="2518" w:type="dxa"/>
            <w:shd w:val="clear" w:color="auto" w:fill="D9D9D9" w:themeFill="background1" w:themeFillShade="D9"/>
            <w:vAlign w:val="bottom"/>
          </w:tcPr>
          <w:p w:rsidR="00481659" w:rsidRPr="009D743B" w:rsidRDefault="00481659" w:rsidP="00481659">
            <w:pPr>
              <w:keepNext/>
              <w:keepLines/>
              <w:spacing w:before="40" w:after="40"/>
              <w:rPr>
                <w:rFonts w:ascii="Arial Narrow" w:hAnsi="Arial Narrow"/>
                <w:color w:val="000000"/>
                <w:sz w:val="20"/>
                <w:szCs w:val="20"/>
              </w:rPr>
            </w:pPr>
            <w:r w:rsidRPr="009D743B">
              <w:rPr>
                <w:rFonts w:ascii="Arial Narrow" w:hAnsi="Arial Narrow"/>
                <w:color w:val="000000"/>
                <w:sz w:val="20"/>
                <w:szCs w:val="20"/>
              </w:rPr>
              <w:t>Average utility</w:t>
            </w:r>
          </w:p>
        </w:tc>
        <w:tc>
          <w:tcPr>
            <w:tcW w:w="771" w:type="dxa"/>
            <w:shd w:val="clear" w:color="auto" w:fill="D9D9D9" w:themeFill="background1" w:themeFillShade="D9"/>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2" w:type="dxa"/>
            <w:shd w:val="clear" w:color="auto" w:fill="D9D9D9" w:themeFill="background1" w:themeFillShade="D9"/>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17" w:type="dxa"/>
            <w:shd w:val="clear" w:color="auto" w:fill="D9D9D9" w:themeFill="background1" w:themeFillShade="D9"/>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51" w:type="dxa"/>
            <w:shd w:val="clear" w:color="auto" w:fill="D9D9D9" w:themeFill="background1" w:themeFillShade="D9"/>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34" w:type="dxa"/>
            <w:shd w:val="clear" w:color="auto" w:fill="D9D9D9" w:themeFill="background1" w:themeFillShade="D9"/>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17" w:type="dxa"/>
            <w:shd w:val="clear" w:color="auto" w:fill="D9D9D9" w:themeFill="background1" w:themeFillShade="D9"/>
            <w:vAlign w:val="bottom"/>
          </w:tcPr>
          <w:p w:rsidR="00481659" w:rsidRPr="0050211C" w:rsidRDefault="0050211C" w:rsidP="00F43743">
            <w:pPr>
              <w:keepNext/>
              <w:keepLines/>
              <w:spacing w:before="40" w:after="40"/>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bl>
    <w:p w:rsidR="00481659" w:rsidRPr="00A12545" w:rsidRDefault="00481659" w:rsidP="000674AA">
      <w:pPr>
        <w:tabs>
          <w:tab w:val="left" w:pos="142"/>
        </w:tabs>
        <w:spacing w:before="0" w:after="120"/>
        <w:ind w:left="142" w:hanging="142"/>
        <w:contextualSpacing/>
        <w:jc w:val="both"/>
        <w:rPr>
          <w:rFonts w:ascii="Arial Narrow" w:hAnsi="Arial Narrow"/>
          <w:sz w:val="18"/>
          <w:szCs w:val="18"/>
        </w:rPr>
      </w:pPr>
      <w:r w:rsidRPr="009D743B">
        <w:rPr>
          <w:rFonts w:ascii="Arial Narrow" w:hAnsi="Arial Narrow"/>
          <w:sz w:val="18"/>
          <w:szCs w:val="18"/>
          <w:vertAlign w:val="superscript"/>
        </w:rPr>
        <w:t>a</w:t>
      </w:r>
      <w:r w:rsidR="000674AA" w:rsidRPr="009D743B">
        <w:rPr>
          <w:rFonts w:ascii="Arial Narrow" w:hAnsi="Arial Narrow"/>
          <w:sz w:val="18"/>
          <w:szCs w:val="18"/>
        </w:rPr>
        <w:tab/>
      </w:r>
      <w:r w:rsidRPr="009D743B">
        <w:rPr>
          <w:rFonts w:ascii="Arial Narrow" w:hAnsi="Arial Narrow"/>
          <w:sz w:val="18"/>
          <w:szCs w:val="18"/>
        </w:rPr>
        <w:t xml:space="preserve">Of </w:t>
      </w:r>
      <w:r w:rsidRPr="00A12545">
        <w:rPr>
          <w:rFonts w:ascii="Arial Narrow" w:hAnsi="Arial Narrow"/>
          <w:sz w:val="18"/>
          <w:szCs w:val="18"/>
        </w:rPr>
        <w:t xml:space="preserve">this, </w:t>
      </w:r>
      <w:r w:rsidR="0050211C">
        <w:rPr>
          <w:rFonts w:ascii="Arial Narrow" w:eastAsia="Calibri" w:hAnsi="Arial Narrow" w:cs="Arial"/>
          <w:noProof/>
          <w:color w:val="000000"/>
          <w:sz w:val="18"/>
          <w:szCs w:val="18"/>
          <w:highlight w:val="black"/>
        </w:rPr>
        <w:t>'''''''</w:t>
      </w:r>
      <w:r w:rsidRPr="00A12545">
        <w:rPr>
          <w:rFonts w:ascii="Arial Narrow" w:hAnsi="Arial Narrow"/>
          <w:sz w:val="18"/>
          <w:szCs w:val="18"/>
        </w:rPr>
        <w:t>% was</w:t>
      </w:r>
      <w:r w:rsidRPr="009D743B">
        <w:rPr>
          <w:rFonts w:ascii="Arial Narrow" w:hAnsi="Arial Narrow"/>
          <w:sz w:val="18"/>
          <w:szCs w:val="18"/>
        </w:rPr>
        <w:t xml:space="preserve"> due to loss of response </w:t>
      </w:r>
      <w:r w:rsidRPr="00A12545">
        <w:rPr>
          <w:rFonts w:ascii="Arial Narrow" w:hAnsi="Arial Narrow"/>
          <w:sz w:val="18"/>
          <w:szCs w:val="18"/>
        </w:rPr>
        <w:t xml:space="preserve">and </w:t>
      </w:r>
      <w:r w:rsidR="0050211C">
        <w:rPr>
          <w:rFonts w:ascii="Arial Narrow" w:eastAsia="Calibri" w:hAnsi="Arial Narrow" w:cs="Arial"/>
          <w:noProof/>
          <w:color w:val="000000"/>
          <w:sz w:val="18"/>
          <w:szCs w:val="18"/>
          <w:highlight w:val="black"/>
        </w:rPr>
        <w:t>'''''''</w:t>
      </w:r>
      <w:r w:rsidRPr="00A12545">
        <w:rPr>
          <w:rFonts w:ascii="Arial Narrow" w:hAnsi="Arial Narrow"/>
          <w:sz w:val="18"/>
          <w:szCs w:val="18"/>
        </w:rPr>
        <w:t xml:space="preserve">% was due to adverse events. In the previous submission, this was </w:t>
      </w:r>
      <w:r w:rsidR="0050211C">
        <w:rPr>
          <w:rFonts w:ascii="Arial Narrow" w:eastAsia="Calibri" w:hAnsi="Arial Narrow" w:cs="Arial"/>
          <w:noProof/>
          <w:color w:val="000000"/>
          <w:sz w:val="18"/>
          <w:szCs w:val="18"/>
          <w:highlight w:val="black"/>
        </w:rPr>
        <w:t>'''''''</w:t>
      </w:r>
      <w:r w:rsidRPr="00A12545">
        <w:rPr>
          <w:rFonts w:ascii="Arial Narrow" w:hAnsi="Arial Narrow"/>
          <w:sz w:val="18"/>
          <w:szCs w:val="18"/>
        </w:rPr>
        <w:t>% in Year 1 and 6% in subsequent years.</w:t>
      </w:r>
    </w:p>
    <w:p w:rsidR="00481659" w:rsidRPr="00A12545" w:rsidRDefault="00481659" w:rsidP="000674AA">
      <w:pPr>
        <w:tabs>
          <w:tab w:val="left" w:pos="142"/>
        </w:tabs>
        <w:spacing w:before="0" w:after="120"/>
        <w:ind w:left="142" w:hanging="142"/>
        <w:contextualSpacing/>
        <w:jc w:val="both"/>
        <w:rPr>
          <w:rFonts w:ascii="Arial Narrow" w:hAnsi="Arial Narrow"/>
          <w:sz w:val="18"/>
          <w:szCs w:val="18"/>
        </w:rPr>
      </w:pPr>
      <w:r w:rsidRPr="00A12545">
        <w:rPr>
          <w:rFonts w:ascii="Arial Narrow" w:hAnsi="Arial Narrow"/>
          <w:sz w:val="18"/>
          <w:szCs w:val="18"/>
          <w:vertAlign w:val="superscript"/>
        </w:rPr>
        <w:t>b</w:t>
      </w:r>
      <w:r w:rsidR="000674AA" w:rsidRPr="00A12545">
        <w:rPr>
          <w:rFonts w:ascii="Arial Narrow" w:hAnsi="Arial Narrow"/>
          <w:sz w:val="18"/>
          <w:szCs w:val="18"/>
        </w:rPr>
        <w:tab/>
      </w:r>
      <w:r w:rsidRPr="00A12545">
        <w:rPr>
          <w:rFonts w:ascii="Arial Narrow" w:hAnsi="Arial Narrow"/>
          <w:sz w:val="18"/>
          <w:szCs w:val="18"/>
        </w:rPr>
        <w:t>This was 100% at Week 32 in the previous submission.</w:t>
      </w:r>
    </w:p>
    <w:p w:rsidR="00481659" w:rsidRPr="00A12545" w:rsidRDefault="00481659" w:rsidP="000674AA">
      <w:pPr>
        <w:tabs>
          <w:tab w:val="left" w:pos="142"/>
        </w:tabs>
        <w:spacing w:before="0" w:after="120"/>
        <w:ind w:left="142" w:hanging="142"/>
        <w:contextualSpacing/>
        <w:jc w:val="both"/>
        <w:rPr>
          <w:rFonts w:ascii="Arial Narrow" w:hAnsi="Arial Narrow"/>
          <w:sz w:val="18"/>
          <w:szCs w:val="18"/>
        </w:rPr>
      </w:pPr>
      <w:r w:rsidRPr="00A12545">
        <w:rPr>
          <w:rFonts w:ascii="Arial Narrow" w:hAnsi="Arial Narrow"/>
          <w:sz w:val="18"/>
          <w:szCs w:val="18"/>
          <w:vertAlign w:val="superscript"/>
        </w:rPr>
        <w:t>c</w:t>
      </w:r>
      <w:r w:rsidR="000674AA" w:rsidRPr="00A12545">
        <w:rPr>
          <w:rFonts w:ascii="Arial Narrow" w:hAnsi="Arial Narrow"/>
          <w:sz w:val="18"/>
          <w:szCs w:val="18"/>
          <w:vertAlign w:val="superscript"/>
        </w:rPr>
        <w:tab/>
      </w:r>
      <w:r w:rsidRPr="00A12545">
        <w:rPr>
          <w:rFonts w:ascii="Arial Narrow" w:hAnsi="Arial Narrow"/>
          <w:sz w:val="18"/>
          <w:szCs w:val="18"/>
        </w:rPr>
        <w:t>This was 152 injections in the previous submission. The change was primarily due to the reduced time horizon (rather than the increased discontinuation/transition to non-responder rate).</w:t>
      </w:r>
    </w:p>
    <w:p w:rsidR="00481659" w:rsidRPr="00A12545" w:rsidRDefault="00481659" w:rsidP="000674AA">
      <w:pPr>
        <w:tabs>
          <w:tab w:val="left" w:pos="142"/>
        </w:tabs>
        <w:spacing w:before="0" w:after="120"/>
        <w:ind w:left="142" w:hanging="142"/>
        <w:contextualSpacing/>
        <w:jc w:val="both"/>
        <w:rPr>
          <w:rFonts w:ascii="Arial Narrow" w:hAnsi="Arial Narrow"/>
          <w:sz w:val="18"/>
          <w:szCs w:val="18"/>
        </w:rPr>
      </w:pPr>
      <w:r w:rsidRPr="00A12545">
        <w:rPr>
          <w:rFonts w:ascii="Arial Narrow" w:hAnsi="Arial Narrow"/>
          <w:sz w:val="18"/>
          <w:szCs w:val="18"/>
          <w:vertAlign w:val="superscript"/>
        </w:rPr>
        <w:t>d</w:t>
      </w:r>
      <w:r w:rsidR="000674AA" w:rsidRPr="00A12545">
        <w:rPr>
          <w:rFonts w:ascii="Arial Narrow" w:hAnsi="Arial Narrow"/>
          <w:sz w:val="18"/>
          <w:szCs w:val="18"/>
        </w:rPr>
        <w:tab/>
      </w:r>
      <w:r w:rsidRPr="00A12545">
        <w:rPr>
          <w:rFonts w:ascii="Arial Narrow" w:hAnsi="Arial Narrow"/>
          <w:sz w:val="18"/>
          <w:szCs w:val="18"/>
        </w:rPr>
        <w:t xml:space="preserve">A disutility of -0.31 was also applied to the proportion of patients with serious infection for </w:t>
      </w:r>
      <w:r w:rsidR="000674AA" w:rsidRPr="00A12545">
        <w:rPr>
          <w:rFonts w:ascii="Arial Narrow" w:hAnsi="Arial Narrow"/>
          <w:sz w:val="18"/>
          <w:szCs w:val="18"/>
        </w:rPr>
        <w:t>two</w:t>
      </w:r>
      <w:r w:rsidRPr="00A12545">
        <w:rPr>
          <w:rFonts w:ascii="Arial Narrow" w:hAnsi="Arial Narrow"/>
          <w:sz w:val="18"/>
          <w:szCs w:val="18"/>
        </w:rPr>
        <w:t xml:space="preserve"> weeks, and applied on an annual recurring base. </w:t>
      </w:r>
    </w:p>
    <w:p w:rsidR="00481659" w:rsidRPr="009D743B" w:rsidRDefault="00481659" w:rsidP="000674AA">
      <w:pPr>
        <w:tabs>
          <w:tab w:val="left" w:pos="142"/>
        </w:tabs>
        <w:spacing w:before="0" w:after="120"/>
        <w:ind w:left="142" w:hanging="142"/>
        <w:contextualSpacing/>
        <w:jc w:val="both"/>
        <w:rPr>
          <w:rFonts w:ascii="Arial Narrow" w:hAnsi="Arial Narrow"/>
          <w:sz w:val="18"/>
          <w:szCs w:val="18"/>
        </w:rPr>
      </w:pPr>
      <w:r w:rsidRPr="00A12545">
        <w:rPr>
          <w:rFonts w:ascii="Arial Narrow" w:hAnsi="Arial Narrow"/>
          <w:sz w:val="18"/>
          <w:szCs w:val="18"/>
          <w:vertAlign w:val="superscript"/>
        </w:rPr>
        <w:t>e</w:t>
      </w:r>
      <w:r w:rsidR="000674AA" w:rsidRPr="00A12545">
        <w:rPr>
          <w:rFonts w:ascii="Arial Narrow" w:hAnsi="Arial Narrow"/>
          <w:sz w:val="18"/>
          <w:szCs w:val="18"/>
          <w:vertAlign w:val="superscript"/>
        </w:rPr>
        <w:tab/>
      </w:r>
      <w:r w:rsidRPr="00A12545">
        <w:rPr>
          <w:rFonts w:ascii="Arial Narrow" w:hAnsi="Arial Narrow"/>
          <w:sz w:val="18"/>
          <w:szCs w:val="18"/>
        </w:rPr>
        <w:t>The previous submission had assumed a slower rate of BASFI progression for golimumab responders after 4 years (</w:t>
      </w:r>
      <w:r w:rsidR="0050211C">
        <w:rPr>
          <w:rFonts w:ascii="Arial Narrow" w:eastAsia="Calibri" w:hAnsi="Arial Narrow" w:cs="Arial"/>
          <w:noProof/>
          <w:color w:val="000000"/>
          <w:sz w:val="18"/>
          <w:szCs w:val="18"/>
          <w:highlight w:val="black"/>
        </w:rPr>
        <w:t>''''''''''''''</w:t>
      </w:r>
      <w:r w:rsidR="00B917FB" w:rsidRPr="00A12545">
        <w:rPr>
          <w:rFonts w:ascii="Arial Narrow" w:eastAsia="Calibri" w:hAnsi="Arial Narrow" w:cs="Arial"/>
          <w:sz w:val="18"/>
          <w:szCs w:val="18"/>
        </w:rPr>
        <w:t xml:space="preserve"> </w:t>
      </w:r>
      <w:r w:rsidRPr="00A12545">
        <w:rPr>
          <w:rFonts w:ascii="Arial Narrow" w:hAnsi="Arial Narrow"/>
          <w:sz w:val="18"/>
          <w:szCs w:val="18"/>
        </w:rPr>
        <w:t>after</w:t>
      </w:r>
      <w:r w:rsidRPr="009D743B">
        <w:rPr>
          <w:rFonts w:ascii="Arial Narrow" w:hAnsi="Arial Narrow"/>
          <w:sz w:val="18"/>
          <w:szCs w:val="18"/>
        </w:rPr>
        <w:t xml:space="preserve"> 4 years). </w:t>
      </w:r>
    </w:p>
    <w:p w:rsidR="008D5F15" w:rsidRPr="009D743B" w:rsidRDefault="00687327" w:rsidP="000674AA">
      <w:pPr>
        <w:tabs>
          <w:tab w:val="left" w:pos="142"/>
        </w:tabs>
        <w:spacing w:before="0" w:after="120"/>
        <w:ind w:left="142" w:hanging="142"/>
        <w:contextualSpacing/>
        <w:jc w:val="both"/>
        <w:rPr>
          <w:rFonts w:ascii="Arial Narrow" w:hAnsi="Arial Narrow"/>
          <w:sz w:val="18"/>
          <w:szCs w:val="18"/>
        </w:rPr>
      </w:pPr>
      <w:r w:rsidRPr="009D743B">
        <w:rPr>
          <w:rFonts w:ascii="Arial Narrow" w:hAnsi="Arial Narrow"/>
          <w:sz w:val="18"/>
          <w:szCs w:val="18"/>
          <w:vertAlign w:val="superscript"/>
        </w:rPr>
        <w:t>f</w:t>
      </w:r>
      <w:r w:rsidR="000674AA" w:rsidRPr="009D743B">
        <w:rPr>
          <w:rFonts w:ascii="Arial Narrow" w:hAnsi="Arial Narrow"/>
          <w:sz w:val="18"/>
          <w:szCs w:val="18"/>
          <w:vertAlign w:val="superscript"/>
        </w:rPr>
        <w:tab/>
      </w:r>
      <w:r w:rsidRPr="009D743B">
        <w:rPr>
          <w:rFonts w:ascii="Arial Narrow" w:hAnsi="Arial Narrow"/>
          <w:sz w:val="18"/>
          <w:szCs w:val="18"/>
        </w:rPr>
        <w:t>Differs from</w:t>
      </w:r>
      <w:r w:rsidR="0099120D" w:rsidRPr="009D743B">
        <w:rPr>
          <w:rFonts w:ascii="Arial Narrow" w:hAnsi="Arial Narrow"/>
          <w:sz w:val="18"/>
          <w:szCs w:val="18"/>
        </w:rPr>
        <w:t xml:space="preserve"> Table 9</w:t>
      </w:r>
      <w:r w:rsidRPr="009D743B">
        <w:rPr>
          <w:rFonts w:ascii="Arial Narrow" w:hAnsi="Arial Narrow"/>
          <w:sz w:val="18"/>
          <w:szCs w:val="18"/>
        </w:rPr>
        <w:t xml:space="preserve"> due to the presentation of undiscounted results</w:t>
      </w:r>
      <w:r w:rsidR="00316152" w:rsidRPr="009D743B">
        <w:rPr>
          <w:rFonts w:ascii="Arial Narrow" w:hAnsi="Arial Narrow"/>
          <w:sz w:val="18"/>
          <w:szCs w:val="18"/>
        </w:rPr>
        <w:t>. Calculated during the evaluation.</w:t>
      </w:r>
    </w:p>
    <w:p w:rsidR="00316152" w:rsidRPr="009D743B" w:rsidRDefault="00316152" w:rsidP="000674AA">
      <w:pPr>
        <w:tabs>
          <w:tab w:val="left" w:pos="142"/>
        </w:tabs>
        <w:spacing w:before="0" w:after="120"/>
        <w:ind w:left="142" w:hanging="142"/>
        <w:contextualSpacing/>
        <w:jc w:val="both"/>
        <w:rPr>
          <w:rFonts w:ascii="Arial Narrow" w:hAnsi="Arial Narrow"/>
          <w:sz w:val="18"/>
          <w:szCs w:val="18"/>
        </w:rPr>
      </w:pPr>
      <w:r w:rsidRPr="009D743B">
        <w:rPr>
          <w:rFonts w:ascii="Arial Narrow" w:hAnsi="Arial Narrow"/>
          <w:sz w:val="18"/>
          <w:szCs w:val="18"/>
          <w:vertAlign w:val="superscript"/>
        </w:rPr>
        <w:t>g</w:t>
      </w:r>
      <w:r w:rsidR="000674AA" w:rsidRPr="009D743B">
        <w:rPr>
          <w:rFonts w:ascii="Arial Narrow" w:hAnsi="Arial Narrow"/>
          <w:sz w:val="18"/>
          <w:szCs w:val="18"/>
        </w:rPr>
        <w:tab/>
      </w:r>
      <w:r w:rsidRPr="009D743B">
        <w:rPr>
          <w:rFonts w:ascii="Arial Narrow" w:hAnsi="Arial Narrow"/>
          <w:sz w:val="18"/>
          <w:szCs w:val="18"/>
        </w:rPr>
        <w:t xml:space="preserve">Calculated during </w:t>
      </w:r>
      <w:r w:rsidR="00B828CB" w:rsidRPr="009D743B">
        <w:rPr>
          <w:rFonts w:ascii="Arial Narrow" w:hAnsi="Arial Narrow"/>
          <w:sz w:val="18"/>
          <w:szCs w:val="18"/>
        </w:rPr>
        <w:t>th</w:t>
      </w:r>
      <w:r w:rsidRPr="009D743B">
        <w:rPr>
          <w:rFonts w:ascii="Arial Narrow" w:hAnsi="Arial Narrow"/>
          <w:sz w:val="18"/>
          <w:szCs w:val="18"/>
        </w:rPr>
        <w:t>e previous evaluation.</w:t>
      </w:r>
    </w:p>
    <w:p w:rsidR="0069278C" w:rsidRPr="009D743B" w:rsidRDefault="0069278C" w:rsidP="000674AA">
      <w:pPr>
        <w:tabs>
          <w:tab w:val="left" w:pos="142"/>
        </w:tabs>
        <w:spacing w:before="0" w:after="120"/>
        <w:ind w:left="142" w:hanging="142"/>
        <w:contextualSpacing/>
        <w:jc w:val="both"/>
        <w:rPr>
          <w:rFonts w:ascii="Arial Narrow" w:hAnsi="Arial Narrow"/>
          <w:sz w:val="18"/>
          <w:szCs w:val="18"/>
        </w:rPr>
      </w:pPr>
      <w:r w:rsidRPr="009D743B">
        <w:rPr>
          <w:rFonts w:ascii="Arial Narrow" w:hAnsi="Arial Narrow"/>
          <w:sz w:val="18"/>
          <w:szCs w:val="18"/>
          <w:vertAlign w:val="superscript"/>
        </w:rPr>
        <w:t>h</w:t>
      </w:r>
      <w:r w:rsidRPr="009D743B">
        <w:rPr>
          <w:rFonts w:ascii="Arial Narrow" w:hAnsi="Arial Narrow"/>
          <w:sz w:val="18"/>
          <w:szCs w:val="18"/>
        </w:rPr>
        <w:tab/>
      </w:r>
      <w:r w:rsidR="00C524E1" w:rsidRPr="009D743B">
        <w:rPr>
          <w:rFonts w:ascii="Arial Narrow" w:hAnsi="Arial Narrow"/>
          <w:sz w:val="18"/>
          <w:szCs w:val="18"/>
        </w:rPr>
        <w:t>B</w:t>
      </w:r>
      <w:r w:rsidRPr="009D743B">
        <w:rPr>
          <w:rFonts w:ascii="Arial Narrow" w:hAnsi="Arial Narrow"/>
          <w:sz w:val="18"/>
          <w:szCs w:val="18"/>
        </w:rPr>
        <w:t xml:space="preserve">ased onEQ-5D data from the GO-AHEAD trial </w:t>
      </w:r>
    </w:p>
    <w:p w:rsidR="009C756F" w:rsidRPr="009D743B" w:rsidRDefault="009C756F" w:rsidP="009C756F">
      <w:pPr>
        <w:spacing w:before="0" w:after="120"/>
        <w:contextualSpacing/>
        <w:jc w:val="both"/>
        <w:rPr>
          <w:rFonts w:ascii="Arial Narrow" w:hAnsi="Arial Narrow"/>
          <w:sz w:val="18"/>
          <w:szCs w:val="18"/>
        </w:rPr>
      </w:pPr>
      <w:r w:rsidRPr="009D743B">
        <w:rPr>
          <w:rFonts w:ascii="Arial Narrow" w:hAnsi="Arial Narrow"/>
          <w:sz w:val="18"/>
          <w:szCs w:val="18"/>
        </w:rPr>
        <w:t>Source: Compiled during the evaluation from Sections 2 and 3 of the resubmission and from the Section 18 workbook in the previous submission</w:t>
      </w:r>
    </w:p>
    <w:p w:rsidR="009C756F" w:rsidRPr="009D743B" w:rsidRDefault="009C756F" w:rsidP="00927AA0">
      <w:pPr>
        <w:spacing w:before="0" w:after="120"/>
        <w:contextualSpacing/>
        <w:jc w:val="both"/>
        <w:rPr>
          <w:rFonts w:ascii="Arial Narrow" w:hAnsi="Arial Narrow"/>
          <w:sz w:val="18"/>
          <w:szCs w:val="18"/>
        </w:rPr>
      </w:pPr>
    </w:p>
    <w:p w:rsidR="009E5409" w:rsidRPr="009D743B" w:rsidRDefault="009E5409" w:rsidP="00B876BB">
      <w:pPr>
        <w:pStyle w:val="ListParagraph"/>
        <w:numPr>
          <w:ilvl w:val="0"/>
          <w:numId w:val="11"/>
        </w:numPr>
        <w:spacing w:before="0" w:after="120"/>
        <w:ind w:left="567" w:hanging="567"/>
        <w:jc w:val="both"/>
      </w:pPr>
      <w:r w:rsidRPr="009D743B">
        <w:t xml:space="preserve">As shown in </w:t>
      </w:r>
      <w:r w:rsidR="009D743B" w:rsidRPr="00005314">
        <w:t>Table 1</w:t>
      </w:r>
      <w:r w:rsidR="00322547" w:rsidRPr="009D743B">
        <w:t>2</w:t>
      </w:r>
      <w:r w:rsidRPr="009D743B">
        <w:t>, golimumab responders in the model had a much higher average utility score compared to golimumab non-</w:t>
      </w:r>
      <w:r w:rsidRPr="00A12545">
        <w:t xml:space="preserve">responders </w:t>
      </w:r>
      <w:r w:rsidR="0050211C">
        <w:rPr>
          <w:rFonts w:ascii="Calibri" w:eastAsia="Calibri" w:hAnsi="Calibri" w:cs="Arial"/>
          <w:noProof/>
          <w:color w:val="000000"/>
          <w:highlight w:val="black"/>
        </w:rPr>
        <w:t>''''''''</w:t>
      </w:r>
      <w:r w:rsidR="00B917FB" w:rsidRPr="00A12545">
        <w:rPr>
          <w:rFonts w:ascii="Calibri" w:eastAsia="Calibri" w:hAnsi="Calibri" w:cs="Arial"/>
        </w:rPr>
        <w:t xml:space="preserve"> versus </w:t>
      </w:r>
      <w:r w:rsidR="0050211C">
        <w:rPr>
          <w:rFonts w:ascii="Calibri" w:eastAsia="Calibri" w:hAnsi="Calibri" w:cs="Arial"/>
          <w:noProof/>
          <w:color w:val="000000"/>
          <w:highlight w:val="black"/>
        </w:rPr>
        <w:t>''''''''</w:t>
      </w:r>
      <w:r w:rsidRPr="00A12545">
        <w:t>.</w:t>
      </w:r>
      <w:r w:rsidRPr="009D743B">
        <w:t xml:space="preserve"> The model assumed that </w:t>
      </w:r>
      <w:r w:rsidR="00F10AAC" w:rsidRPr="00A12545">
        <w:rPr>
          <w:rFonts w:ascii="Calibri" w:eastAsia="Calibri" w:hAnsi="Calibri" w:cs="Arial"/>
        </w:rPr>
        <w:t>59</w:t>
      </w:r>
      <w:r w:rsidRPr="00A12545">
        <w:t>%</w:t>
      </w:r>
      <w:r w:rsidRPr="009D743B">
        <w:t xml:space="preserve"> of patients in the golimumab arm were responders</w:t>
      </w:r>
      <w:r w:rsidR="00182FE9" w:rsidRPr="009D743B">
        <w:t>,</w:t>
      </w:r>
      <w:r w:rsidRPr="009D743B">
        <w:t xml:space="preserve"> and </w:t>
      </w:r>
      <w:r w:rsidR="0002487C" w:rsidRPr="009D743B">
        <w:t xml:space="preserve">that there would be </w:t>
      </w:r>
      <w:r w:rsidRPr="009D743B">
        <w:t>a high level of continued response with patients</w:t>
      </w:r>
      <w:r w:rsidR="005A0C6F" w:rsidRPr="009D743B">
        <w:t xml:space="preserve"> who are responders</w:t>
      </w:r>
      <w:r w:rsidRPr="009D743B">
        <w:t xml:space="preserve"> staying on golimumab for an average of </w:t>
      </w:r>
      <w:r w:rsidR="0002487C" w:rsidRPr="009D743B">
        <w:t>nine</w:t>
      </w:r>
      <w:r w:rsidRPr="009D743B">
        <w:t xml:space="preserve"> years. </w:t>
      </w:r>
      <w:r w:rsidR="00182FE9" w:rsidRPr="009D743B">
        <w:t>On the other hand, the model</w:t>
      </w:r>
      <w:r w:rsidRPr="009D743B">
        <w:t xml:space="preserve"> assumed that there would be no CC responders after Year 1. While the transition time from responder to non-responder in the CC arm increased from 32 weeks in the previous model to 52 weeks, this </w:t>
      </w:r>
      <w:r w:rsidR="00C4607E" w:rsidRPr="009D743B">
        <w:t xml:space="preserve">amendment </w:t>
      </w:r>
      <w:r w:rsidRPr="009D743B">
        <w:t xml:space="preserve">may not have adequately addressed the PBAC’s </w:t>
      </w:r>
      <w:r w:rsidRPr="009D743B">
        <w:lastRenderedPageBreak/>
        <w:t xml:space="preserve">concerns about the lack of a placebo response after 32 weeks (6.04 Golimumab </w:t>
      </w:r>
      <w:r w:rsidR="006523D3" w:rsidRPr="009D743B">
        <w:t xml:space="preserve">November 2017 </w:t>
      </w:r>
      <w:r w:rsidR="00833C5A">
        <w:t>PSD</w:t>
      </w:r>
      <w:r w:rsidR="006523D3" w:rsidRPr="009D743B">
        <w:t>, paragraph 7.7)</w:t>
      </w:r>
      <w:r w:rsidRPr="009D743B">
        <w:t>.</w:t>
      </w:r>
    </w:p>
    <w:p w:rsidR="006523D3" w:rsidRPr="009D743B" w:rsidRDefault="006523D3" w:rsidP="00B876BB">
      <w:pPr>
        <w:pStyle w:val="ListParagraph"/>
        <w:numPr>
          <w:ilvl w:val="0"/>
          <w:numId w:val="11"/>
        </w:numPr>
        <w:spacing w:before="0" w:after="120"/>
        <w:ind w:left="567" w:hanging="567"/>
        <w:jc w:val="both"/>
      </w:pPr>
      <w:r w:rsidRPr="009D743B">
        <w:t xml:space="preserve">The model continued to assume that patients who achieved a BASDAI 50 response experienced a greater incremental utility gain (from baseline to Week 16) in the golimumab arm than the CC arm (utility gain of </w:t>
      </w:r>
      <w:r w:rsidR="0050211C">
        <w:rPr>
          <w:rFonts w:ascii="Calibri" w:eastAsia="Calibri" w:hAnsi="Calibri" w:cs="Arial"/>
          <w:noProof/>
          <w:color w:val="000000"/>
          <w:highlight w:val="black"/>
        </w:rPr>
        <w:t>'''''''''</w:t>
      </w:r>
      <w:r w:rsidR="00F10AAC" w:rsidRPr="00A12545">
        <w:rPr>
          <w:rFonts w:ascii="Calibri" w:eastAsia="Calibri" w:hAnsi="Calibri" w:cs="Arial"/>
        </w:rPr>
        <w:t xml:space="preserve"> versus </w:t>
      </w:r>
      <w:r w:rsidR="0050211C">
        <w:rPr>
          <w:rFonts w:ascii="Calibri" w:eastAsia="Calibri" w:hAnsi="Calibri" w:cs="Arial"/>
          <w:noProof/>
          <w:color w:val="000000"/>
          <w:highlight w:val="black"/>
        </w:rPr>
        <w:t>''''''''</w:t>
      </w:r>
      <w:r w:rsidR="00F10AAC" w:rsidRPr="00F10AAC">
        <w:rPr>
          <w:rFonts w:ascii="Calibri" w:eastAsia="Calibri" w:hAnsi="Calibri" w:cs="Arial"/>
        </w:rPr>
        <w:t xml:space="preserve"> </w:t>
      </w:r>
      <w:r w:rsidRPr="009D743B">
        <w:t xml:space="preserve"> respectively). The PBAC had previously considered that this would only be reasonable if the PBS restriction could confine use to patients who were likely to achieve a very high level of response (6.04 Golimumab November 2017 </w:t>
      </w:r>
      <w:r w:rsidR="00833C5A">
        <w:t>PSD</w:t>
      </w:r>
      <w:r w:rsidRPr="009D743B">
        <w:t xml:space="preserve">, paragraph 7.7). </w:t>
      </w:r>
    </w:p>
    <w:p w:rsidR="000C7112" w:rsidRPr="009D743B" w:rsidRDefault="007C703B" w:rsidP="00B876BB">
      <w:pPr>
        <w:pStyle w:val="ListParagraph"/>
        <w:numPr>
          <w:ilvl w:val="0"/>
          <w:numId w:val="11"/>
        </w:numPr>
        <w:spacing w:before="0" w:after="120"/>
        <w:ind w:left="567" w:hanging="567"/>
        <w:jc w:val="both"/>
        <w:rPr>
          <w:rFonts w:cstheme="minorHAnsi"/>
        </w:rPr>
      </w:pPr>
      <w:r w:rsidRPr="009D743B">
        <w:t>T</w:t>
      </w:r>
      <w:r w:rsidR="000C7112" w:rsidRPr="009D743B">
        <w:t xml:space="preserve">he average utility difference in the </w:t>
      </w:r>
      <w:r w:rsidR="009261E9" w:rsidRPr="009D743B">
        <w:t xml:space="preserve">resubmission’s </w:t>
      </w:r>
      <w:r w:rsidR="000C7112" w:rsidRPr="009D743B">
        <w:t xml:space="preserve">model was </w:t>
      </w:r>
      <w:r w:rsidR="000C7112" w:rsidRPr="00A12545">
        <w:t xml:space="preserve">calculated to be </w:t>
      </w:r>
      <w:r w:rsidR="0050211C">
        <w:rPr>
          <w:rFonts w:ascii="Calibri" w:eastAsia="Calibri" w:hAnsi="Calibri" w:cs="Arial"/>
          <w:noProof/>
          <w:color w:val="000000"/>
          <w:highlight w:val="black"/>
        </w:rPr>
        <w:t>'''''''''''</w:t>
      </w:r>
      <w:r w:rsidR="00F10AAC" w:rsidRPr="00A12545">
        <w:rPr>
          <w:rFonts w:ascii="Calibri" w:eastAsia="Calibri" w:hAnsi="Calibri" w:cs="Arial"/>
        </w:rPr>
        <w:t xml:space="preserve">, compared to </w:t>
      </w:r>
      <w:r w:rsidR="0050211C">
        <w:rPr>
          <w:rFonts w:ascii="Calibri" w:eastAsia="Calibri" w:hAnsi="Calibri" w:cs="Arial"/>
          <w:noProof/>
          <w:color w:val="000000"/>
          <w:highlight w:val="black"/>
        </w:rPr>
        <w:t>''''''''''</w:t>
      </w:r>
      <w:r w:rsidR="00F10AAC" w:rsidRPr="00A12545">
        <w:rPr>
          <w:rFonts w:ascii="Calibri" w:eastAsia="Calibri" w:hAnsi="Calibri" w:cs="Calibri"/>
        </w:rPr>
        <w:t xml:space="preserve"> </w:t>
      </w:r>
      <w:r w:rsidR="000C7112" w:rsidRPr="00A12545">
        <w:rPr>
          <w:rFonts w:cstheme="minorHAnsi"/>
        </w:rPr>
        <w:t>for the previous submission (based on undiscounted</w:t>
      </w:r>
      <w:r w:rsidR="000C7112" w:rsidRPr="009D743B">
        <w:rPr>
          <w:rFonts w:cstheme="minorHAnsi"/>
        </w:rPr>
        <w:t xml:space="preserve"> outcomes</w:t>
      </w:r>
      <w:r w:rsidR="00C4607E" w:rsidRPr="009D743B">
        <w:rPr>
          <w:rFonts w:cstheme="minorHAnsi"/>
        </w:rPr>
        <w:t>, refer to Table 1</w:t>
      </w:r>
      <w:r w:rsidR="00322547" w:rsidRPr="009D743B">
        <w:rPr>
          <w:rFonts w:cstheme="minorHAnsi"/>
        </w:rPr>
        <w:t>2</w:t>
      </w:r>
      <w:r w:rsidR="00B40F42" w:rsidRPr="009D743B">
        <w:rPr>
          <w:rFonts w:cstheme="minorHAnsi"/>
        </w:rPr>
        <w:t>: Key model parameters</w:t>
      </w:r>
      <w:r w:rsidR="000C7112" w:rsidRPr="009D743B">
        <w:rPr>
          <w:rFonts w:cstheme="minorHAnsi"/>
        </w:rPr>
        <w:t>). This compared to an average utility difference in the GO-AHEAD trial of 0.16.</w:t>
      </w:r>
    </w:p>
    <w:p w:rsidR="009C33DE" w:rsidRPr="009D743B" w:rsidRDefault="009C33DE" w:rsidP="00B876BB">
      <w:pPr>
        <w:pStyle w:val="ListParagraph"/>
        <w:numPr>
          <w:ilvl w:val="0"/>
          <w:numId w:val="11"/>
        </w:numPr>
        <w:spacing w:before="0" w:after="120"/>
        <w:ind w:left="567" w:hanging="567"/>
        <w:jc w:val="both"/>
      </w:pPr>
      <w:r w:rsidRPr="009D743B">
        <w:t xml:space="preserve">QALYs accrued in each health state every week in the first year of the model and every year in years 2-20 of the model are depicted in </w:t>
      </w:r>
      <w:r w:rsidR="00B40F42" w:rsidRPr="009D743B">
        <w:t>Figure 2</w:t>
      </w:r>
      <w:r w:rsidR="00C8188E" w:rsidRPr="009D743B">
        <w:t xml:space="preserve"> and </w:t>
      </w:r>
      <w:r w:rsidR="00B40F42" w:rsidRPr="009D743B">
        <w:t>Figure 3</w:t>
      </w:r>
      <w:r w:rsidRPr="009D743B">
        <w:t>.</w:t>
      </w:r>
    </w:p>
    <w:p w:rsidR="00C8188E" w:rsidRPr="009D743B" w:rsidRDefault="00C8188E" w:rsidP="001A12EF">
      <w:pPr>
        <w:pStyle w:val="TableHeading0"/>
      </w:pPr>
      <w:bookmarkStart w:id="38" w:name="_Ref512953843"/>
      <w:bookmarkStart w:id="39" w:name="_Ref512953787"/>
      <w:r w:rsidRPr="009D743B">
        <w:t xml:space="preserve">Figure </w:t>
      </w:r>
      <w:r w:rsidR="00B40F42" w:rsidRPr="009D743B">
        <w:t>2</w:t>
      </w:r>
      <w:bookmarkEnd w:id="38"/>
      <w:r w:rsidRPr="009D743B">
        <w:t>: QALYs accrued in each treatment group and in each health state in each week over the first year</w:t>
      </w:r>
      <w:bookmarkEnd w:id="39"/>
    </w:p>
    <w:p w:rsidR="00C8188E" w:rsidRPr="009D743B" w:rsidRDefault="0050211C" w:rsidP="001A12EF">
      <w:pPr>
        <w:pStyle w:val="TableHeading0"/>
        <w:jc w:val="center"/>
      </w:pPr>
      <w:r>
        <w:rPr>
          <w:noProof/>
          <w:lang w:eastAsia="en-AU"/>
        </w:rPr>
        <w:drawing>
          <wp:inline distT="0" distB="0" distL="0" distR="0">
            <wp:extent cx="3790950" cy="2076450"/>
            <wp:effectExtent l="0" t="0" r="0" b="0"/>
            <wp:docPr id="2" name="Picture 2" title="Figure 2: QALYs accrued in each treatment group and in each health state in each week over the first yea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90950" cy="2076450"/>
                    </a:xfrm>
                    <a:prstGeom prst="rect">
                      <a:avLst/>
                    </a:prstGeom>
                  </pic:spPr>
                </pic:pic>
              </a:graphicData>
            </a:graphic>
          </wp:inline>
        </w:drawing>
      </w:r>
    </w:p>
    <w:p w:rsidR="00C8188E" w:rsidRPr="009D743B" w:rsidRDefault="00C8188E" w:rsidP="001A12EF">
      <w:pPr>
        <w:pStyle w:val="TableNotes"/>
        <w:spacing w:after="0"/>
        <w:rPr>
          <w:rFonts w:ascii="Arial Narrow" w:hAnsi="Arial Narrow"/>
          <w:sz w:val="18"/>
        </w:rPr>
      </w:pPr>
      <w:r w:rsidRPr="009D743B">
        <w:rPr>
          <w:rFonts w:ascii="Arial Narrow" w:hAnsi="Arial Narrow"/>
          <w:sz w:val="18"/>
        </w:rPr>
        <w:t>Source: Attachment 20 CUA Model Revised_Final 2</w:t>
      </w:r>
    </w:p>
    <w:p w:rsidR="008674A3" w:rsidRPr="009D743B" w:rsidRDefault="008674A3" w:rsidP="001A12EF">
      <w:pPr>
        <w:pStyle w:val="TableNotes"/>
        <w:spacing w:after="120"/>
        <w:rPr>
          <w:rFonts w:ascii="Arial Narrow" w:hAnsi="Arial Narrow"/>
          <w:sz w:val="18"/>
        </w:rPr>
      </w:pPr>
      <w:r w:rsidRPr="009D743B">
        <w:rPr>
          <w:rFonts w:ascii="Arial Narrow" w:hAnsi="Arial Narrow"/>
          <w:sz w:val="18"/>
          <w:szCs w:val="18"/>
        </w:rPr>
        <w:t>GLM = golimumab; CC = conventional care; R = responder; NR = non-responder</w:t>
      </w:r>
    </w:p>
    <w:p w:rsidR="00C8188E" w:rsidRPr="009D743B" w:rsidRDefault="00C8188E" w:rsidP="001A12EF">
      <w:pPr>
        <w:pStyle w:val="TableHeading0"/>
      </w:pPr>
      <w:bookmarkStart w:id="40" w:name="_Ref512953830"/>
      <w:bookmarkStart w:id="41" w:name="_Ref512953802"/>
      <w:r w:rsidRPr="009D743B">
        <w:t xml:space="preserve">Figure </w:t>
      </w:r>
      <w:r w:rsidR="00B40F42" w:rsidRPr="009D743B">
        <w:t>3</w:t>
      </w:r>
      <w:bookmarkEnd w:id="40"/>
      <w:r w:rsidRPr="009D743B">
        <w:t>: QALYs accrued in each treatment group and in each health state, each year over years 2-20 of the model</w:t>
      </w:r>
      <w:bookmarkEnd w:id="41"/>
    </w:p>
    <w:p w:rsidR="00C8188E" w:rsidRPr="009D743B" w:rsidRDefault="0050211C" w:rsidP="001A12EF">
      <w:pPr>
        <w:spacing w:before="0" w:after="120"/>
        <w:jc w:val="center"/>
        <w:rPr>
          <w:b/>
        </w:rPr>
      </w:pPr>
      <w:r>
        <w:rPr>
          <w:b/>
          <w:noProof/>
          <w:lang w:eastAsia="en-AU"/>
        </w:rPr>
        <w:drawing>
          <wp:inline distT="0" distB="0" distL="0" distR="0">
            <wp:extent cx="3924300" cy="1905000"/>
            <wp:effectExtent l="0" t="0" r="0" b="0"/>
            <wp:docPr id="1" name="Picture 1" title="Figure 3: QALYs accrued in each treatment group and in each health state, each year over years 2-20 of the mode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24300" cy="1905000"/>
                    </a:xfrm>
                    <a:prstGeom prst="rect">
                      <a:avLst/>
                    </a:prstGeom>
                  </pic:spPr>
                </pic:pic>
              </a:graphicData>
            </a:graphic>
          </wp:inline>
        </w:drawing>
      </w:r>
    </w:p>
    <w:p w:rsidR="00C8188E" w:rsidRPr="009D743B" w:rsidRDefault="00C8188E" w:rsidP="001A12EF">
      <w:pPr>
        <w:spacing w:before="0" w:after="0"/>
        <w:jc w:val="both"/>
        <w:rPr>
          <w:rFonts w:ascii="Arial Narrow" w:hAnsi="Arial Narrow"/>
          <w:sz w:val="18"/>
          <w:szCs w:val="18"/>
        </w:rPr>
      </w:pPr>
      <w:r w:rsidRPr="009D743B">
        <w:rPr>
          <w:rFonts w:ascii="Arial Narrow" w:hAnsi="Arial Narrow"/>
          <w:sz w:val="18"/>
          <w:szCs w:val="18"/>
        </w:rPr>
        <w:t>Source: Attachment 20 CUA Model Revised_Final 2</w:t>
      </w:r>
    </w:p>
    <w:p w:rsidR="00C8188E" w:rsidRPr="009D743B" w:rsidRDefault="00C8188E" w:rsidP="001A12EF">
      <w:pPr>
        <w:spacing w:before="0" w:after="0"/>
        <w:jc w:val="both"/>
        <w:rPr>
          <w:rFonts w:ascii="Arial Narrow" w:hAnsi="Arial Narrow"/>
          <w:sz w:val="18"/>
          <w:szCs w:val="18"/>
        </w:rPr>
      </w:pPr>
      <w:r w:rsidRPr="009D743B">
        <w:rPr>
          <w:rFonts w:ascii="Arial Narrow" w:hAnsi="Arial Narrow"/>
          <w:sz w:val="18"/>
          <w:szCs w:val="18"/>
        </w:rPr>
        <w:t>Note all QALYs in the CC arm are derived from the non-responder health state</w:t>
      </w:r>
    </w:p>
    <w:p w:rsidR="008674A3" w:rsidRPr="009D743B" w:rsidRDefault="008674A3" w:rsidP="0099120D">
      <w:pPr>
        <w:spacing w:before="0"/>
        <w:jc w:val="both"/>
        <w:rPr>
          <w:rFonts w:ascii="Arial Narrow" w:hAnsi="Arial Narrow"/>
          <w:sz w:val="18"/>
          <w:szCs w:val="18"/>
        </w:rPr>
      </w:pPr>
      <w:r w:rsidRPr="009D743B">
        <w:rPr>
          <w:rFonts w:ascii="Arial Narrow" w:hAnsi="Arial Narrow"/>
          <w:sz w:val="18"/>
          <w:szCs w:val="18"/>
        </w:rPr>
        <w:t>GLM = golimumab; CC = conventional care; R = responder; NR = non-responder; DC = discontinued</w:t>
      </w:r>
    </w:p>
    <w:p w:rsidR="001B2FA8" w:rsidRPr="009D743B" w:rsidRDefault="000A4B9D" w:rsidP="00B876BB">
      <w:pPr>
        <w:pStyle w:val="ListParagraph"/>
        <w:numPr>
          <w:ilvl w:val="0"/>
          <w:numId w:val="11"/>
        </w:numPr>
        <w:spacing w:before="0" w:after="120"/>
        <w:ind w:left="567" w:hanging="567"/>
        <w:jc w:val="both"/>
      </w:pPr>
      <w:r w:rsidRPr="009D743B">
        <w:lastRenderedPageBreak/>
        <w:t>Table 1</w:t>
      </w:r>
      <w:r w:rsidR="00322547" w:rsidRPr="009D743B">
        <w:t>3</w:t>
      </w:r>
      <w:r w:rsidRPr="009D743B">
        <w:t xml:space="preserve"> outlines u</w:t>
      </w:r>
      <w:r w:rsidR="001B2FA8" w:rsidRPr="009D743B">
        <w:t xml:space="preserve">nivariate sensitivity analyses </w:t>
      </w:r>
      <w:r w:rsidRPr="009D743B">
        <w:t>presented by the resubmission</w:t>
      </w:r>
      <w:r w:rsidR="001B2FA8" w:rsidRPr="009D743B">
        <w:t xml:space="preserve">. The ICER </w:t>
      </w:r>
      <w:r w:rsidR="003A265D" w:rsidRPr="009D743B">
        <w:t>(</w:t>
      </w:r>
      <w:r w:rsidR="001A12EF" w:rsidRPr="009D743B">
        <w:t>using the proposed DPMQ of $1,317.93</w:t>
      </w:r>
      <w:r w:rsidR="003A265D" w:rsidRPr="009D743B">
        <w:t>)</w:t>
      </w:r>
      <w:r w:rsidR="001A12EF" w:rsidRPr="009D743B">
        <w:t xml:space="preserve"> </w:t>
      </w:r>
      <w:r w:rsidR="001B2FA8" w:rsidRPr="009D743B">
        <w:t>was sensitive to the utility regression equation</w:t>
      </w:r>
      <w:r w:rsidR="007D3077" w:rsidRPr="009D743B">
        <w:t xml:space="preserve"> used</w:t>
      </w:r>
      <w:r w:rsidR="001B2FA8" w:rsidRPr="009D743B">
        <w:t xml:space="preserve"> (ICER range: </w:t>
      </w:r>
      <w:r w:rsidR="00F81C20">
        <w:t>$</w:t>
      </w:r>
      <w:r w:rsidR="00350003" w:rsidRPr="00350003">
        <w:t>15,000/QALY - $45,000/QALY</w:t>
      </w:r>
      <w:r w:rsidR="001B2FA8" w:rsidRPr="009D743B">
        <w:t xml:space="preserve"> in the base case model</w:t>
      </w:r>
      <w:r w:rsidR="00436432" w:rsidRPr="009D743B">
        <w:t xml:space="preserve">, </w:t>
      </w:r>
      <w:r w:rsidR="001442A6" w:rsidRPr="009D743B">
        <w:t>up to</w:t>
      </w:r>
      <w:r w:rsidR="00436432" w:rsidRPr="009D743B">
        <w:t xml:space="preserve"> </w:t>
      </w:r>
      <w:r w:rsidR="00F81C20">
        <w:t>$</w:t>
      </w:r>
      <w:r w:rsidR="00350003" w:rsidRPr="00350003">
        <w:t>15,000/QALY - $45,000/QALY</w:t>
      </w:r>
      <w:r w:rsidR="001B2FA8" w:rsidRPr="009D743B">
        <w:t xml:space="preserve"> </w:t>
      </w:r>
      <w:r w:rsidR="00436432" w:rsidRPr="009D743B">
        <w:t>using alternative utility regression models</w:t>
      </w:r>
      <w:r w:rsidR="001B2FA8" w:rsidRPr="009D743B">
        <w:t xml:space="preserve">) and to the annual disease cost estimation (ICER range: </w:t>
      </w:r>
      <w:r w:rsidR="00350003">
        <w:t>less than $15,000 per QALY</w:t>
      </w:r>
      <w:r w:rsidR="001B2FA8" w:rsidRPr="009D743B">
        <w:t xml:space="preserve"> </w:t>
      </w:r>
      <w:r w:rsidR="00436432" w:rsidRPr="009D743B">
        <w:t xml:space="preserve">when using BAFSI-based exponential model </w:t>
      </w:r>
      <w:r w:rsidR="001B2FA8" w:rsidRPr="009D743B">
        <w:t xml:space="preserve">to </w:t>
      </w:r>
      <w:r w:rsidR="00F81C20">
        <w:t>$</w:t>
      </w:r>
      <w:r w:rsidR="00350003" w:rsidRPr="00350003">
        <w:t>15,000/QALY - $45,000/QALY</w:t>
      </w:r>
      <w:r w:rsidR="001B2FA8" w:rsidRPr="009D743B">
        <w:t xml:space="preserve"> </w:t>
      </w:r>
      <w:r w:rsidR="00436432" w:rsidRPr="009D743B">
        <w:t>when disease-related costs assumed in the base case were reduced by 75%</w:t>
      </w:r>
      <w:r w:rsidR="001B2FA8" w:rsidRPr="009D743B">
        <w:t>).</w:t>
      </w:r>
      <w:r w:rsidR="00A31EE5" w:rsidRPr="009D743B">
        <w:t xml:space="preserve"> The multivariate sensitivity analyses were conducted after ESC at the request of the PBAC.</w:t>
      </w:r>
      <w:r w:rsidR="00350003">
        <w:t xml:space="preserve"> </w:t>
      </w:r>
    </w:p>
    <w:p w:rsidR="007D1C9F" w:rsidRPr="009D743B" w:rsidRDefault="007D1C9F" w:rsidP="006F666C">
      <w:pPr>
        <w:pStyle w:val="TableHeading0"/>
        <w:spacing w:after="0"/>
      </w:pPr>
      <w:r w:rsidRPr="009D743B">
        <w:t xml:space="preserve">Table </w:t>
      </w:r>
      <w:r w:rsidR="000A4B9D" w:rsidRPr="009D743B">
        <w:t>1</w:t>
      </w:r>
      <w:r w:rsidR="00322547" w:rsidRPr="009D743B">
        <w:t>3</w:t>
      </w:r>
      <w:r w:rsidRPr="009D743B">
        <w:t>: Results of sensitivity analyses</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84"/>
        <w:gridCol w:w="1016"/>
        <w:gridCol w:w="872"/>
        <w:gridCol w:w="1018"/>
      </w:tblGrid>
      <w:tr w:rsidR="007D1C9F" w:rsidRPr="009D743B" w:rsidTr="00DB7BEB">
        <w:trPr>
          <w:trHeight w:val="283"/>
        </w:trPr>
        <w:tc>
          <w:tcPr>
            <w:tcW w:w="1411" w:type="pct"/>
            <w:vMerge w:val="restart"/>
            <w:shd w:val="clear" w:color="auto" w:fill="FFFFFF" w:themeFill="background1"/>
            <w:vAlign w:val="center"/>
          </w:tcPr>
          <w:p w:rsidR="007D1C9F" w:rsidRPr="009D743B" w:rsidRDefault="007D1C9F" w:rsidP="00A31EE5">
            <w:pPr>
              <w:pStyle w:val="TableFooter"/>
              <w:spacing w:before="40" w:after="40"/>
              <w:jc w:val="left"/>
              <w:rPr>
                <w:b/>
                <w:sz w:val="20"/>
              </w:rPr>
            </w:pPr>
            <w:r w:rsidRPr="009D743B">
              <w:rPr>
                <w:b/>
                <w:sz w:val="20"/>
              </w:rPr>
              <w:t xml:space="preserve">Model setting </w:t>
            </w:r>
          </w:p>
        </w:tc>
        <w:tc>
          <w:tcPr>
            <w:tcW w:w="1982" w:type="pct"/>
            <w:vMerge w:val="restart"/>
            <w:shd w:val="clear" w:color="auto" w:fill="FFFFFF" w:themeFill="background1"/>
            <w:vAlign w:val="center"/>
          </w:tcPr>
          <w:p w:rsidR="007D1C9F" w:rsidRPr="009D743B" w:rsidRDefault="007D1C9F" w:rsidP="00A31EE5">
            <w:pPr>
              <w:pStyle w:val="TableFooter"/>
              <w:spacing w:before="40" w:after="40"/>
              <w:jc w:val="left"/>
              <w:rPr>
                <w:b/>
                <w:sz w:val="20"/>
              </w:rPr>
            </w:pPr>
            <w:r w:rsidRPr="009D743B">
              <w:rPr>
                <w:b/>
                <w:sz w:val="20"/>
              </w:rPr>
              <w:t>Scenario setting</w:t>
            </w:r>
          </w:p>
        </w:tc>
        <w:tc>
          <w:tcPr>
            <w:tcW w:w="1044" w:type="pct"/>
            <w:gridSpan w:val="2"/>
            <w:shd w:val="clear" w:color="auto" w:fill="FFFFFF" w:themeFill="background1"/>
            <w:vAlign w:val="center"/>
          </w:tcPr>
          <w:p w:rsidR="007D1C9F" w:rsidRPr="009D743B" w:rsidRDefault="007D1C9F" w:rsidP="00A31EE5">
            <w:pPr>
              <w:pStyle w:val="TableFooter"/>
              <w:spacing w:before="40" w:after="40"/>
              <w:jc w:val="center"/>
              <w:rPr>
                <w:b/>
                <w:sz w:val="20"/>
              </w:rPr>
            </w:pPr>
            <w:r w:rsidRPr="009D743B">
              <w:rPr>
                <w:b/>
                <w:sz w:val="20"/>
              </w:rPr>
              <w:t>Incremental</w:t>
            </w:r>
          </w:p>
        </w:tc>
        <w:tc>
          <w:tcPr>
            <w:tcW w:w="563" w:type="pct"/>
            <w:vMerge w:val="restart"/>
            <w:shd w:val="clear" w:color="auto" w:fill="FFFFFF" w:themeFill="background1"/>
            <w:vAlign w:val="center"/>
          </w:tcPr>
          <w:p w:rsidR="007D1C9F" w:rsidRPr="009D743B" w:rsidRDefault="007D1C9F" w:rsidP="00A31EE5">
            <w:pPr>
              <w:pStyle w:val="TableFooter"/>
              <w:spacing w:before="40" w:after="40"/>
              <w:jc w:val="center"/>
              <w:rPr>
                <w:b/>
                <w:sz w:val="20"/>
              </w:rPr>
            </w:pPr>
            <w:r w:rsidRPr="009D743B">
              <w:rPr>
                <w:b/>
                <w:sz w:val="20"/>
              </w:rPr>
              <w:t>ICER</w:t>
            </w:r>
          </w:p>
        </w:tc>
      </w:tr>
      <w:tr w:rsidR="007D1C9F" w:rsidRPr="009D743B" w:rsidTr="00DB7BEB">
        <w:trPr>
          <w:trHeight w:val="187"/>
        </w:trPr>
        <w:tc>
          <w:tcPr>
            <w:tcW w:w="1411" w:type="pct"/>
            <w:vMerge/>
            <w:shd w:val="clear" w:color="auto" w:fill="D9D9D9"/>
            <w:vAlign w:val="center"/>
          </w:tcPr>
          <w:p w:rsidR="007D1C9F" w:rsidRPr="009D743B" w:rsidRDefault="007D1C9F" w:rsidP="00A31EE5">
            <w:pPr>
              <w:pStyle w:val="TableFooter"/>
              <w:spacing w:before="40" w:after="40"/>
              <w:jc w:val="left"/>
              <w:rPr>
                <w:b/>
                <w:sz w:val="20"/>
              </w:rPr>
            </w:pPr>
          </w:p>
        </w:tc>
        <w:tc>
          <w:tcPr>
            <w:tcW w:w="1982" w:type="pct"/>
            <w:vMerge/>
            <w:shd w:val="clear" w:color="auto" w:fill="D9D9D9"/>
            <w:vAlign w:val="center"/>
          </w:tcPr>
          <w:p w:rsidR="007D1C9F" w:rsidRPr="009D743B" w:rsidRDefault="007D1C9F" w:rsidP="00A31EE5">
            <w:pPr>
              <w:pStyle w:val="TableFooter"/>
              <w:spacing w:before="40" w:after="40"/>
              <w:jc w:val="left"/>
              <w:rPr>
                <w:b/>
                <w:sz w:val="20"/>
              </w:rPr>
            </w:pPr>
          </w:p>
        </w:tc>
        <w:tc>
          <w:tcPr>
            <w:tcW w:w="562" w:type="pct"/>
            <w:shd w:val="clear" w:color="auto" w:fill="FFFFFF" w:themeFill="background1"/>
            <w:vAlign w:val="center"/>
          </w:tcPr>
          <w:p w:rsidR="007D1C9F" w:rsidRPr="009D743B" w:rsidRDefault="007D1C9F" w:rsidP="00A31EE5">
            <w:pPr>
              <w:pStyle w:val="TableFooter"/>
              <w:spacing w:before="40" w:after="40"/>
              <w:jc w:val="center"/>
              <w:rPr>
                <w:b/>
                <w:sz w:val="20"/>
              </w:rPr>
            </w:pPr>
            <w:r w:rsidRPr="009D743B">
              <w:rPr>
                <w:b/>
                <w:sz w:val="20"/>
              </w:rPr>
              <w:t>Costs</w:t>
            </w:r>
          </w:p>
        </w:tc>
        <w:tc>
          <w:tcPr>
            <w:tcW w:w="482" w:type="pct"/>
            <w:shd w:val="clear" w:color="auto" w:fill="FFFFFF" w:themeFill="background1"/>
            <w:vAlign w:val="center"/>
          </w:tcPr>
          <w:p w:rsidR="007D1C9F" w:rsidRPr="009D743B" w:rsidRDefault="007D1C9F" w:rsidP="00A31EE5">
            <w:pPr>
              <w:pStyle w:val="TableFooter"/>
              <w:spacing w:before="40" w:after="40"/>
              <w:jc w:val="center"/>
              <w:rPr>
                <w:b/>
                <w:sz w:val="20"/>
              </w:rPr>
            </w:pPr>
            <w:r w:rsidRPr="009D743B">
              <w:rPr>
                <w:b/>
                <w:sz w:val="20"/>
              </w:rPr>
              <w:t>QALYs</w:t>
            </w:r>
          </w:p>
        </w:tc>
        <w:tc>
          <w:tcPr>
            <w:tcW w:w="563" w:type="pct"/>
            <w:vMerge/>
            <w:shd w:val="clear" w:color="auto" w:fill="FFFFFF" w:themeFill="background1"/>
          </w:tcPr>
          <w:p w:rsidR="007D1C9F" w:rsidRPr="009D743B" w:rsidRDefault="007D1C9F" w:rsidP="00A31EE5">
            <w:pPr>
              <w:pStyle w:val="TableFooter"/>
              <w:spacing w:before="40" w:after="40"/>
              <w:jc w:val="center"/>
              <w:rPr>
                <w:b/>
                <w:sz w:val="20"/>
              </w:rPr>
            </w:pPr>
          </w:p>
        </w:tc>
      </w:tr>
      <w:tr w:rsidR="000A4B9D" w:rsidRPr="009D743B" w:rsidTr="00DB7BEB">
        <w:trPr>
          <w:trHeight w:val="283"/>
        </w:trPr>
        <w:tc>
          <w:tcPr>
            <w:tcW w:w="3393" w:type="pct"/>
            <w:gridSpan w:val="2"/>
            <w:shd w:val="clear" w:color="auto" w:fill="auto"/>
            <w:vAlign w:val="center"/>
          </w:tcPr>
          <w:p w:rsidR="000A4B9D" w:rsidRPr="009D743B" w:rsidRDefault="000A4B9D" w:rsidP="00A31EE5">
            <w:pPr>
              <w:pStyle w:val="TableFooter"/>
              <w:spacing w:before="40" w:after="40"/>
              <w:jc w:val="left"/>
              <w:rPr>
                <w:b/>
                <w:sz w:val="20"/>
              </w:rPr>
            </w:pPr>
            <w:r w:rsidRPr="009D743B">
              <w:rPr>
                <w:b/>
                <w:sz w:val="20"/>
              </w:rPr>
              <w:t>Step 2a model with DPMQ of $1,317.93 (base case)</w:t>
            </w:r>
          </w:p>
        </w:tc>
        <w:tc>
          <w:tcPr>
            <w:tcW w:w="562" w:type="pct"/>
            <w:shd w:val="clear" w:color="auto" w:fill="auto"/>
            <w:vAlign w:val="center"/>
          </w:tcPr>
          <w:p w:rsidR="000A4B9D" w:rsidRPr="009D743B" w:rsidRDefault="000A4B9D" w:rsidP="00A31EE5">
            <w:pPr>
              <w:pStyle w:val="TableFooter"/>
              <w:spacing w:before="40" w:after="40"/>
              <w:jc w:val="center"/>
              <w:rPr>
                <w:b/>
                <w:sz w:val="20"/>
              </w:rPr>
            </w:pPr>
            <w:r w:rsidRPr="009D743B">
              <w:rPr>
                <w:b/>
                <w:sz w:val="20"/>
              </w:rPr>
              <w:t>$</w:t>
            </w:r>
            <w:r w:rsidR="0050211C">
              <w:rPr>
                <w:b/>
                <w:noProof/>
                <w:color w:val="000000"/>
                <w:sz w:val="20"/>
                <w:highlight w:val="black"/>
              </w:rPr>
              <w:t>'''''''''''''</w:t>
            </w:r>
          </w:p>
        </w:tc>
        <w:tc>
          <w:tcPr>
            <w:tcW w:w="482" w:type="pct"/>
            <w:shd w:val="clear" w:color="auto" w:fill="auto"/>
            <w:vAlign w:val="center"/>
          </w:tcPr>
          <w:p w:rsidR="000A4B9D" w:rsidRPr="0050211C" w:rsidRDefault="0050211C" w:rsidP="00A31EE5">
            <w:pPr>
              <w:pStyle w:val="TableFooter"/>
              <w:spacing w:before="40" w:after="40"/>
              <w:jc w:val="center"/>
              <w:rPr>
                <w:b/>
                <w:sz w:val="20"/>
                <w:highlight w:val="black"/>
              </w:rPr>
            </w:pPr>
            <w:r>
              <w:rPr>
                <w:rFonts w:ascii="Calibri" w:eastAsia="Calibri" w:hAnsi="Calibri"/>
                <w:b/>
                <w:noProof/>
                <w:snapToGrid/>
                <w:color w:val="000000"/>
                <w:sz w:val="20"/>
                <w:szCs w:val="22"/>
                <w:highlight w:val="black"/>
              </w:rPr>
              <w:t>'''''''''</w:t>
            </w:r>
          </w:p>
        </w:tc>
        <w:tc>
          <w:tcPr>
            <w:tcW w:w="563" w:type="pct"/>
            <w:shd w:val="clear" w:color="auto" w:fill="auto"/>
            <w:vAlign w:val="center"/>
          </w:tcPr>
          <w:p w:rsidR="000A4B9D" w:rsidRPr="009D743B" w:rsidRDefault="000A4B9D" w:rsidP="00A31EE5">
            <w:pPr>
              <w:pStyle w:val="TableFooter"/>
              <w:spacing w:before="40" w:after="40"/>
              <w:jc w:val="center"/>
              <w:rPr>
                <w:b/>
                <w:sz w:val="20"/>
              </w:rPr>
            </w:pPr>
            <w:r w:rsidRPr="009D743B">
              <w:rPr>
                <w:b/>
                <w:sz w:val="20"/>
              </w:rPr>
              <w:t>$</w:t>
            </w:r>
            <w:r w:rsidR="0050211C">
              <w:rPr>
                <w:b/>
                <w:noProof/>
                <w:color w:val="000000"/>
                <w:sz w:val="20"/>
                <w:highlight w:val="black"/>
              </w:rPr>
              <w:t>''''''''''''</w:t>
            </w:r>
          </w:p>
        </w:tc>
      </w:tr>
      <w:tr w:rsidR="007D1C9F" w:rsidRPr="009D743B" w:rsidTr="00DB7BEB">
        <w:trPr>
          <w:trHeight w:val="283"/>
        </w:trPr>
        <w:tc>
          <w:tcPr>
            <w:tcW w:w="1411" w:type="pct"/>
            <w:vMerge w:val="restart"/>
            <w:shd w:val="clear" w:color="auto" w:fill="auto"/>
            <w:vAlign w:val="center"/>
          </w:tcPr>
          <w:p w:rsidR="007D1C9F" w:rsidRPr="009D743B" w:rsidRDefault="007D1C9F" w:rsidP="00A31EE5">
            <w:pPr>
              <w:pStyle w:val="TableFooter"/>
              <w:spacing w:before="40" w:after="40"/>
              <w:jc w:val="left"/>
              <w:rPr>
                <w:sz w:val="20"/>
              </w:rPr>
            </w:pPr>
            <w:r w:rsidRPr="009D743B">
              <w:rPr>
                <w:sz w:val="20"/>
              </w:rPr>
              <w:t>Utility estimation algorithm: MSD-GOAHEAD</w:t>
            </w:r>
          </w:p>
        </w:tc>
        <w:tc>
          <w:tcPr>
            <w:tcW w:w="1982" w:type="pct"/>
            <w:shd w:val="clear" w:color="auto" w:fill="auto"/>
            <w:vAlign w:val="center"/>
          </w:tcPr>
          <w:p w:rsidR="007D1C9F" w:rsidRPr="009D743B" w:rsidRDefault="007D1C9F" w:rsidP="00A31EE5">
            <w:pPr>
              <w:pStyle w:val="TableFooter"/>
              <w:spacing w:before="40" w:after="40"/>
              <w:jc w:val="left"/>
              <w:rPr>
                <w:sz w:val="20"/>
              </w:rPr>
            </w:pPr>
            <w:r w:rsidRPr="009D743B">
              <w:rPr>
                <w:sz w:val="20"/>
              </w:rPr>
              <w:t>Model 2 [AbbVie]</w:t>
            </w:r>
          </w:p>
        </w:tc>
        <w:tc>
          <w:tcPr>
            <w:tcW w:w="562"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c>
          <w:tcPr>
            <w:tcW w:w="482" w:type="pct"/>
            <w:shd w:val="clear" w:color="auto" w:fill="auto"/>
            <w:vAlign w:val="center"/>
          </w:tcPr>
          <w:p w:rsidR="007D1C9F" w:rsidRPr="0050211C" w:rsidRDefault="0050211C" w:rsidP="00A31EE5">
            <w:pPr>
              <w:pStyle w:val="TableFooter"/>
              <w:spacing w:before="40" w:after="40"/>
              <w:jc w:val="center"/>
              <w:rPr>
                <w:sz w:val="20"/>
                <w:highlight w:val="black"/>
              </w:rPr>
            </w:pPr>
            <w:r>
              <w:rPr>
                <w:noProof/>
                <w:color w:val="000000"/>
                <w:sz w:val="20"/>
                <w:highlight w:val="black"/>
              </w:rPr>
              <w:t>''''''''''''</w:t>
            </w:r>
          </w:p>
        </w:tc>
        <w:tc>
          <w:tcPr>
            <w:tcW w:w="563"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r>
      <w:tr w:rsidR="007D1C9F" w:rsidRPr="009D743B" w:rsidTr="00DB7BEB">
        <w:trPr>
          <w:trHeight w:val="283"/>
        </w:trPr>
        <w:tc>
          <w:tcPr>
            <w:tcW w:w="1411" w:type="pct"/>
            <w:vMerge/>
            <w:shd w:val="clear" w:color="auto" w:fill="auto"/>
            <w:vAlign w:val="center"/>
          </w:tcPr>
          <w:p w:rsidR="007D1C9F" w:rsidRPr="009D743B" w:rsidRDefault="007D1C9F" w:rsidP="00A31EE5">
            <w:pPr>
              <w:pStyle w:val="TableFooter"/>
              <w:spacing w:before="40" w:after="40"/>
              <w:jc w:val="left"/>
              <w:rPr>
                <w:sz w:val="20"/>
              </w:rPr>
            </w:pPr>
          </w:p>
        </w:tc>
        <w:tc>
          <w:tcPr>
            <w:tcW w:w="1982" w:type="pct"/>
            <w:shd w:val="clear" w:color="auto" w:fill="auto"/>
            <w:vAlign w:val="center"/>
          </w:tcPr>
          <w:p w:rsidR="007D1C9F" w:rsidRPr="009D743B" w:rsidRDefault="007D1C9F" w:rsidP="00A31EE5">
            <w:pPr>
              <w:pStyle w:val="TableFooter"/>
              <w:spacing w:before="40" w:after="40"/>
              <w:jc w:val="left"/>
              <w:rPr>
                <w:sz w:val="20"/>
              </w:rPr>
            </w:pPr>
            <w:r w:rsidRPr="009D743B">
              <w:rPr>
                <w:sz w:val="20"/>
              </w:rPr>
              <w:t>Model 3 [MSD-AS]</w:t>
            </w:r>
          </w:p>
        </w:tc>
        <w:tc>
          <w:tcPr>
            <w:tcW w:w="562"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c>
          <w:tcPr>
            <w:tcW w:w="482" w:type="pct"/>
            <w:shd w:val="clear" w:color="auto" w:fill="auto"/>
            <w:vAlign w:val="center"/>
          </w:tcPr>
          <w:p w:rsidR="007D1C9F" w:rsidRPr="0050211C" w:rsidRDefault="0050211C" w:rsidP="00A31EE5">
            <w:pPr>
              <w:pStyle w:val="TableFooter"/>
              <w:spacing w:before="40" w:after="40"/>
              <w:jc w:val="center"/>
              <w:rPr>
                <w:sz w:val="20"/>
                <w:highlight w:val="black"/>
              </w:rPr>
            </w:pPr>
            <w:r>
              <w:rPr>
                <w:noProof/>
                <w:color w:val="000000"/>
                <w:sz w:val="20"/>
                <w:highlight w:val="black"/>
              </w:rPr>
              <w:t>''''''''''</w:t>
            </w:r>
          </w:p>
        </w:tc>
        <w:tc>
          <w:tcPr>
            <w:tcW w:w="563"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r>
      <w:tr w:rsidR="007D1C9F" w:rsidRPr="009D743B" w:rsidTr="00DB7BEB">
        <w:trPr>
          <w:trHeight w:val="283"/>
        </w:trPr>
        <w:tc>
          <w:tcPr>
            <w:tcW w:w="1411" w:type="pct"/>
            <w:vMerge/>
            <w:shd w:val="clear" w:color="auto" w:fill="auto"/>
            <w:vAlign w:val="center"/>
          </w:tcPr>
          <w:p w:rsidR="007D1C9F" w:rsidRPr="009D743B" w:rsidRDefault="007D1C9F" w:rsidP="00A31EE5">
            <w:pPr>
              <w:pStyle w:val="TableFooter"/>
              <w:spacing w:before="40" w:after="40"/>
              <w:jc w:val="left"/>
              <w:rPr>
                <w:sz w:val="20"/>
              </w:rPr>
            </w:pPr>
          </w:p>
        </w:tc>
        <w:tc>
          <w:tcPr>
            <w:tcW w:w="1982" w:type="pct"/>
            <w:shd w:val="clear" w:color="auto" w:fill="auto"/>
            <w:vAlign w:val="center"/>
          </w:tcPr>
          <w:p w:rsidR="007D1C9F" w:rsidRPr="009D743B" w:rsidRDefault="007D1C9F" w:rsidP="00A31EE5">
            <w:pPr>
              <w:pStyle w:val="TableFooter"/>
              <w:spacing w:before="40" w:after="40"/>
              <w:jc w:val="left"/>
              <w:rPr>
                <w:sz w:val="20"/>
              </w:rPr>
            </w:pPr>
            <w:r w:rsidRPr="009D743B">
              <w:rPr>
                <w:sz w:val="20"/>
              </w:rPr>
              <w:t>Model 4 [Ara 2007]</w:t>
            </w:r>
          </w:p>
        </w:tc>
        <w:tc>
          <w:tcPr>
            <w:tcW w:w="562"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c>
          <w:tcPr>
            <w:tcW w:w="482" w:type="pct"/>
            <w:shd w:val="clear" w:color="auto" w:fill="auto"/>
            <w:vAlign w:val="center"/>
          </w:tcPr>
          <w:p w:rsidR="007D1C9F" w:rsidRPr="0050211C" w:rsidRDefault="0050211C" w:rsidP="00A31EE5">
            <w:pPr>
              <w:pStyle w:val="TableFooter"/>
              <w:spacing w:before="40" w:after="40"/>
              <w:jc w:val="center"/>
              <w:rPr>
                <w:sz w:val="20"/>
                <w:highlight w:val="black"/>
              </w:rPr>
            </w:pPr>
            <w:r>
              <w:rPr>
                <w:noProof/>
                <w:color w:val="000000"/>
                <w:sz w:val="20"/>
                <w:highlight w:val="black"/>
              </w:rPr>
              <w:t>''''''''''</w:t>
            </w:r>
          </w:p>
        </w:tc>
        <w:tc>
          <w:tcPr>
            <w:tcW w:w="563"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r>
      <w:tr w:rsidR="007D1C9F" w:rsidRPr="009D743B" w:rsidTr="00DB7BEB">
        <w:trPr>
          <w:trHeight w:val="70"/>
        </w:trPr>
        <w:tc>
          <w:tcPr>
            <w:tcW w:w="1411" w:type="pct"/>
            <w:vMerge w:val="restart"/>
            <w:shd w:val="clear" w:color="auto" w:fill="auto"/>
            <w:vAlign w:val="center"/>
          </w:tcPr>
          <w:p w:rsidR="007D1C9F" w:rsidRPr="009D743B" w:rsidRDefault="007D1C9F" w:rsidP="00A31EE5">
            <w:pPr>
              <w:pStyle w:val="TableFooter"/>
              <w:spacing w:before="40" w:after="40"/>
              <w:jc w:val="left"/>
              <w:rPr>
                <w:sz w:val="20"/>
              </w:rPr>
            </w:pPr>
            <w:r w:rsidRPr="009D743B">
              <w:rPr>
                <w:sz w:val="20"/>
              </w:rPr>
              <w:t>Annual disease cost estimation: BASFI-based exponential model (Tilden 2004)</w:t>
            </w:r>
          </w:p>
        </w:tc>
        <w:tc>
          <w:tcPr>
            <w:tcW w:w="1982" w:type="pct"/>
            <w:shd w:val="clear" w:color="auto" w:fill="auto"/>
            <w:vAlign w:val="center"/>
          </w:tcPr>
          <w:p w:rsidR="007D1C9F" w:rsidRPr="009D743B" w:rsidRDefault="007D1C9F" w:rsidP="00A31EE5">
            <w:pPr>
              <w:pStyle w:val="TableFooter"/>
              <w:spacing w:before="40" w:after="40"/>
              <w:jc w:val="left"/>
              <w:rPr>
                <w:sz w:val="20"/>
              </w:rPr>
            </w:pPr>
            <w:r w:rsidRPr="009D743B">
              <w:rPr>
                <w:sz w:val="20"/>
              </w:rPr>
              <w:t>Disease-related costs reduced by 75%</w:t>
            </w:r>
          </w:p>
        </w:tc>
        <w:tc>
          <w:tcPr>
            <w:tcW w:w="562"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c>
          <w:tcPr>
            <w:tcW w:w="482" w:type="pct"/>
            <w:shd w:val="clear" w:color="auto" w:fill="auto"/>
            <w:vAlign w:val="center"/>
          </w:tcPr>
          <w:p w:rsidR="007D1C9F" w:rsidRPr="0050211C" w:rsidRDefault="0050211C" w:rsidP="00A31EE5">
            <w:pPr>
              <w:pStyle w:val="TableFooter"/>
              <w:spacing w:before="40" w:after="40"/>
              <w:jc w:val="center"/>
              <w:rPr>
                <w:sz w:val="20"/>
                <w:highlight w:val="black"/>
              </w:rPr>
            </w:pPr>
            <w:r>
              <w:rPr>
                <w:noProof/>
                <w:color w:val="000000"/>
                <w:sz w:val="20"/>
                <w:highlight w:val="black"/>
              </w:rPr>
              <w:t>''''''''''</w:t>
            </w:r>
          </w:p>
        </w:tc>
        <w:tc>
          <w:tcPr>
            <w:tcW w:w="563"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r>
      <w:tr w:rsidR="000A4B9D" w:rsidRPr="009D743B" w:rsidTr="00DB7BEB">
        <w:trPr>
          <w:trHeight w:val="78"/>
        </w:trPr>
        <w:tc>
          <w:tcPr>
            <w:tcW w:w="1411" w:type="pct"/>
            <w:vMerge/>
            <w:shd w:val="clear" w:color="auto" w:fill="auto"/>
            <w:vAlign w:val="center"/>
          </w:tcPr>
          <w:p w:rsidR="000A4B9D" w:rsidRPr="009D743B" w:rsidRDefault="000A4B9D" w:rsidP="00A31EE5">
            <w:pPr>
              <w:pStyle w:val="TableFooter"/>
              <w:spacing w:before="40" w:after="40"/>
              <w:jc w:val="left"/>
              <w:rPr>
                <w:sz w:val="20"/>
              </w:rPr>
            </w:pPr>
          </w:p>
        </w:tc>
        <w:tc>
          <w:tcPr>
            <w:tcW w:w="1982" w:type="pct"/>
            <w:shd w:val="clear" w:color="auto" w:fill="auto"/>
            <w:vAlign w:val="center"/>
          </w:tcPr>
          <w:p w:rsidR="000A4B9D" w:rsidRPr="009D743B" w:rsidRDefault="000A4B9D" w:rsidP="00A31EE5">
            <w:pPr>
              <w:pStyle w:val="TableFooter"/>
              <w:spacing w:before="40" w:after="40"/>
              <w:jc w:val="left"/>
              <w:rPr>
                <w:sz w:val="20"/>
              </w:rPr>
            </w:pPr>
            <w:r w:rsidRPr="009D743B">
              <w:rPr>
                <w:sz w:val="20"/>
              </w:rPr>
              <w:t>Disease-related costs reduced by 50%</w:t>
            </w:r>
          </w:p>
        </w:tc>
        <w:tc>
          <w:tcPr>
            <w:tcW w:w="562" w:type="pct"/>
            <w:shd w:val="clear" w:color="auto" w:fill="auto"/>
            <w:vAlign w:val="center"/>
          </w:tcPr>
          <w:p w:rsidR="000A4B9D" w:rsidRPr="009D743B" w:rsidRDefault="000A4B9D" w:rsidP="00A31EE5">
            <w:pPr>
              <w:pStyle w:val="TableFooter"/>
              <w:spacing w:before="40" w:after="40"/>
              <w:jc w:val="center"/>
              <w:rPr>
                <w:sz w:val="20"/>
              </w:rPr>
            </w:pPr>
            <w:r w:rsidRPr="009D743B">
              <w:rPr>
                <w:sz w:val="20"/>
              </w:rPr>
              <w:t>$</w:t>
            </w:r>
            <w:r w:rsidR="0050211C">
              <w:rPr>
                <w:noProof/>
                <w:color w:val="000000"/>
                <w:sz w:val="20"/>
                <w:highlight w:val="black"/>
              </w:rPr>
              <w:t>'''''''''''''''''</w:t>
            </w:r>
          </w:p>
        </w:tc>
        <w:tc>
          <w:tcPr>
            <w:tcW w:w="482" w:type="pct"/>
            <w:shd w:val="clear" w:color="auto" w:fill="auto"/>
            <w:vAlign w:val="center"/>
          </w:tcPr>
          <w:p w:rsidR="000A4B9D" w:rsidRPr="0050211C" w:rsidRDefault="0050211C" w:rsidP="00A31EE5">
            <w:pPr>
              <w:pStyle w:val="TableFooter"/>
              <w:spacing w:before="40" w:after="40"/>
              <w:jc w:val="center"/>
              <w:rPr>
                <w:sz w:val="20"/>
                <w:highlight w:val="black"/>
              </w:rPr>
            </w:pPr>
            <w:r>
              <w:rPr>
                <w:noProof/>
                <w:color w:val="000000"/>
                <w:sz w:val="20"/>
                <w:highlight w:val="black"/>
              </w:rPr>
              <w:t>''''''''''''</w:t>
            </w:r>
          </w:p>
        </w:tc>
        <w:tc>
          <w:tcPr>
            <w:tcW w:w="563" w:type="pct"/>
            <w:shd w:val="clear" w:color="auto" w:fill="auto"/>
            <w:vAlign w:val="center"/>
          </w:tcPr>
          <w:p w:rsidR="000A4B9D" w:rsidRPr="009D743B" w:rsidRDefault="000A4B9D" w:rsidP="00A31EE5">
            <w:pPr>
              <w:pStyle w:val="TableFooter"/>
              <w:spacing w:before="40" w:after="40"/>
              <w:jc w:val="center"/>
              <w:rPr>
                <w:sz w:val="20"/>
              </w:rPr>
            </w:pPr>
            <w:r w:rsidRPr="009D743B">
              <w:rPr>
                <w:sz w:val="20"/>
              </w:rPr>
              <w:t>$</w:t>
            </w:r>
            <w:r w:rsidR="0050211C">
              <w:rPr>
                <w:noProof/>
                <w:color w:val="000000"/>
                <w:sz w:val="20"/>
                <w:highlight w:val="black"/>
              </w:rPr>
              <w:t>'''''''''''''''''</w:t>
            </w:r>
          </w:p>
        </w:tc>
      </w:tr>
      <w:tr w:rsidR="007D1C9F" w:rsidRPr="009D743B" w:rsidTr="00DB7BEB">
        <w:trPr>
          <w:trHeight w:val="70"/>
        </w:trPr>
        <w:tc>
          <w:tcPr>
            <w:tcW w:w="1411" w:type="pct"/>
            <w:vMerge/>
            <w:shd w:val="clear" w:color="auto" w:fill="auto"/>
            <w:vAlign w:val="center"/>
          </w:tcPr>
          <w:p w:rsidR="007D1C9F" w:rsidRPr="009D743B" w:rsidRDefault="007D1C9F" w:rsidP="00A31EE5">
            <w:pPr>
              <w:pStyle w:val="TableFooter"/>
              <w:spacing w:before="40" w:after="40"/>
              <w:jc w:val="left"/>
              <w:rPr>
                <w:sz w:val="20"/>
              </w:rPr>
            </w:pPr>
          </w:p>
        </w:tc>
        <w:tc>
          <w:tcPr>
            <w:tcW w:w="1982" w:type="pct"/>
            <w:shd w:val="clear" w:color="auto" w:fill="auto"/>
            <w:vAlign w:val="center"/>
          </w:tcPr>
          <w:p w:rsidR="007D1C9F" w:rsidRPr="009D743B" w:rsidRDefault="007D1C9F" w:rsidP="00A31EE5">
            <w:pPr>
              <w:pStyle w:val="TableFooter"/>
              <w:spacing w:before="40" w:after="40"/>
              <w:jc w:val="left"/>
              <w:rPr>
                <w:sz w:val="20"/>
              </w:rPr>
            </w:pPr>
            <w:r w:rsidRPr="009D743B">
              <w:rPr>
                <w:sz w:val="20"/>
              </w:rPr>
              <w:t>BASFI-based exponential model constant inflated to calculate costs in 2017 AUD</w:t>
            </w:r>
          </w:p>
        </w:tc>
        <w:tc>
          <w:tcPr>
            <w:tcW w:w="562"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c>
          <w:tcPr>
            <w:tcW w:w="482" w:type="pct"/>
            <w:shd w:val="clear" w:color="auto" w:fill="auto"/>
            <w:vAlign w:val="center"/>
          </w:tcPr>
          <w:p w:rsidR="007D1C9F" w:rsidRPr="0050211C" w:rsidRDefault="0050211C" w:rsidP="00A31EE5">
            <w:pPr>
              <w:pStyle w:val="TableFooter"/>
              <w:spacing w:before="40" w:after="40"/>
              <w:jc w:val="center"/>
              <w:rPr>
                <w:sz w:val="20"/>
                <w:highlight w:val="black"/>
              </w:rPr>
            </w:pPr>
            <w:r>
              <w:rPr>
                <w:noProof/>
                <w:color w:val="000000"/>
                <w:sz w:val="20"/>
                <w:highlight w:val="black"/>
              </w:rPr>
              <w:t>'''''''''''</w:t>
            </w:r>
          </w:p>
        </w:tc>
        <w:tc>
          <w:tcPr>
            <w:tcW w:w="563" w:type="pct"/>
            <w:shd w:val="clear" w:color="auto" w:fill="auto"/>
            <w:vAlign w:val="center"/>
          </w:tcPr>
          <w:p w:rsidR="007D1C9F" w:rsidRPr="009D743B" w:rsidRDefault="007D1C9F" w:rsidP="00A31EE5">
            <w:pPr>
              <w:pStyle w:val="TableFooter"/>
              <w:spacing w:before="40" w:after="40"/>
              <w:jc w:val="center"/>
              <w:rPr>
                <w:sz w:val="20"/>
              </w:rPr>
            </w:pPr>
            <w:r w:rsidRPr="009D743B">
              <w:rPr>
                <w:sz w:val="20"/>
              </w:rPr>
              <w:t>$</w:t>
            </w:r>
            <w:r w:rsidR="0050211C">
              <w:rPr>
                <w:noProof/>
                <w:color w:val="000000"/>
                <w:sz w:val="20"/>
                <w:highlight w:val="black"/>
              </w:rPr>
              <w:t>''''''''''''''''</w:t>
            </w:r>
          </w:p>
        </w:tc>
      </w:tr>
      <w:tr w:rsidR="00EF2A66" w:rsidRPr="009D743B" w:rsidTr="00DB7BEB">
        <w:trPr>
          <w:trHeight w:val="153"/>
        </w:trPr>
        <w:tc>
          <w:tcPr>
            <w:tcW w:w="1411" w:type="pct"/>
            <w:shd w:val="clear" w:color="auto" w:fill="auto"/>
            <w:vAlign w:val="center"/>
          </w:tcPr>
          <w:p w:rsidR="00EF2A66" w:rsidRPr="009D743B" w:rsidRDefault="00EF2A66" w:rsidP="00A31EE5">
            <w:pPr>
              <w:pStyle w:val="TableFooter"/>
              <w:spacing w:before="40" w:after="40"/>
              <w:jc w:val="left"/>
              <w:rPr>
                <w:sz w:val="20"/>
              </w:rPr>
            </w:pPr>
            <w:r w:rsidRPr="009D743B">
              <w:rPr>
                <w:sz w:val="20"/>
              </w:rPr>
              <w:t>Time horizon: 20 years</w:t>
            </w:r>
          </w:p>
        </w:tc>
        <w:tc>
          <w:tcPr>
            <w:tcW w:w="1982" w:type="pct"/>
            <w:shd w:val="clear" w:color="auto" w:fill="auto"/>
            <w:vAlign w:val="center"/>
          </w:tcPr>
          <w:p w:rsidR="00EF2A66" w:rsidRPr="009D743B" w:rsidRDefault="00EF2A66" w:rsidP="00A31EE5">
            <w:pPr>
              <w:pStyle w:val="TableFooter"/>
              <w:spacing w:before="40" w:after="40"/>
              <w:jc w:val="left"/>
              <w:rPr>
                <w:sz w:val="20"/>
              </w:rPr>
            </w:pPr>
            <w:r w:rsidRPr="009D743B">
              <w:rPr>
                <w:sz w:val="20"/>
              </w:rPr>
              <w:t>10 years</w:t>
            </w:r>
          </w:p>
        </w:tc>
        <w:tc>
          <w:tcPr>
            <w:tcW w:w="562" w:type="pct"/>
            <w:shd w:val="clear" w:color="auto" w:fill="auto"/>
            <w:vAlign w:val="center"/>
          </w:tcPr>
          <w:p w:rsidR="00EF2A66" w:rsidRPr="009D743B" w:rsidRDefault="00EF2A66" w:rsidP="00A31EE5">
            <w:pPr>
              <w:pStyle w:val="TableFooter"/>
              <w:spacing w:before="40" w:after="40"/>
              <w:jc w:val="center"/>
              <w:rPr>
                <w:sz w:val="20"/>
              </w:rPr>
            </w:pPr>
            <w:r w:rsidRPr="009D743B">
              <w:rPr>
                <w:sz w:val="20"/>
              </w:rPr>
              <w:t>$</w:t>
            </w:r>
            <w:r w:rsidR="0050211C">
              <w:rPr>
                <w:noProof/>
                <w:color w:val="000000"/>
                <w:sz w:val="20"/>
                <w:highlight w:val="black"/>
              </w:rPr>
              <w:t>'''''''''''''''''</w:t>
            </w:r>
          </w:p>
        </w:tc>
        <w:tc>
          <w:tcPr>
            <w:tcW w:w="482" w:type="pct"/>
            <w:shd w:val="clear" w:color="auto" w:fill="auto"/>
            <w:vAlign w:val="center"/>
          </w:tcPr>
          <w:p w:rsidR="00EF2A66" w:rsidRPr="0050211C" w:rsidRDefault="0050211C" w:rsidP="00A31EE5">
            <w:pPr>
              <w:pStyle w:val="TableFooter"/>
              <w:spacing w:before="40" w:after="40"/>
              <w:jc w:val="center"/>
              <w:rPr>
                <w:sz w:val="20"/>
                <w:highlight w:val="black"/>
              </w:rPr>
            </w:pPr>
            <w:r>
              <w:rPr>
                <w:noProof/>
                <w:color w:val="000000"/>
                <w:sz w:val="20"/>
                <w:highlight w:val="black"/>
              </w:rPr>
              <w:t>''''''''''</w:t>
            </w:r>
          </w:p>
        </w:tc>
        <w:tc>
          <w:tcPr>
            <w:tcW w:w="563" w:type="pct"/>
            <w:shd w:val="clear" w:color="auto" w:fill="auto"/>
            <w:vAlign w:val="center"/>
          </w:tcPr>
          <w:p w:rsidR="00EF2A66" w:rsidRPr="009D743B" w:rsidRDefault="00EF2A66" w:rsidP="00A31EE5">
            <w:pPr>
              <w:pStyle w:val="TableFooter"/>
              <w:spacing w:before="40" w:after="40"/>
              <w:jc w:val="center"/>
              <w:rPr>
                <w:sz w:val="20"/>
              </w:rPr>
            </w:pPr>
            <w:r w:rsidRPr="009D743B">
              <w:rPr>
                <w:sz w:val="20"/>
              </w:rPr>
              <w:t>$</w:t>
            </w:r>
            <w:r w:rsidR="0050211C">
              <w:rPr>
                <w:noProof/>
                <w:color w:val="000000"/>
                <w:sz w:val="20"/>
                <w:highlight w:val="black"/>
              </w:rPr>
              <w:t>''''''''''''''''</w:t>
            </w:r>
          </w:p>
        </w:tc>
      </w:tr>
      <w:tr w:rsidR="00B40F42" w:rsidRPr="009D743B" w:rsidTr="00DB7BEB">
        <w:trPr>
          <w:trHeight w:val="153"/>
        </w:trPr>
        <w:tc>
          <w:tcPr>
            <w:tcW w:w="1411" w:type="pct"/>
            <w:vMerge w:val="restart"/>
            <w:shd w:val="clear" w:color="auto" w:fill="auto"/>
            <w:vAlign w:val="center"/>
          </w:tcPr>
          <w:p w:rsidR="00B40F42" w:rsidRPr="009D743B" w:rsidRDefault="00B40F42" w:rsidP="00A31EE5">
            <w:pPr>
              <w:pStyle w:val="TableFooter"/>
              <w:spacing w:before="40" w:after="40"/>
              <w:jc w:val="left"/>
              <w:rPr>
                <w:sz w:val="20"/>
              </w:rPr>
            </w:pPr>
            <w:r w:rsidRPr="009D743B">
              <w:rPr>
                <w:sz w:val="20"/>
              </w:rPr>
              <w:t xml:space="preserve">Discontinuation </w:t>
            </w:r>
            <w:r w:rsidRPr="00A12545">
              <w:rPr>
                <w:sz w:val="20"/>
              </w:rPr>
              <w:t xml:space="preserve">rates: </w:t>
            </w:r>
            <w:r w:rsidR="00F10AAC" w:rsidRPr="00A12545">
              <w:rPr>
                <w:rFonts w:ascii="Calibri" w:eastAsia="Calibri" w:hAnsi="Calibri"/>
                <w:snapToGrid/>
                <w:sz w:val="20"/>
                <w:szCs w:val="22"/>
              </w:rPr>
              <w:t xml:space="preserve">: </w:t>
            </w:r>
            <w:r w:rsidR="0050211C">
              <w:rPr>
                <w:rFonts w:ascii="Calibri" w:eastAsia="Calibri" w:hAnsi="Calibri"/>
                <w:noProof/>
                <w:snapToGrid/>
                <w:color w:val="000000"/>
                <w:sz w:val="20"/>
                <w:szCs w:val="22"/>
                <w:highlight w:val="black"/>
              </w:rPr>
              <w:t>''''''</w:t>
            </w:r>
            <w:r w:rsidRPr="009D743B">
              <w:rPr>
                <w:sz w:val="20"/>
              </w:rPr>
              <w:t>% per year (CHECK)</w:t>
            </w:r>
            <w:r w:rsidR="00A31EE5" w:rsidRPr="009D743B">
              <w:rPr>
                <w:sz w:val="20"/>
              </w:rPr>
              <w:t>*</w:t>
            </w:r>
          </w:p>
        </w:tc>
        <w:tc>
          <w:tcPr>
            <w:tcW w:w="1982" w:type="pct"/>
            <w:shd w:val="clear" w:color="auto" w:fill="auto"/>
            <w:vAlign w:val="center"/>
          </w:tcPr>
          <w:p w:rsidR="00B40F42" w:rsidRPr="009D743B" w:rsidRDefault="00B40F42" w:rsidP="00A31EE5">
            <w:pPr>
              <w:pStyle w:val="TableFooter"/>
              <w:spacing w:before="40" w:after="40"/>
              <w:jc w:val="left"/>
              <w:rPr>
                <w:sz w:val="20"/>
              </w:rPr>
            </w:pPr>
            <w:r w:rsidRPr="009D743B">
              <w:rPr>
                <w:sz w:val="20"/>
              </w:rPr>
              <w:t>15% per year</w:t>
            </w:r>
          </w:p>
        </w:tc>
        <w:tc>
          <w:tcPr>
            <w:tcW w:w="562" w:type="pct"/>
            <w:shd w:val="clear" w:color="auto" w:fill="auto"/>
            <w:vAlign w:val="center"/>
          </w:tcPr>
          <w:p w:rsidR="00B40F42" w:rsidRPr="009D743B" w:rsidRDefault="008D0C99" w:rsidP="00A31EE5">
            <w:pPr>
              <w:pStyle w:val="TableFooter"/>
              <w:spacing w:before="40" w:after="40"/>
              <w:jc w:val="center"/>
              <w:rPr>
                <w:sz w:val="20"/>
              </w:rPr>
            </w:pPr>
            <w:r w:rsidRPr="009D743B">
              <w:rPr>
                <w:sz w:val="20"/>
              </w:rPr>
              <w:t>xx</w:t>
            </w:r>
          </w:p>
        </w:tc>
        <w:tc>
          <w:tcPr>
            <w:tcW w:w="482" w:type="pct"/>
            <w:shd w:val="clear" w:color="auto" w:fill="auto"/>
            <w:vAlign w:val="center"/>
          </w:tcPr>
          <w:p w:rsidR="00B40F42" w:rsidRPr="009D743B" w:rsidRDefault="008D0C99" w:rsidP="00A31EE5">
            <w:pPr>
              <w:pStyle w:val="TableFooter"/>
              <w:spacing w:before="40" w:after="40"/>
              <w:jc w:val="center"/>
              <w:rPr>
                <w:sz w:val="20"/>
              </w:rPr>
            </w:pPr>
            <w:r w:rsidRPr="009D743B">
              <w:rPr>
                <w:sz w:val="20"/>
              </w:rPr>
              <w:t>xx</w:t>
            </w:r>
          </w:p>
        </w:tc>
        <w:tc>
          <w:tcPr>
            <w:tcW w:w="563" w:type="pct"/>
            <w:shd w:val="clear" w:color="auto" w:fill="auto"/>
            <w:vAlign w:val="center"/>
          </w:tcPr>
          <w:p w:rsidR="00B40F42" w:rsidRPr="009D743B" w:rsidRDefault="00B40F42" w:rsidP="00A31EE5">
            <w:pPr>
              <w:pStyle w:val="TableFooter"/>
              <w:spacing w:before="40" w:after="40"/>
              <w:jc w:val="center"/>
              <w:rPr>
                <w:sz w:val="20"/>
              </w:rPr>
            </w:pPr>
            <w:r w:rsidRPr="009D743B">
              <w:rPr>
                <w:sz w:val="20"/>
              </w:rPr>
              <w:t>$</w:t>
            </w:r>
            <w:r w:rsidR="0050211C">
              <w:rPr>
                <w:noProof/>
                <w:color w:val="000000"/>
                <w:sz w:val="20"/>
                <w:highlight w:val="black"/>
              </w:rPr>
              <w:t>''''''''''''''''''</w:t>
            </w:r>
          </w:p>
        </w:tc>
      </w:tr>
      <w:tr w:rsidR="00B40F42" w:rsidRPr="009D743B" w:rsidTr="00DB7BEB">
        <w:trPr>
          <w:trHeight w:val="153"/>
        </w:trPr>
        <w:tc>
          <w:tcPr>
            <w:tcW w:w="1411" w:type="pct"/>
            <w:vMerge/>
            <w:shd w:val="clear" w:color="auto" w:fill="auto"/>
            <w:vAlign w:val="center"/>
          </w:tcPr>
          <w:p w:rsidR="00B40F42" w:rsidRPr="009D743B" w:rsidRDefault="00B40F42" w:rsidP="00A31EE5">
            <w:pPr>
              <w:pStyle w:val="TableFooter"/>
              <w:spacing w:before="40" w:after="40"/>
              <w:jc w:val="left"/>
              <w:rPr>
                <w:sz w:val="20"/>
              </w:rPr>
            </w:pPr>
          </w:p>
        </w:tc>
        <w:tc>
          <w:tcPr>
            <w:tcW w:w="1982" w:type="pct"/>
            <w:shd w:val="clear" w:color="auto" w:fill="auto"/>
            <w:vAlign w:val="center"/>
          </w:tcPr>
          <w:p w:rsidR="00B40F42" w:rsidRPr="009D743B" w:rsidRDefault="00B40F42" w:rsidP="00A31EE5">
            <w:pPr>
              <w:pStyle w:val="TableFooter"/>
              <w:spacing w:before="40" w:after="40"/>
              <w:jc w:val="left"/>
              <w:rPr>
                <w:sz w:val="20"/>
              </w:rPr>
            </w:pPr>
            <w:r w:rsidRPr="009D743B">
              <w:rPr>
                <w:sz w:val="20"/>
              </w:rPr>
              <w:t>20% per year</w:t>
            </w:r>
          </w:p>
        </w:tc>
        <w:tc>
          <w:tcPr>
            <w:tcW w:w="562" w:type="pct"/>
            <w:shd w:val="clear" w:color="auto" w:fill="auto"/>
            <w:vAlign w:val="center"/>
          </w:tcPr>
          <w:p w:rsidR="00B40F42" w:rsidRPr="009D743B" w:rsidRDefault="008D0C99" w:rsidP="00A31EE5">
            <w:pPr>
              <w:pStyle w:val="TableFooter"/>
              <w:spacing w:before="40" w:after="40"/>
              <w:jc w:val="center"/>
              <w:rPr>
                <w:sz w:val="20"/>
              </w:rPr>
            </w:pPr>
            <w:r w:rsidRPr="009D743B">
              <w:rPr>
                <w:sz w:val="20"/>
              </w:rPr>
              <w:t>xx</w:t>
            </w:r>
          </w:p>
        </w:tc>
        <w:tc>
          <w:tcPr>
            <w:tcW w:w="482" w:type="pct"/>
            <w:shd w:val="clear" w:color="auto" w:fill="auto"/>
            <w:vAlign w:val="center"/>
          </w:tcPr>
          <w:p w:rsidR="00B40F42" w:rsidRPr="009D743B" w:rsidRDefault="008D0C99" w:rsidP="00A31EE5">
            <w:pPr>
              <w:pStyle w:val="TableFooter"/>
              <w:spacing w:before="40" w:after="40"/>
              <w:jc w:val="center"/>
              <w:rPr>
                <w:sz w:val="20"/>
              </w:rPr>
            </w:pPr>
            <w:r w:rsidRPr="009D743B">
              <w:rPr>
                <w:sz w:val="20"/>
              </w:rPr>
              <w:t>xx</w:t>
            </w:r>
          </w:p>
        </w:tc>
        <w:tc>
          <w:tcPr>
            <w:tcW w:w="563" w:type="pct"/>
            <w:shd w:val="clear" w:color="auto" w:fill="auto"/>
            <w:vAlign w:val="center"/>
          </w:tcPr>
          <w:p w:rsidR="00B40F42" w:rsidRPr="009D743B" w:rsidRDefault="00B40F42" w:rsidP="00A31EE5">
            <w:pPr>
              <w:pStyle w:val="TableFooter"/>
              <w:spacing w:before="40" w:after="40"/>
              <w:jc w:val="center"/>
              <w:rPr>
                <w:sz w:val="20"/>
              </w:rPr>
            </w:pPr>
            <w:r w:rsidRPr="009D743B">
              <w:rPr>
                <w:sz w:val="20"/>
              </w:rPr>
              <w:t>$</w:t>
            </w:r>
            <w:r w:rsidR="0050211C">
              <w:rPr>
                <w:noProof/>
                <w:color w:val="000000"/>
                <w:sz w:val="20"/>
                <w:highlight w:val="black"/>
              </w:rPr>
              <w:t>'''''''''''''''''</w:t>
            </w:r>
          </w:p>
        </w:tc>
      </w:tr>
      <w:tr w:rsidR="00B14CDB" w:rsidRPr="009D743B" w:rsidTr="00DB7BEB">
        <w:trPr>
          <w:trHeight w:val="153"/>
        </w:trPr>
        <w:tc>
          <w:tcPr>
            <w:tcW w:w="5000" w:type="pct"/>
            <w:gridSpan w:val="5"/>
            <w:shd w:val="clear" w:color="auto" w:fill="auto"/>
            <w:vAlign w:val="center"/>
          </w:tcPr>
          <w:p w:rsidR="00B14CDB" w:rsidRPr="009D743B" w:rsidRDefault="00B14CDB" w:rsidP="00A31EE5">
            <w:pPr>
              <w:pStyle w:val="TableFooter"/>
              <w:spacing w:before="40" w:after="40"/>
              <w:jc w:val="left"/>
              <w:rPr>
                <w:b/>
                <w:sz w:val="20"/>
              </w:rPr>
            </w:pPr>
            <w:r w:rsidRPr="009D743B">
              <w:rPr>
                <w:b/>
                <w:sz w:val="20"/>
              </w:rPr>
              <w:t>Multivariate sensitivity analyses</w:t>
            </w:r>
          </w:p>
        </w:tc>
      </w:tr>
      <w:tr w:rsidR="00B14CDB" w:rsidRPr="009D743B" w:rsidTr="00DB7BEB">
        <w:trPr>
          <w:trHeight w:val="153"/>
        </w:trPr>
        <w:tc>
          <w:tcPr>
            <w:tcW w:w="1411" w:type="pct"/>
            <w:vMerge w:val="restart"/>
            <w:shd w:val="clear" w:color="auto" w:fill="auto"/>
            <w:vAlign w:val="center"/>
          </w:tcPr>
          <w:p w:rsidR="00B14CDB" w:rsidRPr="009D743B" w:rsidRDefault="00B14CDB" w:rsidP="00A31EE5">
            <w:pPr>
              <w:pStyle w:val="TableFooter"/>
              <w:spacing w:before="40" w:after="40"/>
              <w:jc w:val="left"/>
              <w:rPr>
                <w:sz w:val="20"/>
              </w:rPr>
            </w:pPr>
            <w:r w:rsidRPr="009D743B">
              <w:rPr>
                <w:sz w:val="20"/>
              </w:rPr>
              <w:t>10 year time horizon plus variations to the utility estimation algorithm</w:t>
            </w:r>
          </w:p>
        </w:tc>
        <w:tc>
          <w:tcPr>
            <w:tcW w:w="1982" w:type="pct"/>
            <w:shd w:val="clear" w:color="auto" w:fill="auto"/>
            <w:vAlign w:val="center"/>
          </w:tcPr>
          <w:p w:rsidR="00B14CDB" w:rsidRPr="009D743B" w:rsidRDefault="00B14CDB" w:rsidP="00A31EE5">
            <w:pPr>
              <w:pStyle w:val="TableFooter"/>
              <w:spacing w:before="40" w:after="40"/>
              <w:jc w:val="left"/>
              <w:rPr>
                <w:sz w:val="20"/>
              </w:rPr>
            </w:pPr>
            <w:r w:rsidRPr="009D743B">
              <w:t>Model 2 [AbbVie]</w:t>
            </w:r>
          </w:p>
        </w:tc>
        <w:tc>
          <w:tcPr>
            <w:tcW w:w="562" w:type="pct"/>
            <w:shd w:val="clear" w:color="auto" w:fill="auto"/>
            <w:vAlign w:val="center"/>
          </w:tcPr>
          <w:p w:rsidR="00B14CDB" w:rsidRPr="009D743B" w:rsidRDefault="00B14CDB" w:rsidP="00A31EE5">
            <w:pPr>
              <w:pStyle w:val="TableFooter"/>
              <w:spacing w:before="40" w:after="40"/>
              <w:jc w:val="center"/>
              <w:rPr>
                <w:sz w:val="20"/>
              </w:rPr>
            </w:pPr>
            <w:r w:rsidRPr="009D743B">
              <w:t>$</w:t>
            </w:r>
            <w:r w:rsidR="0050211C">
              <w:rPr>
                <w:noProof/>
                <w:color w:val="000000"/>
                <w:highlight w:val="black"/>
              </w:rPr>
              <w:t>''''''''''''''''''</w:t>
            </w:r>
          </w:p>
        </w:tc>
        <w:tc>
          <w:tcPr>
            <w:tcW w:w="482" w:type="pct"/>
            <w:shd w:val="clear" w:color="auto" w:fill="auto"/>
            <w:vAlign w:val="center"/>
          </w:tcPr>
          <w:p w:rsidR="00B14CDB" w:rsidRPr="0050211C" w:rsidRDefault="0050211C" w:rsidP="00A31EE5">
            <w:pPr>
              <w:pStyle w:val="TableFooter"/>
              <w:spacing w:before="40" w:after="40"/>
              <w:jc w:val="center"/>
              <w:rPr>
                <w:sz w:val="20"/>
                <w:highlight w:val="black"/>
              </w:rPr>
            </w:pPr>
            <w:r>
              <w:rPr>
                <w:noProof/>
                <w:color w:val="000000"/>
                <w:highlight w:val="black"/>
              </w:rPr>
              <w:t>'''''''''</w:t>
            </w:r>
          </w:p>
        </w:tc>
        <w:tc>
          <w:tcPr>
            <w:tcW w:w="563" w:type="pct"/>
            <w:shd w:val="clear" w:color="auto" w:fill="auto"/>
            <w:vAlign w:val="center"/>
          </w:tcPr>
          <w:p w:rsidR="00B14CDB" w:rsidRPr="009D743B" w:rsidRDefault="00B14CDB" w:rsidP="00A31EE5">
            <w:pPr>
              <w:pStyle w:val="TableFooter"/>
              <w:spacing w:before="40" w:after="40"/>
              <w:jc w:val="center"/>
              <w:rPr>
                <w:sz w:val="20"/>
              </w:rPr>
            </w:pPr>
            <w:r w:rsidRPr="009D743B">
              <w:t>$</w:t>
            </w:r>
            <w:r w:rsidR="0050211C">
              <w:rPr>
                <w:noProof/>
                <w:color w:val="000000"/>
                <w:highlight w:val="black"/>
              </w:rPr>
              <w:t>''''''''''''''''''</w:t>
            </w:r>
          </w:p>
        </w:tc>
      </w:tr>
      <w:tr w:rsidR="00B14CDB" w:rsidRPr="009D743B" w:rsidTr="00DB7BEB">
        <w:trPr>
          <w:trHeight w:val="153"/>
        </w:trPr>
        <w:tc>
          <w:tcPr>
            <w:tcW w:w="1411" w:type="pct"/>
            <w:vMerge/>
            <w:shd w:val="clear" w:color="auto" w:fill="auto"/>
            <w:vAlign w:val="center"/>
          </w:tcPr>
          <w:p w:rsidR="00B14CDB" w:rsidRPr="009D743B" w:rsidRDefault="00B14CDB" w:rsidP="00A31EE5">
            <w:pPr>
              <w:pStyle w:val="TableFooter"/>
              <w:spacing w:before="40" w:after="40"/>
              <w:jc w:val="left"/>
              <w:rPr>
                <w:sz w:val="20"/>
              </w:rPr>
            </w:pPr>
          </w:p>
        </w:tc>
        <w:tc>
          <w:tcPr>
            <w:tcW w:w="1982" w:type="pct"/>
            <w:shd w:val="clear" w:color="auto" w:fill="auto"/>
            <w:vAlign w:val="center"/>
          </w:tcPr>
          <w:p w:rsidR="00B14CDB" w:rsidRPr="009D743B" w:rsidRDefault="00B14CDB" w:rsidP="00A31EE5">
            <w:pPr>
              <w:pStyle w:val="TableFooter"/>
              <w:spacing w:before="40" w:after="40"/>
              <w:jc w:val="left"/>
              <w:rPr>
                <w:sz w:val="20"/>
              </w:rPr>
            </w:pPr>
            <w:r w:rsidRPr="009D743B">
              <w:t>Model 3 [MSD-AS]</w:t>
            </w:r>
          </w:p>
        </w:tc>
        <w:tc>
          <w:tcPr>
            <w:tcW w:w="562" w:type="pct"/>
            <w:shd w:val="clear" w:color="auto" w:fill="auto"/>
            <w:vAlign w:val="center"/>
          </w:tcPr>
          <w:p w:rsidR="00B14CDB" w:rsidRPr="009D743B" w:rsidRDefault="00B14CDB" w:rsidP="00A31EE5">
            <w:pPr>
              <w:pStyle w:val="TableFooter"/>
              <w:spacing w:before="40" w:after="40"/>
              <w:jc w:val="center"/>
              <w:rPr>
                <w:sz w:val="20"/>
              </w:rPr>
            </w:pPr>
            <w:r w:rsidRPr="009D743B">
              <w:t>$</w:t>
            </w:r>
            <w:r w:rsidR="0050211C">
              <w:rPr>
                <w:noProof/>
                <w:color w:val="000000"/>
                <w:highlight w:val="black"/>
              </w:rPr>
              <w:t>''''''''''''''''''</w:t>
            </w:r>
          </w:p>
        </w:tc>
        <w:tc>
          <w:tcPr>
            <w:tcW w:w="482" w:type="pct"/>
            <w:shd w:val="clear" w:color="auto" w:fill="auto"/>
            <w:vAlign w:val="center"/>
          </w:tcPr>
          <w:p w:rsidR="00B14CDB" w:rsidRPr="0050211C" w:rsidRDefault="0050211C" w:rsidP="00A31EE5">
            <w:pPr>
              <w:pStyle w:val="TableFooter"/>
              <w:spacing w:before="40" w:after="40"/>
              <w:jc w:val="center"/>
              <w:rPr>
                <w:sz w:val="20"/>
                <w:highlight w:val="black"/>
              </w:rPr>
            </w:pPr>
            <w:r>
              <w:rPr>
                <w:noProof/>
                <w:color w:val="000000"/>
                <w:highlight w:val="black"/>
              </w:rPr>
              <w:t>'''''''''''</w:t>
            </w:r>
          </w:p>
        </w:tc>
        <w:tc>
          <w:tcPr>
            <w:tcW w:w="563" w:type="pct"/>
            <w:shd w:val="clear" w:color="auto" w:fill="auto"/>
            <w:vAlign w:val="center"/>
          </w:tcPr>
          <w:p w:rsidR="00B14CDB" w:rsidRPr="009D743B" w:rsidRDefault="00B14CDB" w:rsidP="00A31EE5">
            <w:pPr>
              <w:pStyle w:val="TableFooter"/>
              <w:spacing w:before="40" w:after="40"/>
              <w:jc w:val="center"/>
              <w:rPr>
                <w:sz w:val="20"/>
              </w:rPr>
            </w:pPr>
            <w:r w:rsidRPr="009D743B">
              <w:t>$</w:t>
            </w:r>
            <w:r w:rsidR="0050211C">
              <w:rPr>
                <w:noProof/>
                <w:color w:val="000000"/>
                <w:highlight w:val="black"/>
              </w:rPr>
              <w:t>''''''''''''''''</w:t>
            </w:r>
          </w:p>
        </w:tc>
      </w:tr>
      <w:tr w:rsidR="00B14CDB" w:rsidRPr="009D743B" w:rsidTr="00DB7BEB">
        <w:trPr>
          <w:trHeight w:val="153"/>
        </w:trPr>
        <w:tc>
          <w:tcPr>
            <w:tcW w:w="1411" w:type="pct"/>
            <w:vMerge/>
            <w:shd w:val="clear" w:color="auto" w:fill="auto"/>
            <w:vAlign w:val="center"/>
          </w:tcPr>
          <w:p w:rsidR="00B14CDB" w:rsidRPr="009D743B" w:rsidRDefault="00B14CDB" w:rsidP="00A31EE5">
            <w:pPr>
              <w:pStyle w:val="TableFooter"/>
              <w:spacing w:before="40" w:after="40"/>
              <w:jc w:val="left"/>
              <w:rPr>
                <w:sz w:val="20"/>
              </w:rPr>
            </w:pPr>
          </w:p>
        </w:tc>
        <w:tc>
          <w:tcPr>
            <w:tcW w:w="1982" w:type="pct"/>
            <w:shd w:val="clear" w:color="auto" w:fill="auto"/>
            <w:vAlign w:val="center"/>
          </w:tcPr>
          <w:p w:rsidR="00B14CDB" w:rsidRPr="009D743B" w:rsidRDefault="00B14CDB" w:rsidP="00A31EE5">
            <w:pPr>
              <w:pStyle w:val="TableFooter"/>
              <w:spacing w:before="40" w:after="40"/>
              <w:jc w:val="left"/>
              <w:rPr>
                <w:sz w:val="20"/>
              </w:rPr>
            </w:pPr>
            <w:r w:rsidRPr="009D743B">
              <w:t>Model 4 [Ara 2007]</w:t>
            </w:r>
          </w:p>
        </w:tc>
        <w:tc>
          <w:tcPr>
            <w:tcW w:w="562" w:type="pct"/>
            <w:shd w:val="clear" w:color="auto" w:fill="auto"/>
            <w:vAlign w:val="center"/>
          </w:tcPr>
          <w:p w:rsidR="00B14CDB" w:rsidRPr="009D743B" w:rsidRDefault="00B14CDB" w:rsidP="00A31EE5">
            <w:pPr>
              <w:pStyle w:val="TableFooter"/>
              <w:spacing w:before="40" w:after="40"/>
              <w:jc w:val="center"/>
              <w:rPr>
                <w:sz w:val="20"/>
              </w:rPr>
            </w:pPr>
            <w:r w:rsidRPr="009D743B">
              <w:t>$</w:t>
            </w:r>
            <w:r w:rsidR="0050211C">
              <w:rPr>
                <w:noProof/>
                <w:color w:val="000000"/>
                <w:highlight w:val="black"/>
              </w:rPr>
              <w:t>''''''''''''''''</w:t>
            </w:r>
          </w:p>
        </w:tc>
        <w:tc>
          <w:tcPr>
            <w:tcW w:w="482" w:type="pct"/>
            <w:shd w:val="clear" w:color="auto" w:fill="auto"/>
            <w:vAlign w:val="center"/>
          </w:tcPr>
          <w:p w:rsidR="00B14CDB" w:rsidRPr="0050211C" w:rsidRDefault="0050211C" w:rsidP="00A31EE5">
            <w:pPr>
              <w:pStyle w:val="TableFooter"/>
              <w:spacing w:before="40" w:after="40"/>
              <w:jc w:val="center"/>
              <w:rPr>
                <w:sz w:val="20"/>
                <w:highlight w:val="black"/>
              </w:rPr>
            </w:pPr>
            <w:r>
              <w:rPr>
                <w:noProof/>
                <w:color w:val="000000"/>
                <w:highlight w:val="black"/>
              </w:rPr>
              <w:t>'''''''''''</w:t>
            </w:r>
          </w:p>
        </w:tc>
        <w:tc>
          <w:tcPr>
            <w:tcW w:w="563" w:type="pct"/>
            <w:shd w:val="clear" w:color="auto" w:fill="auto"/>
            <w:vAlign w:val="center"/>
          </w:tcPr>
          <w:p w:rsidR="00B14CDB" w:rsidRPr="009D743B" w:rsidRDefault="00B14CDB" w:rsidP="00A31EE5">
            <w:pPr>
              <w:pStyle w:val="TableFooter"/>
              <w:spacing w:before="40" w:after="40"/>
              <w:jc w:val="center"/>
              <w:rPr>
                <w:sz w:val="20"/>
              </w:rPr>
            </w:pPr>
            <w:r w:rsidRPr="009D743B">
              <w:t>$</w:t>
            </w:r>
            <w:r w:rsidR="0050211C">
              <w:rPr>
                <w:noProof/>
                <w:color w:val="000000"/>
                <w:highlight w:val="black"/>
              </w:rPr>
              <w:t>''''''''''''''''</w:t>
            </w:r>
          </w:p>
        </w:tc>
      </w:tr>
    </w:tbl>
    <w:p w:rsidR="007D1C9F" w:rsidRPr="009D743B" w:rsidRDefault="007D1C9F" w:rsidP="006F666C">
      <w:pPr>
        <w:pStyle w:val="TableFooter"/>
      </w:pPr>
      <w:r w:rsidRPr="009D743B">
        <w:t>AS = Ankylosing spondylitis; BASFI = Bath ankylosing spondylitis functional index; GLM = golimumab; ICER = Incremental cost effectiveness ratio; QALY = Quality adjusted life-year</w:t>
      </w:r>
    </w:p>
    <w:p w:rsidR="007D1C9F" w:rsidRPr="009D743B" w:rsidRDefault="007D1C9F" w:rsidP="006F666C">
      <w:pPr>
        <w:pStyle w:val="TableFooter"/>
      </w:pPr>
      <w:r w:rsidRPr="009D743B">
        <w:t>Source: Table 3.9.1, pp208-209 of the resubmission</w:t>
      </w:r>
      <w:r w:rsidR="00B40F42" w:rsidRPr="009D743B">
        <w:t xml:space="preserve">, </w:t>
      </w:r>
      <w:r w:rsidR="00A31EE5" w:rsidRPr="009D743B">
        <w:t>*</w:t>
      </w:r>
      <w:r w:rsidR="00B40F42" w:rsidRPr="009D743B">
        <w:t>p2 pre-PBAC response</w:t>
      </w:r>
      <w:r w:rsidR="00B14CDB" w:rsidRPr="009D743B">
        <w:t>, “Attachment 20 CUA model Revised_Final 2.xlsx”</w:t>
      </w:r>
    </w:p>
    <w:p w:rsidR="00C1432F" w:rsidRPr="009D743B" w:rsidRDefault="00C1432F" w:rsidP="00B876BB">
      <w:pPr>
        <w:pStyle w:val="ListParagraph"/>
        <w:numPr>
          <w:ilvl w:val="0"/>
          <w:numId w:val="11"/>
        </w:numPr>
        <w:spacing w:before="0" w:after="120"/>
        <w:ind w:left="567" w:hanging="567"/>
        <w:jc w:val="both"/>
      </w:pPr>
      <w:bookmarkStart w:id="42" w:name="_Toc413139283"/>
      <w:bookmarkStart w:id="43" w:name="_Toc514253035"/>
      <w:r w:rsidRPr="009D743B">
        <w:t xml:space="preserve">The PBAC noted that multivariate sensitivity analyses with both a </w:t>
      </w:r>
      <w:r w:rsidR="00A6130B" w:rsidRPr="009D743B">
        <w:t>ten-year</w:t>
      </w:r>
      <w:r w:rsidRPr="009D743B">
        <w:t xml:space="preserve"> time horizon and alternative utility estimation equations resulted in ICERs between $</w:t>
      </w:r>
      <w:r w:rsidR="005272BA">
        <w:t>15,000/QALY</w:t>
      </w:r>
      <w:r w:rsidRPr="009D743B">
        <w:t xml:space="preserve"> </w:t>
      </w:r>
      <w:r w:rsidR="005272BA">
        <w:t>-</w:t>
      </w:r>
      <w:r w:rsidR="005272BA" w:rsidRPr="009D743B">
        <w:t xml:space="preserve"> </w:t>
      </w:r>
      <w:r w:rsidRPr="009D743B">
        <w:t>$</w:t>
      </w:r>
      <w:r w:rsidR="005272BA">
        <w:t>75,000</w:t>
      </w:r>
      <w:r w:rsidRPr="009D743B">
        <w:t>/QALY</w:t>
      </w:r>
      <w:r w:rsidR="00A31EE5" w:rsidRPr="009D743B">
        <w:t xml:space="preserve">. The PBAC </w:t>
      </w:r>
      <w:r w:rsidR="0099120D" w:rsidRPr="009D743B">
        <w:t>not</w:t>
      </w:r>
      <w:r w:rsidR="00A31EE5" w:rsidRPr="009D743B">
        <w:t xml:space="preserve">ed these additional analyses </w:t>
      </w:r>
      <w:r w:rsidRPr="009D743B">
        <w:t xml:space="preserve">in the context of other </w:t>
      </w:r>
      <w:r w:rsidR="00A31EE5" w:rsidRPr="009D743B">
        <w:t>optimistic</w:t>
      </w:r>
      <w:r w:rsidRPr="009D743B">
        <w:t xml:space="preserve"> assumptions in the model including the higher utilities applied to responders in the golimumab arm than the conventional care arm</w:t>
      </w:r>
      <w:r w:rsidR="00256D1A" w:rsidRPr="009D743B">
        <w:t xml:space="preserve"> (and reliance on only 16 weeks of randomised trial data).</w:t>
      </w:r>
    </w:p>
    <w:p w:rsidR="00C317F3" w:rsidRPr="00B876BB" w:rsidRDefault="00755972" w:rsidP="00772501">
      <w:pPr>
        <w:pStyle w:val="Heading2"/>
      </w:pPr>
      <w:r w:rsidRPr="00B876BB">
        <w:t>Drug cost/patient</w:t>
      </w:r>
      <w:r w:rsidR="00C317F3" w:rsidRPr="00B876BB">
        <w:t>/year</w:t>
      </w:r>
      <w:bookmarkEnd w:id="42"/>
      <w:r w:rsidRPr="00B876BB">
        <w:t>: $15,816.16 (for responders)</w:t>
      </w:r>
      <w:bookmarkEnd w:id="43"/>
    </w:p>
    <w:p w:rsidR="001B2FA8" w:rsidRPr="009D743B" w:rsidRDefault="001B2FA8" w:rsidP="00B876BB">
      <w:pPr>
        <w:pStyle w:val="ListParagraph"/>
        <w:numPr>
          <w:ilvl w:val="0"/>
          <w:numId w:val="11"/>
        </w:numPr>
        <w:spacing w:before="0" w:after="120"/>
        <w:ind w:left="567" w:hanging="567"/>
        <w:jc w:val="both"/>
      </w:pPr>
      <w:bookmarkStart w:id="44" w:name="_Toc413139284"/>
      <w:r w:rsidRPr="009D743B">
        <w:t>Based on a DPMQ of $1,317.93 and 12 scripts per year (dosing on the same date each month). This compared to $</w:t>
      </w:r>
      <w:r w:rsidR="0050211C">
        <w:rPr>
          <w:noProof/>
          <w:color w:val="000000"/>
          <w:highlight w:val="black"/>
        </w:rPr>
        <w:t>'''''''''''''</w:t>
      </w:r>
      <w:r w:rsidRPr="009D743B">
        <w:t xml:space="preserve"> in the previous submission, with the lower cost in the resubmission being due to the reduced DPMQ.</w:t>
      </w:r>
    </w:p>
    <w:p w:rsidR="00C317F3" w:rsidRPr="00B876BB" w:rsidRDefault="00C317F3" w:rsidP="00772501">
      <w:pPr>
        <w:pStyle w:val="Heading2"/>
      </w:pPr>
      <w:bookmarkStart w:id="45" w:name="_Toc514253036"/>
      <w:r w:rsidRPr="00B876BB">
        <w:t>Estimated PBS usage &amp; financial implications</w:t>
      </w:r>
      <w:bookmarkEnd w:id="44"/>
      <w:bookmarkEnd w:id="45"/>
    </w:p>
    <w:p w:rsidR="00371F74" w:rsidRPr="009D743B" w:rsidRDefault="00C317F3" w:rsidP="00B876BB">
      <w:pPr>
        <w:pStyle w:val="ListParagraph"/>
        <w:numPr>
          <w:ilvl w:val="0"/>
          <w:numId w:val="11"/>
        </w:numPr>
        <w:spacing w:before="0" w:after="120"/>
        <w:ind w:left="567" w:hanging="567"/>
        <w:jc w:val="both"/>
      </w:pPr>
      <w:r w:rsidRPr="009D743B">
        <w:t xml:space="preserve">This </w:t>
      </w:r>
      <w:r w:rsidR="00A476AD" w:rsidRPr="009D743B">
        <w:t>re</w:t>
      </w:r>
      <w:r w:rsidRPr="009D743B">
        <w:t xml:space="preserve">submission </w:t>
      </w:r>
      <w:r w:rsidR="00454493" w:rsidRPr="009D743B">
        <w:t>w</w:t>
      </w:r>
      <w:r w:rsidR="006A1FEC" w:rsidRPr="009D743B">
        <w:t>as</w:t>
      </w:r>
      <w:r w:rsidR="00454493" w:rsidRPr="009D743B">
        <w:t xml:space="preserve"> </w:t>
      </w:r>
      <w:r w:rsidRPr="009D743B">
        <w:t xml:space="preserve">not considered by DUSC. </w:t>
      </w:r>
      <w:r w:rsidR="00A31A07" w:rsidRPr="009D743B">
        <w:t xml:space="preserve">The resubmission appropriately used an epidemiological approach to estimate the financial implications of listing </w:t>
      </w:r>
      <w:r w:rsidR="00A31A07" w:rsidRPr="009D743B">
        <w:lastRenderedPageBreak/>
        <w:t>golimumab on the PBS for patients with nr-axSpA.</w:t>
      </w:r>
      <w:r w:rsidR="00EA3507" w:rsidRPr="009D743B">
        <w:t xml:space="preserve"> </w:t>
      </w:r>
      <w:r w:rsidR="00371F74" w:rsidRPr="009D743B">
        <w:t>The new proposed DPMQ of $1,317.93 was used in the financial estimates.</w:t>
      </w:r>
    </w:p>
    <w:p w:rsidR="00623005" w:rsidRPr="009D743B" w:rsidRDefault="00623005" w:rsidP="00B876BB">
      <w:pPr>
        <w:pStyle w:val="ListParagraph"/>
        <w:numPr>
          <w:ilvl w:val="0"/>
          <w:numId w:val="11"/>
        </w:numPr>
        <w:spacing w:before="0" w:after="120"/>
        <w:ind w:left="567" w:hanging="567"/>
        <w:jc w:val="both"/>
      </w:pPr>
      <w:r w:rsidRPr="009D743B">
        <w:t>Numerous changes were made to the financial estimates provided in the resubmission</w:t>
      </w:r>
      <w:r w:rsidR="00371F74" w:rsidRPr="009D743B">
        <w:t>:</w:t>
      </w:r>
      <w:r w:rsidR="00B828CB" w:rsidRPr="009D743B">
        <w:t xml:space="preserve"> </w:t>
      </w:r>
    </w:p>
    <w:p w:rsidR="002F69DF" w:rsidRPr="009D743B" w:rsidRDefault="001F6A1F" w:rsidP="00371F74">
      <w:pPr>
        <w:pStyle w:val="ListParagraph"/>
        <w:spacing w:before="0" w:after="120"/>
        <w:ind w:left="851" w:hanging="284"/>
        <w:jc w:val="both"/>
      </w:pPr>
      <w:r w:rsidRPr="009D743B">
        <w:t>increased the estimated prevalent population with nr-axSpA in Australia by 5% in acknowledgement that some patients treated with golimumab may be aged over 45 years</w:t>
      </w:r>
    </w:p>
    <w:p w:rsidR="002F69DF" w:rsidRPr="009D743B" w:rsidRDefault="001F6A1F" w:rsidP="00371F74">
      <w:pPr>
        <w:pStyle w:val="ListParagraph"/>
        <w:spacing w:before="0" w:after="120"/>
        <w:ind w:left="851" w:hanging="284"/>
        <w:jc w:val="both"/>
      </w:pPr>
      <w:r w:rsidRPr="009D743B">
        <w:t>estimated the eligibility of the prevalent patient pool for golimumab from the OSI population in the GO-AHEAD trial who had elevated CRP, positive evidence of sacroiliitis on MRI, one or more SPA features (other than arthritis and family history), and who were positive for the HLA-B27 gene</w:t>
      </w:r>
    </w:p>
    <w:p w:rsidR="002F69DF" w:rsidRPr="009D743B" w:rsidRDefault="001F6A1F" w:rsidP="00371F74">
      <w:pPr>
        <w:pStyle w:val="ListParagraph"/>
        <w:spacing w:before="0" w:after="120"/>
        <w:ind w:left="851" w:hanging="284"/>
        <w:jc w:val="both"/>
      </w:pPr>
      <w:r w:rsidRPr="009D743B">
        <w:t xml:space="preserve">removed the previous subtraction of patients from the prevalent patient pool who had progressed to AS </w:t>
      </w:r>
    </w:p>
    <w:p w:rsidR="002F69DF" w:rsidRPr="009D743B" w:rsidRDefault="001F6A1F" w:rsidP="00371F74">
      <w:pPr>
        <w:pStyle w:val="ListParagraph"/>
        <w:spacing w:before="0" w:after="120"/>
        <w:ind w:left="851" w:hanging="284"/>
        <w:jc w:val="both"/>
      </w:pPr>
      <w:r w:rsidRPr="009D743B">
        <w:t>based the estimated continuation rate of golimumab on estimates from the GO-AHEAD trial rather than from Wang 2016</w:t>
      </w:r>
    </w:p>
    <w:p w:rsidR="002F69DF" w:rsidRPr="009D743B" w:rsidRDefault="001F6A1F" w:rsidP="00371F74">
      <w:pPr>
        <w:pStyle w:val="ListParagraph"/>
        <w:spacing w:before="0" w:after="120"/>
        <w:ind w:left="851" w:hanging="284"/>
        <w:jc w:val="both"/>
      </w:pPr>
      <w:r w:rsidRPr="009D743B">
        <w:t xml:space="preserve">increased the market uptake rate due to the more specific at risk population requested in the PBS listing, and removed the previous ‘patients electing to receive treatment rate’ based on the Sieper 2016 study </w:t>
      </w:r>
    </w:p>
    <w:p w:rsidR="002F69DF" w:rsidRPr="009D743B" w:rsidRDefault="001F6A1F" w:rsidP="00371F74">
      <w:pPr>
        <w:pStyle w:val="ListParagraph"/>
        <w:spacing w:before="0" w:after="120"/>
        <w:ind w:left="851" w:hanging="284"/>
        <w:jc w:val="both"/>
      </w:pPr>
      <w:r w:rsidRPr="009D743B">
        <w:t xml:space="preserve">removed the cost savings associated with changes in the use of other PBS medicines assumed in the previous submission (based on Tilden 2004) </w:t>
      </w:r>
    </w:p>
    <w:p w:rsidR="002F69DF" w:rsidRPr="009D743B" w:rsidRDefault="001F6A1F" w:rsidP="00371F74">
      <w:pPr>
        <w:pStyle w:val="ListParagraph"/>
        <w:spacing w:before="0" w:after="120"/>
        <w:ind w:left="851" w:hanging="284"/>
        <w:jc w:val="both"/>
      </w:pPr>
      <w:r w:rsidRPr="009D743B">
        <w:t xml:space="preserve">no longer subtracted the cost of conventional care (in regard to ‘other PBS’ or MBS items) from the financial estimates </w:t>
      </w:r>
    </w:p>
    <w:p w:rsidR="002F69DF" w:rsidRPr="009D743B" w:rsidRDefault="001F6A1F" w:rsidP="00371F74">
      <w:pPr>
        <w:pStyle w:val="ListParagraph"/>
        <w:spacing w:before="0" w:after="120"/>
        <w:ind w:left="851" w:hanging="284"/>
        <w:jc w:val="both"/>
      </w:pPr>
      <w:r w:rsidRPr="009D743B">
        <w:t>did not include any costs for inpatient hospital costs for golimumab or conventional care</w:t>
      </w:r>
    </w:p>
    <w:p w:rsidR="002F69DF" w:rsidRPr="009D743B" w:rsidRDefault="001F6A1F" w:rsidP="00371F74">
      <w:pPr>
        <w:pStyle w:val="ListParagraph"/>
        <w:spacing w:before="0" w:after="120"/>
        <w:ind w:left="851" w:hanging="284"/>
        <w:jc w:val="both"/>
      </w:pPr>
      <w:r w:rsidRPr="009D743B">
        <w:t>included an annual Group A GP consultation MBS fee for women</w:t>
      </w:r>
    </w:p>
    <w:p w:rsidR="002F69DF" w:rsidRPr="009D743B" w:rsidRDefault="001F6A1F" w:rsidP="00371F74">
      <w:pPr>
        <w:pStyle w:val="ListParagraph"/>
        <w:spacing w:before="0" w:after="120"/>
        <w:ind w:left="851" w:hanging="284"/>
        <w:jc w:val="both"/>
      </w:pPr>
      <w:r w:rsidRPr="009D743B">
        <w:t xml:space="preserve">used the reduced DPMQ of $1,317.93 and an updated weighted average co-payment to calculate revised financial estimates </w:t>
      </w:r>
    </w:p>
    <w:p w:rsidR="002F69DF" w:rsidRPr="009D743B" w:rsidRDefault="001F6A1F" w:rsidP="00371F74">
      <w:pPr>
        <w:pStyle w:val="ListParagraph"/>
        <w:spacing w:before="0" w:after="120"/>
        <w:ind w:left="851" w:hanging="284"/>
        <w:jc w:val="both"/>
      </w:pPr>
      <w:r w:rsidRPr="009D743B">
        <w:t xml:space="preserve">no longer specifically requested a special pricing arrangement, although in Section 1 the resubmission stated that the Sponsor proposed to work with the Department to incorporate the final negotiated price for patients with nr-axSpA into the weighted price calculation that currently exists for golimumab across the PBS listed indications. </w:t>
      </w:r>
    </w:p>
    <w:p w:rsidR="00CB58B1" w:rsidRPr="009D743B" w:rsidRDefault="00D47EDE" w:rsidP="00B876BB">
      <w:pPr>
        <w:pStyle w:val="ListParagraph"/>
        <w:numPr>
          <w:ilvl w:val="0"/>
          <w:numId w:val="11"/>
        </w:numPr>
        <w:spacing w:before="0" w:after="120"/>
        <w:ind w:left="567" w:hanging="567"/>
        <w:jc w:val="both"/>
      </w:pPr>
      <w:r w:rsidRPr="009D743B">
        <w:t>Table 1</w:t>
      </w:r>
      <w:r w:rsidR="00322547" w:rsidRPr="009D743B">
        <w:t>4</w:t>
      </w:r>
      <w:r w:rsidR="00684D40" w:rsidRPr="009D743B">
        <w:t xml:space="preserve"> </w:t>
      </w:r>
      <w:r w:rsidR="00F400BE" w:rsidRPr="009D743B">
        <w:t>summarises the estimated use and financial implications</w:t>
      </w:r>
      <w:r w:rsidR="00623005" w:rsidRPr="009D743B">
        <w:t xml:space="preserve"> presented in the resubmission, and the comparable estimates provided in the previous submission</w:t>
      </w:r>
      <w:r w:rsidRPr="009D743B">
        <w:t xml:space="preserve"> (shaded cells)</w:t>
      </w:r>
      <w:r w:rsidR="00F400BE" w:rsidRPr="009D743B">
        <w:t>.</w:t>
      </w:r>
      <w:r w:rsidR="00475C1C" w:rsidRPr="009D743B">
        <w:t xml:space="preserve"> The</w:t>
      </w:r>
      <w:r w:rsidR="00C524E1" w:rsidRPr="009D743B">
        <w:t>se</w:t>
      </w:r>
      <w:r w:rsidR="00475C1C" w:rsidRPr="009D743B">
        <w:t xml:space="preserve"> </w:t>
      </w:r>
      <w:r w:rsidR="00CB58B1" w:rsidRPr="009D743B">
        <w:t xml:space="preserve">reflect revised estimates provided in the PSCR, which were </w:t>
      </w:r>
      <w:r w:rsidR="00475C1C" w:rsidRPr="009D743B">
        <w:t xml:space="preserve">updated to correct a number of minor errors identified in the commentary (i.e. calculation of weighted co-payments, and use of the correct MBS benefit fee). </w:t>
      </w:r>
      <w:r w:rsidR="00CB58B1" w:rsidRPr="009D743B">
        <w:t xml:space="preserve">Further, </w:t>
      </w:r>
      <w:r w:rsidR="00CB58B1" w:rsidRPr="009D743B">
        <w:lastRenderedPageBreak/>
        <w:t>to address issues raised in the commentary, t</w:t>
      </w:r>
      <w:r w:rsidR="00475C1C" w:rsidRPr="009D743B">
        <w:t xml:space="preserve">he revised estimates </w:t>
      </w:r>
      <w:r w:rsidR="00CB58B1" w:rsidRPr="009D743B">
        <w:t xml:space="preserve">provided </w:t>
      </w:r>
      <w:r w:rsidR="00475C1C" w:rsidRPr="009D743B">
        <w:t>in the PSCR also included</w:t>
      </w:r>
      <w:r w:rsidR="00CB58B1" w:rsidRPr="009D743B">
        <w:t>:</w:t>
      </w:r>
    </w:p>
    <w:p w:rsidR="00C317F3" w:rsidRPr="009D743B" w:rsidRDefault="00475C1C" w:rsidP="00ED4FA5">
      <w:pPr>
        <w:pStyle w:val="ListParagraph"/>
        <w:numPr>
          <w:ilvl w:val="1"/>
          <w:numId w:val="7"/>
        </w:numPr>
        <w:spacing w:before="0" w:after="0"/>
        <w:ind w:left="851" w:hanging="284"/>
        <w:jc w:val="both"/>
      </w:pPr>
      <w:r w:rsidRPr="009D743B">
        <w:t>MBS item 10997, Nurse Practitioner for Chronic Disease service ($12, applied once per initiating patient) to replicate the self-administration advice provided by site personnel in the GO-AHEAD study</w:t>
      </w:r>
      <w:r w:rsidR="00C524E1" w:rsidRPr="009D743B">
        <w:t>; and</w:t>
      </w:r>
    </w:p>
    <w:p w:rsidR="00CB58B1" w:rsidRPr="009D743B" w:rsidRDefault="00C524E1" w:rsidP="00ED4FA5">
      <w:pPr>
        <w:pStyle w:val="ListParagraph"/>
        <w:numPr>
          <w:ilvl w:val="1"/>
          <w:numId w:val="7"/>
        </w:numPr>
        <w:spacing w:before="0" w:after="120"/>
        <w:ind w:left="851" w:hanging="284"/>
        <w:jc w:val="both"/>
      </w:pPr>
      <w:r w:rsidRPr="009D743B">
        <w:t xml:space="preserve">Hospitalisation </w:t>
      </w:r>
      <w:r w:rsidR="00CB58B1" w:rsidRPr="009D743B">
        <w:t>cost</w:t>
      </w:r>
      <w:r w:rsidRPr="009D743B">
        <w:t>s</w:t>
      </w:r>
      <w:r w:rsidR="00CB58B1" w:rsidRPr="009D743B">
        <w:t xml:space="preserve"> f</w:t>
      </w:r>
      <w:r w:rsidRPr="009D743B">
        <w:t>or</w:t>
      </w:r>
      <w:r w:rsidR="00CB58B1" w:rsidRPr="009D743B">
        <w:t xml:space="preserve"> managing serious adverse reactions</w:t>
      </w:r>
      <w:r w:rsidRPr="009D743B">
        <w:t>, based on the incidence of infections in the GO-AHEAD trial.</w:t>
      </w:r>
    </w:p>
    <w:p w:rsidR="00C317F3" w:rsidRPr="009D743B" w:rsidRDefault="00F400BE" w:rsidP="00F400BE">
      <w:pPr>
        <w:pStyle w:val="Caption"/>
        <w:rPr>
          <w:rFonts w:ascii="Arial Narrow" w:hAnsi="Arial Narrow"/>
        </w:rPr>
      </w:pPr>
      <w:bookmarkStart w:id="46" w:name="_Ref510529854"/>
      <w:r w:rsidRPr="009D743B">
        <w:rPr>
          <w:rFonts w:ascii="Arial Narrow" w:hAnsi="Arial Narrow"/>
        </w:rPr>
        <w:t xml:space="preserve">Table </w:t>
      </w:r>
      <w:r w:rsidR="006F34BE" w:rsidRPr="009D743B">
        <w:rPr>
          <w:rFonts w:ascii="Arial Narrow" w:hAnsi="Arial Narrow"/>
        </w:rPr>
        <w:t>1</w:t>
      </w:r>
      <w:bookmarkEnd w:id="46"/>
      <w:r w:rsidR="00322547" w:rsidRPr="009D743B">
        <w:rPr>
          <w:rFonts w:ascii="Arial Narrow" w:hAnsi="Arial Narrow"/>
        </w:rPr>
        <w:t>4</w:t>
      </w:r>
      <w:r w:rsidRPr="009D743B">
        <w:rPr>
          <w:rFonts w:ascii="Arial Narrow" w:hAnsi="Arial Narrow"/>
        </w:rPr>
        <w:t xml:space="preserve">: </w:t>
      </w:r>
      <w:r w:rsidR="00C317F3" w:rsidRPr="009D743B">
        <w:rPr>
          <w:rFonts w:ascii="Arial Narrow" w:hAnsi="Arial Narrow"/>
        </w:rPr>
        <w:t>Estimated use and financial implications</w:t>
      </w:r>
      <w:r w:rsidR="000466A2" w:rsidRPr="009D743B">
        <w:rPr>
          <w:rFonts w:ascii="Arial Narrow" w:hAnsi="Arial Narrow"/>
        </w:rPr>
        <w:t xml:space="preserve"> (corrected for errors acknowledged in </w:t>
      </w:r>
      <w:r w:rsidR="00475C1C" w:rsidRPr="009D743B">
        <w:rPr>
          <w:rFonts w:ascii="Arial Narrow" w:hAnsi="Arial Narrow"/>
        </w:rPr>
        <w:t xml:space="preserve">the </w:t>
      </w:r>
      <w:r w:rsidR="000466A2" w:rsidRPr="009D743B">
        <w:rPr>
          <w:rFonts w:ascii="Arial Narrow" w:hAnsi="Arial Narrow"/>
        </w:rPr>
        <w:t>PSCR)</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00"/>
        <w:gridCol w:w="1116"/>
        <w:gridCol w:w="1115"/>
        <w:gridCol w:w="1115"/>
        <w:gridCol w:w="1115"/>
        <w:gridCol w:w="1115"/>
        <w:gridCol w:w="1119"/>
      </w:tblGrid>
      <w:tr w:rsidR="00E37424" w:rsidRPr="009D743B" w:rsidTr="006F666C">
        <w:trPr>
          <w:tblHeader/>
        </w:trPr>
        <w:tc>
          <w:tcPr>
            <w:tcW w:w="1278" w:type="pct"/>
            <w:shd w:val="clear" w:color="auto" w:fill="auto"/>
            <w:vAlign w:val="center"/>
          </w:tcPr>
          <w:p w:rsidR="00E37424" w:rsidRPr="009D743B" w:rsidRDefault="00E37424" w:rsidP="00772501">
            <w:pPr>
              <w:pStyle w:val="TableText"/>
            </w:pPr>
          </w:p>
        </w:tc>
        <w:tc>
          <w:tcPr>
            <w:tcW w:w="620" w:type="pct"/>
            <w:shd w:val="clear" w:color="auto" w:fill="auto"/>
            <w:vAlign w:val="center"/>
          </w:tcPr>
          <w:p w:rsidR="00E37424" w:rsidRPr="009D743B" w:rsidRDefault="00E37424" w:rsidP="00772501">
            <w:pPr>
              <w:pStyle w:val="TableText"/>
              <w:jc w:val="center"/>
              <w:rPr>
                <w:b/>
              </w:rPr>
            </w:pPr>
            <w:r w:rsidRPr="009D743B">
              <w:rPr>
                <w:b/>
              </w:rPr>
              <w:t>Year 1</w:t>
            </w:r>
          </w:p>
        </w:tc>
        <w:tc>
          <w:tcPr>
            <w:tcW w:w="620" w:type="pct"/>
            <w:shd w:val="clear" w:color="auto" w:fill="auto"/>
            <w:vAlign w:val="center"/>
          </w:tcPr>
          <w:p w:rsidR="00E37424" w:rsidRPr="009D743B" w:rsidRDefault="00E37424" w:rsidP="00772501">
            <w:pPr>
              <w:pStyle w:val="TableText"/>
              <w:jc w:val="center"/>
              <w:rPr>
                <w:b/>
              </w:rPr>
            </w:pPr>
            <w:r w:rsidRPr="009D743B">
              <w:rPr>
                <w:b/>
              </w:rPr>
              <w:t>Year 2</w:t>
            </w:r>
          </w:p>
        </w:tc>
        <w:tc>
          <w:tcPr>
            <w:tcW w:w="620" w:type="pct"/>
            <w:shd w:val="clear" w:color="auto" w:fill="auto"/>
            <w:vAlign w:val="center"/>
          </w:tcPr>
          <w:p w:rsidR="00E37424" w:rsidRPr="009D743B" w:rsidRDefault="00E37424" w:rsidP="00772501">
            <w:pPr>
              <w:pStyle w:val="TableText"/>
              <w:jc w:val="center"/>
              <w:rPr>
                <w:b/>
              </w:rPr>
            </w:pPr>
            <w:r w:rsidRPr="009D743B">
              <w:rPr>
                <w:b/>
              </w:rPr>
              <w:t>Year 3</w:t>
            </w:r>
          </w:p>
        </w:tc>
        <w:tc>
          <w:tcPr>
            <w:tcW w:w="620" w:type="pct"/>
            <w:shd w:val="clear" w:color="auto" w:fill="auto"/>
            <w:vAlign w:val="center"/>
          </w:tcPr>
          <w:p w:rsidR="00E37424" w:rsidRPr="009D743B" w:rsidRDefault="00E37424" w:rsidP="00772501">
            <w:pPr>
              <w:pStyle w:val="TableText"/>
              <w:jc w:val="center"/>
              <w:rPr>
                <w:b/>
              </w:rPr>
            </w:pPr>
            <w:r w:rsidRPr="009D743B">
              <w:rPr>
                <w:b/>
              </w:rPr>
              <w:t>Year 4</w:t>
            </w:r>
          </w:p>
        </w:tc>
        <w:tc>
          <w:tcPr>
            <w:tcW w:w="620" w:type="pct"/>
            <w:shd w:val="clear" w:color="auto" w:fill="auto"/>
            <w:vAlign w:val="center"/>
          </w:tcPr>
          <w:p w:rsidR="00E37424" w:rsidRPr="009D743B" w:rsidRDefault="00E37424" w:rsidP="00772501">
            <w:pPr>
              <w:pStyle w:val="TableText"/>
              <w:jc w:val="center"/>
              <w:rPr>
                <w:b/>
              </w:rPr>
            </w:pPr>
            <w:r w:rsidRPr="009D743B">
              <w:rPr>
                <w:b/>
              </w:rPr>
              <w:t>Year 5</w:t>
            </w:r>
          </w:p>
        </w:tc>
        <w:tc>
          <w:tcPr>
            <w:tcW w:w="622" w:type="pct"/>
          </w:tcPr>
          <w:p w:rsidR="00E37424" w:rsidRPr="009D743B" w:rsidRDefault="00E37424" w:rsidP="00772501">
            <w:pPr>
              <w:pStyle w:val="TableText"/>
              <w:jc w:val="center"/>
              <w:rPr>
                <w:b/>
              </w:rPr>
            </w:pPr>
            <w:r w:rsidRPr="009D743B">
              <w:rPr>
                <w:b/>
              </w:rPr>
              <w:t>Year 6</w:t>
            </w:r>
          </w:p>
        </w:tc>
      </w:tr>
      <w:tr w:rsidR="00E37424" w:rsidRPr="009D743B" w:rsidTr="00D47EDE">
        <w:tc>
          <w:tcPr>
            <w:tcW w:w="5000" w:type="pct"/>
            <w:gridSpan w:val="7"/>
            <w:shd w:val="clear" w:color="auto" w:fill="auto"/>
            <w:vAlign w:val="center"/>
          </w:tcPr>
          <w:p w:rsidR="00E37424" w:rsidRPr="009D743B" w:rsidRDefault="00E37424" w:rsidP="00772501">
            <w:pPr>
              <w:pStyle w:val="TableText"/>
              <w:rPr>
                <w:b/>
                <w:bCs/>
                <w:color w:val="000000"/>
                <w:szCs w:val="20"/>
              </w:rPr>
            </w:pPr>
            <w:r w:rsidRPr="009D743B">
              <w:rPr>
                <w:b/>
                <w:bCs/>
                <w:color w:val="000000"/>
                <w:szCs w:val="20"/>
              </w:rPr>
              <w:t>Estimated extent of use</w:t>
            </w:r>
          </w:p>
        </w:tc>
      </w:tr>
      <w:tr w:rsidR="0084614A" w:rsidRPr="009D743B" w:rsidTr="006F666C">
        <w:tc>
          <w:tcPr>
            <w:tcW w:w="1278" w:type="pct"/>
            <w:shd w:val="clear" w:color="auto" w:fill="auto"/>
            <w:vAlign w:val="center"/>
          </w:tcPr>
          <w:p w:rsidR="0084614A" w:rsidRPr="009D743B" w:rsidRDefault="0084614A" w:rsidP="0084614A">
            <w:pPr>
              <w:pStyle w:val="TableText"/>
              <w:rPr>
                <w:rFonts w:eastAsia="Times New Roman" w:cs="Times New Roman"/>
                <w:szCs w:val="20"/>
              </w:rPr>
            </w:pPr>
            <w:r w:rsidRPr="009D743B">
              <w:rPr>
                <w:szCs w:val="20"/>
              </w:rPr>
              <w:t>Number of patients treated</w:t>
            </w:r>
          </w:p>
        </w:tc>
        <w:tc>
          <w:tcPr>
            <w:tcW w:w="620" w:type="pct"/>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noProof/>
                <w:color w:val="000000"/>
                <w:szCs w:val="20"/>
                <w:highlight w:val="black"/>
              </w:rPr>
              <w:t>'''''''''''''''</w:t>
            </w:r>
          </w:p>
        </w:tc>
        <w:tc>
          <w:tcPr>
            <w:tcW w:w="620" w:type="pct"/>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noProof/>
                <w:color w:val="000000"/>
                <w:szCs w:val="20"/>
                <w:highlight w:val="black"/>
              </w:rPr>
              <w:t>''''''''''''</w:t>
            </w:r>
          </w:p>
        </w:tc>
        <w:tc>
          <w:tcPr>
            <w:tcW w:w="620" w:type="pct"/>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noProof/>
                <w:color w:val="000000"/>
                <w:szCs w:val="20"/>
                <w:highlight w:val="black"/>
              </w:rPr>
              <w:t>'''''''''''''</w:t>
            </w:r>
          </w:p>
        </w:tc>
        <w:tc>
          <w:tcPr>
            <w:tcW w:w="620" w:type="pct"/>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noProof/>
                <w:color w:val="000000"/>
                <w:szCs w:val="20"/>
                <w:highlight w:val="black"/>
              </w:rPr>
              <w:t>''''''''''''</w:t>
            </w:r>
          </w:p>
        </w:tc>
        <w:tc>
          <w:tcPr>
            <w:tcW w:w="620" w:type="pct"/>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noProof/>
                <w:color w:val="000000"/>
                <w:szCs w:val="20"/>
                <w:highlight w:val="black"/>
              </w:rPr>
              <w:t>''''''''''''''</w:t>
            </w:r>
          </w:p>
        </w:tc>
        <w:tc>
          <w:tcPr>
            <w:tcW w:w="622" w:type="pct"/>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noProof/>
                <w:color w:val="000000"/>
                <w:szCs w:val="20"/>
                <w:highlight w:val="black"/>
              </w:rPr>
              <w:t>''''''''''''''</w:t>
            </w:r>
          </w:p>
        </w:tc>
      </w:tr>
      <w:tr w:rsidR="0084614A" w:rsidRPr="009D743B" w:rsidTr="006F666C">
        <w:tc>
          <w:tcPr>
            <w:tcW w:w="1278" w:type="pct"/>
            <w:shd w:val="clear" w:color="auto" w:fill="auto"/>
            <w:vAlign w:val="center"/>
          </w:tcPr>
          <w:p w:rsidR="0084614A" w:rsidRPr="009D743B" w:rsidRDefault="0084614A" w:rsidP="0084614A">
            <w:pPr>
              <w:pStyle w:val="TableText"/>
              <w:rPr>
                <w:rFonts w:eastAsia="Times New Roman" w:cs="Times New Roman"/>
                <w:szCs w:val="20"/>
              </w:rPr>
            </w:pPr>
            <w:r w:rsidRPr="009D743B">
              <w:rPr>
                <w:szCs w:val="20"/>
              </w:rPr>
              <w:t>Number of scripts dispensed</w:t>
            </w:r>
            <w:r w:rsidRPr="009D743B">
              <w:rPr>
                <w:szCs w:val="20"/>
                <w:vertAlign w:val="superscript"/>
              </w:rPr>
              <w:t>a</w:t>
            </w:r>
          </w:p>
        </w:tc>
        <w:tc>
          <w:tcPr>
            <w:tcW w:w="620" w:type="pct"/>
            <w:tcBorders>
              <w:top w:val="nil"/>
              <w:left w:val="nil"/>
              <w:bottom w:val="single" w:sz="4" w:space="0" w:color="auto"/>
              <w:right w:val="single" w:sz="4" w:space="0" w:color="auto"/>
            </w:tcBorders>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bCs/>
                <w:noProof/>
                <w:color w:val="000000"/>
                <w:szCs w:val="20"/>
                <w:highlight w:val="black"/>
              </w:rPr>
              <w:t>''''''''''''''''</w:t>
            </w:r>
          </w:p>
        </w:tc>
        <w:tc>
          <w:tcPr>
            <w:tcW w:w="620" w:type="pct"/>
            <w:tcBorders>
              <w:top w:val="nil"/>
              <w:left w:val="nil"/>
              <w:bottom w:val="single" w:sz="4" w:space="0" w:color="auto"/>
              <w:right w:val="single" w:sz="4" w:space="0" w:color="auto"/>
            </w:tcBorders>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bCs/>
                <w:noProof/>
                <w:color w:val="000000"/>
                <w:szCs w:val="20"/>
                <w:highlight w:val="black"/>
              </w:rPr>
              <w:t>''''''''''''''''</w:t>
            </w:r>
          </w:p>
        </w:tc>
        <w:tc>
          <w:tcPr>
            <w:tcW w:w="620" w:type="pct"/>
            <w:tcBorders>
              <w:top w:val="nil"/>
              <w:left w:val="nil"/>
              <w:bottom w:val="single" w:sz="4" w:space="0" w:color="auto"/>
              <w:right w:val="single" w:sz="4" w:space="0" w:color="auto"/>
            </w:tcBorders>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bCs/>
                <w:noProof/>
                <w:color w:val="000000"/>
                <w:szCs w:val="20"/>
                <w:highlight w:val="black"/>
              </w:rPr>
              <w:t>'''''''''''''''''</w:t>
            </w:r>
          </w:p>
        </w:tc>
        <w:tc>
          <w:tcPr>
            <w:tcW w:w="620" w:type="pct"/>
            <w:tcBorders>
              <w:top w:val="nil"/>
              <w:left w:val="nil"/>
              <w:bottom w:val="single" w:sz="4" w:space="0" w:color="auto"/>
              <w:right w:val="single" w:sz="4" w:space="0" w:color="auto"/>
            </w:tcBorders>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bCs/>
                <w:noProof/>
                <w:color w:val="000000"/>
                <w:szCs w:val="20"/>
                <w:highlight w:val="black"/>
              </w:rPr>
              <w:t>'''''''''''''''''</w:t>
            </w:r>
          </w:p>
        </w:tc>
        <w:tc>
          <w:tcPr>
            <w:tcW w:w="620" w:type="pct"/>
            <w:tcBorders>
              <w:top w:val="nil"/>
              <w:left w:val="nil"/>
              <w:bottom w:val="single" w:sz="4" w:space="0" w:color="auto"/>
              <w:right w:val="single" w:sz="4" w:space="0" w:color="auto"/>
            </w:tcBorders>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bCs/>
                <w:noProof/>
                <w:color w:val="000000"/>
                <w:szCs w:val="20"/>
                <w:highlight w:val="black"/>
              </w:rPr>
              <w:t>'''''''''''''''''</w:t>
            </w:r>
          </w:p>
        </w:tc>
        <w:tc>
          <w:tcPr>
            <w:tcW w:w="622" w:type="pct"/>
            <w:tcBorders>
              <w:top w:val="nil"/>
              <w:left w:val="nil"/>
              <w:bottom w:val="single" w:sz="4" w:space="0" w:color="auto"/>
              <w:right w:val="single" w:sz="4" w:space="0" w:color="auto"/>
            </w:tcBorders>
            <w:shd w:val="clear" w:color="auto" w:fill="FFFFFF" w:themeFill="background1"/>
            <w:vAlign w:val="center"/>
          </w:tcPr>
          <w:p w:rsidR="0084614A" w:rsidRPr="0050211C" w:rsidRDefault="0050211C" w:rsidP="0084614A">
            <w:pPr>
              <w:pStyle w:val="TableText"/>
              <w:jc w:val="center"/>
              <w:rPr>
                <w:bCs/>
                <w:color w:val="000000"/>
                <w:szCs w:val="20"/>
                <w:highlight w:val="black"/>
              </w:rPr>
            </w:pPr>
            <w:r>
              <w:rPr>
                <w:bCs/>
                <w:noProof/>
                <w:color w:val="000000"/>
                <w:szCs w:val="20"/>
                <w:highlight w:val="black"/>
              </w:rPr>
              <w:t>'''''''''''''''</w:t>
            </w:r>
          </w:p>
        </w:tc>
      </w:tr>
      <w:tr w:rsidR="00623005" w:rsidRPr="009D743B" w:rsidTr="006F666C">
        <w:tc>
          <w:tcPr>
            <w:tcW w:w="1278" w:type="pct"/>
            <w:shd w:val="clear" w:color="auto" w:fill="D9D9D9" w:themeFill="background1" w:themeFillShade="D9"/>
            <w:vAlign w:val="center"/>
          </w:tcPr>
          <w:p w:rsidR="00623005" w:rsidRPr="009D743B" w:rsidRDefault="00623005" w:rsidP="00623005">
            <w:pPr>
              <w:pStyle w:val="TableText"/>
              <w:rPr>
                <w:szCs w:val="20"/>
              </w:rPr>
            </w:pPr>
            <w:r w:rsidRPr="009D743B">
              <w:rPr>
                <w:szCs w:val="20"/>
              </w:rPr>
              <w:t>Number of scripts dispensed</w:t>
            </w:r>
            <w:r w:rsidRPr="009D743B">
              <w:rPr>
                <w:szCs w:val="20"/>
                <w:vertAlign w:val="superscript"/>
              </w:rPr>
              <w:t xml:space="preserve">b </w:t>
            </w:r>
            <w:r w:rsidRPr="009D743B">
              <w:rPr>
                <w:szCs w:val="20"/>
              </w:rPr>
              <w:t>(previous submission)</w:t>
            </w:r>
          </w:p>
        </w:tc>
        <w:tc>
          <w:tcPr>
            <w:tcW w:w="620" w:type="pct"/>
            <w:tcBorders>
              <w:top w:val="nil"/>
              <w:left w:val="nil"/>
              <w:bottom w:val="single" w:sz="4" w:space="0" w:color="auto"/>
              <w:right w:val="single" w:sz="4" w:space="0" w:color="auto"/>
            </w:tcBorders>
            <w:shd w:val="clear" w:color="auto" w:fill="D9D9D9" w:themeFill="background1" w:themeFillShade="D9"/>
            <w:vAlign w:val="center"/>
          </w:tcPr>
          <w:p w:rsidR="00623005" w:rsidRPr="0050211C" w:rsidRDefault="0050211C" w:rsidP="00623005">
            <w:pPr>
              <w:pStyle w:val="TableText"/>
              <w:jc w:val="center"/>
              <w:rPr>
                <w:bCs/>
                <w:szCs w:val="20"/>
                <w:highlight w:val="black"/>
              </w:rPr>
            </w:pPr>
            <w:r>
              <w:rPr>
                <w:bCs/>
                <w:noProof/>
                <w:color w:val="000000"/>
                <w:szCs w:val="20"/>
                <w:highlight w:val="black"/>
              </w:rPr>
              <w:t>''''''''''''''''</w:t>
            </w:r>
          </w:p>
        </w:tc>
        <w:tc>
          <w:tcPr>
            <w:tcW w:w="620" w:type="pct"/>
            <w:tcBorders>
              <w:top w:val="nil"/>
              <w:left w:val="nil"/>
              <w:bottom w:val="single" w:sz="4" w:space="0" w:color="auto"/>
              <w:right w:val="single" w:sz="4" w:space="0" w:color="auto"/>
            </w:tcBorders>
            <w:shd w:val="clear" w:color="auto" w:fill="D9D9D9" w:themeFill="background1" w:themeFillShade="D9"/>
            <w:vAlign w:val="center"/>
          </w:tcPr>
          <w:p w:rsidR="00623005" w:rsidRPr="0050211C" w:rsidRDefault="0050211C" w:rsidP="00623005">
            <w:pPr>
              <w:pStyle w:val="TableText"/>
              <w:jc w:val="center"/>
              <w:rPr>
                <w:bCs/>
                <w:szCs w:val="20"/>
                <w:highlight w:val="black"/>
              </w:rPr>
            </w:pPr>
            <w:r>
              <w:rPr>
                <w:bCs/>
                <w:noProof/>
                <w:color w:val="000000"/>
                <w:szCs w:val="20"/>
                <w:highlight w:val="black"/>
              </w:rPr>
              <w:t>'''''''''''''''</w:t>
            </w:r>
          </w:p>
        </w:tc>
        <w:tc>
          <w:tcPr>
            <w:tcW w:w="620" w:type="pct"/>
            <w:tcBorders>
              <w:top w:val="nil"/>
              <w:left w:val="nil"/>
              <w:bottom w:val="single" w:sz="4" w:space="0" w:color="auto"/>
              <w:right w:val="single" w:sz="4" w:space="0" w:color="auto"/>
            </w:tcBorders>
            <w:shd w:val="clear" w:color="auto" w:fill="D9D9D9" w:themeFill="background1" w:themeFillShade="D9"/>
            <w:vAlign w:val="center"/>
          </w:tcPr>
          <w:p w:rsidR="00623005" w:rsidRPr="0050211C" w:rsidRDefault="0050211C" w:rsidP="00623005">
            <w:pPr>
              <w:pStyle w:val="TableText"/>
              <w:jc w:val="center"/>
              <w:rPr>
                <w:bCs/>
                <w:szCs w:val="20"/>
                <w:highlight w:val="black"/>
              </w:rPr>
            </w:pPr>
            <w:r>
              <w:rPr>
                <w:bCs/>
                <w:noProof/>
                <w:color w:val="000000"/>
                <w:szCs w:val="20"/>
                <w:highlight w:val="black"/>
              </w:rPr>
              <w:t>''''''''''''''''</w:t>
            </w:r>
          </w:p>
        </w:tc>
        <w:tc>
          <w:tcPr>
            <w:tcW w:w="620" w:type="pct"/>
            <w:tcBorders>
              <w:top w:val="nil"/>
              <w:left w:val="nil"/>
              <w:bottom w:val="single" w:sz="4" w:space="0" w:color="auto"/>
              <w:right w:val="single" w:sz="4" w:space="0" w:color="auto"/>
            </w:tcBorders>
            <w:shd w:val="clear" w:color="auto" w:fill="D9D9D9" w:themeFill="background1" w:themeFillShade="D9"/>
            <w:vAlign w:val="center"/>
          </w:tcPr>
          <w:p w:rsidR="00623005" w:rsidRPr="0050211C" w:rsidRDefault="0050211C" w:rsidP="00623005">
            <w:pPr>
              <w:pStyle w:val="TableText"/>
              <w:jc w:val="center"/>
              <w:rPr>
                <w:bCs/>
                <w:szCs w:val="20"/>
                <w:highlight w:val="black"/>
              </w:rPr>
            </w:pPr>
            <w:r>
              <w:rPr>
                <w:bCs/>
                <w:noProof/>
                <w:color w:val="000000"/>
                <w:szCs w:val="20"/>
                <w:highlight w:val="black"/>
              </w:rPr>
              <w:t>''''''''''''''''</w:t>
            </w:r>
          </w:p>
        </w:tc>
        <w:tc>
          <w:tcPr>
            <w:tcW w:w="620" w:type="pct"/>
            <w:tcBorders>
              <w:top w:val="nil"/>
              <w:left w:val="nil"/>
              <w:bottom w:val="single" w:sz="4" w:space="0" w:color="auto"/>
              <w:right w:val="single" w:sz="4" w:space="0" w:color="auto"/>
            </w:tcBorders>
            <w:shd w:val="clear" w:color="auto" w:fill="D9D9D9" w:themeFill="background1" w:themeFillShade="D9"/>
            <w:vAlign w:val="center"/>
          </w:tcPr>
          <w:p w:rsidR="00623005" w:rsidRPr="0050211C" w:rsidRDefault="0050211C" w:rsidP="00623005">
            <w:pPr>
              <w:pStyle w:val="TableText"/>
              <w:jc w:val="center"/>
              <w:rPr>
                <w:bCs/>
                <w:szCs w:val="20"/>
                <w:highlight w:val="black"/>
              </w:rPr>
            </w:pPr>
            <w:r>
              <w:rPr>
                <w:bCs/>
                <w:noProof/>
                <w:color w:val="000000"/>
                <w:szCs w:val="20"/>
                <w:highlight w:val="black"/>
              </w:rPr>
              <w:t>'''''''''''''''''</w:t>
            </w:r>
          </w:p>
        </w:tc>
        <w:tc>
          <w:tcPr>
            <w:tcW w:w="622" w:type="pct"/>
            <w:tcBorders>
              <w:top w:val="nil"/>
              <w:left w:val="nil"/>
              <w:bottom w:val="single" w:sz="4" w:space="0" w:color="auto"/>
              <w:right w:val="single" w:sz="4" w:space="0" w:color="auto"/>
            </w:tcBorders>
            <w:shd w:val="clear" w:color="auto" w:fill="D9D9D9" w:themeFill="background1" w:themeFillShade="D9"/>
            <w:vAlign w:val="center"/>
          </w:tcPr>
          <w:p w:rsidR="00623005" w:rsidRPr="0050211C" w:rsidRDefault="0050211C" w:rsidP="00623005">
            <w:pPr>
              <w:pStyle w:val="TableText"/>
              <w:jc w:val="center"/>
              <w:rPr>
                <w:bCs/>
                <w:szCs w:val="20"/>
                <w:highlight w:val="black"/>
              </w:rPr>
            </w:pPr>
            <w:r>
              <w:rPr>
                <w:bCs/>
                <w:noProof/>
                <w:color w:val="000000"/>
                <w:szCs w:val="20"/>
                <w:highlight w:val="black"/>
              </w:rPr>
              <w:t>'''''''''''''''''</w:t>
            </w:r>
          </w:p>
        </w:tc>
      </w:tr>
      <w:tr w:rsidR="00623005" w:rsidRPr="009D743B" w:rsidTr="00D47EDE">
        <w:tc>
          <w:tcPr>
            <w:tcW w:w="5000" w:type="pct"/>
            <w:gridSpan w:val="7"/>
            <w:shd w:val="clear" w:color="auto" w:fill="auto"/>
            <w:vAlign w:val="center"/>
          </w:tcPr>
          <w:p w:rsidR="00623005" w:rsidRPr="009D743B" w:rsidRDefault="00623005" w:rsidP="00623005">
            <w:pPr>
              <w:pStyle w:val="TableText"/>
              <w:rPr>
                <w:b/>
                <w:bCs/>
                <w:color w:val="000000"/>
                <w:szCs w:val="20"/>
              </w:rPr>
            </w:pPr>
            <w:r w:rsidRPr="009D743B">
              <w:rPr>
                <w:b/>
                <w:bCs/>
                <w:color w:val="000000"/>
                <w:szCs w:val="20"/>
              </w:rPr>
              <w:t>Estimated financial implications of listing golimumab on the PBS/RPBS and Net financial implications</w:t>
            </w:r>
          </w:p>
        </w:tc>
      </w:tr>
      <w:tr w:rsidR="000466A2" w:rsidRPr="009D743B" w:rsidTr="006F666C">
        <w:tc>
          <w:tcPr>
            <w:tcW w:w="1278" w:type="pct"/>
            <w:shd w:val="clear" w:color="auto" w:fill="auto"/>
            <w:vAlign w:val="center"/>
          </w:tcPr>
          <w:p w:rsidR="000466A2" w:rsidRPr="009D743B" w:rsidRDefault="000466A2" w:rsidP="00623005">
            <w:pPr>
              <w:pStyle w:val="TableText"/>
              <w:rPr>
                <w:rFonts w:eastAsia="Times New Roman" w:cs="Times New Roman"/>
                <w:szCs w:val="20"/>
              </w:rPr>
            </w:pPr>
            <w:r w:rsidRPr="009D743B">
              <w:rPr>
                <w:szCs w:val="20"/>
              </w:rPr>
              <w:t>Cost to PBS/RPBS</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2" w:type="pct"/>
            <w:vAlign w:val="center"/>
          </w:tcPr>
          <w:p w:rsidR="000466A2" w:rsidRPr="009D743B" w:rsidRDefault="000466A2" w:rsidP="00623005">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r>
      <w:tr w:rsidR="000466A2" w:rsidRPr="009D743B" w:rsidTr="006F666C">
        <w:tc>
          <w:tcPr>
            <w:tcW w:w="1278" w:type="pct"/>
            <w:shd w:val="clear" w:color="auto" w:fill="auto"/>
            <w:vAlign w:val="center"/>
          </w:tcPr>
          <w:p w:rsidR="000466A2" w:rsidRPr="009D743B" w:rsidRDefault="000466A2" w:rsidP="00623005">
            <w:pPr>
              <w:pStyle w:val="TableText"/>
              <w:rPr>
                <w:szCs w:val="20"/>
              </w:rPr>
            </w:pPr>
            <w:r w:rsidRPr="009D743B">
              <w:rPr>
                <w:szCs w:val="20"/>
              </w:rPr>
              <w:t>Co-payments</w:t>
            </w:r>
          </w:p>
        </w:tc>
        <w:tc>
          <w:tcPr>
            <w:tcW w:w="620" w:type="pct"/>
            <w:shd w:val="clear" w:color="auto" w:fill="auto"/>
            <w:vAlign w:val="center"/>
          </w:tcPr>
          <w:p w:rsidR="000466A2" w:rsidRPr="009D743B" w:rsidRDefault="000466A2" w:rsidP="00623005">
            <w:pPr>
              <w:pStyle w:val="TableText"/>
              <w:jc w:val="center"/>
              <w:rPr>
                <w:bCs/>
                <w:szCs w:val="20"/>
              </w:rPr>
            </w:pPr>
            <w:r w:rsidRPr="009D743B">
              <w:rPr>
                <w:rFonts w:cs="Arial"/>
                <w:szCs w:val="20"/>
              </w:rPr>
              <w:t>-$</w:t>
            </w:r>
            <w:r w:rsidR="0050211C">
              <w:rPr>
                <w:rFonts w:cs="Arial"/>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szCs w:val="20"/>
              </w:rPr>
            </w:pPr>
            <w:r w:rsidRPr="009D743B">
              <w:rPr>
                <w:rFonts w:cs="Arial"/>
                <w:szCs w:val="20"/>
              </w:rPr>
              <w:t>-$</w:t>
            </w:r>
            <w:r w:rsidR="0050211C">
              <w:rPr>
                <w:rFonts w:cs="Arial"/>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szCs w:val="20"/>
              </w:rPr>
            </w:pPr>
            <w:r w:rsidRPr="009D743B">
              <w:rPr>
                <w:rFonts w:cs="Arial"/>
                <w:szCs w:val="20"/>
              </w:rPr>
              <w:t>-$</w:t>
            </w:r>
            <w:r w:rsidR="0050211C">
              <w:rPr>
                <w:rFonts w:cs="Arial"/>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szCs w:val="20"/>
              </w:rPr>
            </w:pPr>
            <w:r w:rsidRPr="009D743B">
              <w:rPr>
                <w:rFonts w:cs="Arial"/>
                <w:szCs w:val="20"/>
              </w:rPr>
              <w:t>-$</w:t>
            </w:r>
            <w:r w:rsidR="0050211C">
              <w:rPr>
                <w:rFonts w:cs="Arial"/>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szCs w:val="20"/>
              </w:rPr>
            </w:pPr>
            <w:r w:rsidRPr="009D743B">
              <w:rPr>
                <w:rFonts w:cs="Arial"/>
                <w:szCs w:val="20"/>
              </w:rPr>
              <w:t>-$</w:t>
            </w:r>
            <w:r w:rsidR="0050211C">
              <w:rPr>
                <w:rFonts w:cs="Arial"/>
                <w:noProof/>
                <w:color w:val="000000"/>
                <w:szCs w:val="20"/>
                <w:highlight w:val="black"/>
              </w:rPr>
              <w:t>''''''''''''''''''''</w:t>
            </w:r>
          </w:p>
        </w:tc>
        <w:tc>
          <w:tcPr>
            <w:tcW w:w="622" w:type="pct"/>
            <w:vAlign w:val="center"/>
          </w:tcPr>
          <w:p w:rsidR="000466A2" w:rsidRPr="009D743B" w:rsidRDefault="000466A2" w:rsidP="00623005">
            <w:pPr>
              <w:pStyle w:val="TableText"/>
              <w:jc w:val="center"/>
              <w:rPr>
                <w:bCs/>
                <w:szCs w:val="20"/>
              </w:rPr>
            </w:pPr>
            <w:r w:rsidRPr="009D743B">
              <w:rPr>
                <w:rFonts w:cs="Arial"/>
                <w:szCs w:val="20"/>
              </w:rPr>
              <w:t>-$</w:t>
            </w:r>
            <w:r w:rsidR="0050211C">
              <w:rPr>
                <w:rFonts w:cs="Arial"/>
                <w:noProof/>
                <w:color w:val="000000"/>
                <w:szCs w:val="20"/>
                <w:highlight w:val="black"/>
              </w:rPr>
              <w:t>''''''''''''''''''''''</w:t>
            </w:r>
          </w:p>
        </w:tc>
      </w:tr>
      <w:tr w:rsidR="000466A2" w:rsidRPr="009D743B" w:rsidTr="006F666C">
        <w:tc>
          <w:tcPr>
            <w:tcW w:w="1278" w:type="pct"/>
            <w:shd w:val="clear" w:color="auto" w:fill="auto"/>
            <w:vAlign w:val="center"/>
          </w:tcPr>
          <w:p w:rsidR="000466A2" w:rsidRPr="009D743B" w:rsidRDefault="000466A2" w:rsidP="00623005">
            <w:pPr>
              <w:pStyle w:val="TableText"/>
              <w:rPr>
                <w:b/>
                <w:szCs w:val="20"/>
              </w:rPr>
            </w:pPr>
            <w:r w:rsidRPr="009D743B">
              <w:rPr>
                <w:b/>
                <w:szCs w:val="20"/>
              </w:rPr>
              <w:t>Cost to PBS/RPBS less co-payments</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0" w:type="pct"/>
            <w:shd w:val="clear" w:color="auto" w:fill="auto"/>
            <w:vAlign w:val="center"/>
          </w:tcPr>
          <w:p w:rsidR="000466A2" w:rsidRPr="009D743B" w:rsidRDefault="000466A2" w:rsidP="00623005">
            <w:pPr>
              <w:pStyle w:val="TableText"/>
              <w:jc w:val="center"/>
              <w:rPr>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2" w:type="pct"/>
            <w:vAlign w:val="center"/>
          </w:tcPr>
          <w:p w:rsidR="000466A2" w:rsidRPr="009D743B" w:rsidRDefault="000466A2" w:rsidP="00623005">
            <w:pPr>
              <w:pStyle w:val="TableText"/>
              <w:jc w:val="center"/>
              <w:rPr>
                <w:bCs/>
                <w:color w:val="000000"/>
                <w:szCs w:val="20"/>
              </w:rPr>
            </w:pPr>
            <w:r w:rsidRPr="009D743B">
              <w:rPr>
                <w:rFonts w:cs="Arial"/>
                <w:b/>
                <w:bCs/>
                <w:color w:val="000000"/>
                <w:szCs w:val="20"/>
              </w:rPr>
              <w:t>$</w:t>
            </w:r>
            <w:r w:rsidR="0050211C">
              <w:rPr>
                <w:rFonts w:cs="Arial"/>
                <w:b/>
                <w:bCs/>
                <w:noProof/>
                <w:color w:val="000000"/>
                <w:szCs w:val="20"/>
                <w:highlight w:val="black"/>
              </w:rPr>
              <w:t>''''''''''''''''''''''</w:t>
            </w:r>
          </w:p>
        </w:tc>
      </w:tr>
      <w:tr w:rsidR="00623005" w:rsidRPr="009D743B" w:rsidTr="006F666C">
        <w:tc>
          <w:tcPr>
            <w:tcW w:w="1278" w:type="pct"/>
            <w:shd w:val="clear" w:color="auto" w:fill="D9D9D9" w:themeFill="background1" w:themeFillShade="D9"/>
            <w:vAlign w:val="center"/>
          </w:tcPr>
          <w:p w:rsidR="00623005" w:rsidRPr="009D743B" w:rsidRDefault="00623005" w:rsidP="00623005">
            <w:pPr>
              <w:pStyle w:val="TableText"/>
              <w:rPr>
                <w:szCs w:val="20"/>
              </w:rPr>
            </w:pPr>
            <w:r w:rsidRPr="009D743B">
              <w:rPr>
                <w:szCs w:val="20"/>
              </w:rPr>
              <w:t>Cost to PBS/RPBS less co-payments (previous submission)</w:t>
            </w:r>
          </w:p>
        </w:tc>
        <w:tc>
          <w:tcPr>
            <w:tcW w:w="620" w:type="pct"/>
            <w:shd w:val="clear" w:color="auto" w:fill="D9D9D9" w:themeFill="background1" w:themeFillShade="D9"/>
            <w:vAlign w:val="center"/>
          </w:tcPr>
          <w:p w:rsidR="00623005" w:rsidRPr="009D743B" w:rsidRDefault="00623005" w:rsidP="00623005">
            <w:pPr>
              <w:pStyle w:val="TableText"/>
              <w:jc w:val="center"/>
              <w:rPr>
                <w:rFonts w:cs="Arial"/>
                <w:b/>
                <w:bCs/>
                <w:color w:val="000000"/>
                <w:szCs w:val="20"/>
              </w:rPr>
            </w:pPr>
            <w:r w:rsidRPr="009D743B">
              <w:rPr>
                <w:bCs/>
                <w:color w:val="000000"/>
                <w:szCs w:val="20"/>
              </w:rPr>
              <w:t>$</w:t>
            </w:r>
            <w:r w:rsidR="0050211C">
              <w:rPr>
                <w:bCs/>
                <w:noProof/>
                <w:color w:val="000000"/>
                <w:szCs w:val="20"/>
                <w:highlight w:val="black"/>
              </w:rPr>
              <w:t>'''''''''''''''''''''''''''</w:t>
            </w:r>
          </w:p>
        </w:tc>
        <w:tc>
          <w:tcPr>
            <w:tcW w:w="620" w:type="pct"/>
            <w:shd w:val="clear" w:color="auto" w:fill="D9D9D9" w:themeFill="background1" w:themeFillShade="D9"/>
            <w:vAlign w:val="center"/>
          </w:tcPr>
          <w:p w:rsidR="00623005" w:rsidRPr="009D743B" w:rsidRDefault="00623005" w:rsidP="00623005">
            <w:pPr>
              <w:pStyle w:val="TableText"/>
              <w:jc w:val="center"/>
              <w:rPr>
                <w:rFonts w:cs="Arial"/>
                <w:b/>
                <w:bCs/>
                <w:color w:val="000000"/>
                <w:szCs w:val="20"/>
              </w:rPr>
            </w:pPr>
            <w:r w:rsidRPr="009D743B">
              <w:rPr>
                <w:bCs/>
                <w:color w:val="000000"/>
                <w:szCs w:val="20"/>
              </w:rPr>
              <w:t>$</w:t>
            </w:r>
            <w:r w:rsidR="0050211C">
              <w:rPr>
                <w:bCs/>
                <w:noProof/>
                <w:color w:val="000000"/>
                <w:szCs w:val="20"/>
                <w:highlight w:val="black"/>
              </w:rPr>
              <w:t>'''''''''''''''''''''''''''''</w:t>
            </w:r>
          </w:p>
        </w:tc>
        <w:tc>
          <w:tcPr>
            <w:tcW w:w="620" w:type="pct"/>
            <w:shd w:val="clear" w:color="auto" w:fill="D9D9D9" w:themeFill="background1" w:themeFillShade="D9"/>
            <w:vAlign w:val="center"/>
          </w:tcPr>
          <w:p w:rsidR="00623005" w:rsidRPr="009D743B" w:rsidRDefault="00623005" w:rsidP="00623005">
            <w:pPr>
              <w:pStyle w:val="TableText"/>
              <w:jc w:val="center"/>
              <w:rPr>
                <w:rFonts w:cs="Arial"/>
                <w:b/>
                <w:bCs/>
                <w:color w:val="000000"/>
                <w:szCs w:val="20"/>
              </w:rPr>
            </w:pPr>
            <w:r w:rsidRPr="009D743B">
              <w:rPr>
                <w:bCs/>
                <w:color w:val="000000"/>
                <w:szCs w:val="20"/>
              </w:rPr>
              <w:t>$</w:t>
            </w:r>
            <w:r w:rsidR="0050211C">
              <w:rPr>
                <w:bCs/>
                <w:noProof/>
                <w:color w:val="000000"/>
                <w:szCs w:val="20"/>
                <w:highlight w:val="black"/>
              </w:rPr>
              <w:t>''''''''''''''''''''''''</w:t>
            </w:r>
          </w:p>
        </w:tc>
        <w:tc>
          <w:tcPr>
            <w:tcW w:w="620" w:type="pct"/>
            <w:shd w:val="clear" w:color="auto" w:fill="D9D9D9" w:themeFill="background1" w:themeFillShade="D9"/>
            <w:vAlign w:val="center"/>
          </w:tcPr>
          <w:p w:rsidR="00623005" w:rsidRPr="009D743B" w:rsidRDefault="00623005" w:rsidP="00623005">
            <w:pPr>
              <w:pStyle w:val="TableText"/>
              <w:jc w:val="center"/>
              <w:rPr>
                <w:rFonts w:cs="Arial"/>
                <w:b/>
                <w:bCs/>
                <w:color w:val="000000"/>
                <w:szCs w:val="20"/>
              </w:rPr>
            </w:pPr>
            <w:r w:rsidRPr="009D743B">
              <w:rPr>
                <w:bCs/>
                <w:color w:val="000000"/>
                <w:szCs w:val="20"/>
              </w:rPr>
              <w:t>$</w:t>
            </w:r>
            <w:r w:rsidR="0050211C">
              <w:rPr>
                <w:bCs/>
                <w:noProof/>
                <w:color w:val="000000"/>
                <w:szCs w:val="20"/>
                <w:highlight w:val="black"/>
              </w:rPr>
              <w:t>''''''''''''''''''''''''</w:t>
            </w:r>
          </w:p>
        </w:tc>
        <w:tc>
          <w:tcPr>
            <w:tcW w:w="620" w:type="pct"/>
            <w:shd w:val="clear" w:color="auto" w:fill="D9D9D9" w:themeFill="background1" w:themeFillShade="D9"/>
            <w:vAlign w:val="center"/>
          </w:tcPr>
          <w:p w:rsidR="00623005" w:rsidRPr="009D743B" w:rsidRDefault="00623005" w:rsidP="00623005">
            <w:pPr>
              <w:pStyle w:val="TableText"/>
              <w:jc w:val="center"/>
              <w:rPr>
                <w:rFonts w:cs="Arial"/>
                <w:b/>
                <w:bCs/>
                <w:color w:val="000000"/>
                <w:szCs w:val="20"/>
              </w:rPr>
            </w:pPr>
            <w:r w:rsidRPr="009D743B">
              <w:rPr>
                <w:bCs/>
                <w:color w:val="000000"/>
                <w:szCs w:val="20"/>
              </w:rPr>
              <w:t>$</w:t>
            </w:r>
            <w:r w:rsidR="0050211C">
              <w:rPr>
                <w:bCs/>
                <w:noProof/>
                <w:color w:val="000000"/>
                <w:szCs w:val="20"/>
                <w:highlight w:val="black"/>
              </w:rPr>
              <w:t>'''''''''''''''''''''''''</w:t>
            </w:r>
          </w:p>
        </w:tc>
        <w:tc>
          <w:tcPr>
            <w:tcW w:w="622" w:type="pct"/>
            <w:shd w:val="clear" w:color="auto" w:fill="D9D9D9" w:themeFill="background1" w:themeFillShade="D9"/>
            <w:vAlign w:val="center"/>
          </w:tcPr>
          <w:p w:rsidR="00623005" w:rsidRPr="009D743B" w:rsidRDefault="00623005" w:rsidP="00623005">
            <w:pPr>
              <w:pStyle w:val="TableText"/>
              <w:jc w:val="center"/>
              <w:rPr>
                <w:rFonts w:cs="Arial"/>
                <w:b/>
                <w:bCs/>
                <w:color w:val="000000"/>
                <w:szCs w:val="20"/>
              </w:rPr>
            </w:pPr>
            <w:r w:rsidRPr="009D743B">
              <w:rPr>
                <w:bCs/>
                <w:color w:val="000000"/>
                <w:szCs w:val="20"/>
              </w:rPr>
              <w:t>$</w:t>
            </w:r>
            <w:r w:rsidR="0050211C">
              <w:rPr>
                <w:bCs/>
                <w:noProof/>
                <w:color w:val="000000"/>
                <w:szCs w:val="20"/>
                <w:highlight w:val="black"/>
              </w:rPr>
              <w:t>'''''''''''''''''''''''''</w:t>
            </w:r>
          </w:p>
        </w:tc>
      </w:tr>
      <w:tr w:rsidR="000466A2" w:rsidRPr="009D743B" w:rsidTr="006F666C">
        <w:tc>
          <w:tcPr>
            <w:tcW w:w="1278" w:type="pct"/>
            <w:shd w:val="clear" w:color="auto" w:fill="auto"/>
            <w:vAlign w:val="center"/>
          </w:tcPr>
          <w:p w:rsidR="000466A2" w:rsidRPr="009D743B" w:rsidRDefault="000466A2" w:rsidP="009776C7">
            <w:pPr>
              <w:pStyle w:val="TableText"/>
              <w:rPr>
                <w:szCs w:val="20"/>
              </w:rPr>
            </w:pPr>
            <w:r w:rsidRPr="009D743B">
              <w:rPr>
                <w:szCs w:val="20"/>
              </w:rPr>
              <w:t>MBS (Net cost)</w:t>
            </w:r>
          </w:p>
        </w:tc>
        <w:tc>
          <w:tcPr>
            <w:tcW w:w="620" w:type="pct"/>
            <w:shd w:val="clear" w:color="auto" w:fill="auto"/>
            <w:vAlign w:val="bottom"/>
          </w:tcPr>
          <w:p w:rsidR="000466A2" w:rsidRPr="009D743B" w:rsidRDefault="000466A2" w:rsidP="009776C7">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0" w:type="pct"/>
            <w:shd w:val="clear" w:color="auto" w:fill="auto"/>
            <w:vAlign w:val="bottom"/>
          </w:tcPr>
          <w:p w:rsidR="000466A2" w:rsidRPr="009D743B" w:rsidRDefault="000466A2" w:rsidP="009776C7">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0" w:type="pct"/>
            <w:shd w:val="clear" w:color="auto" w:fill="auto"/>
            <w:vAlign w:val="bottom"/>
          </w:tcPr>
          <w:p w:rsidR="000466A2" w:rsidRPr="009D743B" w:rsidRDefault="000466A2" w:rsidP="009776C7">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0" w:type="pct"/>
            <w:shd w:val="clear" w:color="auto" w:fill="auto"/>
            <w:vAlign w:val="bottom"/>
          </w:tcPr>
          <w:p w:rsidR="000466A2" w:rsidRPr="009D743B" w:rsidRDefault="000466A2" w:rsidP="009776C7">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0" w:type="pct"/>
            <w:shd w:val="clear" w:color="auto" w:fill="auto"/>
            <w:vAlign w:val="bottom"/>
          </w:tcPr>
          <w:p w:rsidR="000466A2" w:rsidRPr="009D743B" w:rsidRDefault="000466A2" w:rsidP="009776C7">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c>
          <w:tcPr>
            <w:tcW w:w="622" w:type="pct"/>
            <w:vAlign w:val="bottom"/>
          </w:tcPr>
          <w:p w:rsidR="000466A2" w:rsidRPr="009D743B" w:rsidRDefault="000466A2" w:rsidP="009776C7">
            <w:pPr>
              <w:pStyle w:val="TableText"/>
              <w:jc w:val="center"/>
              <w:rPr>
                <w:bCs/>
                <w:color w:val="000000"/>
                <w:szCs w:val="20"/>
              </w:rPr>
            </w:pPr>
            <w:r w:rsidRPr="009D743B">
              <w:rPr>
                <w:rFonts w:cs="Arial"/>
                <w:color w:val="000000"/>
                <w:szCs w:val="20"/>
              </w:rPr>
              <w:t>$</w:t>
            </w:r>
            <w:r w:rsidR="0050211C">
              <w:rPr>
                <w:rFonts w:cs="Arial"/>
                <w:noProof/>
                <w:color w:val="000000"/>
                <w:szCs w:val="20"/>
                <w:highlight w:val="black"/>
              </w:rPr>
              <w:t>''''''''''''''''''''''''''</w:t>
            </w:r>
          </w:p>
        </w:tc>
      </w:tr>
      <w:tr w:rsidR="009776C7" w:rsidRPr="009D743B" w:rsidTr="006F666C">
        <w:tc>
          <w:tcPr>
            <w:tcW w:w="1278" w:type="pct"/>
            <w:shd w:val="clear" w:color="auto" w:fill="D9D9D9" w:themeFill="background1" w:themeFillShade="D9"/>
            <w:vAlign w:val="center"/>
          </w:tcPr>
          <w:p w:rsidR="009776C7" w:rsidRPr="009D743B" w:rsidRDefault="009776C7" w:rsidP="009776C7">
            <w:pPr>
              <w:pStyle w:val="TableText"/>
              <w:rPr>
                <w:szCs w:val="20"/>
              </w:rPr>
            </w:pPr>
            <w:r w:rsidRPr="009D743B">
              <w:rPr>
                <w:szCs w:val="20"/>
              </w:rPr>
              <w:t>MBS (Net cost; previous submission)</w:t>
            </w:r>
          </w:p>
        </w:tc>
        <w:tc>
          <w:tcPr>
            <w:tcW w:w="620" w:type="pct"/>
            <w:shd w:val="clear" w:color="auto" w:fill="D9D9D9" w:themeFill="background1" w:themeFillShade="D9"/>
            <w:vAlign w:val="center"/>
          </w:tcPr>
          <w:p w:rsidR="009776C7" w:rsidRPr="009D743B" w:rsidRDefault="009776C7" w:rsidP="009776C7">
            <w:pPr>
              <w:pStyle w:val="TableText"/>
              <w:jc w:val="center"/>
              <w:rPr>
                <w:bCs/>
                <w:color w:val="000000"/>
                <w:szCs w:val="20"/>
              </w:rPr>
            </w:pPr>
            <w:r w:rsidRPr="009D743B">
              <w:rPr>
                <w:bCs/>
                <w:color w:val="000000"/>
                <w:szCs w:val="20"/>
              </w:rPr>
              <w:t>$</w:t>
            </w:r>
            <w:r w:rsidR="0050211C">
              <w:rPr>
                <w:bCs/>
                <w:noProof/>
                <w:color w:val="000000"/>
                <w:szCs w:val="20"/>
                <w:highlight w:val="black"/>
              </w:rPr>
              <w:t>''''''''''''''''''''''''</w:t>
            </w:r>
          </w:p>
        </w:tc>
        <w:tc>
          <w:tcPr>
            <w:tcW w:w="620" w:type="pct"/>
            <w:shd w:val="clear" w:color="auto" w:fill="D9D9D9" w:themeFill="background1" w:themeFillShade="D9"/>
            <w:vAlign w:val="center"/>
          </w:tcPr>
          <w:p w:rsidR="009776C7" w:rsidRPr="009D743B" w:rsidRDefault="009776C7" w:rsidP="009776C7">
            <w:pPr>
              <w:pStyle w:val="TableText"/>
              <w:jc w:val="center"/>
              <w:rPr>
                <w:bCs/>
                <w:color w:val="000000"/>
                <w:szCs w:val="20"/>
              </w:rPr>
            </w:pPr>
            <w:r w:rsidRPr="009D743B">
              <w:rPr>
                <w:bCs/>
                <w:color w:val="000000"/>
                <w:szCs w:val="20"/>
              </w:rPr>
              <w:t>-$</w:t>
            </w:r>
            <w:r w:rsidR="0050211C">
              <w:rPr>
                <w:bCs/>
                <w:noProof/>
                <w:color w:val="000000"/>
                <w:szCs w:val="20"/>
                <w:highlight w:val="black"/>
              </w:rPr>
              <w:t>''''''''''''''''''</w:t>
            </w:r>
          </w:p>
        </w:tc>
        <w:tc>
          <w:tcPr>
            <w:tcW w:w="620" w:type="pct"/>
            <w:shd w:val="clear" w:color="auto" w:fill="D9D9D9" w:themeFill="background1" w:themeFillShade="D9"/>
            <w:vAlign w:val="center"/>
          </w:tcPr>
          <w:p w:rsidR="009776C7" w:rsidRPr="009D743B" w:rsidRDefault="009776C7" w:rsidP="009776C7">
            <w:pPr>
              <w:pStyle w:val="TableText"/>
              <w:jc w:val="center"/>
              <w:rPr>
                <w:bCs/>
                <w:color w:val="000000"/>
                <w:szCs w:val="20"/>
              </w:rPr>
            </w:pPr>
            <w:r w:rsidRPr="009D743B">
              <w:rPr>
                <w:bCs/>
                <w:color w:val="000000"/>
                <w:szCs w:val="20"/>
              </w:rPr>
              <w:t>-$</w:t>
            </w:r>
            <w:r w:rsidR="0050211C">
              <w:rPr>
                <w:bCs/>
                <w:noProof/>
                <w:color w:val="000000"/>
                <w:szCs w:val="20"/>
                <w:highlight w:val="black"/>
              </w:rPr>
              <w:t>''''''''''''''''''</w:t>
            </w:r>
          </w:p>
        </w:tc>
        <w:tc>
          <w:tcPr>
            <w:tcW w:w="620" w:type="pct"/>
            <w:shd w:val="clear" w:color="auto" w:fill="D9D9D9" w:themeFill="background1" w:themeFillShade="D9"/>
            <w:vAlign w:val="center"/>
          </w:tcPr>
          <w:p w:rsidR="009776C7" w:rsidRPr="009D743B" w:rsidRDefault="009776C7" w:rsidP="009776C7">
            <w:pPr>
              <w:pStyle w:val="TableText"/>
              <w:jc w:val="center"/>
              <w:rPr>
                <w:bCs/>
                <w:color w:val="000000"/>
                <w:szCs w:val="20"/>
              </w:rPr>
            </w:pPr>
            <w:r w:rsidRPr="009D743B">
              <w:rPr>
                <w:bCs/>
                <w:color w:val="000000"/>
                <w:szCs w:val="20"/>
              </w:rPr>
              <w:t>-$</w:t>
            </w:r>
            <w:r w:rsidR="0050211C">
              <w:rPr>
                <w:bCs/>
                <w:noProof/>
                <w:color w:val="000000"/>
                <w:szCs w:val="20"/>
                <w:highlight w:val="black"/>
              </w:rPr>
              <w:t>'''''''''''''''''''''''</w:t>
            </w:r>
          </w:p>
        </w:tc>
        <w:tc>
          <w:tcPr>
            <w:tcW w:w="620" w:type="pct"/>
            <w:shd w:val="clear" w:color="auto" w:fill="D9D9D9" w:themeFill="background1" w:themeFillShade="D9"/>
            <w:vAlign w:val="center"/>
          </w:tcPr>
          <w:p w:rsidR="009776C7" w:rsidRPr="009D743B" w:rsidRDefault="009776C7" w:rsidP="009776C7">
            <w:pPr>
              <w:pStyle w:val="TableText"/>
              <w:jc w:val="center"/>
              <w:rPr>
                <w:bCs/>
                <w:color w:val="000000"/>
                <w:szCs w:val="20"/>
              </w:rPr>
            </w:pPr>
            <w:r w:rsidRPr="009D743B">
              <w:rPr>
                <w:bCs/>
                <w:color w:val="000000"/>
                <w:szCs w:val="20"/>
              </w:rPr>
              <w:t>-$</w:t>
            </w:r>
            <w:r w:rsidR="0050211C">
              <w:rPr>
                <w:bCs/>
                <w:noProof/>
                <w:color w:val="000000"/>
                <w:szCs w:val="20"/>
                <w:highlight w:val="black"/>
              </w:rPr>
              <w:t>'''''''''''''''''''''''</w:t>
            </w:r>
          </w:p>
        </w:tc>
        <w:tc>
          <w:tcPr>
            <w:tcW w:w="622" w:type="pct"/>
            <w:shd w:val="clear" w:color="auto" w:fill="D9D9D9" w:themeFill="background1" w:themeFillShade="D9"/>
            <w:vAlign w:val="center"/>
          </w:tcPr>
          <w:p w:rsidR="009776C7" w:rsidRPr="009D743B" w:rsidRDefault="009776C7" w:rsidP="009776C7">
            <w:pPr>
              <w:pStyle w:val="TableText"/>
              <w:jc w:val="center"/>
              <w:rPr>
                <w:bCs/>
                <w:color w:val="000000"/>
                <w:szCs w:val="20"/>
              </w:rPr>
            </w:pPr>
            <w:r w:rsidRPr="009D743B">
              <w:rPr>
                <w:bCs/>
                <w:color w:val="000000"/>
                <w:szCs w:val="20"/>
              </w:rPr>
              <w:t>-$</w:t>
            </w:r>
            <w:r w:rsidR="0050211C">
              <w:rPr>
                <w:bCs/>
                <w:noProof/>
                <w:color w:val="000000"/>
                <w:szCs w:val="20"/>
                <w:highlight w:val="black"/>
              </w:rPr>
              <w:t>''''''''''''''''''''''''</w:t>
            </w:r>
          </w:p>
        </w:tc>
      </w:tr>
      <w:tr w:rsidR="00CB58B1" w:rsidRPr="009D743B" w:rsidTr="006F666C">
        <w:tc>
          <w:tcPr>
            <w:tcW w:w="1278" w:type="pct"/>
            <w:shd w:val="clear" w:color="auto" w:fill="auto"/>
            <w:vAlign w:val="center"/>
          </w:tcPr>
          <w:p w:rsidR="00CB58B1" w:rsidRPr="009D743B" w:rsidRDefault="00CB58B1" w:rsidP="009776C7">
            <w:pPr>
              <w:pStyle w:val="TableText"/>
              <w:rPr>
                <w:b/>
                <w:szCs w:val="20"/>
              </w:rPr>
            </w:pPr>
            <w:r w:rsidRPr="009D743B">
              <w:rPr>
                <w:b/>
                <w:szCs w:val="20"/>
              </w:rPr>
              <w:t>Net cost PBS/RPBS/MBS</w:t>
            </w:r>
          </w:p>
        </w:tc>
        <w:tc>
          <w:tcPr>
            <w:tcW w:w="620" w:type="pct"/>
            <w:shd w:val="clear" w:color="auto" w:fill="auto"/>
            <w:vAlign w:val="bottom"/>
          </w:tcPr>
          <w:p w:rsidR="00CB58B1" w:rsidRPr="009D743B" w:rsidRDefault="00CB58B1" w:rsidP="009776C7">
            <w:pPr>
              <w:pStyle w:val="TableText"/>
              <w:jc w:val="center"/>
              <w:rPr>
                <w:rFonts w:cs="Arial"/>
                <w:b/>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0" w:type="pct"/>
            <w:shd w:val="clear" w:color="auto" w:fill="auto"/>
            <w:vAlign w:val="bottom"/>
          </w:tcPr>
          <w:p w:rsidR="00CB58B1" w:rsidRPr="009D743B" w:rsidRDefault="00CB58B1" w:rsidP="009776C7">
            <w:pPr>
              <w:pStyle w:val="TableText"/>
              <w:jc w:val="center"/>
              <w:rPr>
                <w:rFonts w:cs="Arial"/>
                <w:b/>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0" w:type="pct"/>
            <w:shd w:val="clear" w:color="auto" w:fill="auto"/>
            <w:vAlign w:val="bottom"/>
          </w:tcPr>
          <w:p w:rsidR="00CB58B1" w:rsidRPr="009D743B" w:rsidRDefault="00CB58B1" w:rsidP="009776C7">
            <w:pPr>
              <w:pStyle w:val="TableText"/>
              <w:jc w:val="center"/>
              <w:rPr>
                <w:rFonts w:cs="Arial"/>
                <w:b/>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0" w:type="pct"/>
            <w:shd w:val="clear" w:color="auto" w:fill="auto"/>
            <w:vAlign w:val="bottom"/>
          </w:tcPr>
          <w:p w:rsidR="00CB58B1" w:rsidRPr="009D743B" w:rsidRDefault="00CB58B1" w:rsidP="009776C7">
            <w:pPr>
              <w:pStyle w:val="TableText"/>
              <w:jc w:val="center"/>
              <w:rPr>
                <w:rFonts w:cs="Arial"/>
                <w:b/>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0" w:type="pct"/>
            <w:shd w:val="clear" w:color="auto" w:fill="auto"/>
            <w:vAlign w:val="bottom"/>
          </w:tcPr>
          <w:p w:rsidR="00CB58B1" w:rsidRPr="009D743B" w:rsidRDefault="00CB58B1" w:rsidP="009776C7">
            <w:pPr>
              <w:pStyle w:val="TableText"/>
              <w:jc w:val="center"/>
              <w:rPr>
                <w:rFonts w:cs="Arial"/>
                <w:b/>
                <w:bCs/>
                <w:color w:val="000000"/>
                <w:szCs w:val="20"/>
              </w:rPr>
            </w:pPr>
            <w:r w:rsidRPr="009D743B">
              <w:rPr>
                <w:rFonts w:cs="Arial"/>
                <w:b/>
                <w:bCs/>
                <w:color w:val="000000"/>
                <w:szCs w:val="20"/>
              </w:rPr>
              <w:t>$</w:t>
            </w:r>
            <w:r w:rsidR="0050211C">
              <w:rPr>
                <w:rFonts w:cs="Arial"/>
                <w:b/>
                <w:bCs/>
                <w:noProof/>
                <w:color w:val="000000"/>
                <w:szCs w:val="20"/>
                <w:highlight w:val="black"/>
              </w:rPr>
              <w:t>'''''''''''''''''''''</w:t>
            </w:r>
          </w:p>
        </w:tc>
        <w:tc>
          <w:tcPr>
            <w:tcW w:w="622" w:type="pct"/>
            <w:shd w:val="clear" w:color="auto" w:fill="auto"/>
            <w:vAlign w:val="bottom"/>
          </w:tcPr>
          <w:p w:rsidR="00CB58B1" w:rsidRPr="009D743B" w:rsidRDefault="00CB58B1" w:rsidP="009776C7">
            <w:pPr>
              <w:pStyle w:val="TableText"/>
              <w:jc w:val="center"/>
              <w:rPr>
                <w:rFonts w:cs="Arial"/>
                <w:b/>
                <w:bCs/>
                <w:color w:val="000000"/>
                <w:szCs w:val="20"/>
              </w:rPr>
            </w:pPr>
            <w:r w:rsidRPr="009D743B">
              <w:rPr>
                <w:rFonts w:cs="Arial"/>
                <w:b/>
                <w:bCs/>
                <w:color w:val="000000"/>
                <w:szCs w:val="20"/>
              </w:rPr>
              <w:t>$</w:t>
            </w:r>
            <w:r w:rsidR="0050211C">
              <w:rPr>
                <w:rFonts w:cs="Arial"/>
                <w:b/>
                <w:bCs/>
                <w:noProof/>
                <w:color w:val="000000"/>
                <w:szCs w:val="20"/>
                <w:highlight w:val="black"/>
              </w:rPr>
              <w:t>''''''''''''''''''''''</w:t>
            </w:r>
          </w:p>
        </w:tc>
      </w:tr>
      <w:tr w:rsidR="000A1AD9" w:rsidRPr="009D743B" w:rsidTr="006F666C">
        <w:tc>
          <w:tcPr>
            <w:tcW w:w="1278" w:type="pct"/>
            <w:shd w:val="clear" w:color="auto" w:fill="D9D9D9" w:themeFill="background1" w:themeFillShade="D9"/>
            <w:vAlign w:val="center"/>
          </w:tcPr>
          <w:p w:rsidR="000A1AD9" w:rsidRPr="009D743B" w:rsidRDefault="000A1AD9" w:rsidP="009776C7">
            <w:pPr>
              <w:pStyle w:val="TableText"/>
              <w:rPr>
                <w:szCs w:val="20"/>
              </w:rPr>
            </w:pPr>
            <w:r w:rsidRPr="009D743B">
              <w:rPr>
                <w:szCs w:val="20"/>
              </w:rPr>
              <w:t>Net cost PBS/RPBS/MBS (previous submission)</w:t>
            </w:r>
          </w:p>
        </w:tc>
        <w:tc>
          <w:tcPr>
            <w:tcW w:w="620" w:type="pct"/>
            <w:shd w:val="clear" w:color="auto" w:fill="D9D9D9" w:themeFill="background1" w:themeFillShade="D9"/>
            <w:vAlign w:val="bottom"/>
          </w:tcPr>
          <w:p w:rsidR="000A1AD9" w:rsidRPr="009D743B" w:rsidRDefault="000A1AD9" w:rsidP="009776C7">
            <w:pPr>
              <w:pStyle w:val="TableText"/>
              <w:jc w:val="center"/>
              <w:rPr>
                <w:rFonts w:cs="Arial"/>
                <w:bCs/>
                <w:color w:val="000000"/>
                <w:szCs w:val="20"/>
              </w:rPr>
            </w:pPr>
            <w:r w:rsidRPr="009D743B">
              <w:rPr>
                <w:rFonts w:cs="Arial"/>
                <w:bCs/>
                <w:color w:val="000000"/>
                <w:szCs w:val="20"/>
              </w:rPr>
              <w:t>$</w:t>
            </w:r>
            <w:r w:rsidR="0050211C">
              <w:rPr>
                <w:rFonts w:cs="Arial"/>
                <w:bCs/>
                <w:noProof/>
                <w:color w:val="000000"/>
                <w:szCs w:val="20"/>
                <w:highlight w:val="black"/>
              </w:rPr>
              <w:t>''''''''''''''''''''''''''</w:t>
            </w:r>
          </w:p>
        </w:tc>
        <w:tc>
          <w:tcPr>
            <w:tcW w:w="620" w:type="pct"/>
            <w:shd w:val="clear" w:color="auto" w:fill="D9D9D9" w:themeFill="background1" w:themeFillShade="D9"/>
            <w:vAlign w:val="bottom"/>
          </w:tcPr>
          <w:p w:rsidR="000A1AD9" w:rsidRPr="009D743B" w:rsidRDefault="000A1AD9" w:rsidP="009776C7">
            <w:pPr>
              <w:pStyle w:val="TableText"/>
              <w:jc w:val="center"/>
              <w:rPr>
                <w:rFonts w:cs="Arial"/>
                <w:bCs/>
                <w:color w:val="000000"/>
                <w:szCs w:val="20"/>
              </w:rPr>
            </w:pPr>
            <w:r w:rsidRPr="009D743B">
              <w:rPr>
                <w:rFonts w:cs="Arial"/>
                <w:bCs/>
                <w:color w:val="000000"/>
                <w:szCs w:val="20"/>
              </w:rPr>
              <w:t>$</w:t>
            </w:r>
            <w:r w:rsidR="0050211C">
              <w:rPr>
                <w:rFonts w:cs="Arial"/>
                <w:bCs/>
                <w:noProof/>
                <w:color w:val="000000"/>
                <w:szCs w:val="20"/>
                <w:highlight w:val="black"/>
              </w:rPr>
              <w:t>''''''''''''''''''''''''''''</w:t>
            </w:r>
          </w:p>
        </w:tc>
        <w:tc>
          <w:tcPr>
            <w:tcW w:w="620" w:type="pct"/>
            <w:shd w:val="clear" w:color="auto" w:fill="D9D9D9" w:themeFill="background1" w:themeFillShade="D9"/>
            <w:vAlign w:val="bottom"/>
          </w:tcPr>
          <w:p w:rsidR="000A1AD9" w:rsidRPr="009D743B" w:rsidRDefault="000A1AD9" w:rsidP="009776C7">
            <w:pPr>
              <w:pStyle w:val="TableText"/>
              <w:jc w:val="center"/>
              <w:rPr>
                <w:rFonts w:cs="Arial"/>
                <w:bCs/>
                <w:color w:val="000000"/>
                <w:szCs w:val="20"/>
              </w:rPr>
            </w:pPr>
            <w:r w:rsidRPr="009D743B">
              <w:rPr>
                <w:rFonts w:cs="Arial"/>
                <w:bCs/>
                <w:color w:val="000000"/>
                <w:szCs w:val="20"/>
              </w:rPr>
              <w:t>$</w:t>
            </w:r>
            <w:r w:rsidR="0050211C">
              <w:rPr>
                <w:rFonts w:cs="Arial"/>
                <w:bCs/>
                <w:noProof/>
                <w:color w:val="000000"/>
                <w:szCs w:val="20"/>
                <w:highlight w:val="black"/>
              </w:rPr>
              <w:t>'''''''''''''''''''''''''''</w:t>
            </w:r>
          </w:p>
        </w:tc>
        <w:tc>
          <w:tcPr>
            <w:tcW w:w="620" w:type="pct"/>
            <w:shd w:val="clear" w:color="auto" w:fill="D9D9D9" w:themeFill="background1" w:themeFillShade="D9"/>
            <w:vAlign w:val="bottom"/>
          </w:tcPr>
          <w:p w:rsidR="000A1AD9" w:rsidRPr="009D743B" w:rsidRDefault="000A1AD9" w:rsidP="009776C7">
            <w:pPr>
              <w:pStyle w:val="TableText"/>
              <w:jc w:val="center"/>
              <w:rPr>
                <w:rFonts w:cs="Arial"/>
                <w:bCs/>
                <w:color w:val="000000"/>
                <w:szCs w:val="20"/>
              </w:rPr>
            </w:pPr>
            <w:r w:rsidRPr="009D743B">
              <w:rPr>
                <w:rFonts w:cs="Arial"/>
                <w:bCs/>
                <w:color w:val="000000"/>
                <w:szCs w:val="20"/>
              </w:rPr>
              <w:t>$</w:t>
            </w:r>
            <w:r w:rsidR="0050211C">
              <w:rPr>
                <w:rFonts w:cs="Arial"/>
                <w:bCs/>
                <w:noProof/>
                <w:color w:val="000000"/>
                <w:szCs w:val="20"/>
                <w:highlight w:val="black"/>
              </w:rPr>
              <w:t>'''''''''''''''''''''''''''''</w:t>
            </w:r>
          </w:p>
        </w:tc>
        <w:tc>
          <w:tcPr>
            <w:tcW w:w="620" w:type="pct"/>
            <w:shd w:val="clear" w:color="auto" w:fill="D9D9D9" w:themeFill="background1" w:themeFillShade="D9"/>
            <w:vAlign w:val="bottom"/>
          </w:tcPr>
          <w:p w:rsidR="000A1AD9" w:rsidRPr="009D743B" w:rsidRDefault="000A1AD9" w:rsidP="009776C7">
            <w:pPr>
              <w:pStyle w:val="TableText"/>
              <w:jc w:val="center"/>
              <w:rPr>
                <w:rFonts w:cs="Arial"/>
                <w:bCs/>
                <w:color w:val="000000"/>
                <w:szCs w:val="20"/>
              </w:rPr>
            </w:pPr>
            <w:r w:rsidRPr="009D743B">
              <w:rPr>
                <w:rFonts w:cs="Arial"/>
                <w:bCs/>
                <w:color w:val="000000"/>
                <w:szCs w:val="20"/>
              </w:rPr>
              <w:t>$</w:t>
            </w:r>
            <w:r w:rsidR="0050211C">
              <w:rPr>
                <w:rFonts w:cs="Arial"/>
                <w:bCs/>
                <w:noProof/>
                <w:color w:val="000000"/>
                <w:szCs w:val="20"/>
                <w:highlight w:val="black"/>
              </w:rPr>
              <w:t>''''''''''''''''''''''''</w:t>
            </w:r>
          </w:p>
        </w:tc>
        <w:tc>
          <w:tcPr>
            <w:tcW w:w="622" w:type="pct"/>
            <w:shd w:val="clear" w:color="auto" w:fill="D9D9D9" w:themeFill="background1" w:themeFillShade="D9"/>
            <w:vAlign w:val="bottom"/>
          </w:tcPr>
          <w:p w:rsidR="000A1AD9" w:rsidRPr="009D743B" w:rsidRDefault="000A1AD9" w:rsidP="009776C7">
            <w:pPr>
              <w:pStyle w:val="TableText"/>
              <w:jc w:val="center"/>
              <w:rPr>
                <w:rFonts w:cs="Arial"/>
                <w:bCs/>
                <w:color w:val="000000"/>
                <w:szCs w:val="20"/>
              </w:rPr>
            </w:pPr>
            <w:r w:rsidRPr="009D743B">
              <w:rPr>
                <w:rFonts w:cs="Arial"/>
                <w:bCs/>
                <w:color w:val="000000"/>
                <w:szCs w:val="20"/>
              </w:rPr>
              <w:t>$</w:t>
            </w:r>
            <w:r w:rsidR="0050211C">
              <w:rPr>
                <w:rFonts w:cs="Arial"/>
                <w:bCs/>
                <w:noProof/>
                <w:color w:val="000000"/>
                <w:szCs w:val="20"/>
                <w:highlight w:val="black"/>
              </w:rPr>
              <w:t>''''''''''''''''''''''''''</w:t>
            </w:r>
          </w:p>
        </w:tc>
      </w:tr>
      <w:tr w:rsidR="00CB58B1" w:rsidRPr="009D743B" w:rsidTr="006F666C">
        <w:tc>
          <w:tcPr>
            <w:tcW w:w="1278" w:type="pct"/>
            <w:shd w:val="clear" w:color="auto" w:fill="auto"/>
            <w:vAlign w:val="center"/>
          </w:tcPr>
          <w:p w:rsidR="00CB58B1" w:rsidRPr="009D743B" w:rsidRDefault="00CB58B1" w:rsidP="009776C7">
            <w:pPr>
              <w:pStyle w:val="TableText"/>
              <w:rPr>
                <w:bCs/>
                <w:szCs w:val="20"/>
                <w:vertAlign w:val="superscript"/>
              </w:rPr>
            </w:pPr>
            <w:r w:rsidRPr="009D743B">
              <w:rPr>
                <w:bCs/>
                <w:szCs w:val="20"/>
              </w:rPr>
              <w:t xml:space="preserve">Hospital costs </w:t>
            </w:r>
            <w:r w:rsidRPr="009D743B">
              <w:rPr>
                <w:bCs/>
                <w:szCs w:val="20"/>
                <w:vertAlign w:val="superscript"/>
              </w:rPr>
              <w:t>c</w:t>
            </w:r>
          </w:p>
        </w:tc>
        <w:tc>
          <w:tcPr>
            <w:tcW w:w="620" w:type="pct"/>
            <w:shd w:val="clear" w:color="auto" w:fill="auto"/>
          </w:tcPr>
          <w:p w:rsidR="00CB58B1" w:rsidRPr="009D743B" w:rsidRDefault="00CB58B1" w:rsidP="009776C7">
            <w:pPr>
              <w:pStyle w:val="TableText"/>
              <w:jc w:val="center"/>
              <w:rPr>
                <w:rFonts w:cs="Arial"/>
                <w:b/>
                <w:bCs/>
                <w:color w:val="000000"/>
                <w:szCs w:val="20"/>
              </w:rPr>
            </w:pPr>
            <w:r w:rsidRPr="009D743B">
              <w:rPr>
                <w:szCs w:val="20"/>
              </w:rPr>
              <w:t>$</w:t>
            </w:r>
            <w:r w:rsidR="0050211C">
              <w:rPr>
                <w:noProof/>
                <w:color w:val="000000"/>
                <w:szCs w:val="20"/>
                <w:highlight w:val="black"/>
              </w:rPr>
              <w:t>''''''''''''''''''''</w:t>
            </w:r>
          </w:p>
        </w:tc>
        <w:tc>
          <w:tcPr>
            <w:tcW w:w="620" w:type="pct"/>
            <w:shd w:val="clear" w:color="auto" w:fill="auto"/>
          </w:tcPr>
          <w:p w:rsidR="00CB58B1" w:rsidRPr="009D743B" w:rsidRDefault="00CB58B1" w:rsidP="009776C7">
            <w:pPr>
              <w:pStyle w:val="TableText"/>
              <w:jc w:val="center"/>
              <w:rPr>
                <w:rFonts w:cs="Arial"/>
                <w:b/>
                <w:bCs/>
                <w:color w:val="000000"/>
                <w:szCs w:val="20"/>
              </w:rPr>
            </w:pPr>
            <w:r w:rsidRPr="009D743B">
              <w:rPr>
                <w:szCs w:val="20"/>
              </w:rPr>
              <w:t>$</w:t>
            </w:r>
            <w:r w:rsidR="0050211C">
              <w:rPr>
                <w:noProof/>
                <w:color w:val="000000"/>
                <w:szCs w:val="20"/>
                <w:highlight w:val="black"/>
              </w:rPr>
              <w:t>'''''''''''''''''''''</w:t>
            </w:r>
          </w:p>
        </w:tc>
        <w:tc>
          <w:tcPr>
            <w:tcW w:w="620" w:type="pct"/>
            <w:shd w:val="clear" w:color="auto" w:fill="auto"/>
          </w:tcPr>
          <w:p w:rsidR="00CB58B1" w:rsidRPr="009D743B" w:rsidRDefault="00CB58B1" w:rsidP="009776C7">
            <w:pPr>
              <w:pStyle w:val="TableText"/>
              <w:jc w:val="center"/>
              <w:rPr>
                <w:rFonts w:cs="Arial"/>
                <w:b/>
                <w:bCs/>
                <w:color w:val="000000"/>
                <w:szCs w:val="20"/>
              </w:rPr>
            </w:pPr>
            <w:r w:rsidRPr="009D743B">
              <w:rPr>
                <w:szCs w:val="20"/>
              </w:rPr>
              <w:t>$</w:t>
            </w:r>
            <w:r w:rsidR="0050211C">
              <w:rPr>
                <w:noProof/>
                <w:color w:val="000000"/>
                <w:szCs w:val="20"/>
                <w:highlight w:val="black"/>
              </w:rPr>
              <w:t>'''''''''''''''''''''</w:t>
            </w:r>
          </w:p>
        </w:tc>
        <w:tc>
          <w:tcPr>
            <w:tcW w:w="620" w:type="pct"/>
            <w:shd w:val="clear" w:color="auto" w:fill="auto"/>
          </w:tcPr>
          <w:p w:rsidR="00CB58B1" w:rsidRPr="009D743B" w:rsidRDefault="00CB58B1" w:rsidP="009776C7">
            <w:pPr>
              <w:pStyle w:val="TableText"/>
              <w:jc w:val="center"/>
              <w:rPr>
                <w:rFonts w:cs="Arial"/>
                <w:b/>
                <w:bCs/>
                <w:color w:val="000000"/>
                <w:szCs w:val="20"/>
              </w:rPr>
            </w:pPr>
            <w:r w:rsidRPr="009D743B">
              <w:rPr>
                <w:szCs w:val="20"/>
              </w:rPr>
              <w:t>$</w:t>
            </w:r>
            <w:r w:rsidR="0050211C">
              <w:rPr>
                <w:noProof/>
                <w:color w:val="000000"/>
                <w:szCs w:val="20"/>
                <w:highlight w:val="black"/>
              </w:rPr>
              <w:t>''''''''''''''''''</w:t>
            </w:r>
          </w:p>
        </w:tc>
        <w:tc>
          <w:tcPr>
            <w:tcW w:w="620" w:type="pct"/>
            <w:shd w:val="clear" w:color="auto" w:fill="auto"/>
          </w:tcPr>
          <w:p w:rsidR="00CB58B1" w:rsidRPr="009D743B" w:rsidRDefault="00CB58B1" w:rsidP="009776C7">
            <w:pPr>
              <w:pStyle w:val="TableText"/>
              <w:jc w:val="center"/>
              <w:rPr>
                <w:rFonts w:cs="Arial"/>
                <w:b/>
                <w:bCs/>
                <w:color w:val="000000"/>
                <w:szCs w:val="20"/>
              </w:rPr>
            </w:pPr>
            <w:r w:rsidRPr="009D743B">
              <w:rPr>
                <w:szCs w:val="20"/>
              </w:rPr>
              <w:t>$</w:t>
            </w:r>
            <w:r w:rsidR="0050211C">
              <w:rPr>
                <w:noProof/>
                <w:color w:val="000000"/>
                <w:szCs w:val="20"/>
                <w:highlight w:val="black"/>
              </w:rPr>
              <w:t>'''''''''''''''''''</w:t>
            </w:r>
          </w:p>
        </w:tc>
        <w:tc>
          <w:tcPr>
            <w:tcW w:w="622" w:type="pct"/>
          </w:tcPr>
          <w:p w:rsidR="00CB58B1" w:rsidRPr="009D743B" w:rsidRDefault="00CB58B1" w:rsidP="009776C7">
            <w:pPr>
              <w:pStyle w:val="TableText"/>
              <w:jc w:val="center"/>
              <w:rPr>
                <w:rFonts w:cs="Arial"/>
                <w:b/>
                <w:bCs/>
                <w:color w:val="000000"/>
                <w:szCs w:val="20"/>
              </w:rPr>
            </w:pPr>
            <w:r w:rsidRPr="009D743B">
              <w:rPr>
                <w:szCs w:val="20"/>
              </w:rPr>
              <w:t>$</w:t>
            </w:r>
            <w:r w:rsidR="0050211C">
              <w:rPr>
                <w:noProof/>
                <w:color w:val="000000"/>
                <w:szCs w:val="20"/>
                <w:highlight w:val="black"/>
              </w:rPr>
              <w:t>'''''''''''''''''''</w:t>
            </w:r>
          </w:p>
        </w:tc>
      </w:tr>
    </w:tbl>
    <w:p w:rsidR="00C317F3" w:rsidRPr="009D743B" w:rsidRDefault="00C317F3" w:rsidP="00623005">
      <w:pPr>
        <w:pStyle w:val="TableFooter"/>
        <w:tabs>
          <w:tab w:val="left" w:pos="284"/>
        </w:tabs>
        <w:ind w:left="284" w:hanging="284"/>
      </w:pPr>
      <w:r w:rsidRPr="009D743B">
        <w:rPr>
          <w:vertAlign w:val="superscript"/>
        </w:rPr>
        <w:t>a</w:t>
      </w:r>
      <w:r w:rsidR="00623005" w:rsidRPr="009D743B">
        <w:tab/>
      </w:r>
      <w:r w:rsidRPr="009D743B">
        <w:t xml:space="preserve">Assuming </w:t>
      </w:r>
      <w:r w:rsidR="0084614A" w:rsidRPr="009D743B">
        <w:t xml:space="preserve">12.17 scripts </w:t>
      </w:r>
      <w:r w:rsidRPr="009D743B">
        <w:t xml:space="preserve">per year </w:t>
      </w:r>
      <w:r w:rsidR="00AB70C6" w:rsidRPr="009D743B">
        <w:t xml:space="preserve">(calculated as 365 days/30 days) for non-discontinuing responders </w:t>
      </w:r>
      <w:r w:rsidRPr="009D743B">
        <w:t xml:space="preserve">as estimated by the </w:t>
      </w:r>
      <w:r w:rsidR="0084614A" w:rsidRPr="009D743B">
        <w:t>re</w:t>
      </w:r>
      <w:r w:rsidRPr="009D743B">
        <w:t>submission</w:t>
      </w:r>
      <w:r w:rsidR="00E24D70" w:rsidRPr="009D743B">
        <w:t xml:space="preserve">, with </w:t>
      </w:r>
      <w:r w:rsidR="00AB70C6" w:rsidRPr="009D743B">
        <w:t xml:space="preserve">an average of </w:t>
      </w:r>
      <w:r w:rsidR="0050211C">
        <w:rPr>
          <w:noProof/>
          <w:color w:val="000000"/>
          <w:highlight w:val="black"/>
        </w:rPr>
        <w:t>'''''''''''</w:t>
      </w:r>
      <w:r w:rsidR="00CC699C" w:rsidRPr="00CC699C">
        <w:t xml:space="preserve"> </w:t>
      </w:r>
      <w:r w:rsidR="00E24D70" w:rsidRPr="009D743B">
        <w:t xml:space="preserve">scripts per year in Year 1, and </w:t>
      </w:r>
      <w:r w:rsidR="0050211C">
        <w:rPr>
          <w:noProof/>
          <w:color w:val="000000"/>
          <w:highlight w:val="black"/>
        </w:rPr>
        <w:t>''''''''''</w:t>
      </w:r>
      <w:r w:rsidR="00CC699C" w:rsidRPr="00CC699C">
        <w:t xml:space="preserve">, </w:t>
      </w:r>
      <w:r w:rsidR="0050211C">
        <w:rPr>
          <w:noProof/>
          <w:color w:val="000000"/>
          <w:highlight w:val="black"/>
        </w:rPr>
        <w:t>''''''''''</w:t>
      </w:r>
      <w:r w:rsidR="00CC699C" w:rsidRPr="00CC699C">
        <w:t xml:space="preserve">, </w:t>
      </w:r>
      <w:r w:rsidR="0050211C">
        <w:rPr>
          <w:noProof/>
          <w:color w:val="000000"/>
          <w:highlight w:val="black"/>
        </w:rPr>
        <w:t>'''''''''''</w:t>
      </w:r>
      <w:r w:rsidR="00CC699C" w:rsidRPr="00CC699C">
        <w:t xml:space="preserve">, </w:t>
      </w:r>
      <w:r w:rsidR="0050211C">
        <w:rPr>
          <w:noProof/>
          <w:color w:val="000000"/>
          <w:highlight w:val="black"/>
        </w:rPr>
        <w:t>''''''''''''</w:t>
      </w:r>
      <w:r w:rsidR="00CC699C" w:rsidRPr="00CC699C">
        <w:t xml:space="preserve"> and </w:t>
      </w:r>
      <w:r w:rsidR="0050211C">
        <w:rPr>
          <w:noProof/>
          <w:color w:val="000000"/>
          <w:highlight w:val="black"/>
        </w:rPr>
        <w:t>'''''''''''</w:t>
      </w:r>
      <w:r w:rsidR="00CC699C" w:rsidRPr="00CC699C">
        <w:t xml:space="preserve"> </w:t>
      </w:r>
      <w:r w:rsidR="00E24D70" w:rsidRPr="009D743B">
        <w:t xml:space="preserve"> scripts per</w:t>
      </w:r>
      <w:r w:rsidR="00623005" w:rsidRPr="009D743B">
        <w:t xml:space="preserve"> year in Years 2-6 respectively</w:t>
      </w:r>
      <w:r w:rsidR="00AB70C6" w:rsidRPr="009D743B">
        <w:t xml:space="preserve"> (taking into account discontinuations). It was noted that an assumption of 12.17 scripts per year was higher than the 12 scripts per year used in the economic model</w:t>
      </w:r>
      <w:r w:rsidR="008D4167" w:rsidRPr="009D743B">
        <w:t xml:space="preserve"> and that while this assumption would have overestimated the proposed cost to the PBS </w:t>
      </w:r>
    </w:p>
    <w:p w:rsidR="00623005" w:rsidRPr="009D743B" w:rsidRDefault="00623005" w:rsidP="00623005">
      <w:pPr>
        <w:pStyle w:val="TableFooter"/>
        <w:tabs>
          <w:tab w:val="left" w:pos="284"/>
        </w:tabs>
        <w:ind w:left="284" w:hanging="284"/>
      </w:pPr>
      <w:r w:rsidRPr="009D743B">
        <w:rPr>
          <w:vertAlign w:val="superscript"/>
        </w:rPr>
        <w:t>b</w:t>
      </w:r>
      <w:r w:rsidRPr="009D743B">
        <w:tab/>
      </w:r>
      <w:r w:rsidRPr="00CC699C">
        <w:t xml:space="preserve">Assuming </w:t>
      </w:r>
      <w:r w:rsidR="0050211C">
        <w:rPr>
          <w:noProof/>
          <w:color w:val="000000"/>
          <w:highlight w:val="black"/>
        </w:rPr>
        <w:t>''''''''''</w:t>
      </w:r>
      <w:r w:rsidR="00CC699C" w:rsidRPr="00CC699C">
        <w:t xml:space="preserve">, </w:t>
      </w:r>
      <w:r w:rsidR="0050211C">
        <w:rPr>
          <w:noProof/>
          <w:color w:val="000000"/>
          <w:highlight w:val="black"/>
        </w:rPr>
        <w:t>'''''''''''</w:t>
      </w:r>
      <w:r w:rsidR="00CC699C" w:rsidRPr="00CC699C">
        <w:t xml:space="preserve">, </w:t>
      </w:r>
      <w:r w:rsidR="0050211C">
        <w:rPr>
          <w:noProof/>
          <w:color w:val="000000"/>
          <w:highlight w:val="black"/>
        </w:rPr>
        <w:t>''''''''''</w:t>
      </w:r>
      <w:r w:rsidR="00CC699C" w:rsidRPr="00CC699C">
        <w:t xml:space="preserve">, </w:t>
      </w:r>
      <w:r w:rsidR="0050211C">
        <w:rPr>
          <w:noProof/>
          <w:color w:val="000000"/>
          <w:highlight w:val="black"/>
        </w:rPr>
        <w:t>''''''''''</w:t>
      </w:r>
      <w:r w:rsidR="00CC699C" w:rsidRPr="00CC699C">
        <w:t xml:space="preserve">, </w:t>
      </w:r>
      <w:r w:rsidR="0050211C">
        <w:rPr>
          <w:noProof/>
          <w:color w:val="000000"/>
          <w:highlight w:val="black"/>
        </w:rPr>
        <w:t>'''''''''''</w:t>
      </w:r>
      <w:r w:rsidR="00CC699C" w:rsidRPr="00CC699C">
        <w:t xml:space="preserve">, </w:t>
      </w:r>
      <w:r w:rsidR="0050211C">
        <w:rPr>
          <w:noProof/>
          <w:color w:val="000000"/>
          <w:highlight w:val="black"/>
        </w:rPr>
        <w:t>''''''''''''</w:t>
      </w:r>
      <w:r w:rsidR="00CC699C" w:rsidRPr="00CC699C">
        <w:t xml:space="preserve"> </w:t>
      </w:r>
      <w:r w:rsidRPr="00CC699C">
        <w:t>scripts</w:t>
      </w:r>
      <w:r w:rsidRPr="009D743B">
        <w:t xml:space="preserve"> per year in Years 1-6, respectively as estimated by the submission. These script numbers account for proportion of responders each year and discontinuation from treatment</w:t>
      </w:r>
      <w:r w:rsidR="00774525" w:rsidRPr="009D743B">
        <w:t xml:space="preserve">. Discrepancy between Year 2 script numbers between submissions </w:t>
      </w:r>
      <w:r w:rsidR="003058CD" w:rsidRPr="009D743B">
        <w:t xml:space="preserve">was </w:t>
      </w:r>
      <w:r w:rsidR="00774525" w:rsidRPr="009D743B">
        <w:t>due to the resubmission accounting for grand-fathered patients in Year 1, whereas the previous submission did not account for grand-fathered patients</w:t>
      </w:r>
    </w:p>
    <w:p w:rsidR="00CB58B1" w:rsidRPr="009D743B" w:rsidRDefault="00CB58B1" w:rsidP="00623005">
      <w:pPr>
        <w:pStyle w:val="TableFooter"/>
        <w:tabs>
          <w:tab w:val="left" w:pos="284"/>
        </w:tabs>
        <w:ind w:left="284" w:hanging="284"/>
      </w:pPr>
      <w:r w:rsidRPr="009D743B">
        <w:rPr>
          <w:vertAlign w:val="superscript"/>
        </w:rPr>
        <w:t>c</w:t>
      </w:r>
      <w:r w:rsidRPr="009D743B">
        <w:tab/>
        <w:t xml:space="preserve">Cost of managing serious infections based on a rate of </w:t>
      </w:r>
      <w:r w:rsidR="0050211C">
        <w:rPr>
          <w:noProof/>
          <w:color w:val="000000"/>
          <w:highlight w:val="black"/>
        </w:rPr>
        <w:t>'''''''</w:t>
      </w:r>
      <w:r w:rsidRPr="009D743B">
        <w:t xml:space="preserve">% (based on Go-AHEAD trial) and a cost per hospitalisation of $16,127 based on AR-DRG codes T60A and T60B (weighted). </w:t>
      </w:r>
    </w:p>
    <w:p w:rsidR="00C317F3" w:rsidRPr="009D743B" w:rsidRDefault="00C317F3" w:rsidP="00772501">
      <w:pPr>
        <w:pStyle w:val="TableFooter"/>
      </w:pPr>
      <w:r w:rsidRPr="009D743B">
        <w:t>Source: Table</w:t>
      </w:r>
      <w:r w:rsidR="0084614A" w:rsidRPr="009D743B">
        <w:t xml:space="preserve"> 4.2.5, </w:t>
      </w:r>
      <w:r w:rsidR="00182A8E" w:rsidRPr="009D743B">
        <w:t xml:space="preserve">4.2.9, </w:t>
      </w:r>
      <w:r w:rsidR="0084614A" w:rsidRPr="009D743B">
        <w:t>pp218-219</w:t>
      </w:r>
      <w:r w:rsidR="00182A8E" w:rsidRPr="009D743B">
        <w:t>, 221</w:t>
      </w:r>
      <w:r w:rsidR="0084614A" w:rsidRPr="009D743B">
        <w:t xml:space="preserve"> of the resubmission</w:t>
      </w:r>
      <w:r w:rsidR="00623005" w:rsidRPr="009D743B">
        <w:t>; Table 11, 6.04.COM.16</w:t>
      </w:r>
      <w:r w:rsidR="000466A2" w:rsidRPr="009D743B">
        <w:t>, PSCR attachment titled “7.03 Attachment 21 Simponi nr-AxSpA Section 4_v2.1.xlsx’ with 10% “buffer” removed from cell G7 of “3b. Impact – PUB’ worksheet.</w:t>
      </w:r>
    </w:p>
    <w:p w:rsidR="00DD3AB0" w:rsidRPr="00005314" w:rsidRDefault="00DD3AB0" w:rsidP="00B876BB">
      <w:pPr>
        <w:pStyle w:val="ListParagraph"/>
        <w:numPr>
          <w:ilvl w:val="0"/>
          <w:numId w:val="11"/>
        </w:numPr>
        <w:spacing w:before="0" w:after="120"/>
        <w:ind w:left="567" w:hanging="567"/>
        <w:jc w:val="both"/>
      </w:pPr>
      <w:r w:rsidRPr="009D743B">
        <w:t>The estimated cost to the PBS/RPBS was $</w:t>
      </w:r>
      <w:r w:rsidR="007F7CBB">
        <w:t>30 - $60</w:t>
      </w:r>
      <w:r w:rsidRPr="009D743B">
        <w:t xml:space="preserve"> million in Year 1 and </w:t>
      </w:r>
      <w:r w:rsidR="008A4669">
        <w:t>more than $100</w:t>
      </w:r>
      <w:r w:rsidRPr="009D743B">
        <w:t xml:space="preserve"> million over the first five years of listing. However, the proposed RSA would reduce this cost</w:t>
      </w:r>
      <w:r w:rsidR="00005314">
        <w:t xml:space="preserve"> by capping scripts at 50% </w:t>
      </w:r>
      <w:r w:rsidR="00005314" w:rsidRPr="009D743B">
        <w:t>of that predicted in the financial estimates</w:t>
      </w:r>
      <w:r w:rsidR="00005314">
        <w:t xml:space="preserve"> (see </w:t>
      </w:r>
      <w:r w:rsidR="00005314" w:rsidRPr="00005314">
        <w:rPr>
          <w:i/>
        </w:rPr>
        <w:t>Financial management – risk sharing arrangements</w:t>
      </w:r>
      <w:r w:rsidR="00005314" w:rsidRPr="00005314">
        <w:t>)</w:t>
      </w:r>
      <w:r w:rsidRPr="00005314">
        <w:t xml:space="preserve">. </w:t>
      </w:r>
    </w:p>
    <w:p w:rsidR="00006ED6" w:rsidRPr="009D743B" w:rsidRDefault="008D4167" w:rsidP="00B876BB">
      <w:pPr>
        <w:pStyle w:val="ListParagraph"/>
        <w:numPr>
          <w:ilvl w:val="0"/>
          <w:numId w:val="11"/>
        </w:numPr>
        <w:spacing w:before="0" w:after="120"/>
        <w:ind w:left="567" w:hanging="567"/>
        <w:jc w:val="both"/>
      </w:pPr>
      <w:r w:rsidRPr="009D743B">
        <w:lastRenderedPageBreak/>
        <w:t>As for the previous submission, t</w:t>
      </w:r>
      <w:r w:rsidR="00AB69D8" w:rsidRPr="009D743B">
        <w:t>here was considerable uncertainty surrounding</w:t>
      </w:r>
      <w:r w:rsidR="009E5803" w:rsidRPr="009D743B">
        <w:t>: (i)</w:t>
      </w:r>
      <w:r w:rsidR="00AB69D8" w:rsidRPr="009D743B">
        <w:t xml:space="preserve"> the prevalence of patients with nr-axSpA </w:t>
      </w:r>
      <w:r w:rsidR="003155E4" w:rsidRPr="009D743B">
        <w:t>given the lack of Australian data</w:t>
      </w:r>
      <w:r w:rsidR="009E5803" w:rsidRPr="009D743B">
        <w:t>;</w:t>
      </w:r>
      <w:r w:rsidR="003155E4" w:rsidRPr="009D743B">
        <w:t xml:space="preserve"> </w:t>
      </w:r>
      <w:r w:rsidR="00AB69D8" w:rsidRPr="009D743B">
        <w:t xml:space="preserve">and </w:t>
      </w:r>
      <w:r w:rsidR="009E5803" w:rsidRPr="009D743B">
        <w:t xml:space="preserve">(ii) </w:t>
      </w:r>
      <w:r w:rsidR="00AB69D8" w:rsidRPr="009D743B">
        <w:t>the estimated market-uptak</w:t>
      </w:r>
      <w:r w:rsidR="00E24D70" w:rsidRPr="009D743B">
        <w:t>e</w:t>
      </w:r>
      <w:r w:rsidR="003155E4" w:rsidRPr="009D743B">
        <w:t>, which was based on assumptions by the Sponsor</w:t>
      </w:r>
      <w:r w:rsidR="00AB69D8" w:rsidRPr="009D743B">
        <w:t xml:space="preserve">. </w:t>
      </w:r>
    </w:p>
    <w:p w:rsidR="00634A8D" w:rsidRPr="009D743B" w:rsidRDefault="006B0102" w:rsidP="00B876BB">
      <w:pPr>
        <w:pStyle w:val="ListParagraph"/>
        <w:numPr>
          <w:ilvl w:val="0"/>
          <w:numId w:val="11"/>
        </w:numPr>
        <w:spacing w:before="0" w:after="120"/>
        <w:ind w:left="567" w:hanging="567"/>
        <w:jc w:val="both"/>
      </w:pPr>
      <w:r w:rsidRPr="009D743B">
        <w:t xml:space="preserve">The resubmission also </w:t>
      </w:r>
      <w:r w:rsidR="00371F74" w:rsidRPr="009D743B">
        <w:t>underestimated</w:t>
      </w:r>
      <w:r w:rsidRPr="009D743B">
        <w:t xml:space="preserve"> the number of patients who would be eligible </w:t>
      </w:r>
      <w:r w:rsidR="009E5803" w:rsidRPr="009D743B">
        <w:t xml:space="preserve">for treatment </w:t>
      </w:r>
      <w:r w:rsidRPr="009D743B">
        <w:t xml:space="preserve">under the proposed restriction by assuming that all eligible patients must have the HLA-B27 gene. </w:t>
      </w:r>
      <w:r w:rsidR="008329DD" w:rsidRPr="009D743B">
        <w:t>That is, the eligible patient population was calculated from the GO-AHEAD trial by estimating the proportion of patients in the OSI population</w:t>
      </w:r>
      <w:r w:rsidR="007C703B" w:rsidRPr="009D743B">
        <w:t xml:space="preserve"> who had</w:t>
      </w:r>
      <w:r w:rsidR="008329DD" w:rsidRPr="009D743B">
        <w:t xml:space="preserve"> elevated CRP, positive sacroiliitis on MRI, one or more SPA features (excluding family history and arthritis) </w:t>
      </w:r>
      <w:r w:rsidR="008329DD" w:rsidRPr="00005314">
        <w:t>and</w:t>
      </w:r>
      <w:r w:rsidR="008329DD" w:rsidRPr="009D743B">
        <w:t xml:space="preserve"> HLA-B27 gene positivity. The </w:t>
      </w:r>
      <w:r w:rsidR="00DC7336" w:rsidRPr="009D743B">
        <w:t xml:space="preserve">evaluation considered that the </w:t>
      </w:r>
      <w:r w:rsidR="008329DD" w:rsidRPr="009D743B">
        <w:t xml:space="preserve">resubmission’s approach was inappropriate, as positivity for the gene </w:t>
      </w:r>
      <w:r w:rsidR="009E5803" w:rsidRPr="009D743B">
        <w:t xml:space="preserve">was not </w:t>
      </w:r>
      <w:r w:rsidR="008329DD" w:rsidRPr="009D743B">
        <w:t xml:space="preserve">an absolute requirement under the proposed restriction. This reduced the </w:t>
      </w:r>
      <w:r w:rsidR="00FB4E65" w:rsidRPr="009D743B">
        <w:t>proportion of</w:t>
      </w:r>
      <w:r w:rsidR="009E5803" w:rsidRPr="009D743B">
        <w:t xml:space="preserve"> </w:t>
      </w:r>
      <w:r w:rsidR="00FB4E65" w:rsidRPr="009D743B">
        <w:t xml:space="preserve">OSI </w:t>
      </w:r>
      <w:r w:rsidR="008329DD" w:rsidRPr="009D743B">
        <w:t>patient</w:t>
      </w:r>
      <w:r w:rsidR="00FB4E65" w:rsidRPr="009D743B">
        <w:t>s eligible for golimumab</w:t>
      </w:r>
      <w:r w:rsidR="008329DD" w:rsidRPr="009D743B">
        <w:t xml:space="preserve"> from </w:t>
      </w:r>
      <w:r w:rsidR="0050211C">
        <w:rPr>
          <w:rFonts w:ascii="Calibri" w:eastAsia="Calibri" w:hAnsi="Calibri" w:cs="Arial"/>
          <w:noProof/>
          <w:color w:val="000000"/>
          <w:highlight w:val="black"/>
        </w:rPr>
        <w:t>''''''''</w:t>
      </w:r>
      <w:r w:rsidR="00CC699C" w:rsidRPr="002609A6">
        <w:rPr>
          <w:rFonts w:ascii="Calibri" w:eastAsia="Calibri" w:hAnsi="Calibri" w:cs="Arial"/>
        </w:rPr>
        <w:t xml:space="preserve">% to </w:t>
      </w:r>
      <w:r w:rsidR="0050211C">
        <w:rPr>
          <w:rFonts w:ascii="Calibri" w:eastAsia="Calibri" w:hAnsi="Calibri" w:cs="Arial"/>
          <w:noProof/>
          <w:color w:val="000000"/>
          <w:highlight w:val="black"/>
        </w:rPr>
        <w:t>''''''''</w:t>
      </w:r>
      <w:r w:rsidR="008329DD" w:rsidRPr="002609A6">
        <w:t>.</w:t>
      </w:r>
      <w:r w:rsidR="008329DD" w:rsidRPr="009D743B">
        <w:t xml:space="preserve"> </w:t>
      </w:r>
      <w:r w:rsidR="00BC3C9C" w:rsidRPr="009D743B">
        <w:t xml:space="preserve"> </w:t>
      </w:r>
    </w:p>
    <w:p w:rsidR="00DE51DD" w:rsidRPr="009D743B" w:rsidRDefault="00DE51DD" w:rsidP="00B876BB">
      <w:pPr>
        <w:pStyle w:val="ListParagraph"/>
        <w:numPr>
          <w:ilvl w:val="0"/>
          <w:numId w:val="11"/>
        </w:numPr>
        <w:spacing w:before="0" w:after="120"/>
        <w:ind w:left="567" w:hanging="567"/>
        <w:jc w:val="both"/>
      </w:pPr>
      <w:r w:rsidRPr="009D743B">
        <w:t xml:space="preserve">The resubmission stated that </w:t>
      </w:r>
      <w:r w:rsidR="008B3D53" w:rsidRPr="009D743B">
        <w:t xml:space="preserve">it anticipated that around </w:t>
      </w:r>
      <w:r w:rsidR="0050211C">
        <w:rPr>
          <w:rFonts w:ascii="Calibri" w:eastAsia="Calibri" w:hAnsi="Calibri" w:cs="Arial"/>
          <w:noProof/>
          <w:color w:val="000000"/>
          <w:highlight w:val="black"/>
        </w:rPr>
        <w:t>''''''''</w:t>
      </w:r>
      <w:r w:rsidRPr="009D743B">
        <w:t xml:space="preserve"> patients </w:t>
      </w:r>
      <w:r w:rsidR="008B3D53" w:rsidRPr="009D743B">
        <w:t>would</w:t>
      </w:r>
      <w:r w:rsidRPr="009D743B">
        <w:t xml:space="preserve"> be enrolled in a patient familiarisation program and that these patients were expected to continue golimumab should it be listed on the PBS. The resubmission stated that grandfathered patients were assumed to be part of the </w:t>
      </w:r>
      <w:r w:rsidR="008B3D53" w:rsidRPr="009D743B">
        <w:t xml:space="preserve">Year 1 </w:t>
      </w:r>
      <w:r w:rsidRPr="009D743B">
        <w:t xml:space="preserve">initiating cohort </w:t>
      </w:r>
      <w:r w:rsidR="008B3D53" w:rsidRPr="009D743B">
        <w:t xml:space="preserve">estimated through </w:t>
      </w:r>
      <w:r w:rsidR="005B5536" w:rsidRPr="009D743B">
        <w:t>the</w:t>
      </w:r>
      <w:r w:rsidR="008B3D53" w:rsidRPr="009D743B">
        <w:t xml:space="preserve"> epidemiological approach</w:t>
      </w:r>
      <w:r w:rsidRPr="009D743B">
        <w:t>, and thus were not separately added into the number of treated patients.</w:t>
      </w:r>
    </w:p>
    <w:p w:rsidR="00634A8D" w:rsidRPr="009D743B" w:rsidRDefault="00634A8D" w:rsidP="00B876BB">
      <w:pPr>
        <w:pStyle w:val="ListParagraph"/>
        <w:numPr>
          <w:ilvl w:val="0"/>
          <w:numId w:val="11"/>
        </w:numPr>
        <w:spacing w:before="0" w:after="120"/>
        <w:ind w:left="567" w:hanging="567"/>
        <w:jc w:val="both"/>
      </w:pPr>
      <w:r w:rsidRPr="009D743B">
        <w:t>Overall, the financial estimates were considered to be highly uncertain</w:t>
      </w:r>
      <w:r w:rsidR="0067312F" w:rsidRPr="009D743B">
        <w:t xml:space="preserve"> given the lack of certainty </w:t>
      </w:r>
      <w:r w:rsidR="00FB4E65" w:rsidRPr="009D743B">
        <w:t xml:space="preserve">surrounding the </w:t>
      </w:r>
      <w:r w:rsidR="0067312F" w:rsidRPr="009D743B">
        <w:t xml:space="preserve">prevalence </w:t>
      </w:r>
      <w:r w:rsidR="00FB4E65" w:rsidRPr="009D743B">
        <w:t xml:space="preserve">of nr-axSpA </w:t>
      </w:r>
      <w:r w:rsidR="0067312F" w:rsidRPr="009D743B">
        <w:t>and the likely uptake of golimumab</w:t>
      </w:r>
      <w:r w:rsidRPr="009D743B">
        <w:t>.</w:t>
      </w:r>
      <w:r w:rsidR="007D1C9F" w:rsidRPr="009D743B">
        <w:t xml:space="preserve"> </w:t>
      </w:r>
      <w:r w:rsidR="00BB7001" w:rsidRPr="009D743B">
        <w:t xml:space="preserve">The ESC considered that the estimated patient numbers and prescription volumes were overestimated compared with the population </w:t>
      </w:r>
      <w:r w:rsidR="00BB7001" w:rsidRPr="009D743B">
        <w:rPr>
          <w:szCs w:val="24"/>
        </w:rPr>
        <w:t xml:space="preserve">intended by the PBAC in its November 2017 consideration (i.e. patients with the highest clinical need and those who would benefit the most, which would rely on incorporation of all the elements outlined in Table 2) and if a stopping rule were applied. </w:t>
      </w:r>
    </w:p>
    <w:p w:rsidR="005A14A9" w:rsidRPr="009D743B" w:rsidRDefault="005A14A9" w:rsidP="00B876BB">
      <w:pPr>
        <w:pStyle w:val="ListParagraph"/>
        <w:numPr>
          <w:ilvl w:val="0"/>
          <w:numId w:val="11"/>
        </w:numPr>
        <w:spacing w:before="0" w:after="120"/>
        <w:ind w:left="567" w:hanging="567"/>
        <w:jc w:val="both"/>
      </w:pPr>
      <w:r w:rsidRPr="009D743B">
        <w:t xml:space="preserve">Further, the ESC noted the significant opportunity cost that would be associated with listing golimumab for nr-axSpA at the price proposed in the resubmission (cost to PBS/RPBS of </w:t>
      </w:r>
      <w:r w:rsidR="00856DBF">
        <w:t xml:space="preserve">more than </w:t>
      </w:r>
      <w:r w:rsidR="00B35CDF" w:rsidRPr="009D743B">
        <w:t>$1</w:t>
      </w:r>
      <w:r w:rsidR="00856DBF">
        <w:t xml:space="preserve">00 </w:t>
      </w:r>
      <w:r w:rsidRPr="009D743B">
        <w:t xml:space="preserve">million over </w:t>
      </w:r>
      <w:r w:rsidR="00B35CDF" w:rsidRPr="009D743B">
        <w:t>five</w:t>
      </w:r>
      <w:r w:rsidRPr="009D743B">
        <w:t xml:space="preserve"> years). </w:t>
      </w:r>
      <w:r w:rsidR="0090377E" w:rsidRPr="009D743B">
        <w:t xml:space="preserve">This </w:t>
      </w:r>
      <w:r w:rsidR="00547950" w:rsidRPr="009D743B">
        <w:t xml:space="preserve">estimated cost </w:t>
      </w:r>
      <w:r w:rsidR="0090377E" w:rsidRPr="009D743B">
        <w:t>excludes the proposed RSA.</w:t>
      </w:r>
    </w:p>
    <w:p w:rsidR="008146DE" w:rsidRPr="009D743B" w:rsidRDefault="008146DE" w:rsidP="00B876BB">
      <w:pPr>
        <w:pStyle w:val="ListParagraph"/>
        <w:numPr>
          <w:ilvl w:val="0"/>
          <w:numId w:val="11"/>
        </w:numPr>
        <w:spacing w:before="0" w:after="120"/>
        <w:ind w:left="567" w:hanging="567"/>
        <w:jc w:val="both"/>
      </w:pPr>
      <w:r w:rsidRPr="009D743B">
        <w:t>The</w:t>
      </w:r>
      <w:r w:rsidR="00B35CDF" w:rsidRPr="009D743B">
        <w:t xml:space="preserve"> ESC</w:t>
      </w:r>
      <w:r w:rsidRPr="009D743B">
        <w:t xml:space="preserve"> considered </w:t>
      </w:r>
      <w:r w:rsidR="00B35CDF" w:rsidRPr="009D743B">
        <w:t xml:space="preserve">there </w:t>
      </w:r>
      <w:r w:rsidRPr="009D743B">
        <w:t xml:space="preserve">to be a </w:t>
      </w:r>
      <w:r w:rsidR="000B1037" w:rsidRPr="009D743B">
        <w:t>continued</w:t>
      </w:r>
      <w:r w:rsidRPr="009D743B">
        <w:t xml:space="preserve"> risk of </w:t>
      </w:r>
      <w:r w:rsidR="00FB4E65" w:rsidRPr="009D743B">
        <w:t xml:space="preserve">golimumab </w:t>
      </w:r>
      <w:r w:rsidRPr="009D743B">
        <w:t>use beyond the proposed population in patients with chronic back pain</w:t>
      </w:r>
      <w:r w:rsidR="00FB4E65" w:rsidRPr="009D743B">
        <w:t>. While</w:t>
      </w:r>
      <w:r w:rsidR="0067312F" w:rsidRPr="009D743B">
        <w:t xml:space="preserve"> the proposed restriction narrowed the patient population compared to the previously proposed restriction, it </w:t>
      </w:r>
      <w:r w:rsidR="002158DB" w:rsidRPr="009D743B">
        <w:t>may not sufficiently</w:t>
      </w:r>
      <w:r w:rsidR="0067312F" w:rsidRPr="009D743B">
        <w:t xml:space="preserve"> restrict use to the patient population likely to benefit the most. </w:t>
      </w:r>
      <w:r w:rsidR="000B1037" w:rsidRPr="009D743B">
        <w:t xml:space="preserve"> </w:t>
      </w:r>
    </w:p>
    <w:p w:rsidR="0050762C" w:rsidRPr="009D743B" w:rsidRDefault="0050762C" w:rsidP="00B876BB">
      <w:pPr>
        <w:pStyle w:val="ListParagraph"/>
        <w:numPr>
          <w:ilvl w:val="0"/>
          <w:numId w:val="11"/>
        </w:numPr>
        <w:spacing w:before="0" w:after="120"/>
        <w:ind w:left="567" w:hanging="567"/>
        <w:jc w:val="both"/>
      </w:pPr>
      <w:r w:rsidRPr="009D743B">
        <w:t xml:space="preserve">The pre-PBAC response acknowledged that there was uncertainty in the financial estimates given the lack of reliable data to estimate the size of the patient population intended by the PBAC in its previous consideration. To address this, the pre-PBAC response </w:t>
      </w:r>
      <w:r w:rsidR="008D243A" w:rsidRPr="009D743B">
        <w:t>proposed an RSA (outlined below).</w:t>
      </w:r>
    </w:p>
    <w:p w:rsidR="00980034" w:rsidRPr="009D743B" w:rsidRDefault="00980034" w:rsidP="00B876BB">
      <w:pPr>
        <w:pStyle w:val="ListParagraph"/>
        <w:numPr>
          <w:ilvl w:val="0"/>
          <w:numId w:val="11"/>
        </w:numPr>
        <w:spacing w:before="0" w:after="120"/>
        <w:ind w:left="567" w:hanging="567"/>
        <w:jc w:val="both"/>
      </w:pPr>
      <w:r w:rsidRPr="009D743B">
        <w:lastRenderedPageBreak/>
        <w:t>The PBAC noted that the financial estimates did not include the increased number of MRIs that would be required to determine patient eligibility for PBS subsidy (PBS eligibility).</w:t>
      </w:r>
    </w:p>
    <w:p w:rsidR="00C317F3" w:rsidRPr="009D743B" w:rsidRDefault="00980034" w:rsidP="00B876BB">
      <w:pPr>
        <w:pStyle w:val="ListParagraph"/>
        <w:numPr>
          <w:ilvl w:val="0"/>
          <w:numId w:val="11"/>
        </w:numPr>
        <w:spacing w:before="0" w:after="120"/>
        <w:ind w:left="567" w:hanging="567"/>
        <w:jc w:val="both"/>
      </w:pPr>
      <w:r w:rsidRPr="009D743B">
        <w:t xml:space="preserve">The PBAC noted the DUSC report for </w:t>
      </w:r>
      <w:r w:rsidR="00547950" w:rsidRPr="009D743B">
        <w:t>ankylosing spondylitis (</w:t>
      </w:r>
      <w:r w:rsidRPr="009D743B">
        <w:t>AS</w:t>
      </w:r>
      <w:r w:rsidR="00547950" w:rsidRPr="009D743B">
        <w:t>)</w:t>
      </w:r>
      <w:r w:rsidR="00547950" w:rsidRPr="009D743B">
        <w:rPr>
          <w:rStyle w:val="FootnoteReference"/>
        </w:rPr>
        <w:footnoteReference w:id="2"/>
      </w:r>
      <w:r w:rsidRPr="009D743B">
        <w:t xml:space="preserve"> showed an increase in the number of scripts for </w:t>
      </w:r>
      <w:r w:rsidR="00236526">
        <w:t>bDMARD</w:t>
      </w:r>
      <w:r w:rsidR="00236526" w:rsidRPr="009D743B">
        <w:t xml:space="preserve"> </w:t>
      </w:r>
      <w:r w:rsidRPr="009D743B">
        <w:t xml:space="preserve">for AS, and </w:t>
      </w:r>
      <w:r w:rsidR="00236526">
        <w:t xml:space="preserve">that there may already be </w:t>
      </w:r>
      <w:r w:rsidR="00177DA7">
        <w:t>usa</w:t>
      </w:r>
      <w:r w:rsidR="00236526">
        <w:t xml:space="preserve">ge across indications. </w:t>
      </w:r>
    </w:p>
    <w:p w:rsidR="00561A83" w:rsidRPr="009D743B" w:rsidRDefault="00561A83" w:rsidP="00B876BB">
      <w:pPr>
        <w:pStyle w:val="ListParagraph"/>
        <w:numPr>
          <w:ilvl w:val="0"/>
          <w:numId w:val="11"/>
        </w:numPr>
        <w:spacing w:before="0" w:after="120"/>
        <w:ind w:left="567" w:hanging="567"/>
        <w:jc w:val="both"/>
      </w:pPr>
      <w:r w:rsidRPr="009D743B">
        <w:t>The resubmission proposed a patient education program to support self-administration of golimumab, however</w:t>
      </w:r>
      <w:r w:rsidR="004D196D" w:rsidRPr="009D743B">
        <w:t xml:space="preserve"> this appeared to rely on MBS item 10997, Nurse Practitioner for Chronic Disease service (refer to financial estimates). </w:t>
      </w:r>
    </w:p>
    <w:p w:rsidR="00C317F3" w:rsidRPr="00B876BB" w:rsidRDefault="00C317F3" w:rsidP="00772501">
      <w:pPr>
        <w:pStyle w:val="Heading2"/>
      </w:pPr>
      <w:bookmarkStart w:id="47" w:name="_Toc413139286"/>
      <w:bookmarkStart w:id="48" w:name="_Toc514253038"/>
      <w:r w:rsidRPr="00B876BB">
        <w:t xml:space="preserve">Financial </w:t>
      </w:r>
      <w:r w:rsidR="00661286" w:rsidRPr="00B876BB">
        <w:t>m</w:t>
      </w:r>
      <w:r w:rsidRPr="00B876BB">
        <w:t xml:space="preserve">anagement – </w:t>
      </w:r>
      <w:r w:rsidR="00661286" w:rsidRPr="00B876BB">
        <w:t>r</w:t>
      </w:r>
      <w:r w:rsidRPr="00B876BB">
        <w:t xml:space="preserve">isk </w:t>
      </w:r>
      <w:r w:rsidR="00661286" w:rsidRPr="00B876BB">
        <w:t>s</w:t>
      </w:r>
      <w:r w:rsidRPr="00B876BB">
        <w:t xml:space="preserve">haring </w:t>
      </w:r>
      <w:r w:rsidR="00661286" w:rsidRPr="00B876BB">
        <w:t>a</w:t>
      </w:r>
      <w:r w:rsidRPr="00B876BB">
        <w:t>rrangements</w:t>
      </w:r>
      <w:bookmarkEnd w:id="47"/>
      <w:bookmarkEnd w:id="48"/>
    </w:p>
    <w:p w:rsidR="004D196D" w:rsidRPr="009D743B" w:rsidRDefault="004D196D" w:rsidP="00B876BB">
      <w:pPr>
        <w:pStyle w:val="ListParagraph"/>
        <w:numPr>
          <w:ilvl w:val="0"/>
          <w:numId w:val="11"/>
        </w:numPr>
        <w:spacing w:before="0" w:after="120"/>
        <w:ind w:left="567" w:hanging="567"/>
        <w:jc w:val="both"/>
      </w:pPr>
      <w:r w:rsidRPr="009D743B">
        <w:t xml:space="preserve">PBS utilisation was likely overestimated compared with the population intended by the PBAC in its November 2017 consideration (i.e. patients with the highest clinical need and those who would benefit the most) and if a stopping rule were applied. The ESC considered that neither the proposed restriction nor the RSA </w:t>
      </w:r>
      <w:r w:rsidR="00547950" w:rsidRPr="009D743B">
        <w:t xml:space="preserve">proposed in the PSCR </w:t>
      </w:r>
      <w:r w:rsidRPr="009D743B">
        <w:t xml:space="preserve">had adequately addressed these issues. In light of potential difficulties implementing the </w:t>
      </w:r>
      <w:r w:rsidR="008B3D53" w:rsidRPr="009D743B">
        <w:t xml:space="preserve">PBAC’s intended </w:t>
      </w:r>
      <w:r w:rsidRPr="009D743B">
        <w:t xml:space="preserve">restriction, the ESC advised that an RSA based on substantially lower patient numbers would be required to address the risks associated with the uncertain and poorly defined patient population. </w:t>
      </w:r>
    </w:p>
    <w:p w:rsidR="008C20F9" w:rsidRPr="009D743B" w:rsidRDefault="008C20F9" w:rsidP="00B876BB">
      <w:pPr>
        <w:pStyle w:val="ListParagraph"/>
        <w:numPr>
          <w:ilvl w:val="0"/>
          <w:numId w:val="11"/>
        </w:numPr>
        <w:spacing w:before="0" w:after="120"/>
        <w:ind w:left="567" w:hanging="567"/>
        <w:jc w:val="both"/>
      </w:pPr>
      <w:r w:rsidRPr="009D743B">
        <w:t>The pre-PBAC response proposed an RSA based on:</w:t>
      </w:r>
    </w:p>
    <w:p w:rsidR="008C20F9" w:rsidRPr="009D743B" w:rsidRDefault="008D243A" w:rsidP="00547950">
      <w:pPr>
        <w:pStyle w:val="ListParagraph"/>
        <w:numPr>
          <w:ilvl w:val="1"/>
          <w:numId w:val="7"/>
        </w:numPr>
        <w:spacing w:before="0" w:after="120"/>
        <w:ind w:left="851" w:hanging="284"/>
        <w:contextualSpacing/>
        <w:jc w:val="both"/>
      </w:pPr>
      <w:r w:rsidRPr="009D743B">
        <w:t>capping</w:t>
      </w:r>
      <w:r w:rsidR="008C20F9" w:rsidRPr="009D743B">
        <w:t xml:space="preserve"> the number of golimumab scripts for nr-axSpA at </w:t>
      </w:r>
      <w:r w:rsidR="0050211C">
        <w:rPr>
          <w:noProof/>
          <w:color w:val="000000"/>
          <w:highlight w:val="black"/>
        </w:rPr>
        <w:t>'''''</w:t>
      </w:r>
      <w:r w:rsidR="008C20F9" w:rsidRPr="009D743B">
        <w:t xml:space="preserve">% of that </w:t>
      </w:r>
      <w:r w:rsidRPr="009D743B">
        <w:t>predicte</w:t>
      </w:r>
      <w:r w:rsidR="008C20F9" w:rsidRPr="009D743B">
        <w:t xml:space="preserve">d </w:t>
      </w:r>
      <w:r w:rsidRPr="009D743B">
        <w:t xml:space="preserve">in the financial estimates (per Table 14) </w:t>
      </w:r>
      <w:r w:rsidR="008C20F9" w:rsidRPr="009D743B">
        <w:t xml:space="preserve">in Year 1 of PBS listing; </w:t>
      </w:r>
      <w:r w:rsidRPr="009D743B">
        <w:t xml:space="preserve">with the cap (proportion of predicted) increasing by </w:t>
      </w:r>
      <w:r w:rsidR="008C20F9" w:rsidRPr="009D743B">
        <w:t xml:space="preserve">a </w:t>
      </w:r>
      <w:r w:rsidR="0050211C">
        <w:rPr>
          <w:noProof/>
          <w:color w:val="000000"/>
          <w:highlight w:val="black"/>
        </w:rPr>
        <w:t>''''''</w:t>
      </w:r>
      <w:r w:rsidR="008C20F9" w:rsidRPr="009D743B">
        <w:t xml:space="preserve">% increment each year to </w:t>
      </w:r>
      <w:r w:rsidR="0050211C">
        <w:rPr>
          <w:noProof/>
          <w:color w:val="000000"/>
          <w:highlight w:val="black"/>
        </w:rPr>
        <w:t>'''''</w:t>
      </w:r>
      <w:r w:rsidR="008C20F9" w:rsidRPr="009D743B">
        <w:t>% in Year 5</w:t>
      </w:r>
      <w:r w:rsidR="008D0C99" w:rsidRPr="009D743B">
        <w:t>; and</w:t>
      </w:r>
      <w:r w:rsidR="008C20F9" w:rsidRPr="009D743B">
        <w:t xml:space="preserve"> </w:t>
      </w:r>
    </w:p>
    <w:p w:rsidR="00677613" w:rsidRPr="009D743B" w:rsidRDefault="00677613" w:rsidP="00547950">
      <w:pPr>
        <w:pStyle w:val="ListParagraph"/>
        <w:numPr>
          <w:ilvl w:val="1"/>
          <w:numId w:val="7"/>
        </w:numPr>
        <w:spacing w:before="0" w:after="120"/>
        <w:ind w:left="851" w:hanging="284"/>
        <w:jc w:val="both"/>
      </w:pPr>
      <w:r w:rsidRPr="009D743B">
        <w:t xml:space="preserve">An </w:t>
      </w:r>
      <w:r w:rsidR="0050211C">
        <w:rPr>
          <w:noProof/>
          <w:color w:val="000000"/>
          <w:highlight w:val="black"/>
        </w:rPr>
        <w:t>'''''</w:t>
      </w:r>
      <w:r w:rsidRPr="009D743B">
        <w:t xml:space="preserve">% rebate on Commonwealth expenditure for </w:t>
      </w:r>
      <w:r w:rsidR="008D0C99" w:rsidRPr="009D743B">
        <w:t xml:space="preserve">all </w:t>
      </w:r>
      <w:r w:rsidRPr="009D743B">
        <w:t>scripts above the cap</w:t>
      </w:r>
      <w:r w:rsidR="008D0C99" w:rsidRPr="009D743B">
        <w:t>.</w:t>
      </w:r>
      <w:r w:rsidR="008D243A" w:rsidRPr="009D743B">
        <w:t xml:space="preserve"> The pre-PBAC response stated that an </w:t>
      </w:r>
      <w:r w:rsidR="0050211C">
        <w:rPr>
          <w:noProof/>
          <w:color w:val="000000"/>
          <w:highlight w:val="black"/>
        </w:rPr>
        <w:t>''''''</w:t>
      </w:r>
      <w:r w:rsidR="008D243A" w:rsidRPr="009D743B">
        <w:t>% rebate was proposed (rather than a hard cap) because the GO-AHEAD trial demonstrated benefits in the nr-axSpA patient population broader than that proposed by the PBAC (i.e. “it is probable that the patients included in the trial who are outside of the PBAC-intended patient population will also benefit from golimumab therapy”).</w:t>
      </w:r>
    </w:p>
    <w:p w:rsidR="008C20F9" w:rsidRPr="009D743B" w:rsidRDefault="00677613" w:rsidP="00B876BB">
      <w:pPr>
        <w:pStyle w:val="ListParagraph"/>
        <w:numPr>
          <w:ilvl w:val="0"/>
          <w:numId w:val="11"/>
        </w:numPr>
        <w:spacing w:before="0"/>
        <w:ind w:left="567" w:hanging="567"/>
        <w:jc w:val="both"/>
      </w:pPr>
      <w:r w:rsidRPr="009D743B">
        <w:t xml:space="preserve">The RSA </w:t>
      </w:r>
      <w:r w:rsidR="00E632D6" w:rsidRPr="009D743B">
        <w:t xml:space="preserve">proposed in the pre-PBAC response </w:t>
      </w:r>
      <w:r w:rsidRPr="009D743B">
        <w:t xml:space="preserve">is summarised in Table </w:t>
      </w:r>
      <w:r w:rsidR="00E632D6" w:rsidRPr="009D743B">
        <w:t>15</w:t>
      </w:r>
      <w:r w:rsidRPr="009D743B">
        <w:t>.</w:t>
      </w:r>
    </w:p>
    <w:p w:rsidR="00677613" w:rsidRPr="009D743B" w:rsidRDefault="00E632D6" w:rsidP="008B6907">
      <w:pPr>
        <w:keepNext/>
        <w:keepLines/>
        <w:spacing w:after="40"/>
        <w:rPr>
          <w:rFonts w:ascii="Arial Narrow" w:hAnsi="Arial Narrow"/>
          <w:b/>
          <w:iCs/>
          <w:sz w:val="20"/>
          <w:szCs w:val="18"/>
        </w:rPr>
      </w:pPr>
      <w:r w:rsidRPr="009D743B">
        <w:rPr>
          <w:rFonts w:ascii="Arial Narrow" w:hAnsi="Arial Narrow"/>
          <w:b/>
          <w:iCs/>
          <w:sz w:val="20"/>
          <w:szCs w:val="18"/>
        </w:rPr>
        <w:lastRenderedPageBreak/>
        <w:t>Table 15: RSA proposed in pre-PBAC response</w:t>
      </w:r>
    </w:p>
    <w:tbl>
      <w:tblPr>
        <w:tblW w:w="4986" w:type="pct"/>
        <w:tblInd w:w="28" w:type="dxa"/>
        <w:tblLayout w:type="fixed"/>
        <w:tblLook w:val="04A0" w:firstRow="1" w:lastRow="0" w:firstColumn="1" w:lastColumn="0" w:noHBand="0" w:noVBand="1"/>
      </w:tblPr>
      <w:tblGrid>
        <w:gridCol w:w="2834"/>
        <w:gridCol w:w="1136"/>
        <w:gridCol w:w="1132"/>
        <w:gridCol w:w="993"/>
        <w:gridCol w:w="993"/>
        <w:gridCol w:w="993"/>
        <w:gridCol w:w="976"/>
      </w:tblGrid>
      <w:tr w:rsidR="00DB7BEB" w:rsidRPr="009D743B" w:rsidTr="00DB7BEB">
        <w:trPr>
          <w:trHeight w:val="255"/>
        </w:trPr>
        <w:tc>
          <w:tcPr>
            <w:tcW w:w="156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677613" w:rsidRPr="009D743B" w:rsidRDefault="00677613" w:rsidP="008B6907">
            <w:pPr>
              <w:keepNext/>
              <w:keepLines/>
              <w:spacing w:before="0" w:after="0"/>
              <w:rPr>
                <w:rFonts w:ascii="Arial Narrow" w:eastAsia="Times New Roman" w:hAnsi="Arial Narrow" w:cs="Arial"/>
                <w:bCs/>
                <w:color w:val="000000"/>
                <w:sz w:val="20"/>
                <w:szCs w:val="20"/>
                <w:lang w:eastAsia="en-AU"/>
              </w:rPr>
            </w:pPr>
          </w:p>
        </w:tc>
        <w:tc>
          <w:tcPr>
            <w:tcW w:w="627"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Year 1</w:t>
            </w:r>
          </w:p>
        </w:tc>
        <w:tc>
          <w:tcPr>
            <w:tcW w:w="62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Year 2</w:t>
            </w:r>
          </w:p>
        </w:tc>
        <w:tc>
          <w:tcPr>
            <w:tcW w:w="54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Year 3</w:t>
            </w:r>
          </w:p>
        </w:tc>
        <w:tc>
          <w:tcPr>
            <w:tcW w:w="54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Year 4</w:t>
            </w:r>
          </w:p>
        </w:tc>
        <w:tc>
          <w:tcPr>
            <w:tcW w:w="54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Year 5</w:t>
            </w:r>
          </w:p>
        </w:tc>
        <w:tc>
          <w:tcPr>
            <w:tcW w:w="53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Year 6</w:t>
            </w:r>
          </w:p>
        </w:tc>
      </w:tr>
      <w:tr w:rsidR="00DB7BEB" w:rsidRPr="009D743B" w:rsidTr="00DB7BEB">
        <w:trPr>
          <w:trHeight w:val="255"/>
        </w:trPr>
        <w:tc>
          <w:tcPr>
            <w:tcW w:w="156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677613" w:rsidRPr="009D743B" w:rsidRDefault="00677613" w:rsidP="008B6907">
            <w:pPr>
              <w:keepNext/>
              <w:keepLines/>
              <w:spacing w:before="0" w:after="0"/>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No. of scripts in estimated in resubmission</w:t>
            </w:r>
          </w:p>
        </w:tc>
        <w:tc>
          <w:tcPr>
            <w:tcW w:w="62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6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53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r>
      <w:tr w:rsidR="00DB7BEB" w:rsidRPr="009D743B" w:rsidTr="00DB7BEB">
        <w:trPr>
          <w:trHeight w:val="149"/>
        </w:trPr>
        <w:tc>
          <w:tcPr>
            <w:tcW w:w="156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677613" w:rsidRPr="009D743B" w:rsidRDefault="00677613" w:rsidP="008B6907">
            <w:pPr>
              <w:keepNext/>
              <w:keepLines/>
              <w:spacing w:before="0" w:after="0"/>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 of scripts within the cap</w:t>
            </w:r>
          </w:p>
        </w:tc>
        <w:tc>
          <w:tcPr>
            <w:tcW w:w="62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6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53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r w:rsidR="00360EF1" w:rsidRPr="009D743B">
              <w:rPr>
                <w:rFonts w:ascii="Arial Narrow" w:eastAsia="Times New Roman" w:hAnsi="Arial Narrow" w:cs="Arial"/>
                <w:color w:val="000000"/>
                <w:sz w:val="20"/>
                <w:szCs w:val="20"/>
                <w:vertAlign w:val="superscript"/>
                <w:lang w:eastAsia="en-AU"/>
              </w:rPr>
              <w:t xml:space="preserve"> d</w:t>
            </w:r>
          </w:p>
        </w:tc>
      </w:tr>
      <w:tr w:rsidR="00DB7BEB" w:rsidRPr="009D743B" w:rsidTr="00DB7BEB">
        <w:trPr>
          <w:trHeight w:val="255"/>
        </w:trPr>
        <w:tc>
          <w:tcPr>
            <w:tcW w:w="156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677613" w:rsidRPr="009D743B" w:rsidRDefault="00677613" w:rsidP="008B6907">
            <w:pPr>
              <w:keepNext/>
              <w:keepLines/>
              <w:spacing w:before="0" w:after="0"/>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No. of scripts within cap</w:t>
            </w:r>
          </w:p>
        </w:tc>
        <w:tc>
          <w:tcPr>
            <w:tcW w:w="62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6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50211C" w:rsidRDefault="0050211C" w:rsidP="008B6907">
            <w:pPr>
              <w:keepNext/>
              <w:keepLines/>
              <w:spacing w:before="0" w:after="0"/>
              <w:jc w:val="center"/>
              <w:rPr>
                <w:rFonts w:ascii="Arial Narrow" w:eastAsia="Times New Roman" w:hAnsi="Arial Narrow" w:cs="Arial"/>
                <w:color w:val="000000"/>
                <w:sz w:val="20"/>
                <w:szCs w:val="20"/>
                <w:highlight w:val="black"/>
                <w:lang w:eastAsia="en-AU"/>
              </w:rPr>
            </w:pPr>
            <w:r>
              <w:rPr>
                <w:rFonts w:ascii="Arial Narrow" w:eastAsia="Times New Roman" w:hAnsi="Arial Narrow" w:cs="Arial"/>
                <w:noProof/>
                <w:color w:val="000000"/>
                <w:sz w:val="20"/>
                <w:szCs w:val="20"/>
                <w:highlight w:val="black"/>
                <w:lang w:eastAsia="en-AU"/>
              </w:rPr>
              <w:t>''''''''''''''''</w:t>
            </w:r>
          </w:p>
        </w:tc>
        <w:tc>
          <w:tcPr>
            <w:tcW w:w="53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360EF1" w:rsidRPr="009D743B">
              <w:rPr>
                <w:rFonts w:ascii="Arial Narrow" w:eastAsia="Times New Roman" w:hAnsi="Arial Narrow" w:cs="Arial"/>
                <w:color w:val="000000"/>
                <w:sz w:val="20"/>
                <w:szCs w:val="20"/>
                <w:lang w:eastAsia="en-AU"/>
              </w:rPr>
              <w:t xml:space="preserve"> </w:t>
            </w:r>
            <w:r w:rsidR="00360EF1" w:rsidRPr="009D743B">
              <w:rPr>
                <w:rFonts w:ascii="Arial Narrow" w:eastAsia="Times New Roman" w:hAnsi="Arial Narrow" w:cs="Arial"/>
                <w:color w:val="000000"/>
                <w:sz w:val="20"/>
                <w:szCs w:val="20"/>
                <w:vertAlign w:val="superscript"/>
                <w:lang w:eastAsia="en-AU"/>
              </w:rPr>
              <w:t>d</w:t>
            </w:r>
          </w:p>
        </w:tc>
      </w:tr>
      <w:tr w:rsidR="00DB7BEB" w:rsidRPr="009D743B" w:rsidTr="00DB7BEB">
        <w:trPr>
          <w:trHeight w:val="285"/>
        </w:trPr>
        <w:tc>
          <w:tcPr>
            <w:tcW w:w="156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677613" w:rsidRPr="009D743B" w:rsidRDefault="00677613" w:rsidP="008B6907">
            <w:pPr>
              <w:keepNext/>
              <w:keepLines/>
              <w:spacing w:before="0" w:after="0"/>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Rebate on scripts above the cap</w:t>
            </w:r>
          </w:p>
        </w:tc>
        <w:tc>
          <w:tcPr>
            <w:tcW w:w="62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6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c>
          <w:tcPr>
            <w:tcW w:w="53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50211C" w:rsidP="008B6907">
            <w:pPr>
              <w:keepNext/>
              <w:keepLines/>
              <w:spacing w:before="0" w:after="0"/>
              <w:jc w:val="center"/>
              <w:rPr>
                <w:rFonts w:ascii="Arial Narrow" w:eastAsia="Times New Roman" w:hAnsi="Arial Narrow" w:cs="Arial"/>
                <w:color w:val="000000"/>
                <w:sz w:val="20"/>
                <w:szCs w:val="20"/>
                <w:lang w:eastAsia="en-AU"/>
              </w:rPr>
            </w:pPr>
            <w:r>
              <w:rPr>
                <w:rFonts w:ascii="Arial Narrow" w:eastAsia="Times New Roman" w:hAnsi="Arial Narrow" w:cs="Arial"/>
                <w:noProof/>
                <w:color w:val="000000"/>
                <w:sz w:val="20"/>
                <w:szCs w:val="20"/>
                <w:highlight w:val="black"/>
                <w:lang w:eastAsia="en-AU"/>
              </w:rPr>
              <w:t>''''''</w:t>
            </w:r>
            <w:r w:rsidR="00677613" w:rsidRPr="009D743B">
              <w:rPr>
                <w:rFonts w:ascii="Arial Narrow" w:eastAsia="Times New Roman" w:hAnsi="Arial Narrow" w:cs="Arial"/>
                <w:color w:val="000000"/>
                <w:sz w:val="20"/>
                <w:szCs w:val="20"/>
                <w:lang w:eastAsia="en-AU"/>
              </w:rPr>
              <w:t>%</w:t>
            </w:r>
          </w:p>
        </w:tc>
      </w:tr>
      <w:tr w:rsidR="00DB7BEB" w:rsidRPr="009D743B" w:rsidTr="00DB7BEB">
        <w:trPr>
          <w:trHeight w:val="285"/>
        </w:trPr>
        <w:tc>
          <w:tcPr>
            <w:tcW w:w="156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632D6" w:rsidRPr="009D743B" w:rsidRDefault="00E632D6" w:rsidP="008B6907">
            <w:pPr>
              <w:keepNext/>
              <w:keepLines/>
              <w:spacing w:before="0" w:after="0"/>
              <w:rPr>
                <w:rFonts w:ascii="Arial Narrow" w:eastAsia="Times New Roman" w:hAnsi="Arial Narrow" w:cs="Arial"/>
                <w:bCs/>
                <w:color w:val="000000"/>
                <w:sz w:val="20"/>
                <w:szCs w:val="20"/>
                <w:vertAlign w:val="superscript"/>
                <w:lang w:eastAsia="en-AU"/>
              </w:rPr>
            </w:pPr>
            <w:r w:rsidRPr="009D743B">
              <w:rPr>
                <w:rFonts w:ascii="Arial Narrow" w:eastAsia="Times New Roman" w:hAnsi="Arial Narrow" w:cs="Arial"/>
                <w:bCs/>
                <w:color w:val="000000"/>
                <w:sz w:val="20"/>
                <w:szCs w:val="20"/>
                <w:lang w:eastAsia="en-AU"/>
              </w:rPr>
              <w:t xml:space="preserve">Cost to PBS/RPBS (before RSA) </w:t>
            </w:r>
            <w:r w:rsidR="008D243A" w:rsidRPr="009D743B">
              <w:rPr>
                <w:rFonts w:ascii="Arial Narrow" w:eastAsia="Times New Roman" w:hAnsi="Arial Narrow" w:cs="Arial"/>
                <w:bCs/>
                <w:color w:val="000000"/>
                <w:sz w:val="20"/>
                <w:szCs w:val="20"/>
                <w:vertAlign w:val="superscript"/>
                <w:lang w:eastAsia="en-AU"/>
              </w:rPr>
              <w:t>b</w:t>
            </w:r>
          </w:p>
        </w:tc>
        <w:tc>
          <w:tcPr>
            <w:tcW w:w="627" w:type="pct"/>
            <w:tcBorders>
              <w:top w:val="nil"/>
              <w:left w:val="nil"/>
              <w:bottom w:val="single" w:sz="4" w:space="0" w:color="auto"/>
              <w:right w:val="single" w:sz="4" w:space="0" w:color="auto"/>
            </w:tcBorders>
            <w:shd w:val="clear" w:color="auto" w:fill="auto"/>
            <w:noWrap/>
            <w:tcMar>
              <w:left w:w="28" w:type="dxa"/>
              <w:right w:w="28" w:type="dxa"/>
            </w:tcMar>
            <w:hideMark/>
          </w:tcPr>
          <w:p w:rsidR="00E632D6" w:rsidRPr="009D743B" w:rsidRDefault="00E632D6"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625" w:type="pct"/>
            <w:tcBorders>
              <w:top w:val="nil"/>
              <w:left w:val="nil"/>
              <w:bottom w:val="single" w:sz="4" w:space="0" w:color="auto"/>
              <w:right w:val="single" w:sz="4" w:space="0" w:color="auto"/>
            </w:tcBorders>
            <w:shd w:val="clear" w:color="auto" w:fill="auto"/>
            <w:noWrap/>
            <w:tcMar>
              <w:left w:w="28" w:type="dxa"/>
              <w:right w:w="28" w:type="dxa"/>
            </w:tcMar>
            <w:hideMark/>
          </w:tcPr>
          <w:p w:rsidR="00E632D6" w:rsidRPr="009D743B" w:rsidRDefault="00E632D6"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hideMark/>
          </w:tcPr>
          <w:p w:rsidR="00E632D6" w:rsidRPr="009D743B" w:rsidRDefault="00E632D6"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hideMark/>
          </w:tcPr>
          <w:p w:rsidR="00E632D6" w:rsidRPr="009D743B" w:rsidRDefault="00E632D6"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hideMark/>
          </w:tcPr>
          <w:p w:rsidR="00E632D6" w:rsidRPr="009D743B" w:rsidRDefault="00E632D6"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539" w:type="pct"/>
            <w:tcBorders>
              <w:top w:val="nil"/>
              <w:left w:val="nil"/>
              <w:bottom w:val="single" w:sz="4" w:space="0" w:color="auto"/>
              <w:right w:val="single" w:sz="4" w:space="0" w:color="auto"/>
            </w:tcBorders>
            <w:shd w:val="clear" w:color="auto" w:fill="auto"/>
            <w:noWrap/>
            <w:tcMar>
              <w:left w:w="28" w:type="dxa"/>
              <w:right w:w="28" w:type="dxa"/>
            </w:tcMar>
            <w:hideMark/>
          </w:tcPr>
          <w:p w:rsidR="00E632D6" w:rsidRPr="009D743B" w:rsidRDefault="00E632D6"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r>
      <w:tr w:rsidR="00DB7BEB" w:rsidRPr="009D743B" w:rsidTr="00DB7BEB">
        <w:trPr>
          <w:trHeight w:val="285"/>
        </w:trPr>
        <w:tc>
          <w:tcPr>
            <w:tcW w:w="156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677613" w:rsidRPr="009D743B" w:rsidRDefault="00E632D6" w:rsidP="008B6907">
            <w:pPr>
              <w:keepNext/>
              <w:keepLines/>
              <w:spacing w:before="0" w:after="0"/>
              <w:rPr>
                <w:rFonts w:ascii="Arial Narrow" w:eastAsia="Times New Roman" w:hAnsi="Arial Narrow" w:cs="Arial"/>
                <w:color w:val="000000"/>
                <w:sz w:val="20"/>
                <w:szCs w:val="20"/>
                <w:vertAlign w:val="superscript"/>
                <w:lang w:eastAsia="en-AU"/>
              </w:rPr>
            </w:pPr>
            <w:r w:rsidRPr="009D743B">
              <w:rPr>
                <w:rFonts w:ascii="Arial Narrow" w:eastAsia="Times New Roman" w:hAnsi="Arial Narrow" w:cs="Arial"/>
                <w:color w:val="000000"/>
                <w:sz w:val="20"/>
                <w:szCs w:val="20"/>
                <w:lang w:eastAsia="en-AU"/>
              </w:rPr>
              <w:t xml:space="preserve">Estimated rebate </w:t>
            </w:r>
            <w:r w:rsidR="008D243A" w:rsidRPr="009D743B">
              <w:rPr>
                <w:rFonts w:ascii="Arial Narrow" w:eastAsia="Times New Roman" w:hAnsi="Arial Narrow" w:cs="Arial"/>
                <w:color w:val="000000"/>
                <w:sz w:val="20"/>
                <w:szCs w:val="20"/>
                <w:vertAlign w:val="superscript"/>
                <w:lang w:eastAsia="en-AU"/>
              </w:rPr>
              <w:t>c</w:t>
            </w:r>
          </w:p>
        </w:tc>
        <w:tc>
          <w:tcPr>
            <w:tcW w:w="62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6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c>
          <w:tcPr>
            <w:tcW w:w="53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color w:val="000000"/>
                <w:sz w:val="20"/>
                <w:szCs w:val="20"/>
                <w:lang w:eastAsia="en-AU"/>
              </w:rPr>
            </w:pPr>
            <w:r w:rsidRPr="009D743B">
              <w:rPr>
                <w:rFonts w:ascii="Arial Narrow" w:eastAsia="Times New Roman" w:hAnsi="Arial Narrow" w:cs="Arial"/>
                <w:color w:val="000000"/>
                <w:sz w:val="20"/>
                <w:szCs w:val="20"/>
                <w:lang w:eastAsia="en-AU"/>
              </w:rPr>
              <w:t>$</w:t>
            </w:r>
            <w:r w:rsidR="0050211C">
              <w:rPr>
                <w:rFonts w:ascii="Arial Narrow" w:eastAsia="Times New Roman" w:hAnsi="Arial Narrow" w:cs="Arial"/>
                <w:noProof/>
                <w:color w:val="000000"/>
                <w:sz w:val="20"/>
                <w:szCs w:val="20"/>
                <w:highlight w:val="black"/>
                <w:lang w:eastAsia="en-AU"/>
              </w:rPr>
              <w:t>'''''''''''''''''''''''</w:t>
            </w:r>
          </w:p>
        </w:tc>
      </w:tr>
      <w:tr w:rsidR="00DB7BEB" w:rsidRPr="009D743B" w:rsidTr="00DB7BEB">
        <w:trPr>
          <w:trHeight w:val="285"/>
        </w:trPr>
        <w:tc>
          <w:tcPr>
            <w:tcW w:w="156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677613" w:rsidRPr="009D743B" w:rsidRDefault="00677613" w:rsidP="008B6907">
            <w:pPr>
              <w:keepNext/>
              <w:keepLines/>
              <w:spacing w:before="0" w:after="0"/>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Cost to PBS/RPBS (with RSA)</w:t>
            </w:r>
          </w:p>
        </w:tc>
        <w:tc>
          <w:tcPr>
            <w:tcW w:w="62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w:t>
            </w:r>
            <w:r w:rsidR="0050211C">
              <w:rPr>
                <w:rFonts w:ascii="Arial Narrow" w:eastAsia="Times New Roman" w:hAnsi="Arial Narrow" w:cs="Arial"/>
                <w:b/>
                <w:bCs/>
                <w:noProof/>
                <w:color w:val="000000"/>
                <w:sz w:val="20"/>
                <w:szCs w:val="20"/>
                <w:highlight w:val="black"/>
                <w:lang w:eastAsia="en-AU"/>
              </w:rPr>
              <w:t>'''''''''''''''''''''''</w:t>
            </w:r>
          </w:p>
        </w:tc>
        <w:tc>
          <w:tcPr>
            <w:tcW w:w="6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w:t>
            </w:r>
            <w:r w:rsidR="0050211C">
              <w:rPr>
                <w:rFonts w:ascii="Arial Narrow" w:eastAsia="Times New Roman" w:hAnsi="Arial Narrow" w:cs="Arial"/>
                <w:b/>
                <w:bCs/>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w:t>
            </w:r>
            <w:r w:rsidR="0050211C">
              <w:rPr>
                <w:rFonts w:ascii="Arial Narrow" w:eastAsia="Times New Roman" w:hAnsi="Arial Narrow" w:cs="Arial"/>
                <w:b/>
                <w:bCs/>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w:t>
            </w:r>
            <w:r w:rsidR="0050211C">
              <w:rPr>
                <w:rFonts w:ascii="Arial Narrow" w:eastAsia="Times New Roman" w:hAnsi="Arial Narrow" w:cs="Arial"/>
                <w:b/>
                <w:bCs/>
                <w:noProof/>
                <w:color w:val="000000"/>
                <w:sz w:val="20"/>
                <w:szCs w:val="20"/>
                <w:highlight w:val="black"/>
                <w:lang w:eastAsia="en-AU"/>
              </w:rPr>
              <w:t>'''''''''''''''''''''</w:t>
            </w:r>
          </w:p>
        </w:tc>
        <w:tc>
          <w:tcPr>
            <w:tcW w:w="54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w:t>
            </w:r>
            <w:r w:rsidR="0050211C">
              <w:rPr>
                <w:rFonts w:ascii="Arial Narrow" w:eastAsia="Times New Roman" w:hAnsi="Arial Narrow" w:cs="Arial"/>
                <w:b/>
                <w:bCs/>
                <w:noProof/>
                <w:color w:val="000000"/>
                <w:sz w:val="20"/>
                <w:szCs w:val="20"/>
                <w:highlight w:val="black"/>
                <w:lang w:eastAsia="en-AU"/>
              </w:rPr>
              <w:t>''''''''''''''''''''</w:t>
            </w:r>
          </w:p>
        </w:tc>
        <w:tc>
          <w:tcPr>
            <w:tcW w:w="53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677613" w:rsidRPr="009D743B" w:rsidRDefault="00677613" w:rsidP="008B6907">
            <w:pPr>
              <w:keepNext/>
              <w:keepLines/>
              <w:spacing w:before="0" w:after="0"/>
              <w:jc w:val="center"/>
              <w:rPr>
                <w:rFonts w:ascii="Arial Narrow" w:eastAsia="Times New Roman" w:hAnsi="Arial Narrow" w:cs="Arial"/>
                <w:b/>
                <w:bCs/>
                <w:color w:val="000000"/>
                <w:sz w:val="20"/>
                <w:szCs w:val="20"/>
                <w:lang w:eastAsia="en-AU"/>
              </w:rPr>
            </w:pPr>
            <w:r w:rsidRPr="009D743B">
              <w:rPr>
                <w:rFonts w:ascii="Arial Narrow" w:eastAsia="Times New Roman" w:hAnsi="Arial Narrow" w:cs="Arial"/>
                <w:b/>
                <w:bCs/>
                <w:color w:val="000000"/>
                <w:sz w:val="20"/>
                <w:szCs w:val="20"/>
                <w:lang w:eastAsia="en-AU"/>
              </w:rPr>
              <w:t>$</w:t>
            </w:r>
            <w:r w:rsidR="0050211C">
              <w:rPr>
                <w:rFonts w:ascii="Arial Narrow" w:eastAsia="Times New Roman" w:hAnsi="Arial Narrow" w:cs="Arial"/>
                <w:b/>
                <w:bCs/>
                <w:noProof/>
                <w:color w:val="000000"/>
                <w:sz w:val="20"/>
                <w:szCs w:val="20"/>
                <w:highlight w:val="black"/>
                <w:lang w:eastAsia="en-AU"/>
              </w:rPr>
              <w:t>'''''''''''''''''''''''</w:t>
            </w:r>
          </w:p>
        </w:tc>
      </w:tr>
    </w:tbl>
    <w:p w:rsidR="00677613" w:rsidRPr="009D743B" w:rsidRDefault="00E632D6" w:rsidP="008B6907">
      <w:pPr>
        <w:keepNext/>
        <w:keepLines/>
        <w:spacing w:before="0" w:after="0"/>
        <w:jc w:val="both"/>
        <w:rPr>
          <w:rFonts w:ascii="Arial Narrow" w:hAnsi="Arial Narrow"/>
          <w:sz w:val="18"/>
          <w:szCs w:val="18"/>
        </w:rPr>
      </w:pPr>
      <w:r w:rsidRPr="009D743B">
        <w:rPr>
          <w:rFonts w:ascii="Arial Narrow" w:hAnsi="Arial Narrow"/>
          <w:sz w:val="18"/>
          <w:szCs w:val="18"/>
        </w:rPr>
        <w:t>Source: Pre-PBAC response</w:t>
      </w:r>
      <w:r w:rsidR="008D0C99" w:rsidRPr="009D743B">
        <w:rPr>
          <w:rFonts w:ascii="Arial Narrow" w:hAnsi="Arial Narrow"/>
          <w:sz w:val="18"/>
          <w:szCs w:val="18"/>
        </w:rPr>
        <w:t>:</w:t>
      </w:r>
      <w:r w:rsidRPr="009D743B">
        <w:rPr>
          <w:rFonts w:ascii="Arial Narrow" w:hAnsi="Arial Narrow"/>
          <w:sz w:val="18"/>
          <w:szCs w:val="18"/>
        </w:rPr>
        <w:t xml:space="preserve"> </w:t>
      </w:r>
      <w:r w:rsidR="008D0C99" w:rsidRPr="009D743B">
        <w:rPr>
          <w:rFonts w:ascii="Arial Narrow" w:hAnsi="Arial Narrow"/>
          <w:sz w:val="18"/>
          <w:szCs w:val="18"/>
        </w:rPr>
        <w:t>“RSA proposal” worksheet of “Item 7.03 Pre-PBAC Response for Golimumab – SIMPONI – Janssen – RSA proposal.xlsx”</w:t>
      </w:r>
    </w:p>
    <w:p w:rsidR="008D243A" w:rsidRPr="009D743B" w:rsidRDefault="00E632D6" w:rsidP="008B6907">
      <w:pPr>
        <w:keepNext/>
        <w:keepLines/>
        <w:spacing w:before="0" w:after="120"/>
        <w:contextualSpacing/>
        <w:jc w:val="both"/>
        <w:rPr>
          <w:rFonts w:ascii="Arial Narrow" w:hAnsi="Arial Narrow"/>
          <w:sz w:val="18"/>
          <w:szCs w:val="18"/>
        </w:rPr>
      </w:pPr>
      <w:r w:rsidRPr="009D743B">
        <w:rPr>
          <w:rFonts w:ascii="Arial Narrow" w:hAnsi="Arial Narrow"/>
          <w:sz w:val="18"/>
          <w:szCs w:val="18"/>
          <w:vertAlign w:val="superscript"/>
        </w:rPr>
        <w:t>a</w:t>
      </w:r>
      <w:r w:rsidRPr="009D743B">
        <w:rPr>
          <w:rFonts w:ascii="Arial Narrow" w:hAnsi="Arial Narrow"/>
          <w:sz w:val="18"/>
          <w:szCs w:val="18"/>
        </w:rPr>
        <w:t xml:space="preserve"> </w:t>
      </w:r>
      <w:r w:rsidR="008D243A" w:rsidRPr="009D743B">
        <w:rPr>
          <w:rFonts w:ascii="Arial Narrow" w:hAnsi="Arial Narrow"/>
          <w:sz w:val="18"/>
          <w:szCs w:val="18"/>
        </w:rPr>
        <w:t>The pre-PBAC response assumed that the Year 5 subsidisation cap would roll-over to Year 6</w:t>
      </w:r>
    </w:p>
    <w:p w:rsidR="00E632D6" w:rsidRPr="009D743B" w:rsidRDefault="008D243A" w:rsidP="008B6907">
      <w:pPr>
        <w:keepNext/>
        <w:keepLines/>
        <w:spacing w:before="0" w:after="120"/>
        <w:contextualSpacing/>
        <w:jc w:val="both"/>
        <w:rPr>
          <w:rFonts w:ascii="Arial Narrow" w:hAnsi="Arial Narrow"/>
          <w:sz w:val="18"/>
          <w:szCs w:val="18"/>
        </w:rPr>
      </w:pPr>
      <w:r w:rsidRPr="009D743B">
        <w:rPr>
          <w:rFonts w:ascii="Arial Narrow" w:hAnsi="Arial Narrow"/>
          <w:sz w:val="18"/>
          <w:szCs w:val="18"/>
          <w:vertAlign w:val="superscript"/>
        </w:rPr>
        <w:t xml:space="preserve">b </w:t>
      </w:r>
      <w:r w:rsidR="00E632D6" w:rsidRPr="009D743B">
        <w:rPr>
          <w:rFonts w:ascii="Arial Narrow" w:hAnsi="Arial Narrow"/>
          <w:sz w:val="18"/>
          <w:szCs w:val="18"/>
        </w:rPr>
        <w:t>Reported as per Table 14 above for consistency. Does not align exactly with worksheet due to minor differences in co-payments (weighting between RPBS and PBS)</w:t>
      </w:r>
    </w:p>
    <w:p w:rsidR="00E632D6" w:rsidRPr="009D743B" w:rsidRDefault="008D243A" w:rsidP="008B6907">
      <w:pPr>
        <w:keepNext/>
        <w:keepLines/>
        <w:spacing w:before="0" w:after="120"/>
        <w:contextualSpacing/>
        <w:jc w:val="both"/>
        <w:rPr>
          <w:rFonts w:ascii="Arial Narrow" w:hAnsi="Arial Narrow"/>
          <w:sz w:val="18"/>
          <w:szCs w:val="18"/>
        </w:rPr>
      </w:pPr>
      <w:r w:rsidRPr="009D743B">
        <w:rPr>
          <w:rFonts w:ascii="Arial Narrow" w:hAnsi="Arial Narrow"/>
          <w:sz w:val="18"/>
          <w:szCs w:val="18"/>
          <w:vertAlign w:val="superscript"/>
        </w:rPr>
        <w:t>c</w:t>
      </w:r>
      <w:r w:rsidR="00E632D6" w:rsidRPr="009D743B">
        <w:rPr>
          <w:rFonts w:ascii="Arial Narrow" w:hAnsi="Arial Narrow"/>
          <w:sz w:val="18"/>
          <w:szCs w:val="18"/>
        </w:rPr>
        <w:t xml:space="preserve"> If scripts are as estimated in Row 1 </w:t>
      </w:r>
    </w:p>
    <w:p w:rsidR="00360EF1" w:rsidRPr="009D743B" w:rsidRDefault="00360EF1" w:rsidP="008B6907">
      <w:pPr>
        <w:keepNext/>
        <w:keepLines/>
        <w:spacing w:before="0" w:after="120"/>
        <w:contextualSpacing/>
        <w:jc w:val="both"/>
        <w:rPr>
          <w:rFonts w:ascii="Arial Narrow" w:hAnsi="Arial Narrow"/>
          <w:sz w:val="18"/>
          <w:szCs w:val="18"/>
        </w:rPr>
      </w:pPr>
      <w:r w:rsidRPr="009D743B">
        <w:rPr>
          <w:rFonts w:ascii="Arial Narrow" w:hAnsi="Arial Narrow"/>
          <w:sz w:val="18"/>
          <w:szCs w:val="18"/>
          <w:vertAlign w:val="superscript"/>
        </w:rPr>
        <w:t xml:space="preserve">d </w:t>
      </w:r>
      <w:r w:rsidRPr="009D743B">
        <w:rPr>
          <w:rFonts w:ascii="Arial Narrow" w:hAnsi="Arial Narrow"/>
          <w:sz w:val="18"/>
          <w:szCs w:val="18"/>
        </w:rPr>
        <w:t xml:space="preserve">Based on the number of scripts in the Year 5 cap rolling over to Year 6 (i.e. the number of scripts included in the cap remains the same at </w:t>
      </w:r>
      <w:r w:rsidR="0050211C">
        <w:rPr>
          <w:rFonts w:ascii="Arial Narrow" w:hAnsi="Arial Narrow"/>
          <w:noProof/>
          <w:color w:val="000000"/>
          <w:sz w:val="18"/>
          <w:szCs w:val="18"/>
          <w:highlight w:val="black"/>
        </w:rPr>
        <w:t>''''''''''''''''</w:t>
      </w:r>
      <w:r w:rsidRPr="009D743B">
        <w:rPr>
          <w:rFonts w:ascii="Arial Narrow" w:hAnsi="Arial Narrow"/>
          <w:sz w:val="18"/>
          <w:szCs w:val="18"/>
        </w:rPr>
        <w:t xml:space="preserve"> scripts. The proportion of estimated scripts increases because the estimated number of scripts decreases in Year 6).</w:t>
      </w:r>
    </w:p>
    <w:p w:rsidR="00E632D6" w:rsidRPr="009D743B" w:rsidRDefault="00E632D6" w:rsidP="008B6907">
      <w:pPr>
        <w:spacing w:before="0" w:after="0"/>
        <w:jc w:val="both"/>
        <w:rPr>
          <w:rFonts w:ascii="Arial Narrow" w:hAnsi="Arial Narrow"/>
          <w:sz w:val="18"/>
          <w:szCs w:val="18"/>
        </w:rPr>
      </w:pPr>
    </w:p>
    <w:p w:rsidR="00E632D6" w:rsidRPr="009D743B" w:rsidRDefault="00840F9B" w:rsidP="00B876BB">
      <w:pPr>
        <w:pStyle w:val="ListParagraph"/>
        <w:numPr>
          <w:ilvl w:val="0"/>
          <w:numId w:val="11"/>
        </w:numPr>
        <w:spacing w:before="0"/>
        <w:ind w:left="567" w:hanging="567"/>
        <w:jc w:val="both"/>
      </w:pPr>
      <w:r w:rsidRPr="009D743B">
        <w:t>The pre-PBAC response stated that the proposed RSA, the estimated net cost to the PBS/RPBS for golimumab in nr-axSpA was expected to reduce</w:t>
      </w:r>
      <w:r w:rsidR="00663B0E">
        <w:t xml:space="preserve"> </w:t>
      </w:r>
      <w:r w:rsidR="001459A9">
        <w:t xml:space="preserve">the estimated net cost to the PBS/RPBS </w:t>
      </w:r>
      <w:r w:rsidR="001459A9" w:rsidRPr="009D743B">
        <w:t>for golimumab in nr-axSpA</w:t>
      </w:r>
      <w:r w:rsidR="001459A9">
        <w:t xml:space="preserve"> $60 - $100 million</w:t>
      </w:r>
      <w:r w:rsidR="002609A6">
        <w:t xml:space="preserve"> </w:t>
      </w:r>
      <w:r w:rsidRPr="009D743B">
        <w:t xml:space="preserve">over five years, representing a </w:t>
      </w:r>
      <w:r w:rsidR="0050211C">
        <w:rPr>
          <w:noProof/>
          <w:color w:val="000000"/>
          <w:highlight w:val="black"/>
        </w:rPr>
        <w:t>''''''</w:t>
      </w:r>
      <w:r w:rsidRPr="009D743B">
        <w:t xml:space="preserve">% reduction. </w:t>
      </w:r>
    </w:p>
    <w:p w:rsidR="00E632D6" w:rsidRPr="009D743B" w:rsidRDefault="00E632D6" w:rsidP="008B6907">
      <w:pPr>
        <w:pStyle w:val="ListParagraph"/>
        <w:numPr>
          <w:ilvl w:val="0"/>
          <w:numId w:val="0"/>
        </w:numPr>
        <w:ind w:left="786" w:hanging="219"/>
        <w:jc w:val="both"/>
        <w:rPr>
          <w:i/>
        </w:rPr>
      </w:pPr>
      <w:r w:rsidRPr="009D743B">
        <w:rPr>
          <w:i/>
        </w:rPr>
        <w:t>For more detail on PBAC’s view, see section 7 PBAC outcome.</w:t>
      </w:r>
    </w:p>
    <w:p w:rsidR="00ED4FA5" w:rsidRPr="009D743B" w:rsidRDefault="00ED4FA5" w:rsidP="00ED4FA5">
      <w:pPr>
        <w:pStyle w:val="Heading1"/>
        <w:ind w:left="709" w:hanging="709"/>
      </w:pPr>
      <w:r w:rsidRPr="009D743B">
        <w:t>PBAC Outcome</w:t>
      </w:r>
    </w:p>
    <w:p w:rsidR="00ED4FA5" w:rsidRPr="009D743B" w:rsidRDefault="00ED4FA5" w:rsidP="00B876BB">
      <w:pPr>
        <w:pStyle w:val="ListParagraph"/>
        <w:numPr>
          <w:ilvl w:val="1"/>
          <w:numId w:val="15"/>
        </w:numPr>
        <w:spacing w:before="0" w:after="120"/>
        <w:ind w:left="567" w:hanging="567"/>
        <w:jc w:val="both"/>
        <w:rPr>
          <w:rFonts w:cs="Arial"/>
          <w:bCs/>
          <w:snapToGrid w:val="0"/>
        </w:rPr>
      </w:pPr>
      <w:r w:rsidRPr="009D743B">
        <w:rPr>
          <w:rFonts w:cs="Arial"/>
          <w:bCs/>
          <w:snapToGrid w:val="0"/>
        </w:rPr>
        <w:t xml:space="preserve">The PBAC recommended </w:t>
      </w:r>
      <w:r w:rsidR="004824DD" w:rsidRPr="009D743B">
        <w:rPr>
          <w:rFonts w:cs="Arial"/>
          <w:bCs/>
          <w:snapToGrid w:val="0"/>
        </w:rPr>
        <w:t xml:space="preserve">extending </w:t>
      </w:r>
      <w:r w:rsidRPr="009D743B">
        <w:rPr>
          <w:rFonts w:cs="Arial"/>
          <w:bCs/>
          <w:snapToGrid w:val="0"/>
        </w:rPr>
        <w:t xml:space="preserve">the </w:t>
      </w:r>
      <w:r w:rsidR="004824DD" w:rsidRPr="009D743B">
        <w:rPr>
          <w:rFonts w:cs="Arial"/>
          <w:bCs/>
          <w:snapToGrid w:val="0"/>
        </w:rPr>
        <w:t>PBS-</w:t>
      </w:r>
      <w:r w:rsidRPr="009D743B">
        <w:rPr>
          <w:rFonts w:cs="Arial"/>
          <w:bCs/>
          <w:snapToGrid w:val="0"/>
        </w:rPr>
        <w:t xml:space="preserve">listing of </w:t>
      </w:r>
      <w:r w:rsidR="002F259E" w:rsidRPr="009D743B">
        <w:rPr>
          <w:rFonts w:cs="Arial"/>
          <w:bCs/>
          <w:snapToGrid w:val="0"/>
        </w:rPr>
        <w:t>golimumab</w:t>
      </w:r>
      <w:r w:rsidRPr="009D743B">
        <w:rPr>
          <w:rFonts w:cs="Arial"/>
          <w:bCs/>
          <w:snapToGrid w:val="0"/>
        </w:rPr>
        <w:t xml:space="preserve"> </w:t>
      </w:r>
      <w:r w:rsidR="004824DD" w:rsidRPr="009D743B">
        <w:rPr>
          <w:rFonts w:cs="Arial"/>
          <w:bCs/>
          <w:snapToGrid w:val="0"/>
        </w:rPr>
        <w:t>to include the treatment of patients with non-radiographic axial spondyloarthritis (nr-axSpA)</w:t>
      </w:r>
      <w:r w:rsidR="005D6409">
        <w:rPr>
          <w:rFonts w:cs="Arial"/>
          <w:bCs/>
          <w:snapToGrid w:val="0"/>
        </w:rPr>
        <w:t xml:space="preserve"> as a Section 85 Authority Required (written) listing</w:t>
      </w:r>
      <w:r w:rsidR="004824DD" w:rsidRPr="009D743B">
        <w:rPr>
          <w:rFonts w:cs="Arial"/>
          <w:bCs/>
          <w:snapToGrid w:val="0"/>
        </w:rPr>
        <w:t xml:space="preserve">. </w:t>
      </w:r>
      <w:r w:rsidRPr="009D743B">
        <w:rPr>
          <w:rFonts w:cs="Arial"/>
          <w:bCs/>
          <w:snapToGrid w:val="0"/>
        </w:rPr>
        <w:t xml:space="preserve">The PBAC is satisfied that </w:t>
      </w:r>
      <w:r w:rsidR="002F259E" w:rsidRPr="009D743B">
        <w:rPr>
          <w:rFonts w:cs="Arial"/>
          <w:bCs/>
          <w:snapToGrid w:val="0"/>
        </w:rPr>
        <w:t xml:space="preserve">golimumab </w:t>
      </w:r>
      <w:r w:rsidRPr="009D743B">
        <w:rPr>
          <w:rFonts w:cs="Arial"/>
          <w:bCs/>
          <w:snapToGrid w:val="0"/>
        </w:rPr>
        <w:t>provides, for some patients, a significant improvement in efficacy over</w:t>
      </w:r>
      <w:r w:rsidR="002F259E" w:rsidRPr="009D743B">
        <w:rPr>
          <w:rFonts w:cs="Arial"/>
          <w:bCs/>
          <w:snapToGrid w:val="0"/>
        </w:rPr>
        <w:t xml:space="preserve"> conventional care</w:t>
      </w:r>
      <w:r w:rsidRPr="009D743B">
        <w:rPr>
          <w:rFonts w:cs="Arial"/>
          <w:bCs/>
          <w:snapToGrid w:val="0"/>
        </w:rPr>
        <w:t>.</w:t>
      </w:r>
      <w:r w:rsidR="004824DD" w:rsidRPr="009D743B">
        <w:rPr>
          <w:rFonts w:cs="Arial"/>
          <w:bCs/>
          <w:snapToGrid w:val="0"/>
        </w:rPr>
        <w:t xml:space="preserve"> The PBAC considered that the cost-effectiveness of golimumab was acceptable at the price applied in the economic model. The PBAC considered that effective controls would be needed to ensure th</w:t>
      </w:r>
      <w:r w:rsidR="002D0DFF" w:rsidRPr="009D743B">
        <w:rPr>
          <w:rFonts w:cs="Arial"/>
          <w:bCs/>
          <w:snapToGrid w:val="0"/>
        </w:rPr>
        <w:t>at</w:t>
      </w:r>
      <w:r w:rsidR="004824DD" w:rsidRPr="009D743B">
        <w:rPr>
          <w:rFonts w:cs="Arial"/>
          <w:bCs/>
          <w:snapToGrid w:val="0"/>
        </w:rPr>
        <w:t xml:space="preserve"> </w:t>
      </w:r>
      <w:r w:rsidR="002D0DFF" w:rsidRPr="009D743B">
        <w:rPr>
          <w:rFonts w:cs="Arial"/>
          <w:bCs/>
          <w:snapToGrid w:val="0"/>
        </w:rPr>
        <w:t>cost-effective treatment wa</w:t>
      </w:r>
      <w:r w:rsidR="004824DD" w:rsidRPr="009D743B">
        <w:rPr>
          <w:rFonts w:cs="Arial"/>
          <w:bCs/>
          <w:snapToGrid w:val="0"/>
        </w:rPr>
        <w:t>s realised and to limit t</w:t>
      </w:r>
      <w:r w:rsidR="00CA1DA0" w:rsidRPr="009D743B">
        <w:rPr>
          <w:rFonts w:cs="Arial"/>
          <w:bCs/>
          <w:snapToGrid w:val="0"/>
        </w:rPr>
        <w:t>he financial costs to the PBS</w:t>
      </w:r>
      <w:r w:rsidR="00F85A11" w:rsidRPr="009D743B">
        <w:rPr>
          <w:rFonts w:cs="Arial"/>
          <w:bCs/>
          <w:snapToGrid w:val="0"/>
        </w:rPr>
        <w:t xml:space="preserve"> to the </w:t>
      </w:r>
      <w:r w:rsidR="00757C5F">
        <w:rPr>
          <w:rFonts w:cs="Arial"/>
          <w:bCs/>
          <w:snapToGrid w:val="0"/>
        </w:rPr>
        <w:t xml:space="preserve">intended </w:t>
      </w:r>
      <w:r w:rsidR="00F85A11" w:rsidRPr="009D743B">
        <w:rPr>
          <w:rFonts w:cs="Arial"/>
          <w:bCs/>
          <w:snapToGrid w:val="0"/>
        </w:rPr>
        <w:t>patient group</w:t>
      </w:r>
      <w:r w:rsidR="00CA1DA0" w:rsidRPr="009D743B">
        <w:rPr>
          <w:rFonts w:cs="Arial"/>
          <w:bCs/>
          <w:snapToGrid w:val="0"/>
        </w:rPr>
        <w:t xml:space="preserve">. </w:t>
      </w:r>
    </w:p>
    <w:p w:rsidR="00980034" w:rsidRPr="00EC4553" w:rsidRDefault="00980034" w:rsidP="00B876BB">
      <w:pPr>
        <w:pStyle w:val="ListParagraph"/>
        <w:numPr>
          <w:ilvl w:val="1"/>
          <w:numId w:val="15"/>
        </w:numPr>
        <w:spacing w:before="0" w:after="120"/>
        <w:ind w:left="567" w:hanging="567"/>
        <w:jc w:val="both"/>
        <w:rPr>
          <w:rFonts w:cs="Arial"/>
          <w:bCs/>
          <w:snapToGrid w:val="0"/>
        </w:rPr>
      </w:pPr>
      <w:r w:rsidRPr="00EC4553">
        <w:rPr>
          <w:rFonts w:cs="Arial"/>
          <w:bCs/>
          <w:snapToGrid w:val="0"/>
        </w:rPr>
        <w:t>The PBAC reiterated the</w:t>
      </w:r>
      <w:r w:rsidR="00074CDF" w:rsidRPr="00EC4553">
        <w:rPr>
          <w:rFonts w:cs="Arial"/>
          <w:bCs/>
          <w:snapToGrid w:val="0"/>
        </w:rPr>
        <w:t>re was a</w:t>
      </w:r>
      <w:r w:rsidRPr="00EC4553">
        <w:rPr>
          <w:rFonts w:cs="Arial"/>
          <w:bCs/>
          <w:snapToGrid w:val="0"/>
        </w:rPr>
        <w:t xml:space="preserve"> clinical need in certain patients</w:t>
      </w:r>
      <w:r w:rsidR="007836BF" w:rsidRPr="00EC4553">
        <w:rPr>
          <w:rFonts w:cs="Arial"/>
          <w:bCs/>
          <w:snapToGrid w:val="0"/>
        </w:rPr>
        <w:t xml:space="preserve"> with inflammatory back pain associated with nr-axSpA</w:t>
      </w:r>
      <w:r w:rsidRPr="00EC4553">
        <w:rPr>
          <w:rFonts w:cs="Arial"/>
          <w:bCs/>
          <w:snapToGrid w:val="0"/>
        </w:rPr>
        <w:t>.</w:t>
      </w:r>
      <w:r w:rsidR="007F7BF0" w:rsidRPr="00EC4553">
        <w:rPr>
          <w:rFonts w:cs="Arial"/>
          <w:bCs/>
          <w:snapToGrid w:val="0"/>
        </w:rPr>
        <w:t xml:space="preserve"> </w:t>
      </w:r>
      <w:r w:rsidR="00DC0A4C" w:rsidRPr="00EC4553">
        <w:rPr>
          <w:rFonts w:cs="Arial"/>
          <w:bCs/>
          <w:snapToGrid w:val="0"/>
        </w:rPr>
        <w:t xml:space="preserve">However, PBAC </w:t>
      </w:r>
      <w:r w:rsidR="0050323A" w:rsidRPr="00EC4553">
        <w:rPr>
          <w:rFonts w:cs="Arial"/>
          <w:bCs/>
          <w:snapToGrid w:val="0"/>
        </w:rPr>
        <w:t>remained</w:t>
      </w:r>
      <w:r w:rsidR="007F7BF0" w:rsidRPr="00EC4553">
        <w:rPr>
          <w:rFonts w:cs="Arial"/>
          <w:bCs/>
          <w:snapToGrid w:val="0"/>
        </w:rPr>
        <w:t xml:space="preserve"> concerned about the risk of over-treating patients with lower back pain (</w:t>
      </w:r>
      <w:r w:rsidR="00F864E4" w:rsidRPr="00EC4553">
        <w:rPr>
          <w:rFonts w:cs="Arial"/>
          <w:bCs/>
          <w:snapToGrid w:val="0"/>
        </w:rPr>
        <w:t xml:space="preserve">ie the </w:t>
      </w:r>
      <w:r w:rsidR="007F7BF0" w:rsidRPr="00EC4553">
        <w:rPr>
          <w:rFonts w:cs="Arial"/>
          <w:bCs/>
          <w:snapToGrid w:val="0"/>
        </w:rPr>
        <w:t>inappropriate use in misdiagnosed p</w:t>
      </w:r>
      <w:r w:rsidR="00F864E4" w:rsidRPr="00EC4553">
        <w:rPr>
          <w:rFonts w:cs="Arial"/>
          <w:bCs/>
          <w:snapToGrid w:val="0"/>
        </w:rPr>
        <w:t>a</w:t>
      </w:r>
      <w:r w:rsidR="007F7BF0" w:rsidRPr="00EC4553">
        <w:rPr>
          <w:rFonts w:cs="Arial"/>
          <w:bCs/>
          <w:snapToGrid w:val="0"/>
        </w:rPr>
        <w:t>t</w:t>
      </w:r>
      <w:r w:rsidR="00F864E4" w:rsidRPr="00EC4553">
        <w:rPr>
          <w:rFonts w:cs="Arial"/>
          <w:bCs/>
          <w:snapToGrid w:val="0"/>
        </w:rPr>
        <w:t>ient</w:t>
      </w:r>
      <w:r w:rsidR="007F7BF0" w:rsidRPr="00EC4553">
        <w:rPr>
          <w:rFonts w:cs="Arial"/>
          <w:bCs/>
          <w:snapToGrid w:val="0"/>
        </w:rPr>
        <w:t>s</w:t>
      </w:r>
      <w:r w:rsidR="00F864E4" w:rsidRPr="00EC4553">
        <w:rPr>
          <w:rFonts w:cs="Arial"/>
          <w:bCs/>
          <w:snapToGrid w:val="0"/>
        </w:rPr>
        <w:t xml:space="preserve">). The PBAC noted the consumer comments shared this concern and </w:t>
      </w:r>
      <w:r w:rsidR="0050323A" w:rsidRPr="00EC4553">
        <w:rPr>
          <w:rFonts w:cs="Arial"/>
          <w:bCs/>
          <w:snapToGrid w:val="0"/>
        </w:rPr>
        <w:t xml:space="preserve">the PBAC </w:t>
      </w:r>
      <w:r w:rsidR="00F864E4" w:rsidRPr="00EC4553">
        <w:rPr>
          <w:rFonts w:cs="Arial"/>
          <w:bCs/>
          <w:snapToGrid w:val="0"/>
        </w:rPr>
        <w:t xml:space="preserve">considered that </w:t>
      </w:r>
      <w:r w:rsidRPr="00EC4553">
        <w:rPr>
          <w:rFonts w:cs="Arial"/>
          <w:bCs/>
          <w:snapToGrid w:val="0"/>
        </w:rPr>
        <w:t>the restriction would require further work</w:t>
      </w:r>
      <w:r w:rsidR="007F7BF0" w:rsidRPr="00EC4553">
        <w:rPr>
          <w:rFonts w:cs="Arial"/>
          <w:bCs/>
          <w:snapToGrid w:val="0"/>
        </w:rPr>
        <w:t xml:space="preserve"> </w:t>
      </w:r>
      <w:r w:rsidR="00DC0A4C" w:rsidRPr="00EC4553">
        <w:rPr>
          <w:rFonts w:cs="Arial"/>
          <w:bCs/>
          <w:snapToGrid w:val="0"/>
        </w:rPr>
        <w:t xml:space="preserve">with expert advice </w:t>
      </w:r>
      <w:r w:rsidR="007F7BF0" w:rsidRPr="00EC4553">
        <w:rPr>
          <w:rFonts w:cs="Arial"/>
          <w:bCs/>
          <w:snapToGrid w:val="0"/>
        </w:rPr>
        <w:t xml:space="preserve">around </w:t>
      </w:r>
      <w:r w:rsidR="007F7BF0" w:rsidRPr="004648EA">
        <w:rPr>
          <w:rFonts w:cs="Arial"/>
          <w:bCs/>
          <w:snapToGrid w:val="0"/>
        </w:rPr>
        <w:t xml:space="preserve">the definition of MRI </w:t>
      </w:r>
      <w:r w:rsidR="00DC0A4C" w:rsidRPr="004648EA">
        <w:rPr>
          <w:rFonts w:cs="Arial"/>
          <w:bCs/>
          <w:snapToGrid w:val="0"/>
        </w:rPr>
        <w:t xml:space="preserve">changes </w:t>
      </w:r>
      <w:r w:rsidR="008A13EF" w:rsidRPr="004648EA">
        <w:rPr>
          <w:rFonts w:cs="Arial"/>
          <w:bCs/>
          <w:snapToGrid w:val="0"/>
        </w:rPr>
        <w:t>— the Committee noted the</w:t>
      </w:r>
      <w:r w:rsidR="00177DA7" w:rsidRPr="004648EA">
        <w:rPr>
          <w:rFonts w:cs="Arial"/>
          <w:bCs/>
          <w:snapToGrid w:val="0"/>
        </w:rPr>
        <w:t xml:space="preserve"> </w:t>
      </w:r>
      <w:r w:rsidR="00177DA7" w:rsidRPr="008F00B4">
        <w:rPr>
          <w:i/>
        </w:rPr>
        <w:t>Consensus statements on the imaging of axial spondyloarthritis in Australia and New Zealand</w:t>
      </w:r>
      <w:r w:rsidR="008A13EF" w:rsidRPr="008F00B4">
        <w:rPr>
          <w:vertAlign w:val="superscript"/>
        </w:rPr>
        <w:footnoteReference w:id="3"/>
      </w:r>
      <w:r w:rsidR="008A13EF" w:rsidRPr="008F00B4">
        <w:rPr>
          <w:vertAlign w:val="superscript"/>
        </w:rPr>
        <w:t xml:space="preserve"> </w:t>
      </w:r>
      <w:r w:rsidR="00EC4553" w:rsidRPr="008F00B4">
        <w:lastRenderedPageBreak/>
        <w:t xml:space="preserve">Statement 9: The recommended MRI technique for imaging axial SpA is the combination of Short Tau Inversion Recovery (STIR) and T1 without gadolinium. The recommended planes for MRI </w:t>
      </w:r>
      <w:r w:rsidR="00EC4553" w:rsidRPr="008F00B4">
        <w:rPr>
          <w:rFonts w:cs="Arial"/>
          <w:bCs/>
          <w:snapToGrid w:val="0"/>
        </w:rPr>
        <w:t>are</w:t>
      </w:r>
      <w:r w:rsidR="00EC4553" w:rsidRPr="008F00B4">
        <w:t xml:space="preserve"> axial and oblique coronal planes for the SIJ and the sagittal plane for the spine.</w:t>
      </w:r>
      <w:r w:rsidR="004648EA" w:rsidRPr="004648EA">
        <w:rPr>
          <w:rFonts w:cs="Arial"/>
          <w:bCs/>
          <w:snapToGrid w:val="0"/>
        </w:rPr>
        <w:t xml:space="preserve"> </w:t>
      </w:r>
      <w:r w:rsidR="00BF1666">
        <w:rPr>
          <w:rFonts w:cs="Arial"/>
          <w:bCs/>
          <w:snapToGrid w:val="0"/>
        </w:rPr>
        <w:t>The PBAC considered expert advice from the Australian Rheumatology Association (</w:t>
      </w:r>
      <w:r w:rsidR="00BF1666">
        <w:rPr>
          <w:color w:val="000000"/>
        </w:rPr>
        <w:t>ARA) and the Royal Australian and New Zealand College of Radiologists (RANZCR) should be sought</w:t>
      </w:r>
      <w:r w:rsidR="00162164">
        <w:rPr>
          <w:color w:val="000000"/>
        </w:rPr>
        <w:t xml:space="preserve"> to inform the PBS res</w:t>
      </w:r>
      <w:r w:rsidR="00FD5945">
        <w:rPr>
          <w:color w:val="000000"/>
        </w:rPr>
        <w:t>triction</w:t>
      </w:r>
      <w:r w:rsidR="00BF1666">
        <w:rPr>
          <w:color w:val="000000"/>
        </w:rPr>
        <w:t xml:space="preserve">. </w:t>
      </w:r>
      <w:r w:rsidR="004648EA" w:rsidRPr="004648EA">
        <w:rPr>
          <w:rFonts w:cs="Arial"/>
          <w:bCs/>
          <w:snapToGrid w:val="0"/>
        </w:rPr>
        <w:t xml:space="preserve">The PBAC also considered the restriction needed a criterion that on plain x-ray </w:t>
      </w:r>
      <w:r w:rsidR="004648EA">
        <w:rPr>
          <w:rFonts w:cs="Arial"/>
          <w:bCs/>
          <w:snapToGrid w:val="0"/>
        </w:rPr>
        <w:t xml:space="preserve">there was </w:t>
      </w:r>
      <w:r w:rsidR="004648EA" w:rsidRPr="004648EA">
        <w:rPr>
          <w:rFonts w:cs="Arial"/>
          <w:bCs/>
          <w:snapToGrid w:val="0"/>
        </w:rPr>
        <w:t>no evidence</w:t>
      </w:r>
      <w:r w:rsidR="004648EA">
        <w:rPr>
          <w:rFonts w:cs="Arial"/>
          <w:bCs/>
          <w:snapToGrid w:val="0"/>
        </w:rPr>
        <w:t xml:space="preserve"> of b</w:t>
      </w:r>
      <w:r w:rsidR="004648EA" w:rsidRPr="004648EA">
        <w:rPr>
          <w:rFonts w:cs="Arial"/>
          <w:bCs/>
          <w:snapToGrid w:val="0"/>
        </w:rPr>
        <w:t>ilateral grade II sacroiliitis or unilateral grade III sacroiliitis</w:t>
      </w:r>
      <w:r w:rsidR="004648EA">
        <w:rPr>
          <w:rFonts w:cs="Arial"/>
          <w:bCs/>
          <w:snapToGrid w:val="0"/>
        </w:rPr>
        <w:t>.</w:t>
      </w:r>
      <w:r w:rsidR="00FD5945">
        <w:rPr>
          <w:rFonts w:cs="Arial"/>
          <w:bCs/>
          <w:snapToGrid w:val="0"/>
        </w:rPr>
        <w:t xml:space="preserve"> </w:t>
      </w:r>
      <w:r w:rsidR="00DC0A4C" w:rsidRPr="00EC4553">
        <w:rPr>
          <w:rFonts w:cs="Arial"/>
          <w:bCs/>
          <w:snapToGrid w:val="0"/>
        </w:rPr>
        <w:t xml:space="preserve"> </w:t>
      </w:r>
    </w:p>
    <w:p w:rsidR="00C1432F" w:rsidRPr="009D743B" w:rsidRDefault="00C1432F" w:rsidP="00B876BB">
      <w:pPr>
        <w:pStyle w:val="ListParagraph"/>
        <w:numPr>
          <w:ilvl w:val="1"/>
          <w:numId w:val="15"/>
        </w:numPr>
        <w:spacing w:before="0" w:after="120"/>
        <w:ind w:left="567" w:hanging="567"/>
        <w:jc w:val="both"/>
        <w:rPr>
          <w:rFonts w:cs="Arial"/>
          <w:bCs/>
          <w:snapToGrid w:val="0"/>
        </w:rPr>
      </w:pPr>
      <w:r w:rsidRPr="009D743B">
        <w:rPr>
          <w:rFonts w:cs="Arial"/>
          <w:bCs/>
          <w:snapToGrid w:val="0"/>
        </w:rPr>
        <w:t xml:space="preserve">The PBAC remained concerned </w:t>
      </w:r>
      <w:r w:rsidR="00DA3746" w:rsidRPr="009D743B">
        <w:rPr>
          <w:rFonts w:cs="Arial"/>
          <w:bCs/>
          <w:snapToGrid w:val="0"/>
        </w:rPr>
        <w:t>about the applicability of the tri</w:t>
      </w:r>
      <w:r w:rsidR="00B23085" w:rsidRPr="009D743B">
        <w:rPr>
          <w:rFonts w:cs="Arial"/>
          <w:bCs/>
          <w:snapToGrid w:val="0"/>
        </w:rPr>
        <w:t>a</w:t>
      </w:r>
      <w:r w:rsidR="00DA3746" w:rsidRPr="009D743B">
        <w:rPr>
          <w:rFonts w:cs="Arial"/>
          <w:bCs/>
          <w:snapToGrid w:val="0"/>
        </w:rPr>
        <w:t xml:space="preserve">l data (as highlighted in section 6 above) and </w:t>
      </w:r>
      <w:r w:rsidRPr="009D743B">
        <w:rPr>
          <w:rFonts w:cs="Arial"/>
          <w:bCs/>
          <w:snapToGrid w:val="0"/>
        </w:rPr>
        <w:t xml:space="preserve">that </w:t>
      </w:r>
      <w:r w:rsidR="003D2BDD" w:rsidRPr="009D743B">
        <w:rPr>
          <w:rFonts w:cs="Arial"/>
          <w:bCs/>
          <w:snapToGrid w:val="0"/>
        </w:rPr>
        <w:t xml:space="preserve">there was </w:t>
      </w:r>
      <w:r w:rsidRPr="009D743B">
        <w:rPr>
          <w:rFonts w:cs="Arial"/>
          <w:bCs/>
          <w:snapToGrid w:val="0"/>
        </w:rPr>
        <w:t>only 16-week</w:t>
      </w:r>
      <w:r w:rsidR="003D2BDD" w:rsidRPr="009D743B">
        <w:rPr>
          <w:rFonts w:cs="Arial"/>
          <w:bCs/>
          <w:snapToGrid w:val="0"/>
        </w:rPr>
        <w:t>s</w:t>
      </w:r>
      <w:r w:rsidRPr="009D743B">
        <w:rPr>
          <w:rFonts w:cs="Arial"/>
          <w:bCs/>
          <w:snapToGrid w:val="0"/>
        </w:rPr>
        <w:t xml:space="preserve"> randomised trial data</w:t>
      </w:r>
      <w:r w:rsidR="003D2BDD" w:rsidRPr="009D743B">
        <w:rPr>
          <w:rFonts w:cs="Arial"/>
          <w:bCs/>
          <w:snapToGrid w:val="0"/>
        </w:rPr>
        <w:t xml:space="preserve"> </w:t>
      </w:r>
      <w:r w:rsidR="00CA0262" w:rsidRPr="009D743B">
        <w:rPr>
          <w:rFonts w:cs="Arial"/>
          <w:bCs/>
          <w:snapToGrid w:val="0"/>
        </w:rPr>
        <w:t xml:space="preserve">with an open-label extension phase out to 52 weeks supportive of a sustained treatment response out to one year. </w:t>
      </w:r>
      <w:r w:rsidR="00CA0262" w:rsidRPr="009D743B">
        <w:rPr>
          <w:bCs/>
        </w:rPr>
        <w:t>The PBAC further noted the pre-PBAC response which suggested that uncertainty with longer-term response could be managed with the proposed continuation rule which required that patients “</w:t>
      </w:r>
      <w:r w:rsidR="00CA0262" w:rsidRPr="009D743B">
        <w:t xml:space="preserve">must have demonstrated an adequate response to PBS-subsidised therapy with this drug based on a reduction from baseline in the Bath Ankylosing Spondylitis Disease Activity Index (BASDAI) score by 2 or more units (on a scale of 1 -1 0)”.  Hence, after the initial 16 weeks assessment, patients will need to demonstrate an ongoing adequate response every 24 weeks to access further PBS subsidized treatment. The PBAC recalled in November 2017 it was suggested a stopping rule may be worth </w:t>
      </w:r>
      <w:r w:rsidR="00C719C2" w:rsidRPr="009D743B">
        <w:t>considering;</w:t>
      </w:r>
      <w:r w:rsidR="00CA0262" w:rsidRPr="009D743B">
        <w:t xml:space="preserve"> however as no relevant evidence from a withdrawal trial was forthcoming, </w:t>
      </w:r>
      <w:r w:rsidR="00C719C2" w:rsidRPr="009D743B">
        <w:t>it was considered that</w:t>
      </w:r>
      <w:r w:rsidR="00CA0262" w:rsidRPr="009D743B">
        <w:t xml:space="preserve"> the proposed continuation criteria combined with a suitable RSA would be adequate to contain usage and overall expenditure to the population most likely to receive a sustained benefit. </w:t>
      </w:r>
    </w:p>
    <w:p w:rsidR="00C1432F" w:rsidRPr="009D743B" w:rsidRDefault="00C1432F" w:rsidP="00B876BB">
      <w:pPr>
        <w:pStyle w:val="ListParagraph"/>
        <w:numPr>
          <w:ilvl w:val="1"/>
          <w:numId w:val="15"/>
        </w:numPr>
        <w:spacing w:before="0" w:after="120"/>
        <w:ind w:left="567" w:hanging="567"/>
        <w:jc w:val="both"/>
        <w:rPr>
          <w:rFonts w:cs="Arial"/>
          <w:bCs/>
          <w:snapToGrid w:val="0"/>
        </w:rPr>
      </w:pPr>
      <w:r w:rsidRPr="009D743B">
        <w:rPr>
          <w:rFonts w:cs="Arial"/>
          <w:bCs/>
          <w:snapToGrid w:val="0"/>
        </w:rPr>
        <w:t xml:space="preserve">PBAC remained concerned about </w:t>
      </w:r>
      <w:r w:rsidR="00B21E21" w:rsidRPr="009D743B">
        <w:rPr>
          <w:rFonts w:cs="Arial"/>
          <w:bCs/>
          <w:snapToGrid w:val="0"/>
        </w:rPr>
        <w:t xml:space="preserve">the </w:t>
      </w:r>
      <w:r w:rsidRPr="009D743B">
        <w:rPr>
          <w:rFonts w:cs="Arial"/>
          <w:bCs/>
          <w:snapToGrid w:val="0"/>
        </w:rPr>
        <w:t>economic model</w:t>
      </w:r>
      <w:r w:rsidR="00B21E21" w:rsidRPr="009D743B">
        <w:rPr>
          <w:rFonts w:cs="Arial"/>
          <w:bCs/>
          <w:snapToGrid w:val="0"/>
        </w:rPr>
        <w:t xml:space="preserve"> given the uncertain</w:t>
      </w:r>
      <w:r w:rsidR="007F7BF0" w:rsidRPr="009D743B">
        <w:rPr>
          <w:rFonts w:cs="Arial"/>
          <w:bCs/>
          <w:snapToGrid w:val="0"/>
        </w:rPr>
        <w:t xml:space="preserve"> extrapolation of short-term randomised trial data and utilities </w:t>
      </w:r>
      <w:r w:rsidR="00B21E21" w:rsidRPr="009D743B">
        <w:rPr>
          <w:rFonts w:cs="Arial"/>
          <w:bCs/>
          <w:snapToGrid w:val="0"/>
        </w:rPr>
        <w:t xml:space="preserve">— the </w:t>
      </w:r>
      <w:r w:rsidR="007F7BF0" w:rsidRPr="009D743B">
        <w:rPr>
          <w:rFonts w:cs="Arial"/>
          <w:bCs/>
          <w:snapToGrid w:val="0"/>
        </w:rPr>
        <w:t xml:space="preserve">whole model is based on utilities that were from a trial that only had a randomised phase of 16 weeks. </w:t>
      </w:r>
      <w:r w:rsidR="00B21E21" w:rsidRPr="009D743B">
        <w:rPr>
          <w:rFonts w:cs="Arial"/>
          <w:bCs/>
          <w:snapToGrid w:val="0"/>
        </w:rPr>
        <w:t xml:space="preserve">The PBAC considered the ICER was more likely to be in the range of the multivariate sensitivity analyses conducted after ESC, however was reassured that these remained within a reasonable </w:t>
      </w:r>
      <w:r w:rsidR="00A15E17">
        <w:rPr>
          <w:rFonts w:cs="Arial"/>
          <w:bCs/>
          <w:snapToGrid w:val="0"/>
        </w:rPr>
        <w:t>range</w:t>
      </w:r>
      <w:r w:rsidR="00B21E21" w:rsidRPr="009D743B">
        <w:rPr>
          <w:rFonts w:cs="Arial"/>
          <w:bCs/>
          <w:snapToGrid w:val="0"/>
        </w:rPr>
        <w:t xml:space="preserve">. </w:t>
      </w:r>
    </w:p>
    <w:p w:rsidR="007F7BF0" w:rsidRPr="009D743B" w:rsidRDefault="007F7BF0" w:rsidP="00B876BB">
      <w:pPr>
        <w:pStyle w:val="ListParagraph"/>
        <w:numPr>
          <w:ilvl w:val="1"/>
          <w:numId w:val="15"/>
        </w:numPr>
        <w:spacing w:before="0" w:after="120"/>
        <w:ind w:left="567" w:hanging="567"/>
        <w:jc w:val="both"/>
        <w:rPr>
          <w:rFonts w:cs="Arial"/>
          <w:bCs/>
          <w:snapToGrid w:val="0"/>
        </w:rPr>
      </w:pPr>
      <w:r w:rsidRPr="009D743B">
        <w:rPr>
          <w:rFonts w:cs="Arial"/>
          <w:bCs/>
          <w:snapToGrid w:val="0"/>
        </w:rPr>
        <w:t>The PBAC considered that the utilisation remained highly uncertain</w:t>
      </w:r>
      <w:r w:rsidR="007836BF" w:rsidRPr="009D743B">
        <w:rPr>
          <w:rFonts w:cs="Arial"/>
          <w:bCs/>
          <w:snapToGrid w:val="0"/>
        </w:rPr>
        <w:t xml:space="preserve">, with a high risk of </w:t>
      </w:r>
      <w:r w:rsidR="00C4542B" w:rsidRPr="009D743B">
        <w:rPr>
          <w:rFonts w:cs="Arial"/>
          <w:bCs/>
          <w:snapToGrid w:val="0"/>
        </w:rPr>
        <w:t xml:space="preserve">use </w:t>
      </w:r>
      <w:r w:rsidR="007836BF" w:rsidRPr="009D743B">
        <w:rPr>
          <w:rFonts w:cs="Arial"/>
          <w:bCs/>
          <w:snapToGrid w:val="0"/>
        </w:rPr>
        <w:t>beyond the intended population</w:t>
      </w:r>
      <w:r w:rsidR="00F73A70" w:rsidRPr="009D743B">
        <w:rPr>
          <w:rFonts w:cs="Arial"/>
          <w:bCs/>
          <w:snapToGrid w:val="0"/>
        </w:rPr>
        <w:t xml:space="preserve"> and requested a p</w:t>
      </w:r>
      <w:r w:rsidRPr="009D743B">
        <w:rPr>
          <w:rFonts w:cs="Arial"/>
          <w:bCs/>
          <w:snapToGrid w:val="0"/>
        </w:rPr>
        <w:t xml:space="preserve">redicted versus actual DUSC utilisation analysis after two years of listing. </w:t>
      </w:r>
    </w:p>
    <w:p w:rsidR="007F7BF0" w:rsidRPr="009D743B" w:rsidRDefault="007F7BF0" w:rsidP="00B876BB">
      <w:pPr>
        <w:pStyle w:val="ListParagraph"/>
        <w:numPr>
          <w:ilvl w:val="1"/>
          <w:numId w:val="15"/>
        </w:numPr>
        <w:spacing w:before="0" w:after="120"/>
        <w:ind w:left="567" w:hanging="567"/>
        <w:jc w:val="both"/>
        <w:rPr>
          <w:rFonts w:cs="Arial"/>
          <w:bCs/>
          <w:snapToGrid w:val="0"/>
        </w:rPr>
      </w:pPr>
      <w:r w:rsidRPr="009D743B">
        <w:rPr>
          <w:rFonts w:cs="Arial"/>
          <w:bCs/>
          <w:snapToGrid w:val="0"/>
        </w:rPr>
        <w:t xml:space="preserve">The PBAC noted that the RSA proposed in the pre-PBAC response was based on a cap with increasing proportions of estimated scripts over time (i.e. </w:t>
      </w:r>
      <w:r w:rsidR="0050211C">
        <w:rPr>
          <w:rFonts w:cs="Arial"/>
          <w:bCs/>
          <w:noProof/>
          <w:snapToGrid w:val="0"/>
          <w:color w:val="000000"/>
          <w:highlight w:val="black"/>
        </w:rPr>
        <w:t>'''''</w:t>
      </w:r>
      <w:r w:rsidRPr="009D743B">
        <w:rPr>
          <w:rFonts w:cs="Arial"/>
          <w:bCs/>
          <w:snapToGrid w:val="0"/>
        </w:rPr>
        <w:t xml:space="preserve">% increasing by </w:t>
      </w:r>
      <w:r w:rsidR="0050211C">
        <w:rPr>
          <w:rFonts w:cs="Arial"/>
          <w:bCs/>
          <w:noProof/>
          <w:snapToGrid w:val="0"/>
          <w:color w:val="000000"/>
          <w:highlight w:val="black"/>
        </w:rPr>
        <w:t>''''''</w:t>
      </w:r>
      <w:r w:rsidRPr="009D743B">
        <w:rPr>
          <w:rFonts w:cs="Arial"/>
          <w:bCs/>
          <w:snapToGrid w:val="0"/>
        </w:rPr>
        <w:t xml:space="preserve">% per year up to </w:t>
      </w:r>
      <w:r w:rsidR="0050211C">
        <w:rPr>
          <w:rFonts w:cs="Arial"/>
          <w:bCs/>
          <w:noProof/>
          <w:snapToGrid w:val="0"/>
          <w:color w:val="000000"/>
          <w:highlight w:val="black"/>
        </w:rPr>
        <w:t>'''''</w:t>
      </w:r>
      <w:r w:rsidRPr="009D743B">
        <w:rPr>
          <w:rFonts w:cs="Arial"/>
          <w:bCs/>
          <w:snapToGrid w:val="0"/>
        </w:rPr>
        <w:t xml:space="preserve">% in Year 5). The PBAC considered that there was no rationale for the increasing cap </w:t>
      </w:r>
      <w:r w:rsidR="009C3D3A">
        <w:rPr>
          <w:rFonts w:cs="Arial"/>
          <w:bCs/>
          <w:snapToGrid w:val="0"/>
        </w:rPr>
        <w:t xml:space="preserve">proportion </w:t>
      </w:r>
      <w:r w:rsidRPr="009D743B">
        <w:rPr>
          <w:rFonts w:cs="Arial"/>
          <w:bCs/>
          <w:snapToGrid w:val="0"/>
        </w:rPr>
        <w:t xml:space="preserve">and considered that a cap </w:t>
      </w:r>
      <w:r w:rsidR="009C3D3A">
        <w:rPr>
          <w:rFonts w:cs="Arial"/>
          <w:bCs/>
          <w:snapToGrid w:val="0"/>
        </w:rPr>
        <w:t xml:space="preserve">based on </w:t>
      </w:r>
      <w:r w:rsidR="0050211C">
        <w:rPr>
          <w:rFonts w:cs="Arial"/>
          <w:bCs/>
          <w:noProof/>
          <w:snapToGrid w:val="0"/>
          <w:color w:val="000000"/>
          <w:highlight w:val="black"/>
        </w:rPr>
        <w:t>''''''</w:t>
      </w:r>
      <w:r w:rsidR="009C3D3A" w:rsidRPr="009D743B">
        <w:rPr>
          <w:rFonts w:cs="Arial"/>
          <w:bCs/>
          <w:snapToGrid w:val="0"/>
        </w:rPr>
        <w:t>%</w:t>
      </w:r>
      <w:r w:rsidR="009C3D3A">
        <w:rPr>
          <w:rFonts w:cs="Arial"/>
          <w:bCs/>
          <w:snapToGrid w:val="0"/>
        </w:rPr>
        <w:t xml:space="preserve"> of scripts in the financial estimates</w:t>
      </w:r>
      <w:r w:rsidR="009C3D3A" w:rsidRPr="009D743B">
        <w:rPr>
          <w:rFonts w:cs="Arial"/>
          <w:bCs/>
          <w:snapToGrid w:val="0"/>
        </w:rPr>
        <w:t xml:space="preserve"> </w:t>
      </w:r>
      <w:r w:rsidRPr="009D743B">
        <w:rPr>
          <w:rFonts w:cs="Arial"/>
          <w:bCs/>
          <w:snapToGrid w:val="0"/>
        </w:rPr>
        <w:t>was appropriate over</w:t>
      </w:r>
      <w:r w:rsidR="009C3D3A">
        <w:rPr>
          <w:rFonts w:cs="Arial"/>
          <w:bCs/>
          <w:snapToGrid w:val="0"/>
        </w:rPr>
        <w:t xml:space="preserve"> the</w:t>
      </w:r>
      <w:r w:rsidRPr="009D743B">
        <w:rPr>
          <w:rFonts w:cs="Arial"/>
          <w:bCs/>
          <w:snapToGrid w:val="0"/>
        </w:rPr>
        <w:t xml:space="preserve"> 5 years</w:t>
      </w:r>
      <w:r w:rsidR="009C3D3A">
        <w:rPr>
          <w:rFonts w:cs="Arial"/>
          <w:bCs/>
          <w:snapToGrid w:val="0"/>
        </w:rPr>
        <w:t xml:space="preserve"> of the RSA</w:t>
      </w:r>
      <w:r w:rsidRPr="009D743B">
        <w:rPr>
          <w:rFonts w:cs="Arial"/>
          <w:bCs/>
          <w:snapToGrid w:val="0"/>
        </w:rPr>
        <w:t xml:space="preserve">, with an </w:t>
      </w:r>
      <w:r w:rsidR="0050211C">
        <w:rPr>
          <w:rFonts w:cs="Arial"/>
          <w:bCs/>
          <w:noProof/>
          <w:snapToGrid w:val="0"/>
          <w:color w:val="000000"/>
          <w:highlight w:val="black"/>
        </w:rPr>
        <w:t>'''''</w:t>
      </w:r>
      <w:r w:rsidRPr="009D743B">
        <w:rPr>
          <w:rFonts w:cs="Arial"/>
          <w:bCs/>
          <w:snapToGrid w:val="0"/>
        </w:rPr>
        <w:t xml:space="preserve">% rebate for </w:t>
      </w:r>
      <w:r w:rsidR="009C3D3A">
        <w:rPr>
          <w:rFonts w:cs="Arial"/>
          <w:bCs/>
          <w:snapToGrid w:val="0"/>
        </w:rPr>
        <w:t xml:space="preserve">any expenditure incurred </w:t>
      </w:r>
      <w:r w:rsidRPr="009D743B">
        <w:rPr>
          <w:rFonts w:cs="Arial"/>
          <w:bCs/>
          <w:snapToGrid w:val="0"/>
        </w:rPr>
        <w:t>above the cap.</w:t>
      </w:r>
      <w:r w:rsidR="00547950" w:rsidRPr="009D743B">
        <w:rPr>
          <w:rFonts w:cs="Arial"/>
          <w:bCs/>
          <w:snapToGrid w:val="0"/>
        </w:rPr>
        <w:t xml:space="preserve"> The PBAC did not consider there would be a benefit to patients that were non-OSI, </w:t>
      </w:r>
      <w:r w:rsidR="009C3D3A">
        <w:rPr>
          <w:rFonts w:cs="Arial"/>
          <w:bCs/>
          <w:snapToGrid w:val="0"/>
        </w:rPr>
        <w:t>and</w:t>
      </w:r>
      <w:r w:rsidR="009C3D3A" w:rsidRPr="009D743B">
        <w:rPr>
          <w:rFonts w:cs="Arial"/>
          <w:bCs/>
          <w:snapToGrid w:val="0"/>
        </w:rPr>
        <w:t xml:space="preserve"> </w:t>
      </w:r>
      <w:r w:rsidR="00547950" w:rsidRPr="009D743B">
        <w:rPr>
          <w:rFonts w:cs="Arial"/>
          <w:bCs/>
          <w:snapToGrid w:val="0"/>
        </w:rPr>
        <w:t xml:space="preserve">considered </w:t>
      </w:r>
      <w:r w:rsidR="009C3D3A">
        <w:rPr>
          <w:rFonts w:cs="Arial"/>
          <w:bCs/>
          <w:snapToGrid w:val="0"/>
        </w:rPr>
        <w:t xml:space="preserve">that to manage the risk of leakage further, a second tier cap set at the level of the financial estimates, should </w:t>
      </w:r>
      <w:r w:rsidR="009C3D3A">
        <w:rPr>
          <w:rFonts w:cs="Arial"/>
          <w:bCs/>
          <w:snapToGrid w:val="0"/>
        </w:rPr>
        <w:lastRenderedPageBreak/>
        <w:t xml:space="preserve">result in a rebate of </w:t>
      </w:r>
      <w:r w:rsidR="0050211C">
        <w:rPr>
          <w:rFonts w:ascii="Calibri" w:eastAsia="Calibri" w:hAnsi="Calibri" w:cs="Arial"/>
          <w:bCs/>
          <w:noProof/>
          <w:snapToGrid w:val="0"/>
          <w:color w:val="000000"/>
          <w:highlight w:val="black"/>
        </w:rPr>
        <w:t>'''''''</w:t>
      </w:r>
      <w:r w:rsidR="009C3D3A" w:rsidRPr="00954F29">
        <w:rPr>
          <w:rFonts w:cs="Arial"/>
          <w:bCs/>
          <w:snapToGrid w:val="0"/>
        </w:rPr>
        <w:t>%</w:t>
      </w:r>
      <w:r w:rsidR="009C3D3A">
        <w:rPr>
          <w:rFonts w:cs="Arial"/>
          <w:bCs/>
          <w:snapToGrid w:val="0"/>
        </w:rPr>
        <w:t xml:space="preserve"> to the Commonwealth for expenditure above the second cap.</w:t>
      </w:r>
      <w:r w:rsidR="00547950" w:rsidRPr="009D743B">
        <w:rPr>
          <w:rFonts w:cs="Arial"/>
          <w:bCs/>
          <w:snapToGrid w:val="0"/>
        </w:rPr>
        <w:t xml:space="preserve"> </w:t>
      </w:r>
    </w:p>
    <w:p w:rsidR="007836BF" w:rsidRDefault="007836BF" w:rsidP="00B876BB">
      <w:pPr>
        <w:pStyle w:val="ListParagraph"/>
        <w:numPr>
          <w:ilvl w:val="1"/>
          <w:numId w:val="15"/>
        </w:numPr>
        <w:spacing w:before="0" w:after="120"/>
        <w:ind w:left="567" w:hanging="567"/>
        <w:jc w:val="both"/>
        <w:rPr>
          <w:rFonts w:cs="Arial"/>
          <w:bCs/>
          <w:snapToGrid w:val="0"/>
        </w:rPr>
      </w:pPr>
      <w:r w:rsidRPr="009D743B">
        <w:rPr>
          <w:rFonts w:cs="Arial"/>
          <w:bCs/>
          <w:snapToGrid w:val="0"/>
        </w:rPr>
        <w:t xml:space="preserve">Financial estimates should account for </w:t>
      </w:r>
      <w:r w:rsidR="00F73A70" w:rsidRPr="009D743B">
        <w:rPr>
          <w:rFonts w:cs="Arial"/>
          <w:bCs/>
          <w:snapToGrid w:val="0"/>
        </w:rPr>
        <w:t xml:space="preserve">the </w:t>
      </w:r>
      <w:r w:rsidR="006E16F9" w:rsidRPr="009D743B">
        <w:rPr>
          <w:rFonts w:cs="Arial"/>
          <w:bCs/>
          <w:snapToGrid w:val="0"/>
        </w:rPr>
        <w:t xml:space="preserve">increased number of MRIs required to determine eligibility. </w:t>
      </w:r>
    </w:p>
    <w:p w:rsidR="00866B93" w:rsidRPr="009D743B" w:rsidRDefault="00866B93" w:rsidP="00B876BB">
      <w:pPr>
        <w:pStyle w:val="ListParagraph"/>
        <w:numPr>
          <w:ilvl w:val="1"/>
          <w:numId w:val="15"/>
        </w:numPr>
        <w:spacing w:before="0" w:after="120"/>
        <w:ind w:left="567" w:hanging="567"/>
        <w:jc w:val="both"/>
        <w:rPr>
          <w:rFonts w:cs="Arial"/>
          <w:bCs/>
          <w:snapToGrid w:val="0"/>
        </w:rPr>
      </w:pPr>
      <w:r>
        <w:rPr>
          <w:rFonts w:cs="Arial"/>
          <w:bCs/>
          <w:snapToGrid w:val="0"/>
        </w:rPr>
        <w:t xml:space="preserve">The PBAC recommended that a grandfather restriction be included for </w:t>
      </w:r>
      <w:r w:rsidR="00B765B3">
        <w:rPr>
          <w:rFonts w:cs="Arial"/>
          <w:bCs/>
          <w:snapToGrid w:val="0"/>
        </w:rPr>
        <w:t xml:space="preserve">this indication for </w:t>
      </w:r>
      <w:r>
        <w:rPr>
          <w:rFonts w:cs="Arial"/>
          <w:bCs/>
          <w:snapToGrid w:val="0"/>
        </w:rPr>
        <w:t>the same population</w:t>
      </w:r>
      <w:r w:rsidR="002861A3">
        <w:rPr>
          <w:rFonts w:cs="Arial"/>
          <w:bCs/>
          <w:snapToGrid w:val="0"/>
        </w:rPr>
        <w:t xml:space="preserve"> with</w:t>
      </w:r>
      <w:r>
        <w:rPr>
          <w:rFonts w:cs="Arial"/>
          <w:bCs/>
          <w:snapToGrid w:val="0"/>
        </w:rPr>
        <w:t xml:space="preserve"> associated restriction criteria</w:t>
      </w:r>
      <w:r w:rsidR="002861A3">
        <w:rPr>
          <w:rFonts w:cs="Arial"/>
          <w:bCs/>
          <w:snapToGrid w:val="0"/>
        </w:rPr>
        <w:t xml:space="preserve"> consistent with the initial and continuing restrictions.</w:t>
      </w:r>
    </w:p>
    <w:p w:rsidR="00ED4FA5" w:rsidRPr="009D743B" w:rsidRDefault="00ED4FA5" w:rsidP="00B876BB">
      <w:pPr>
        <w:pStyle w:val="ListParagraph"/>
        <w:numPr>
          <w:ilvl w:val="1"/>
          <w:numId w:val="15"/>
        </w:numPr>
        <w:spacing w:before="0" w:after="120"/>
        <w:ind w:left="567" w:hanging="567"/>
        <w:jc w:val="both"/>
        <w:rPr>
          <w:rFonts w:cs="Arial"/>
          <w:bCs/>
          <w:snapToGrid w:val="0"/>
        </w:rPr>
      </w:pPr>
      <w:r w:rsidRPr="009D743B">
        <w:rPr>
          <w:rFonts w:cs="Arial"/>
          <w:bCs/>
          <w:snapToGrid w:val="0"/>
        </w:rPr>
        <w:t xml:space="preserve">The PBAC advised that </w:t>
      </w:r>
      <w:r w:rsidR="002F259E" w:rsidRPr="009D743B">
        <w:rPr>
          <w:rFonts w:cs="Arial"/>
          <w:bCs/>
          <w:snapToGrid w:val="0"/>
        </w:rPr>
        <w:t xml:space="preserve">golimumab </w:t>
      </w:r>
      <w:r w:rsidRPr="009D743B">
        <w:rPr>
          <w:rFonts w:cs="Arial"/>
          <w:bCs/>
          <w:snapToGrid w:val="0"/>
        </w:rPr>
        <w:t>is</w:t>
      </w:r>
      <w:r w:rsidR="002F259E" w:rsidRPr="009D743B">
        <w:rPr>
          <w:rFonts w:cs="Arial"/>
          <w:bCs/>
          <w:snapToGrid w:val="0"/>
        </w:rPr>
        <w:t xml:space="preserve"> </w:t>
      </w:r>
      <w:r w:rsidRPr="009D743B">
        <w:rPr>
          <w:rFonts w:cs="Arial"/>
          <w:bCs/>
          <w:snapToGrid w:val="0"/>
        </w:rPr>
        <w:t xml:space="preserve">not suitable for prescribing by nurse practitioners.  </w:t>
      </w:r>
    </w:p>
    <w:p w:rsidR="00ED4FA5" w:rsidRPr="009D743B" w:rsidRDefault="00ED4FA5" w:rsidP="00B876BB">
      <w:pPr>
        <w:pStyle w:val="ListParagraph"/>
        <w:numPr>
          <w:ilvl w:val="1"/>
          <w:numId w:val="15"/>
        </w:numPr>
        <w:spacing w:before="0" w:after="120"/>
        <w:ind w:left="567" w:hanging="567"/>
        <w:jc w:val="both"/>
        <w:rPr>
          <w:rFonts w:cs="Arial"/>
          <w:bCs/>
          <w:snapToGrid w:val="0"/>
        </w:rPr>
      </w:pPr>
      <w:r w:rsidRPr="009D743B">
        <w:rPr>
          <w:rFonts w:cs="Arial"/>
          <w:bCs/>
          <w:snapToGrid w:val="0"/>
        </w:rPr>
        <w:t xml:space="preserve">The PBAC recommended that the Early Supply Rule should apply. </w:t>
      </w:r>
    </w:p>
    <w:p w:rsidR="008B6907" w:rsidRPr="009D743B" w:rsidRDefault="008B6907" w:rsidP="00B876BB">
      <w:pPr>
        <w:pStyle w:val="ListParagraph"/>
        <w:numPr>
          <w:ilvl w:val="1"/>
          <w:numId w:val="15"/>
        </w:numPr>
        <w:spacing w:before="0" w:after="120"/>
        <w:ind w:left="567" w:hanging="567"/>
        <w:jc w:val="both"/>
        <w:rPr>
          <w:bCs/>
        </w:rPr>
      </w:pPr>
      <w:r w:rsidRPr="009D743B">
        <w:rPr>
          <w:bCs/>
        </w:rPr>
        <w:t>The PBAC noted that this submission is not eligible for an Independent Review because the PBAC has made a positive recommendation.</w:t>
      </w:r>
    </w:p>
    <w:p w:rsidR="00ED4FA5" w:rsidRPr="009D743B" w:rsidRDefault="00ED4FA5" w:rsidP="00DB7BEB">
      <w:pPr>
        <w:spacing w:before="240" w:after="0"/>
        <w:jc w:val="both"/>
        <w:rPr>
          <w:rFonts w:cs="Arial"/>
          <w:b/>
          <w:bCs/>
          <w:snapToGrid w:val="0"/>
        </w:rPr>
      </w:pPr>
      <w:r w:rsidRPr="009D743B">
        <w:rPr>
          <w:rFonts w:cs="Arial"/>
          <w:b/>
          <w:bCs/>
          <w:snapToGrid w:val="0"/>
        </w:rPr>
        <w:t>Outcome:</w:t>
      </w:r>
    </w:p>
    <w:p w:rsidR="00ED4FA5" w:rsidRPr="009D743B" w:rsidRDefault="00ED4FA5" w:rsidP="00ED4FA5">
      <w:pPr>
        <w:jc w:val="both"/>
        <w:rPr>
          <w:rFonts w:cs="Arial"/>
          <w:bCs/>
          <w:snapToGrid w:val="0"/>
        </w:rPr>
      </w:pPr>
      <w:r w:rsidRPr="009D743B">
        <w:rPr>
          <w:rFonts w:cs="Arial"/>
          <w:bCs/>
          <w:snapToGrid w:val="0"/>
        </w:rPr>
        <w:t>Recommended</w:t>
      </w:r>
    </w:p>
    <w:p w:rsidR="00ED4FA5" w:rsidRPr="001442A6" w:rsidRDefault="00ED4FA5" w:rsidP="00982CF1">
      <w:pPr>
        <w:pStyle w:val="Heading1"/>
        <w:ind w:left="709" w:hanging="709"/>
        <w:rPr>
          <w:rFonts w:cs="Arial"/>
          <w:bCs/>
          <w:i/>
          <w:snapToGrid w:val="0"/>
        </w:rPr>
      </w:pPr>
      <w:r w:rsidRPr="001442A6">
        <w:rPr>
          <w:rFonts w:cs="Arial"/>
          <w:bCs/>
          <w:snapToGrid w:val="0"/>
        </w:rPr>
        <w:t>Recommended listing</w:t>
      </w:r>
    </w:p>
    <w:p w:rsidR="00ED4FA5" w:rsidRDefault="00DB7BEB" w:rsidP="005E082A">
      <w:pPr>
        <w:widowControl w:val="0"/>
        <w:ind w:left="709" w:hanging="709"/>
        <w:jc w:val="both"/>
        <w:rPr>
          <w:rFonts w:cs="Arial"/>
          <w:bCs/>
          <w:i/>
          <w:snapToGrid w:val="0"/>
        </w:rPr>
      </w:pPr>
      <w:r>
        <w:rPr>
          <w:rFonts w:cs="Arial"/>
          <w:bCs/>
          <w:snapToGrid w:val="0"/>
        </w:rPr>
        <w:t>8.1</w:t>
      </w:r>
      <w:r>
        <w:rPr>
          <w:rFonts w:cs="Arial"/>
          <w:bCs/>
          <w:snapToGrid w:val="0"/>
        </w:rPr>
        <w:tab/>
      </w:r>
      <w:r w:rsidR="00202E75">
        <w:rPr>
          <w:rFonts w:cs="Arial"/>
          <w:bCs/>
          <w:snapToGrid w:val="0"/>
        </w:rPr>
        <w:t>Add new item</w:t>
      </w:r>
      <w:r w:rsidR="00ED4FA5" w:rsidRPr="009D743B">
        <w:rPr>
          <w:rFonts w:cs="Arial"/>
          <w:bCs/>
          <w:snapToGrid w:val="0"/>
        </w:rPr>
        <w:t>:</w:t>
      </w:r>
      <w:r w:rsidR="00B314CE" w:rsidRPr="00B314CE">
        <w:t xml:space="preserve"> </w:t>
      </w:r>
      <w:r w:rsidR="00B314CE" w:rsidRPr="00B314CE">
        <w:rPr>
          <w:rFonts w:cs="Arial"/>
          <w:bCs/>
          <w:i/>
          <w:snapToGrid w:val="0"/>
        </w:rPr>
        <w:t>restriction to be finalised</w:t>
      </w:r>
      <w:r w:rsidR="00BF1666">
        <w:rPr>
          <w:rFonts w:cs="Arial"/>
          <w:bCs/>
          <w:i/>
          <w:snapToGrid w:val="0"/>
        </w:rPr>
        <w:t xml:space="preserve"> </w:t>
      </w:r>
      <w:r w:rsidR="00B85C9E">
        <w:rPr>
          <w:rFonts w:cs="Arial"/>
          <w:bCs/>
          <w:i/>
          <w:snapToGrid w:val="0"/>
        </w:rPr>
        <w:t xml:space="preserve">following </w:t>
      </w:r>
      <w:r w:rsidR="00BF1666">
        <w:rPr>
          <w:rFonts w:cs="Arial"/>
          <w:bCs/>
          <w:i/>
          <w:snapToGrid w:val="0"/>
        </w:rPr>
        <w:t xml:space="preserve">expert advice on MRI imaging from </w:t>
      </w:r>
      <w:r w:rsidR="00BF1666" w:rsidRPr="00BF1666">
        <w:rPr>
          <w:rFonts w:cs="Arial"/>
          <w:bCs/>
          <w:i/>
          <w:snapToGrid w:val="0"/>
        </w:rPr>
        <w:t>ARA and RANZCR</w:t>
      </w:r>
      <w:r w:rsidR="00BF1666">
        <w:rPr>
          <w:rFonts w:cs="Arial"/>
          <w:bCs/>
          <w:i/>
          <w:snapToGrid w:val="0"/>
        </w:rPr>
        <w:t>.</w:t>
      </w:r>
    </w:p>
    <w:p w:rsidR="00F476FD" w:rsidRPr="00F476FD" w:rsidRDefault="00F476FD" w:rsidP="00DB7BEB">
      <w:pPr>
        <w:keepNext/>
        <w:widowControl w:val="0"/>
        <w:jc w:val="both"/>
        <w:rPr>
          <w:rFonts w:cs="Arial"/>
          <w:b/>
          <w:bCs/>
          <w:snapToGrid w:val="0"/>
        </w:rPr>
      </w:pPr>
      <w:r>
        <w:rPr>
          <w:rFonts w:cs="Arial"/>
          <w:b/>
          <w:bCs/>
          <w:snapToGrid w:val="0"/>
        </w:rPr>
        <w:t>Initial 1: new patients (to be finalised)</w:t>
      </w:r>
    </w:p>
    <w:tbl>
      <w:tblPr>
        <w:tblStyle w:val="PlainTable211"/>
        <w:tblW w:w="9322" w:type="dxa"/>
        <w:tblLook w:val="04A0" w:firstRow="1" w:lastRow="0" w:firstColumn="1" w:lastColumn="0" w:noHBand="0" w:noVBand="1"/>
        <w:tblCaption w:val="Recommended listing"/>
      </w:tblPr>
      <w:tblGrid>
        <w:gridCol w:w="2410"/>
        <w:gridCol w:w="1107"/>
        <w:gridCol w:w="1328"/>
        <w:gridCol w:w="947"/>
        <w:gridCol w:w="3530"/>
      </w:tblGrid>
      <w:tr w:rsidR="00991988" w:rsidRPr="009D743B" w:rsidTr="00D561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tcPr>
          <w:p w:rsidR="00991988" w:rsidRPr="009D743B" w:rsidRDefault="00991988" w:rsidP="00DB7BEB">
            <w:pPr>
              <w:keepNext/>
              <w:spacing w:before="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Name, restriction, manner of administration, form</w:t>
            </w:r>
          </w:p>
        </w:tc>
        <w:tc>
          <w:tcPr>
            <w:tcW w:w="1107" w:type="dxa"/>
          </w:tcPr>
          <w:p w:rsidR="00991988" w:rsidRPr="009D743B" w:rsidRDefault="00991988" w:rsidP="00DB7BEB">
            <w:pPr>
              <w:keepNext/>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Maximum quantity (packs)</w:t>
            </w:r>
          </w:p>
        </w:tc>
        <w:tc>
          <w:tcPr>
            <w:tcW w:w="0" w:type="auto"/>
          </w:tcPr>
          <w:p w:rsidR="00991988" w:rsidRPr="009D743B" w:rsidRDefault="00991988" w:rsidP="00DB7BEB">
            <w:pPr>
              <w:keepNext/>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Maximum quantity (units)</w:t>
            </w:r>
          </w:p>
        </w:tc>
        <w:tc>
          <w:tcPr>
            <w:tcW w:w="0" w:type="auto"/>
          </w:tcPr>
          <w:p w:rsidR="00991988" w:rsidRPr="009D743B" w:rsidRDefault="00991988" w:rsidP="00DB7BEB">
            <w:pPr>
              <w:keepNext/>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No. of repeats</w:t>
            </w:r>
          </w:p>
        </w:tc>
        <w:tc>
          <w:tcPr>
            <w:tcW w:w="3530" w:type="dxa"/>
          </w:tcPr>
          <w:p w:rsidR="00991988" w:rsidRPr="009D743B" w:rsidRDefault="00991988" w:rsidP="00DB7BEB">
            <w:pPr>
              <w:keepNext/>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9D743B">
              <w:rPr>
                <w:rFonts w:ascii="Arial Narrow" w:eastAsia="Times New Roman" w:hAnsi="Arial Narrow" w:cs="Times New Roman"/>
                <w:sz w:val="20"/>
                <w:szCs w:val="20"/>
              </w:rPr>
              <w:t>Proprietary name and manufacturer</w:t>
            </w:r>
          </w:p>
        </w:tc>
      </w:tr>
      <w:tr w:rsidR="00991988" w:rsidRPr="009D743B" w:rsidTr="00464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991988" w:rsidRPr="009D743B" w:rsidRDefault="00991988" w:rsidP="00DB7BEB">
            <w:pPr>
              <w:keepNext/>
              <w:spacing w:before="0"/>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GOLIMUMAB</w:t>
            </w:r>
          </w:p>
          <w:p w:rsidR="00991988" w:rsidRPr="009D743B" w:rsidRDefault="00991988" w:rsidP="00DB7BEB">
            <w:pPr>
              <w:keepNext/>
              <w:spacing w:before="0"/>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Initial treatment</w:t>
            </w:r>
          </w:p>
          <w:p w:rsidR="00991988" w:rsidRPr="009D743B" w:rsidRDefault="00991988" w:rsidP="00DB7BEB">
            <w:pPr>
              <w:keepNext/>
              <w:spacing w:before="0"/>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50mg/0.5mL pre-filled syringe</w:t>
            </w:r>
          </w:p>
          <w:p w:rsidR="00991988" w:rsidRPr="009D743B" w:rsidRDefault="00991988" w:rsidP="00DB7BEB">
            <w:pPr>
              <w:keepNext/>
              <w:spacing w:before="0"/>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 xml:space="preserve">50mg/0.5mL </w:t>
            </w:r>
            <w:r w:rsidRPr="009D743B">
              <w:rPr>
                <w:rFonts w:ascii="Arial Narrow" w:eastAsia="Times New Roman" w:hAnsi="Arial Narrow" w:cs="Times New Roman"/>
                <w:b w:val="0"/>
                <w:sz w:val="20"/>
                <w:szCs w:val="20"/>
                <w:u w:val="single"/>
              </w:rPr>
              <w:t>pre-filled pen</w:t>
            </w:r>
          </w:p>
          <w:p w:rsidR="00991988" w:rsidRPr="009D743B" w:rsidRDefault="00991988" w:rsidP="00DB7BEB">
            <w:pPr>
              <w:keepNext/>
              <w:spacing w:before="0"/>
              <w:rPr>
                <w:rFonts w:ascii="Arial Narrow" w:eastAsia="Times New Roman" w:hAnsi="Arial Narrow" w:cs="Times New Roman"/>
                <w:b w:val="0"/>
                <w:sz w:val="20"/>
                <w:szCs w:val="20"/>
              </w:rPr>
            </w:pPr>
          </w:p>
          <w:p w:rsidR="00991988" w:rsidRPr="009D743B" w:rsidRDefault="00991988" w:rsidP="00DB7BEB">
            <w:pPr>
              <w:keepNext/>
              <w:spacing w:before="0"/>
              <w:rPr>
                <w:rFonts w:ascii="Arial Narrow" w:eastAsia="Times New Roman" w:hAnsi="Arial Narrow" w:cs="Times New Roman"/>
                <w:b w:val="0"/>
                <w:sz w:val="20"/>
                <w:szCs w:val="20"/>
              </w:rPr>
            </w:pPr>
            <w:r w:rsidRPr="009D743B">
              <w:rPr>
                <w:rFonts w:ascii="Arial Narrow" w:eastAsia="Times New Roman" w:hAnsi="Arial Narrow" w:cs="Times New Roman"/>
                <w:b w:val="0"/>
                <w:sz w:val="20"/>
                <w:szCs w:val="20"/>
              </w:rPr>
              <w:t>Continuing treatment</w:t>
            </w:r>
          </w:p>
          <w:p w:rsidR="00991988" w:rsidRPr="009D743B" w:rsidRDefault="00991988" w:rsidP="00DB7BEB">
            <w:pPr>
              <w:keepNext/>
              <w:spacing w:before="0"/>
              <w:rPr>
                <w:rFonts w:ascii="Arial Narrow" w:eastAsia="Times New Roman" w:hAnsi="Arial Narrow" w:cs="Times New Roman"/>
                <w:sz w:val="20"/>
                <w:szCs w:val="20"/>
              </w:rPr>
            </w:pPr>
            <w:r w:rsidRPr="009D743B">
              <w:rPr>
                <w:rFonts w:ascii="Arial Narrow" w:eastAsia="Times New Roman" w:hAnsi="Arial Narrow" w:cs="Times New Roman"/>
                <w:b w:val="0"/>
                <w:sz w:val="20"/>
                <w:szCs w:val="20"/>
              </w:rPr>
              <w:t>50mg/0.5mL pre-filled syringe</w:t>
            </w:r>
            <w:r w:rsidRPr="009D743B">
              <w:rPr>
                <w:rFonts w:ascii="Arial Narrow" w:eastAsia="Times New Roman" w:hAnsi="Arial Narrow" w:cs="Times New Roman"/>
                <w:sz w:val="20"/>
                <w:szCs w:val="20"/>
              </w:rPr>
              <w:t xml:space="preserve"> </w:t>
            </w:r>
          </w:p>
          <w:p w:rsidR="00991988" w:rsidRPr="009D743B" w:rsidRDefault="00991988" w:rsidP="00DB7BEB">
            <w:pPr>
              <w:keepNext/>
              <w:spacing w:before="0"/>
              <w:rPr>
                <w:rFonts w:ascii="Arial Narrow" w:eastAsia="Times New Roman" w:hAnsi="Arial Narrow" w:cs="Times New Roman"/>
                <w:b w:val="0"/>
                <w:bCs w:val="0"/>
                <w:sz w:val="20"/>
                <w:szCs w:val="20"/>
              </w:rPr>
            </w:pPr>
            <w:r w:rsidRPr="009D743B">
              <w:rPr>
                <w:rFonts w:ascii="Arial Narrow" w:eastAsia="Times New Roman" w:hAnsi="Arial Narrow" w:cs="Times New Roman"/>
                <w:b w:val="0"/>
                <w:sz w:val="20"/>
                <w:szCs w:val="20"/>
              </w:rPr>
              <w:t xml:space="preserve">50mg/0.5mL </w:t>
            </w:r>
            <w:r w:rsidRPr="009D743B">
              <w:rPr>
                <w:rFonts w:ascii="Arial Narrow" w:eastAsia="Times New Roman" w:hAnsi="Arial Narrow" w:cs="Times New Roman"/>
                <w:b w:val="0"/>
                <w:sz w:val="20"/>
                <w:szCs w:val="20"/>
                <w:u w:val="single"/>
              </w:rPr>
              <w:t>pre-filled pen</w:t>
            </w:r>
          </w:p>
        </w:tc>
        <w:tc>
          <w:tcPr>
            <w:tcW w:w="1107" w:type="dxa"/>
          </w:tcPr>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9D743B">
              <w:rPr>
                <w:rFonts w:ascii="Arial Narrow" w:eastAsia="Times New Roman" w:hAnsi="Arial Narrow" w:cs="Times New Roman"/>
                <w:sz w:val="20"/>
                <w:szCs w:val="20"/>
              </w:rPr>
              <w:t>1</w:t>
            </w:r>
          </w:p>
        </w:tc>
        <w:tc>
          <w:tcPr>
            <w:tcW w:w="0" w:type="auto"/>
          </w:tcPr>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1</w:t>
            </w: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9D743B">
              <w:rPr>
                <w:rFonts w:ascii="Arial Narrow" w:eastAsia="Times New Roman" w:hAnsi="Arial Narrow" w:cs="Times New Roman"/>
                <w:sz w:val="20"/>
                <w:szCs w:val="20"/>
              </w:rPr>
              <w:t>1</w:t>
            </w:r>
          </w:p>
        </w:tc>
        <w:tc>
          <w:tcPr>
            <w:tcW w:w="0" w:type="auto"/>
          </w:tcPr>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3</w:t>
            </w: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3</w:t>
            </w: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9D743B">
              <w:rPr>
                <w:rFonts w:ascii="Arial Narrow" w:eastAsia="Times New Roman" w:hAnsi="Arial Narrow" w:cs="Times New Roman"/>
                <w:sz w:val="20"/>
                <w:szCs w:val="20"/>
              </w:rPr>
              <w:t>5</w:t>
            </w:r>
          </w:p>
          <w:p w:rsidR="00991988" w:rsidRPr="009D743B" w:rsidRDefault="00991988" w:rsidP="00DB7BEB">
            <w:pPr>
              <w:keepNext/>
              <w:spacing w:before="0"/>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9D743B">
              <w:rPr>
                <w:rFonts w:ascii="Arial Narrow" w:eastAsia="Times New Roman" w:hAnsi="Arial Narrow" w:cs="Times New Roman"/>
                <w:sz w:val="20"/>
                <w:szCs w:val="20"/>
              </w:rPr>
              <w:t>5</w:t>
            </w:r>
          </w:p>
        </w:tc>
        <w:tc>
          <w:tcPr>
            <w:tcW w:w="3530" w:type="dxa"/>
            <w:vAlign w:val="center"/>
          </w:tcPr>
          <w:p w:rsidR="00991988" w:rsidRPr="009D743B" w:rsidRDefault="00991988" w:rsidP="00DB7BEB">
            <w:pPr>
              <w:keepNext/>
              <w:spacing w:before="0"/>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9D743B">
              <w:rPr>
                <w:rFonts w:ascii="Arial Narrow" w:eastAsia="Times New Roman" w:hAnsi="Arial Narrow" w:cs="Times New Roman"/>
                <w:sz w:val="20"/>
                <w:szCs w:val="20"/>
              </w:rPr>
              <w:t>SIMPONI, Janssen-Cilag Pty Ltd</w:t>
            </w:r>
          </w:p>
        </w:tc>
      </w:tr>
    </w:tbl>
    <w:p w:rsidR="00ED4FA5" w:rsidRPr="009D743B" w:rsidRDefault="00ED4FA5" w:rsidP="00ED4FA5">
      <w:pPr>
        <w:pStyle w:val="NoSpacing"/>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411"/>
      </w:tblGrid>
      <w:tr w:rsidR="005151D2" w:rsidRPr="009D743B" w:rsidTr="004648EA">
        <w:tc>
          <w:tcPr>
            <w:tcW w:w="1945" w:type="dxa"/>
            <w:shd w:val="clear" w:color="auto" w:fill="auto"/>
          </w:tcPr>
          <w:p w:rsidR="005151D2" w:rsidRPr="009D743B" w:rsidRDefault="005151D2" w:rsidP="009D743B">
            <w:pPr>
              <w:spacing w:before="0" w:after="0"/>
              <w:rPr>
                <w:rFonts w:ascii="Arial Narrow" w:hAnsi="Arial Narrow"/>
                <w:b/>
                <w:sz w:val="20"/>
                <w:szCs w:val="20"/>
              </w:rPr>
            </w:pPr>
            <w:r w:rsidRPr="009D743B">
              <w:rPr>
                <w:rFonts w:ascii="Arial Narrow" w:hAnsi="Arial Narrow"/>
                <w:b/>
                <w:sz w:val="20"/>
                <w:szCs w:val="20"/>
              </w:rPr>
              <w:t>Category / Program</w:t>
            </w:r>
          </w:p>
        </w:tc>
        <w:tc>
          <w:tcPr>
            <w:tcW w:w="7411" w:type="dxa"/>
            <w:shd w:val="clear" w:color="auto" w:fill="auto"/>
          </w:tcPr>
          <w:p w:rsidR="005151D2" w:rsidRPr="009D743B" w:rsidRDefault="005151D2" w:rsidP="009D743B">
            <w:pPr>
              <w:spacing w:before="0" w:after="0"/>
              <w:rPr>
                <w:rFonts w:ascii="Arial Narrow" w:hAnsi="Arial Narrow"/>
                <w:sz w:val="20"/>
                <w:szCs w:val="20"/>
              </w:rPr>
            </w:pPr>
            <w:r w:rsidRPr="009D743B">
              <w:rPr>
                <w:rFonts w:ascii="Arial Narrow" w:hAnsi="Arial Narrow"/>
                <w:sz w:val="20"/>
                <w:szCs w:val="20"/>
              </w:rPr>
              <w:t>General Schedule (Code GE)</w:t>
            </w:r>
          </w:p>
        </w:tc>
      </w:tr>
      <w:tr w:rsidR="005151D2" w:rsidRPr="009D743B" w:rsidTr="004648EA">
        <w:tc>
          <w:tcPr>
            <w:tcW w:w="1945" w:type="dxa"/>
            <w:shd w:val="clear" w:color="auto" w:fill="auto"/>
          </w:tcPr>
          <w:p w:rsidR="005151D2" w:rsidRPr="009D743B" w:rsidRDefault="005151D2" w:rsidP="009D743B">
            <w:pPr>
              <w:spacing w:before="0" w:after="0"/>
              <w:rPr>
                <w:rFonts w:ascii="Arial Narrow" w:hAnsi="Arial Narrow"/>
                <w:b/>
                <w:sz w:val="20"/>
                <w:szCs w:val="20"/>
              </w:rPr>
            </w:pPr>
            <w:r w:rsidRPr="009D743B">
              <w:rPr>
                <w:rFonts w:ascii="Arial Narrow" w:hAnsi="Arial Narrow"/>
                <w:b/>
                <w:sz w:val="20"/>
                <w:szCs w:val="20"/>
              </w:rPr>
              <w:t>Prescriber type:</w:t>
            </w:r>
          </w:p>
        </w:tc>
        <w:tc>
          <w:tcPr>
            <w:tcW w:w="7411" w:type="dxa"/>
            <w:shd w:val="clear" w:color="auto" w:fill="auto"/>
          </w:tcPr>
          <w:p w:rsidR="005151D2" w:rsidRPr="009D743B" w:rsidRDefault="005151D2" w:rsidP="009D743B">
            <w:pPr>
              <w:spacing w:before="0" w:after="0"/>
              <w:rPr>
                <w:rFonts w:ascii="Arial Narrow" w:hAnsi="Arial Narrow"/>
                <w:sz w:val="20"/>
                <w:szCs w:val="20"/>
              </w:rPr>
            </w:pPr>
            <w:r w:rsidRPr="009D743B">
              <w:rPr>
                <w:rFonts w:ascii="Arial Narrow" w:hAnsi="Arial Narrow"/>
                <w:sz w:val="20"/>
                <w:szCs w:val="20"/>
              </w:rPr>
              <w:fldChar w:fldCharType="begin">
                <w:ffData>
                  <w:name w:val="Check1"/>
                  <w:enabled/>
                  <w:calcOnExit w:val="0"/>
                  <w:checkBox>
                    <w:sizeAuto/>
                    <w:default w:val="0"/>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 xml:space="preserve">Dental  </w:t>
            </w:r>
            <w:r w:rsidRPr="009D743B">
              <w:rPr>
                <w:rFonts w:ascii="Arial Narrow" w:hAnsi="Arial Narrow"/>
                <w:sz w:val="20"/>
                <w:szCs w:val="20"/>
              </w:rPr>
              <w:fldChar w:fldCharType="begin">
                <w:ffData>
                  <w:name w:val=""/>
                  <w:enabled/>
                  <w:calcOnExit w:val="0"/>
                  <w:checkBox>
                    <w:sizeAuto/>
                    <w:default w:val="1"/>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 xml:space="preserve">Medical Practitioners  </w:t>
            </w:r>
            <w:r w:rsidRPr="009D743B">
              <w:rPr>
                <w:rFonts w:ascii="Arial Narrow" w:hAnsi="Arial Narrow"/>
                <w:sz w:val="20"/>
                <w:szCs w:val="20"/>
              </w:rPr>
              <w:fldChar w:fldCharType="begin">
                <w:ffData>
                  <w:name w:val="Check3"/>
                  <w:enabled/>
                  <w:calcOnExit w:val="0"/>
                  <w:checkBox>
                    <w:sizeAuto/>
                    <w:default w:val="0"/>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 xml:space="preserve">Nurse practitioners  </w:t>
            </w:r>
            <w:r w:rsidRPr="009D743B">
              <w:rPr>
                <w:rFonts w:ascii="Arial Narrow" w:hAnsi="Arial Narrow"/>
                <w:sz w:val="20"/>
                <w:szCs w:val="20"/>
              </w:rPr>
              <w:fldChar w:fldCharType="begin">
                <w:ffData>
                  <w:name w:val=""/>
                  <w:enabled/>
                  <w:calcOnExit w:val="0"/>
                  <w:checkBox>
                    <w:sizeAuto/>
                    <w:default w:val="0"/>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Optometrists</w:t>
            </w:r>
          </w:p>
          <w:p w:rsidR="005151D2" w:rsidRPr="009D743B" w:rsidRDefault="005151D2" w:rsidP="009D743B">
            <w:pPr>
              <w:spacing w:before="0" w:after="0"/>
              <w:rPr>
                <w:rFonts w:ascii="Arial Narrow" w:hAnsi="Arial Narrow"/>
                <w:sz w:val="20"/>
                <w:szCs w:val="20"/>
              </w:rPr>
            </w:pPr>
            <w:r w:rsidRPr="009D743B">
              <w:rPr>
                <w:rFonts w:ascii="Arial Narrow" w:hAnsi="Arial Narrow"/>
                <w:sz w:val="20"/>
                <w:szCs w:val="20"/>
              </w:rPr>
              <w:fldChar w:fldCharType="begin">
                <w:ffData>
                  <w:name w:val="Check5"/>
                  <w:enabled/>
                  <w:calcOnExit w:val="0"/>
                  <w:checkBox>
                    <w:sizeAuto/>
                    <w:default w:val="0"/>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Midwives</w:t>
            </w:r>
          </w:p>
        </w:tc>
      </w:tr>
      <w:tr w:rsidR="005151D2" w:rsidRPr="009D743B" w:rsidTr="004648EA">
        <w:tc>
          <w:tcPr>
            <w:tcW w:w="1945" w:type="dxa"/>
            <w:shd w:val="clear" w:color="auto" w:fill="auto"/>
          </w:tcPr>
          <w:p w:rsidR="005151D2" w:rsidRPr="009D743B" w:rsidRDefault="005151D2" w:rsidP="009D743B">
            <w:pPr>
              <w:spacing w:before="0" w:after="0"/>
              <w:rPr>
                <w:rFonts w:ascii="Arial Narrow" w:hAnsi="Arial Narrow"/>
                <w:b/>
                <w:sz w:val="20"/>
                <w:szCs w:val="20"/>
              </w:rPr>
            </w:pPr>
            <w:r w:rsidRPr="009D743B">
              <w:rPr>
                <w:rFonts w:ascii="Arial Narrow" w:hAnsi="Arial Narrow"/>
                <w:b/>
                <w:sz w:val="20"/>
                <w:szCs w:val="20"/>
              </w:rPr>
              <w:t>Condition:</w:t>
            </w:r>
          </w:p>
        </w:tc>
        <w:tc>
          <w:tcPr>
            <w:tcW w:w="7411" w:type="dxa"/>
            <w:shd w:val="clear" w:color="auto" w:fill="auto"/>
          </w:tcPr>
          <w:p w:rsidR="005151D2" w:rsidRPr="009D743B" w:rsidRDefault="005151D2" w:rsidP="009D743B">
            <w:pPr>
              <w:spacing w:before="0" w:after="0"/>
              <w:rPr>
                <w:rFonts w:ascii="Arial Narrow" w:hAnsi="Arial Narrow"/>
                <w:sz w:val="20"/>
                <w:szCs w:val="20"/>
              </w:rPr>
            </w:pPr>
            <w:r w:rsidRPr="009D743B">
              <w:rPr>
                <w:rFonts w:ascii="Arial Narrow" w:hAnsi="Arial Narrow"/>
                <w:sz w:val="20"/>
                <w:szCs w:val="20"/>
              </w:rPr>
              <w:t>Active non-radiographic axial spondyloarthritis</w:t>
            </w:r>
          </w:p>
        </w:tc>
      </w:tr>
      <w:tr w:rsidR="005151D2" w:rsidRPr="009D743B" w:rsidTr="004648EA">
        <w:tc>
          <w:tcPr>
            <w:tcW w:w="1945" w:type="dxa"/>
            <w:tcBorders>
              <w:bottom w:val="single" w:sz="4" w:space="0" w:color="auto"/>
            </w:tcBorders>
            <w:shd w:val="clear" w:color="auto" w:fill="auto"/>
          </w:tcPr>
          <w:p w:rsidR="005151D2" w:rsidRPr="009D743B" w:rsidRDefault="005151D2" w:rsidP="009D743B">
            <w:pPr>
              <w:spacing w:before="0" w:after="0"/>
              <w:rPr>
                <w:rFonts w:ascii="Arial Narrow" w:hAnsi="Arial Narrow"/>
                <w:b/>
                <w:sz w:val="20"/>
                <w:szCs w:val="20"/>
              </w:rPr>
            </w:pPr>
            <w:r w:rsidRPr="009D743B">
              <w:rPr>
                <w:rFonts w:ascii="Arial Narrow" w:hAnsi="Arial Narrow"/>
                <w:b/>
                <w:sz w:val="20"/>
                <w:szCs w:val="20"/>
              </w:rPr>
              <w:t>PBS Indication:</w:t>
            </w:r>
          </w:p>
        </w:tc>
        <w:tc>
          <w:tcPr>
            <w:tcW w:w="7411" w:type="dxa"/>
            <w:tcBorders>
              <w:bottom w:val="single" w:sz="4" w:space="0" w:color="auto"/>
            </w:tcBorders>
            <w:shd w:val="clear" w:color="auto" w:fill="auto"/>
          </w:tcPr>
          <w:p w:rsidR="005151D2" w:rsidRPr="009D743B" w:rsidRDefault="005151D2" w:rsidP="009D743B">
            <w:pPr>
              <w:spacing w:before="0" w:after="0"/>
              <w:rPr>
                <w:rFonts w:ascii="Arial Narrow" w:hAnsi="Arial Narrow"/>
                <w:sz w:val="20"/>
                <w:szCs w:val="20"/>
              </w:rPr>
            </w:pPr>
            <w:r w:rsidRPr="009D743B">
              <w:rPr>
                <w:rFonts w:ascii="Arial Narrow" w:hAnsi="Arial Narrow"/>
                <w:sz w:val="20"/>
                <w:szCs w:val="20"/>
              </w:rPr>
              <w:t>Active non-radiographic axial spondyloarthritis</w:t>
            </w:r>
          </w:p>
        </w:tc>
      </w:tr>
      <w:tr w:rsidR="005151D2" w:rsidRPr="009D743B" w:rsidTr="004648EA">
        <w:tc>
          <w:tcPr>
            <w:tcW w:w="1945" w:type="dxa"/>
            <w:shd w:val="clear" w:color="auto" w:fill="D9D9D9"/>
          </w:tcPr>
          <w:p w:rsidR="005151D2" w:rsidRPr="009D743B" w:rsidRDefault="005151D2" w:rsidP="009D743B">
            <w:pPr>
              <w:spacing w:before="0" w:after="0"/>
              <w:rPr>
                <w:rFonts w:ascii="Arial Narrow" w:hAnsi="Arial Narrow"/>
                <w:b/>
                <w:sz w:val="20"/>
                <w:szCs w:val="20"/>
              </w:rPr>
            </w:pPr>
            <w:r w:rsidRPr="009D743B">
              <w:rPr>
                <w:rFonts w:ascii="Arial Narrow" w:hAnsi="Arial Narrow"/>
                <w:b/>
                <w:sz w:val="20"/>
                <w:szCs w:val="20"/>
              </w:rPr>
              <w:t>Treatment phase:</w:t>
            </w:r>
          </w:p>
        </w:tc>
        <w:tc>
          <w:tcPr>
            <w:tcW w:w="7411" w:type="dxa"/>
            <w:shd w:val="clear" w:color="auto" w:fill="D9D9D9"/>
          </w:tcPr>
          <w:p w:rsidR="005151D2" w:rsidRPr="009D743B" w:rsidRDefault="005151D2" w:rsidP="009D743B">
            <w:pPr>
              <w:spacing w:before="0" w:after="0"/>
              <w:rPr>
                <w:rFonts w:ascii="Arial Narrow" w:hAnsi="Arial Narrow"/>
                <w:sz w:val="20"/>
                <w:szCs w:val="20"/>
              </w:rPr>
            </w:pPr>
            <w:r w:rsidRPr="009D743B">
              <w:rPr>
                <w:rFonts w:ascii="Arial Narrow" w:hAnsi="Arial Narrow"/>
                <w:sz w:val="20"/>
                <w:szCs w:val="20"/>
              </w:rPr>
              <w:t>Initial treatment – initial 1 (new patients)</w:t>
            </w:r>
          </w:p>
        </w:tc>
      </w:tr>
      <w:tr w:rsidR="00991988" w:rsidRPr="009D743B" w:rsidTr="0046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945" w:type="dxa"/>
            <w:tcBorders>
              <w:top w:val="single" w:sz="4" w:space="0" w:color="auto"/>
              <w:left w:val="single" w:sz="4" w:space="0" w:color="auto"/>
              <w:bottom w:val="single" w:sz="4" w:space="0" w:color="auto"/>
              <w:right w:val="single" w:sz="4" w:space="0" w:color="auto"/>
            </w:tcBorders>
          </w:tcPr>
          <w:p w:rsidR="00991988" w:rsidRPr="005E082A" w:rsidRDefault="005E082A" w:rsidP="009D743B">
            <w:pPr>
              <w:spacing w:before="40" w:after="40"/>
              <w:rPr>
                <w:rFonts w:ascii="Arial Narrow" w:hAnsi="Arial Narrow" w:cs="Arial"/>
                <w:b/>
                <w:sz w:val="20"/>
                <w:szCs w:val="20"/>
              </w:rPr>
            </w:pPr>
            <w:r>
              <w:rPr>
                <w:rFonts w:ascii="Arial Narrow" w:hAnsi="Arial Narrow" w:cs="Arial"/>
                <w:b/>
                <w:sz w:val="20"/>
                <w:szCs w:val="20"/>
              </w:rPr>
              <w:t>Restriction Level / Method:</w:t>
            </w:r>
          </w:p>
        </w:tc>
        <w:tc>
          <w:tcPr>
            <w:tcW w:w="7411" w:type="dxa"/>
            <w:tcBorders>
              <w:top w:val="single" w:sz="4" w:space="0" w:color="auto"/>
              <w:left w:val="single" w:sz="4" w:space="0" w:color="auto"/>
              <w:bottom w:val="single" w:sz="4" w:space="0" w:color="auto"/>
              <w:right w:val="single" w:sz="4" w:space="0" w:color="auto"/>
            </w:tcBorders>
          </w:tcPr>
          <w:p w:rsidR="00991988" w:rsidRPr="009D743B" w:rsidRDefault="00991988" w:rsidP="009D743B">
            <w:pPr>
              <w:spacing w:before="40" w:after="40"/>
              <w:rPr>
                <w:rFonts w:ascii="Arial Narrow" w:hAnsi="Arial Narrow" w:cs="Arial"/>
                <w:sz w:val="20"/>
                <w:szCs w:val="20"/>
              </w:rPr>
            </w:pPr>
            <w:r w:rsidRPr="009D743B">
              <w:rPr>
                <w:rFonts w:ascii="Arial Narrow" w:hAnsi="Arial Narrow" w:cs="Arial"/>
                <w:sz w:val="20"/>
                <w:szCs w:val="20"/>
              </w:rPr>
              <w:fldChar w:fldCharType="begin">
                <w:ffData>
                  <w:name w:val=""/>
                  <w:enabled/>
                  <w:calcOnExit w:val="0"/>
                  <w:checkBox>
                    <w:sizeAuto/>
                    <w:default w:val="1"/>
                  </w:checkBox>
                </w:ffData>
              </w:fldChar>
            </w:r>
            <w:r w:rsidRPr="009D743B">
              <w:rPr>
                <w:rFonts w:ascii="Arial Narrow" w:hAnsi="Arial Narrow" w:cs="Arial"/>
                <w:sz w:val="20"/>
                <w:szCs w:val="20"/>
              </w:rPr>
              <w:instrText xml:space="preserve"> FORMCHECKBOX </w:instrText>
            </w:r>
            <w:r w:rsidR="00916C9F">
              <w:rPr>
                <w:rFonts w:ascii="Arial Narrow" w:hAnsi="Arial Narrow" w:cs="Arial"/>
                <w:sz w:val="20"/>
                <w:szCs w:val="20"/>
              </w:rPr>
            </w:r>
            <w:r w:rsidR="00916C9F">
              <w:rPr>
                <w:rFonts w:ascii="Arial Narrow" w:hAnsi="Arial Narrow" w:cs="Arial"/>
                <w:sz w:val="20"/>
                <w:szCs w:val="20"/>
              </w:rPr>
              <w:fldChar w:fldCharType="separate"/>
            </w:r>
            <w:r w:rsidRPr="009D743B">
              <w:rPr>
                <w:rFonts w:ascii="Arial Narrow" w:hAnsi="Arial Narrow" w:cs="Arial"/>
                <w:sz w:val="20"/>
                <w:szCs w:val="20"/>
              </w:rPr>
              <w:fldChar w:fldCharType="end"/>
            </w:r>
            <w:r w:rsidR="005E082A">
              <w:rPr>
                <w:rFonts w:ascii="Arial Narrow" w:hAnsi="Arial Narrow" w:cs="Arial"/>
                <w:sz w:val="20"/>
                <w:szCs w:val="20"/>
              </w:rPr>
              <w:t>Authority Required - In Writing</w:t>
            </w:r>
          </w:p>
        </w:tc>
      </w:tr>
      <w:tr w:rsidR="005151D2" w:rsidRPr="009D743B" w:rsidTr="004648EA">
        <w:tc>
          <w:tcPr>
            <w:tcW w:w="1945" w:type="dxa"/>
            <w:shd w:val="clear" w:color="auto" w:fill="auto"/>
          </w:tcPr>
          <w:p w:rsidR="005151D2" w:rsidRPr="009D743B" w:rsidRDefault="005151D2" w:rsidP="009D743B">
            <w:pPr>
              <w:spacing w:before="0" w:after="0"/>
              <w:rPr>
                <w:rFonts w:ascii="Arial Narrow" w:hAnsi="Arial Narrow"/>
                <w:b/>
                <w:sz w:val="20"/>
                <w:szCs w:val="20"/>
              </w:rPr>
            </w:pPr>
            <w:r w:rsidRPr="009D743B">
              <w:rPr>
                <w:rFonts w:ascii="Arial Narrow" w:hAnsi="Arial Narrow"/>
                <w:b/>
                <w:sz w:val="20"/>
                <w:szCs w:val="20"/>
              </w:rPr>
              <w:t>Clinical criteria:</w:t>
            </w:r>
          </w:p>
        </w:tc>
        <w:tc>
          <w:tcPr>
            <w:tcW w:w="7411" w:type="dxa"/>
            <w:shd w:val="clear" w:color="auto" w:fill="auto"/>
          </w:tcPr>
          <w:p w:rsidR="005151D2" w:rsidRDefault="005151D2" w:rsidP="009D743B">
            <w:pPr>
              <w:spacing w:before="0" w:after="0"/>
              <w:rPr>
                <w:rFonts w:ascii="Arial Narrow" w:hAnsi="Arial Narrow"/>
                <w:sz w:val="20"/>
                <w:szCs w:val="20"/>
              </w:rPr>
            </w:pPr>
            <w:r w:rsidRPr="009D743B">
              <w:rPr>
                <w:rFonts w:ascii="Arial Narrow" w:hAnsi="Arial Narrow"/>
                <w:sz w:val="20"/>
                <w:szCs w:val="20"/>
              </w:rPr>
              <w:t>The condition must be non-radiographic axial spondyloarthritis, as defined by Assessment of Spondyloarthritis International Society (ASAS) criteria</w:t>
            </w:r>
            <w:r w:rsidR="00226929">
              <w:rPr>
                <w:rFonts w:ascii="Arial Narrow" w:hAnsi="Arial Narrow"/>
                <w:sz w:val="20"/>
                <w:szCs w:val="20"/>
              </w:rPr>
              <w:t>;</w:t>
            </w:r>
          </w:p>
          <w:p w:rsidR="00226929" w:rsidRDefault="00226929" w:rsidP="009D743B">
            <w:pPr>
              <w:spacing w:before="0" w:after="0"/>
              <w:rPr>
                <w:rFonts w:ascii="Arial Narrow" w:hAnsi="Arial Narrow"/>
                <w:sz w:val="20"/>
                <w:szCs w:val="20"/>
              </w:rPr>
            </w:pPr>
          </w:p>
          <w:p w:rsidR="00226929" w:rsidRPr="009D743B" w:rsidRDefault="00226929" w:rsidP="009D743B">
            <w:pPr>
              <w:spacing w:before="0" w:after="0"/>
              <w:rPr>
                <w:rFonts w:ascii="Arial Narrow" w:hAnsi="Arial Narrow"/>
                <w:sz w:val="20"/>
                <w:szCs w:val="20"/>
              </w:rPr>
            </w:pPr>
            <w:r>
              <w:rPr>
                <w:rFonts w:ascii="Arial Narrow" w:hAnsi="Arial Narrow"/>
                <w:sz w:val="20"/>
                <w:szCs w:val="20"/>
              </w:rPr>
              <w:t>AND</w:t>
            </w:r>
          </w:p>
          <w:p w:rsidR="005151D2" w:rsidRPr="009D743B" w:rsidRDefault="005151D2" w:rsidP="009D743B">
            <w:pPr>
              <w:spacing w:before="0" w:after="0"/>
              <w:rPr>
                <w:rFonts w:ascii="Arial Narrow" w:hAnsi="Arial Narrow"/>
                <w:sz w:val="20"/>
                <w:szCs w:val="20"/>
              </w:rPr>
            </w:pPr>
          </w:p>
          <w:p w:rsidR="005151D2" w:rsidRDefault="005151D2" w:rsidP="009D743B">
            <w:pPr>
              <w:spacing w:before="0" w:after="0"/>
              <w:rPr>
                <w:rFonts w:ascii="Arial Narrow" w:hAnsi="Arial Narrow"/>
                <w:sz w:val="20"/>
                <w:szCs w:val="20"/>
              </w:rPr>
            </w:pPr>
            <w:r w:rsidRPr="009D743B">
              <w:rPr>
                <w:rFonts w:ascii="Arial Narrow" w:hAnsi="Arial Narrow"/>
                <w:sz w:val="20"/>
                <w:szCs w:val="20"/>
              </w:rPr>
              <w:t>Patient must have chronic lower back pain and stiffness for 3 or more months that is relieved by exercise but not rest,</w:t>
            </w:r>
          </w:p>
          <w:p w:rsidR="009C63FE" w:rsidRPr="009D743B" w:rsidRDefault="009C63FE" w:rsidP="009D743B">
            <w:pPr>
              <w:spacing w:before="0" w:after="0"/>
              <w:rPr>
                <w:rFonts w:ascii="Arial Narrow" w:hAnsi="Arial Narrow"/>
                <w:sz w:val="20"/>
                <w:szCs w:val="20"/>
              </w:rPr>
            </w:pPr>
          </w:p>
          <w:p w:rsidR="005151D2" w:rsidRDefault="005151D2" w:rsidP="009D743B">
            <w:pPr>
              <w:spacing w:before="0" w:after="0"/>
              <w:rPr>
                <w:rFonts w:ascii="Arial Narrow" w:hAnsi="Arial Narrow"/>
                <w:sz w:val="20"/>
                <w:szCs w:val="20"/>
              </w:rPr>
            </w:pPr>
            <w:r w:rsidRPr="009D743B">
              <w:rPr>
                <w:rFonts w:ascii="Arial Narrow" w:hAnsi="Arial Narrow"/>
                <w:sz w:val="20"/>
                <w:szCs w:val="20"/>
              </w:rPr>
              <w:t>AND</w:t>
            </w:r>
          </w:p>
          <w:p w:rsidR="009C63FE" w:rsidRPr="009D743B" w:rsidRDefault="009C63FE" w:rsidP="009D743B">
            <w:pPr>
              <w:spacing w:before="0" w:after="0"/>
              <w:rPr>
                <w:rFonts w:ascii="Arial Narrow" w:hAnsi="Arial Narrow"/>
                <w:sz w:val="20"/>
                <w:szCs w:val="20"/>
              </w:rPr>
            </w:pPr>
          </w:p>
          <w:p w:rsidR="005151D2" w:rsidRDefault="005151D2" w:rsidP="009D743B">
            <w:pPr>
              <w:spacing w:before="0" w:after="0"/>
              <w:rPr>
                <w:rFonts w:ascii="Arial Narrow" w:hAnsi="Arial Narrow"/>
                <w:sz w:val="20"/>
                <w:szCs w:val="20"/>
              </w:rPr>
            </w:pPr>
            <w:r w:rsidRPr="009D743B">
              <w:rPr>
                <w:rFonts w:ascii="Arial Narrow" w:hAnsi="Arial Narrow"/>
                <w:sz w:val="20"/>
                <w:szCs w:val="20"/>
              </w:rPr>
              <w:t xml:space="preserve">Patient must have severe disease based on </w:t>
            </w:r>
            <w:r w:rsidR="009C63FE">
              <w:rPr>
                <w:rFonts w:ascii="Arial Narrow" w:hAnsi="Arial Narrow"/>
                <w:sz w:val="20"/>
                <w:szCs w:val="20"/>
              </w:rPr>
              <w:t xml:space="preserve">a </w:t>
            </w:r>
            <w:r w:rsidRPr="009D743B">
              <w:rPr>
                <w:rFonts w:ascii="Arial Narrow" w:hAnsi="Arial Narrow"/>
                <w:sz w:val="20"/>
                <w:szCs w:val="20"/>
              </w:rPr>
              <w:t>Bath Ankylosing Spondylitis Disease Activity Index (BASDAI) of at least 4</w:t>
            </w:r>
            <w:r w:rsidR="009C63FE">
              <w:rPr>
                <w:rFonts w:ascii="Arial Narrow" w:hAnsi="Arial Narrow"/>
                <w:sz w:val="20"/>
                <w:szCs w:val="20"/>
              </w:rPr>
              <w:t>;</w:t>
            </w:r>
          </w:p>
          <w:p w:rsidR="009C63FE" w:rsidRPr="009D743B" w:rsidRDefault="009C63FE" w:rsidP="009D743B">
            <w:pPr>
              <w:spacing w:before="0" w:after="0"/>
              <w:rPr>
                <w:rFonts w:ascii="Arial Narrow" w:hAnsi="Arial Narrow"/>
                <w:sz w:val="20"/>
                <w:szCs w:val="20"/>
              </w:rPr>
            </w:pPr>
          </w:p>
          <w:p w:rsidR="005151D2" w:rsidRDefault="005151D2" w:rsidP="009D743B">
            <w:pPr>
              <w:spacing w:before="0" w:after="0"/>
              <w:rPr>
                <w:rFonts w:ascii="Arial Narrow" w:hAnsi="Arial Narrow"/>
                <w:sz w:val="20"/>
                <w:szCs w:val="20"/>
              </w:rPr>
            </w:pPr>
            <w:r w:rsidRPr="009D743B">
              <w:rPr>
                <w:rFonts w:ascii="Arial Narrow" w:hAnsi="Arial Narrow"/>
                <w:sz w:val="20"/>
                <w:szCs w:val="20"/>
              </w:rPr>
              <w:t>AND</w:t>
            </w:r>
          </w:p>
          <w:p w:rsidR="0095077C" w:rsidRPr="009D743B" w:rsidRDefault="0095077C" w:rsidP="009D743B">
            <w:pPr>
              <w:spacing w:before="0" w:after="0"/>
              <w:rPr>
                <w:rFonts w:ascii="Arial Narrow" w:hAnsi="Arial Narrow"/>
                <w:sz w:val="20"/>
                <w:szCs w:val="20"/>
              </w:rPr>
            </w:pPr>
          </w:p>
          <w:p w:rsidR="0095077C" w:rsidRDefault="005151D2" w:rsidP="009D743B">
            <w:pPr>
              <w:spacing w:before="0" w:after="0"/>
              <w:rPr>
                <w:rFonts w:ascii="Arial Narrow" w:hAnsi="Arial Narrow"/>
                <w:sz w:val="20"/>
                <w:szCs w:val="20"/>
              </w:rPr>
            </w:pPr>
            <w:r w:rsidRPr="009D743B">
              <w:rPr>
                <w:rFonts w:ascii="Arial Narrow" w:hAnsi="Arial Narrow"/>
                <w:sz w:val="20"/>
                <w:szCs w:val="20"/>
              </w:rPr>
              <w:t>Patient must have failed to achieve an adequate response following treatment with at least 2 non-steroidal anti-inflammatory drugs (NSAIDs), whilst completing an appropriate exercise program, for a total period of 3 months</w:t>
            </w:r>
            <w:r w:rsidR="00146588">
              <w:rPr>
                <w:rFonts w:ascii="Arial Narrow" w:hAnsi="Arial Narrow"/>
                <w:sz w:val="20"/>
                <w:szCs w:val="20"/>
              </w:rPr>
              <w:t>;</w:t>
            </w:r>
          </w:p>
          <w:p w:rsidR="005151D2" w:rsidRPr="009D743B" w:rsidRDefault="005151D2" w:rsidP="009D743B">
            <w:pPr>
              <w:spacing w:before="0" w:after="0"/>
              <w:rPr>
                <w:rFonts w:ascii="Arial Narrow" w:hAnsi="Arial Narrow"/>
                <w:sz w:val="20"/>
                <w:szCs w:val="20"/>
              </w:rPr>
            </w:pPr>
          </w:p>
          <w:p w:rsidR="00180C25" w:rsidRDefault="005151D2" w:rsidP="009D743B">
            <w:pPr>
              <w:spacing w:before="0" w:after="0"/>
              <w:rPr>
                <w:rFonts w:ascii="Arial Narrow" w:hAnsi="Arial Narrow"/>
                <w:sz w:val="20"/>
                <w:szCs w:val="20"/>
              </w:rPr>
            </w:pPr>
            <w:r w:rsidRPr="009D743B">
              <w:rPr>
                <w:rFonts w:ascii="Arial Narrow" w:hAnsi="Arial Narrow"/>
                <w:sz w:val="20"/>
                <w:szCs w:val="20"/>
              </w:rPr>
              <w:t>AND</w:t>
            </w:r>
          </w:p>
          <w:p w:rsidR="005151D2" w:rsidRPr="009D743B" w:rsidRDefault="005151D2" w:rsidP="009D743B">
            <w:pPr>
              <w:spacing w:before="0" w:after="0"/>
              <w:rPr>
                <w:rFonts w:ascii="Arial Narrow" w:hAnsi="Arial Narrow"/>
                <w:sz w:val="20"/>
                <w:szCs w:val="20"/>
              </w:rPr>
            </w:pPr>
          </w:p>
          <w:p w:rsidR="005151D2" w:rsidRDefault="005151D2" w:rsidP="009D743B">
            <w:pPr>
              <w:spacing w:before="0" w:after="0"/>
              <w:rPr>
                <w:rFonts w:ascii="Arial Narrow" w:hAnsi="Arial Narrow"/>
                <w:sz w:val="20"/>
                <w:szCs w:val="20"/>
              </w:rPr>
            </w:pPr>
            <w:r w:rsidRPr="009D743B">
              <w:rPr>
                <w:rFonts w:ascii="Arial Narrow" w:hAnsi="Arial Narrow"/>
                <w:sz w:val="20"/>
                <w:szCs w:val="20"/>
              </w:rPr>
              <w:t>Patient must have elevated C-reactive protein (CRP) level of greater than 10mg/L</w:t>
            </w:r>
            <w:r w:rsidR="00146588">
              <w:rPr>
                <w:rFonts w:ascii="Arial Narrow" w:hAnsi="Arial Narrow"/>
                <w:sz w:val="20"/>
                <w:szCs w:val="20"/>
              </w:rPr>
              <w:t>;</w:t>
            </w:r>
          </w:p>
          <w:p w:rsidR="001254AC" w:rsidRPr="009D743B" w:rsidRDefault="001254AC" w:rsidP="009D743B">
            <w:pPr>
              <w:spacing w:before="0" w:after="0"/>
              <w:rPr>
                <w:rFonts w:ascii="Arial Narrow" w:hAnsi="Arial Narrow"/>
                <w:sz w:val="20"/>
                <w:szCs w:val="20"/>
              </w:rPr>
            </w:pPr>
          </w:p>
          <w:p w:rsidR="005151D2" w:rsidRDefault="0052401B" w:rsidP="009D743B">
            <w:pPr>
              <w:spacing w:before="0" w:after="0"/>
              <w:rPr>
                <w:rFonts w:ascii="Arial Narrow" w:hAnsi="Arial Narrow"/>
                <w:sz w:val="20"/>
                <w:szCs w:val="20"/>
              </w:rPr>
            </w:pPr>
            <w:r w:rsidRPr="009D743B">
              <w:rPr>
                <w:rFonts w:ascii="Arial Narrow" w:hAnsi="Arial Narrow"/>
                <w:sz w:val="20"/>
                <w:szCs w:val="20"/>
              </w:rPr>
              <w:t>AND</w:t>
            </w:r>
          </w:p>
          <w:p w:rsidR="001254AC" w:rsidRPr="009D743B" w:rsidRDefault="001254AC" w:rsidP="009D743B">
            <w:pPr>
              <w:spacing w:before="0" w:after="0"/>
              <w:rPr>
                <w:rFonts w:ascii="Arial Narrow" w:hAnsi="Arial Narrow"/>
                <w:sz w:val="20"/>
                <w:szCs w:val="20"/>
              </w:rPr>
            </w:pPr>
          </w:p>
          <w:p w:rsidR="004648EA" w:rsidRDefault="005151D2" w:rsidP="009D743B">
            <w:pPr>
              <w:spacing w:before="0" w:after="0"/>
              <w:rPr>
                <w:rFonts w:ascii="Arial Narrow" w:hAnsi="Arial Narrow"/>
                <w:sz w:val="20"/>
                <w:szCs w:val="20"/>
              </w:rPr>
            </w:pPr>
            <w:r w:rsidRPr="009D743B">
              <w:rPr>
                <w:rFonts w:ascii="Arial Narrow" w:hAnsi="Arial Narrow"/>
                <w:sz w:val="20"/>
                <w:szCs w:val="20"/>
              </w:rPr>
              <w:t>The condition must be sacroiliitis with active inflammation and/or oedema on M</w:t>
            </w:r>
            <w:r w:rsidR="001254AC">
              <w:rPr>
                <w:rFonts w:ascii="Arial Narrow" w:hAnsi="Arial Narrow"/>
                <w:sz w:val="20"/>
                <w:szCs w:val="20"/>
              </w:rPr>
              <w:t xml:space="preserve">agnetic </w:t>
            </w:r>
            <w:r w:rsidRPr="009D743B">
              <w:rPr>
                <w:rFonts w:ascii="Arial Narrow" w:hAnsi="Arial Narrow"/>
                <w:sz w:val="20"/>
                <w:szCs w:val="20"/>
              </w:rPr>
              <w:t>R</w:t>
            </w:r>
            <w:r w:rsidR="001254AC">
              <w:rPr>
                <w:rFonts w:ascii="Arial Narrow" w:hAnsi="Arial Narrow"/>
                <w:sz w:val="20"/>
                <w:szCs w:val="20"/>
              </w:rPr>
              <w:t xml:space="preserve">esonance </w:t>
            </w:r>
            <w:r w:rsidRPr="009D743B">
              <w:rPr>
                <w:rFonts w:ascii="Arial Narrow" w:hAnsi="Arial Narrow"/>
                <w:sz w:val="20"/>
                <w:szCs w:val="20"/>
              </w:rPr>
              <w:t>I</w:t>
            </w:r>
            <w:r w:rsidR="001254AC">
              <w:rPr>
                <w:rFonts w:ascii="Arial Narrow" w:hAnsi="Arial Narrow"/>
                <w:sz w:val="20"/>
                <w:szCs w:val="20"/>
              </w:rPr>
              <w:t>maging (MRI)</w:t>
            </w:r>
            <w:r w:rsidR="00146588">
              <w:rPr>
                <w:rFonts w:ascii="Arial Narrow" w:hAnsi="Arial Narrow"/>
                <w:sz w:val="20"/>
                <w:szCs w:val="20"/>
              </w:rPr>
              <w:t>;</w:t>
            </w:r>
          </w:p>
          <w:p w:rsidR="004648EA" w:rsidRDefault="004648EA" w:rsidP="009D743B">
            <w:pPr>
              <w:spacing w:before="0" w:after="0"/>
              <w:rPr>
                <w:rFonts w:ascii="Arial Narrow" w:hAnsi="Arial Narrow"/>
                <w:sz w:val="20"/>
                <w:szCs w:val="20"/>
              </w:rPr>
            </w:pPr>
          </w:p>
          <w:p w:rsidR="004648EA" w:rsidRDefault="00236526" w:rsidP="009D743B">
            <w:pPr>
              <w:spacing w:before="0" w:after="0"/>
              <w:rPr>
                <w:rFonts w:ascii="Arial Narrow" w:hAnsi="Arial Narrow"/>
                <w:sz w:val="20"/>
                <w:szCs w:val="20"/>
              </w:rPr>
            </w:pPr>
            <w:r>
              <w:rPr>
                <w:rFonts w:ascii="Arial Narrow" w:hAnsi="Arial Narrow"/>
                <w:sz w:val="20"/>
                <w:szCs w:val="20"/>
              </w:rPr>
              <w:t xml:space="preserve">AND </w:t>
            </w:r>
          </w:p>
          <w:p w:rsidR="004648EA" w:rsidRDefault="004648EA" w:rsidP="009D743B">
            <w:pPr>
              <w:spacing w:before="0" w:after="0"/>
              <w:rPr>
                <w:rFonts w:ascii="Arial Narrow" w:hAnsi="Arial Narrow"/>
                <w:sz w:val="20"/>
                <w:szCs w:val="20"/>
              </w:rPr>
            </w:pPr>
          </w:p>
          <w:p w:rsidR="00237B10" w:rsidRDefault="004648EA" w:rsidP="009D743B">
            <w:pPr>
              <w:spacing w:before="0" w:after="0"/>
              <w:rPr>
                <w:rFonts w:ascii="Arial Narrow" w:hAnsi="Arial Narrow"/>
                <w:sz w:val="20"/>
                <w:szCs w:val="20"/>
              </w:rPr>
            </w:pPr>
            <w:r>
              <w:rPr>
                <w:rFonts w:ascii="Arial Narrow" w:hAnsi="Arial Narrow"/>
                <w:sz w:val="20"/>
                <w:szCs w:val="20"/>
              </w:rPr>
              <w:t>Patient must have n</w:t>
            </w:r>
            <w:r w:rsidR="00236526">
              <w:rPr>
                <w:rFonts w:ascii="Arial Narrow" w:hAnsi="Arial Narrow"/>
                <w:sz w:val="20"/>
                <w:szCs w:val="20"/>
              </w:rPr>
              <w:t xml:space="preserve">o evidence on plain </w:t>
            </w:r>
            <w:r>
              <w:rPr>
                <w:rFonts w:ascii="Arial Narrow" w:hAnsi="Arial Narrow"/>
                <w:sz w:val="20"/>
                <w:szCs w:val="20"/>
              </w:rPr>
              <w:t>x-ray</w:t>
            </w:r>
            <w:r w:rsidR="00236526">
              <w:rPr>
                <w:rFonts w:ascii="Arial Narrow" w:hAnsi="Arial Narrow"/>
                <w:sz w:val="20"/>
                <w:szCs w:val="20"/>
              </w:rPr>
              <w:t xml:space="preserve"> of bilateral Grade II sacroiliitis or unilateral Grade III </w:t>
            </w:r>
            <w:r w:rsidR="00A40204">
              <w:rPr>
                <w:rFonts w:ascii="Arial Narrow" w:hAnsi="Arial Narrow"/>
                <w:sz w:val="20"/>
                <w:szCs w:val="20"/>
              </w:rPr>
              <w:t xml:space="preserve">or IV </w:t>
            </w:r>
            <w:r w:rsidR="00236526">
              <w:rPr>
                <w:rFonts w:ascii="Arial Narrow" w:hAnsi="Arial Narrow"/>
                <w:sz w:val="20"/>
                <w:szCs w:val="20"/>
              </w:rPr>
              <w:t>sacroiliitis</w:t>
            </w:r>
            <w:r w:rsidR="00146588">
              <w:rPr>
                <w:rFonts w:ascii="Arial Narrow" w:hAnsi="Arial Narrow"/>
                <w:sz w:val="20"/>
                <w:szCs w:val="20"/>
              </w:rPr>
              <w:t>;</w:t>
            </w:r>
            <w:r w:rsidR="00A40204">
              <w:rPr>
                <w:rFonts w:ascii="Arial Narrow" w:hAnsi="Arial Narrow"/>
                <w:sz w:val="20"/>
                <w:szCs w:val="20"/>
              </w:rPr>
              <w:t xml:space="preserve"> </w:t>
            </w:r>
          </w:p>
          <w:p w:rsidR="00AC2834" w:rsidRDefault="00AC2834" w:rsidP="009D743B">
            <w:pPr>
              <w:spacing w:before="0" w:after="0"/>
              <w:rPr>
                <w:rFonts w:ascii="Arial Narrow" w:hAnsi="Arial Narrow"/>
                <w:sz w:val="20"/>
                <w:szCs w:val="20"/>
              </w:rPr>
            </w:pPr>
          </w:p>
          <w:p w:rsidR="005151D2" w:rsidRDefault="005151D2" w:rsidP="009D743B">
            <w:pPr>
              <w:spacing w:before="0" w:after="0"/>
              <w:rPr>
                <w:rFonts w:ascii="Arial Narrow" w:hAnsi="Arial Narrow"/>
                <w:sz w:val="20"/>
                <w:szCs w:val="20"/>
              </w:rPr>
            </w:pPr>
            <w:r w:rsidRPr="009D743B">
              <w:rPr>
                <w:rFonts w:ascii="Arial Narrow" w:hAnsi="Arial Narrow"/>
                <w:sz w:val="20"/>
                <w:szCs w:val="20"/>
              </w:rPr>
              <w:t>AND</w:t>
            </w:r>
          </w:p>
          <w:p w:rsidR="00A44268" w:rsidRPr="009D743B" w:rsidRDefault="00A44268" w:rsidP="009D743B">
            <w:pPr>
              <w:spacing w:before="0" w:after="0"/>
              <w:rPr>
                <w:rFonts w:ascii="Arial Narrow" w:hAnsi="Arial Narrow"/>
                <w:sz w:val="20"/>
                <w:szCs w:val="20"/>
              </w:rPr>
            </w:pPr>
          </w:p>
          <w:p w:rsidR="005151D2" w:rsidRPr="009D743B" w:rsidRDefault="00A44268" w:rsidP="009D743B">
            <w:pPr>
              <w:spacing w:before="0" w:after="0"/>
              <w:rPr>
                <w:rFonts w:ascii="Arial Narrow" w:hAnsi="Arial Narrow"/>
                <w:sz w:val="20"/>
                <w:szCs w:val="20"/>
              </w:rPr>
            </w:pPr>
            <w:r>
              <w:rPr>
                <w:rFonts w:ascii="Arial Narrow" w:hAnsi="Arial Narrow"/>
                <w:sz w:val="20"/>
                <w:szCs w:val="20"/>
              </w:rPr>
              <w:t>P</w:t>
            </w:r>
            <w:r w:rsidR="005151D2" w:rsidRPr="009D743B">
              <w:rPr>
                <w:rFonts w:ascii="Arial Narrow" w:hAnsi="Arial Narrow"/>
                <w:sz w:val="20"/>
                <w:szCs w:val="20"/>
              </w:rPr>
              <w:t xml:space="preserve">atient must have experienced one or more of the following: (a) Enthesitis (heel); (b) Uveitis; (c) Dactylitis; (d)Psoriasis; (e) Inflammatory bowel disease; OR (f) </w:t>
            </w:r>
            <w:r w:rsidR="00A40204">
              <w:rPr>
                <w:rFonts w:ascii="Arial Narrow" w:hAnsi="Arial Narrow"/>
                <w:sz w:val="20"/>
                <w:szCs w:val="20"/>
              </w:rPr>
              <w:t xml:space="preserve">positive </w:t>
            </w:r>
            <w:r w:rsidR="00403E7C" w:rsidRPr="00403E7C">
              <w:rPr>
                <w:rFonts w:ascii="Arial Narrow" w:hAnsi="Arial Narrow"/>
                <w:sz w:val="20"/>
                <w:szCs w:val="20"/>
              </w:rPr>
              <w:t>Human Leukocyte Antigen B27</w:t>
            </w:r>
            <w:r w:rsidR="00403E7C">
              <w:rPr>
                <w:rFonts w:ascii="Arial Narrow" w:hAnsi="Arial Narrow"/>
                <w:sz w:val="20"/>
                <w:szCs w:val="20"/>
              </w:rPr>
              <w:t xml:space="preserve"> (</w:t>
            </w:r>
            <w:r w:rsidR="005151D2" w:rsidRPr="009D743B">
              <w:rPr>
                <w:rFonts w:ascii="Arial Narrow" w:hAnsi="Arial Narrow"/>
                <w:sz w:val="20"/>
                <w:szCs w:val="20"/>
              </w:rPr>
              <w:t>HLA-B27</w:t>
            </w:r>
            <w:r w:rsidR="00403E7C">
              <w:rPr>
                <w:rFonts w:ascii="Arial Narrow" w:hAnsi="Arial Narrow"/>
                <w:sz w:val="20"/>
                <w:szCs w:val="20"/>
              </w:rPr>
              <w:t>)</w:t>
            </w:r>
            <w:r w:rsidR="00DB7BEB">
              <w:rPr>
                <w:rFonts w:ascii="Arial Narrow" w:hAnsi="Arial Narrow"/>
                <w:sz w:val="20"/>
                <w:szCs w:val="20"/>
              </w:rPr>
              <w:t xml:space="preserve">. </w:t>
            </w:r>
          </w:p>
        </w:tc>
      </w:tr>
      <w:tr w:rsidR="005151D2" w:rsidRPr="009D743B" w:rsidTr="004648EA">
        <w:trPr>
          <w:trHeight w:val="253"/>
        </w:trPr>
        <w:tc>
          <w:tcPr>
            <w:tcW w:w="1945" w:type="dxa"/>
            <w:shd w:val="clear" w:color="auto" w:fill="auto"/>
          </w:tcPr>
          <w:p w:rsidR="005151D2" w:rsidRPr="009D743B" w:rsidRDefault="005151D2" w:rsidP="009D743B">
            <w:pPr>
              <w:spacing w:before="0" w:after="0"/>
              <w:rPr>
                <w:rFonts w:ascii="Arial Narrow" w:hAnsi="Arial Narrow"/>
                <w:b/>
                <w:sz w:val="20"/>
                <w:szCs w:val="20"/>
              </w:rPr>
            </w:pPr>
            <w:r w:rsidRPr="009D743B">
              <w:rPr>
                <w:rFonts w:ascii="Arial Narrow" w:hAnsi="Arial Narrow"/>
                <w:b/>
                <w:sz w:val="20"/>
                <w:szCs w:val="20"/>
              </w:rPr>
              <w:lastRenderedPageBreak/>
              <w:t>Population criteria</w:t>
            </w:r>
          </w:p>
        </w:tc>
        <w:tc>
          <w:tcPr>
            <w:tcW w:w="7411" w:type="dxa"/>
            <w:shd w:val="clear" w:color="auto" w:fill="auto"/>
          </w:tcPr>
          <w:p w:rsidR="005151D2" w:rsidRPr="004648EA" w:rsidRDefault="005151D2" w:rsidP="004648EA">
            <w:pPr>
              <w:spacing w:before="0" w:after="0"/>
              <w:rPr>
                <w:rFonts w:ascii="Arial Narrow" w:hAnsi="Arial Narrow"/>
                <w:i/>
                <w:color w:val="222222"/>
                <w:sz w:val="20"/>
                <w:szCs w:val="20"/>
                <w:shd w:val="clear" w:color="auto" w:fill="FFFFFF"/>
              </w:rPr>
            </w:pPr>
            <w:r w:rsidRPr="009D743B">
              <w:rPr>
                <w:rFonts w:ascii="Arial Narrow" w:hAnsi="Arial Narrow"/>
                <w:color w:val="222222"/>
                <w:sz w:val="20"/>
                <w:szCs w:val="20"/>
                <w:shd w:val="clear" w:color="auto" w:fill="FFFFFF"/>
              </w:rPr>
              <w:t xml:space="preserve">Patient must </w:t>
            </w:r>
            <w:r w:rsidRPr="004648EA">
              <w:rPr>
                <w:rFonts w:ascii="Arial Narrow" w:hAnsi="Arial Narrow"/>
                <w:color w:val="222222"/>
                <w:sz w:val="20"/>
                <w:szCs w:val="20"/>
                <w:shd w:val="clear" w:color="auto" w:fill="FFFFFF"/>
              </w:rPr>
              <w:t xml:space="preserve">be </w:t>
            </w:r>
            <w:r w:rsidR="00DD7AC1" w:rsidRPr="004648EA">
              <w:rPr>
                <w:rFonts w:ascii="Arial Narrow" w:hAnsi="Arial Narrow"/>
                <w:color w:val="222222"/>
                <w:sz w:val="20"/>
                <w:szCs w:val="20"/>
                <w:shd w:val="clear" w:color="auto" w:fill="FFFFFF"/>
              </w:rPr>
              <w:t xml:space="preserve">aged </w:t>
            </w:r>
            <w:r w:rsidRPr="004648EA">
              <w:rPr>
                <w:rFonts w:ascii="Arial Narrow" w:hAnsi="Arial Narrow"/>
                <w:color w:val="222222"/>
                <w:sz w:val="20"/>
                <w:szCs w:val="20"/>
                <w:shd w:val="clear" w:color="auto" w:fill="FFFFFF"/>
              </w:rPr>
              <w:t xml:space="preserve">18 years </w:t>
            </w:r>
            <w:r w:rsidR="00DD7AC1" w:rsidRPr="004648EA">
              <w:rPr>
                <w:rFonts w:ascii="Arial Narrow" w:hAnsi="Arial Narrow"/>
                <w:color w:val="222222"/>
                <w:sz w:val="20"/>
                <w:szCs w:val="20"/>
                <w:shd w:val="clear" w:color="auto" w:fill="FFFFFF"/>
              </w:rPr>
              <w:t>or older</w:t>
            </w:r>
          </w:p>
        </w:tc>
      </w:tr>
      <w:tr w:rsidR="005A2E87" w:rsidRPr="009D743B" w:rsidTr="004648EA">
        <w:trPr>
          <w:trHeight w:val="253"/>
        </w:trPr>
        <w:tc>
          <w:tcPr>
            <w:tcW w:w="1945" w:type="dxa"/>
            <w:shd w:val="clear" w:color="auto" w:fill="auto"/>
          </w:tcPr>
          <w:p w:rsidR="005A2E87" w:rsidRPr="009D743B" w:rsidRDefault="005A2E87" w:rsidP="009D743B">
            <w:pPr>
              <w:spacing w:before="0" w:after="0"/>
              <w:rPr>
                <w:rFonts w:ascii="Arial Narrow" w:hAnsi="Arial Narrow"/>
                <w:b/>
                <w:sz w:val="20"/>
                <w:szCs w:val="20"/>
              </w:rPr>
            </w:pPr>
            <w:r w:rsidRPr="009D743B">
              <w:rPr>
                <w:rFonts w:ascii="Arial Narrow" w:hAnsi="Arial Narrow"/>
                <w:b/>
                <w:sz w:val="20"/>
                <w:szCs w:val="20"/>
              </w:rPr>
              <w:t>Treatment criteria</w:t>
            </w:r>
          </w:p>
        </w:tc>
        <w:tc>
          <w:tcPr>
            <w:tcW w:w="7411" w:type="dxa"/>
            <w:shd w:val="clear" w:color="auto" w:fill="auto"/>
          </w:tcPr>
          <w:p w:rsidR="005A2E87" w:rsidRPr="009D743B" w:rsidRDefault="005A2E87" w:rsidP="009D743B">
            <w:pPr>
              <w:spacing w:before="0" w:after="0"/>
              <w:rPr>
                <w:rFonts w:ascii="Arial Narrow" w:hAnsi="Arial Narrow"/>
                <w:color w:val="222222"/>
                <w:sz w:val="20"/>
                <w:szCs w:val="20"/>
                <w:shd w:val="clear" w:color="auto" w:fill="FFFFFF"/>
              </w:rPr>
            </w:pPr>
            <w:r w:rsidRPr="009D743B">
              <w:rPr>
                <w:rFonts w:ascii="Arial Narrow" w:hAnsi="Arial Narrow"/>
                <w:color w:val="222222"/>
                <w:sz w:val="20"/>
                <w:szCs w:val="20"/>
                <w:shd w:val="clear" w:color="auto" w:fill="FFFFFF"/>
              </w:rPr>
              <w:t xml:space="preserve">Must </w:t>
            </w:r>
            <w:r w:rsidR="00DB7BEB">
              <w:rPr>
                <w:rFonts w:ascii="Arial Narrow" w:hAnsi="Arial Narrow"/>
                <w:color w:val="222222"/>
                <w:sz w:val="20"/>
                <w:szCs w:val="20"/>
                <w:shd w:val="clear" w:color="auto" w:fill="FFFFFF"/>
              </w:rPr>
              <w:t>be treated by a rheumatologist.</w:t>
            </w:r>
          </w:p>
        </w:tc>
      </w:tr>
      <w:tr w:rsidR="005151D2" w:rsidRPr="009D743B" w:rsidTr="004648EA">
        <w:trPr>
          <w:trHeight w:val="253"/>
        </w:trPr>
        <w:tc>
          <w:tcPr>
            <w:tcW w:w="1945" w:type="dxa"/>
            <w:shd w:val="clear" w:color="auto" w:fill="auto"/>
          </w:tcPr>
          <w:p w:rsidR="005151D2" w:rsidRPr="009D743B" w:rsidRDefault="005A2E87" w:rsidP="009D743B">
            <w:pPr>
              <w:spacing w:before="0" w:after="0"/>
              <w:rPr>
                <w:rFonts w:ascii="Arial Narrow" w:hAnsi="Arial Narrow"/>
                <w:b/>
                <w:sz w:val="20"/>
                <w:szCs w:val="20"/>
              </w:rPr>
            </w:pPr>
            <w:r>
              <w:rPr>
                <w:rFonts w:ascii="Arial Narrow" w:hAnsi="Arial Narrow"/>
                <w:b/>
                <w:sz w:val="20"/>
                <w:szCs w:val="20"/>
              </w:rPr>
              <w:t>Prescriber Instructions</w:t>
            </w:r>
          </w:p>
        </w:tc>
        <w:tc>
          <w:tcPr>
            <w:tcW w:w="7411" w:type="dxa"/>
            <w:shd w:val="clear" w:color="auto" w:fill="auto"/>
          </w:tcPr>
          <w:p w:rsidR="0052401B" w:rsidRPr="009D743B" w:rsidRDefault="0052401B" w:rsidP="0052401B">
            <w:pPr>
              <w:spacing w:before="0" w:after="0"/>
              <w:rPr>
                <w:rFonts w:ascii="Arial Narrow" w:hAnsi="Arial Narrow"/>
                <w:sz w:val="20"/>
                <w:szCs w:val="20"/>
              </w:rPr>
            </w:pPr>
            <w:r w:rsidRPr="009D743B">
              <w:rPr>
                <w:rFonts w:ascii="Arial Narrow" w:hAnsi="Arial Narrow"/>
                <w:sz w:val="20"/>
                <w:szCs w:val="20"/>
              </w:rPr>
              <w:t>The application must include details of the NSAIDs trialled, their doses and duration of treatment.</w:t>
            </w:r>
          </w:p>
          <w:p w:rsidR="0052401B" w:rsidRDefault="0052401B" w:rsidP="0052401B">
            <w:pPr>
              <w:spacing w:before="0" w:after="0"/>
              <w:rPr>
                <w:rFonts w:ascii="Arial Narrow" w:hAnsi="Arial Narrow"/>
                <w:sz w:val="20"/>
                <w:szCs w:val="20"/>
              </w:rPr>
            </w:pPr>
            <w:r w:rsidRPr="009D743B">
              <w:rPr>
                <w:rFonts w:ascii="Arial Narrow" w:hAnsi="Arial Narrow"/>
                <w:sz w:val="20"/>
                <w:szCs w:val="20"/>
              </w:rPr>
              <w:t>If the NSAID dose is less than the maximum recommended dose in the relevant TGA-approved Product Information, the application must include the reason a higher dose cannot be used.</w:t>
            </w:r>
          </w:p>
          <w:p w:rsidR="00980DFB" w:rsidRPr="009D743B" w:rsidRDefault="00980DFB" w:rsidP="0052401B">
            <w:pPr>
              <w:spacing w:before="0" w:after="0"/>
              <w:rPr>
                <w:rFonts w:ascii="Arial Narrow" w:hAnsi="Arial Narrow"/>
                <w:sz w:val="20"/>
                <w:szCs w:val="20"/>
              </w:rPr>
            </w:pPr>
          </w:p>
          <w:p w:rsidR="0052401B" w:rsidRPr="009D743B" w:rsidRDefault="0052401B" w:rsidP="0052401B">
            <w:pPr>
              <w:spacing w:before="0" w:after="0"/>
              <w:rPr>
                <w:rFonts w:ascii="Arial Narrow" w:hAnsi="Arial Narrow"/>
                <w:sz w:val="20"/>
                <w:szCs w:val="20"/>
              </w:rPr>
            </w:pPr>
            <w:r w:rsidRPr="009D743B">
              <w:rPr>
                <w:rFonts w:ascii="Arial Narrow" w:hAnsi="Arial Narrow"/>
                <w:sz w:val="20"/>
                <w:szCs w:val="20"/>
              </w:rPr>
              <w:t>If treatment with NSAIDs is contraindicated according to the relevant TGA-approved Product Information, the application must provide details of the contraindication.</w:t>
            </w:r>
          </w:p>
          <w:p w:rsidR="0052401B" w:rsidRPr="009D743B" w:rsidRDefault="0052401B" w:rsidP="0052401B">
            <w:pPr>
              <w:spacing w:before="0" w:after="0"/>
              <w:rPr>
                <w:rFonts w:ascii="Arial Narrow" w:hAnsi="Arial Narrow"/>
                <w:sz w:val="20"/>
                <w:szCs w:val="20"/>
              </w:rPr>
            </w:pPr>
          </w:p>
          <w:p w:rsidR="00726E50" w:rsidRDefault="0052401B" w:rsidP="0052401B">
            <w:pPr>
              <w:spacing w:before="0" w:after="0"/>
              <w:rPr>
                <w:rFonts w:ascii="Arial Narrow" w:hAnsi="Arial Narrow"/>
                <w:sz w:val="20"/>
                <w:szCs w:val="20"/>
              </w:rPr>
            </w:pPr>
            <w:r w:rsidRPr="009D743B">
              <w:rPr>
                <w:rFonts w:ascii="Arial Narrow" w:hAnsi="Arial Narrow"/>
                <w:sz w:val="20"/>
                <w:szCs w:val="20"/>
              </w:rPr>
              <w:t xml:space="preserve">If intolerance to NSAID treatment develops during the relevant period of use which is of a severity to necessitate permanent treatment withdrawal, the application must provide details of the nature and severity of this intolerance. </w:t>
            </w:r>
          </w:p>
          <w:p w:rsidR="00726E50" w:rsidRDefault="00726E50" w:rsidP="0052401B">
            <w:pPr>
              <w:spacing w:before="0" w:after="0"/>
              <w:rPr>
                <w:rFonts w:ascii="Arial Narrow" w:hAnsi="Arial Narrow"/>
                <w:sz w:val="20"/>
                <w:szCs w:val="20"/>
              </w:rPr>
            </w:pPr>
          </w:p>
          <w:p w:rsidR="0052401B" w:rsidRPr="009D743B" w:rsidRDefault="0052401B" w:rsidP="0052401B">
            <w:pPr>
              <w:spacing w:before="0" w:after="0"/>
              <w:rPr>
                <w:rFonts w:ascii="Arial Narrow" w:hAnsi="Arial Narrow"/>
                <w:sz w:val="20"/>
                <w:szCs w:val="20"/>
              </w:rPr>
            </w:pPr>
            <w:r w:rsidRPr="009D743B">
              <w:rPr>
                <w:rFonts w:ascii="Arial Narrow" w:hAnsi="Arial Narrow"/>
                <w:sz w:val="20"/>
                <w:szCs w:val="20"/>
              </w:rPr>
              <w:t>The following criteria indicate failure to achieve an adequate response to NSAIDs and must be demonstrated at the time of the initial application:</w:t>
            </w:r>
          </w:p>
          <w:p w:rsidR="0052401B" w:rsidRPr="009D743B" w:rsidRDefault="0052401B" w:rsidP="0052401B">
            <w:pPr>
              <w:spacing w:before="0" w:after="0"/>
              <w:rPr>
                <w:rFonts w:ascii="Arial Narrow" w:hAnsi="Arial Narrow"/>
                <w:sz w:val="20"/>
                <w:szCs w:val="20"/>
              </w:rPr>
            </w:pPr>
            <w:r w:rsidRPr="009D743B">
              <w:rPr>
                <w:rFonts w:ascii="Arial Narrow" w:hAnsi="Arial Narrow"/>
                <w:sz w:val="20"/>
                <w:szCs w:val="20"/>
              </w:rPr>
              <w:t>(a) a Bath Ankylosing Spondylitis Disease Activity Index (BASDAI) of at least 4 on a 0-10 scale and less than a 2 unit change in BASDAI since treatment initiation; AND</w:t>
            </w:r>
          </w:p>
          <w:p w:rsidR="0052401B" w:rsidRPr="009D743B" w:rsidRDefault="0052401B" w:rsidP="0052401B">
            <w:pPr>
              <w:spacing w:before="0" w:after="0"/>
              <w:rPr>
                <w:rFonts w:ascii="Arial Narrow" w:hAnsi="Arial Narrow"/>
                <w:sz w:val="20"/>
                <w:szCs w:val="20"/>
              </w:rPr>
            </w:pPr>
            <w:r w:rsidRPr="009D743B">
              <w:rPr>
                <w:rFonts w:ascii="Arial Narrow" w:hAnsi="Arial Narrow"/>
                <w:sz w:val="20"/>
                <w:szCs w:val="20"/>
              </w:rPr>
              <w:t>(b) C-reactive protein (CRP) level greater than 10 mg per L.</w:t>
            </w:r>
          </w:p>
          <w:p w:rsidR="0052401B" w:rsidRPr="009D743B" w:rsidRDefault="0052401B" w:rsidP="0052401B">
            <w:pPr>
              <w:spacing w:before="0" w:after="0"/>
              <w:rPr>
                <w:rFonts w:ascii="Arial Narrow" w:hAnsi="Arial Narrow"/>
                <w:sz w:val="20"/>
                <w:szCs w:val="20"/>
              </w:rPr>
            </w:pPr>
          </w:p>
          <w:p w:rsidR="0052401B" w:rsidRPr="009D743B" w:rsidRDefault="0052401B" w:rsidP="0052401B">
            <w:pPr>
              <w:spacing w:before="0" w:after="0"/>
              <w:rPr>
                <w:rFonts w:ascii="Arial Narrow" w:hAnsi="Arial Narrow"/>
                <w:sz w:val="20"/>
                <w:szCs w:val="20"/>
              </w:rPr>
            </w:pPr>
            <w:r w:rsidRPr="009D743B">
              <w:rPr>
                <w:rFonts w:ascii="Arial Narrow" w:hAnsi="Arial Narrow"/>
                <w:sz w:val="20"/>
                <w:szCs w:val="20"/>
              </w:rPr>
              <w:t xml:space="preserve">The BASDAI must be determined at the completion of the 3-month NSAID and exercise trial, but prior to ceasing NSAID treatment.  The BASDAI must be no more than 1 month old at the time of </w:t>
            </w:r>
            <w:r w:rsidRPr="009D743B">
              <w:rPr>
                <w:rFonts w:ascii="Arial Narrow" w:hAnsi="Arial Narrow"/>
                <w:sz w:val="20"/>
                <w:szCs w:val="20"/>
              </w:rPr>
              <w:lastRenderedPageBreak/>
              <w:t>initial application.</w:t>
            </w:r>
          </w:p>
          <w:p w:rsidR="0052401B" w:rsidRPr="009D743B" w:rsidRDefault="0052401B" w:rsidP="0052401B">
            <w:pPr>
              <w:spacing w:before="0" w:after="0"/>
              <w:rPr>
                <w:rFonts w:ascii="Arial Narrow" w:hAnsi="Arial Narrow"/>
                <w:sz w:val="20"/>
                <w:szCs w:val="20"/>
              </w:rPr>
            </w:pPr>
          </w:p>
          <w:p w:rsidR="0052401B" w:rsidRPr="009D743B" w:rsidRDefault="0052401B" w:rsidP="0052401B">
            <w:pPr>
              <w:spacing w:before="0" w:after="0"/>
              <w:rPr>
                <w:rFonts w:ascii="Arial Narrow" w:hAnsi="Arial Narrow"/>
                <w:sz w:val="20"/>
                <w:szCs w:val="20"/>
              </w:rPr>
            </w:pPr>
            <w:r w:rsidRPr="009D743B">
              <w:rPr>
                <w:rFonts w:ascii="Arial Narrow" w:hAnsi="Arial Narrow"/>
                <w:sz w:val="20"/>
                <w:szCs w:val="20"/>
              </w:rPr>
              <w:t>CRP measures should be provided with the initial treatment application and both mu</w:t>
            </w:r>
            <w:r w:rsidR="006910FC">
              <w:rPr>
                <w:rFonts w:ascii="Arial Narrow" w:hAnsi="Arial Narrow"/>
                <w:sz w:val="20"/>
                <w:szCs w:val="20"/>
              </w:rPr>
              <w:t>st be no more than 1 month old.</w:t>
            </w:r>
          </w:p>
          <w:p w:rsidR="0052401B" w:rsidRPr="009D743B" w:rsidRDefault="0052401B" w:rsidP="0052401B">
            <w:pPr>
              <w:spacing w:before="0" w:after="0"/>
              <w:rPr>
                <w:rFonts w:ascii="Arial Narrow" w:hAnsi="Arial Narrow"/>
                <w:sz w:val="20"/>
                <w:szCs w:val="20"/>
              </w:rPr>
            </w:pPr>
          </w:p>
          <w:p w:rsidR="0052401B" w:rsidRPr="009D743B" w:rsidRDefault="0052401B" w:rsidP="0052401B">
            <w:pPr>
              <w:spacing w:before="0" w:after="0"/>
              <w:rPr>
                <w:rFonts w:ascii="Arial Narrow" w:hAnsi="Arial Narrow"/>
                <w:sz w:val="20"/>
                <w:szCs w:val="20"/>
              </w:rPr>
            </w:pPr>
            <w:r w:rsidRPr="009D743B">
              <w:rPr>
                <w:rFonts w:ascii="Arial Narrow" w:hAnsi="Arial Narrow"/>
                <w:sz w:val="20"/>
                <w:szCs w:val="20"/>
              </w:rPr>
              <w:t xml:space="preserve">The assessment of the patient's response to the initial course of treatment must be made following a minimum of </w:t>
            </w:r>
            <w:r w:rsidR="00147311" w:rsidRPr="009D743B">
              <w:rPr>
                <w:rFonts w:ascii="Arial Narrow" w:hAnsi="Arial Narrow"/>
                <w:i/>
                <w:sz w:val="20"/>
                <w:szCs w:val="20"/>
              </w:rPr>
              <w:t>12</w:t>
            </w:r>
            <w:r w:rsidRPr="009D743B">
              <w:rPr>
                <w:rFonts w:ascii="Arial Narrow" w:hAnsi="Arial Narrow"/>
                <w:sz w:val="20"/>
                <w:szCs w:val="20"/>
              </w:rPr>
              <w:t xml:space="preserve"> weeks of treatment and submitted no later than 4 weeks from the cessation of that treatment course. If the response assessment is not submitted within these timeframes, the patient will be deemed to have failed this course of treatment.</w:t>
            </w:r>
          </w:p>
          <w:p w:rsidR="0052401B" w:rsidRPr="009D743B" w:rsidRDefault="0052401B" w:rsidP="0052401B">
            <w:pPr>
              <w:spacing w:before="0" w:after="0"/>
              <w:rPr>
                <w:rFonts w:ascii="Arial Narrow" w:hAnsi="Arial Narrow"/>
                <w:sz w:val="20"/>
                <w:szCs w:val="20"/>
              </w:rPr>
            </w:pPr>
          </w:p>
          <w:p w:rsidR="0052401B" w:rsidRPr="009D743B" w:rsidRDefault="0052401B" w:rsidP="0052401B">
            <w:pPr>
              <w:spacing w:before="0" w:after="0"/>
              <w:rPr>
                <w:rFonts w:ascii="Arial Narrow" w:hAnsi="Arial Narrow"/>
                <w:sz w:val="20"/>
                <w:szCs w:val="20"/>
              </w:rPr>
            </w:pPr>
            <w:r w:rsidRPr="009D743B">
              <w:rPr>
                <w:rFonts w:ascii="Arial Narrow" w:hAnsi="Arial Narrow"/>
                <w:sz w:val="20"/>
                <w:szCs w:val="20"/>
              </w:rPr>
              <w:t>A maximum of 16 weeks of treatment with this drug will be approved under this criterion.</w:t>
            </w:r>
          </w:p>
          <w:p w:rsidR="0052401B" w:rsidRPr="009D743B" w:rsidRDefault="0052401B" w:rsidP="0052401B">
            <w:pPr>
              <w:spacing w:before="0" w:after="0"/>
              <w:rPr>
                <w:rFonts w:ascii="Arial Narrow" w:hAnsi="Arial Narrow"/>
                <w:sz w:val="20"/>
                <w:szCs w:val="20"/>
              </w:rPr>
            </w:pPr>
          </w:p>
          <w:p w:rsidR="00520BA4" w:rsidRPr="009D743B" w:rsidRDefault="00520BA4" w:rsidP="00520BA4">
            <w:pPr>
              <w:spacing w:before="0" w:after="0"/>
              <w:rPr>
                <w:rFonts w:ascii="Arial Narrow" w:hAnsi="Arial Narrow"/>
                <w:sz w:val="20"/>
                <w:szCs w:val="20"/>
              </w:rPr>
            </w:pPr>
            <w:r w:rsidRPr="009D743B">
              <w:rPr>
                <w:rFonts w:ascii="Arial Narrow" w:hAnsi="Arial Narrow"/>
                <w:sz w:val="20"/>
                <w:szCs w:val="20"/>
              </w:rPr>
              <w:t>The authority application must be made in writing and must include:</w:t>
            </w:r>
          </w:p>
          <w:p w:rsidR="00520BA4" w:rsidRPr="009D743B" w:rsidRDefault="00520BA4" w:rsidP="00520BA4">
            <w:pPr>
              <w:spacing w:before="0" w:after="0"/>
              <w:rPr>
                <w:rFonts w:ascii="Arial Narrow" w:hAnsi="Arial Narrow"/>
                <w:sz w:val="20"/>
                <w:szCs w:val="20"/>
              </w:rPr>
            </w:pPr>
            <w:r w:rsidRPr="009D743B">
              <w:rPr>
                <w:rFonts w:ascii="Arial Narrow" w:hAnsi="Arial Narrow"/>
                <w:sz w:val="20"/>
                <w:szCs w:val="20"/>
              </w:rPr>
              <w:t>(a) a completed authority prescription form; and</w:t>
            </w:r>
          </w:p>
          <w:p w:rsidR="00520BA4" w:rsidRPr="009D743B" w:rsidRDefault="00520BA4" w:rsidP="00520BA4">
            <w:pPr>
              <w:spacing w:before="0" w:after="0"/>
              <w:rPr>
                <w:rFonts w:ascii="Arial Narrow" w:hAnsi="Arial Narrow"/>
                <w:sz w:val="20"/>
                <w:szCs w:val="20"/>
              </w:rPr>
            </w:pPr>
            <w:r w:rsidRPr="009D743B">
              <w:rPr>
                <w:rFonts w:ascii="Arial Narrow" w:hAnsi="Arial Narrow"/>
                <w:sz w:val="20"/>
                <w:szCs w:val="20"/>
              </w:rPr>
              <w:t>(b) a completed Ankylosing Spondylitis PBS Authority Application - Supporting Information Form which must include the following:</w:t>
            </w:r>
          </w:p>
          <w:p w:rsidR="00520BA4" w:rsidRPr="009D743B" w:rsidRDefault="00520BA4" w:rsidP="00520BA4">
            <w:pPr>
              <w:spacing w:before="0" w:after="0"/>
              <w:ind w:left="312"/>
              <w:rPr>
                <w:rFonts w:ascii="Arial Narrow" w:hAnsi="Arial Narrow"/>
                <w:sz w:val="20"/>
                <w:szCs w:val="20"/>
              </w:rPr>
            </w:pPr>
            <w:r w:rsidRPr="009D743B">
              <w:rPr>
                <w:rFonts w:ascii="Arial Narrow" w:hAnsi="Arial Narrow"/>
                <w:sz w:val="20"/>
                <w:szCs w:val="20"/>
              </w:rPr>
              <w:t>(</w:t>
            </w:r>
            <w:r w:rsidRPr="007B6601">
              <w:rPr>
                <w:rFonts w:ascii="Arial Narrow" w:hAnsi="Arial Narrow"/>
                <w:sz w:val="20"/>
                <w:szCs w:val="20"/>
              </w:rPr>
              <w:t>i) a copy of the radiological report confirming the absence of Grade II bilateral sacroiliitis or Grade III unilateral sacroiliitis</w:t>
            </w:r>
            <w:r w:rsidRPr="009D743B">
              <w:rPr>
                <w:rFonts w:ascii="Arial Narrow" w:hAnsi="Arial Narrow"/>
                <w:sz w:val="20"/>
                <w:szCs w:val="20"/>
              </w:rPr>
              <w:t>; and</w:t>
            </w:r>
          </w:p>
          <w:p w:rsidR="00520BA4" w:rsidRPr="009D743B" w:rsidRDefault="00520BA4" w:rsidP="00520BA4">
            <w:pPr>
              <w:spacing w:before="0" w:after="0"/>
              <w:ind w:left="312"/>
              <w:rPr>
                <w:rFonts w:ascii="Arial Narrow" w:hAnsi="Arial Narrow"/>
                <w:sz w:val="20"/>
                <w:szCs w:val="20"/>
              </w:rPr>
            </w:pPr>
            <w:r w:rsidRPr="009D743B">
              <w:rPr>
                <w:rFonts w:ascii="Arial Narrow" w:hAnsi="Arial Narrow"/>
                <w:sz w:val="20"/>
                <w:szCs w:val="20"/>
              </w:rPr>
              <w:t>(ii) a completed BASDAI Assessment Form; and</w:t>
            </w:r>
          </w:p>
          <w:p w:rsidR="001A7592" w:rsidRDefault="00520BA4" w:rsidP="001A7592">
            <w:pPr>
              <w:spacing w:before="0" w:after="0"/>
              <w:ind w:left="312"/>
              <w:rPr>
                <w:rFonts w:ascii="Arial Narrow" w:hAnsi="Arial Narrow"/>
                <w:sz w:val="20"/>
                <w:szCs w:val="20"/>
              </w:rPr>
            </w:pPr>
            <w:r w:rsidRPr="009D743B">
              <w:rPr>
                <w:rFonts w:ascii="Arial Narrow" w:hAnsi="Arial Narrow"/>
                <w:sz w:val="20"/>
                <w:szCs w:val="20"/>
              </w:rPr>
              <w:t>(iii) a completed Exercise Program Self Certification Form included in the supporting in</w:t>
            </w:r>
            <w:r>
              <w:rPr>
                <w:rFonts w:ascii="Arial Narrow" w:hAnsi="Arial Narrow"/>
                <w:sz w:val="20"/>
                <w:szCs w:val="20"/>
              </w:rPr>
              <w:t>formation form;</w:t>
            </w:r>
            <w:r w:rsidR="001A7592">
              <w:rPr>
                <w:rFonts w:ascii="Arial Narrow" w:hAnsi="Arial Narrow"/>
                <w:sz w:val="20"/>
                <w:szCs w:val="20"/>
              </w:rPr>
              <w:t xml:space="preserve"> and</w:t>
            </w:r>
          </w:p>
          <w:p w:rsidR="00520BA4" w:rsidRPr="009D743B" w:rsidRDefault="001A7592" w:rsidP="00DB7BEB">
            <w:pPr>
              <w:spacing w:before="0" w:after="0"/>
              <w:ind w:left="312"/>
              <w:rPr>
                <w:rFonts w:ascii="Arial Narrow" w:hAnsi="Arial Narrow"/>
                <w:sz w:val="20"/>
                <w:szCs w:val="20"/>
              </w:rPr>
            </w:pPr>
            <w:r>
              <w:rPr>
                <w:rFonts w:ascii="Arial Narrow" w:hAnsi="Arial Narrow"/>
                <w:sz w:val="20"/>
                <w:szCs w:val="20"/>
              </w:rPr>
              <w:t>(iv) a</w:t>
            </w:r>
            <w:r w:rsidR="00A40204">
              <w:rPr>
                <w:rFonts w:ascii="Arial Narrow" w:hAnsi="Arial Narrow"/>
                <w:sz w:val="20"/>
                <w:szCs w:val="20"/>
              </w:rPr>
              <w:t xml:space="preserve"> copy of the MRI report and xray report</w:t>
            </w:r>
          </w:p>
        </w:tc>
      </w:tr>
      <w:tr w:rsidR="000A3877" w:rsidRPr="00BF1666" w:rsidTr="004648EA">
        <w:trPr>
          <w:trHeight w:val="253"/>
        </w:trPr>
        <w:tc>
          <w:tcPr>
            <w:tcW w:w="1945" w:type="dxa"/>
            <w:shd w:val="clear" w:color="auto" w:fill="FFFFFF" w:themeFill="background1"/>
          </w:tcPr>
          <w:p w:rsidR="000A3877" w:rsidRPr="00BF1666" w:rsidRDefault="000A3877" w:rsidP="009D743B">
            <w:pPr>
              <w:spacing w:before="0" w:after="0"/>
              <w:rPr>
                <w:rFonts w:ascii="Arial Narrow" w:hAnsi="Arial Narrow"/>
                <w:b/>
                <w:sz w:val="20"/>
                <w:szCs w:val="20"/>
              </w:rPr>
            </w:pPr>
            <w:r w:rsidRPr="00BF1666">
              <w:rPr>
                <w:rFonts w:ascii="Arial Narrow" w:hAnsi="Arial Narrow"/>
                <w:b/>
                <w:sz w:val="20"/>
                <w:szCs w:val="20"/>
              </w:rPr>
              <w:lastRenderedPageBreak/>
              <w:t>Administrative advice</w:t>
            </w:r>
          </w:p>
        </w:tc>
        <w:tc>
          <w:tcPr>
            <w:tcW w:w="7411" w:type="dxa"/>
            <w:shd w:val="clear" w:color="auto" w:fill="FFFFFF" w:themeFill="background1"/>
          </w:tcPr>
          <w:p w:rsidR="000A3877" w:rsidRPr="00BF1666" w:rsidRDefault="005C1BD1" w:rsidP="0052401B">
            <w:pPr>
              <w:spacing w:before="0" w:after="0"/>
              <w:rPr>
                <w:rFonts w:ascii="Arial Narrow" w:hAnsi="Arial Narrow"/>
                <w:sz w:val="20"/>
                <w:szCs w:val="20"/>
              </w:rPr>
            </w:pPr>
            <w:r w:rsidRPr="00BF1666">
              <w:rPr>
                <w:rFonts w:ascii="Arial Narrow" w:hAnsi="Arial Narrow"/>
                <w:sz w:val="20"/>
                <w:szCs w:val="20"/>
              </w:rPr>
              <w:t xml:space="preserve">Details of the toxicities, including severity, which will be accepted for the purposes of administering this restriction can be found on the Department of Human Services website at </w:t>
            </w:r>
            <w:r w:rsidRPr="0050211C">
              <w:rPr>
                <w:rFonts w:ascii="Arial Narrow" w:hAnsi="Arial Narrow"/>
                <w:sz w:val="20"/>
                <w:szCs w:val="20"/>
              </w:rPr>
              <w:t>www.humanservices.gov.au</w:t>
            </w:r>
            <w:r w:rsidRPr="00BF1666">
              <w:rPr>
                <w:rFonts w:ascii="Arial Narrow" w:hAnsi="Arial Narrow"/>
                <w:sz w:val="20"/>
                <w:szCs w:val="20"/>
              </w:rPr>
              <w:t>.</w:t>
            </w:r>
          </w:p>
          <w:p w:rsidR="005C1BD1" w:rsidRPr="00BF1666" w:rsidRDefault="005C1BD1" w:rsidP="0052401B">
            <w:pPr>
              <w:spacing w:before="0" w:after="0"/>
              <w:rPr>
                <w:rFonts w:ascii="Arial Narrow" w:hAnsi="Arial Narrow"/>
                <w:sz w:val="20"/>
                <w:szCs w:val="20"/>
              </w:rPr>
            </w:pPr>
          </w:p>
          <w:p w:rsidR="005C1BD1" w:rsidRPr="00BF1666" w:rsidRDefault="005C1BD1" w:rsidP="0052401B">
            <w:pPr>
              <w:spacing w:before="0" w:after="0"/>
              <w:rPr>
                <w:rFonts w:ascii="Arial Narrow" w:hAnsi="Arial Narrow"/>
                <w:sz w:val="20"/>
                <w:szCs w:val="20"/>
              </w:rPr>
            </w:pPr>
            <w:r w:rsidRPr="00BF1666">
              <w:rPr>
                <w:rFonts w:ascii="Arial Narrow" w:hAnsi="Arial Narrow"/>
                <w:sz w:val="20"/>
                <w:szCs w:val="20"/>
              </w:rPr>
              <w:t xml:space="preserve">For details on the appropriate minimum exercise program that will be accepted for the purposes of administering this restriction, please refer to the Department of Human Services website at </w:t>
            </w:r>
            <w:r w:rsidRPr="0050211C">
              <w:rPr>
                <w:rFonts w:ascii="Arial Narrow" w:hAnsi="Arial Narrow"/>
                <w:sz w:val="20"/>
                <w:szCs w:val="20"/>
              </w:rPr>
              <w:t>www.humanservices.gov.au</w:t>
            </w:r>
            <w:r w:rsidRPr="00BF1666">
              <w:rPr>
                <w:rFonts w:ascii="Arial Narrow" w:hAnsi="Arial Narrow"/>
                <w:sz w:val="20"/>
                <w:szCs w:val="20"/>
              </w:rPr>
              <w:t>.</w:t>
            </w:r>
          </w:p>
          <w:p w:rsidR="005029BB" w:rsidRPr="00BF1666" w:rsidRDefault="005029BB" w:rsidP="0052401B">
            <w:pPr>
              <w:spacing w:before="0" w:after="0"/>
              <w:rPr>
                <w:rFonts w:ascii="Arial Narrow" w:hAnsi="Arial Narrow"/>
                <w:sz w:val="20"/>
                <w:szCs w:val="20"/>
              </w:rPr>
            </w:pPr>
          </w:p>
          <w:p w:rsidR="005029BB" w:rsidRPr="00BF1666" w:rsidRDefault="005029BB" w:rsidP="005029BB">
            <w:pPr>
              <w:spacing w:before="0" w:after="0"/>
              <w:rPr>
                <w:rFonts w:ascii="Arial Narrow" w:hAnsi="Arial Narrow"/>
                <w:sz w:val="20"/>
                <w:szCs w:val="20"/>
              </w:rPr>
            </w:pPr>
            <w:r w:rsidRPr="00BF1666">
              <w:rPr>
                <w:rFonts w:ascii="Arial Narrow" w:hAnsi="Arial Narrow"/>
                <w:sz w:val="20"/>
                <w:szCs w:val="20"/>
              </w:rPr>
              <w:t>No increase in the maximum quantity or number of units may be authorised.</w:t>
            </w:r>
          </w:p>
          <w:p w:rsidR="005029BB" w:rsidRPr="00BF1666" w:rsidRDefault="005029BB" w:rsidP="005029BB">
            <w:pPr>
              <w:spacing w:before="0" w:after="0"/>
              <w:rPr>
                <w:rFonts w:ascii="Arial Narrow" w:hAnsi="Arial Narrow"/>
                <w:sz w:val="20"/>
                <w:szCs w:val="20"/>
              </w:rPr>
            </w:pPr>
          </w:p>
          <w:p w:rsidR="005C1BD1" w:rsidRPr="00BF1666" w:rsidDel="00520BA4" w:rsidRDefault="005029BB" w:rsidP="0052401B">
            <w:pPr>
              <w:spacing w:before="0" w:after="0"/>
              <w:rPr>
                <w:rFonts w:ascii="Arial Narrow" w:hAnsi="Arial Narrow"/>
                <w:sz w:val="20"/>
                <w:szCs w:val="20"/>
              </w:rPr>
            </w:pPr>
            <w:r w:rsidRPr="00BF1666">
              <w:rPr>
                <w:rFonts w:ascii="Arial Narrow" w:hAnsi="Arial Narrow"/>
                <w:sz w:val="20"/>
                <w:szCs w:val="20"/>
              </w:rPr>
              <w:t>No increase in the maximum numbe</w:t>
            </w:r>
            <w:r w:rsidR="00DB7BEB">
              <w:rPr>
                <w:rFonts w:ascii="Arial Narrow" w:hAnsi="Arial Narrow"/>
                <w:sz w:val="20"/>
                <w:szCs w:val="20"/>
              </w:rPr>
              <w:t>r of repeats may be authorised.</w:t>
            </w:r>
          </w:p>
        </w:tc>
      </w:tr>
    </w:tbl>
    <w:p w:rsidR="002363F7" w:rsidRPr="002363F7" w:rsidRDefault="002363F7">
      <w:pPr>
        <w:rPr>
          <w:b/>
        </w:rPr>
      </w:pPr>
      <w:r>
        <w:rPr>
          <w:b/>
        </w:rPr>
        <w:t>Initial 2 – recommencement of treatment</w:t>
      </w:r>
      <w:r w:rsidR="004A2491">
        <w:rPr>
          <w:b/>
        </w:rPr>
        <w:t xml:space="preserve"> – to be drafted</w:t>
      </w:r>
      <w:r>
        <w:rPr>
          <w:b/>
        </w:rPr>
        <w:t xml:space="preserve">.  This </w:t>
      </w:r>
      <w:r w:rsidRPr="002363F7">
        <w:rPr>
          <w:b/>
        </w:rPr>
        <w:t>restriction will only be included in the listing if a patient can trial and fail golimumab for this indication more than once.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411"/>
      </w:tblGrid>
      <w:tr w:rsidR="00747947" w:rsidRPr="009D743B" w:rsidTr="00507A55">
        <w:trPr>
          <w:trHeight w:val="253"/>
        </w:trPr>
        <w:tc>
          <w:tcPr>
            <w:tcW w:w="1945" w:type="dxa"/>
            <w:shd w:val="clear" w:color="auto" w:fill="D9D9D9"/>
          </w:tcPr>
          <w:p w:rsidR="00747947" w:rsidRPr="009D743B" w:rsidRDefault="00747947" w:rsidP="009D743B">
            <w:pPr>
              <w:spacing w:before="0" w:after="0"/>
              <w:rPr>
                <w:rFonts w:ascii="Arial Narrow" w:hAnsi="Arial Narrow"/>
                <w:b/>
                <w:sz w:val="20"/>
                <w:szCs w:val="20"/>
              </w:rPr>
            </w:pPr>
            <w:r w:rsidRPr="009D743B">
              <w:rPr>
                <w:rFonts w:ascii="Arial Narrow" w:hAnsi="Arial Narrow"/>
                <w:b/>
                <w:sz w:val="20"/>
                <w:szCs w:val="20"/>
              </w:rPr>
              <w:t>Category / Program</w:t>
            </w:r>
          </w:p>
        </w:tc>
        <w:tc>
          <w:tcPr>
            <w:tcW w:w="7411" w:type="dxa"/>
            <w:shd w:val="clear" w:color="auto" w:fill="D9D9D9"/>
          </w:tcPr>
          <w:p w:rsidR="00747947" w:rsidRPr="009D743B" w:rsidRDefault="00747947" w:rsidP="005151D2">
            <w:pPr>
              <w:spacing w:before="0" w:after="0"/>
              <w:rPr>
                <w:rFonts w:ascii="Arial Narrow" w:hAnsi="Arial Narrow"/>
                <w:sz w:val="20"/>
                <w:szCs w:val="20"/>
              </w:rPr>
            </w:pPr>
            <w:r w:rsidRPr="009D743B">
              <w:rPr>
                <w:rFonts w:ascii="Arial Narrow" w:hAnsi="Arial Narrow"/>
                <w:sz w:val="20"/>
                <w:szCs w:val="20"/>
              </w:rPr>
              <w:t>General Schedule (Code GE)</w:t>
            </w:r>
          </w:p>
        </w:tc>
      </w:tr>
      <w:tr w:rsidR="00747947" w:rsidRPr="009D743B" w:rsidTr="00507A55">
        <w:trPr>
          <w:trHeight w:val="253"/>
        </w:trPr>
        <w:tc>
          <w:tcPr>
            <w:tcW w:w="1945" w:type="dxa"/>
            <w:shd w:val="clear" w:color="auto" w:fill="D9D9D9"/>
          </w:tcPr>
          <w:p w:rsidR="00747947" w:rsidRPr="009D743B" w:rsidRDefault="00747947" w:rsidP="009D743B">
            <w:pPr>
              <w:spacing w:before="0" w:after="0"/>
              <w:rPr>
                <w:rFonts w:ascii="Arial Narrow" w:hAnsi="Arial Narrow"/>
                <w:b/>
                <w:sz w:val="20"/>
                <w:szCs w:val="20"/>
              </w:rPr>
            </w:pPr>
            <w:r w:rsidRPr="009D743B">
              <w:rPr>
                <w:rFonts w:ascii="Arial Narrow" w:hAnsi="Arial Narrow"/>
                <w:b/>
                <w:sz w:val="20"/>
                <w:szCs w:val="20"/>
              </w:rPr>
              <w:t>Prescriber type:</w:t>
            </w:r>
          </w:p>
        </w:tc>
        <w:tc>
          <w:tcPr>
            <w:tcW w:w="7411" w:type="dxa"/>
            <w:shd w:val="clear" w:color="auto" w:fill="D9D9D9"/>
          </w:tcPr>
          <w:p w:rsidR="00747947" w:rsidRPr="009D743B" w:rsidRDefault="00747947" w:rsidP="00EE2E09">
            <w:pPr>
              <w:spacing w:before="0" w:after="0"/>
              <w:rPr>
                <w:rFonts w:ascii="Arial Narrow" w:hAnsi="Arial Narrow"/>
                <w:sz w:val="20"/>
                <w:szCs w:val="20"/>
              </w:rPr>
            </w:pPr>
            <w:r w:rsidRPr="009D743B">
              <w:rPr>
                <w:rFonts w:ascii="Arial Narrow" w:hAnsi="Arial Narrow"/>
                <w:sz w:val="20"/>
                <w:szCs w:val="20"/>
              </w:rPr>
              <w:fldChar w:fldCharType="begin">
                <w:ffData>
                  <w:name w:val="Check1"/>
                  <w:enabled/>
                  <w:calcOnExit w:val="0"/>
                  <w:checkBox>
                    <w:sizeAuto/>
                    <w:default w:val="0"/>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 xml:space="preserve">Dental  </w:t>
            </w:r>
            <w:r w:rsidRPr="009D743B">
              <w:rPr>
                <w:rFonts w:ascii="Arial Narrow" w:hAnsi="Arial Narrow"/>
                <w:sz w:val="20"/>
                <w:szCs w:val="20"/>
              </w:rPr>
              <w:fldChar w:fldCharType="begin">
                <w:ffData>
                  <w:name w:val=""/>
                  <w:enabled/>
                  <w:calcOnExit w:val="0"/>
                  <w:checkBox>
                    <w:sizeAuto/>
                    <w:default w:val="1"/>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 xml:space="preserve">Medical Practitioners  </w:t>
            </w:r>
            <w:r w:rsidRPr="009D743B">
              <w:rPr>
                <w:rFonts w:ascii="Arial Narrow" w:hAnsi="Arial Narrow"/>
                <w:sz w:val="20"/>
                <w:szCs w:val="20"/>
              </w:rPr>
              <w:fldChar w:fldCharType="begin">
                <w:ffData>
                  <w:name w:val="Check3"/>
                  <w:enabled/>
                  <w:calcOnExit w:val="0"/>
                  <w:checkBox>
                    <w:sizeAuto/>
                    <w:default w:val="0"/>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 xml:space="preserve">Nurse practitioners  </w:t>
            </w:r>
            <w:r w:rsidRPr="009D743B">
              <w:rPr>
                <w:rFonts w:ascii="Arial Narrow" w:hAnsi="Arial Narrow"/>
                <w:sz w:val="20"/>
                <w:szCs w:val="20"/>
              </w:rPr>
              <w:fldChar w:fldCharType="begin">
                <w:ffData>
                  <w:name w:val=""/>
                  <w:enabled/>
                  <w:calcOnExit w:val="0"/>
                  <w:checkBox>
                    <w:sizeAuto/>
                    <w:default w:val="0"/>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Optometrists</w:t>
            </w:r>
          </w:p>
          <w:p w:rsidR="00747947" w:rsidRPr="009D743B" w:rsidRDefault="00747947" w:rsidP="005151D2">
            <w:pPr>
              <w:spacing w:before="0" w:after="0"/>
              <w:rPr>
                <w:rFonts w:ascii="Arial Narrow" w:hAnsi="Arial Narrow"/>
                <w:sz w:val="20"/>
                <w:szCs w:val="20"/>
              </w:rPr>
            </w:pPr>
            <w:r w:rsidRPr="009D743B">
              <w:rPr>
                <w:rFonts w:ascii="Arial Narrow" w:hAnsi="Arial Narrow"/>
                <w:sz w:val="20"/>
                <w:szCs w:val="20"/>
              </w:rPr>
              <w:fldChar w:fldCharType="begin">
                <w:ffData>
                  <w:name w:val="Check5"/>
                  <w:enabled/>
                  <w:calcOnExit w:val="0"/>
                  <w:checkBox>
                    <w:sizeAuto/>
                    <w:default w:val="0"/>
                  </w:checkBox>
                </w:ffData>
              </w:fldChar>
            </w:r>
            <w:r w:rsidRPr="009D743B">
              <w:rPr>
                <w:rFonts w:ascii="Arial Narrow" w:hAnsi="Arial Narrow"/>
                <w:sz w:val="20"/>
                <w:szCs w:val="20"/>
              </w:rPr>
              <w:instrText xml:space="preserve"> FORMCHECKBOX </w:instrText>
            </w:r>
            <w:r w:rsidR="00916C9F">
              <w:rPr>
                <w:rFonts w:ascii="Arial Narrow" w:hAnsi="Arial Narrow"/>
                <w:sz w:val="20"/>
                <w:szCs w:val="20"/>
              </w:rPr>
            </w:r>
            <w:r w:rsidR="00916C9F">
              <w:rPr>
                <w:rFonts w:ascii="Arial Narrow" w:hAnsi="Arial Narrow"/>
                <w:sz w:val="20"/>
                <w:szCs w:val="20"/>
              </w:rPr>
              <w:fldChar w:fldCharType="separate"/>
            </w:r>
            <w:r w:rsidRPr="009D743B">
              <w:rPr>
                <w:rFonts w:ascii="Arial Narrow" w:hAnsi="Arial Narrow"/>
                <w:sz w:val="20"/>
                <w:szCs w:val="20"/>
              </w:rPr>
              <w:fldChar w:fldCharType="end"/>
            </w:r>
            <w:r w:rsidRPr="009D743B">
              <w:rPr>
                <w:rFonts w:ascii="Arial Narrow" w:hAnsi="Arial Narrow"/>
                <w:sz w:val="20"/>
                <w:szCs w:val="20"/>
              </w:rPr>
              <w:t>Midwives</w:t>
            </w:r>
          </w:p>
        </w:tc>
      </w:tr>
      <w:tr w:rsidR="00747947" w:rsidRPr="00146588" w:rsidTr="00507A55">
        <w:trPr>
          <w:trHeight w:val="253"/>
        </w:trPr>
        <w:tc>
          <w:tcPr>
            <w:tcW w:w="1945" w:type="dxa"/>
            <w:shd w:val="clear" w:color="auto" w:fill="D9D9D9"/>
          </w:tcPr>
          <w:p w:rsidR="00747947" w:rsidRPr="00146588" w:rsidRDefault="00747947" w:rsidP="009D743B">
            <w:pPr>
              <w:spacing w:before="0" w:after="0"/>
              <w:rPr>
                <w:rFonts w:ascii="Arial Narrow" w:hAnsi="Arial Narrow"/>
                <w:b/>
                <w:sz w:val="20"/>
                <w:szCs w:val="20"/>
              </w:rPr>
            </w:pPr>
            <w:r w:rsidRPr="00146588">
              <w:rPr>
                <w:rFonts w:ascii="Arial Narrow" w:hAnsi="Arial Narrow"/>
                <w:b/>
                <w:sz w:val="20"/>
                <w:szCs w:val="20"/>
              </w:rPr>
              <w:t>Condition:</w:t>
            </w:r>
          </w:p>
        </w:tc>
        <w:tc>
          <w:tcPr>
            <w:tcW w:w="7411" w:type="dxa"/>
            <w:shd w:val="clear" w:color="auto" w:fill="D9D9D9"/>
          </w:tcPr>
          <w:p w:rsidR="00747947" w:rsidRPr="00146588" w:rsidRDefault="00747947" w:rsidP="005151D2">
            <w:pPr>
              <w:spacing w:before="0" w:after="0"/>
              <w:rPr>
                <w:rFonts w:ascii="Arial Narrow" w:hAnsi="Arial Narrow"/>
                <w:sz w:val="20"/>
                <w:szCs w:val="20"/>
              </w:rPr>
            </w:pPr>
            <w:r w:rsidRPr="00146588">
              <w:rPr>
                <w:rFonts w:ascii="Arial Narrow" w:hAnsi="Arial Narrow"/>
                <w:sz w:val="20"/>
                <w:szCs w:val="20"/>
              </w:rPr>
              <w:t>Active non-radiographic axial spondyloarthritis</w:t>
            </w:r>
          </w:p>
        </w:tc>
      </w:tr>
      <w:tr w:rsidR="00747947" w:rsidRPr="00146588" w:rsidTr="00507A55">
        <w:trPr>
          <w:trHeight w:val="253"/>
        </w:trPr>
        <w:tc>
          <w:tcPr>
            <w:tcW w:w="1945" w:type="dxa"/>
            <w:shd w:val="clear" w:color="auto" w:fill="D9D9D9"/>
          </w:tcPr>
          <w:p w:rsidR="00747947" w:rsidRPr="00146588" w:rsidRDefault="00747947" w:rsidP="009D743B">
            <w:pPr>
              <w:spacing w:before="0" w:after="0"/>
              <w:rPr>
                <w:rFonts w:ascii="Arial Narrow" w:hAnsi="Arial Narrow"/>
                <w:b/>
                <w:sz w:val="20"/>
                <w:szCs w:val="20"/>
              </w:rPr>
            </w:pPr>
            <w:r w:rsidRPr="00146588">
              <w:rPr>
                <w:rFonts w:ascii="Arial Narrow" w:hAnsi="Arial Narrow"/>
                <w:b/>
                <w:sz w:val="20"/>
                <w:szCs w:val="20"/>
              </w:rPr>
              <w:t>PBS Indication:</w:t>
            </w:r>
          </w:p>
        </w:tc>
        <w:tc>
          <w:tcPr>
            <w:tcW w:w="7411" w:type="dxa"/>
            <w:shd w:val="clear" w:color="auto" w:fill="D9D9D9"/>
          </w:tcPr>
          <w:p w:rsidR="00747947" w:rsidRPr="00146588" w:rsidRDefault="00747947" w:rsidP="005151D2">
            <w:pPr>
              <w:spacing w:before="0" w:after="0"/>
              <w:rPr>
                <w:rFonts w:ascii="Arial Narrow" w:hAnsi="Arial Narrow"/>
                <w:sz w:val="20"/>
                <w:szCs w:val="20"/>
              </w:rPr>
            </w:pPr>
            <w:r w:rsidRPr="00146588">
              <w:rPr>
                <w:rFonts w:ascii="Arial Narrow" w:hAnsi="Arial Narrow"/>
                <w:sz w:val="20"/>
                <w:szCs w:val="20"/>
              </w:rPr>
              <w:t>Active non-radiographic axial spondyloarthritis</w:t>
            </w:r>
          </w:p>
        </w:tc>
      </w:tr>
      <w:tr w:rsidR="00747947" w:rsidRPr="00146588" w:rsidTr="00146588">
        <w:trPr>
          <w:trHeight w:val="253"/>
        </w:trPr>
        <w:tc>
          <w:tcPr>
            <w:tcW w:w="1945" w:type="dxa"/>
            <w:shd w:val="clear" w:color="auto" w:fill="D9D9D9"/>
          </w:tcPr>
          <w:p w:rsidR="00747947" w:rsidRPr="00146588" w:rsidRDefault="00747947" w:rsidP="009D743B">
            <w:pPr>
              <w:spacing w:before="0" w:after="0"/>
              <w:rPr>
                <w:rFonts w:ascii="Arial Narrow" w:hAnsi="Arial Narrow"/>
                <w:b/>
                <w:sz w:val="20"/>
                <w:szCs w:val="20"/>
              </w:rPr>
            </w:pPr>
            <w:r w:rsidRPr="00146588">
              <w:rPr>
                <w:rFonts w:ascii="Arial Narrow" w:hAnsi="Arial Narrow"/>
                <w:b/>
                <w:sz w:val="20"/>
                <w:szCs w:val="20"/>
              </w:rPr>
              <w:t>Treatment phase:</w:t>
            </w:r>
          </w:p>
        </w:tc>
        <w:tc>
          <w:tcPr>
            <w:tcW w:w="7411" w:type="dxa"/>
            <w:shd w:val="clear" w:color="auto" w:fill="D9D9D9"/>
          </w:tcPr>
          <w:p w:rsidR="00747947" w:rsidRPr="00F55186" w:rsidRDefault="00747947" w:rsidP="00146588">
            <w:pPr>
              <w:spacing w:before="0" w:after="0"/>
              <w:rPr>
                <w:rFonts w:ascii="Arial Narrow" w:hAnsi="Arial Narrow"/>
                <w:b/>
                <w:sz w:val="20"/>
                <w:szCs w:val="20"/>
              </w:rPr>
            </w:pPr>
            <w:r w:rsidRPr="00146588">
              <w:rPr>
                <w:rFonts w:ascii="Arial Narrow" w:hAnsi="Arial Narrow"/>
                <w:sz w:val="20"/>
                <w:szCs w:val="20"/>
              </w:rPr>
              <w:t xml:space="preserve">Initial treatment – initial 2 (re-commencement </w:t>
            </w:r>
            <w:r w:rsidR="00A632E8" w:rsidRPr="00146588">
              <w:rPr>
                <w:rFonts w:ascii="Arial Narrow" w:hAnsi="Arial Narrow"/>
                <w:sz w:val="20"/>
                <w:szCs w:val="20"/>
              </w:rPr>
              <w:t>of treatment</w:t>
            </w:r>
            <w:r w:rsidRPr="00146588">
              <w:rPr>
                <w:rFonts w:ascii="Arial Narrow" w:hAnsi="Arial Narrow"/>
                <w:sz w:val="20"/>
                <w:szCs w:val="20"/>
              </w:rPr>
              <w:t xml:space="preserve">) </w:t>
            </w:r>
            <w:r w:rsidR="00F55186">
              <w:rPr>
                <w:rFonts w:ascii="Arial Narrow" w:hAnsi="Arial Narrow"/>
                <w:sz w:val="20"/>
                <w:szCs w:val="20"/>
              </w:rPr>
              <w:t xml:space="preserve"> </w:t>
            </w:r>
            <w:r w:rsidR="00F55186">
              <w:rPr>
                <w:rFonts w:ascii="Arial Narrow" w:hAnsi="Arial Narrow"/>
                <w:b/>
                <w:sz w:val="20"/>
                <w:szCs w:val="20"/>
              </w:rPr>
              <w:t>This restriction will only be included in the listing if a patient can trial and fail golimumab for this indication more than on</w:t>
            </w:r>
            <w:r w:rsidR="002363F7">
              <w:rPr>
                <w:rFonts w:ascii="Arial Narrow" w:hAnsi="Arial Narrow"/>
                <w:b/>
                <w:sz w:val="20"/>
                <w:szCs w:val="20"/>
              </w:rPr>
              <w:t>ce.</w:t>
            </w:r>
          </w:p>
        </w:tc>
      </w:tr>
      <w:tr w:rsidR="00235FB7" w:rsidRPr="00146588" w:rsidTr="00507A55">
        <w:trPr>
          <w:trHeight w:val="253"/>
        </w:trPr>
        <w:tc>
          <w:tcPr>
            <w:tcW w:w="1945" w:type="dxa"/>
            <w:shd w:val="clear" w:color="auto" w:fill="D9D9D9"/>
          </w:tcPr>
          <w:p w:rsidR="00235FB7" w:rsidRPr="005E082A" w:rsidRDefault="005E082A" w:rsidP="005E082A">
            <w:pPr>
              <w:spacing w:before="40" w:after="40"/>
              <w:rPr>
                <w:rFonts w:ascii="Arial Narrow" w:hAnsi="Arial Narrow" w:cs="Arial"/>
                <w:b/>
                <w:sz w:val="20"/>
                <w:szCs w:val="20"/>
              </w:rPr>
            </w:pPr>
            <w:r>
              <w:rPr>
                <w:rFonts w:ascii="Arial Narrow" w:hAnsi="Arial Narrow" w:cs="Arial"/>
                <w:b/>
                <w:sz w:val="20"/>
                <w:szCs w:val="20"/>
              </w:rPr>
              <w:t>Restriction Level / Method:</w:t>
            </w:r>
          </w:p>
        </w:tc>
        <w:tc>
          <w:tcPr>
            <w:tcW w:w="7411" w:type="dxa"/>
            <w:shd w:val="clear" w:color="auto" w:fill="D9D9D9"/>
          </w:tcPr>
          <w:p w:rsidR="00235FB7" w:rsidRPr="00146588" w:rsidRDefault="00235FB7" w:rsidP="00EE2E09">
            <w:pPr>
              <w:spacing w:before="40" w:after="40"/>
              <w:rPr>
                <w:rFonts w:ascii="Arial Narrow" w:hAnsi="Arial Narrow" w:cs="Arial"/>
                <w:sz w:val="20"/>
                <w:szCs w:val="20"/>
              </w:rPr>
            </w:pPr>
            <w:r w:rsidRPr="00146588">
              <w:rPr>
                <w:rFonts w:ascii="Arial Narrow" w:hAnsi="Arial Narrow" w:cs="Arial"/>
                <w:sz w:val="20"/>
                <w:szCs w:val="20"/>
              </w:rPr>
              <w:fldChar w:fldCharType="begin">
                <w:ffData>
                  <w:name w:val=""/>
                  <w:enabled/>
                  <w:calcOnExit w:val="0"/>
                  <w:checkBox>
                    <w:sizeAuto/>
                    <w:default w:val="1"/>
                  </w:checkBox>
                </w:ffData>
              </w:fldChar>
            </w:r>
            <w:r w:rsidRPr="00146588">
              <w:rPr>
                <w:rFonts w:ascii="Arial Narrow" w:hAnsi="Arial Narrow" w:cs="Arial"/>
                <w:sz w:val="20"/>
                <w:szCs w:val="20"/>
              </w:rPr>
              <w:instrText xml:space="preserve"> FORMCHECKBOX </w:instrText>
            </w:r>
            <w:r w:rsidR="00916C9F">
              <w:rPr>
                <w:rFonts w:ascii="Arial Narrow" w:hAnsi="Arial Narrow" w:cs="Arial"/>
                <w:sz w:val="20"/>
                <w:szCs w:val="20"/>
              </w:rPr>
            </w:r>
            <w:r w:rsidR="00916C9F">
              <w:rPr>
                <w:rFonts w:ascii="Arial Narrow" w:hAnsi="Arial Narrow" w:cs="Arial"/>
                <w:sz w:val="20"/>
                <w:szCs w:val="20"/>
              </w:rPr>
              <w:fldChar w:fldCharType="separate"/>
            </w:r>
            <w:r w:rsidRPr="00146588">
              <w:rPr>
                <w:rFonts w:ascii="Arial Narrow" w:hAnsi="Arial Narrow" w:cs="Arial"/>
                <w:sz w:val="20"/>
                <w:szCs w:val="20"/>
              </w:rPr>
              <w:fldChar w:fldCharType="end"/>
            </w:r>
            <w:r w:rsidRPr="00146588">
              <w:rPr>
                <w:rFonts w:ascii="Arial Narrow" w:hAnsi="Arial Narrow" w:cs="Arial"/>
                <w:sz w:val="20"/>
                <w:szCs w:val="20"/>
              </w:rPr>
              <w:t>Authority Required - In Writing</w:t>
            </w:r>
          </w:p>
          <w:p w:rsidR="00235FB7" w:rsidRPr="00146588" w:rsidRDefault="00235FB7" w:rsidP="005151D2">
            <w:pPr>
              <w:spacing w:before="0" w:after="0"/>
              <w:rPr>
                <w:rFonts w:ascii="Arial Narrow" w:hAnsi="Arial Narrow"/>
                <w:sz w:val="20"/>
                <w:szCs w:val="20"/>
              </w:rPr>
            </w:pPr>
          </w:p>
        </w:tc>
      </w:tr>
      <w:tr w:rsidR="00235FB7" w:rsidRPr="00146588" w:rsidTr="00146588">
        <w:tc>
          <w:tcPr>
            <w:tcW w:w="1945" w:type="dxa"/>
            <w:shd w:val="clear" w:color="auto" w:fill="auto"/>
          </w:tcPr>
          <w:p w:rsidR="00235FB7" w:rsidRPr="00146588" w:rsidRDefault="00235FB7" w:rsidP="009D743B">
            <w:pPr>
              <w:spacing w:before="0" w:after="0"/>
              <w:rPr>
                <w:rFonts w:ascii="Arial Narrow" w:hAnsi="Arial Narrow"/>
                <w:b/>
                <w:sz w:val="20"/>
                <w:szCs w:val="20"/>
              </w:rPr>
            </w:pPr>
            <w:r w:rsidRPr="00146588">
              <w:rPr>
                <w:rFonts w:ascii="Arial Narrow" w:hAnsi="Arial Narrow"/>
                <w:b/>
                <w:sz w:val="20"/>
                <w:szCs w:val="20"/>
              </w:rPr>
              <w:t>Clinical criteria:</w:t>
            </w:r>
          </w:p>
          <w:p w:rsidR="00235FB7" w:rsidRPr="00146588" w:rsidRDefault="00235FB7" w:rsidP="009D743B">
            <w:pPr>
              <w:spacing w:before="0" w:after="0"/>
              <w:rPr>
                <w:rFonts w:ascii="Arial Narrow" w:hAnsi="Arial Narrow"/>
                <w:b/>
                <w:sz w:val="20"/>
                <w:szCs w:val="20"/>
              </w:rPr>
            </w:pPr>
          </w:p>
        </w:tc>
        <w:tc>
          <w:tcPr>
            <w:tcW w:w="7411" w:type="dxa"/>
            <w:shd w:val="clear" w:color="auto" w:fill="auto"/>
          </w:tcPr>
          <w:p w:rsidR="007B456C" w:rsidRPr="00146588" w:rsidRDefault="007B456C" w:rsidP="009D743B">
            <w:pPr>
              <w:spacing w:before="0" w:after="0"/>
              <w:rPr>
                <w:rFonts w:ascii="Arial Narrow" w:hAnsi="Arial Narrow"/>
                <w:sz w:val="20"/>
                <w:szCs w:val="20"/>
              </w:rPr>
            </w:pPr>
            <w:r w:rsidRPr="00146588">
              <w:rPr>
                <w:rFonts w:ascii="Arial Narrow" w:hAnsi="Arial Narrow"/>
                <w:sz w:val="20"/>
                <w:szCs w:val="20"/>
              </w:rPr>
              <w:t>Patient must have received prior PBS-subsidised treatment with a biological medicine for this condition;</w:t>
            </w:r>
          </w:p>
          <w:p w:rsidR="007B456C" w:rsidRPr="00146588" w:rsidRDefault="007B456C" w:rsidP="009D743B">
            <w:pPr>
              <w:spacing w:before="0" w:after="0"/>
              <w:rPr>
                <w:rFonts w:ascii="Arial Narrow" w:hAnsi="Arial Narrow"/>
                <w:sz w:val="20"/>
                <w:szCs w:val="20"/>
              </w:rPr>
            </w:pPr>
          </w:p>
          <w:p w:rsidR="007B456C" w:rsidRPr="00146588" w:rsidRDefault="007B456C" w:rsidP="009D743B">
            <w:pPr>
              <w:spacing w:before="0" w:after="0"/>
              <w:rPr>
                <w:rFonts w:ascii="Arial Narrow" w:hAnsi="Arial Narrow"/>
                <w:sz w:val="20"/>
                <w:szCs w:val="20"/>
              </w:rPr>
            </w:pPr>
            <w:r w:rsidRPr="00146588">
              <w:rPr>
                <w:rFonts w:ascii="Arial Narrow" w:hAnsi="Arial Narrow"/>
                <w:sz w:val="20"/>
                <w:szCs w:val="20"/>
              </w:rPr>
              <w:t>AND</w:t>
            </w:r>
          </w:p>
          <w:p w:rsidR="007B456C" w:rsidRPr="00146588" w:rsidRDefault="007B456C" w:rsidP="009D743B">
            <w:pPr>
              <w:spacing w:before="0" w:after="0"/>
              <w:rPr>
                <w:rFonts w:ascii="Arial Narrow" w:hAnsi="Arial Narrow"/>
                <w:sz w:val="20"/>
                <w:szCs w:val="20"/>
              </w:rPr>
            </w:pPr>
          </w:p>
          <w:p w:rsidR="00235FB7" w:rsidRPr="00146588" w:rsidRDefault="00D77A42" w:rsidP="00146588">
            <w:pPr>
              <w:spacing w:before="0" w:after="0"/>
              <w:rPr>
                <w:rFonts w:ascii="Arial Narrow" w:hAnsi="Arial Narrow"/>
                <w:sz w:val="20"/>
                <w:szCs w:val="20"/>
              </w:rPr>
            </w:pPr>
            <w:r w:rsidRPr="00146588">
              <w:rPr>
                <w:rFonts w:ascii="Arial Narrow" w:hAnsi="Arial Narrow"/>
                <w:sz w:val="20"/>
                <w:szCs w:val="20"/>
              </w:rPr>
              <w:t>Patient must not ha</w:t>
            </w:r>
            <w:r w:rsidR="006E3930" w:rsidRPr="00146588">
              <w:rPr>
                <w:rFonts w:ascii="Arial Narrow" w:hAnsi="Arial Narrow"/>
                <w:sz w:val="20"/>
                <w:szCs w:val="20"/>
              </w:rPr>
              <w:t>ve failed PBS-subsidised treatment</w:t>
            </w:r>
            <w:r w:rsidRPr="00146588">
              <w:rPr>
                <w:rFonts w:ascii="Arial Narrow" w:hAnsi="Arial Narrow"/>
                <w:sz w:val="20"/>
                <w:szCs w:val="20"/>
              </w:rPr>
              <w:t xml:space="preserve"> with this drug for this condition more than once.</w:t>
            </w:r>
          </w:p>
        </w:tc>
      </w:tr>
      <w:tr w:rsidR="00235FB7" w:rsidRPr="00146588" w:rsidTr="00146588">
        <w:trPr>
          <w:trHeight w:val="253"/>
        </w:trPr>
        <w:tc>
          <w:tcPr>
            <w:tcW w:w="1945" w:type="dxa"/>
            <w:shd w:val="clear" w:color="auto" w:fill="auto"/>
          </w:tcPr>
          <w:p w:rsidR="00235FB7" w:rsidRPr="00146588" w:rsidRDefault="00235FB7" w:rsidP="009D743B">
            <w:pPr>
              <w:spacing w:before="0" w:after="0"/>
              <w:rPr>
                <w:rFonts w:ascii="Arial Narrow" w:hAnsi="Arial Narrow"/>
                <w:b/>
                <w:sz w:val="20"/>
                <w:szCs w:val="20"/>
              </w:rPr>
            </w:pPr>
            <w:r w:rsidRPr="00146588">
              <w:rPr>
                <w:rFonts w:ascii="Arial Narrow" w:hAnsi="Arial Narrow"/>
                <w:b/>
                <w:sz w:val="20"/>
                <w:szCs w:val="20"/>
              </w:rPr>
              <w:lastRenderedPageBreak/>
              <w:t>Population criteria</w:t>
            </w:r>
          </w:p>
        </w:tc>
        <w:tc>
          <w:tcPr>
            <w:tcW w:w="7411" w:type="dxa"/>
            <w:shd w:val="clear" w:color="auto" w:fill="auto"/>
          </w:tcPr>
          <w:p w:rsidR="00235FB7" w:rsidRPr="00146588" w:rsidRDefault="00235FB7" w:rsidP="00146588">
            <w:pPr>
              <w:spacing w:before="0" w:after="0"/>
              <w:rPr>
                <w:rFonts w:ascii="Arial Narrow" w:hAnsi="Arial Narrow"/>
                <w:color w:val="222222"/>
                <w:sz w:val="20"/>
                <w:szCs w:val="20"/>
                <w:shd w:val="clear" w:color="auto" w:fill="FFFFFF"/>
              </w:rPr>
            </w:pPr>
            <w:r w:rsidRPr="00146588">
              <w:rPr>
                <w:rFonts w:ascii="Arial Narrow" w:hAnsi="Arial Narrow"/>
                <w:color w:val="222222"/>
                <w:sz w:val="20"/>
                <w:szCs w:val="20"/>
                <w:shd w:val="clear" w:color="auto" w:fill="FFFFFF"/>
              </w:rPr>
              <w:t xml:space="preserve">Patient must be </w:t>
            </w:r>
            <w:r w:rsidR="00E84AFF" w:rsidRPr="00146588">
              <w:rPr>
                <w:rFonts w:ascii="Arial Narrow" w:hAnsi="Arial Narrow"/>
                <w:color w:val="222222"/>
                <w:sz w:val="20"/>
                <w:szCs w:val="20"/>
                <w:shd w:val="clear" w:color="auto" w:fill="FFFFFF"/>
              </w:rPr>
              <w:t xml:space="preserve">aged </w:t>
            </w:r>
            <w:r w:rsidRPr="00146588">
              <w:rPr>
                <w:rFonts w:ascii="Arial Narrow" w:hAnsi="Arial Narrow"/>
                <w:color w:val="222222"/>
                <w:sz w:val="20"/>
                <w:szCs w:val="20"/>
                <w:shd w:val="clear" w:color="auto" w:fill="FFFFFF"/>
              </w:rPr>
              <w:t xml:space="preserve">18 years </w:t>
            </w:r>
            <w:r w:rsidR="00E84AFF" w:rsidRPr="00146588">
              <w:rPr>
                <w:rFonts w:ascii="Arial Narrow" w:hAnsi="Arial Narrow"/>
                <w:color w:val="222222"/>
                <w:sz w:val="20"/>
                <w:szCs w:val="20"/>
                <w:shd w:val="clear" w:color="auto" w:fill="FFFFFF"/>
              </w:rPr>
              <w:t>or older</w:t>
            </w:r>
          </w:p>
        </w:tc>
      </w:tr>
      <w:tr w:rsidR="00CD5535" w:rsidRPr="00146588" w:rsidTr="00507A55">
        <w:trPr>
          <w:trHeight w:val="253"/>
        </w:trPr>
        <w:tc>
          <w:tcPr>
            <w:tcW w:w="1945" w:type="dxa"/>
            <w:tcBorders>
              <w:bottom w:val="single" w:sz="4" w:space="0" w:color="auto"/>
            </w:tcBorders>
            <w:shd w:val="clear" w:color="auto" w:fill="auto"/>
          </w:tcPr>
          <w:p w:rsidR="00CD5535" w:rsidRPr="00146588" w:rsidRDefault="00CD5535" w:rsidP="009D743B">
            <w:pPr>
              <w:spacing w:before="0" w:after="0"/>
              <w:rPr>
                <w:rFonts w:ascii="Arial Narrow" w:hAnsi="Arial Narrow"/>
                <w:b/>
                <w:sz w:val="20"/>
                <w:szCs w:val="20"/>
              </w:rPr>
            </w:pPr>
            <w:r w:rsidRPr="00146588">
              <w:rPr>
                <w:rFonts w:ascii="Arial Narrow" w:hAnsi="Arial Narrow"/>
                <w:b/>
                <w:sz w:val="20"/>
                <w:szCs w:val="20"/>
              </w:rPr>
              <w:t>Treatment criteria</w:t>
            </w:r>
          </w:p>
        </w:tc>
        <w:tc>
          <w:tcPr>
            <w:tcW w:w="7411" w:type="dxa"/>
            <w:tcBorders>
              <w:bottom w:val="single" w:sz="4" w:space="0" w:color="auto"/>
            </w:tcBorders>
            <w:shd w:val="clear" w:color="auto" w:fill="auto"/>
          </w:tcPr>
          <w:p w:rsidR="00CD5535" w:rsidRPr="00146588" w:rsidRDefault="00CD5535" w:rsidP="009D743B">
            <w:pPr>
              <w:spacing w:before="0" w:after="0"/>
              <w:rPr>
                <w:rFonts w:ascii="Arial Narrow" w:hAnsi="Arial Narrow"/>
                <w:color w:val="222222"/>
                <w:sz w:val="20"/>
                <w:szCs w:val="20"/>
                <w:shd w:val="clear" w:color="auto" w:fill="FFFFFF"/>
              </w:rPr>
            </w:pPr>
            <w:r w:rsidRPr="00146588">
              <w:rPr>
                <w:rFonts w:ascii="Arial Narrow" w:hAnsi="Arial Narrow"/>
                <w:color w:val="222222"/>
                <w:sz w:val="20"/>
                <w:szCs w:val="20"/>
                <w:shd w:val="clear" w:color="auto" w:fill="FFFFFF"/>
              </w:rPr>
              <w:t>Must</w:t>
            </w:r>
            <w:r w:rsidR="005E082A">
              <w:rPr>
                <w:rFonts w:ascii="Arial Narrow" w:hAnsi="Arial Narrow"/>
                <w:color w:val="222222"/>
                <w:sz w:val="20"/>
                <w:szCs w:val="20"/>
                <w:shd w:val="clear" w:color="auto" w:fill="FFFFFF"/>
              </w:rPr>
              <w:t xml:space="preserve"> be treated by a rheumatologist</w:t>
            </w:r>
          </w:p>
        </w:tc>
      </w:tr>
      <w:tr w:rsidR="00235FB7" w:rsidRPr="00146588" w:rsidTr="00146588">
        <w:trPr>
          <w:trHeight w:val="253"/>
        </w:trPr>
        <w:tc>
          <w:tcPr>
            <w:tcW w:w="1945" w:type="dxa"/>
            <w:tcBorders>
              <w:bottom w:val="single" w:sz="4" w:space="0" w:color="auto"/>
            </w:tcBorders>
            <w:shd w:val="clear" w:color="auto" w:fill="auto"/>
          </w:tcPr>
          <w:p w:rsidR="00235FB7" w:rsidRPr="00146588" w:rsidRDefault="005E082A" w:rsidP="002A6875">
            <w:pPr>
              <w:spacing w:before="0" w:after="0"/>
              <w:rPr>
                <w:rFonts w:ascii="Arial Narrow" w:hAnsi="Arial Narrow"/>
                <w:b/>
                <w:sz w:val="20"/>
                <w:szCs w:val="20"/>
              </w:rPr>
            </w:pPr>
            <w:r>
              <w:rPr>
                <w:rFonts w:ascii="Arial Narrow" w:hAnsi="Arial Narrow"/>
                <w:b/>
                <w:sz w:val="20"/>
                <w:szCs w:val="20"/>
              </w:rPr>
              <w:t>Prescriber Instructions</w:t>
            </w:r>
          </w:p>
        </w:tc>
        <w:tc>
          <w:tcPr>
            <w:tcW w:w="7411" w:type="dxa"/>
            <w:tcBorders>
              <w:bottom w:val="single" w:sz="4" w:space="0" w:color="auto"/>
            </w:tcBorders>
            <w:shd w:val="clear" w:color="auto" w:fill="auto"/>
          </w:tcPr>
          <w:p w:rsidR="00235FB7" w:rsidRPr="001E14DD" w:rsidRDefault="001E14DD" w:rsidP="00147311">
            <w:pPr>
              <w:spacing w:before="0" w:after="0"/>
              <w:rPr>
                <w:rFonts w:ascii="Arial Narrow" w:hAnsi="Arial Narrow"/>
                <w:sz w:val="20"/>
                <w:szCs w:val="20"/>
              </w:rPr>
            </w:pPr>
            <w:r>
              <w:rPr>
                <w:rFonts w:ascii="Arial Narrow" w:hAnsi="Arial Narrow"/>
                <w:sz w:val="20"/>
                <w:szCs w:val="20"/>
              </w:rPr>
              <w:t>To be drafted.</w:t>
            </w:r>
          </w:p>
        </w:tc>
      </w:tr>
      <w:tr w:rsidR="00235FB7" w:rsidRPr="009D743B" w:rsidTr="00146588">
        <w:trPr>
          <w:trHeight w:val="253"/>
        </w:trPr>
        <w:tc>
          <w:tcPr>
            <w:tcW w:w="1945" w:type="dxa"/>
            <w:shd w:val="clear" w:color="auto" w:fill="FFFFFF" w:themeFill="background1"/>
          </w:tcPr>
          <w:p w:rsidR="00235FB7" w:rsidRPr="009D743B" w:rsidRDefault="00661297" w:rsidP="009D743B">
            <w:pPr>
              <w:spacing w:before="0" w:after="0"/>
              <w:rPr>
                <w:rFonts w:ascii="Arial Narrow" w:hAnsi="Arial Narrow"/>
                <w:b/>
                <w:sz w:val="20"/>
                <w:szCs w:val="20"/>
              </w:rPr>
            </w:pPr>
            <w:r>
              <w:rPr>
                <w:rFonts w:ascii="Arial Narrow" w:hAnsi="Arial Narrow"/>
                <w:b/>
                <w:sz w:val="20"/>
                <w:szCs w:val="20"/>
              </w:rPr>
              <w:t>Administrative Advice</w:t>
            </w:r>
          </w:p>
        </w:tc>
        <w:tc>
          <w:tcPr>
            <w:tcW w:w="7411" w:type="dxa"/>
            <w:shd w:val="clear" w:color="auto" w:fill="FFFFFF" w:themeFill="background1"/>
          </w:tcPr>
          <w:p w:rsidR="00235FB7" w:rsidRPr="00146588" w:rsidRDefault="00235FB7" w:rsidP="009D743B">
            <w:pPr>
              <w:spacing w:before="0" w:after="0"/>
              <w:rPr>
                <w:rFonts w:ascii="Arial Narrow" w:hAnsi="Arial Narrow"/>
                <w:strike/>
                <w:sz w:val="20"/>
                <w:szCs w:val="20"/>
              </w:rPr>
            </w:pPr>
          </w:p>
        </w:tc>
      </w:tr>
    </w:tbl>
    <w:p w:rsidR="008A0383" w:rsidRDefault="004A2491">
      <w:pPr>
        <w:rPr>
          <w:b/>
        </w:rPr>
      </w:pPr>
      <w:r>
        <w:rPr>
          <w:b/>
        </w:rPr>
        <w:t>Initial 3 – grandfather treatment (to be drafted)</w:t>
      </w:r>
    </w:p>
    <w:p w:rsidR="008A0383" w:rsidRDefault="008A0383">
      <w:pPr>
        <w:rPr>
          <w:b/>
        </w:rPr>
      </w:pPr>
      <w:r>
        <w:rPr>
          <w:b/>
        </w:rPr>
        <w:t>Initial 1, 2 and 3 – balance of supply (to be drafted)</w:t>
      </w:r>
    </w:p>
    <w:p w:rsidR="008A0383" w:rsidRPr="008A0383" w:rsidRDefault="008A0383">
      <w:pPr>
        <w:rPr>
          <w:b/>
        </w:rPr>
      </w:pPr>
      <w:r>
        <w:rPr>
          <w:b/>
        </w:rPr>
        <w:t>Continuing treatment – to be drafted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411"/>
      </w:tblGrid>
      <w:tr w:rsidR="00235FB7" w:rsidRPr="009D743B" w:rsidTr="00146588">
        <w:tc>
          <w:tcPr>
            <w:tcW w:w="1945" w:type="dxa"/>
            <w:shd w:val="clear" w:color="auto" w:fill="D9D9D9"/>
          </w:tcPr>
          <w:p w:rsidR="00235FB7" w:rsidRPr="009D743B" w:rsidRDefault="00235FB7" w:rsidP="009D743B">
            <w:pPr>
              <w:spacing w:before="0" w:after="0"/>
              <w:rPr>
                <w:rFonts w:ascii="Arial Narrow" w:hAnsi="Arial Narrow"/>
                <w:b/>
                <w:sz w:val="20"/>
                <w:szCs w:val="20"/>
              </w:rPr>
            </w:pPr>
            <w:r w:rsidRPr="009D743B">
              <w:rPr>
                <w:rFonts w:ascii="Arial Narrow" w:hAnsi="Arial Narrow"/>
                <w:b/>
                <w:sz w:val="20"/>
                <w:szCs w:val="20"/>
              </w:rPr>
              <w:t>Treatment phase:</w:t>
            </w:r>
          </w:p>
        </w:tc>
        <w:tc>
          <w:tcPr>
            <w:tcW w:w="7411" w:type="dxa"/>
            <w:shd w:val="clear" w:color="auto" w:fill="D9D9D9"/>
          </w:tcPr>
          <w:p w:rsidR="00235FB7" w:rsidRPr="009D743B" w:rsidRDefault="00235FB7" w:rsidP="009D743B">
            <w:pPr>
              <w:spacing w:before="0" w:after="0"/>
              <w:rPr>
                <w:rFonts w:ascii="Arial Narrow" w:hAnsi="Arial Narrow"/>
                <w:sz w:val="20"/>
                <w:szCs w:val="20"/>
              </w:rPr>
            </w:pPr>
            <w:r w:rsidRPr="009D743B">
              <w:rPr>
                <w:rFonts w:ascii="Arial Narrow" w:hAnsi="Arial Narrow"/>
                <w:sz w:val="20"/>
                <w:szCs w:val="20"/>
              </w:rPr>
              <w:t>Continuing treatment</w:t>
            </w:r>
          </w:p>
        </w:tc>
      </w:tr>
      <w:tr w:rsidR="00235FB7" w:rsidRPr="009D743B" w:rsidTr="00146588">
        <w:tc>
          <w:tcPr>
            <w:tcW w:w="1945" w:type="dxa"/>
            <w:shd w:val="clear" w:color="auto" w:fill="auto"/>
          </w:tcPr>
          <w:p w:rsidR="00235FB7" w:rsidRPr="009D743B" w:rsidRDefault="00235FB7" w:rsidP="009D743B">
            <w:pPr>
              <w:spacing w:before="0" w:after="0"/>
              <w:rPr>
                <w:rFonts w:ascii="Arial Narrow" w:hAnsi="Arial Narrow"/>
                <w:b/>
                <w:sz w:val="20"/>
                <w:szCs w:val="20"/>
              </w:rPr>
            </w:pPr>
            <w:r w:rsidRPr="009D743B">
              <w:rPr>
                <w:rFonts w:ascii="Arial Narrow" w:hAnsi="Arial Narrow"/>
                <w:b/>
                <w:sz w:val="20"/>
                <w:szCs w:val="20"/>
              </w:rPr>
              <w:t>Clinical criteria:</w:t>
            </w:r>
          </w:p>
          <w:p w:rsidR="00235FB7" w:rsidRPr="009D743B" w:rsidRDefault="00235FB7" w:rsidP="009D743B">
            <w:pPr>
              <w:spacing w:before="0" w:after="0"/>
              <w:rPr>
                <w:rFonts w:ascii="Arial Narrow" w:hAnsi="Arial Narrow"/>
                <w:b/>
                <w:sz w:val="20"/>
                <w:szCs w:val="20"/>
              </w:rPr>
            </w:pPr>
          </w:p>
          <w:p w:rsidR="00235FB7" w:rsidRPr="009D743B" w:rsidRDefault="00235FB7" w:rsidP="009D743B">
            <w:pPr>
              <w:spacing w:before="0" w:after="0"/>
              <w:rPr>
                <w:rFonts w:ascii="Arial Narrow" w:hAnsi="Arial Narrow"/>
                <w:b/>
                <w:sz w:val="20"/>
                <w:szCs w:val="20"/>
              </w:rPr>
            </w:pPr>
          </w:p>
        </w:tc>
        <w:tc>
          <w:tcPr>
            <w:tcW w:w="7411" w:type="dxa"/>
            <w:shd w:val="clear" w:color="auto" w:fill="auto"/>
          </w:tcPr>
          <w:p w:rsidR="00235FB7" w:rsidRPr="009D743B" w:rsidRDefault="00235FB7" w:rsidP="009D743B">
            <w:pPr>
              <w:spacing w:before="0" w:after="0"/>
              <w:rPr>
                <w:rFonts w:ascii="Arial Narrow" w:hAnsi="Arial Narrow"/>
                <w:sz w:val="20"/>
                <w:szCs w:val="20"/>
              </w:rPr>
            </w:pPr>
            <w:r w:rsidRPr="009D743B">
              <w:rPr>
                <w:rFonts w:ascii="Arial Narrow" w:hAnsi="Arial Narrow"/>
                <w:sz w:val="20"/>
                <w:szCs w:val="20"/>
              </w:rPr>
              <w:t xml:space="preserve">Patient must have previously received PBS-subsidised therapy with this drug for this condition </w:t>
            </w:r>
          </w:p>
          <w:p w:rsidR="00235FB7" w:rsidRPr="009D743B" w:rsidRDefault="00235FB7" w:rsidP="009D743B">
            <w:pPr>
              <w:spacing w:before="0" w:after="0"/>
              <w:rPr>
                <w:rFonts w:ascii="Arial Narrow" w:hAnsi="Arial Narrow"/>
                <w:sz w:val="20"/>
                <w:szCs w:val="20"/>
              </w:rPr>
            </w:pPr>
            <w:r w:rsidRPr="009D743B">
              <w:rPr>
                <w:rFonts w:ascii="Arial Narrow" w:hAnsi="Arial Narrow"/>
                <w:sz w:val="20"/>
                <w:szCs w:val="20"/>
              </w:rPr>
              <w:t>AND</w:t>
            </w:r>
          </w:p>
          <w:p w:rsidR="00235FB7" w:rsidRPr="009D743B" w:rsidRDefault="00235FB7" w:rsidP="009D743B">
            <w:pPr>
              <w:spacing w:before="0" w:after="0"/>
              <w:rPr>
                <w:rFonts w:ascii="Arial Narrow" w:hAnsi="Arial Narrow"/>
                <w:sz w:val="20"/>
                <w:szCs w:val="20"/>
              </w:rPr>
            </w:pPr>
            <w:r w:rsidRPr="009D743B">
              <w:rPr>
                <w:rFonts w:ascii="Arial Narrow" w:hAnsi="Arial Narrow"/>
                <w:sz w:val="20"/>
                <w:szCs w:val="20"/>
              </w:rPr>
              <w:t>Patient must have demonstrated an adequate response to PBS-subsidised therapy with this drug based on a reduction from baseline in the Bath Ankylosing Spondylitis Disease Activity Index (BASDAI) score by 2 or more units (on a scale of 1 -1 0).</w:t>
            </w:r>
          </w:p>
        </w:tc>
      </w:tr>
      <w:tr w:rsidR="00235FB7" w:rsidRPr="009D743B" w:rsidTr="00146588">
        <w:tc>
          <w:tcPr>
            <w:tcW w:w="1945" w:type="dxa"/>
            <w:shd w:val="clear" w:color="auto" w:fill="auto"/>
          </w:tcPr>
          <w:p w:rsidR="00235FB7" w:rsidRPr="009D743B" w:rsidRDefault="00235FB7" w:rsidP="009D743B">
            <w:pPr>
              <w:spacing w:before="0" w:after="0"/>
              <w:rPr>
                <w:rFonts w:ascii="Arial Narrow" w:hAnsi="Arial Narrow"/>
                <w:b/>
                <w:sz w:val="20"/>
                <w:szCs w:val="20"/>
              </w:rPr>
            </w:pPr>
            <w:r w:rsidRPr="009D743B">
              <w:rPr>
                <w:rFonts w:ascii="Arial Narrow" w:hAnsi="Arial Narrow"/>
                <w:b/>
                <w:sz w:val="20"/>
                <w:szCs w:val="20"/>
              </w:rPr>
              <w:t>Population criteria</w:t>
            </w:r>
          </w:p>
        </w:tc>
        <w:tc>
          <w:tcPr>
            <w:tcW w:w="7411" w:type="dxa"/>
            <w:shd w:val="clear" w:color="auto" w:fill="auto"/>
          </w:tcPr>
          <w:p w:rsidR="00235FB7" w:rsidRPr="009D743B" w:rsidRDefault="00381356" w:rsidP="009D743B">
            <w:pPr>
              <w:spacing w:before="0" w:after="0"/>
              <w:rPr>
                <w:rFonts w:ascii="Arial Narrow" w:hAnsi="Arial Narrow"/>
                <w:sz w:val="20"/>
                <w:szCs w:val="20"/>
              </w:rPr>
            </w:pPr>
            <w:r w:rsidRPr="00146588">
              <w:rPr>
                <w:rFonts w:ascii="Arial Narrow" w:hAnsi="Arial Narrow"/>
                <w:color w:val="222222"/>
                <w:sz w:val="20"/>
                <w:szCs w:val="20"/>
                <w:shd w:val="clear" w:color="auto" w:fill="FFFFFF"/>
              </w:rPr>
              <w:t>Patient must be aged 18 years or older</w:t>
            </w:r>
          </w:p>
        </w:tc>
      </w:tr>
      <w:tr w:rsidR="00235FB7" w:rsidRPr="009D743B" w:rsidTr="00146588">
        <w:tc>
          <w:tcPr>
            <w:tcW w:w="1945" w:type="dxa"/>
            <w:shd w:val="clear" w:color="auto" w:fill="auto"/>
          </w:tcPr>
          <w:p w:rsidR="00235FB7" w:rsidRPr="009D743B" w:rsidRDefault="00235FB7" w:rsidP="009D743B">
            <w:pPr>
              <w:spacing w:before="0" w:after="0"/>
              <w:rPr>
                <w:rFonts w:ascii="Arial Narrow" w:hAnsi="Arial Narrow"/>
                <w:b/>
                <w:sz w:val="20"/>
                <w:szCs w:val="20"/>
              </w:rPr>
            </w:pPr>
            <w:r w:rsidRPr="009D743B">
              <w:rPr>
                <w:rFonts w:ascii="Arial Narrow" w:hAnsi="Arial Narrow"/>
                <w:b/>
                <w:sz w:val="20"/>
                <w:szCs w:val="20"/>
              </w:rPr>
              <w:t>Treatment criteria</w:t>
            </w:r>
          </w:p>
        </w:tc>
        <w:tc>
          <w:tcPr>
            <w:tcW w:w="7411" w:type="dxa"/>
            <w:shd w:val="clear" w:color="auto" w:fill="auto"/>
          </w:tcPr>
          <w:p w:rsidR="00235FB7" w:rsidRPr="009D743B" w:rsidRDefault="00235FB7" w:rsidP="009D743B">
            <w:pPr>
              <w:spacing w:before="0" w:after="0"/>
              <w:rPr>
                <w:rFonts w:ascii="Arial Narrow" w:hAnsi="Arial Narrow"/>
                <w:color w:val="222222"/>
                <w:sz w:val="20"/>
                <w:szCs w:val="20"/>
                <w:shd w:val="clear" w:color="auto" w:fill="FFFFFF"/>
              </w:rPr>
            </w:pPr>
            <w:r w:rsidRPr="009D743B">
              <w:rPr>
                <w:rFonts w:ascii="Arial Narrow" w:hAnsi="Arial Narrow"/>
                <w:color w:val="222222"/>
                <w:sz w:val="20"/>
                <w:szCs w:val="20"/>
                <w:shd w:val="clear" w:color="auto" w:fill="FFFFFF"/>
              </w:rPr>
              <w:t>Must be treated by a rheumatologist</w:t>
            </w:r>
          </w:p>
          <w:p w:rsidR="00235FB7" w:rsidRPr="009D743B" w:rsidRDefault="00235FB7" w:rsidP="009D743B">
            <w:pPr>
              <w:spacing w:before="0" w:after="0"/>
              <w:rPr>
                <w:rFonts w:ascii="Arial Narrow" w:hAnsi="Arial Narrow"/>
                <w:sz w:val="20"/>
                <w:szCs w:val="20"/>
              </w:rPr>
            </w:pPr>
          </w:p>
          <w:p w:rsidR="00235FB7" w:rsidRPr="009D743B" w:rsidRDefault="00235FB7" w:rsidP="009D743B">
            <w:pPr>
              <w:spacing w:before="0" w:after="0"/>
              <w:rPr>
                <w:rFonts w:ascii="Arial Narrow" w:hAnsi="Arial Narrow"/>
                <w:sz w:val="20"/>
                <w:szCs w:val="20"/>
              </w:rPr>
            </w:pPr>
            <w:r w:rsidRPr="009D743B">
              <w:rPr>
                <w:rFonts w:ascii="Arial Narrow" w:hAnsi="Arial Narrow"/>
                <w:sz w:val="20"/>
                <w:szCs w:val="20"/>
              </w:rPr>
              <w:t>Patients who do not achieve a reduction from the baseline assessment in the Bath Ankylosing Spondylitis Disease Activity Index (BASDAI) score by 2 or more units (on a scale of 1 -1 0) with continuing treatment with this drug will not be eligible to receive further PBS-subsidised treatment with this drug.  Patient must not receive more than 24 weeks of therapy under this restriction</w:t>
            </w:r>
          </w:p>
        </w:tc>
      </w:tr>
      <w:tr w:rsidR="00235FB7" w:rsidRPr="009D743B" w:rsidTr="00146588">
        <w:tc>
          <w:tcPr>
            <w:tcW w:w="1945" w:type="dxa"/>
            <w:tcBorders>
              <w:top w:val="single" w:sz="4" w:space="0" w:color="auto"/>
              <w:left w:val="single" w:sz="4" w:space="0" w:color="auto"/>
              <w:bottom w:val="single" w:sz="4" w:space="0" w:color="auto"/>
              <w:right w:val="single" w:sz="4" w:space="0" w:color="auto"/>
            </w:tcBorders>
            <w:shd w:val="clear" w:color="auto" w:fill="auto"/>
          </w:tcPr>
          <w:p w:rsidR="00235FB7" w:rsidRPr="009D743B" w:rsidRDefault="00235FB7" w:rsidP="009D743B">
            <w:pPr>
              <w:spacing w:before="0" w:after="0"/>
              <w:rPr>
                <w:rFonts w:ascii="Arial Narrow" w:hAnsi="Arial Narrow"/>
                <w:b/>
                <w:sz w:val="20"/>
                <w:szCs w:val="20"/>
              </w:rPr>
            </w:pPr>
            <w:r w:rsidRPr="009D743B">
              <w:rPr>
                <w:rFonts w:ascii="Arial Narrow" w:hAnsi="Arial Narrow"/>
                <w:b/>
                <w:sz w:val="20"/>
                <w:szCs w:val="20"/>
              </w:rPr>
              <w:t>Note</w:t>
            </w:r>
          </w:p>
        </w:tc>
        <w:tc>
          <w:tcPr>
            <w:tcW w:w="7411" w:type="dxa"/>
            <w:tcBorders>
              <w:top w:val="single" w:sz="4" w:space="0" w:color="auto"/>
              <w:left w:val="single" w:sz="4" w:space="0" w:color="auto"/>
              <w:bottom w:val="single" w:sz="4" w:space="0" w:color="auto"/>
              <w:right w:val="single" w:sz="4" w:space="0" w:color="auto"/>
            </w:tcBorders>
            <w:shd w:val="clear" w:color="auto" w:fill="auto"/>
          </w:tcPr>
          <w:p w:rsidR="00235FB7" w:rsidRPr="009D743B" w:rsidRDefault="00235FB7" w:rsidP="009D743B">
            <w:pPr>
              <w:spacing w:before="0" w:after="0"/>
              <w:rPr>
                <w:rFonts w:ascii="Arial Narrow" w:hAnsi="Arial Narrow"/>
                <w:color w:val="222222"/>
                <w:sz w:val="20"/>
                <w:szCs w:val="20"/>
                <w:shd w:val="clear" w:color="auto" w:fill="FFFFFF"/>
              </w:rPr>
            </w:pPr>
            <w:r w:rsidRPr="009D743B">
              <w:rPr>
                <w:rFonts w:ascii="Arial Narrow" w:hAnsi="Arial Narrow"/>
                <w:color w:val="222222"/>
                <w:sz w:val="20"/>
                <w:szCs w:val="20"/>
                <w:shd w:val="clear" w:color="auto" w:fill="FFFFFF"/>
              </w:rPr>
              <w:t>The authority application must be made in writing and must include:</w:t>
            </w:r>
          </w:p>
          <w:p w:rsidR="00235FB7" w:rsidRPr="009D743B" w:rsidRDefault="00235FB7" w:rsidP="009D743B">
            <w:pPr>
              <w:spacing w:before="0" w:after="0"/>
              <w:rPr>
                <w:rFonts w:ascii="Arial Narrow" w:hAnsi="Arial Narrow"/>
                <w:color w:val="222222"/>
                <w:sz w:val="20"/>
                <w:szCs w:val="20"/>
                <w:shd w:val="clear" w:color="auto" w:fill="FFFFFF"/>
              </w:rPr>
            </w:pPr>
            <w:r w:rsidRPr="009D743B">
              <w:rPr>
                <w:rFonts w:ascii="Arial Narrow" w:hAnsi="Arial Narrow"/>
                <w:color w:val="222222"/>
                <w:sz w:val="20"/>
                <w:szCs w:val="20"/>
                <w:shd w:val="clear" w:color="auto" w:fill="FFFFFF"/>
              </w:rPr>
              <w:t>(a) a completed authority prescription form; and</w:t>
            </w:r>
          </w:p>
          <w:p w:rsidR="00235FB7" w:rsidRPr="009D743B" w:rsidRDefault="00235FB7" w:rsidP="009D743B">
            <w:pPr>
              <w:spacing w:before="0" w:after="0"/>
              <w:rPr>
                <w:rFonts w:ascii="Arial Narrow" w:hAnsi="Arial Narrow"/>
                <w:color w:val="222222"/>
                <w:sz w:val="20"/>
                <w:szCs w:val="20"/>
                <w:shd w:val="clear" w:color="auto" w:fill="FFFFFF"/>
              </w:rPr>
            </w:pPr>
            <w:r w:rsidRPr="009D743B">
              <w:rPr>
                <w:rFonts w:ascii="Arial Narrow" w:hAnsi="Arial Narrow"/>
                <w:color w:val="222222"/>
                <w:sz w:val="20"/>
                <w:szCs w:val="20"/>
                <w:shd w:val="clear" w:color="auto" w:fill="FFFFFF"/>
              </w:rPr>
              <w:t>(b) a completed Ankylosing Spondylitis PBS Authority Application - Supporting Information Form which must include the following:</w:t>
            </w:r>
          </w:p>
          <w:p w:rsidR="00235FB7" w:rsidRPr="009D743B" w:rsidRDefault="00235FB7" w:rsidP="00147311">
            <w:pPr>
              <w:spacing w:before="0" w:after="0"/>
              <w:rPr>
                <w:rFonts w:ascii="Arial Narrow" w:hAnsi="Arial Narrow"/>
                <w:color w:val="222222"/>
                <w:sz w:val="20"/>
                <w:szCs w:val="20"/>
                <w:shd w:val="clear" w:color="auto" w:fill="FFFFFF"/>
              </w:rPr>
            </w:pPr>
            <w:r w:rsidRPr="009D743B">
              <w:rPr>
                <w:rFonts w:ascii="Arial Narrow" w:hAnsi="Arial Narrow"/>
                <w:color w:val="222222"/>
                <w:sz w:val="20"/>
                <w:szCs w:val="20"/>
                <w:shd w:val="clear" w:color="auto" w:fill="FFFFFF"/>
              </w:rPr>
              <w:t>(i) a copy of the radiological report confirming the absence of Grade II bilateral sacroiliitis or Grade III unilateral sacroiliitis; and</w:t>
            </w:r>
          </w:p>
          <w:p w:rsidR="00235FB7" w:rsidRPr="009D743B" w:rsidRDefault="00235FB7" w:rsidP="00147311">
            <w:pPr>
              <w:spacing w:before="0" w:after="0"/>
              <w:rPr>
                <w:rFonts w:ascii="Arial Narrow" w:hAnsi="Arial Narrow"/>
                <w:color w:val="222222"/>
                <w:sz w:val="20"/>
                <w:szCs w:val="20"/>
                <w:shd w:val="clear" w:color="auto" w:fill="FFFFFF"/>
              </w:rPr>
            </w:pPr>
            <w:r w:rsidRPr="009D743B">
              <w:rPr>
                <w:rFonts w:ascii="Arial Narrow" w:hAnsi="Arial Narrow"/>
                <w:color w:val="222222"/>
                <w:sz w:val="20"/>
                <w:szCs w:val="20"/>
                <w:shd w:val="clear" w:color="auto" w:fill="FFFFFF"/>
              </w:rPr>
              <w:t>(ii) a completed BASDAI Assessment Form; and</w:t>
            </w:r>
          </w:p>
          <w:p w:rsidR="00235FB7" w:rsidRPr="009D743B" w:rsidRDefault="00235FB7" w:rsidP="00381356">
            <w:pPr>
              <w:spacing w:before="0" w:after="0"/>
              <w:rPr>
                <w:rFonts w:ascii="Arial Narrow" w:hAnsi="Arial Narrow"/>
                <w:color w:val="222222"/>
                <w:sz w:val="20"/>
                <w:szCs w:val="20"/>
                <w:shd w:val="clear" w:color="auto" w:fill="FFFFFF"/>
              </w:rPr>
            </w:pPr>
            <w:r w:rsidRPr="009D743B">
              <w:rPr>
                <w:rFonts w:ascii="Arial Narrow" w:hAnsi="Arial Narrow"/>
                <w:color w:val="222222"/>
                <w:sz w:val="20"/>
                <w:szCs w:val="20"/>
                <w:shd w:val="clear" w:color="auto" w:fill="FFFFFF"/>
              </w:rPr>
              <w:t xml:space="preserve">(iii) a completed Exercise Program Self Certification Form included in the supporting information form; </w:t>
            </w:r>
          </w:p>
        </w:tc>
      </w:tr>
    </w:tbl>
    <w:p w:rsidR="00ED4FA5" w:rsidRPr="009D743B" w:rsidRDefault="00ED4FA5" w:rsidP="00ED4FA5">
      <w:pPr>
        <w:pStyle w:val="NoSpacing"/>
      </w:pPr>
    </w:p>
    <w:p w:rsidR="00A16AAB" w:rsidRDefault="00B663FB" w:rsidP="005E082A">
      <w:pPr>
        <w:pStyle w:val="NoSpacing"/>
        <w:rPr>
          <w:b/>
          <w:u w:val="single"/>
        </w:rPr>
      </w:pPr>
      <w:r>
        <w:rPr>
          <w:b/>
        </w:rPr>
        <w:t>Continuing</w:t>
      </w:r>
      <w:r w:rsidR="000C4B56">
        <w:rPr>
          <w:b/>
        </w:rPr>
        <w:t xml:space="preserve"> treatment – balance of supply (to be drafted)</w:t>
      </w:r>
    </w:p>
    <w:p w:rsidR="00A16AAB" w:rsidRPr="009D743B" w:rsidRDefault="00A16AAB" w:rsidP="00A16AAB">
      <w:pPr>
        <w:pStyle w:val="Heading1"/>
      </w:pPr>
      <w:r>
        <w:t>Context for Decision</w:t>
      </w:r>
    </w:p>
    <w:p w:rsidR="00A16AAB" w:rsidRPr="00C07617" w:rsidRDefault="00A16AAB" w:rsidP="00A16AAB">
      <w:pPr>
        <w:spacing w:after="0"/>
        <w:jc w:val="both"/>
        <w:rPr>
          <w:rFonts w:cs="Arial"/>
        </w:rPr>
      </w:pPr>
      <w:r w:rsidRPr="00C07617">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16AAB" w:rsidRPr="009D743B" w:rsidRDefault="00A16AAB" w:rsidP="00A16AAB">
      <w:pPr>
        <w:pStyle w:val="Heading1"/>
      </w:pPr>
      <w:r>
        <w:t>Sponsor’s Comment</w:t>
      </w:r>
    </w:p>
    <w:p w:rsidR="006A1FEC" w:rsidRPr="005740CC" w:rsidRDefault="00A16AAB" w:rsidP="005740CC">
      <w:pPr>
        <w:spacing w:after="120"/>
        <w:jc w:val="both"/>
        <w:rPr>
          <w:rFonts w:cs="Arial"/>
          <w:bCs/>
        </w:rPr>
      </w:pPr>
      <w:r w:rsidRPr="00C07617">
        <w:rPr>
          <w:rFonts w:cs="Arial"/>
          <w:bCs/>
        </w:rPr>
        <w:t>The sponsor had no comment.</w:t>
      </w:r>
    </w:p>
    <w:sectPr w:rsidR="006A1FEC" w:rsidRPr="005740CC" w:rsidSect="005740CC">
      <w:headerReference w:type="default" r:id="rId11"/>
      <w:footerReference w:type="default" r:id="rId12"/>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033A24" w15:done="0"/>
  <w15:commentEx w15:paraId="4FE5F9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11C" w:rsidRDefault="0050211C" w:rsidP="00BA3306">
      <w:pPr>
        <w:spacing w:before="0" w:after="0"/>
      </w:pPr>
      <w:r>
        <w:separator/>
      </w:r>
    </w:p>
  </w:endnote>
  <w:endnote w:type="continuationSeparator" w:id="0">
    <w:p w:rsidR="0050211C" w:rsidRDefault="0050211C"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D5" w:rsidRPr="00BF1D37" w:rsidRDefault="00931DD5">
    <w:pPr>
      <w:pStyle w:val="Footer"/>
      <w:jc w:val="center"/>
      <w:rPr>
        <w:sz w:val="20"/>
      </w:rPr>
    </w:pPr>
  </w:p>
  <w:p w:rsidR="00931DD5" w:rsidRPr="00931DD5" w:rsidRDefault="00916C9F" w:rsidP="00931DD5">
    <w:pPr>
      <w:pStyle w:val="Footer"/>
      <w:jc w:val="center"/>
      <w:rPr>
        <w:b/>
        <w:sz w:val="20"/>
        <w:szCs w:val="20"/>
      </w:rPr>
    </w:pPr>
    <w:sdt>
      <w:sdtPr>
        <w:id w:val="-1402516202"/>
        <w:docPartObj>
          <w:docPartGallery w:val="Page Numbers (Bottom of Page)"/>
          <w:docPartUnique/>
        </w:docPartObj>
      </w:sdtPr>
      <w:sdtEndPr>
        <w:rPr>
          <w:b/>
          <w:noProof/>
          <w:sz w:val="20"/>
          <w:szCs w:val="20"/>
        </w:rPr>
      </w:sdtEndPr>
      <w:sdtContent>
        <w:r w:rsidR="00931DD5" w:rsidRPr="00ED4FA5">
          <w:rPr>
            <w:b/>
            <w:sz w:val="20"/>
            <w:szCs w:val="20"/>
          </w:rPr>
          <w:fldChar w:fldCharType="begin"/>
        </w:r>
        <w:r w:rsidR="00931DD5" w:rsidRPr="00ED4FA5">
          <w:rPr>
            <w:b/>
            <w:sz w:val="20"/>
            <w:szCs w:val="20"/>
          </w:rPr>
          <w:instrText xml:space="preserve"> PAGE   \* MERGEFORMAT </w:instrText>
        </w:r>
        <w:r w:rsidR="00931DD5" w:rsidRPr="00ED4FA5">
          <w:rPr>
            <w:b/>
            <w:sz w:val="20"/>
            <w:szCs w:val="20"/>
          </w:rPr>
          <w:fldChar w:fldCharType="separate"/>
        </w:r>
        <w:r>
          <w:rPr>
            <w:b/>
            <w:noProof/>
            <w:sz w:val="20"/>
            <w:szCs w:val="20"/>
          </w:rPr>
          <w:t>1</w:t>
        </w:r>
        <w:r w:rsidR="00931DD5" w:rsidRPr="00ED4FA5">
          <w:rPr>
            <w:b/>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11C" w:rsidRDefault="0050211C" w:rsidP="00BA3306">
      <w:pPr>
        <w:spacing w:before="0" w:after="0"/>
      </w:pPr>
      <w:r>
        <w:separator/>
      </w:r>
    </w:p>
  </w:footnote>
  <w:footnote w:type="continuationSeparator" w:id="0">
    <w:p w:rsidR="0050211C" w:rsidRDefault="0050211C" w:rsidP="00BA3306">
      <w:pPr>
        <w:spacing w:before="0" w:after="0"/>
      </w:pPr>
      <w:r>
        <w:continuationSeparator/>
      </w:r>
    </w:p>
  </w:footnote>
  <w:footnote w:id="1">
    <w:p w:rsidR="00931DD5" w:rsidRPr="0069278C" w:rsidRDefault="00931DD5" w:rsidP="0069278C">
      <w:pPr>
        <w:pStyle w:val="FootnoteText"/>
        <w:rPr>
          <w:i/>
        </w:rPr>
      </w:pPr>
      <w:r>
        <w:rPr>
          <w:rStyle w:val="FootnoteReference"/>
        </w:rPr>
        <w:footnoteRef/>
      </w:r>
      <w:r>
        <w:t xml:space="preserve"> </w:t>
      </w:r>
      <w:r>
        <w:rPr>
          <w:i/>
        </w:rPr>
        <w:t>The algorithm applied in the base case (</w:t>
      </w:r>
      <w:r w:rsidRPr="0069278C">
        <w:rPr>
          <w:i/>
        </w:rPr>
        <w:t>to estimate the EQ-5D score for every cycle</w:t>
      </w:r>
      <w:r>
        <w:rPr>
          <w:i/>
        </w:rPr>
        <w:t xml:space="preserve">) was: </w:t>
      </w:r>
      <w:r w:rsidRPr="0069278C">
        <w:rPr>
          <w:i/>
        </w:rPr>
        <w:t>Utility = Baseline utility + (0.10034 – 0.05735 x BASDAI* – 0.03120 x BASFI* + 0.00126 x MALE – 0.00440 x AGE)</w:t>
      </w:r>
    </w:p>
    <w:p w:rsidR="00931DD5" w:rsidRPr="00634B2D" w:rsidRDefault="00931DD5" w:rsidP="0069278C">
      <w:pPr>
        <w:pStyle w:val="FootnoteText"/>
        <w:rPr>
          <w:i/>
        </w:rPr>
      </w:pPr>
      <w:r w:rsidRPr="0069278C">
        <w:rPr>
          <w:i/>
        </w:rPr>
        <w:t xml:space="preserve">* Per 1-unit change in the BASDAI and BASFI </w:t>
      </w:r>
    </w:p>
  </w:footnote>
  <w:footnote w:id="2">
    <w:p w:rsidR="00931DD5" w:rsidRDefault="00931DD5" w:rsidP="00547950">
      <w:pPr>
        <w:pStyle w:val="FootnoteText"/>
      </w:pPr>
      <w:r>
        <w:rPr>
          <w:rStyle w:val="FootnoteReference"/>
        </w:rPr>
        <w:footnoteRef/>
      </w:r>
      <w:r>
        <w:t xml:space="preserve"> </w:t>
      </w:r>
      <w:r w:rsidRPr="00980034">
        <w:t>http://www.pbs.gov.au/info/industry/listing/participants/public-release-docs/2016-02/bdmards-for-ankylosing-spondylitis2016-02</w:t>
      </w:r>
    </w:p>
  </w:footnote>
  <w:footnote w:id="3">
    <w:p w:rsidR="00931DD5" w:rsidRDefault="00931DD5" w:rsidP="008A13EF">
      <w:pPr>
        <w:pStyle w:val="FootnoteText"/>
      </w:pPr>
      <w:r>
        <w:rPr>
          <w:rStyle w:val="FootnoteReference"/>
        </w:rPr>
        <w:footnoteRef/>
      </w:r>
      <w:r>
        <w:t xml:space="preserve"> Truong SL, Saad NF, Robinson PC, Cowderoy G, Lim I, Schachna L, Stebbings S, Stuckey S, Taylor AL, Whittle SL, Zochling J, Bird P, Brown MA. J Med Imaging Radiat Oncol. 2017 Feb;61(1):58-69.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D5" w:rsidRPr="00A16AAB" w:rsidRDefault="00931DD5" w:rsidP="00A16AAB">
    <w:pPr>
      <w:tabs>
        <w:tab w:val="center" w:pos="4513"/>
        <w:tab w:val="right" w:pos="9026"/>
      </w:tabs>
      <w:spacing w:before="0" w:after="0"/>
      <w:jc w:val="center"/>
      <w:rPr>
        <w:rFonts w:ascii="Calibri" w:eastAsia="Calibri" w:hAnsi="Calibri" w:cs="Calibri"/>
        <w:i/>
        <w:color w:val="808080"/>
        <w:sz w:val="22"/>
      </w:rPr>
    </w:pPr>
    <w:r w:rsidRPr="00A16AAB">
      <w:rPr>
        <w:rFonts w:ascii="Calibri" w:eastAsia="Calibri" w:hAnsi="Calibri" w:cs="Calibri"/>
        <w:i/>
        <w:color w:val="808080"/>
        <w:sz w:val="22"/>
      </w:rPr>
      <w:t xml:space="preserve">Public Summary Document – </w:t>
    </w:r>
    <w:r>
      <w:rPr>
        <w:rFonts w:ascii="Calibri" w:eastAsia="Calibri" w:hAnsi="Calibri" w:cs="Calibri"/>
        <w:i/>
        <w:color w:val="808080"/>
        <w:sz w:val="22"/>
      </w:rPr>
      <w:t>July 2018</w:t>
    </w:r>
    <w:r w:rsidRPr="00A16AAB">
      <w:rPr>
        <w:rFonts w:ascii="Calibri" w:eastAsia="Calibri" w:hAnsi="Calibri" w:cs="Calibri"/>
        <w:i/>
        <w:color w:val="808080"/>
        <w:sz w:val="22"/>
      </w:rPr>
      <w:t xml:space="preserve"> PBAC Meeting</w:t>
    </w:r>
  </w:p>
  <w:p w:rsidR="00931DD5" w:rsidRPr="00ED4FA5" w:rsidRDefault="00931DD5" w:rsidP="00ED4F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554EB"/>
    <w:multiLevelType w:val="multilevel"/>
    <w:tmpl w:val="F8A8D1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0877DC"/>
    <w:multiLevelType w:val="multilevel"/>
    <w:tmpl w:val="2C8C6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D7D1458"/>
    <w:multiLevelType w:val="hybridMultilevel"/>
    <w:tmpl w:val="0EB205B2"/>
    <w:lvl w:ilvl="0" w:tplc="ED28C1CE">
      <w:start w:val="1"/>
      <w:numFmt w:val="decimal"/>
      <w:lvlText w:val="2.%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84E6825"/>
    <w:multiLevelType w:val="multilevel"/>
    <w:tmpl w:val="5EC06CF8"/>
    <w:lvl w:ilvl="0">
      <w:start w:val="1"/>
      <w:numFmt w:val="decimal"/>
      <w:pStyle w:val="Heading1"/>
      <w:lvlText w:val="%1"/>
      <w:lvlJc w:val="left"/>
      <w:pPr>
        <w:ind w:left="432" w:hanging="432"/>
      </w:pPr>
      <w:rPr>
        <w:rFonts w:hint="default"/>
        <w:i w:val="0"/>
      </w:rPr>
    </w:lvl>
    <w:lvl w:ilvl="1">
      <w:start w:val="1"/>
      <w:numFmt w:val="bullet"/>
      <w:pStyle w:val="ListParagraph"/>
      <w:lvlText w:val=""/>
      <w:lvlJc w:val="left"/>
      <w:pPr>
        <w:ind w:left="3695"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D665289"/>
    <w:multiLevelType w:val="hybridMultilevel"/>
    <w:tmpl w:val="2A88F4F4"/>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7">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F52307B"/>
    <w:multiLevelType w:val="hybridMultilevel"/>
    <w:tmpl w:val="67BAD08A"/>
    <w:lvl w:ilvl="0" w:tplc="DB26D734">
      <w:start w:val="9"/>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060192D"/>
    <w:multiLevelType w:val="multilevel"/>
    <w:tmpl w:val="90DCD06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2AE72A4"/>
    <w:multiLevelType w:val="hybridMultilevel"/>
    <w:tmpl w:val="736A19B4"/>
    <w:lvl w:ilvl="0" w:tplc="7D328D5A">
      <w:start w:val="1"/>
      <w:numFmt w:val="decimal"/>
      <w:lvlText w:val="6.%1"/>
      <w:lvlJc w:val="left"/>
      <w:pPr>
        <w:ind w:left="1211"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888013A"/>
    <w:multiLevelType w:val="hybridMultilevel"/>
    <w:tmpl w:val="2620FE5C"/>
    <w:lvl w:ilvl="0" w:tplc="DDF8F834">
      <w:start w:val="1"/>
      <w:numFmt w:val="decimal"/>
      <w:lvlText w:val="3.%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84D033C"/>
    <w:multiLevelType w:val="multilevel"/>
    <w:tmpl w:val="2D4062BE"/>
    <w:lvl w:ilvl="0">
      <w:start w:val="1"/>
      <w:numFmt w:val="decimal"/>
      <w:pStyle w:val="PBACHeading1"/>
      <w:lvlText w:val="%1"/>
      <w:lvlJc w:val="left"/>
      <w:pPr>
        <w:ind w:left="720" w:hanging="720"/>
      </w:pPr>
      <w:rPr>
        <w:rFonts w:hint="default"/>
        <w:b/>
      </w:rPr>
    </w:lvl>
    <w:lvl w:ilvl="1">
      <w:start w:val="1"/>
      <w:numFmt w:val="decimal"/>
      <w:lvlText w:val="3.%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F0F2561"/>
    <w:multiLevelType w:val="hybridMultilevel"/>
    <w:tmpl w:val="67A239F6"/>
    <w:lvl w:ilvl="0" w:tplc="0C090001">
      <w:start w:val="1"/>
      <w:numFmt w:val="bullet"/>
      <w:lvlText w:val=""/>
      <w:lvlJc w:val="left"/>
      <w:pPr>
        <w:ind w:left="1287" w:hanging="360"/>
      </w:pPr>
      <w:rPr>
        <w:rFonts w:ascii="Symbol" w:hAnsi="Symbol" w:hint="default"/>
      </w:rPr>
    </w:lvl>
    <w:lvl w:ilvl="1" w:tplc="933879A8">
      <w:numFmt w:val="bullet"/>
      <w:lvlText w:val="-"/>
      <w:lvlJc w:val="left"/>
      <w:pPr>
        <w:ind w:left="2007" w:hanging="360"/>
      </w:pPr>
      <w:rPr>
        <w:rFonts w:ascii="Garamond" w:eastAsia="Calibri" w:hAnsi="Garamond" w:cs="Calibri"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7"/>
  </w:num>
  <w:num w:numId="3">
    <w:abstractNumId w:val="0"/>
  </w:num>
  <w:num w:numId="4">
    <w:abstractNumId w:val="13"/>
  </w:num>
  <w:num w:numId="5">
    <w:abstractNumId w:val="5"/>
  </w:num>
  <w:num w:numId="6">
    <w:abstractNumId w:val="9"/>
  </w:num>
  <w:num w:numId="7">
    <w:abstractNumId w:val="10"/>
  </w:num>
  <w:num w:numId="8">
    <w:abstractNumId w:val="6"/>
  </w:num>
  <w:num w:numId="9">
    <w:abstractNumId w:val="8"/>
  </w:num>
  <w:num w:numId="10">
    <w:abstractNumId w:val="3"/>
  </w:num>
  <w:num w:numId="11">
    <w:abstractNumId w:val="11"/>
  </w:num>
  <w:num w:numId="12">
    <w:abstractNumId w:val="12"/>
  </w:num>
  <w:num w:numId="13">
    <w:abstractNumId w:val="1"/>
  </w:num>
  <w:num w:numId="14">
    <w:abstractNumId w:val="14"/>
  </w:num>
  <w:num w:numId="15">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ily Callander">
    <w15:presenceInfo w15:providerId="Windows Live" w15:userId="eeb742baae2e2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Y1NDCzMDW2sDAyMTFW0lEKTi0uzszPAykwrAUA35ygMSwAAAA="/>
    <w:docVar w:name="dgnword-docGUID" w:val="{65D3ACDD-3307-4D60-98C9-0E58243FA91C}"/>
    <w:docVar w:name="dgnword-eventsink" w:val="356619120"/>
  </w:docVars>
  <w:rsids>
    <w:rsidRoot w:val="00821A29"/>
    <w:rsid w:val="000002CB"/>
    <w:rsid w:val="00001AB4"/>
    <w:rsid w:val="00003F54"/>
    <w:rsid w:val="00005314"/>
    <w:rsid w:val="00006805"/>
    <w:rsid w:val="00006CCB"/>
    <w:rsid w:val="00006ED6"/>
    <w:rsid w:val="00010120"/>
    <w:rsid w:val="000103DF"/>
    <w:rsid w:val="000104F1"/>
    <w:rsid w:val="0001066F"/>
    <w:rsid w:val="00010FAE"/>
    <w:rsid w:val="000112F2"/>
    <w:rsid w:val="00013222"/>
    <w:rsid w:val="00016C47"/>
    <w:rsid w:val="00017B08"/>
    <w:rsid w:val="0002095B"/>
    <w:rsid w:val="00023AD9"/>
    <w:rsid w:val="0002487C"/>
    <w:rsid w:val="00024BD3"/>
    <w:rsid w:val="00031659"/>
    <w:rsid w:val="00031805"/>
    <w:rsid w:val="00031C1C"/>
    <w:rsid w:val="00032ABA"/>
    <w:rsid w:val="0003318E"/>
    <w:rsid w:val="00033509"/>
    <w:rsid w:val="00033D03"/>
    <w:rsid w:val="00034404"/>
    <w:rsid w:val="0003452C"/>
    <w:rsid w:val="000346EF"/>
    <w:rsid w:val="0003710E"/>
    <w:rsid w:val="000412CF"/>
    <w:rsid w:val="00043079"/>
    <w:rsid w:val="00043202"/>
    <w:rsid w:val="000461CF"/>
    <w:rsid w:val="000466A2"/>
    <w:rsid w:val="00047231"/>
    <w:rsid w:val="0005290F"/>
    <w:rsid w:val="00052C8F"/>
    <w:rsid w:val="00054EA9"/>
    <w:rsid w:val="00054F42"/>
    <w:rsid w:val="00056016"/>
    <w:rsid w:val="0005632C"/>
    <w:rsid w:val="0005659C"/>
    <w:rsid w:val="00057F71"/>
    <w:rsid w:val="00062067"/>
    <w:rsid w:val="00064DC7"/>
    <w:rsid w:val="0006565B"/>
    <w:rsid w:val="00065C62"/>
    <w:rsid w:val="00065CDE"/>
    <w:rsid w:val="00065F4A"/>
    <w:rsid w:val="000666C7"/>
    <w:rsid w:val="00066F27"/>
    <w:rsid w:val="00067338"/>
    <w:rsid w:val="00067484"/>
    <w:rsid w:val="000674AA"/>
    <w:rsid w:val="00070FFE"/>
    <w:rsid w:val="0007132E"/>
    <w:rsid w:val="00072640"/>
    <w:rsid w:val="00074CDF"/>
    <w:rsid w:val="00075D98"/>
    <w:rsid w:val="00076599"/>
    <w:rsid w:val="00076C90"/>
    <w:rsid w:val="00077D7D"/>
    <w:rsid w:val="000805F5"/>
    <w:rsid w:val="00080FF3"/>
    <w:rsid w:val="00083326"/>
    <w:rsid w:val="000847FE"/>
    <w:rsid w:val="00084BC4"/>
    <w:rsid w:val="0008596D"/>
    <w:rsid w:val="00086008"/>
    <w:rsid w:val="00086133"/>
    <w:rsid w:val="00087A2B"/>
    <w:rsid w:val="00096599"/>
    <w:rsid w:val="000A08C7"/>
    <w:rsid w:val="000A1AD9"/>
    <w:rsid w:val="000A225B"/>
    <w:rsid w:val="000A24EE"/>
    <w:rsid w:val="000A2694"/>
    <w:rsid w:val="000A2ECD"/>
    <w:rsid w:val="000A2EF1"/>
    <w:rsid w:val="000A2F18"/>
    <w:rsid w:val="000A36D4"/>
    <w:rsid w:val="000A3877"/>
    <w:rsid w:val="000A4B9D"/>
    <w:rsid w:val="000A573D"/>
    <w:rsid w:val="000A6FBD"/>
    <w:rsid w:val="000A754E"/>
    <w:rsid w:val="000B1037"/>
    <w:rsid w:val="000B1665"/>
    <w:rsid w:val="000B16E1"/>
    <w:rsid w:val="000B3546"/>
    <w:rsid w:val="000B3CD8"/>
    <w:rsid w:val="000B56CD"/>
    <w:rsid w:val="000B5E23"/>
    <w:rsid w:val="000B5E9C"/>
    <w:rsid w:val="000B664A"/>
    <w:rsid w:val="000B6B69"/>
    <w:rsid w:val="000B7AC4"/>
    <w:rsid w:val="000C0142"/>
    <w:rsid w:val="000C2A69"/>
    <w:rsid w:val="000C2E56"/>
    <w:rsid w:val="000C303B"/>
    <w:rsid w:val="000C338F"/>
    <w:rsid w:val="000C3E15"/>
    <w:rsid w:val="000C4B56"/>
    <w:rsid w:val="000C557B"/>
    <w:rsid w:val="000C647C"/>
    <w:rsid w:val="000C6A40"/>
    <w:rsid w:val="000C6A75"/>
    <w:rsid w:val="000C7112"/>
    <w:rsid w:val="000C7513"/>
    <w:rsid w:val="000D0023"/>
    <w:rsid w:val="000D244B"/>
    <w:rsid w:val="000D26D6"/>
    <w:rsid w:val="000D2E92"/>
    <w:rsid w:val="000D3ECD"/>
    <w:rsid w:val="000D5857"/>
    <w:rsid w:val="000D7738"/>
    <w:rsid w:val="000E3DCA"/>
    <w:rsid w:val="000E505C"/>
    <w:rsid w:val="000E6426"/>
    <w:rsid w:val="000E6607"/>
    <w:rsid w:val="000E7930"/>
    <w:rsid w:val="000F00F0"/>
    <w:rsid w:val="000F094D"/>
    <w:rsid w:val="000F1243"/>
    <w:rsid w:val="000F1BEB"/>
    <w:rsid w:val="000F2534"/>
    <w:rsid w:val="000F3652"/>
    <w:rsid w:val="000F4DEC"/>
    <w:rsid w:val="000F64F8"/>
    <w:rsid w:val="00100D55"/>
    <w:rsid w:val="00101317"/>
    <w:rsid w:val="00102D62"/>
    <w:rsid w:val="00102EDC"/>
    <w:rsid w:val="00103687"/>
    <w:rsid w:val="00103899"/>
    <w:rsid w:val="001045F0"/>
    <w:rsid w:val="00110708"/>
    <w:rsid w:val="001135D7"/>
    <w:rsid w:val="0011434A"/>
    <w:rsid w:val="001149C2"/>
    <w:rsid w:val="00114E34"/>
    <w:rsid w:val="001154BE"/>
    <w:rsid w:val="001164D4"/>
    <w:rsid w:val="0011764E"/>
    <w:rsid w:val="00117D45"/>
    <w:rsid w:val="001254AC"/>
    <w:rsid w:val="00125A4E"/>
    <w:rsid w:val="0012701F"/>
    <w:rsid w:val="001279AE"/>
    <w:rsid w:val="0013092C"/>
    <w:rsid w:val="00133331"/>
    <w:rsid w:val="00133711"/>
    <w:rsid w:val="00134EB1"/>
    <w:rsid w:val="00136094"/>
    <w:rsid w:val="001364D3"/>
    <w:rsid w:val="00136E76"/>
    <w:rsid w:val="001434AC"/>
    <w:rsid w:val="001442A6"/>
    <w:rsid w:val="0014499C"/>
    <w:rsid w:val="001459A9"/>
    <w:rsid w:val="00146588"/>
    <w:rsid w:val="001468C6"/>
    <w:rsid w:val="00146C47"/>
    <w:rsid w:val="00147311"/>
    <w:rsid w:val="001477CC"/>
    <w:rsid w:val="00150529"/>
    <w:rsid w:val="00150A56"/>
    <w:rsid w:val="001520C3"/>
    <w:rsid w:val="0015264F"/>
    <w:rsid w:val="00153209"/>
    <w:rsid w:val="00155F8C"/>
    <w:rsid w:val="00156126"/>
    <w:rsid w:val="00156803"/>
    <w:rsid w:val="00156916"/>
    <w:rsid w:val="00160232"/>
    <w:rsid w:val="00160C96"/>
    <w:rsid w:val="00162164"/>
    <w:rsid w:val="00163DE0"/>
    <w:rsid w:val="00164C21"/>
    <w:rsid w:val="00165A49"/>
    <w:rsid w:val="00165FE8"/>
    <w:rsid w:val="00170938"/>
    <w:rsid w:val="001717AF"/>
    <w:rsid w:val="001722AD"/>
    <w:rsid w:val="00173577"/>
    <w:rsid w:val="00174FFC"/>
    <w:rsid w:val="0017541B"/>
    <w:rsid w:val="0017638E"/>
    <w:rsid w:val="00176AA5"/>
    <w:rsid w:val="0017720E"/>
    <w:rsid w:val="00177893"/>
    <w:rsid w:val="00177DA7"/>
    <w:rsid w:val="00180784"/>
    <w:rsid w:val="00180C25"/>
    <w:rsid w:val="00181877"/>
    <w:rsid w:val="001820B5"/>
    <w:rsid w:val="00182A8E"/>
    <w:rsid w:val="00182FE9"/>
    <w:rsid w:val="00183013"/>
    <w:rsid w:val="00183DFF"/>
    <w:rsid w:val="00184221"/>
    <w:rsid w:val="00185512"/>
    <w:rsid w:val="00185698"/>
    <w:rsid w:val="00186307"/>
    <w:rsid w:val="00186603"/>
    <w:rsid w:val="001866AA"/>
    <w:rsid w:val="00186A07"/>
    <w:rsid w:val="00186EBC"/>
    <w:rsid w:val="00190E7C"/>
    <w:rsid w:val="00191DC0"/>
    <w:rsid w:val="00191ED5"/>
    <w:rsid w:val="001922B1"/>
    <w:rsid w:val="001927CA"/>
    <w:rsid w:val="00195153"/>
    <w:rsid w:val="001955F2"/>
    <w:rsid w:val="00195DA4"/>
    <w:rsid w:val="0019675A"/>
    <w:rsid w:val="001A0142"/>
    <w:rsid w:val="001A02B2"/>
    <w:rsid w:val="001A05E9"/>
    <w:rsid w:val="001A12EF"/>
    <w:rsid w:val="001A3354"/>
    <w:rsid w:val="001A4F6E"/>
    <w:rsid w:val="001A5E6E"/>
    <w:rsid w:val="001A7592"/>
    <w:rsid w:val="001B00CE"/>
    <w:rsid w:val="001B06D8"/>
    <w:rsid w:val="001B1066"/>
    <w:rsid w:val="001B1A97"/>
    <w:rsid w:val="001B2FA8"/>
    <w:rsid w:val="001B4939"/>
    <w:rsid w:val="001B5CAC"/>
    <w:rsid w:val="001B5DA2"/>
    <w:rsid w:val="001B6389"/>
    <w:rsid w:val="001B65C3"/>
    <w:rsid w:val="001C03F8"/>
    <w:rsid w:val="001C04CC"/>
    <w:rsid w:val="001C051E"/>
    <w:rsid w:val="001C0AC6"/>
    <w:rsid w:val="001C0B2C"/>
    <w:rsid w:val="001C0F17"/>
    <w:rsid w:val="001C12C8"/>
    <w:rsid w:val="001C2596"/>
    <w:rsid w:val="001C3E0A"/>
    <w:rsid w:val="001C5233"/>
    <w:rsid w:val="001C554F"/>
    <w:rsid w:val="001C6160"/>
    <w:rsid w:val="001C6527"/>
    <w:rsid w:val="001C6ADC"/>
    <w:rsid w:val="001D3157"/>
    <w:rsid w:val="001D411C"/>
    <w:rsid w:val="001D45D9"/>
    <w:rsid w:val="001D4E50"/>
    <w:rsid w:val="001D5DE3"/>
    <w:rsid w:val="001D7AFD"/>
    <w:rsid w:val="001D7C57"/>
    <w:rsid w:val="001E0C75"/>
    <w:rsid w:val="001E14DD"/>
    <w:rsid w:val="001E1B1E"/>
    <w:rsid w:val="001E26F7"/>
    <w:rsid w:val="001E4361"/>
    <w:rsid w:val="001E51BD"/>
    <w:rsid w:val="001E5918"/>
    <w:rsid w:val="001E6DE6"/>
    <w:rsid w:val="001F053C"/>
    <w:rsid w:val="001F073C"/>
    <w:rsid w:val="001F1B27"/>
    <w:rsid w:val="001F23E8"/>
    <w:rsid w:val="001F2912"/>
    <w:rsid w:val="001F3513"/>
    <w:rsid w:val="001F3F59"/>
    <w:rsid w:val="001F513F"/>
    <w:rsid w:val="001F55C3"/>
    <w:rsid w:val="001F5B01"/>
    <w:rsid w:val="001F6A1F"/>
    <w:rsid w:val="002001C6"/>
    <w:rsid w:val="00200296"/>
    <w:rsid w:val="00201ADB"/>
    <w:rsid w:val="00202E75"/>
    <w:rsid w:val="00205376"/>
    <w:rsid w:val="002058E5"/>
    <w:rsid w:val="00206B96"/>
    <w:rsid w:val="00206D58"/>
    <w:rsid w:val="00210158"/>
    <w:rsid w:val="00210FAA"/>
    <w:rsid w:val="002158DB"/>
    <w:rsid w:val="002158DC"/>
    <w:rsid w:val="00215B9C"/>
    <w:rsid w:val="00215D57"/>
    <w:rsid w:val="00216BAC"/>
    <w:rsid w:val="00217E96"/>
    <w:rsid w:val="002208C5"/>
    <w:rsid w:val="00222FEA"/>
    <w:rsid w:val="002234A6"/>
    <w:rsid w:val="00223726"/>
    <w:rsid w:val="00223C9B"/>
    <w:rsid w:val="00226929"/>
    <w:rsid w:val="00227D60"/>
    <w:rsid w:val="00235FB7"/>
    <w:rsid w:val="0023622B"/>
    <w:rsid w:val="002363F7"/>
    <w:rsid w:val="00236526"/>
    <w:rsid w:val="002376AD"/>
    <w:rsid w:val="00237B10"/>
    <w:rsid w:val="00237CA4"/>
    <w:rsid w:val="00240A73"/>
    <w:rsid w:val="00241030"/>
    <w:rsid w:val="002425EA"/>
    <w:rsid w:val="00242EA0"/>
    <w:rsid w:val="00243258"/>
    <w:rsid w:val="00243685"/>
    <w:rsid w:val="00245AFD"/>
    <w:rsid w:val="002463DB"/>
    <w:rsid w:val="0024650E"/>
    <w:rsid w:val="00247106"/>
    <w:rsid w:val="00247142"/>
    <w:rsid w:val="00252A1A"/>
    <w:rsid w:val="00252BD6"/>
    <w:rsid w:val="00252CE2"/>
    <w:rsid w:val="00253B77"/>
    <w:rsid w:val="00254E9F"/>
    <w:rsid w:val="00255D21"/>
    <w:rsid w:val="0025613F"/>
    <w:rsid w:val="0025692D"/>
    <w:rsid w:val="00256D1A"/>
    <w:rsid w:val="002609A6"/>
    <w:rsid w:val="00261DC6"/>
    <w:rsid w:val="00264623"/>
    <w:rsid w:val="0026501B"/>
    <w:rsid w:val="00266E46"/>
    <w:rsid w:val="002702F9"/>
    <w:rsid w:val="0027068B"/>
    <w:rsid w:val="00270A90"/>
    <w:rsid w:val="0027259E"/>
    <w:rsid w:val="002725C6"/>
    <w:rsid w:val="00272891"/>
    <w:rsid w:val="00273C92"/>
    <w:rsid w:val="00274FA9"/>
    <w:rsid w:val="002765C7"/>
    <w:rsid w:val="00276E99"/>
    <w:rsid w:val="0027750D"/>
    <w:rsid w:val="00277552"/>
    <w:rsid w:val="00280B5B"/>
    <w:rsid w:val="00282D1F"/>
    <w:rsid w:val="002836DF"/>
    <w:rsid w:val="00283E8D"/>
    <w:rsid w:val="00285629"/>
    <w:rsid w:val="00285A1C"/>
    <w:rsid w:val="002861A3"/>
    <w:rsid w:val="00286ABD"/>
    <w:rsid w:val="002910E4"/>
    <w:rsid w:val="00291B24"/>
    <w:rsid w:val="002928F4"/>
    <w:rsid w:val="0029749F"/>
    <w:rsid w:val="00297B77"/>
    <w:rsid w:val="002A05B1"/>
    <w:rsid w:val="002A155B"/>
    <w:rsid w:val="002A305B"/>
    <w:rsid w:val="002A4503"/>
    <w:rsid w:val="002A46D3"/>
    <w:rsid w:val="002A4C83"/>
    <w:rsid w:val="002A6875"/>
    <w:rsid w:val="002B291C"/>
    <w:rsid w:val="002B3098"/>
    <w:rsid w:val="002B3863"/>
    <w:rsid w:val="002B4356"/>
    <w:rsid w:val="002B4941"/>
    <w:rsid w:val="002B4CEA"/>
    <w:rsid w:val="002B4E45"/>
    <w:rsid w:val="002B5D74"/>
    <w:rsid w:val="002B5FD9"/>
    <w:rsid w:val="002B7ADB"/>
    <w:rsid w:val="002C05A6"/>
    <w:rsid w:val="002C190F"/>
    <w:rsid w:val="002C1926"/>
    <w:rsid w:val="002C19E1"/>
    <w:rsid w:val="002C1D2F"/>
    <w:rsid w:val="002C383E"/>
    <w:rsid w:val="002C3C7C"/>
    <w:rsid w:val="002C5608"/>
    <w:rsid w:val="002C76EA"/>
    <w:rsid w:val="002D0DFF"/>
    <w:rsid w:val="002D0EBE"/>
    <w:rsid w:val="002D169A"/>
    <w:rsid w:val="002D2D20"/>
    <w:rsid w:val="002D2FCA"/>
    <w:rsid w:val="002D34C2"/>
    <w:rsid w:val="002D3A7B"/>
    <w:rsid w:val="002D6219"/>
    <w:rsid w:val="002D7823"/>
    <w:rsid w:val="002D7E61"/>
    <w:rsid w:val="002E109C"/>
    <w:rsid w:val="002E2BC4"/>
    <w:rsid w:val="002E3A6E"/>
    <w:rsid w:val="002E3BA2"/>
    <w:rsid w:val="002E42FD"/>
    <w:rsid w:val="002E4C2D"/>
    <w:rsid w:val="002E5B26"/>
    <w:rsid w:val="002E5DEA"/>
    <w:rsid w:val="002E71BD"/>
    <w:rsid w:val="002E724A"/>
    <w:rsid w:val="002F0A5E"/>
    <w:rsid w:val="002F0CC4"/>
    <w:rsid w:val="002F0F22"/>
    <w:rsid w:val="002F1CD7"/>
    <w:rsid w:val="002F259E"/>
    <w:rsid w:val="002F2725"/>
    <w:rsid w:val="002F311E"/>
    <w:rsid w:val="002F46AE"/>
    <w:rsid w:val="002F4A04"/>
    <w:rsid w:val="002F5772"/>
    <w:rsid w:val="002F69DF"/>
    <w:rsid w:val="002F7041"/>
    <w:rsid w:val="002F71B8"/>
    <w:rsid w:val="003003AB"/>
    <w:rsid w:val="0030057F"/>
    <w:rsid w:val="003013A7"/>
    <w:rsid w:val="00301AC8"/>
    <w:rsid w:val="00301EA1"/>
    <w:rsid w:val="00302873"/>
    <w:rsid w:val="00302FCC"/>
    <w:rsid w:val="00304958"/>
    <w:rsid w:val="003058CD"/>
    <w:rsid w:val="00306209"/>
    <w:rsid w:val="003062AE"/>
    <w:rsid w:val="003064C1"/>
    <w:rsid w:val="003077CF"/>
    <w:rsid w:val="00310323"/>
    <w:rsid w:val="003109CB"/>
    <w:rsid w:val="00310ACA"/>
    <w:rsid w:val="00311633"/>
    <w:rsid w:val="00315514"/>
    <w:rsid w:val="003155E4"/>
    <w:rsid w:val="00316152"/>
    <w:rsid w:val="00320D29"/>
    <w:rsid w:val="0032119B"/>
    <w:rsid w:val="0032185D"/>
    <w:rsid w:val="00322547"/>
    <w:rsid w:val="0032686C"/>
    <w:rsid w:val="003301C7"/>
    <w:rsid w:val="00330DF5"/>
    <w:rsid w:val="00331D64"/>
    <w:rsid w:val="003334E0"/>
    <w:rsid w:val="0033402E"/>
    <w:rsid w:val="003343F4"/>
    <w:rsid w:val="00334ACF"/>
    <w:rsid w:val="00341A14"/>
    <w:rsid w:val="00341E66"/>
    <w:rsid w:val="00343A68"/>
    <w:rsid w:val="00343EC0"/>
    <w:rsid w:val="00344AC2"/>
    <w:rsid w:val="003462B1"/>
    <w:rsid w:val="00346C15"/>
    <w:rsid w:val="00347094"/>
    <w:rsid w:val="003474B9"/>
    <w:rsid w:val="00350003"/>
    <w:rsid w:val="00351381"/>
    <w:rsid w:val="0035169D"/>
    <w:rsid w:val="003530A6"/>
    <w:rsid w:val="00353627"/>
    <w:rsid w:val="00353B9C"/>
    <w:rsid w:val="00355B2A"/>
    <w:rsid w:val="00355F72"/>
    <w:rsid w:val="00357454"/>
    <w:rsid w:val="00357657"/>
    <w:rsid w:val="00360AC0"/>
    <w:rsid w:val="00360EF1"/>
    <w:rsid w:val="00361C6B"/>
    <w:rsid w:val="003639A6"/>
    <w:rsid w:val="00365094"/>
    <w:rsid w:val="003662E5"/>
    <w:rsid w:val="00367005"/>
    <w:rsid w:val="003679AE"/>
    <w:rsid w:val="003702D7"/>
    <w:rsid w:val="00370730"/>
    <w:rsid w:val="00370B41"/>
    <w:rsid w:val="00371F74"/>
    <w:rsid w:val="003725B4"/>
    <w:rsid w:val="00373980"/>
    <w:rsid w:val="003739C4"/>
    <w:rsid w:val="00374F8B"/>
    <w:rsid w:val="00377165"/>
    <w:rsid w:val="0038027E"/>
    <w:rsid w:val="00380863"/>
    <w:rsid w:val="00381356"/>
    <w:rsid w:val="003819E5"/>
    <w:rsid w:val="00381EE3"/>
    <w:rsid w:val="0038281C"/>
    <w:rsid w:val="00384A56"/>
    <w:rsid w:val="003851FE"/>
    <w:rsid w:val="00385A64"/>
    <w:rsid w:val="00386D1A"/>
    <w:rsid w:val="00387679"/>
    <w:rsid w:val="003903A1"/>
    <w:rsid w:val="003904B6"/>
    <w:rsid w:val="00390830"/>
    <w:rsid w:val="00391BEF"/>
    <w:rsid w:val="003931F3"/>
    <w:rsid w:val="00394674"/>
    <w:rsid w:val="00394F90"/>
    <w:rsid w:val="00395110"/>
    <w:rsid w:val="0039632F"/>
    <w:rsid w:val="003965C0"/>
    <w:rsid w:val="00396848"/>
    <w:rsid w:val="00397170"/>
    <w:rsid w:val="00397376"/>
    <w:rsid w:val="003A0655"/>
    <w:rsid w:val="003A16E0"/>
    <w:rsid w:val="003A1DA6"/>
    <w:rsid w:val="003A265D"/>
    <w:rsid w:val="003A31A0"/>
    <w:rsid w:val="003A3433"/>
    <w:rsid w:val="003A4C9D"/>
    <w:rsid w:val="003A537E"/>
    <w:rsid w:val="003A660F"/>
    <w:rsid w:val="003A7853"/>
    <w:rsid w:val="003B095E"/>
    <w:rsid w:val="003B116E"/>
    <w:rsid w:val="003B504D"/>
    <w:rsid w:val="003C0BF9"/>
    <w:rsid w:val="003C0EAF"/>
    <w:rsid w:val="003C1A9F"/>
    <w:rsid w:val="003C20CA"/>
    <w:rsid w:val="003C3529"/>
    <w:rsid w:val="003C37D1"/>
    <w:rsid w:val="003C3D2B"/>
    <w:rsid w:val="003C4553"/>
    <w:rsid w:val="003C5F28"/>
    <w:rsid w:val="003C70CD"/>
    <w:rsid w:val="003D0283"/>
    <w:rsid w:val="003D0355"/>
    <w:rsid w:val="003D11A9"/>
    <w:rsid w:val="003D2329"/>
    <w:rsid w:val="003D23A2"/>
    <w:rsid w:val="003D2522"/>
    <w:rsid w:val="003D2A36"/>
    <w:rsid w:val="003D2A37"/>
    <w:rsid w:val="003D2BDD"/>
    <w:rsid w:val="003D2F3C"/>
    <w:rsid w:val="003D2FDB"/>
    <w:rsid w:val="003D677E"/>
    <w:rsid w:val="003D69EF"/>
    <w:rsid w:val="003D6EE9"/>
    <w:rsid w:val="003D7436"/>
    <w:rsid w:val="003D7F8C"/>
    <w:rsid w:val="003E0EDB"/>
    <w:rsid w:val="003E1DD2"/>
    <w:rsid w:val="003E33E3"/>
    <w:rsid w:val="003E42AF"/>
    <w:rsid w:val="003E6475"/>
    <w:rsid w:val="003F0AEE"/>
    <w:rsid w:val="003F105A"/>
    <w:rsid w:val="003F13D4"/>
    <w:rsid w:val="003F154A"/>
    <w:rsid w:val="003F283D"/>
    <w:rsid w:val="003F4861"/>
    <w:rsid w:val="003F558D"/>
    <w:rsid w:val="003F6199"/>
    <w:rsid w:val="003F6DE2"/>
    <w:rsid w:val="003F75CA"/>
    <w:rsid w:val="00401A8D"/>
    <w:rsid w:val="00402914"/>
    <w:rsid w:val="004033BF"/>
    <w:rsid w:val="00403E7C"/>
    <w:rsid w:val="00405B6C"/>
    <w:rsid w:val="00405E9D"/>
    <w:rsid w:val="004071DD"/>
    <w:rsid w:val="00407747"/>
    <w:rsid w:val="00412BD7"/>
    <w:rsid w:val="00412EFC"/>
    <w:rsid w:val="00413315"/>
    <w:rsid w:val="00414EB8"/>
    <w:rsid w:val="004164D0"/>
    <w:rsid w:val="00416D9C"/>
    <w:rsid w:val="00417875"/>
    <w:rsid w:val="00421450"/>
    <w:rsid w:val="004225F0"/>
    <w:rsid w:val="0042651C"/>
    <w:rsid w:val="00427E55"/>
    <w:rsid w:val="0043140C"/>
    <w:rsid w:val="004325C9"/>
    <w:rsid w:val="0043280A"/>
    <w:rsid w:val="0043286E"/>
    <w:rsid w:val="00436432"/>
    <w:rsid w:val="00437BB5"/>
    <w:rsid w:val="004434AB"/>
    <w:rsid w:val="004444DF"/>
    <w:rsid w:val="00446443"/>
    <w:rsid w:val="004464D7"/>
    <w:rsid w:val="004471CB"/>
    <w:rsid w:val="00447BC4"/>
    <w:rsid w:val="00451D14"/>
    <w:rsid w:val="004528CE"/>
    <w:rsid w:val="00453795"/>
    <w:rsid w:val="00453BAE"/>
    <w:rsid w:val="00453D59"/>
    <w:rsid w:val="00454493"/>
    <w:rsid w:val="004619BB"/>
    <w:rsid w:val="004648EA"/>
    <w:rsid w:val="0046520A"/>
    <w:rsid w:val="00465567"/>
    <w:rsid w:val="00465777"/>
    <w:rsid w:val="00465D3F"/>
    <w:rsid w:val="0046621E"/>
    <w:rsid w:val="0046650A"/>
    <w:rsid w:val="0046756C"/>
    <w:rsid w:val="004677D6"/>
    <w:rsid w:val="00471CA6"/>
    <w:rsid w:val="00472583"/>
    <w:rsid w:val="00472D4D"/>
    <w:rsid w:val="00473F96"/>
    <w:rsid w:val="00473FD2"/>
    <w:rsid w:val="0047452B"/>
    <w:rsid w:val="00475C1C"/>
    <w:rsid w:val="00475C81"/>
    <w:rsid w:val="004804E8"/>
    <w:rsid w:val="00481659"/>
    <w:rsid w:val="00481989"/>
    <w:rsid w:val="004824DD"/>
    <w:rsid w:val="00485055"/>
    <w:rsid w:val="00485C8A"/>
    <w:rsid w:val="00490773"/>
    <w:rsid w:val="004919DD"/>
    <w:rsid w:val="00494F7C"/>
    <w:rsid w:val="004A0C48"/>
    <w:rsid w:val="004A1988"/>
    <w:rsid w:val="004A1AAF"/>
    <w:rsid w:val="004A2491"/>
    <w:rsid w:val="004A2DF5"/>
    <w:rsid w:val="004A3917"/>
    <w:rsid w:val="004A4EF3"/>
    <w:rsid w:val="004A59A8"/>
    <w:rsid w:val="004A5D98"/>
    <w:rsid w:val="004B00F2"/>
    <w:rsid w:val="004B064F"/>
    <w:rsid w:val="004B18C7"/>
    <w:rsid w:val="004B25AA"/>
    <w:rsid w:val="004B29D9"/>
    <w:rsid w:val="004B2C62"/>
    <w:rsid w:val="004B3C00"/>
    <w:rsid w:val="004B3F29"/>
    <w:rsid w:val="004B4B59"/>
    <w:rsid w:val="004B6A42"/>
    <w:rsid w:val="004B7390"/>
    <w:rsid w:val="004C3E4B"/>
    <w:rsid w:val="004C5444"/>
    <w:rsid w:val="004C60A1"/>
    <w:rsid w:val="004C6CB7"/>
    <w:rsid w:val="004C7147"/>
    <w:rsid w:val="004C793D"/>
    <w:rsid w:val="004D1006"/>
    <w:rsid w:val="004D196D"/>
    <w:rsid w:val="004D2653"/>
    <w:rsid w:val="004D26B5"/>
    <w:rsid w:val="004D273F"/>
    <w:rsid w:val="004D45DF"/>
    <w:rsid w:val="004D614C"/>
    <w:rsid w:val="004D62EC"/>
    <w:rsid w:val="004D6B9F"/>
    <w:rsid w:val="004E0317"/>
    <w:rsid w:val="004E0BE2"/>
    <w:rsid w:val="004E0C0B"/>
    <w:rsid w:val="004E0F46"/>
    <w:rsid w:val="004E2125"/>
    <w:rsid w:val="004E22CD"/>
    <w:rsid w:val="004E2407"/>
    <w:rsid w:val="004E3B71"/>
    <w:rsid w:val="004E65CD"/>
    <w:rsid w:val="004E65DE"/>
    <w:rsid w:val="004E68B9"/>
    <w:rsid w:val="004E6E3B"/>
    <w:rsid w:val="004E7B27"/>
    <w:rsid w:val="004F3688"/>
    <w:rsid w:val="004F38A5"/>
    <w:rsid w:val="004F3AAE"/>
    <w:rsid w:val="004F3EFE"/>
    <w:rsid w:val="004F4415"/>
    <w:rsid w:val="004F4985"/>
    <w:rsid w:val="004F4BDE"/>
    <w:rsid w:val="004F5B73"/>
    <w:rsid w:val="004F6163"/>
    <w:rsid w:val="004F7CAC"/>
    <w:rsid w:val="00501607"/>
    <w:rsid w:val="0050211C"/>
    <w:rsid w:val="005029BB"/>
    <w:rsid w:val="0050312D"/>
    <w:rsid w:val="0050323A"/>
    <w:rsid w:val="00503EE2"/>
    <w:rsid w:val="00504866"/>
    <w:rsid w:val="00505AE4"/>
    <w:rsid w:val="00505F13"/>
    <w:rsid w:val="005064C3"/>
    <w:rsid w:val="005065CC"/>
    <w:rsid w:val="0050762C"/>
    <w:rsid w:val="00507713"/>
    <w:rsid w:val="00507A55"/>
    <w:rsid w:val="00510BD8"/>
    <w:rsid w:val="00511320"/>
    <w:rsid w:val="00511BC4"/>
    <w:rsid w:val="00512240"/>
    <w:rsid w:val="005143F9"/>
    <w:rsid w:val="005151D2"/>
    <w:rsid w:val="00516566"/>
    <w:rsid w:val="00517710"/>
    <w:rsid w:val="00517E88"/>
    <w:rsid w:val="00517EF9"/>
    <w:rsid w:val="00520B50"/>
    <w:rsid w:val="00520BA4"/>
    <w:rsid w:val="005218C3"/>
    <w:rsid w:val="00523CCA"/>
    <w:rsid w:val="0052401B"/>
    <w:rsid w:val="00525275"/>
    <w:rsid w:val="0052535C"/>
    <w:rsid w:val="00526993"/>
    <w:rsid w:val="005272BA"/>
    <w:rsid w:val="0053037B"/>
    <w:rsid w:val="00531C11"/>
    <w:rsid w:val="00532A7B"/>
    <w:rsid w:val="005335B2"/>
    <w:rsid w:val="00533A6C"/>
    <w:rsid w:val="005356B8"/>
    <w:rsid w:val="005358A1"/>
    <w:rsid w:val="00535C74"/>
    <w:rsid w:val="005361AB"/>
    <w:rsid w:val="00537806"/>
    <w:rsid w:val="00541D43"/>
    <w:rsid w:val="00542068"/>
    <w:rsid w:val="00543AF9"/>
    <w:rsid w:val="00544B63"/>
    <w:rsid w:val="0054572C"/>
    <w:rsid w:val="005457FE"/>
    <w:rsid w:val="00547950"/>
    <w:rsid w:val="00550928"/>
    <w:rsid w:val="00552D72"/>
    <w:rsid w:val="0055532F"/>
    <w:rsid w:val="005558A9"/>
    <w:rsid w:val="00561642"/>
    <w:rsid w:val="00561A83"/>
    <w:rsid w:val="00561D24"/>
    <w:rsid w:val="00561D66"/>
    <w:rsid w:val="0056215E"/>
    <w:rsid w:val="00562A3F"/>
    <w:rsid w:val="00564172"/>
    <w:rsid w:val="00564687"/>
    <w:rsid w:val="005661F1"/>
    <w:rsid w:val="00573889"/>
    <w:rsid w:val="005740CC"/>
    <w:rsid w:val="00574234"/>
    <w:rsid w:val="0057448D"/>
    <w:rsid w:val="0057468D"/>
    <w:rsid w:val="00574DF4"/>
    <w:rsid w:val="0057631B"/>
    <w:rsid w:val="00576ADE"/>
    <w:rsid w:val="00576B9B"/>
    <w:rsid w:val="00577CFD"/>
    <w:rsid w:val="00577DEF"/>
    <w:rsid w:val="005808D9"/>
    <w:rsid w:val="00582CC8"/>
    <w:rsid w:val="00585BA4"/>
    <w:rsid w:val="00586690"/>
    <w:rsid w:val="0058689A"/>
    <w:rsid w:val="00587023"/>
    <w:rsid w:val="00587EAD"/>
    <w:rsid w:val="00590838"/>
    <w:rsid w:val="00590BE1"/>
    <w:rsid w:val="0059125C"/>
    <w:rsid w:val="00591586"/>
    <w:rsid w:val="005924A7"/>
    <w:rsid w:val="005931B1"/>
    <w:rsid w:val="00593AE3"/>
    <w:rsid w:val="005948F6"/>
    <w:rsid w:val="00595C2A"/>
    <w:rsid w:val="00597272"/>
    <w:rsid w:val="00597825"/>
    <w:rsid w:val="00597972"/>
    <w:rsid w:val="00597977"/>
    <w:rsid w:val="005A0C6F"/>
    <w:rsid w:val="005A14A9"/>
    <w:rsid w:val="005A1757"/>
    <w:rsid w:val="005A1885"/>
    <w:rsid w:val="005A2561"/>
    <w:rsid w:val="005A2E87"/>
    <w:rsid w:val="005A49A1"/>
    <w:rsid w:val="005A4C36"/>
    <w:rsid w:val="005A7933"/>
    <w:rsid w:val="005B06AE"/>
    <w:rsid w:val="005B27A5"/>
    <w:rsid w:val="005B3765"/>
    <w:rsid w:val="005B48FB"/>
    <w:rsid w:val="005B5536"/>
    <w:rsid w:val="005B622A"/>
    <w:rsid w:val="005B6CAF"/>
    <w:rsid w:val="005B7167"/>
    <w:rsid w:val="005B7871"/>
    <w:rsid w:val="005C079D"/>
    <w:rsid w:val="005C0BF6"/>
    <w:rsid w:val="005C133C"/>
    <w:rsid w:val="005C17EC"/>
    <w:rsid w:val="005C1BD1"/>
    <w:rsid w:val="005C321E"/>
    <w:rsid w:val="005C3BD2"/>
    <w:rsid w:val="005C6285"/>
    <w:rsid w:val="005D23F5"/>
    <w:rsid w:val="005D254B"/>
    <w:rsid w:val="005D2728"/>
    <w:rsid w:val="005D27C3"/>
    <w:rsid w:val="005D3924"/>
    <w:rsid w:val="005D4894"/>
    <w:rsid w:val="005D5373"/>
    <w:rsid w:val="005D5BA1"/>
    <w:rsid w:val="005D622E"/>
    <w:rsid w:val="005D6409"/>
    <w:rsid w:val="005E082A"/>
    <w:rsid w:val="005E10BA"/>
    <w:rsid w:val="005E275F"/>
    <w:rsid w:val="005E4523"/>
    <w:rsid w:val="005E49B2"/>
    <w:rsid w:val="005E49B7"/>
    <w:rsid w:val="005E49FC"/>
    <w:rsid w:val="005F079D"/>
    <w:rsid w:val="005F0AE8"/>
    <w:rsid w:val="005F1592"/>
    <w:rsid w:val="005F2A6B"/>
    <w:rsid w:val="005F3E34"/>
    <w:rsid w:val="005F40C1"/>
    <w:rsid w:val="005F4663"/>
    <w:rsid w:val="005F5331"/>
    <w:rsid w:val="005F63C1"/>
    <w:rsid w:val="005F674A"/>
    <w:rsid w:val="005F67B0"/>
    <w:rsid w:val="005F7F56"/>
    <w:rsid w:val="00601664"/>
    <w:rsid w:val="006024D3"/>
    <w:rsid w:val="00602EDF"/>
    <w:rsid w:val="00602FFF"/>
    <w:rsid w:val="00604104"/>
    <w:rsid w:val="006042E3"/>
    <w:rsid w:val="00605003"/>
    <w:rsid w:val="00605FEE"/>
    <w:rsid w:val="00606847"/>
    <w:rsid w:val="006068D8"/>
    <w:rsid w:val="00606EF9"/>
    <w:rsid w:val="0060706A"/>
    <w:rsid w:val="006070C4"/>
    <w:rsid w:val="00607758"/>
    <w:rsid w:val="0061060D"/>
    <w:rsid w:val="00610D5E"/>
    <w:rsid w:val="006110E8"/>
    <w:rsid w:val="0061225E"/>
    <w:rsid w:val="006122E8"/>
    <w:rsid w:val="0061251D"/>
    <w:rsid w:val="00612F74"/>
    <w:rsid w:val="00613467"/>
    <w:rsid w:val="00614BBD"/>
    <w:rsid w:val="00615108"/>
    <w:rsid w:val="00616E2A"/>
    <w:rsid w:val="0062029A"/>
    <w:rsid w:val="006204DD"/>
    <w:rsid w:val="00622205"/>
    <w:rsid w:val="00622817"/>
    <w:rsid w:val="00623005"/>
    <w:rsid w:val="00623370"/>
    <w:rsid w:val="0062417B"/>
    <w:rsid w:val="00624315"/>
    <w:rsid w:val="0062545B"/>
    <w:rsid w:val="0062552A"/>
    <w:rsid w:val="0062627B"/>
    <w:rsid w:val="006300A0"/>
    <w:rsid w:val="006316BB"/>
    <w:rsid w:val="006322C0"/>
    <w:rsid w:val="00632836"/>
    <w:rsid w:val="006332BE"/>
    <w:rsid w:val="00634A8D"/>
    <w:rsid w:val="00634B2D"/>
    <w:rsid w:val="006378CD"/>
    <w:rsid w:val="006408C3"/>
    <w:rsid w:val="00641998"/>
    <w:rsid w:val="0064620D"/>
    <w:rsid w:val="00650D5F"/>
    <w:rsid w:val="006522CE"/>
    <w:rsid w:val="006523D3"/>
    <w:rsid w:val="00653010"/>
    <w:rsid w:val="006531B4"/>
    <w:rsid w:val="00655302"/>
    <w:rsid w:val="0065673E"/>
    <w:rsid w:val="00656CD9"/>
    <w:rsid w:val="00656D03"/>
    <w:rsid w:val="006574E4"/>
    <w:rsid w:val="00657754"/>
    <w:rsid w:val="0066021D"/>
    <w:rsid w:val="00660C22"/>
    <w:rsid w:val="00661286"/>
    <w:rsid w:val="00661297"/>
    <w:rsid w:val="00662422"/>
    <w:rsid w:val="00662DFF"/>
    <w:rsid w:val="00663408"/>
    <w:rsid w:val="00663B0E"/>
    <w:rsid w:val="00664356"/>
    <w:rsid w:val="0066479A"/>
    <w:rsid w:val="00665124"/>
    <w:rsid w:val="0066513F"/>
    <w:rsid w:val="00666F42"/>
    <w:rsid w:val="00667641"/>
    <w:rsid w:val="00671D3C"/>
    <w:rsid w:val="00672120"/>
    <w:rsid w:val="00672355"/>
    <w:rsid w:val="006729FB"/>
    <w:rsid w:val="00673118"/>
    <w:rsid w:val="0067312F"/>
    <w:rsid w:val="00675454"/>
    <w:rsid w:val="00676A01"/>
    <w:rsid w:val="00676E65"/>
    <w:rsid w:val="00677613"/>
    <w:rsid w:val="00681F2C"/>
    <w:rsid w:val="00682894"/>
    <w:rsid w:val="00684B7E"/>
    <w:rsid w:val="00684D40"/>
    <w:rsid w:val="00684F2F"/>
    <w:rsid w:val="00685F33"/>
    <w:rsid w:val="006866E7"/>
    <w:rsid w:val="0068721C"/>
    <w:rsid w:val="00687327"/>
    <w:rsid w:val="006910FC"/>
    <w:rsid w:val="00691913"/>
    <w:rsid w:val="0069278C"/>
    <w:rsid w:val="00692FB3"/>
    <w:rsid w:val="00694B2F"/>
    <w:rsid w:val="00695AF7"/>
    <w:rsid w:val="00696254"/>
    <w:rsid w:val="006A036A"/>
    <w:rsid w:val="006A138B"/>
    <w:rsid w:val="006A1B53"/>
    <w:rsid w:val="006A1FEC"/>
    <w:rsid w:val="006A285D"/>
    <w:rsid w:val="006A4525"/>
    <w:rsid w:val="006A643E"/>
    <w:rsid w:val="006A7D55"/>
    <w:rsid w:val="006A7E06"/>
    <w:rsid w:val="006B0102"/>
    <w:rsid w:val="006B140A"/>
    <w:rsid w:val="006B1900"/>
    <w:rsid w:val="006B1B16"/>
    <w:rsid w:val="006B277F"/>
    <w:rsid w:val="006B325A"/>
    <w:rsid w:val="006B4C8D"/>
    <w:rsid w:val="006B4CD8"/>
    <w:rsid w:val="006B5E16"/>
    <w:rsid w:val="006B62EF"/>
    <w:rsid w:val="006C381F"/>
    <w:rsid w:val="006C4906"/>
    <w:rsid w:val="006C57D2"/>
    <w:rsid w:val="006C5F41"/>
    <w:rsid w:val="006D1792"/>
    <w:rsid w:val="006D3271"/>
    <w:rsid w:val="006D4124"/>
    <w:rsid w:val="006D4600"/>
    <w:rsid w:val="006D692A"/>
    <w:rsid w:val="006D6AE1"/>
    <w:rsid w:val="006D778F"/>
    <w:rsid w:val="006E026D"/>
    <w:rsid w:val="006E08E7"/>
    <w:rsid w:val="006E109B"/>
    <w:rsid w:val="006E13E6"/>
    <w:rsid w:val="006E16F9"/>
    <w:rsid w:val="006E3930"/>
    <w:rsid w:val="006E5B99"/>
    <w:rsid w:val="006E619E"/>
    <w:rsid w:val="006E6A8F"/>
    <w:rsid w:val="006E6CFF"/>
    <w:rsid w:val="006E7302"/>
    <w:rsid w:val="006E747C"/>
    <w:rsid w:val="006F0265"/>
    <w:rsid w:val="006F161E"/>
    <w:rsid w:val="006F1F2A"/>
    <w:rsid w:val="006F21CC"/>
    <w:rsid w:val="006F34BE"/>
    <w:rsid w:val="006F3661"/>
    <w:rsid w:val="006F4509"/>
    <w:rsid w:val="006F48C3"/>
    <w:rsid w:val="006F5700"/>
    <w:rsid w:val="006F666C"/>
    <w:rsid w:val="006F6BB4"/>
    <w:rsid w:val="00702A9D"/>
    <w:rsid w:val="0070437E"/>
    <w:rsid w:val="00704C8C"/>
    <w:rsid w:val="00704D85"/>
    <w:rsid w:val="0070580A"/>
    <w:rsid w:val="00707082"/>
    <w:rsid w:val="00707FB2"/>
    <w:rsid w:val="00712478"/>
    <w:rsid w:val="00712C73"/>
    <w:rsid w:val="007136A0"/>
    <w:rsid w:val="00714484"/>
    <w:rsid w:val="00714876"/>
    <w:rsid w:val="007174DE"/>
    <w:rsid w:val="007231BA"/>
    <w:rsid w:val="00723AB1"/>
    <w:rsid w:val="00723E1E"/>
    <w:rsid w:val="00726411"/>
    <w:rsid w:val="00726A36"/>
    <w:rsid w:val="00726E50"/>
    <w:rsid w:val="00732378"/>
    <w:rsid w:val="00736192"/>
    <w:rsid w:val="007365E6"/>
    <w:rsid w:val="007378AF"/>
    <w:rsid w:val="0073795F"/>
    <w:rsid w:val="00743CD0"/>
    <w:rsid w:val="00743D8E"/>
    <w:rsid w:val="00747333"/>
    <w:rsid w:val="00747947"/>
    <w:rsid w:val="007509A6"/>
    <w:rsid w:val="00750B5A"/>
    <w:rsid w:val="00751984"/>
    <w:rsid w:val="00753C6D"/>
    <w:rsid w:val="00754AFC"/>
    <w:rsid w:val="00755972"/>
    <w:rsid w:val="00757C5F"/>
    <w:rsid w:val="00757D79"/>
    <w:rsid w:val="00762961"/>
    <w:rsid w:val="007633B0"/>
    <w:rsid w:val="00765107"/>
    <w:rsid w:val="0076534A"/>
    <w:rsid w:val="00765BF7"/>
    <w:rsid w:val="00767D8B"/>
    <w:rsid w:val="00770803"/>
    <w:rsid w:val="00770F65"/>
    <w:rsid w:val="007715D2"/>
    <w:rsid w:val="00772501"/>
    <w:rsid w:val="0077252B"/>
    <w:rsid w:val="00772C70"/>
    <w:rsid w:val="00772E8C"/>
    <w:rsid w:val="007730BF"/>
    <w:rsid w:val="00774525"/>
    <w:rsid w:val="00776638"/>
    <w:rsid w:val="007813B9"/>
    <w:rsid w:val="007836BF"/>
    <w:rsid w:val="007847FA"/>
    <w:rsid w:val="007868B2"/>
    <w:rsid w:val="007871A0"/>
    <w:rsid w:val="0078740A"/>
    <w:rsid w:val="00790910"/>
    <w:rsid w:val="00791645"/>
    <w:rsid w:val="00791DE1"/>
    <w:rsid w:val="007A0232"/>
    <w:rsid w:val="007A02B2"/>
    <w:rsid w:val="007A18B8"/>
    <w:rsid w:val="007A26E1"/>
    <w:rsid w:val="007A3A8C"/>
    <w:rsid w:val="007A3F40"/>
    <w:rsid w:val="007A4534"/>
    <w:rsid w:val="007A4967"/>
    <w:rsid w:val="007A4D21"/>
    <w:rsid w:val="007B0534"/>
    <w:rsid w:val="007B071D"/>
    <w:rsid w:val="007B0E0C"/>
    <w:rsid w:val="007B456C"/>
    <w:rsid w:val="007B6601"/>
    <w:rsid w:val="007B6F6A"/>
    <w:rsid w:val="007B775A"/>
    <w:rsid w:val="007C07C4"/>
    <w:rsid w:val="007C1775"/>
    <w:rsid w:val="007C26E5"/>
    <w:rsid w:val="007C38CF"/>
    <w:rsid w:val="007C5672"/>
    <w:rsid w:val="007C703B"/>
    <w:rsid w:val="007C720A"/>
    <w:rsid w:val="007C796D"/>
    <w:rsid w:val="007C7A37"/>
    <w:rsid w:val="007C7DD3"/>
    <w:rsid w:val="007D1092"/>
    <w:rsid w:val="007D1C9F"/>
    <w:rsid w:val="007D2325"/>
    <w:rsid w:val="007D2621"/>
    <w:rsid w:val="007D27D9"/>
    <w:rsid w:val="007D3077"/>
    <w:rsid w:val="007D43C3"/>
    <w:rsid w:val="007D455A"/>
    <w:rsid w:val="007D48AF"/>
    <w:rsid w:val="007D57B1"/>
    <w:rsid w:val="007E0F3F"/>
    <w:rsid w:val="007E348C"/>
    <w:rsid w:val="007E3562"/>
    <w:rsid w:val="007E40E0"/>
    <w:rsid w:val="007E5E4A"/>
    <w:rsid w:val="007E5F36"/>
    <w:rsid w:val="007F08CA"/>
    <w:rsid w:val="007F0CB0"/>
    <w:rsid w:val="007F1920"/>
    <w:rsid w:val="007F3B6E"/>
    <w:rsid w:val="007F5114"/>
    <w:rsid w:val="007F51E9"/>
    <w:rsid w:val="007F784F"/>
    <w:rsid w:val="007F78ED"/>
    <w:rsid w:val="007F7BF0"/>
    <w:rsid w:val="007F7CBB"/>
    <w:rsid w:val="0080297A"/>
    <w:rsid w:val="008058E8"/>
    <w:rsid w:val="00806434"/>
    <w:rsid w:val="00811ACD"/>
    <w:rsid w:val="0081238A"/>
    <w:rsid w:val="00813288"/>
    <w:rsid w:val="008134B7"/>
    <w:rsid w:val="008146DE"/>
    <w:rsid w:val="0081486E"/>
    <w:rsid w:val="00814CF1"/>
    <w:rsid w:val="008154AE"/>
    <w:rsid w:val="00817BC4"/>
    <w:rsid w:val="008207D9"/>
    <w:rsid w:val="00821A29"/>
    <w:rsid w:val="008223A7"/>
    <w:rsid w:val="00823233"/>
    <w:rsid w:val="00824426"/>
    <w:rsid w:val="008254EF"/>
    <w:rsid w:val="00825F46"/>
    <w:rsid w:val="00830E52"/>
    <w:rsid w:val="008324E3"/>
    <w:rsid w:val="0083262F"/>
    <w:rsid w:val="00832741"/>
    <w:rsid w:val="008329DD"/>
    <w:rsid w:val="00833C5A"/>
    <w:rsid w:val="00833CE7"/>
    <w:rsid w:val="00834150"/>
    <w:rsid w:val="00834DD9"/>
    <w:rsid w:val="00836E8D"/>
    <w:rsid w:val="00836F13"/>
    <w:rsid w:val="008371DA"/>
    <w:rsid w:val="00840F9B"/>
    <w:rsid w:val="008414DF"/>
    <w:rsid w:val="00842612"/>
    <w:rsid w:val="008428A1"/>
    <w:rsid w:val="0084296C"/>
    <w:rsid w:val="00842E88"/>
    <w:rsid w:val="00844FFB"/>
    <w:rsid w:val="00845946"/>
    <w:rsid w:val="0084614A"/>
    <w:rsid w:val="008476A0"/>
    <w:rsid w:val="008479F4"/>
    <w:rsid w:val="00850BA5"/>
    <w:rsid w:val="00851332"/>
    <w:rsid w:val="00851AD4"/>
    <w:rsid w:val="00852266"/>
    <w:rsid w:val="00852363"/>
    <w:rsid w:val="00852F38"/>
    <w:rsid w:val="008540A5"/>
    <w:rsid w:val="0085452D"/>
    <w:rsid w:val="00854C36"/>
    <w:rsid w:val="0085628A"/>
    <w:rsid w:val="00856C34"/>
    <w:rsid w:val="00856DBF"/>
    <w:rsid w:val="0085769C"/>
    <w:rsid w:val="008613F7"/>
    <w:rsid w:val="00864BCC"/>
    <w:rsid w:val="00864BE7"/>
    <w:rsid w:val="0086523B"/>
    <w:rsid w:val="00865DC1"/>
    <w:rsid w:val="00865E0B"/>
    <w:rsid w:val="00866B93"/>
    <w:rsid w:val="008674A3"/>
    <w:rsid w:val="00870089"/>
    <w:rsid w:val="00870A37"/>
    <w:rsid w:val="008741DA"/>
    <w:rsid w:val="008750F9"/>
    <w:rsid w:val="00875341"/>
    <w:rsid w:val="0087536F"/>
    <w:rsid w:val="008756ED"/>
    <w:rsid w:val="00876C4E"/>
    <w:rsid w:val="00880A40"/>
    <w:rsid w:val="00881013"/>
    <w:rsid w:val="008826C1"/>
    <w:rsid w:val="0088301D"/>
    <w:rsid w:val="00885358"/>
    <w:rsid w:val="00886234"/>
    <w:rsid w:val="008869F4"/>
    <w:rsid w:val="00890E30"/>
    <w:rsid w:val="00891B94"/>
    <w:rsid w:val="00893197"/>
    <w:rsid w:val="00893EEF"/>
    <w:rsid w:val="008941F1"/>
    <w:rsid w:val="0089652E"/>
    <w:rsid w:val="00896822"/>
    <w:rsid w:val="00896E37"/>
    <w:rsid w:val="008A0383"/>
    <w:rsid w:val="008A13EF"/>
    <w:rsid w:val="008A18C7"/>
    <w:rsid w:val="008A3C58"/>
    <w:rsid w:val="008A4669"/>
    <w:rsid w:val="008A4880"/>
    <w:rsid w:val="008A52B1"/>
    <w:rsid w:val="008B0749"/>
    <w:rsid w:val="008B0925"/>
    <w:rsid w:val="008B1589"/>
    <w:rsid w:val="008B19F5"/>
    <w:rsid w:val="008B1E06"/>
    <w:rsid w:val="008B250B"/>
    <w:rsid w:val="008B2A60"/>
    <w:rsid w:val="008B3D53"/>
    <w:rsid w:val="008B4743"/>
    <w:rsid w:val="008B57BB"/>
    <w:rsid w:val="008B5B32"/>
    <w:rsid w:val="008B5B96"/>
    <w:rsid w:val="008B60F5"/>
    <w:rsid w:val="008B6907"/>
    <w:rsid w:val="008B7A04"/>
    <w:rsid w:val="008C07D6"/>
    <w:rsid w:val="008C17EE"/>
    <w:rsid w:val="008C1990"/>
    <w:rsid w:val="008C20F9"/>
    <w:rsid w:val="008C3CB9"/>
    <w:rsid w:val="008C56F1"/>
    <w:rsid w:val="008C6325"/>
    <w:rsid w:val="008D0501"/>
    <w:rsid w:val="008D0C99"/>
    <w:rsid w:val="008D1099"/>
    <w:rsid w:val="008D243A"/>
    <w:rsid w:val="008D4167"/>
    <w:rsid w:val="008D5520"/>
    <w:rsid w:val="008D5F15"/>
    <w:rsid w:val="008D78FF"/>
    <w:rsid w:val="008D7AE2"/>
    <w:rsid w:val="008E10A5"/>
    <w:rsid w:val="008E2FA5"/>
    <w:rsid w:val="008E55A8"/>
    <w:rsid w:val="008F00B4"/>
    <w:rsid w:val="008F0187"/>
    <w:rsid w:val="008F144B"/>
    <w:rsid w:val="008F4D7C"/>
    <w:rsid w:val="008F645F"/>
    <w:rsid w:val="008F6BC8"/>
    <w:rsid w:val="0090125D"/>
    <w:rsid w:val="0090177E"/>
    <w:rsid w:val="00901880"/>
    <w:rsid w:val="00902A5C"/>
    <w:rsid w:val="00902F90"/>
    <w:rsid w:val="00903193"/>
    <w:rsid w:val="0090359D"/>
    <w:rsid w:val="0090377E"/>
    <w:rsid w:val="00904CAE"/>
    <w:rsid w:val="00905B6A"/>
    <w:rsid w:val="00906164"/>
    <w:rsid w:val="00906B83"/>
    <w:rsid w:val="009070B6"/>
    <w:rsid w:val="00910972"/>
    <w:rsid w:val="00912C42"/>
    <w:rsid w:val="00913BA3"/>
    <w:rsid w:val="00914DA7"/>
    <w:rsid w:val="00914E38"/>
    <w:rsid w:val="00915F63"/>
    <w:rsid w:val="00916C9F"/>
    <w:rsid w:val="009177E9"/>
    <w:rsid w:val="00917A99"/>
    <w:rsid w:val="0092060F"/>
    <w:rsid w:val="00922842"/>
    <w:rsid w:val="00924615"/>
    <w:rsid w:val="009248D8"/>
    <w:rsid w:val="009258E0"/>
    <w:rsid w:val="0092606A"/>
    <w:rsid w:val="009261E9"/>
    <w:rsid w:val="00927331"/>
    <w:rsid w:val="00927AA0"/>
    <w:rsid w:val="00930A45"/>
    <w:rsid w:val="00931DD5"/>
    <w:rsid w:val="00932D2C"/>
    <w:rsid w:val="009331CF"/>
    <w:rsid w:val="009334AC"/>
    <w:rsid w:val="00933D1A"/>
    <w:rsid w:val="00934506"/>
    <w:rsid w:val="00936C53"/>
    <w:rsid w:val="00937EF4"/>
    <w:rsid w:val="00940F08"/>
    <w:rsid w:val="00942010"/>
    <w:rsid w:val="0094297A"/>
    <w:rsid w:val="00942B71"/>
    <w:rsid w:val="0094320A"/>
    <w:rsid w:val="009434F5"/>
    <w:rsid w:val="00944BC6"/>
    <w:rsid w:val="009453AA"/>
    <w:rsid w:val="00947E36"/>
    <w:rsid w:val="0095077C"/>
    <w:rsid w:val="0095170D"/>
    <w:rsid w:val="0095193F"/>
    <w:rsid w:val="0095307F"/>
    <w:rsid w:val="009542E6"/>
    <w:rsid w:val="00954817"/>
    <w:rsid w:val="00954F29"/>
    <w:rsid w:val="00955526"/>
    <w:rsid w:val="00955DFD"/>
    <w:rsid w:val="009576FD"/>
    <w:rsid w:val="00957934"/>
    <w:rsid w:val="0096037B"/>
    <w:rsid w:val="0096048A"/>
    <w:rsid w:val="009607F6"/>
    <w:rsid w:val="00960F7C"/>
    <w:rsid w:val="009620B1"/>
    <w:rsid w:val="00963D97"/>
    <w:rsid w:val="00964102"/>
    <w:rsid w:val="0096461D"/>
    <w:rsid w:val="0096492F"/>
    <w:rsid w:val="009658C5"/>
    <w:rsid w:val="00966C09"/>
    <w:rsid w:val="00967119"/>
    <w:rsid w:val="0096742D"/>
    <w:rsid w:val="0096754F"/>
    <w:rsid w:val="00967A3E"/>
    <w:rsid w:val="00970823"/>
    <w:rsid w:val="00970A88"/>
    <w:rsid w:val="009710B1"/>
    <w:rsid w:val="00971CE6"/>
    <w:rsid w:val="0097230B"/>
    <w:rsid w:val="0097331B"/>
    <w:rsid w:val="009737EF"/>
    <w:rsid w:val="00974BA1"/>
    <w:rsid w:val="0097550B"/>
    <w:rsid w:val="00976811"/>
    <w:rsid w:val="00976FFB"/>
    <w:rsid w:val="009776C7"/>
    <w:rsid w:val="00980034"/>
    <w:rsid w:val="00980440"/>
    <w:rsid w:val="00980DFB"/>
    <w:rsid w:val="009813A5"/>
    <w:rsid w:val="00981895"/>
    <w:rsid w:val="00981EB9"/>
    <w:rsid w:val="00982729"/>
    <w:rsid w:val="00982CB3"/>
    <w:rsid w:val="00982CF1"/>
    <w:rsid w:val="0098345E"/>
    <w:rsid w:val="00983B61"/>
    <w:rsid w:val="00984441"/>
    <w:rsid w:val="009844CF"/>
    <w:rsid w:val="00984DD8"/>
    <w:rsid w:val="009857DC"/>
    <w:rsid w:val="0099085F"/>
    <w:rsid w:val="0099120D"/>
    <w:rsid w:val="00991698"/>
    <w:rsid w:val="00991988"/>
    <w:rsid w:val="009919BC"/>
    <w:rsid w:val="009925DB"/>
    <w:rsid w:val="00993327"/>
    <w:rsid w:val="009934C4"/>
    <w:rsid w:val="00993A60"/>
    <w:rsid w:val="00993CC9"/>
    <w:rsid w:val="009944B8"/>
    <w:rsid w:val="009962C1"/>
    <w:rsid w:val="009972E1"/>
    <w:rsid w:val="009A64B5"/>
    <w:rsid w:val="009A6F74"/>
    <w:rsid w:val="009A7D75"/>
    <w:rsid w:val="009B0AB7"/>
    <w:rsid w:val="009B345B"/>
    <w:rsid w:val="009B376D"/>
    <w:rsid w:val="009B421F"/>
    <w:rsid w:val="009B4B16"/>
    <w:rsid w:val="009B5695"/>
    <w:rsid w:val="009B5981"/>
    <w:rsid w:val="009B5E8D"/>
    <w:rsid w:val="009B6B49"/>
    <w:rsid w:val="009C025E"/>
    <w:rsid w:val="009C1569"/>
    <w:rsid w:val="009C15D4"/>
    <w:rsid w:val="009C1CFF"/>
    <w:rsid w:val="009C33DE"/>
    <w:rsid w:val="009C3D3A"/>
    <w:rsid w:val="009C45C9"/>
    <w:rsid w:val="009C5094"/>
    <w:rsid w:val="009C574A"/>
    <w:rsid w:val="009C6188"/>
    <w:rsid w:val="009C63FE"/>
    <w:rsid w:val="009C756F"/>
    <w:rsid w:val="009C779C"/>
    <w:rsid w:val="009D093D"/>
    <w:rsid w:val="009D1025"/>
    <w:rsid w:val="009D1911"/>
    <w:rsid w:val="009D25B2"/>
    <w:rsid w:val="009D3628"/>
    <w:rsid w:val="009D4C2A"/>
    <w:rsid w:val="009D6747"/>
    <w:rsid w:val="009D6914"/>
    <w:rsid w:val="009D743B"/>
    <w:rsid w:val="009D78C6"/>
    <w:rsid w:val="009E0E9E"/>
    <w:rsid w:val="009E1C22"/>
    <w:rsid w:val="009E2481"/>
    <w:rsid w:val="009E27B2"/>
    <w:rsid w:val="009E2C29"/>
    <w:rsid w:val="009E3C02"/>
    <w:rsid w:val="009E4E39"/>
    <w:rsid w:val="009E5409"/>
    <w:rsid w:val="009E5803"/>
    <w:rsid w:val="009E712B"/>
    <w:rsid w:val="009F04B6"/>
    <w:rsid w:val="009F0D7B"/>
    <w:rsid w:val="009F3631"/>
    <w:rsid w:val="009F3790"/>
    <w:rsid w:val="009F4EDD"/>
    <w:rsid w:val="009F591B"/>
    <w:rsid w:val="009F62A8"/>
    <w:rsid w:val="009F6532"/>
    <w:rsid w:val="009F71B7"/>
    <w:rsid w:val="009F7CEB"/>
    <w:rsid w:val="00A006B3"/>
    <w:rsid w:val="00A012D2"/>
    <w:rsid w:val="00A0187A"/>
    <w:rsid w:val="00A01A4D"/>
    <w:rsid w:val="00A01ECA"/>
    <w:rsid w:val="00A02744"/>
    <w:rsid w:val="00A040FD"/>
    <w:rsid w:val="00A0426A"/>
    <w:rsid w:val="00A04C0D"/>
    <w:rsid w:val="00A07278"/>
    <w:rsid w:val="00A07651"/>
    <w:rsid w:val="00A07A7F"/>
    <w:rsid w:val="00A1033D"/>
    <w:rsid w:val="00A11E28"/>
    <w:rsid w:val="00A12545"/>
    <w:rsid w:val="00A12983"/>
    <w:rsid w:val="00A1395D"/>
    <w:rsid w:val="00A1472B"/>
    <w:rsid w:val="00A14C1D"/>
    <w:rsid w:val="00A15E17"/>
    <w:rsid w:val="00A16AAB"/>
    <w:rsid w:val="00A17C14"/>
    <w:rsid w:val="00A20B1A"/>
    <w:rsid w:val="00A20D3D"/>
    <w:rsid w:val="00A20F6F"/>
    <w:rsid w:val="00A212DF"/>
    <w:rsid w:val="00A213A1"/>
    <w:rsid w:val="00A2167D"/>
    <w:rsid w:val="00A21D3B"/>
    <w:rsid w:val="00A22458"/>
    <w:rsid w:val="00A22A39"/>
    <w:rsid w:val="00A23F70"/>
    <w:rsid w:val="00A31A07"/>
    <w:rsid w:val="00A31EE5"/>
    <w:rsid w:val="00A334BF"/>
    <w:rsid w:val="00A33B4E"/>
    <w:rsid w:val="00A37410"/>
    <w:rsid w:val="00A37D38"/>
    <w:rsid w:val="00A40204"/>
    <w:rsid w:val="00A407FF"/>
    <w:rsid w:val="00A40965"/>
    <w:rsid w:val="00A41DA9"/>
    <w:rsid w:val="00A41E5D"/>
    <w:rsid w:val="00A42587"/>
    <w:rsid w:val="00A44268"/>
    <w:rsid w:val="00A46144"/>
    <w:rsid w:val="00A476AD"/>
    <w:rsid w:val="00A50ED2"/>
    <w:rsid w:val="00A532C4"/>
    <w:rsid w:val="00A535FB"/>
    <w:rsid w:val="00A54296"/>
    <w:rsid w:val="00A548CE"/>
    <w:rsid w:val="00A55441"/>
    <w:rsid w:val="00A569FF"/>
    <w:rsid w:val="00A56FF2"/>
    <w:rsid w:val="00A57E22"/>
    <w:rsid w:val="00A6130B"/>
    <w:rsid w:val="00A62486"/>
    <w:rsid w:val="00A632E8"/>
    <w:rsid w:val="00A6374D"/>
    <w:rsid w:val="00A637C4"/>
    <w:rsid w:val="00A64639"/>
    <w:rsid w:val="00A66DD1"/>
    <w:rsid w:val="00A676B0"/>
    <w:rsid w:val="00A67B5E"/>
    <w:rsid w:val="00A70168"/>
    <w:rsid w:val="00A72FBF"/>
    <w:rsid w:val="00A73019"/>
    <w:rsid w:val="00A73766"/>
    <w:rsid w:val="00A741D9"/>
    <w:rsid w:val="00A7548A"/>
    <w:rsid w:val="00A76417"/>
    <w:rsid w:val="00A76AE1"/>
    <w:rsid w:val="00A803A2"/>
    <w:rsid w:val="00A80458"/>
    <w:rsid w:val="00A8128E"/>
    <w:rsid w:val="00A81F82"/>
    <w:rsid w:val="00A82161"/>
    <w:rsid w:val="00A829FD"/>
    <w:rsid w:val="00A83C7A"/>
    <w:rsid w:val="00A841B0"/>
    <w:rsid w:val="00A856A1"/>
    <w:rsid w:val="00A85A2B"/>
    <w:rsid w:val="00A90661"/>
    <w:rsid w:val="00A90BF1"/>
    <w:rsid w:val="00A91E1D"/>
    <w:rsid w:val="00A9298F"/>
    <w:rsid w:val="00A93543"/>
    <w:rsid w:val="00A9382D"/>
    <w:rsid w:val="00A94D0C"/>
    <w:rsid w:val="00A94EFC"/>
    <w:rsid w:val="00A974F6"/>
    <w:rsid w:val="00AA0234"/>
    <w:rsid w:val="00AA1681"/>
    <w:rsid w:val="00AA2FA1"/>
    <w:rsid w:val="00AA3193"/>
    <w:rsid w:val="00AA4607"/>
    <w:rsid w:val="00AA4C86"/>
    <w:rsid w:val="00AA51C1"/>
    <w:rsid w:val="00AA57F4"/>
    <w:rsid w:val="00AA5D49"/>
    <w:rsid w:val="00AA6156"/>
    <w:rsid w:val="00AA6DBC"/>
    <w:rsid w:val="00AA7206"/>
    <w:rsid w:val="00AA73AC"/>
    <w:rsid w:val="00AA7B77"/>
    <w:rsid w:val="00AB007B"/>
    <w:rsid w:val="00AB0546"/>
    <w:rsid w:val="00AB187A"/>
    <w:rsid w:val="00AB3C30"/>
    <w:rsid w:val="00AB514A"/>
    <w:rsid w:val="00AB51EB"/>
    <w:rsid w:val="00AB5CB8"/>
    <w:rsid w:val="00AB61F2"/>
    <w:rsid w:val="00AB680A"/>
    <w:rsid w:val="00AB69D8"/>
    <w:rsid w:val="00AB6CE8"/>
    <w:rsid w:val="00AB70C6"/>
    <w:rsid w:val="00AC2834"/>
    <w:rsid w:val="00AC4B83"/>
    <w:rsid w:val="00AC50E3"/>
    <w:rsid w:val="00AC6236"/>
    <w:rsid w:val="00AC6359"/>
    <w:rsid w:val="00AC68A2"/>
    <w:rsid w:val="00AD07EB"/>
    <w:rsid w:val="00AD1AB3"/>
    <w:rsid w:val="00AD2393"/>
    <w:rsid w:val="00AD28B1"/>
    <w:rsid w:val="00AD3C26"/>
    <w:rsid w:val="00AD4E3D"/>
    <w:rsid w:val="00AD51C9"/>
    <w:rsid w:val="00AD58E1"/>
    <w:rsid w:val="00AD590C"/>
    <w:rsid w:val="00AD67F3"/>
    <w:rsid w:val="00AD7416"/>
    <w:rsid w:val="00AE2083"/>
    <w:rsid w:val="00AE22FF"/>
    <w:rsid w:val="00AE2A68"/>
    <w:rsid w:val="00AE39DF"/>
    <w:rsid w:val="00AE4894"/>
    <w:rsid w:val="00AE494A"/>
    <w:rsid w:val="00AE513E"/>
    <w:rsid w:val="00AE5AF5"/>
    <w:rsid w:val="00AE632D"/>
    <w:rsid w:val="00AE693C"/>
    <w:rsid w:val="00AE7A02"/>
    <w:rsid w:val="00AE7AA8"/>
    <w:rsid w:val="00AF0110"/>
    <w:rsid w:val="00AF0DF9"/>
    <w:rsid w:val="00AF2609"/>
    <w:rsid w:val="00AF326E"/>
    <w:rsid w:val="00AF4BE4"/>
    <w:rsid w:val="00B01FF3"/>
    <w:rsid w:val="00B02406"/>
    <w:rsid w:val="00B02E51"/>
    <w:rsid w:val="00B03622"/>
    <w:rsid w:val="00B039BC"/>
    <w:rsid w:val="00B05A6C"/>
    <w:rsid w:val="00B0666A"/>
    <w:rsid w:val="00B11EA0"/>
    <w:rsid w:val="00B14CDB"/>
    <w:rsid w:val="00B16AF0"/>
    <w:rsid w:val="00B16CCD"/>
    <w:rsid w:val="00B170D3"/>
    <w:rsid w:val="00B17FDB"/>
    <w:rsid w:val="00B20077"/>
    <w:rsid w:val="00B21BB1"/>
    <w:rsid w:val="00B21E21"/>
    <w:rsid w:val="00B22D9F"/>
    <w:rsid w:val="00B23085"/>
    <w:rsid w:val="00B23139"/>
    <w:rsid w:val="00B23D36"/>
    <w:rsid w:val="00B241C0"/>
    <w:rsid w:val="00B25D68"/>
    <w:rsid w:val="00B2777B"/>
    <w:rsid w:val="00B27D46"/>
    <w:rsid w:val="00B314CE"/>
    <w:rsid w:val="00B33C27"/>
    <w:rsid w:val="00B344E5"/>
    <w:rsid w:val="00B350C4"/>
    <w:rsid w:val="00B353F7"/>
    <w:rsid w:val="00B35CDF"/>
    <w:rsid w:val="00B36F90"/>
    <w:rsid w:val="00B40F42"/>
    <w:rsid w:val="00B42D8F"/>
    <w:rsid w:val="00B46970"/>
    <w:rsid w:val="00B50A4B"/>
    <w:rsid w:val="00B51248"/>
    <w:rsid w:val="00B52428"/>
    <w:rsid w:val="00B539FB"/>
    <w:rsid w:val="00B55179"/>
    <w:rsid w:val="00B562D8"/>
    <w:rsid w:val="00B56648"/>
    <w:rsid w:val="00B56C17"/>
    <w:rsid w:val="00B6367E"/>
    <w:rsid w:val="00B63B06"/>
    <w:rsid w:val="00B65397"/>
    <w:rsid w:val="00B65928"/>
    <w:rsid w:val="00B660C6"/>
    <w:rsid w:val="00B663FB"/>
    <w:rsid w:val="00B66C37"/>
    <w:rsid w:val="00B67119"/>
    <w:rsid w:val="00B676C8"/>
    <w:rsid w:val="00B70C58"/>
    <w:rsid w:val="00B710F6"/>
    <w:rsid w:val="00B71675"/>
    <w:rsid w:val="00B71B62"/>
    <w:rsid w:val="00B741B7"/>
    <w:rsid w:val="00B7435A"/>
    <w:rsid w:val="00B74CE2"/>
    <w:rsid w:val="00B75BC0"/>
    <w:rsid w:val="00B765B3"/>
    <w:rsid w:val="00B77270"/>
    <w:rsid w:val="00B776B0"/>
    <w:rsid w:val="00B7796D"/>
    <w:rsid w:val="00B77FBD"/>
    <w:rsid w:val="00B808AB"/>
    <w:rsid w:val="00B80B83"/>
    <w:rsid w:val="00B81937"/>
    <w:rsid w:val="00B81A5A"/>
    <w:rsid w:val="00B8244F"/>
    <w:rsid w:val="00B82816"/>
    <w:rsid w:val="00B828CB"/>
    <w:rsid w:val="00B831FC"/>
    <w:rsid w:val="00B8417C"/>
    <w:rsid w:val="00B85136"/>
    <w:rsid w:val="00B85C9E"/>
    <w:rsid w:val="00B85DC3"/>
    <w:rsid w:val="00B863A0"/>
    <w:rsid w:val="00B86A8B"/>
    <w:rsid w:val="00B876BB"/>
    <w:rsid w:val="00B913D5"/>
    <w:rsid w:val="00B915D3"/>
    <w:rsid w:val="00B917FB"/>
    <w:rsid w:val="00B91C25"/>
    <w:rsid w:val="00B93800"/>
    <w:rsid w:val="00B942B0"/>
    <w:rsid w:val="00B96E03"/>
    <w:rsid w:val="00B96F4E"/>
    <w:rsid w:val="00B972FE"/>
    <w:rsid w:val="00BA01AB"/>
    <w:rsid w:val="00BA1238"/>
    <w:rsid w:val="00BA3306"/>
    <w:rsid w:val="00BA3ADA"/>
    <w:rsid w:val="00BA45F5"/>
    <w:rsid w:val="00BA73EE"/>
    <w:rsid w:val="00BA7FA8"/>
    <w:rsid w:val="00BB05E5"/>
    <w:rsid w:val="00BB09E0"/>
    <w:rsid w:val="00BB6C25"/>
    <w:rsid w:val="00BB7001"/>
    <w:rsid w:val="00BC079D"/>
    <w:rsid w:val="00BC1A51"/>
    <w:rsid w:val="00BC1FC3"/>
    <w:rsid w:val="00BC3C9C"/>
    <w:rsid w:val="00BC50C7"/>
    <w:rsid w:val="00BC5680"/>
    <w:rsid w:val="00BC6497"/>
    <w:rsid w:val="00BC7FCB"/>
    <w:rsid w:val="00BD01E7"/>
    <w:rsid w:val="00BD03EC"/>
    <w:rsid w:val="00BD3F31"/>
    <w:rsid w:val="00BD511C"/>
    <w:rsid w:val="00BD563D"/>
    <w:rsid w:val="00BE1D45"/>
    <w:rsid w:val="00BE3CAA"/>
    <w:rsid w:val="00BE3E5F"/>
    <w:rsid w:val="00BE3F0A"/>
    <w:rsid w:val="00BE507D"/>
    <w:rsid w:val="00BE583A"/>
    <w:rsid w:val="00BE66D4"/>
    <w:rsid w:val="00BF1666"/>
    <w:rsid w:val="00BF1D37"/>
    <w:rsid w:val="00BF21F7"/>
    <w:rsid w:val="00BF2899"/>
    <w:rsid w:val="00BF3E60"/>
    <w:rsid w:val="00BF4E2C"/>
    <w:rsid w:val="00C00A62"/>
    <w:rsid w:val="00C06418"/>
    <w:rsid w:val="00C07417"/>
    <w:rsid w:val="00C07BBA"/>
    <w:rsid w:val="00C104C2"/>
    <w:rsid w:val="00C11033"/>
    <w:rsid w:val="00C14160"/>
    <w:rsid w:val="00C1432F"/>
    <w:rsid w:val="00C16DFA"/>
    <w:rsid w:val="00C2116E"/>
    <w:rsid w:val="00C22601"/>
    <w:rsid w:val="00C22C36"/>
    <w:rsid w:val="00C22EDC"/>
    <w:rsid w:val="00C23FEA"/>
    <w:rsid w:val="00C24C05"/>
    <w:rsid w:val="00C30375"/>
    <w:rsid w:val="00C31525"/>
    <w:rsid w:val="00C317F3"/>
    <w:rsid w:val="00C31E89"/>
    <w:rsid w:val="00C37C1B"/>
    <w:rsid w:val="00C4046C"/>
    <w:rsid w:val="00C43F4A"/>
    <w:rsid w:val="00C442C2"/>
    <w:rsid w:val="00C44490"/>
    <w:rsid w:val="00C44C37"/>
    <w:rsid w:val="00C4542B"/>
    <w:rsid w:val="00C4607E"/>
    <w:rsid w:val="00C46A48"/>
    <w:rsid w:val="00C46AE5"/>
    <w:rsid w:val="00C47654"/>
    <w:rsid w:val="00C51359"/>
    <w:rsid w:val="00C524E1"/>
    <w:rsid w:val="00C52905"/>
    <w:rsid w:val="00C52ACF"/>
    <w:rsid w:val="00C53DBA"/>
    <w:rsid w:val="00C553EB"/>
    <w:rsid w:val="00C5559F"/>
    <w:rsid w:val="00C5639B"/>
    <w:rsid w:val="00C5676C"/>
    <w:rsid w:val="00C5712C"/>
    <w:rsid w:val="00C57E4D"/>
    <w:rsid w:val="00C61657"/>
    <w:rsid w:val="00C6250C"/>
    <w:rsid w:val="00C626E2"/>
    <w:rsid w:val="00C628C8"/>
    <w:rsid w:val="00C64646"/>
    <w:rsid w:val="00C719C2"/>
    <w:rsid w:val="00C73B1D"/>
    <w:rsid w:val="00C74044"/>
    <w:rsid w:val="00C744B3"/>
    <w:rsid w:val="00C7519E"/>
    <w:rsid w:val="00C75C93"/>
    <w:rsid w:val="00C75CC1"/>
    <w:rsid w:val="00C77F29"/>
    <w:rsid w:val="00C8188E"/>
    <w:rsid w:val="00C81A12"/>
    <w:rsid w:val="00C82405"/>
    <w:rsid w:val="00C82713"/>
    <w:rsid w:val="00C836AC"/>
    <w:rsid w:val="00C846BE"/>
    <w:rsid w:val="00C8510D"/>
    <w:rsid w:val="00C860B6"/>
    <w:rsid w:val="00C907C3"/>
    <w:rsid w:val="00C93BC8"/>
    <w:rsid w:val="00C963DE"/>
    <w:rsid w:val="00C97077"/>
    <w:rsid w:val="00CA0262"/>
    <w:rsid w:val="00CA0C26"/>
    <w:rsid w:val="00CA1C4E"/>
    <w:rsid w:val="00CA1DA0"/>
    <w:rsid w:val="00CA2D42"/>
    <w:rsid w:val="00CA4648"/>
    <w:rsid w:val="00CA5C50"/>
    <w:rsid w:val="00CA665B"/>
    <w:rsid w:val="00CA67C7"/>
    <w:rsid w:val="00CA6C58"/>
    <w:rsid w:val="00CA70B4"/>
    <w:rsid w:val="00CB07A8"/>
    <w:rsid w:val="00CB111E"/>
    <w:rsid w:val="00CB14A1"/>
    <w:rsid w:val="00CB3F7D"/>
    <w:rsid w:val="00CB5389"/>
    <w:rsid w:val="00CB58B1"/>
    <w:rsid w:val="00CB79B9"/>
    <w:rsid w:val="00CC0196"/>
    <w:rsid w:val="00CC0BEF"/>
    <w:rsid w:val="00CC10E1"/>
    <w:rsid w:val="00CC16B4"/>
    <w:rsid w:val="00CC2324"/>
    <w:rsid w:val="00CC444A"/>
    <w:rsid w:val="00CC4604"/>
    <w:rsid w:val="00CC699C"/>
    <w:rsid w:val="00CC7285"/>
    <w:rsid w:val="00CD04A1"/>
    <w:rsid w:val="00CD12E3"/>
    <w:rsid w:val="00CD24A6"/>
    <w:rsid w:val="00CD30E5"/>
    <w:rsid w:val="00CD5140"/>
    <w:rsid w:val="00CD5535"/>
    <w:rsid w:val="00CD6327"/>
    <w:rsid w:val="00CD6624"/>
    <w:rsid w:val="00CE0440"/>
    <w:rsid w:val="00CE2439"/>
    <w:rsid w:val="00CE2B78"/>
    <w:rsid w:val="00CE4DDC"/>
    <w:rsid w:val="00CE6553"/>
    <w:rsid w:val="00CE74A3"/>
    <w:rsid w:val="00CF0D25"/>
    <w:rsid w:val="00CF1B9A"/>
    <w:rsid w:val="00CF4436"/>
    <w:rsid w:val="00CF4474"/>
    <w:rsid w:val="00CF60EB"/>
    <w:rsid w:val="00CF690C"/>
    <w:rsid w:val="00CF6F0A"/>
    <w:rsid w:val="00D0229A"/>
    <w:rsid w:val="00D028E7"/>
    <w:rsid w:val="00D034DD"/>
    <w:rsid w:val="00D03622"/>
    <w:rsid w:val="00D03D0C"/>
    <w:rsid w:val="00D04952"/>
    <w:rsid w:val="00D05AD1"/>
    <w:rsid w:val="00D05C5C"/>
    <w:rsid w:val="00D06A16"/>
    <w:rsid w:val="00D1008F"/>
    <w:rsid w:val="00D102BA"/>
    <w:rsid w:val="00D10484"/>
    <w:rsid w:val="00D1078F"/>
    <w:rsid w:val="00D10E60"/>
    <w:rsid w:val="00D12CD2"/>
    <w:rsid w:val="00D14D23"/>
    <w:rsid w:val="00D15A17"/>
    <w:rsid w:val="00D15D8B"/>
    <w:rsid w:val="00D17381"/>
    <w:rsid w:val="00D17984"/>
    <w:rsid w:val="00D17B0A"/>
    <w:rsid w:val="00D20AE1"/>
    <w:rsid w:val="00D21D2F"/>
    <w:rsid w:val="00D22A3F"/>
    <w:rsid w:val="00D24189"/>
    <w:rsid w:val="00D24DAD"/>
    <w:rsid w:val="00D25916"/>
    <w:rsid w:val="00D317A5"/>
    <w:rsid w:val="00D31CF7"/>
    <w:rsid w:val="00D329E6"/>
    <w:rsid w:val="00D32AD3"/>
    <w:rsid w:val="00D34487"/>
    <w:rsid w:val="00D35C8F"/>
    <w:rsid w:val="00D37972"/>
    <w:rsid w:val="00D37F28"/>
    <w:rsid w:val="00D40896"/>
    <w:rsid w:val="00D41534"/>
    <w:rsid w:val="00D42467"/>
    <w:rsid w:val="00D4330A"/>
    <w:rsid w:val="00D43AF6"/>
    <w:rsid w:val="00D4404B"/>
    <w:rsid w:val="00D44246"/>
    <w:rsid w:val="00D451FC"/>
    <w:rsid w:val="00D45C30"/>
    <w:rsid w:val="00D45CB9"/>
    <w:rsid w:val="00D4687A"/>
    <w:rsid w:val="00D46DE4"/>
    <w:rsid w:val="00D472F2"/>
    <w:rsid w:val="00D47EDE"/>
    <w:rsid w:val="00D50D56"/>
    <w:rsid w:val="00D521A3"/>
    <w:rsid w:val="00D522FE"/>
    <w:rsid w:val="00D52A33"/>
    <w:rsid w:val="00D54E07"/>
    <w:rsid w:val="00D561BA"/>
    <w:rsid w:val="00D574AA"/>
    <w:rsid w:val="00D60D3F"/>
    <w:rsid w:val="00D61188"/>
    <w:rsid w:val="00D61B23"/>
    <w:rsid w:val="00D61CD5"/>
    <w:rsid w:val="00D6282E"/>
    <w:rsid w:val="00D63BF6"/>
    <w:rsid w:val="00D63C48"/>
    <w:rsid w:val="00D63DE5"/>
    <w:rsid w:val="00D64289"/>
    <w:rsid w:val="00D652A2"/>
    <w:rsid w:val="00D6667B"/>
    <w:rsid w:val="00D70E1B"/>
    <w:rsid w:val="00D71400"/>
    <w:rsid w:val="00D7200D"/>
    <w:rsid w:val="00D72C23"/>
    <w:rsid w:val="00D72FB9"/>
    <w:rsid w:val="00D746B0"/>
    <w:rsid w:val="00D7516D"/>
    <w:rsid w:val="00D77A42"/>
    <w:rsid w:val="00D82730"/>
    <w:rsid w:val="00D82911"/>
    <w:rsid w:val="00D84031"/>
    <w:rsid w:val="00D8435D"/>
    <w:rsid w:val="00D8568A"/>
    <w:rsid w:val="00D87063"/>
    <w:rsid w:val="00D90554"/>
    <w:rsid w:val="00D91DC5"/>
    <w:rsid w:val="00D91E0F"/>
    <w:rsid w:val="00D92456"/>
    <w:rsid w:val="00D9419A"/>
    <w:rsid w:val="00D949E1"/>
    <w:rsid w:val="00D95394"/>
    <w:rsid w:val="00D970E7"/>
    <w:rsid w:val="00DA032B"/>
    <w:rsid w:val="00DA0456"/>
    <w:rsid w:val="00DA3746"/>
    <w:rsid w:val="00DA55BB"/>
    <w:rsid w:val="00DA73EE"/>
    <w:rsid w:val="00DB0154"/>
    <w:rsid w:val="00DB1160"/>
    <w:rsid w:val="00DB2805"/>
    <w:rsid w:val="00DB28E3"/>
    <w:rsid w:val="00DB35AA"/>
    <w:rsid w:val="00DB3886"/>
    <w:rsid w:val="00DB7BEB"/>
    <w:rsid w:val="00DB7EE3"/>
    <w:rsid w:val="00DC0A4C"/>
    <w:rsid w:val="00DC1743"/>
    <w:rsid w:val="00DC1F73"/>
    <w:rsid w:val="00DC22E9"/>
    <w:rsid w:val="00DC28E8"/>
    <w:rsid w:val="00DC34D0"/>
    <w:rsid w:val="00DC36CB"/>
    <w:rsid w:val="00DC4CC9"/>
    <w:rsid w:val="00DC5456"/>
    <w:rsid w:val="00DC570A"/>
    <w:rsid w:val="00DC5F3F"/>
    <w:rsid w:val="00DC5FA0"/>
    <w:rsid w:val="00DC6CBE"/>
    <w:rsid w:val="00DC7336"/>
    <w:rsid w:val="00DC7746"/>
    <w:rsid w:val="00DD05B5"/>
    <w:rsid w:val="00DD13F4"/>
    <w:rsid w:val="00DD3049"/>
    <w:rsid w:val="00DD3AB0"/>
    <w:rsid w:val="00DD5FE8"/>
    <w:rsid w:val="00DD7AC1"/>
    <w:rsid w:val="00DD7BF8"/>
    <w:rsid w:val="00DE0ABA"/>
    <w:rsid w:val="00DE1BD8"/>
    <w:rsid w:val="00DE30E2"/>
    <w:rsid w:val="00DE3A9A"/>
    <w:rsid w:val="00DE4336"/>
    <w:rsid w:val="00DE51DD"/>
    <w:rsid w:val="00DE5E45"/>
    <w:rsid w:val="00DE6421"/>
    <w:rsid w:val="00DE66BA"/>
    <w:rsid w:val="00DE7A25"/>
    <w:rsid w:val="00DE7BA7"/>
    <w:rsid w:val="00DE7D75"/>
    <w:rsid w:val="00DF0CD2"/>
    <w:rsid w:val="00DF16C0"/>
    <w:rsid w:val="00DF1FFF"/>
    <w:rsid w:val="00DF3F55"/>
    <w:rsid w:val="00DF548B"/>
    <w:rsid w:val="00DF5A8A"/>
    <w:rsid w:val="00DF6E9C"/>
    <w:rsid w:val="00DF6F0B"/>
    <w:rsid w:val="00E022BB"/>
    <w:rsid w:val="00E022E5"/>
    <w:rsid w:val="00E0255B"/>
    <w:rsid w:val="00E0372B"/>
    <w:rsid w:val="00E048AD"/>
    <w:rsid w:val="00E05FBC"/>
    <w:rsid w:val="00E07C01"/>
    <w:rsid w:val="00E10B7D"/>
    <w:rsid w:val="00E114CB"/>
    <w:rsid w:val="00E11BF0"/>
    <w:rsid w:val="00E11F86"/>
    <w:rsid w:val="00E128B7"/>
    <w:rsid w:val="00E1309B"/>
    <w:rsid w:val="00E138C8"/>
    <w:rsid w:val="00E14390"/>
    <w:rsid w:val="00E1496B"/>
    <w:rsid w:val="00E14C33"/>
    <w:rsid w:val="00E14F31"/>
    <w:rsid w:val="00E20196"/>
    <w:rsid w:val="00E212C7"/>
    <w:rsid w:val="00E227EA"/>
    <w:rsid w:val="00E23660"/>
    <w:rsid w:val="00E23FB9"/>
    <w:rsid w:val="00E24D70"/>
    <w:rsid w:val="00E260EE"/>
    <w:rsid w:val="00E2761D"/>
    <w:rsid w:val="00E3087A"/>
    <w:rsid w:val="00E31A1E"/>
    <w:rsid w:val="00E31E9D"/>
    <w:rsid w:val="00E320D5"/>
    <w:rsid w:val="00E323B9"/>
    <w:rsid w:val="00E32B1B"/>
    <w:rsid w:val="00E33EBC"/>
    <w:rsid w:val="00E34484"/>
    <w:rsid w:val="00E348EB"/>
    <w:rsid w:val="00E349A9"/>
    <w:rsid w:val="00E34D1B"/>
    <w:rsid w:val="00E37424"/>
    <w:rsid w:val="00E4041E"/>
    <w:rsid w:val="00E41C90"/>
    <w:rsid w:val="00E41EEC"/>
    <w:rsid w:val="00E45180"/>
    <w:rsid w:val="00E45305"/>
    <w:rsid w:val="00E4634C"/>
    <w:rsid w:val="00E46822"/>
    <w:rsid w:val="00E46A74"/>
    <w:rsid w:val="00E46AC9"/>
    <w:rsid w:val="00E50514"/>
    <w:rsid w:val="00E50C74"/>
    <w:rsid w:val="00E5131E"/>
    <w:rsid w:val="00E51E43"/>
    <w:rsid w:val="00E52A7F"/>
    <w:rsid w:val="00E53336"/>
    <w:rsid w:val="00E53DB6"/>
    <w:rsid w:val="00E54FB3"/>
    <w:rsid w:val="00E55904"/>
    <w:rsid w:val="00E55E72"/>
    <w:rsid w:val="00E57BA5"/>
    <w:rsid w:val="00E60EC0"/>
    <w:rsid w:val="00E61B93"/>
    <w:rsid w:val="00E623D5"/>
    <w:rsid w:val="00E63146"/>
    <w:rsid w:val="00E632D6"/>
    <w:rsid w:val="00E63BC1"/>
    <w:rsid w:val="00E648A0"/>
    <w:rsid w:val="00E66614"/>
    <w:rsid w:val="00E667F1"/>
    <w:rsid w:val="00E66FC7"/>
    <w:rsid w:val="00E679F4"/>
    <w:rsid w:val="00E67B2F"/>
    <w:rsid w:val="00E67BE6"/>
    <w:rsid w:val="00E70D7B"/>
    <w:rsid w:val="00E728B2"/>
    <w:rsid w:val="00E734B8"/>
    <w:rsid w:val="00E73A86"/>
    <w:rsid w:val="00E74556"/>
    <w:rsid w:val="00E766DB"/>
    <w:rsid w:val="00E76EFE"/>
    <w:rsid w:val="00E773DF"/>
    <w:rsid w:val="00E81009"/>
    <w:rsid w:val="00E8269B"/>
    <w:rsid w:val="00E82B20"/>
    <w:rsid w:val="00E84AFF"/>
    <w:rsid w:val="00E86CA8"/>
    <w:rsid w:val="00E87AE9"/>
    <w:rsid w:val="00E930FA"/>
    <w:rsid w:val="00E94F38"/>
    <w:rsid w:val="00E959CC"/>
    <w:rsid w:val="00EA1B29"/>
    <w:rsid w:val="00EA1B8A"/>
    <w:rsid w:val="00EA2FC2"/>
    <w:rsid w:val="00EA3507"/>
    <w:rsid w:val="00EA3BE6"/>
    <w:rsid w:val="00EA45E6"/>
    <w:rsid w:val="00EA5BE1"/>
    <w:rsid w:val="00EA66E6"/>
    <w:rsid w:val="00EA7170"/>
    <w:rsid w:val="00EB21D6"/>
    <w:rsid w:val="00EB3257"/>
    <w:rsid w:val="00EB3F3E"/>
    <w:rsid w:val="00EB426B"/>
    <w:rsid w:val="00EB5E6D"/>
    <w:rsid w:val="00EC2FAE"/>
    <w:rsid w:val="00EC40D0"/>
    <w:rsid w:val="00EC40EA"/>
    <w:rsid w:val="00EC4345"/>
    <w:rsid w:val="00EC4553"/>
    <w:rsid w:val="00EC490C"/>
    <w:rsid w:val="00EC4D0D"/>
    <w:rsid w:val="00EC505C"/>
    <w:rsid w:val="00EC52E2"/>
    <w:rsid w:val="00EC5960"/>
    <w:rsid w:val="00EC71FE"/>
    <w:rsid w:val="00ED0E45"/>
    <w:rsid w:val="00ED2618"/>
    <w:rsid w:val="00ED35BC"/>
    <w:rsid w:val="00ED4FA5"/>
    <w:rsid w:val="00ED63CA"/>
    <w:rsid w:val="00ED7479"/>
    <w:rsid w:val="00ED7509"/>
    <w:rsid w:val="00EE2942"/>
    <w:rsid w:val="00EE2E09"/>
    <w:rsid w:val="00EE32E8"/>
    <w:rsid w:val="00EE36C4"/>
    <w:rsid w:val="00EE4ABA"/>
    <w:rsid w:val="00EE5F10"/>
    <w:rsid w:val="00EE5F69"/>
    <w:rsid w:val="00EE693D"/>
    <w:rsid w:val="00EE7521"/>
    <w:rsid w:val="00EF1E26"/>
    <w:rsid w:val="00EF2A66"/>
    <w:rsid w:val="00EF3278"/>
    <w:rsid w:val="00EF491D"/>
    <w:rsid w:val="00EF4999"/>
    <w:rsid w:val="00EF501F"/>
    <w:rsid w:val="00EF55B0"/>
    <w:rsid w:val="00EF6433"/>
    <w:rsid w:val="00EF66A3"/>
    <w:rsid w:val="00EF6942"/>
    <w:rsid w:val="00EF740B"/>
    <w:rsid w:val="00F00C71"/>
    <w:rsid w:val="00F00D30"/>
    <w:rsid w:val="00F015EC"/>
    <w:rsid w:val="00F01D1E"/>
    <w:rsid w:val="00F01D75"/>
    <w:rsid w:val="00F02D0C"/>
    <w:rsid w:val="00F02FC4"/>
    <w:rsid w:val="00F03305"/>
    <w:rsid w:val="00F049EC"/>
    <w:rsid w:val="00F04BD6"/>
    <w:rsid w:val="00F05BEE"/>
    <w:rsid w:val="00F10AAC"/>
    <w:rsid w:val="00F10BB3"/>
    <w:rsid w:val="00F10F83"/>
    <w:rsid w:val="00F12E2B"/>
    <w:rsid w:val="00F12F80"/>
    <w:rsid w:val="00F136CB"/>
    <w:rsid w:val="00F141DE"/>
    <w:rsid w:val="00F1427B"/>
    <w:rsid w:val="00F16242"/>
    <w:rsid w:val="00F16355"/>
    <w:rsid w:val="00F164FA"/>
    <w:rsid w:val="00F16A69"/>
    <w:rsid w:val="00F176CF"/>
    <w:rsid w:val="00F23EE2"/>
    <w:rsid w:val="00F25B70"/>
    <w:rsid w:val="00F2610C"/>
    <w:rsid w:val="00F26B4B"/>
    <w:rsid w:val="00F2706C"/>
    <w:rsid w:val="00F276A9"/>
    <w:rsid w:val="00F3094A"/>
    <w:rsid w:val="00F32D23"/>
    <w:rsid w:val="00F35E9E"/>
    <w:rsid w:val="00F363F6"/>
    <w:rsid w:val="00F36908"/>
    <w:rsid w:val="00F37FE1"/>
    <w:rsid w:val="00F400BE"/>
    <w:rsid w:val="00F40593"/>
    <w:rsid w:val="00F419C5"/>
    <w:rsid w:val="00F42A57"/>
    <w:rsid w:val="00F42D5E"/>
    <w:rsid w:val="00F4369E"/>
    <w:rsid w:val="00F43743"/>
    <w:rsid w:val="00F447CF"/>
    <w:rsid w:val="00F44EFB"/>
    <w:rsid w:val="00F46094"/>
    <w:rsid w:val="00F476FD"/>
    <w:rsid w:val="00F52E63"/>
    <w:rsid w:val="00F52EAD"/>
    <w:rsid w:val="00F55186"/>
    <w:rsid w:val="00F56314"/>
    <w:rsid w:val="00F57DAF"/>
    <w:rsid w:val="00F62058"/>
    <w:rsid w:val="00F624F9"/>
    <w:rsid w:val="00F63373"/>
    <w:rsid w:val="00F64326"/>
    <w:rsid w:val="00F648C0"/>
    <w:rsid w:val="00F64D6B"/>
    <w:rsid w:val="00F65A8A"/>
    <w:rsid w:val="00F65D41"/>
    <w:rsid w:val="00F65F5E"/>
    <w:rsid w:val="00F66300"/>
    <w:rsid w:val="00F6747C"/>
    <w:rsid w:val="00F70ED0"/>
    <w:rsid w:val="00F71106"/>
    <w:rsid w:val="00F72B42"/>
    <w:rsid w:val="00F72DAC"/>
    <w:rsid w:val="00F733F3"/>
    <w:rsid w:val="00F73A39"/>
    <w:rsid w:val="00F73A70"/>
    <w:rsid w:val="00F7432A"/>
    <w:rsid w:val="00F7562B"/>
    <w:rsid w:val="00F75D3A"/>
    <w:rsid w:val="00F80139"/>
    <w:rsid w:val="00F80CBC"/>
    <w:rsid w:val="00F81107"/>
    <w:rsid w:val="00F81C20"/>
    <w:rsid w:val="00F8278F"/>
    <w:rsid w:val="00F83D78"/>
    <w:rsid w:val="00F85A11"/>
    <w:rsid w:val="00F864AE"/>
    <w:rsid w:val="00F864E4"/>
    <w:rsid w:val="00F86AA7"/>
    <w:rsid w:val="00F87C31"/>
    <w:rsid w:val="00F90B7C"/>
    <w:rsid w:val="00F91ADE"/>
    <w:rsid w:val="00F9212E"/>
    <w:rsid w:val="00F922DE"/>
    <w:rsid w:val="00F94957"/>
    <w:rsid w:val="00F9783F"/>
    <w:rsid w:val="00FA0229"/>
    <w:rsid w:val="00FA02DB"/>
    <w:rsid w:val="00FA0329"/>
    <w:rsid w:val="00FA3962"/>
    <w:rsid w:val="00FA5FD0"/>
    <w:rsid w:val="00FA68ED"/>
    <w:rsid w:val="00FA706C"/>
    <w:rsid w:val="00FB2F28"/>
    <w:rsid w:val="00FB30AD"/>
    <w:rsid w:val="00FB3432"/>
    <w:rsid w:val="00FB366A"/>
    <w:rsid w:val="00FB4E65"/>
    <w:rsid w:val="00FB5636"/>
    <w:rsid w:val="00FB570E"/>
    <w:rsid w:val="00FB57DB"/>
    <w:rsid w:val="00FB5FA0"/>
    <w:rsid w:val="00FB6238"/>
    <w:rsid w:val="00FB733E"/>
    <w:rsid w:val="00FC06E3"/>
    <w:rsid w:val="00FC0E61"/>
    <w:rsid w:val="00FC22AB"/>
    <w:rsid w:val="00FC3B16"/>
    <w:rsid w:val="00FC4B94"/>
    <w:rsid w:val="00FC543C"/>
    <w:rsid w:val="00FC594B"/>
    <w:rsid w:val="00FC7676"/>
    <w:rsid w:val="00FD0255"/>
    <w:rsid w:val="00FD07F9"/>
    <w:rsid w:val="00FD0B9B"/>
    <w:rsid w:val="00FD0DA5"/>
    <w:rsid w:val="00FD1018"/>
    <w:rsid w:val="00FD10CA"/>
    <w:rsid w:val="00FD1DC0"/>
    <w:rsid w:val="00FD24E3"/>
    <w:rsid w:val="00FD261A"/>
    <w:rsid w:val="00FD29E3"/>
    <w:rsid w:val="00FD42DD"/>
    <w:rsid w:val="00FD5945"/>
    <w:rsid w:val="00FD607B"/>
    <w:rsid w:val="00FD7841"/>
    <w:rsid w:val="00FD7AC0"/>
    <w:rsid w:val="00FE1F74"/>
    <w:rsid w:val="00FE2431"/>
    <w:rsid w:val="00FE4A0B"/>
    <w:rsid w:val="00FE4C58"/>
    <w:rsid w:val="00FE6746"/>
    <w:rsid w:val="00FE75E3"/>
    <w:rsid w:val="00FF254E"/>
    <w:rsid w:val="00FF2550"/>
    <w:rsid w:val="00FF298C"/>
    <w:rsid w:val="00FF32D3"/>
    <w:rsid w:val="00FF54E7"/>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page number" w:uiPriority="0"/>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numPr>
        <w:ilvl w:val="1"/>
        <w:numId w:val="1"/>
      </w:numPr>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styleId="PageNumber">
    <w:name w:val="page number"/>
    <w:basedOn w:val="DefaultParagraphFont"/>
    <w:rsid w:val="002F7041"/>
  </w:style>
  <w:style w:type="character" w:customStyle="1" w:styleId="TableTextChar">
    <w:name w:val="Table Text Char"/>
    <w:link w:val="TableText"/>
    <w:locked/>
    <w:rsid w:val="00852363"/>
    <w:rPr>
      <w:rFonts w:ascii="Arial Narrow" w:hAnsi="Arial Narrow"/>
      <w:sz w:val="20"/>
    </w:rPr>
  </w:style>
  <w:style w:type="paragraph" w:customStyle="1" w:styleId="CaptionStyle">
    <w:name w:val="Caption Style"/>
    <w:basedOn w:val="Normal"/>
    <w:next w:val="Normal"/>
    <w:link w:val="CaptionStyleChar"/>
    <w:autoRedefine/>
    <w:rsid w:val="00922842"/>
    <w:pPr>
      <w:keepNext/>
      <w:spacing w:before="0" w:after="0"/>
    </w:pPr>
    <w:rPr>
      <w:rFonts w:ascii="Calibri" w:eastAsia="Times New Roman" w:hAnsi="Calibri" w:cs="Times New Roman"/>
      <w:b/>
      <w:bCs/>
      <w:sz w:val="20"/>
      <w:szCs w:val="20"/>
    </w:rPr>
  </w:style>
  <w:style w:type="character" w:customStyle="1" w:styleId="CaptionStyleChar">
    <w:name w:val="Caption Style Char"/>
    <w:link w:val="CaptionStyle"/>
    <w:rsid w:val="00922842"/>
    <w:rPr>
      <w:rFonts w:ascii="Calibri" w:eastAsia="Times New Roman" w:hAnsi="Calibri" w:cs="Times New Roman"/>
      <w:b/>
      <w:bCs/>
      <w:sz w:val="20"/>
      <w:szCs w:val="20"/>
    </w:rPr>
  </w:style>
  <w:style w:type="paragraph" w:customStyle="1" w:styleId="CaptionTable">
    <w:name w:val="Caption Table"/>
    <w:basedOn w:val="Normal"/>
    <w:next w:val="Normal"/>
    <w:link w:val="CaptionTableChar"/>
    <w:autoRedefine/>
    <w:rsid w:val="005F079D"/>
    <w:pPr>
      <w:keepNext/>
      <w:spacing w:before="0" w:after="0" w:line="281" w:lineRule="auto"/>
    </w:pPr>
    <w:rPr>
      <w:rFonts w:ascii="Arial Narrow" w:eastAsia="Times New Roman" w:hAnsi="Arial Narrow" w:cs="Times New Roman"/>
      <w:b/>
      <w:bCs/>
      <w:sz w:val="20"/>
      <w:szCs w:val="20"/>
    </w:rPr>
  </w:style>
  <w:style w:type="character" w:customStyle="1" w:styleId="CaptionTableChar">
    <w:name w:val="Caption Table Char"/>
    <w:link w:val="CaptionTable"/>
    <w:rsid w:val="005F079D"/>
    <w:rPr>
      <w:rFonts w:ascii="Arial Narrow" w:eastAsia="Times New Roman" w:hAnsi="Arial Narrow" w:cs="Times New Roman"/>
      <w:b/>
      <w:bCs/>
      <w:sz w:val="20"/>
      <w:szCs w:val="20"/>
    </w:rPr>
  </w:style>
  <w:style w:type="table" w:customStyle="1" w:styleId="PlainTable211">
    <w:name w:val="Plain Table 211"/>
    <w:basedOn w:val="TableNormal"/>
    <w:uiPriority w:val="42"/>
    <w:rsid w:val="000A57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beth1">
    <w:name w:val="Table Gridbeth1"/>
    <w:basedOn w:val="TableNormal"/>
    <w:next w:val="TableGrid"/>
    <w:uiPriority w:val="59"/>
    <w:rsid w:val="00906164"/>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2">
    <w:name w:val="Table Gridbeth2"/>
    <w:basedOn w:val="TableNormal"/>
    <w:next w:val="TableGrid"/>
    <w:uiPriority w:val="59"/>
    <w:rsid w:val="00C37C1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330D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TableNormal"/>
    <w:uiPriority w:val="40"/>
    <w:rsid w:val="008154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182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934506"/>
    <w:pPr>
      <w:spacing w:before="0" w:after="0"/>
    </w:pPr>
    <w:rPr>
      <w:rFonts w:ascii="Times New Roman" w:eastAsia="Times New Roman" w:hAnsi="Times New Roman" w:cs="Times New Roman"/>
      <w:sz w:val="27"/>
      <w:szCs w:val="27"/>
      <w:lang w:eastAsia="en-AU"/>
    </w:rPr>
  </w:style>
  <w:style w:type="paragraph" w:customStyle="1" w:styleId="desc2">
    <w:name w:val="desc2"/>
    <w:basedOn w:val="Normal"/>
    <w:rsid w:val="00934506"/>
    <w:pPr>
      <w:spacing w:before="0" w:after="0"/>
    </w:pPr>
    <w:rPr>
      <w:rFonts w:ascii="Times New Roman" w:eastAsia="Times New Roman" w:hAnsi="Times New Roman" w:cs="Times New Roman"/>
      <w:sz w:val="26"/>
      <w:szCs w:val="26"/>
      <w:lang w:eastAsia="en-AU"/>
    </w:rPr>
  </w:style>
  <w:style w:type="paragraph" w:customStyle="1" w:styleId="details1">
    <w:name w:val="details1"/>
    <w:basedOn w:val="Normal"/>
    <w:rsid w:val="00934506"/>
    <w:pPr>
      <w:spacing w:before="0" w:after="0"/>
    </w:pPr>
    <w:rPr>
      <w:rFonts w:ascii="Times New Roman" w:eastAsia="Times New Roman" w:hAnsi="Times New Roman" w:cs="Times New Roman"/>
      <w:sz w:val="22"/>
      <w:lang w:eastAsia="en-AU"/>
    </w:rPr>
  </w:style>
  <w:style w:type="character" w:customStyle="1" w:styleId="jrnl">
    <w:name w:val="jrnl"/>
    <w:basedOn w:val="DefaultParagraphFont"/>
    <w:rsid w:val="00934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page number" w:uiPriority="0"/>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numPr>
        <w:ilvl w:val="1"/>
        <w:numId w:val="1"/>
      </w:numPr>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styleId="PageNumber">
    <w:name w:val="page number"/>
    <w:basedOn w:val="DefaultParagraphFont"/>
    <w:rsid w:val="002F7041"/>
  </w:style>
  <w:style w:type="character" w:customStyle="1" w:styleId="TableTextChar">
    <w:name w:val="Table Text Char"/>
    <w:link w:val="TableText"/>
    <w:locked/>
    <w:rsid w:val="00852363"/>
    <w:rPr>
      <w:rFonts w:ascii="Arial Narrow" w:hAnsi="Arial Narrow"/>
      <w:sz w:val="20"/>
    </w:rPr>
  </w:style>
  <w:style w:type="paragraph" w:customStyle="1" w:styleId="CaptionStyle">
    <w:name w:val="Caption Style"/>
    <w:basedOn w:val="Normal"/>
    <w:next w:val="Normal"/>
    <w:link w:val="CaptionStyleChar"/>
    <w:autoRedefine/>
    <w:rsid w:val="00922842"/>
    <w:pPr>
      <w:keepNext/>
      <w:spacing w:before="0" w:after="0"/>
    </w:pPr>
    <w:rPr>
      <w:rFonts w:ascii="Calibri" w:eastAsia="Times New Roman" w:hAnsi="Calibri" w:cs="Times New Roman"/>
      <w:b/>
      <w:bCs/>
      <w:sz w:val="20"/>
      <w:szCs w:val="20"/>
    </w:rPr>
  </w:style>
  <w:style w:type="character" w:customStyle="1" w:styleId="CaptionStyleChar">
    <w:name w:val="Caption Style Char"/>
    <w:link w:val="CaptionStyle"/>
    <w:rsid w:val="00922842"/>
    <w:rPr>
      <w:rFonts w:ascii="Calibri" w:eastAsia="Times New Roman" w:hAnsi="Calibri" w:cs="Times New Roman"/>
      <w:b/>
      <w:bCs/>
      <w:sz w:val="20"/>
      <w:szCs w:val="20"/>
    </w:rPr>
  </w:style>
  <w:style w:type="paragraph" w:customStyle="1" w:styleId="CaptionTable">
    <w:name w:val="Caption Table"/>
    <w:basedOn w:val="Normal"/>
    <w:next w:val="Normal"/>
    <w:link w:val="CaptionTableChar"/>
    <w:autoRedefine/>
    <w:rsid w:val="005F079D"/>
    <w:pPr>
      <w:keepNext/>
      <w:spacing w:before="0" w:after="0" w:line="281" w:lineRule="auto"/>
    </w:pPr>
    <w:rPr>
      <w:rFonts w:ascii="Arial Narrow" w:eastAsia="Times New Roman" w:hAnsi="Arial Narrow" w:cs="Times New Roman"/>
      <w:b/>
      <w:bCs/>
      <w:sz w:val="20"/>
      <w:szCs w:val="20"/>
    </w:rPr>
  </w:style>
  <w:style w:type="character" w:customStyle="1" w:styleId="CaptionTableChar">
    <w:name w:val="Caption Table Char"/>
    <w:link w:val="CaptionTable"/>
    <w:rsid w:val="005F079D"/>
    <w:rPr>
      <w:rFonts w:ascii="Arial Narrow" w:eastAsia="Times New Roman" w:hAnsi="Arial Narrow" w:cs="Times New Roman"/>
      <w:b/>
      <w:bCs/>
      <w:sz w:val="20"/>
      <w:szCs w:val="20"/>
    </w:rPr>
  </w:style>
  <w:style w:type="table" w:customStyle="1" w:styleId="PlainTable211">
    <w:name w:val="Plain Table 211"/>
    <w:basedOn w:val="TableNormal"/>
    <w:uiPriority w:val="42"/>
    <w:rsid w:val="000A57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beth1">
    <w:name w:val="Table Gridbeth1"/>
    <w:basedOn w:val="TableNormal"/>
    <w:next w:val="TableGrid"/>
    <w:uiPriority w:val="59"/>
    <w:rsid w:val="00906164"/>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2">
    <w:name w:val="Table Gridbeth2"/>
    <w:basedOn w:val="TableNormal"/>
    <w:next w:val="TableGrid"/>
    <w:uiPriority w:val="59"/>
    <w:rsid w:val="00C37C1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330D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TableNormal"/>
    <w:uiPriority w:val="40"/>
    <w:rsid w:val="008154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182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934506"/>
    <w:pPr>
      <w:spacing w:before="0" w:after="0"/>
    </w:pPr>
    <w:rPr>
      <w:rFonts w:ascii="Times New Roman" w:eastAsia="Times New Roman" w:hAnsi="Times New Roman" w:cs="Times New Roman"/>
      <w:sz w:val="27"/>
      <w:szCs w:val="27"/>
      <w:lang w:eastAsia="en-AU"/>
    </w:rPr>
  </w:style>
  <w:style w:type="paragraph" w:customStyle="1" w:styleId="desc2">
    <w:name w:val="desc2"/>
    <w:basedOn w:val="Normal"/>
    <w:rsid w:val="00934506"/>
    <w:pPr>
      <w:spacing w:before="0" w:after="0"/>
    </w:pPr>
    <w:rPr>
      <w:rFonts w:ascii="Times New Roman" w:eastAsia="Times New Roman" w:hAnsi="Times New Roman" w:cs="Times New Roman"/>
      <w:sz w:val="26"/>
      <w:szCs w:val="26"/>
      <w:lang w:eastAsia="en-AU"/>
    </w:rPr>
  </w:style>
  <w:style w:type="paragraph" w:customStyle="1" w:styleId="details1">
    <w:name w:val="details1"/>
    <w:basedOn w:val="Normal"/>
    <w:rsid w:val="00934506"/>
    <w:pPr>
      <w:spacing w:before="0" w:after="0"/>
    </w:pPr>
    <w:rPr>
      <w:rFonts w:ascii="Times New Roman" w:eastAsia="Times New Roman" w:hAnsi="Times New Roman" w:cs="Times New Roman"/>
      <w:sz w:val="22"/>
      <w:lang w:eastAsia="en-AU"/>
    </w:rPr>
  </w:style>
  <w:style w:type="character" w:customStyle="1" w:styleId="jrnl">
    <w:name w:val="jrnl"/>
    <w:basedOn w:val="DefaultParagraphFont"/>
    <w:rsid w:val="00934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04884128">
      <w:bodyDiv w:val="1"/>
      <w:marLeft w:val="0"/>
      <w:marRight w:val="0"/>
      <w:marTop w:val="0"/>
      <w:marBottom w:val="0"/>
      <w:divBdr>
        <w:top w:val="none" w:sz="0" w:space="0" w:color="auto"/>
        <w:left w:val="none" w:sz="0" w:space="0" w:color="auto"/>
        <w:bottom w:val="none" w:sz="0" w:space="0" w:color="auto"/>
        <w:right w:val="none" w:sz="0" w:space="0" w:color="auto"/>
      </w:divBdr>
    </w:div>
    <w:div w:id="146678369">
      <w:bodyDiv w:val="1"/>
      <w:marLeft w:val="0"/>
      <w:marRight w:val="0"/>
      <w:marTop w:val="0"/>
      <w:marBottom w:val="0"/>
      <w:divBdr>
        <w:top w:val="none" w:sz="0" w:space="0" w:color="auto"/>
        <w:left w:val="none" w:sz="0" w:space="0" w:color="auto"/>
        <w:bottom w:val="none" w:sz="0" w:space="0" w:color="auto"/>
        <w:right w:val="none" w:sz="0" w:space="0" w:color="auto"/>
      </w:divBdr>
      <w:divsChild>
        <w:div w:id="71246730">
          <w:marLeft w:val="288"/>
          <w:marRight w:val="0"/>
          <w:marTop w:val="62"/>
          <w:marBottom w:val="0"/>
          <w:divBdr>
            <w:top w:val="none" w:sz="0" w:space="0" w:color="auto"/>
            <w:left w:val="none" w:sz="0" w:space="0" w:color="auto"/>
            <w:bottom w:val="none" w:sz="0" w:space="0" w:color="auto"/>
            <w:right w:val="none" w:sz="0" w:space="0" w:color="auto"/>
          </w:divBdr>
        </w:div>
        <w:div w:id="375933212">
          <w:marLeft w:val="288"/>
          <w:marRight w:val="0"/>
          <w:marTop w:val="62"/>
          <w:marBottom w:val="0"/>
          <w:divBdr>
            <w:top w:val="none" w:sz="0" w:space="0" w:color="auto"/>
            <w:left w:val="none" w:sz="0" w:space="0" w:color="auto"/>
            <w:bottom w:val="none" w:sz="0" w:space="0" w:color="auto"/>
            <w:right w:val="none" w:sz="0" w:space="0" w:color="auto"/>
          </w:divBdr>
        </w:div>
        <w:div w:id="1908414590">
          <w:marLeft w:val="288"/>
          <w:marRight w:val="0"/>
          <w:marTop w:val="62"/>
          <w:marBottom w:val="0"/>
          <w:divBdr>
            <w:top w:val="none" w:sz="0" w:space="0" w:color="auto"/>
            <w:left w:val="none" w:sz="0" w:space="0" w:color="auto"/>
            <w:bottom w:val="none" w:sz="0" w:space="0" w:color="auto"/>
            <w:right w:val="none" w:sz="0" w:space="0" w:color="auto"/>
          </w:divBdr>
        </w:div>
        <w:div w:id="1412239901">
          <w:marLeft w:val="288"/>
          <w:marRight w:val="0"/>
          <w:marTop w:val="62"/>
          <w:marBottom w:val="0"/>
          <w:divBdr>
            <w:top w:val="none" w:sz="0" w:space="0" w:color="auto"/>
            <w:left w:val="none" w:sz="0" w:space="0" w:color="auto"/>
            <w:bottom w:val="none" w:sz="0" w:space="0" w:color="auto"/>
            <w:right w:val="none" w:sz="0" w:space="0" w:color="auto"/>
          </w:divBdr>
        </w:div>
        <w:div w:id="38752889">
          <w:marLeft w:val="288"/>
          <w:marRight w:val="0"/>
          <w:marTop w:val="62"/>
          <w:marBottom w:val="0"/>
          <w:divBdr>
            <w:top w:val="none" w:sz="0" w:space="0" w:color="auto"/>
            <w:left w:val="none" w:sz="0" w:space="0" w:color="auto"/>
            <w:bottom w:val="none" w:sz="0" w:space="0" w:color="auto"/>
            <w:right w:val="none" w:sz="0" w:space="0" w:color="auto"/>
          </w:divBdr>
        </w:div>
        <w:div w:id="1016805932">
          <w:marLeft w:val="288"/>
          <w:marRight w:val="0"/>
          <w:marTop w:val="62"/>
          <w:marBottom w:val="0"/>
          <w:divBdr>
            <w:top w:val="none" w:sz="0" w:space="0" w:color="auto"/>
            <w:left w:val="none" w:sz="0" w:space="0" w:color="auto"/>
            <w:bottom w:val="none" w:sz="0" w:space="0" w:color="auto"/>
            <w:right w:val="none" w:sz="0" w:space="0" w:color="auto"/>
          </w:divBdr>
        </w:div>
        <w:div w:id="115872770">
          <w:marLeft w:val="288"/>
          <w:marRight w:val="0"/>
          <w:marTop w:val="62"/>
          <w:marBottom w:val="0"/>
          <w:divBdr>
            <w:top w:val="none" w:sz="0" w:space="0" w:color="auto"/>
            <w:left w:val="none" w:sz="0" w:space="0" w:color="auto"/>
            <w:bottom w:val="none" w:sz="0" w:space="0" w:color="auto"/>
            <w:right w:val="none" w:sz="0" w:space="0" w:color="auto"/>
          </w:divBdr>
        </w:div>
        <w:div w:id="1195070491">
          <w:marLeft w:val="288"/>
          <w:marRight w:val="0"/>
          <w:marTop w:val="62"/>
          <w:marBottom w:val="0"/>
          <w:divBdr>
            <w:top w:val="none" w:sz="0" w:space="0" w:color="auto"/>
            <w:left w:val="none" w:sz="0" w:space="0" w:color="auto"/>
            <w:bottom w:val="none" w:sz="0" w:space="0" w:color="auto"/>
            <w:right w:val="none" w:sz="0" w:space="0" w:color="auto"/>
          </w:divBdr>
        </w:div>
        <w:div w:id="469058510">
          <w:marLeft w:val="288"/>
          <w:marRight w:val="0"/>
          <w:marTop w:val="62"/>
          <w:marBottom w:val="0"/>
          <w:divBdr>
            <w:top w:val="none" w:sz="0" w:space="0" w:color="auto"/>
            <w:left w:val="none" w:sz="0" w:space="0" w:color="auto"/>
            <w:bottom w:val="none" w:sz="0" w:space="0" w:color="auto"/>
            <w:right w:val="none" w:sz="0" w:space="0" w:color="auto"/>
          </w:divBdr>
        </w:div>
        <w:div w:id="1110471823">
          <w:marLeft w:val="288"/>
          <w:marRight w:val="0"/>
          <w:marTop w:val="62"/>
          <w:marBottom w:val="0"/>
          <w:divBdr>
            <w:top w:val="none" w:sz="0" w:space="0" w:color="auto"/>
            <w:left w:val="none" w:sz="0" w:space="0" w:color="auto"/>
            <w:bottom w:val="none" w:sz="0" w:space="0" w:color="auto"/>
            <w:right w:val="none" w:sz="0" w:space="0" w:color="auto"/>
          </w:divBdr>
        </w:div>
        <w:div w:id="1254897658">
          <w:marLeft w:val="288"/>
          <w:marRight w:val="0"/>
          <w:marTop w:val="62"/>
          <w:marBottom w:val="0"/>
          <w:divBdr>
            <w:top w:val="none" w:sz="0" w:space="0" w:color="auto"/>
            <w:left w:val="none" w:sz="0" w:space="0" w:color="auto"/>
            <w:bottom w:val="none" w:sz="0" w:space="0" w:color="auto"/>
            <w:right w:val="none" w:sz="0" w:space="0" w:color="auto"/>
          </w:divBdr>
        </w:div>
      </w:divsChild>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34383401">
      <w:bodyDiv w:val="1"/>
      <w:marLeft w:val="0"/>
      <w:marRight w:val="0"/>
      <w:marTop w:val="0"/>
      <w:marBottom w:val="0"/>
      <w:divBdr>
        <w:top w:val="none" w:sz="0" w:space="0" w:color="auto"/>
        <w:left w:val="none" w:sz="0" w:space="0" w:color="auto"/>
        <w:bottom w:val="none" w:sz="0" w:space="0" w:color="auto"/>
        <w:right w:val="none" w:sz="0" w:space="0" w:color="auto"/>
      </w:divBdr>
    </w:div>
    <w:div w:id="388263525">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706299862">
      <w:bodyDiv w:val="1"/>
      <w:marLeft w:val="0"/>
      <w:marRight w:val="0"/>
      <w:marTop w:val="0"/>
      <w:marBottom w:val="0"/>
      <w:divBdr>
        <w:top w:val="none" w:sz="0" w:space="0" w:color="auto"/>
        <w:left w:val="none" w:sz="0" w:space="0" w:color="auto"/>
        <w:bottom w:val="none" w:sz="0" w:space="0" w:color="auto"/>
        <w:right w:val="none" w:sz="0" w:space="0" w:color="auto"/>
      </w:divBdr>
      <w:divsChild>
        <w:div w:id="535775702">
          <w:marLeft w:val="0"/>
          <w:marRight w:val="1"/>
          <w:marTop w:val="0"/>
          <w:marBottom w:val="0"/>
          <w:divBdr>
            <w:top w:val="none" w:sz="0" w:space="0" w:color="auto"/>
            <w:left w:val="none" w:sz="0" w:space="0" w:color="auto"/>
            <w:bottom w:val="none" w:sz="0" w:space="0" w:color="auto"/>
            <w:right w:val="none" w:sz="0" w:space="0" w:color="auto"/>
          </w:divBdr>
          <w:divsChild>
            <w:div w:id="1329213097">
              <w:marLeft w:val="0"/>
              <w:marRight w:val="0"/>
              <w:marTop w:val="0"/>
              <w:marBottom w:val="0"/>
              <w:divBdr>
                <w:top w:val="none" w:sz="0" w:space="0" w:color="auto"/>
                <w:left w:val="none" w:sz="0" w:space="0" w:color="auto"/>
                <w:bottom w:val="none" w:sz="0" w:space="0" w:color="auto"/>
                <w:right w:val="none" w:sz="0" w:space="0" w:color="auto"/>
              </w:divBdr>
              <w:divsChild>
                <w:div w:id="776683176">
                  <w:marLeft w:val="0"/>
                  <w:marRight w:val="1"/>
                  <w:marTop w:val="0"/>
                  <w:marBottom w:val="0"/>
                  <w:divBdr>
                    <w:top w:val="none" w:sz="0" w:space="0" w:color="auto"/>
                    <w:left w:val="none" w:sz="0" w:space="0" w:color="auto"/>
                    <w:bottom w:val="none" w:sz="0" w:space="0" w:color="auto"/>
                    <w:right w:val="none" w:sz="0" w:space="0" w:color="auto"/>
                  </w:divBdr>
                  <w:divsChild>
                    <w:div w:id="1794208750">
                      <w:marLeft w:val="0"/>
                      <w:marRight w:val="0"/>
                      <w:marTop w:val="0"/>
                      <w:marBottom w:val="0"/>
                      <w:divBdr>
                        <w:top w:val="none" w:sz="0" w:space="0" w:color="auto"/>
                        <w:left w:val="none" w:sz="0" w:space="0" w:color="auto"/>
                        <w:bottom w:val="none" w:sz="0" w:space="0" w:color="auto"/>
                        <w:right w:val="none" w:sz="0" w:space="0" w:color="auto"/>
                      </w:divBdr>
                      <w:divsChild>
                        <w:div w:id="294987361">
                          <w:marLeft w:val="0"/>
                          <w:marRight w:val="0"/>
                          <w:marTop w:val="0"/>
                          <w:marBottom w:val="0"/>
                          <w:divBdr>
                            <w:top w:val="none" w:sz="0" w:space="0" w:color="auto"/>
                            <w:left w:val="none" w:sz="0" w:space="0" w:color="auto"/>
                            <w:bottom w:val="none" w:sz="0" w:space="0" w:color="auto"/>
                            <w:right w:val="none" w:sz="0" w:space="0" w:color="auto"/>
                          </w:divBdr>
                          <w:divsChild>
                            <w:div w:id="2146654488">
                              <w:marLeft w:val="0"/>
                              <w:marRight w:val="0"/>
                              <w:marTop w:val="120"/>
                              <w:marBottom w:val="360"/>
                              <w:divBdr>
                                <w:top w:val="none" w:sz="0" w:space="0" w:color="auto"/>
                                <w:left w:val="none" w:sz="0" w:space="0" w:color="auto"/>
                                <w:bottom w:val="none" w:sz="0" w:space="0" w:color="auto"/>
                                <w:right w:val="none" w:sz="0" w:space="0" w:color="auto"/>
                              </w:divBdr>
                              <w:divsChild>
                                <w:div w:id="1047950949">
                                  <w:marLeft w:val="0"/>
                                  <w:marRight w:val="0"/>
                                  <w:marTop w:val="0"/>
                                  <w:marBottom w:val="0"/>
                                  <w:divBdr>
                                    <w:top w:val="none" w:sz="0" w:space="0" w:color="auto"/>
                                    <w:left w:val="none" w:sz="0" w:space="0" w:color="auto"/>
                                    <w:bottom w:val="none" w:sz="0" w:space="0" w:color="auto"/>
                                    <w:right w:val="none" w:sz="0" w:space="0" w:color="auto"/>
                                  </w:divBdr>
                                </w:div>
                                <w:div w:id="2086876611">
                                  <w:marLeft w:val="420"/>
                                  <w:marRight w:val="0"/>
                                  <w:marTop w:val="0"/>
                                  <w:marBottom w:val="0"/>
                                  <w:divBdr>
                                    <w:top w:val="none" w:sz="0" w:space="0" w:color="auto"/>
                                    <w:left w:val="none" w:sz="0" w:space="0" w:color="auto"/>
                                    <w:bottom w:val="none" w:sz="0" w:space="0" w:color="auto"/>
                                    <w:right w:val="none" w:sz="0" w:space="0" w:color="auto"/>
                                  </w:divBdr>
                                  <w:divsChild>
                                    <w:div w:id="70714373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95262">
      <w:bodyDiv w:val="1"/>
      <w:marLeft w:val="0"/>
      <w:marRight w:val="0"/>
      <w:marTop w:val="0"/>
      <w:marBottom w:val="0"/>
      <w:divBdr>
        <w:top w:val="none" w:sz="0" w:space="0" w:color="auto"/>
        <w:left w:val="none" w:sz="0" w:space="0" w:color="auto"/>
        <w:bottom w:val="none" w:sz="0" w:space="0" w:color="auto"/>
        <w:right w:val="none" w:sz="0" w:space="0" w:color="auto"/>
      </w:divBdr>
    </w:div>
    <w:div w:id="819228743">
      <w:bodyDiv w:val="1"/>
      <w:marLeft w:val="0"/>
      <w:marRight w:val="0"/>
      <w:marTop w:val="0"/>
      <w:marBottom w:val="0"/>
      <w:divBdr>
        <w:top w:val="none" w:sz="0" w:space="0" w:color="auto"/>
        <w:left w:val="none" w:sz="0" w:space="0" w:color="auto"/>
        <w:bottom w:val="none" w:sz="0" w:space="0" w:color="auto"/>
        <w:right w:val="none" w:sz="0" w:space="0" w:color="auto"/>
      </w:divBdr>
      <w:divsChild>
        <w:div w:id="1965232414">
          <w:marLeft w:val="547"/>
          <w:marRight w:val="0"/>
          <w:marTop w:val="96"/>
          <w:marBottom w:val="0"/>
          <w:divBdr>
            <w:top w:val="none" w:sz="0" w:space="0" w:color="auto"/>
            <w:left w:val="none" w:sz="0" w:space="0" w:color="auto"/>
            <w:bottom w:val="none" w:sz="0" w:space="0" w:color="auto"/>
            <w:right w:val="none" w:sz="0" w:space="0" w:color="auto"/>
          </w:divBdr>
        </w:div>
        <w:div w:id="1060984112">
          <w:marLeft w:val="547"/>
          <w:marRight w:val="0"/>
          <w:marTop w:val="96"/>
          <w:marBottom w:val="0"/>
          <w:divBdr>
            <w:top w:val="none" w:sz="0" w:space="0" w:color="auto"/>
            <w:left w:val="none" w:sz="0" w:space="0" w:color="auto"/>
            <w:bottom w:val="none" w:sz="0" w:space="0" w:color="auto"/>
            <w:right w:val="none" w:sz="0" w:space="0" w:color="auto"/>
          </w:divBdr>
        </w:div>
        <w:div w:id="1415323620">
          <w:marLeft w:val="1166"/>
          <w:marRight w:val="0"/>
          <w:marTop w:val="77"/>
          <w:marBottom w:val="0"/>
          <w:divBdr>
            <w:top w:val="none" w:sz="0" w:space="0" w:color="auto"/>
            <w:left w:val="none" w:sz="0" w:space="0" w:color="auto"/>
            <w:bottom w:val="none" w:sz="0" w:space="0" w:color="auto"/>
            <w:right w:val="none" w:sz="0" w:space="0" w:color="auto"/>
          </w:divBdr>
        </w:div>
        <w:div w:id="703483425">
          <w:marLeft w:val="1166"/>
          <w:marRight w:val="0"/>
          <w:marTop w:val="77"/>
          <w:marBottom w:val="0"/>
          <w:divBdr>
            <w:top w:val="none" w:sz="0" w:space="0" w:color="auto"/>
            <w:left w:val="none" w:sz="0" w:space="0" w:color="auto"/>
            <w:bottom w:val="none" w:sz="0" w:space="0" w:color="auto"/>
            <w:right w:val="none" w:sz="0" w:space="0" w:color="auto"/>
          </w:divBdr>
        </w:div>
        <w:div w:id="351495346">
          <w:marLeft w:val="1166"/>
          <w:marRight w:val="0"/>
          <w:marTop w:val="77"/>
          <w:marBottom w:val="0"/>
          <w:divBdr>
            <w:top w:val="none" w:sz="0" w:space="0" w:color="auto"/>
            <w:left w:val="none" w:sz="0" w:space="0" w:color="auto"/>
            <w:bottom w:val="none" w:sz="0" w:space="0" w:color="auto"/>
            <w:right w:val="none" w:sz="0" w:space="0" w:color="auto"/>
          </w:divBdr>
        </w:div>
      </w:divsChild>
    </w:div>
    <w:div w:id="873078854">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28477575">
      <w:bodyDiv w:val="1"/>
      <w:marLeft w:val="0"/>
      <w:marRight w:val="0"/>
      <w:marTop w:val="0"/>
      <w:marBottom w:val="0"/>
      <w:divBdr>
        <w:top w:val="none" w:sz="0" w:space="0" w:color="auto"/>
        <w:left w:val="none" w:sz="0" w:space="0" w:color="auto"/>
        <w:bottom w:val="none" w:sz="0" w:space="0" w:color="auto"/>
        <w:right w:val="none" w:sz="0" w:space="0" w:color="auto"/>
      </w:divBdr>
      <w:divsChild>
        <w:div w:id="1720473548">
          <w:marLeft w:val="0"/>
          <w:marRight w:val="0"/>
          <w:marTop w:val="100"/>
          <w:marBottom w:val="100"/>
          <w:divBdr>
            <w:top w:val="none" w:sz="0" w:space="0" w:color="auto"/>
            <w:left w:val="none" w:sz="0" w:space="0" w:color="auto"/>
            <w:bottom w:val="none" w:sz="0" w:space="0" w:color="auto"/>
            <w:right w:val="none" w:sz="0" w:space="0" w:color="auto"/>
          </w:divBdr>
          <w:divsChild>
            <w:div w:id="1697080543">
              <w:marLeft w:val="0"/>
              <w:marRight w:val="0"/>
              <w:marTop w:val="0"/>
              <w:marBottom w:val="0"/>
              <w:divBdr>
                <w:top w:val="none" w:sz="0" w:space="0" w:color="auto"/>
                <w:left w:val="none" w:sz="0" w:space="0" w:color="auto"/>
                <w:bottom w:val="none" w:sz="0" w:space="0" w:color="auto"/>
                <w:right w:val="none" w:sz="0" w:space="0" w:color="auto"/>
              </w:divBdr>
              <w:divsChild>
                <w:div w:id="605773052">
                  <w:marLeft w:val="105"/>
                  <w:marRight w:val="105"/>
                  <w:marTop w:val="105"/>
                  <w:marBottom w:val="105"/>
                  <w:divBdr>
                    <w:top w:val="none" w:sz="0" w:space="0" w:color="auto"/>
                    <w:left w:val="none" w:sz="0" w:space="0" w:color="auto"/>
                    <w:bottom w:val="none" w:sz="0" w:space="0" w:color="auto"/>
                    <w:right w:val="none" w:sz="0" w:space="0" w:color="auto"/>
                  </w:divBdr>
                  <w:divsChild>
                    <w:div w:id="19858396">
                      <w:marLeft w:val="0"/>
                      <w:marRight w:val="0"/>
                      <w:marTop w:val="0"/>
                      <w:marBottom w:val="0"/>
                      <w:divBdr>
                        <w:top w:val="none" w:sz="0" w:space="0" w:color="auto"/>
                        <w:left w:val="none" w:sz="0" w:space="0" w:color="auto"/>
                        <w:bottom w:val="none" w:sz="0" w:space="0" w:color="auto"/>
                        <w:right w:val="none" w:sz="0" w:space="0" w:color="auto"/>
                      </w:divBdr>
                      <w:divsChild>
                        <w:div w:id="1214653059">
                          <w:marLeft w:val="0"/>
                          <w:marRight w:val="0"/>
                          <w:marTop w:val="0"/>
                          <w:marBottom w:val="0"/>
                          <w:divBdr>
                            <w:top w:val="none" w:sz="0" w:space="0" w:color="auto"/>
                            <w:left w:val="none" w:sz="0" w:space="0" w:color="auto"/>
                            <w:bottom w:val="none" w:sz="0" w:space="0" w:color="auto"/>
                            <w:right w:val="none" w:sz="0" w:space="0" w:color="auto"/>
                          </w:divBdr>
                          <w:divsChild>
                            <w:div w:id="1928296552">
                              <w:marLeft w:val="105"/>
                              <w:marRight w:val="105"/>
                              <w:marTop w:val="105"/>
                              <w:marBottom w:val="105"/>
                              <w:divBdr>
                                <w:top w:val="none" w:sz="0" w:space="0" w:color="auto"/>
                                <w:left w:val="none" w:sz="0" w:space="0" w:color="auto"/>
                                <w:bottom w:val="none" w:sz="0" w:space="0" w:color="auto"/>
                                <w:right w:val="none" w:sz="0" w:space="0" w:color="auto"/>
                              </w:divBdr>
                              <w:divsChild>
                                <w:div w:id="1788742173">
                                  <w:marLeft w:val="0"/>
                                  <w:marRight w:val="0"/>
                                  <w:marTop w:val="0"/>
                                  <w:marBottom w:val="0"/>
                                  <w:divBdr>
                                    <w:top w:val="none" w:sz="0" w:space="0" w:color="auto"/>
                                    <w:left w:val="none" w:sz="0" w:space="0" w:color="auto"/>
                                    <w:bottom w:val="none" w:sz="0" w:space="0" w:color="auto"/>
                                    <w:right w:val="none" w:sz="0" w:space="0" w:color="auto"/>
                                  </w:divBdr>
                                  <w:divsChild>
                                    <w:div w:id="931357128">
                                      <w:marLeft w:val="0"/>
                                      <w:marRight w:val="0"/>
                                      <w:marTop w:val="0"/>
                                      <w:marBottom w:val="0"/>
                                      <w:divBdr>
                                        <w:top w:val="none" w:sz="0" w:space="0" w:color="auto"/>
                                        <w:left w:val="none" w:sz="0" w:space="0" w:color="auto"/>
                                        <w:bottom w:val="none" w:sz="0" w:space="0" w:color="auto"/>
                                        <w:right w:val="none" w:sz="0" w:space="0" w:color="auto"/>
                                      </w:divBdr>
                                      <w:divsChild>
                                        <w:div w:id="275799608">
                                          <w:marLeft w:val="0"/>
                                          <w:marRight w:val="0"/>
                                          <w:marTop w:val="0"/>
                                          <w:marBottom w:val="0"/>
                                          <w:divBdr>
                                            <w:top w:val="none" w:sz="0" w:space="0" w:color="auto"/>
                                            <w:left w:val="none" w:sz="0" w:space="0" w:color="auto"/>
                                            <w:bottom w:val="none" w:sz="0" w:space="0" w:color="auto"/>
                                            <w:right w:val="none" w:sz="0" w:space="0" w:color="auto"/>
                                          </w:divBdr>
                                          <w:divsChild>
                                            <w:div w:id="503663768">
                                              <w:marLeft w:val="0"/>
                                              <w:marRight w:val="0"/>
                                              <w:marTop w:val="0"/>
                                              <w:marBottom w:val="0"/>
                                              <w:divBdr>
                                                <w:top w:val="none" w:sz="0" w:space="0" w:color="auto"/>
                                                <w:left w:val="none" w:sz="0" w:space="0" w:color="auto"/>
                                                <w:bottom w:val="none" w:sz="0" w:space="0" w:color="auto"/>
                                                <w:right w:val="none" w:sz="0" w:space="0" w:color="auto"/>
                                              </w:divBdr>
                                              <w:divsChild>
                                                <w:div w:id="638995459">
                                                  <w:marLeft w:val="0"/>
                                                  <w:marRight w:val="0"/>
                                                  <w:marTop w:val="0"/>
                                                  <w:marBottom w:val="0"/>
                                                  <w:divBdr>
                                                    <w:top w:val="none" w:sz="0" w:space="0" w:color="auto"/>
                                                    <w:left w:val="none" w:sz="0" w:space="0" w:color="auto"/>
                                                    <w:bottom w:val="none" w:sz="0" w:space="0" w:color="auto"/>
                                                    <w:right w:val="none" w:sz="0" w:space="0" w:color="auto"/>
                                                  </w:divBdr>
                                                  <w:divsChild>
                                                    <w:div w:id="1710496594">
                                                      <w:marLeft w:val="105"/>
                                                      <w:marRight w:val="105"/>
                                                      <w:marTop w:val="105"/>
                                                      <w:marBottom w:val="105"/>
                                                      <w:divBdr>
                                                        <w:top w:val="none" w:sz="0" w:space="0" w:color="auto"/>
                                                        <w:left w:val="none" w:sz="0" w:space="0" w:color="auto"/>
                                                        <w:bottom w:val="none" w:sz="0" w:space="0" w:color="auto"/>
                                                        <w:right w:val="none" w:sz="0" w:space="0" w:color="auto"/>
                                                      </w:divBdr>
                                                      <w:divsChild>
                                                        <w:div w:id="365057563">
                                                          <w:marLeft w:val="0"/>
                                                          <w:marRight w:val="0"/>
                                                          <w:marTop w:val="0"/>
                                                          <w:marBottom w:val="0"/>
                                                          <w:divBdr>
                                                            <w:top w:val="none" w:sz="0" w:space="0" w:color="auto"/>
                                                            <w:left w:val="none" w:sz="0" w:space="0" w:color="auto"/>
                                                            <w:bottom w:val="none" w:sz="0" w:space="0" w:color="auto"/>
                                                            <w:right w:val="none" w:sz="0" w:space="0" w:color="auto"/>
                                                          </w:divBdr>
                                                          <w:divsChild>
                                                            <w:div w:id="357581499">
                                                              <w:marLeft w:val="0"/>
                                                              <w:marRight w:val="0"/>
                                                              <w:marTop w:val="0"/>
                                                              <w:marBottom w:val="0"/>
                                                              <w:divBdr>
                                                                <w:top w:val="none" w:sz="0" w:space="0" w:color="auto"/>
                                                                <w:left w:val="none" w:sz="0" w:space="0" w:color="auto"/>
                                                                <w:bottom w:val="none" w:sz="0" w:space="0" w:color="auto"/>
                                                                <w:right w:val="none" w:sz="0" w:space="0" w:color="auto"/>
                                                              </w:divBdr>
                                                              <w:divsChild>
                                                                <w:div w:id="696586011">
                                                                  <w:marLeft w:val="0"/>
                                                                  <w:marRight w:val="0"/>
                                                                  <w:marTop w:val="0"/>
                                                                  <w:marBottom w:val="0"/>
                                                                  <w:divBdr>
                                                                    <w:top w:val="none" w:sz="0" w:space="0" w:color="auto"/>
                                                                    <w:left w:val="none" w:sz="0" w:space="0" w:color="auto"/>
                                                                    <w:bottom w:val="none" w:sz="0" w:space="0" w:color="auto"/>
                                                                    <w:right w:val="none" w:sz="0" w:space="0" w:color="auto"/>
                                                                  </w:divBdr>
                                                                  <w:divsChild>
                                                                    <w:div w:id="1275940387">
                                                                      <w:marLeft w:val="0"/>
                                                                      <w:marRight w:val="0"/>
                                                                      <w:marTop w:val="0"/>
                                                                      <w:marBottom w:val="0"/>
                                                                      <w:divBdr>
                                                                        <w:top w:val="none" w:sz="0" w:space="0" w:color="auto"/>
                                                                        <w:left w:val="none" w:sz="0" w:space="0" w:color="auto"/>
                                                                        <w:bottom w:val="none" w:sz="0" w:space="0" w:color="auto"/>
                                                                        <w:right w:val="none" w:sz="0" w:space="0" w:color="auto"/>
                                                                      </w:divBdr>
                                                                      <w:divsChild>
                                                                        <w:div w:id="602031111">
                                                                          <w:marLeft w:val="0"/>
                                                                          <w:marRight w:val="0"/>
                                                                          <w:marTop w:val="0"/>
                                                                          <w:marBottom w:val="0"/>
                                                                          <w:divBdr>
                                                                            <w:top w:val="none" w:sz="0" w:space="0" w:color="auto"/>
                                                                            <w:left w:val="none" w:sz="0" w:space="0" w:color="auto"/>
                                                                            <w:bottom w:val="none" w:sz="0" w:space="0" w:color="auto"/>
                                                                            <w:right w:val="none" w:sz="0" w:space="0" w:color="auto"/>
                                                                          </w:divBdr>
                                                                          <w:divsChild>
                                                                            <w:div w:id="1534151486">
                                                                              <w:marLeft w:val="0"/>
                                                                              <w:marRight w:val="0"/>
                                                                              <w:marTop w:val="0"/>
                                                                              <w:marBottom w:val="0"/>
                                                                              <w:divBdr>
                                                                                <w:top w:val="none" w:sz="0" w:space="0" w:color="auto"/>
                                                                                <w:left w:val="none" w:sz="0" w:space="0" w:color="auto"/>
                                                                                <w:bottom w:val="none" w:sz="0" w:space="0" w:color="auto"/>
                                                                                <w:right w:val="none" w:sz="0" w:space="0" w:color="auto"/>
                                                                              </w:divBdr>
                                                                              <w:divsChild>
                                                                                <w:div w:id="363485152">
                                                                                  <w:marLeft w:val="0"/>
                                                                                  <w:marRight w:val="0"/>
                                                                                  <w:marTop w:val="0"/>
                                                                                  <w:marBottom w:val="0"/>
                                                                                  <w:divBdr>
                                                                                    <w:top w:val="none" w:sz="0" w:space="0" w:color="auto"/>
                                                                                    <w:left w:val="none" w:sz="0" w:space="0" w:color="auto"/>
                                                                                    <w:bottom w:val="none" w:sz="0" w:space="0" w:color="auto"/>
                                                                                    <w:right w:val="none" w:sz="0" w:space="0" w:color="auto"/>
                                                                                  </w:divBdr>
                                                                                  <w:divsChild>
                                                                                    <w:div w:id="828323884">
                                                                                      <w:marLeft w:val="105"/>
                                                                                      <w:marRight w:val="105"/>
                                                                                      <w:marTop w:val="105"/>
                                                                                      <w:marBottom w:val="105"/>
                                                                                      <w:divBdr>
                                                                                        <w:top w:val="none" w:sz="0" w:space="0" w:color="auto"/>
                                                                                        <w:left w:val="none" w:sz="0" w:space="0" w:color="auto"/>
                                                                                        <w:bottom w:val="none" w:sz="0" w:space="0" w:color="auto"/>
                                                                                        <w:right w:val="none" w:sz="0" w:space="0" w:color="auto"/>
                                                                                      </w:divBdr>
                                                                                      <w:divsChild>
                                                                                        <w:div w:id="1183277491">
                                                                                          <w:marLeft w:val="0"/>
                                                                                          <w:marRight w:val="0"/>
                                                                                          <w:marTop w:val="0"/>
                                                                                          <w:marBottom w:val="0"/>
                                                                                          <w:divBdr>
                                                                                            <w:top w:val="none" w:sz="0" w:space="0" w:color="auto"/>
                                                                                            <w:left w:val="none" w:sz="0" w:space="0" w:color="auto"/>
                                                                                            <w:bottom w:val="none" w:sz="0" w:space="0" w:color="auto"/>
                                                                                            <w:right w:val="none" w:sz="0" w:space="0" w:color="auto"/>
                                                                                          </w:divBdr>
                                                                                          <w:divsChild>
                                                                                            <w:div w:id="1368288589">
                                                                                              <w:marLeft w:val="0"/>
                                                                                              <w:marRight w:val="0"/>
                                                                                              <w:marTop w:val="0"/>
                                                                                              <w:marBottom w:val="0"/>
                                                                                              <w:divBdr>
                                                                                                <w:top w:val="none" w:sz="0" w:space="0" w:color="auto"/>
                                                                                                <w:left w:val="none" w:sz="0" w:space="0" w:color="auto"/>
                                                                                                <w:bottom w:val="none" w:sz="0" w:space="0" w:color="auto"/>
                                                                                                <w:right w:val="none" w:sz="0" w:space="0" w:color="auto"/>
                                                                                              </w:divBdr>
                                                                                              <w:divsChild>
                                                                                                <w:div w:id="430469470">
                                                                                                  <w:marLeft w:val="0"/>
                                                                                                  <w:marRight w:val="0"/>
                                                                                                  <w:marTop w:val="0"/>
                                                                                                  <w:marBottom w:val="0"/>
                                                                                                  <w:divBdr>
                                                                                                    <w:top w:val="none" w:sz="0" w:space="0" w:color="auto"/>
                                                                                                    <w:left w:val="none" w:sz="0" w:space="0" w:color="auto"/>
                                                                                                    <w:bottom w:val="none" w:sz="0" w:space="0" w:color="auto"/>
                                                                                                    <w:right w:val="none" w:sz="0" w:space="0" w:color="auto"/>
                                                                                                  </w:divBdr>
                                                                                                  <w:divsChild>
                                                                                                    <w:div w:id="38283374">
                                                                                                      <w:marLeft w:val="105"/>
                                                                                                      <w:marRight w:val="105"/>
                                                                                                      <w:marTop w:val="105"/>
                                                                                                      <w:marBottom w:val="105"/>
                                                                                                      <w:divBdr>
                                                                                                        <w:top w:val="none" w:sz="0" w:space="0" w:color="auto"/>
                                                                                                        <w:left w:val="none" w:sz="0" w:space="0" w:color="auto"/>
                                                                                                        <w:bottom w:val="none" w:sz="0" w:space="0" w:color="auto"/>
                                                                                                        <w:right w:val="none" w:sz="0" w:space="0" w:color="auto"/>
                                                                                                      </w:divBdr>
                                                                                                      <w:divsChild>
                                                                                                        <w:div w:id="2104915102">
                                                                                                          <w:marLeft w:val="0"/>
                                                                                                          <w:marRight w:val="0"/>
                                                                                                          <w:marTop w:val="0"/>
                                                                                                          <w:marBottom w:val="0"/>
                                                                                                          <w:divBdr>
                                                                                                            <w:top w:val="none" w:sz="0" w:space="0" w:color="auto"/>
                                                                                                            <w:left w:val="none" w:sz="0" w:space="0" w:color="auto"/>
                                                                                                            <w:bottom w:val="none" w:sz="0" w:space="0" w:color="auto"/>
                                                                                                            <w:right w:val="none" w:sz="0" w:space="0" w:color="auto"/>
                                                                                                          </w:divBdr>
                                                                                                          <w:divsChild>
                                                                                                            <w:div w:id="139005349">
                                                                                                              <w:marLeft w:val="0"/>
                                                                                                              <w:marRight w:val="0"/>
                                                                                                              <w:marTop w:val="0"/>
                                                                                                              <w:marBottom w:val="0"/>
                                                                                                              <w:divBdr>
                                                                                                                <w:top w:val="none" w:sz="0" w:space="0" w:color="auto"/>
                                                                                                                <w:left w:val="none" w:sz="0" w:space="0" w:color="auto"/>
                                                                                                                <w:bottom w:val="none" w:sz="0" w:space="0" w:color="auto"/>
                                                                                                                <w:right w:val="none" w:sz="0" w:space="0" w:color="auto"/>
                                                                                                              </w:divBdr>
                                                                                                              <w:divsChild>
                                                                                                                <w:div w:id="2129665416">
                                                                                                                  <w:marLeft w:val="0"/>
                                                                                                                  <w:marRight w:val="0"/>
                                                                                                                  <w:marTop w:val="0"/>
                                                                                                                  <w:marBottom w:val="0"/>
                                                                                                                  <w:divBdr>
                                                                                                                    <w:top w:val="none" w:sz="0" w:space="0" w:color="auto"/>
                                                                                                                    <w:left w:val="none" w:sz="0" w:space="0" w:color="auto"/>
                                                                                                                    <w:bottom w:val="none" w:sz="0" w:space="0" w:color="auto"/>
                                                                                                                    <w:right w:val="none" w:sz="0" w:space="0" w:color="auto"/>
                                                                                                                  </w:divBdr>
                                                                                                                  <w:divsChild>
                                                                                                                    <w:div w:id="202257058">
                                                                                                                      <w:marLeft w:val="0"/>
                                                                                                                      <w:marRight w:val="0"/>
                                                                                                                      <w:marTop w:val="0"/>
                                                                                                                      <w:marBottom w:val="0"/>
                                                                                                                      <w:divBdr>
                                                                                                                        <w:top w:val="none" w:sz="0" w:space="0" w:color="auto"/>
                                                                                                                        <w:left w:val="none" w:sz="0" w:space="0" w:color="auto"/>
                                                                                                                        <w:bottom w:val="none" w:sz="0" w:space="0" w:color="auto"/>
                                                                                                                        <w:right w:val="none" w:sz="0" w:space="0" w:color="auto"/>
                                                                                                                      </w:divBdr>
                                                                                                                      <w:divsChild>
                                                                                                                        <w:div w:id="515074112">
                                                                                                                          <w:marLeft w:val="0"/>
                                                                                                                          <w:marRight w:val="0"/>
                                                                                                                          <w:marTop w:val="0"/>
                                                                                                                          <w:marBottom w:val="0"/>
                                                                                                                          <w:divBdr>
                                                                                                                            <w:top w:val="none" w:sz="0" w:space="0" w:color="auto"/>
                                                                                                                            <w:left w:val="none" w:sz="0" w:space="0" w:color="auto"/>
                                                                                                                            <w:bottom w:val="none" w:sz="0" w:space="0" w:color="auto"/>
                                                                                                                            <w:right w:val="none" w:sz="0" w:space="0" w:color="auto"/>
                                                                                                                          </w:divBdr>
                                                                                                                          <w:divsChild>
                                                                                                                            <w:div w:id="1307008544">
                                                                                                                              <w:marLeft w:val="105"/>
                                                                                                                              <w:marRight w:val="105"/>
                                                                                                                              <w:marTop w:val="105"/>
                                                                                                                              <w:marBottom w:val="105"/>
                                                                                                                              <w:divBdr>
                                                                                                                                <w:top w:val="none" w:sz="0" w:space="0" w:color="auto"/>
                                                                                                                                <w:left w:val="none" w:sz="0" w:space="0" w:color="auto"/>
                                                                                                                                <w:bottom w:val="none" w:sz="0" w:space="0" w:color="auto"/>
                                                                                                                                <w:right w:val="none" w:sz="0" w:space="0" w:color="auto"/>
                                                                                                                              </w:divBdr>
                                                                                                                              <w:divsChild>
                                                                                                                                <w:div w:id="1975603471">
                                                                                                                                  <w:marLeft w:val="0"/>
                                                                                                                                  <w:marRight w:val="0"/>
                                                                                                                                  <w:marTop w:val="0"/>
                                                                                                                                  <w:marBottom w:val="0"/>
                                                                                                                                  <w:divBdr>
                                                                                                                                    <w:top w:val="none" w:sz="0" w:space="0" w:color="auto"/>
                                                                                                                                    <w:left w:val="none" w:sz="0" w:space="0" w:color="auto"/>
                                                                                                                                    <w:bottom w:val="none" w:sz="0" w:space="0" w:color="auto"/>
                                                                                                                                    <w:right w:val="none" w:sz="0" w:space="0" w:color="auto"/>
                                                                                                                                  </w:divBdr>
                                                                                                                                  <w:divsChild>
                                                                                                                                    <w:div w:id="1227688914">
                                                                                                                                      <w:marLeft w:val="0"/>
                                                                                                                                      <w:marRight w:val="0"/>
                                                                                                                                      <w:marTop w:val="0"/>
                                                                                                                                      <w:marBottom w:val="0"/>
                                                                                                                                      <w:divBdr>
                                                                                                                                        <w:top w:val="none" w:sz="0" w:space="0" w:color="auto"/>
                                                                                                                                        <w:left w:val="none" w:sz="0" w:space="0" w:color="auto"/>
                                                                                                                                        <w:bottom w:val="none" w:sz="0" w:space="0" w:color="auto"/>
                                                                                                                                        <w:right w:val="none" w:sz="0" w:space="0" w:color="auto"/>
                                                                                                                                      </w:divBdr>
                                                                                                                                      <w:divsChild>
                                                                                                                                        <w:div w:id="580600892">
                                                                                                                                          <w:marLeft w:val="0"/>
                                                                                                                                          <w:marRight w:val="0"/>
                                                                                                                                          <w:marTop w:val="0"/>
                                                                                                                                          <w:marBottom w:val="0"/>
                                                                                                                                          <w:divBdr>
                                                                                                                                            <w:top w:val="none" w:sz="0" w:space="0" w:color="auto"/>
                                                                                                                                            <w:left w:val="none" w:sz="0" w:space="0" w:color="auto"/>
                                                                                                                                            <w:bottom w:val="none" w:sz="0" w:space="0" w:color="auto"/>
                                                                                                                                            <w:right w:val="none" w:sz="0" w:space="0" w:color="auto"/>
                                                                                                                                          </w:divBdr>
                                                                                                                                          <w:divsChild>
                                                                                                                                            <w:div w:id="1883784615">
                                                                                                                                              <w:marLeft w:val="0"/>
                                                                                                                                              <w:marRight w:val="0"/>
                                                                                                                                              <w:marTop w:val="0"/>
                                                                                                                                              <w:marBottom w:val="0"/>
                                                                                                                                              <w:divBdr>
                                                                                                                                                <w:top w:val="none" w:sz="0" w:space="0" w:color="auto"/>
                                                                                                                                                <w:left w:val="none" w:sz="0" w:space="0" w:color="auto"/>
                                                                                                                                                <w:bottom w:val="none" w:sz="0" w:space="0" w:color="auto"/>
                                                                                                                                                <w:right w:val="none" w:sz="0" w:space="0" w:color="auto"/>
                                                                                                                                              </w:divBdr>
                                                                                                                                              <w:divsChild>
                                                                                                                                                <w:div w:id="1747655141">
                                                                                                                                                  <w:marLeft w:val="0"/>
                                                                                                                                                  <w:marRight w:val="0"/>
                                                                                                                                                  <w:marTop w:val="0"/>
                                                                                                                                                  <w:marBottom w:val="0"/>
                                                                                                                                                  <w:divBdr>
                                                                                                                                                    <w:top w:val="none" w:sz="0" w:space="0" w:color="auto"/>
                                                                                                                                                    <w:left w:val="none" w:sz="0" w:space="0" w:color="auto"/>
                                                                                                                                                    <w:bottom w:val="none" w:sz="0" w:space="0" w:color="auto"/>
                                                                                                                                                    <w:right w:val="none" w:sz="0" w:space="0" w:color="auto"/>
                                                                                                                                                  </w:divBdr>
                                                                                                                                                  <w:divsChild>
                                                                                                                                                    <w:div w:id="1546478562">
                                                                                                                                                      <w:marLeft w:val="105"/>
                                                                                                                                                      <w:marRight w:val="105"/>
                                                                                                                                                      <w:marTop w:val="105"/>
                                                                                                                                                      <w:marBottom w:val="105"/>
                                                                                                                                                      <w:divBdr>
                                                                                                                                                        <w:top w:val="none" w:sz="0" w:space="0" w:color="auto"/>
                                                                                                                                                        <w:left w:val="none" w:sz="0" w:space="0" w:color="auto"/>
                                                                                                                                                        <w:bottom w:val="none" w:sz="0" w:space="0" w:color="auto"/>
                                                                                                                                                        <w:right w:val="none" w:sz="0" w:space="0" w:color="auto"/>
                                                                                                                                                      </w:divBdr>
                                                                                                                                                      <w:divsChild>
                                                                                                                                                        <w:div w:id="643125963">
                                                                                                                                                          <w:marLeft w:val="0"/>
                                                                                                                                                          <w:marRight w:val="0"/>
                                                                                                                                                          <w:marTop w:val="0"/>
                                                                                                                                                          <w:marBottom w:val="0"/>
                                                                                                                                                          <w:divBdr>
                                                                                                                                                            <w:top w:val="none" w:sz="0" w:space="0" w:color="auto"/>
                                                                                                                                                            <w:left w:val="none" w:sz="0" w:space="0" w:color="auto"/>
                                                                                                                                                            <w:bottom w:val="none" w:sz="0" w:space="0" w:color="auto"/>
                                                                                                                                                            <w:right w:val="none" w:sz="0" w:space="0" w:color="auto"/>
                                                                                                                                                          </w:divBdr>
                                                                                                                                                          <w:divsChild>
                                                                                                                                                            <w:div w:id="523397438">
                                                                                                                                                              <w:marLeft w:val="0"/>
                                                                                                                                                              <w:marRight w:val="0"/>
                                                                                                                                                              <w:marTop w:val="0"/>
                                                                                                                                                              <w:marBottom w:val="0"/>
                                                                                                                                                              <w:divBdr>
                                                                                                                                                                <w:top w:val="none" w:sz="0" w:space="0" w:color="auto"/>
                                                                                                                                                                <w:left w:val="none" w:sz="0" w:space="0" w:color="auto"/>
                                                                                                                                                                <w:bottom w:val="none" w:sz="0" w:space="0" w:color="auto"/>
                                                                                                                                                                <w:right w:val="none" w:sz="0" w:space="0" w:color="auto"/>
                                                                                                                                                              </w:divBdr>
                                                                                                                                                              <w:divsChild>
                                                                                                                                                                <w:div w:id="1359507438">
                                                                                                                                                                  <w:marLeft w:val="0"/>
                                                                                                                                                                  <w:marRight w:val="0"/>
                                                                                                                                                                  <w:marTop w:val="0"/>
                                                                                                                                                                  <w:marBottom w:val="0"/>
                                                                                                                                                                  <w:divBdr>
                                                                                                                                                                    <w:top w:val="none" w:sz="0" w:space="0" w:color="auto"/>
                                                                                                                                                                    <w:left w:val="none" w:sz="0" w:space="0" w:color="auto"/>
                                                                                                                                                                    <w:bottom w:val="none" w:sz="0" w:space="0" w:color="auto"/>
                                                                                                                                                                    <w:right w:val="none" w:sz="0" w:space="0" w:color="auto"/>
                                                                                                                                                                  </w:divBdr>
                                                                                                                                                                  <w:divsChild>
                                                                                                                                                                    <w:div w:id="1009604383">
                                                                                                                                                                      <w:marLeft w:val="0"/>
                                                                                                                                                                      <w:marRight w:val="0"/>
                                                                                                                                                                      <w:marTop w:val="0"/>
                                                                                                                                                                      <w:marBottom w:val="0"/>
                                                                                                                                                                      <w:divBdr>
                                                                                                                                                                        <w:top w:val="none" w:sz="0" w:space="0" w:color="auto"/>
                                                                                                                                                                        <w:left w:val="none" w:sz="0" w:space="0" w:color="auto"/>
                                                                                                                                                                        <w:bottom w:val="none" w:sz="0" w:space="0" w:color="auto"/>
                                                                                                                                                                        <w:right w:val="none" w:sz="0" w:space="0" w:color="auto"/>
                                                                                                                                                                      </w:divBdr>
                                                                                                                                                                      <w:divsChild>
                                                                                                                                                                        <w:div w:id="775445662">
                                                                                                                                                                          <w:marLeft w:val="0"/>
                                                                                                                                                                          <w:marRight w:val="0"/>
                                                                                                                                                                          <w:marTop w:val="0"/>
                                                                                                                                                                          <w:marBottom w:val="0"/>
                                                                                                                                                                          <w:divBdr>
                                                                                                                                                                            <w:top w:val="none" w:sz="0" w:space="0" w:color="auto"/>
                                                                                                                                                                            <w:left w:val="none" w:sz="0" w:space="0" w:color="auto"/>
                                                                                                                                                                            <w:bottom w:val="none" w:sz="0" w:space="0" w:color="auto"/>
                                                                                                                                                                            <w:right w:val="none" w:sz="0" w:space="0" w:color="auto"/>
                                                                                                                                                                          </w:divBdr>
                                                                                                                                                                          <w:divsChild>
                                                                                                                                                                            <w:div w:id="90589047">
                                                                                                                                                                              <w:marLeft w:val="105"/>
                                                                                                                                                                              <w:marRight w:val="105"/>
                                                                                                                                                                              <w:marTop w:val="105"/>
                                                                                                                                                                              <w:marBottom w:val="105"/>
                                                                                                                                                                              <w:divBdr>
                                                                                                                                                                                <w:top w:val="none" w:sz="0" w:space="0" w:color="auto"/>
                                                                                                                                                                                <w:left w:val="none" w:sz="0" w:space="0" w:color="auto"/>
                                                                                                                                                                                <w:bottom w:val="none" w:sz="0" w:space="0" w:color="auto"/>
                                                                                                                                                                                <w:right w:val="none" w:sz="0" w:space="0" w:color="auto"/>
                                                                                                                                                                              </w:divBdr>
                                                                                                                                                                              <w:divsChild>
                                                                                                                                                                                <w:div w:id="146174053">
                                                                                                                                                                                  <w:marLeft w:val="0"/>
                                                                                                                                                                                  <w:marRight w:val="0"/>
                                                                                                                                                                                  <w:marTop w:val="0"/>
                                                                                                                                                                                  <w:marBottom w:val="0"/>
                                                                                                                                                                                  <w:divBdr>
                                                                                                                                                                                    <w:top w:val="none" w:sz="0" w:space="0" w:color="auto"/>
                                                                                                                                                                                    <w:left w:val="none" w:sz="0" w:space="0" w:color="auto"/>
                                                                                                                                                                                    <w:bottom w:val="none" w:sz="0" w:space="0" w:color="auto"/>
                                                                                                                                                                                    <w:right w:val="none" w:sz="0" w:space="0" w:color="auto"/>
                                                                                                                                                                                  </w:divBdr>
                                                                                                                                                                                  <w:divsChild>
                                                                                                                                                                                    <w:div w:id="1879197998">
                                                                                                                                                                                      <w:marLeft w:val="0"/>
                                                                                                                                                                                      <w:marRight w:val="0"/>
                                                                                                                                                                                      <w:marTop w:val="0"/>
                                                                                                                                                                                      <w:marBottom w:val="0"/>
                                                                                                                                                                                      <w:divBdr>
                                                                                                                                                                                        <w:top w:val="none" w:sz="0" w:space="0" w:color="auto"/>
                                                                                                                                                                                        <w:left w:val="none" w:sz="0" w:space="0" w:color="auto"/>
                                                                                                                                                                                        <w:bottom w:val="none" w:sz="0" w:space="0" w:color="auto"/>
                                                                                                                                                                                        <w:right w:val="none" w:sz="0" w:space="0" w:color="auto"/>
                                                                                                                                                                                      </w:divBdr>
                                                                                                                                                                                      <w:divsChild>
                                                                                                                                                                                        <w:div w:id="307974793">
                                                                                                                                                                                          <w:marLeft w:val="0"/>
                                                                                                                                                                                          <w:marRight w:val="0"/>
                                                                                                                                                                                          <w:marTop w:val="0"/>
                                                                                                                                                                                          <w:marBottom w:val="0"/>
                                                                                                                                                                                          <w:divBdr>
                                                                                                                                                                                            <w:top w:val="none" w:sz="0" w:space="0" w:color="auto"/>
                                                                                                                                                                                            <w:left w:val="none" w:sz="0" w:space="0" w:color="auto"/>
                                                                                                                                                                                            <w:bottom w:val="none" w:sz="0" w:space="0" w:color="auto"/>
                                                                                                                                                                                            <w:right w:val="none" w:sz="0" w:space="0" w:color="auto"/>
                                                                                                                                                                                          </w:divBdr>
                                                                                                                                                                                          <w:divsChild>
                                                                                                                                                                                            <w:div w:id="258295506">
                                                                                                                                                                                              <w:marLeft w:val="105"/>
                                                                                                                                                                                              <w:marRight w:val="105"/>
                                                                                                                                                                                              <w:marTop w:val="105"/>
                                                                                                                                                                                              <w:marBottom w:val="105"/>
                                                                                                                                                                                              <w:divBdr>
                                                                                                                                                                                                <w:top w:val="none" w:sz="0" w:space="0" w:color="auto"/>
                                                                                                                                                                                                <w:left w:val="none" w:sz="0" w:space="0" w:color="auto"/>
                                                                                                                                                                                                <w:bottom w:val="none" w:sz="0" w:space="0" w:color="auto"/>
                                                                                                                                                                                                <w:right w:val="none" w:sz="0" w:space="0" w:color="auto"/>
                                                                                                                                                                                              </w:divBdr>
                                                                                                                                                                                              <w:divsChild>
                                                                                                                                                                                                <w:div w:id="266086126">
                                                                                                                                                                                                  <w:marLeft w:val="0"/>
                                                                                                                                                                                                  <w:marRight w:val="0"/>
                                                                                                                                                                                                  <w:marTop w:val="0"/>
                                                                                                                                                                                                  <w:marBottom w:val="0"/>
                                                                                                                                                                                                  <w:divBdr>
                                                                                                                                                                                                    <w:top w:val="none" w:sz="0" w:space="0" w:color="auto"/>
                                                                                                                                                                                                    <w:left w:val="none" w:sz="0" w:space="0" w:color="auto"/>
                                                                                                                                                                                                    <w:bottom w:val="none" w:sz="0" w:space="0" w:color="auto"/>
                                                                                                                                                                                                    <w:right w:val="none" w:sz="0" w:space="0" w:color="auto"/>
                                                                                                                                                                                                  </w:divBdr>
                                                                                                                                                                                                  <w:divsChild>
                                                                                                                                                                                                    <w:div w:id="1304849079">
                                                                                                                                                                                                      <w:marLeft w:val="0"/>
                                                                                                                                                                                                      <w:marRight w:val="0"/>
                                                                                                                                                                                                      <w:marTop w:val="0"/>
                                                                                                                                                                                                      <w:marBottom w:val="0"/>
                                                                                                                                                                                                      <w:divBdr>
                                                                                                                                                                                                        <w:top w:val="none" w:sz="0" w:space="0" w:color="auto"/>
                                                                                                                                                                                                        <w:left w:val="none" w:sz="0" w:space="0" w:color="auto"/>
                                                                                                                                                                                                        <w:bottom w:val="none" w:sz="0" w:space="0" w:color="auto"/>
                                                                                                                                                                                                        <w:right w:val="none" w:sz="0" w:space="0" w:color="auto"/>
                                                                                                                                                                                                      </w:divBdr>
                                                                                                                                                                                                      <w:divsChild>
                                                                                                                                                                                                        <w:div w:id="483590313">
                                                                                                                                                                                                          <w:marLeft w:val="0"/>
                                                                                                                                                                                                          <w:marRight w:val="0"/>
                                                                                                                                                                                                          <w:marTop w:val="0"/>
                                                                                                                                                                                                          <w:marBottom w:val="0"/>
                                                                                                                                                                                                          <w:divBdr>
                                                                                                                                                                                                            <w:top w:val="none" w:sz="0" w:space="0" w:color="auto"/>
                                                                                                                                                                                                            <w:left w:val="none" w:sz="0" w:space="0" w:color="auto"/>
                                                                                                                                                                                                            <w:bottom w:val="none" w:sz="0" w:space="0" w:color="auto"/>
                                                                                                                                                                                                            <w:right w:val="none" w:sz="0" w:space="0" w:color="auto"/>
                                                                                                                                                                                                          </w:divBdr>
                                                                                                                                                                                                          <w:divsChild>
                                                                                                                                                                                                            <w:div w:id="2049716655">
                                                                                                                                                                                                              <w:marLeft w:val="0"/>
                                                                                                                                                                                                              <w:marRight w:val="0"/>
                                                                                                                                                                                                              <w:marTop w:val="0"/>
                                                                                                                                                                                                              <w:marBottom w:val="0"/>
                                                                                                                                                                                                              <w:divBdr>
                                                                                                                                                                                                                <w:top w:val="none" w:sz="0" w:space="0" w:color="auto"/>
                                                                                                                                                                                                                <w:left w:val="none" w:sz="0" w:space="0" w:color="auto"/>
                                                                                                                                                                                                                <w:bottom w:val="none" w:sz="0" w:space="0" w:color="auto"/>
                                                                                                                                                                                                                <w:right w:val="none" w:sz="0" w:space="0" w:color="auto"/>
                                                                                                                                                                                                              </w:divBdr>
                                                                                                                                                                                                              <w:divsChild>
                                                                                                                                                                                                                <w:div w:id="1616401574">
                                                                                                                                                                                                                  <w:marLeft w:val="0"/>
                                                                                                                                                                                                                  <w:marRight w:val="0"/>
                                                                                                                                                                                                                  <w:marTop w:val="0"/>
                                                                                                                                                                                                                  <w:marBottom w:val="0"/>
                                                                                                                                                                                                                  <w:divBdr>
                                                                                                                                                                                                                    <w:top w:val="none" w:sz="0" w:space="0" w:color="auto"/>
                                                                                                                                                                                                                    <w:left w:val="none" w:sz="0" w:space="0" w:color="auto"/>
                                                                                                                                                                                                                    <w:bottom w:val="none" w:sz="0" w:space="0" w:color="auto"/>
                                                                                                                                                                                                                    <w:right w:val="none" w:sz="0" w:space="0" w:color="auto"/>
                                                                                                                                                                                                                  </w:divBdr>
                                                                                                                                                                                                                  <w:divsChild>
                                                                                                                                                                                                                    <w:div w:id="1619994122">
                                                                                                                                                                                                                      <w:marLeft w:val="105"/>
                                                                                                                                                                                                                      <w:marRight w:val="105"/>
                                                                                                                                                                                                                      <w:marTop w:val="105"/>
                                                                                                                                                                                                                      <w:marBottom w:val="105"/>
                                                                                                                                                                                                                      <w:divBdr>
                                                                                                                                                                                                                        <w:top w:val="none" w:sz="0" w:space="0" w:color="auto"/>
                                                                                                                                                                                                                        <w:left w:val="none" w:sz="0" w:space="0" w:color="auto"/>
                                                                                                                                                                                                                        <w:bottom w:val="none" w:sz="0" w:space="0" w:color="auto"/>
                                                                                                                                                                                                                        <w:right w:val="none" w:sz="0" w:space="0" w:color="auto"/>
                                                                                                                                                                                                                      </w:divBdr>
                                                                                                                                                                                                                      <w:divsChild>
                                                                                                                                                                                                                        <w:div w:id="1691300353">
                                                                                                                                                                                                                          <w:marLeft w:val="0"/>
                                                                                                                                                                                                                          <w:marRight w:val="0"/>
                                                                                                                                                                                                                          <w:marTop w:val="0"/>
                                                                                                                                                                                                                          <w:marBottom w:val="0"/>
                                                                                                                                                                                                                          <w:divBdr>
                                                                                                                                                                                                                            <w:top w:val="none" w:sz="0" w:space="0" w:color="auto"/>
                                                                                                                                                                                                                            <w:left w:val="none" w:sz="0" w:space="0" w:color="auto"/>
                                                                                                                                                                                                                            <w:bottom w:val="none" w:sz="0" w:space="0" w:color="auto"/>
                                                                                                                                                                                                                            <w:right w:val="none" w:sz="0" w:space="0" w:color="auto"/>
                                                                                                                                                                                                                          </w:divBdr>
                                                                                                                                                                                                                          <w:divsChild>
                                                                                                                                                                                                                            <w:div w:id="1691296493">
                                                                                                                                                                                                                              <w:marLeft w:val="0"/>
                                                                                                                                                                                                                              <w:marRight w:val="0"/>
                                                                                                                                                                                                                              <w:marTop w:val="0"/>
                                                                                                                                                                                                                              <w:marBottom w:val="0"/>
                                                                                                                                                                                                                              <w:divBdr>
                                                                                                                                                                                                                                <w:top w:val="none" w:sz="0" w:space="0" w:color="auto"/>
                                                                                                                                                                                                                                <w:left w:val="none" w:sz="0" w:space="0" w:color="auto"/>
                                                                                                                                                                                                                                <w:bottom w:val="none" w:sz="0" w:space="0" w:color="auto"/>
                                                                                                                                                                                                                                <w:right w:val="none" w:sz="0" w:space="0" w:color="auto"/>
                                                                                                                                                                                                                              </w:divBdr>
                                                                                                                                                                                                                              <w:divsChild>
                                                                                                                                                                                                                                <w:div w:id="1285238143">
                                                                                                                                                                                                                                  <w:marLeft w:val="0"/>
                                                                                                                                                                                                                                  <w:marRight w:val="0"/>
                                                                                                                                                                                                                                  <w:marTop w:val="0"/>
                                                                                                                                                                                                                                  <w:marBottom w:val="0"/>
                                                                                                                                                                                                                                  <w:divBdr>
                                                                                                                                                                                                                                    <w:top w:val="none" w:sz="0" w:space="0" w:color="auto"/>
                                                                                                                                                                                                                                    <w:left w:val="none" w:sz="0" w:space="0" w:color="auto"/>
                                                                                                                                                                                                                                    <w:bottom w:val="none" w:sz="0" w:space="0" w:color="auto"/>
                                                                                                                                                                                                                                    <w:right w:val="none" w:sz="0" w:space="0" w:color="auto"/>
                                                                                                                                                                                                                                  </w:divBdr>
                                                                                                                                                                                                                                  <w:divsChild>
                                                                                                                                                                                                                                    <w:div w:id="1791048113">
                                                                                                                                                                                                                                      <w:marLeft w:val="0"/>
                                                                                                                                                                                                                                      <w:marRight w:val="0"/>
                                                                                                                                                                                                                                      <w:marTop w:val="0"/>
                                                                                                                                                                                                                                      <w:marBottom w:val="0"/>
                                                                                                                                                                                                                                      <w:divBdr>
                                                                                                                                                                                                                                        <w:top w:val="none" w:sz="0" w:space="0" w:color="auto"/>
                                                                                                                                                                                                                                        <w:left w:val="none" w:sz="0" w:space="0" w:color="auto"/>
                                                                                                                                                                                                                                        <w:bottom w:val="none" w:sz="0" w:space="0" w:color="auto"/>
                                                                                                                                                                                                                                        <w:right w:val="none" w:sz="0" w:space="0" w:color="auto"/>
                                                                                                                                                                                                                                      </w:divBdr>
                                                                                                                                                                                                                                      <w:divsChild>
                                                                                                                                                                                                                                        <w:div w:id="1365835882">
                                                                                                                                                                                                                                          <w:marLeft w:val="105"/>
                                                                                                                                                                                                                                          <w:marRight w:val="105"/>
                                                                                                                                                                                                                                          <w:marTop w:val="105"/>
                                                                                                                                                                                                                                          <w:marBottom w:val="105"/>
                                                                                                                                                                                                                                          <w:divBdr>
                                                                                                                                                                                                                                            <w:top w:val="none" w:sz="0" w:space="0" w:color="auto"/>
                                                                                                                                                                                                                                            <w:left w:val="none" w:sz="0" w:space="0" w:color="auto"/>
                                                                                                                                                                                                                                            <w:bottom w:val="none" w:sz="0" w:space="0" w:color="auto"/>
                                                                                                                                                                                                                                            <w:right w:val="none" w:sz="0" w:space="0" w:color="auto"/>
                                                                                                                                                                                                                                          </w:divBdr>
                                                                                                                                                                                                                                          <w:divsChild>
                                                                                                                                                                                                                                            <w:div w:id="862480984">
                                                                                                                                                                                                                                              <w:marLeft w:val="0"/>
                                                                                                                                                                                                                                              <w:marRight w:val="0"/>
                                                                                                                                                                                                                                              <w:marTop w:val="0"/>
                                                                                                                                                                                                                                              <w:marBottom w:val="0"/>
                                                                                                                                                                                                                                              <w:divBdr>
                                                                                                                                                                                                                                                <w:top w:val="single" w:sz="12" w:space="11" w:color="796C83"/>
                                                                                                                                                                                                                                                <w:left w:val="single" w:sz="12" w:space="11" w:color="796C83"/>
                                                                                                                                                                                                                                                <w:bottom w:val="single" w:sz="12" w:space="11" w:color="796C83"/>
                                                                                                                                                                                                                                                <w:right w:val="single" w:sz="12" w:space="11" w:color="796C83"/>
                                                                                                                                                                                                                                              </w:divBdr>
                                                                                                                                                                                                                                              <w:divsChild>
                                                                                                                                                                                                                                                <w:div w:id="53702308">
                                                                                                                                                                                                                                                  <w:marLeft w:val="0"/>
                                                                                                                                                                                                                                                  <w:marRight w:val="0"/>
                                                                                                                                                                                                                                                  <w:marTop w:val="0"/>
                                                                                                                                                                                                                                                  <w:marBottom w:val="0"/>
                                                                                                                                                                                                                                                  <w:divBdr>
                                                                                                                                                                                                                                                    <w:top w:val="none" w:sz="0" w:space="0" w:color="auto"/>
                                                                                                                                                                                                                                                    <w:left w:val="none" w:sz="0" w:space="0" w:color="auto"/>
                                                                                                                                                                                                                                                    <w:bottom w:val="none" w:sz="0" w:space="0" w:color="auto"/>
                                                                                                                                                                                                                                                    <w:right w:val="none" w:sz="0" w:space="0" w:color="auto"/>
                                                                                                                                                                                                                                                  </w:divBdr>
                                                                                                                                                                                                                                                  <w:divsChild>
                                                                                                                                                                                                                                                    <w:div w:id="1528254399">
                                                                                                                                                                                                                                                      <w:marLeft w:val="0"/>
                                                                                                                                                                                                                                                      <w:marRight w:val="0"/>
                                                                                                                                                                                                                                                      <w:marTop w:val="0"/>
                                                                                                                                                                                                                                                      <w:marBottom w:val="0"/>
                                                                                                                                                                                                                                                      <w:divBdr>
                                                                                                                                                                                                                                                        <w:top w:val="none" w:sz="0" w:space="0" w:color="auto"/>
                                                                                                                                                                                                                                                        <w:left w:val="none" w:sz="0" w:space="0" w:color="auto"/>
                                                                                                                                                                                                                                                        <w:bottom w:val="none" w:sz="0" w:space="0" w:color="auto"/>
                                                                                                                                                                                                                                                        <w:right w:val="none" w:sz="0" w:space="0" w:color="auto"/>
                                                                                                                                                                                                                                                      </w:divBdr>
                                                                                                                                                                                                                                                      <w:divsChild>
                                                                                                                                                                                                                                                        <w:div w:id="1354107590">
                                                                                                                                                                                                                                                          <w:marLeft w:val="0"/>
                                                                                                                                                                                                                                                          <w:marRight w:val="0"/>
                                                                                                                                                                                                                                                          <w:marTop w:val="0"/>
                                                                                                                                                                                                                                                          <w:marBottom w:val="0"/>
                                                                                                                                                                                                                                                          <w:divBdr>
                                                                                                                                                                                                                                                            <w:top w:val="none" w:sz="0" w:space="0" w:color="auto"/>
                                                                                                                                                                                                                                                            <w:left w:val="none" w:sz="0" w:space="0" w:color="auto"/>
                                                                                                                                                                                                                                                            <w:bottom w:val="none" w:sz="0" w:space="0" w:color="auto"/>
                                                                                                                                                                                                                                                            <w:right w:val="none" w:sz="0" w:space="0" w:color="auto"/>
                                                                                                                                                                                                                                                          </w:divBdr>
                                                                                                                                                                                                                                                          <w:divsChild>
                                                                                                                                                                                                                                                            <w:div w:id="222647371">
                                                                                                                                                                                                                                                              <w:marLeft w:val="0"/>
                                                                                                                                                                                                                                                              <w:marRight w:val="0"/>
                                                                                                                                                                                                                                                              <w:marTop w:val="0"/>
                                                                                                                                                                                                                                                              <w:marBottom w:val="0"/>
                                                                                                                                                                                                                                                              <w:divBdr>
                                                                                                                                                                                                                                                                <w:top w:val="none" w:sz="0" w:space="0" w:color="auto"/>
                                                                                                                                                                                                                                                                <w:left w:val="none" w:sz="0" w:space="0" w:color="auto"/>
                                                                                                                                                                                                                                                                <w:bottom w:val="none" w:sz="0" w:space="0" w:color="auto"/>
                                                                                                                                                                                                                                                                <w:right w:val="none" w:sz="0" w:space="0" w:color="auto"/>
                                                                                                                                                                                                                                                              </w:divBdr>
                                                                                                                                                                                                                                                              <w:divsChild>
                                                                                                                                                                                                                                                                <w:div w:id="1437795857">
                                                                                                                                                                                                                                                                  <w:marLeft w:val="105"/>
                                                                                                                                                                                                                                                                  <w:marRight w:val="105"/>
                                                                                                                                                                                                                                                                  <w:marTop w:val="105"/>
                                                                                                                                                                                                                                                                  <w:marBottom w:val="105"/>
                                                                                                                                                                                                                                                                  <w:divBdr>
                                                                                                                                                                                                                                                                    <w:top w:val="none" w:sz="0" w:space="0" w:color="auto"/>
                                                                                                                                                                                                                                                                    <w:left w:val="none" w:sz="0" w:space="0" w:color="auto"/>
                                                                                                                                                                                                                                                                    <w:bottom w:val="none" w:sz="0" w:space="0" w:color="auto"/>
                                                                                                                                                                                                                                                                    <w:right w:val="none" w:sz="0" w:space="0" w:color="auto"/>
                                                                                                                                                                                                                                                                  </w:divBdr>
                                                                                                                                                                                                                                                                  <w:divsChild>
                                                                                                                                                                                                                                                                    <w:div w:id="1023484482">
                                                                                                                                                                                                                                                                      <w:marLeft w:val="0"/>
                                                                                                                                                                                                                                                                      <w:marRight w:val="0"/>
                                                                                                                                                                                                                                                                      <w:marTop w:val="0"/>
                                                                                                                                                                                                                                                                      <w:marBottom w:val="0"/>
                                                                                                                                                                                                                                                                      <w:divBdr>
                                                                                                                                                                                                                                                                        <w:top w:val="none" w:sz="0" w:space="0" w:color="auto"/>
                                                                                                                                                                                                                                                                        <w:left w:val="none" w:sz="0" w:space="0" w:color="auto"/>
                                                                                                                                                                                                                                                                        <w:bottom w:val="none" w:sz="0" w:space="0" w:color="auto"/>
                                                                                                                                                                                                                                                                        <w:right w:val="none" w:sz="0" w:space="0" w:color="auto"/>
                                                                                                                                                                                                                                                                      </w:divBdr>
                                                                                                                                                                                                                                                                      <w:divsChild>
                                                                                                                                                                                                                                                                        <w:div w:id="319190753">
                                                                                                                                                                                                                                                                          <w:marLeft w:val="0"/>
                                                                                                                                                                                                                                                                          <w:marRight w:val="0"/>
                                                                                                                                                                                                                                                                          <w:marTop w:val="0"/>
                                                                                                                                                                                                                                                                          <w:marBottom w:val="0"/>
                                                                                                                                                                                                                                                                          <w:divBdr>
                                                                                                                                                                                                                                                                            <w:top w:val="none" w:sz="0" w:space="0" w:color="auto"/>
                                                                                                                                                                                                                                                                            <w:left w:val="none" w:sz="0" w:space="0" w:color="auto"/>
                                                                                                                                                                                                                                                                            <w:bottom w:val="none" w:sz="0" w:space="0" w:color="auto"/>
                                                                                                                                                                                                                                                                            <w:right w:val="none" w:sz="0" w:space="0" w:color="auto"/>
                                                                                                                                                                                                                                                                          </w:divBdr>
                                                                                                                                                                                                                                                                          <w:divsChild>
                                                                                                                                                                                                                                                                            <w:div w:id="583225729">
                                                                                                                                                                                                                                                                              <w:marLeft w:val="0"/>
                                                                                                                                                                                                                                                                              <w:marRight w:val="0"/>
                                                                                                                                                                                                                                                                              <w:marTop w:val="0"/>
                                                                                                                                                                                                                                                                              <w:marBottom w:val="0"/>
                                                                                                                                                                                                                                                                              <w:divBdr>
                                                                                                                                                                                                                                                                                <w:top w:val="none" w:sz="0" w:space="0" w:color="auto"/>
                                                                                                                                                                                                                                                                                <w:left w:val="none" w:sz="0" w:space="0" w:color="auto"/>
                                                                                                                                                                                                                                                                                <w:bottom w:val="none" w:sz="0" w:space="0" w:color="auto"/>
                                                                                                                                                                                                                                                                                <w:right w:val="none" w:sz="0" w:space="0" w:color="auto"/>
                                                                                                                                                                                                                                                                              </w:divBdr>
                                                                                                                                                                                                                                                                            </w:div>
                                                                                                                                                                                                                                                                            <w:div w:id="1846092206">
                                                                                                                                                                                                                                                                              <w:marLeft w:val="0"/>
                                                                                                                                                                                                                                                                              <w:marRight w:val="0"/>
                                                                                                                                                                                                                                                                              <w:marTop w:val="0"/>
                                                                                                                                                                                                                                                                              <w:marBottom w:val="0"/>
                                                                                                                                                                                                                                                                              <w:divBdr>
                                                                                                                                                                                                                                                                                <w:top w:val="none" w:sz="0" w:space="0" w:color="auto"/>
                                                                                                                                                                                                                                                                                <w:left w:val="none" w:sz="0" w:space="0" w:color="auto"/>
                                                                                                                                                                                                                                                                                <w:bottom w:val="none" w:sz="0" w:space="0" w:color="auto"/>
                                                                                                                                                                                                                                                                                <w:right w:val="none" w:sz="0" w:space="0" w:color="auto"/>
                                                                                                                                                                                                                                                                              </w:divBdr>
                                                                                                                                                                                                                                                                            </w:div>
                                                                                                                                                                                                                                                                            <w:div w:id="860777746">
                                                                                                                                                                                                                                                                              <w:marLeft w:val="0"/>
                                                                                                                                                                                                                                                                              <w:marRight w:val="0"/>
                                                                                                                                                                                                                                                                              <w:marTop w:val="0"/>
                                                                                                                                                                                                                                                                              <w:marBottom w:val="0"/>
                                                                                                                                                                                                                                                                              <w:divBdr>
                                                                                                                                                                                                                                                                                <w:top w:val="none" w:sz="0" w:space="0" w:color="auto"/>
                                                                                                                                                                                                                                                                                <w:left w:val="none" w:sz="0" w:space="0" w:color="auto"/>
                                                                                                                                                                                                                                                                                <w:bottom w:val="none" w:sz="0" w:space="0" w:color="auto"/>
                                                                                                                                                                                                                                                                                <w:right w:val="none" w:sz="0" w:space="0" w:color="auto"/>
                                                                                                                                                                                                                                                                              </w:divBdr>
                                                                                                                                                                                                                                                                            </w:div>
                                                                                                                                                                                                                                                                            <w:div w:id="383524486">
                                                                                                                                                                                                                                                                              <w:marLeft w:val="0"/>
                                                                                                                                                                                                                                                                              <w:marRight w:val="0"/>
                                                                                                                                                                                                                                                                              <w:marTop w:val="0"/>
                                                                                                                                                                                                                                                                              <w:marBottom w:val="0"/>
                                                                                                                                                                                                                                                                              <w:divBdr>
                                                                                                                                                                                                                                                                                <w:top w:val="none" w:sz="0" w:space="0" w:color="auto"/>
                                                                                                                                                                                                                                                                                <w:left w:val="none" w:sz="0" w:space="0" w:color="auto"/>
                                                                                                                                                                                                                                                                                <w:bottom w:val="none" w:sz="0" w:space="0" w:color="auto"/>
                                                                                                                                                                                                                                                                                <w:right w:val="none" w:sz="0" w:space="0" w:color="auto"/>
                                                                                                                                                                                                                                                                              </w:divBdr>
                                                                                                                                                                                                                                                                              <w:divsChild>
                                                                                                                                                                                                                                                                                <w:div w:id="19386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65722">
                                                                                                                                                                                                                                                                  <w:marLeft w:val="105"/>
                                                                                                                                                                                                                                                                  <w:marRight w:val="105"/>
                                                                                                                                                                                                                                                                  <w:marTop w:val="105"/>
                                                                                                                                                                                                                                                                  <w:marBottom w:val="105"/>
                                                                                                                                                                                                                                                                  <w:divBdr>
                                                                                                                                                                                                                                                                    <w:top w:val="none" w:sz="0" w:space="0" w:color="auto"/>
                                                                                                                                                                                                                                                                    <w:left w:val="none" w:sz="0" w:space="0" w:color="auto"/>
                                                                                                                                                                                                                                                                    <w:bottom w:val="none" w:sz="0" w:space="0" w:color="auto"/>
                                                                                                                                                                                                                                                                    <w:right w:val="none" w:sz="0" w:space="0" w:color="auto"/>
                                                                                                                                                                                                                                                                  </w:divBdr>
                                                                                                                                                                                                                                                                  <w:divsChild>
                                                                                                                                                                                                                                                                    <w:div w:id="972102499">
                                                                                                                                                                                                                                                                      <w:marLeft w:val="0"/>
                                                                                                                                                                                                                                                                      <w:marRight w:val="0"/>
                                                                                                                                                                                                                                                                      <w:marTop w:val="0"/>
                                                                                                                                                                                                                                                                      <w:marBottom w:val="0"/>
                                                                                                                                                                                                                                                                      <w:divBdr>
                                                                                                                                                                                                                                                                        <w:top w:val="none" w:sz="0" w:space="0" w:color="auto"/>
                                                                                                                                                                                                                                                                        <w:left w:val="none" w:sz="0" w:space="0" w:color="auto"/>
                                                                                                                                                                                                                                                                        <w:bottom w:val="none" w:sz="0" w:space="0" w:color="auto"/>
                                                                                                                                                                                                                                                                        <w:right w:val="none" w:sz="0" w:space="0" w:color="auto"/>
                                                                                                                                                                                                                                                                      </w:divBdr>
                                                                                                                                                                                                                                                                      <w:divsChild>
                                                                                                                                                                                                                                                                        <w:div w:id="1945071262">
                                                                                                                                                                                                                                                                          <w:marLeft w:val="0"/>
                                                                                                                                                                                                                                                                          <w:marRight w:val="0"/>
                                                                                                                                                                                                                                                                          <w:marTop w:val="0"/>
                                                                                                                                                                                                                                                                          <w:marBottom w:val="0"/>
                                                                                                                                                                                                                                                                          <w:divBdr>
                                                                                                                                                                                                                                                                            <w:top w:val="none" w:sz="0" w:space="0" w:color="auto"/>
                                                                                                                                                                                                                                                                            <w:left w:val="none" w:sz="0" w:space="0" w:color="auto"/>
                                                                                                                                                                                                                                                                            <w:bottom w:val="none" w:sz="0" w:space="0" w:color="auto"/>
                                                                                                                                                                                                                                                                            <w:right w:val="none" w:sz="0" w:space="0" w:color="auto"/>
                                                                                                                                                                                                                                                                          </w:divBdr>
                                                                                                                                                                                                                                                                          <w:divsChild>
                                                                                                                                                                                                                                                                            <w:div w:id="13087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484962">
      <w:bodyDiv w:val="1"/>
      <w:marLeft w:val="0"/>
      <w:marRight w:val="0"/>
      <w:marTop w:val="0"/>
      <w:marBottom w:val="0"/>
      <w:divBdr>
        <w:top w:val="none" w:sz="0" w:space="0" w:color="auto"/>
        <w:left w:val="none" w:sz="0" w:space="0" w:color="auto"/>
        <w:bottom w:val="none" w:sz="0" w:space="0" w:color="auto"/>
        <w:right w:val="none" w:sz="0" w:space="0" w:color="auto"/>
      </w:divBdr>
    </w:div>
    <w:div w:id="125635750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609509565">
      <w:bodyDiv w:val="1"/>
      <w:marLeft w:val="0"/>
      <w:marRight w:val="0"/>
      <w:marTop w:val="0"/>
      <w:marBottom w:val="0"/>
      <w:divBdr>
        <w:top w:val="none" w:sz="0" w:space="0" w:color="auto"/>
        <w:left w:val="none" w:sz="0" w:space="0" w:color="auto"/>
        <w:bottom w:val="none" w:sz="0" w:space="0" w:color="auto"/>
        <w:right w:val="none" w:sz="0" w:space="0" w:color="auto"/>
      </w:divBdr>
    </w:div>
    <w:div w:id="1922133279">
      <w:bodyDiv w:val="1"/>
      <w:marLeft w:val="0"/>
      <w:marRight w:val="0"/>
      <w:marTop w:val="0"/>
      <w:marBottom w:val="0"/>
      <w:divBdr>
        <w:top w:val="none" w:sz="0" w:space="0" w:color="auto"/>
        <w:left w:val="none" w:sz="0" w:space="0" w:color="auto"/>
        <w:bottom w:val="none" w:sz="0" w:space="0" w:color="auto"/>
        <w:right w:val="none" w:sz="0" w:space="0" w:color="auto"/>
      </w:divBdr>
      <w:divsChild>
        <w:div w:id="144126061">
          <w:marLeft w:val="547"/>
          <w:marRight w:val="0"/>
          <w:marTop w:val="96"/>
          <w:marBottom w:val="0"/>
          <w:divBdr>
            <w:top w:val="none" w:sz="0" w:space="0" w:color="auto"/>
            <w:left w:val="none" w:sz="0" w:space="0" w:color="auto"/>
            <w:bottom w:val="none" w:sz="0" w:space="0" w:color="auto"/>
            <w:right w:val="none" w:sz="0" w:space="0" w:color="auto"/>
          </w:divBdr>
        </w:div>
        <w:div w:id="1815684131">
          <w:marLeft w:val="547"/>
          <w:marRight w:val="0"/>
          <w:marTop w:val="96"/>
          <w:marBottom w:val="0"/>
          <w:divBdr>
            <w:top w:val="none" w:sz="0" w:space="0" w:color="auto"/>
            <w:left w:val="none" w:sz="0" w:space="0" w:color="auto"/>
            <w:bottom w:val="none" w:sz="0" w:space="0" w:color="auto"/>
            <w:right w:val="none" w:sz="0" w:space="0" w:color="auto"/>
          </w:divBdr>
        </w:div>
      </w:divsChild>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FF5F-A6A3-4C58-8403-C55E8BFB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12679</Words>
  <Characters>72275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2018-10-09T11:37:00Z</dcterms:created>
  <dcterms:modified xsi:type="dcterms:W3CDTF">2018-10-18T07:59:00Z</dcterms:modified>
</cp:coreProperties>
</file>