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DB760B" w:rsidRDefault="00B60939" w:rsidP="00207D00"/>
    <w:p w:rsidR="00C80CD7" w:rsidRPr="00DB760B" w:rsidRDefault="00AB7AAF" w:rsidP="00AD7966">
      <w:pPr>
        <w:ind w:left="720" w:hanging="720"/>
        <w:rPr>
          <w:b/>
          <w:sz w:val="36"/>
          <w:szCs w:val="36"/>
        </w:rPr>
      </w:pPr>
      <w:r w:rsidRPr="00DB760B">
        <w:rPr>
          <w:b/>
          <w:sz w:val="36"/>
          <w:szCs w:val="36"/>
        </w:rPr>
        <w:t>6.04</w:t>
      </w:r>
      <w:r w:rsidR="00B60939" w:rsidRPr="00DB760B">
        <w:rPr>
          <w:b/>
          <w:sz w:val="36"/>
          <w:szCs w:val="36"/>
        </w:rPr>
        <w:tab/>
      </w:r>
      <w:r w:rsidR="00A04A27" w:rsidRPr="00DB760B">
        <w:rPr>
          <w:b/>
          <w:sz w:val="36"/>
          <w:szCs w:val="36"/>
        </w:rPr>
        <w:t>ERTUGLIFLOZIN with SITAGLIPTIN</w:t>
      </w:r>
      <w:r w:rsidR="00B60939" w:rsidRPr="00DB760B">
        <w:rPr>
          <w:b/>
          <w:sz w:val="36"/>
          <w:szCs w:val="36"/>
        </w:rPr>
        <w:t xml:space="preserve">, </w:t>
      </w:r>
    </w:p>
    <w:p w:rsidR="00C80CD7" w:rsidRPr="00DB760B" w:rsidRDefault="00C80CD7" w:rsidP="00AD7966">
      <w:pPr>
        <w:ind w:left="720"/>
        <w:rPr>
          <w:b/>
          <w:sz w:val="36"/>
          <w:szCs w:val="36"/>
        </w:rPr>
      </w:pPr>
      <w:r w:rsidRPr="00DB760B">
        <w:rPr>
          <w:b/>
          <w:sz w:val="36"/>
          <w:szCs w:val="36"/>
        </w:rPr>
        <w:t>F</w:t>
      </w:r>
      <w:r w:rsidR="00A04A27" w:rsidRPr="00DB760B">
        <w:rPr>
          <w:b/>
          <w:sz w:val="36"/>
          <w:szCs w:val="36"/>
        </w:rPr>
        <w:t>ixed dose combination tablet</w:t>
      </w:r>
      <w:r w:rsidR="00B60939" w:rsidRPr="00DB760B">
        <w:rPr>
          <w:b/>
          <w:sz w:val="36"/>
          <w:szCs w:val="36"/>
        </w:rPr>
        <w:t xml:space="preserve">, </w:t>
      </w:r>
      <w:r w:rsidR="00A04A27" w:rsidRPr="00DB760B">
        <w:rPr>
          <w:b/>
          <w:sz w:val="36"/>
          <w:szCs w:val="36"/>
        </w:rPr>
        <w:t xml:space="preserve">5 mg/100 mg; </w:t>
      </w:r>
      <w:r w:rsidRPr="00DB760B">
        <w:rPr>
          <w:b/>
          <w:sz w:val="36"/>
          <w:szCs w:val="36"/>
        </w:rPr>
        <w:br/>
      </w:r>
      <w:r w:rsidR="00A04A27" w:rsidRPr="00DB760B">
        <w:rPr>
          <w:b/>
          <w:sz w:val="36"/>
          <w:szCs w:val="36"/>
        </w:rPr>
        <w:t>15 mg/100 mg</w:t>
      </w:r>
      <w:r w:rsidR="00B60939" w:rsidRPr="00DB760B">
        <w:rPr>
          <w:b/>
          <w:sz w:val="36"/>
          <w:szCs w:val="36"/>
        </w:rPr>
        <w:t xml:space="preserve">, </w:t>
      </w:r>
    </w:p>
    <w:p w:rsidR="00B60939" w:rsidRPr="00DB760B" w:rsidRDefault="00A04A27" w:rsidP="00AD7966">
      <w:pPr>
        <w:ind w:left="720"/>
        <w:rPr>
          <w:b/>
          <w:sz w:val="36"/>
          <w:szCs w:val="36"/>
        </w:rPr>
      </w:pPr>
      <w:proofErr w:type="spellStart"/>
      <w:r w:rsidRPr="00DB760B">
        <w:rPr>
          <w:b/>
          <w:sz w:val="36"/>
          <w:szCs w:val="36"/>
        </w:rPr>
        <w:t>Steglujan</w:t>
      </w:r>
      <w:proofErr w:type="spellEnd"/>
      <w:r w:rsidR="00B60939" w:rsidRPr="00DB760B">
        <w:rPr>
          <w:b/>
          <w:sz w:val="36"/>
          <w:szCs w:val="36"/>
          <w:vertAlign w:val="superscript"/>
        </w:rPr>
        <w:t>®</w:t>
      </w:r>
      <w:r w:rsidR="00B60939" w:rsidRPr="00DB760B">
        <w:rPr>
          <w:b/>
          <w:sz w:val="36"/>
          <w:szCs w:val="36"/>
        </w:rPr>
        <w:t xml:space="preserve">, </w:t>
      </w:r>
      <w:r w:rsidR="00C80CD7" w:rsidRPr="00DB760B">
        <w:rPr>
          <w:b/>
          <w:sz w:val="36"/>
          <w:szCs w:val="36"/>
        </w:rPr>
        <w:br/>
      </w:r>
      <w:r w:rsidRPr="00DB760B">
        <w:rPr>
          <w:b/>
          <w:sz w:val="36"/>
          <w:szCs w:val="36"/>
        </w:rPr>
        <w:t>Merck Sharp &amp; Dohme</w:t>
      </w:r>
    </w:p>
    <w:p w:rsidR="00B60939" w:rsidRPr="00DB760B" w:rsidRDefault="00B60939" w:rsidP="00207D00"/>
    <w:p w:rsidR="005A79A2" w:rsidRPr="00DB760B" w:rsidRDefault="004E1307" w:rsidP="001B3286">
      <w:r w:rsidRPr="00DB760B">
        <w:t xml:space="preserve">NOTE: </w:t>
      </w:r>
      <w:r w:rsidR="005A79A2" w:rsidRPr="00DB760B">
        <w:t>Add-on components in the clinical trials are denoted using square bracket, for example [</w:t>
      </w:r>
      <w:proofErr w:type="spellStart"/>
      <w:r w:rsidR="005A79A2" w:rsidRPr="00DB760B">
        <w:t>ertugliflozin</w:t>
      </w:r>
      <w:proofErr w:type="spellEnd"/>
      <w:r w:rsidR="005A79A2" w:rsidRPr="00DB760B">
        <w:t xml:space="preserve">] or [placebo] was added to dual therapy consisting of </w:t>
      </w:r>
      <w:proofErr w:type="spellStart"/>
      <w:r w:rsidR="005A79A2" w:rsidRPr="00DB760B">
        <w:t>sitagliptin</w:t>
      </w:r>
      <w:proofErr w:type="spellEnd"/>
      <w:r w:rsidR="005A79A2" w:rsidRPr="00DB760B">
        <w:t xml:space="preserve"> plus metformin.</w:t>
      </w:r>
    </w:p>
    <w:p w:rsidR="00B60939" w:rsidRPr="00DB760B" w:rsidRDefault="00B50DB8" w:rsidP="00D23FBC">
      <w:pPr>
        <w:pStyle w:val="PBACHeading1"/>
        <w:keepNext/>
        <w:spacing w:before="240" w:after="120"/>
        <w:outlineLvl w:val="0"/>
      </w:pPr>
      <w:bookmarkStart w:id="0" w:name="_Toc514244705"/>
      <w:r w:rsidRPr="00DB760B">
        <w:t>Purpose of Application</w:t>
      </w:r>
      <w:bookmarkEnd w:id="0"/>
    </w:p>
    <w:p w:rsidR="00A6174F" w:rsidRPr="00DB760B" w:rsidRDefault="00A6174F" w:rsidP="00050ADD">
      <w:pPr>
        <w:pStyle w:val="ListParagraph"/>
        <w:keepNext/>
        <w:widowControl/>
        <w:numPr>
          <w:ilvl w:val="1"/>
          <w:numId w:val="1"/>
        </w:numPr>
      </w:pPr>
      <w:r w:rsidRPr="00DB760B">
        <w:t>The submission requested an Authority Required</w:t>
      </w:r>
      <w:r w:rsidR="00111BDF" w:rsidRPr="00DB760B">
        <w:t xml:space="preserve"> (Streamlined)</w:t>
      </w:r>
      <w:r w:rsidRPr="00DB760B">
        <w:t xml:space="preserve"> listing for </w:t>
      </w:r>
      <w:proofErr w:type="spellStart"/>
      <w:r w:rsidRPr="00DB760B">
        <w:t>ertugliflozin</w:t>
      </w:r>
      <w:proofErr w:type="spellEnd"/>
      <w:r w:rsidRPr="00DB760B">
        <w:t xml:space="preserve"> with </w:t>
      </w:r>
      <w:proofErr w:type="spellStart"/>
      <w:r w:rsidRPr="00DB760B">
        <w:t>sitagliptin</w:t>
      </w:r>
      <w:proofErr w:type="spellEnd"/>
      <w:r w:rsidRPr="00DB760B">
        <w:t xml:space="preserve"> fixed dose combination (FDC) in combination with metformin, for the treatment of Type 2 diabetes mellitus (T2DM) in patients uncontrolled on metformin and a dipeptidyl peptidase 4 (DPP4) or sodium-glucose co-transporter </w:t>
      </w:r>
      <w:proofErr w:type="gramStart"/>
      <w:r w:rsidRPr="00DB760B">
        <w:t>2 (SGLT2) inhibitor</w:t>
      </w:r>
      <w:proofErr w:type="gramEnd"/>
      <w:r w:rsidRPr="00DB760B">
        <w:t xml:space="preserve">. </w:t>
      </w:r>
    </w:p>
    <w:p w:rsidR="00D23FBC" w:rsidRPr="00DB760B" w:rsidRDefault="002F4A9A" w:rsidP="00050ADD">
      <w:pPr>
        <w:pStyle w:val="ListParagraph"/>
        <w:widowControl/>
        <w:numPr>
          <w:ilvl w:val="1"/>
          <w:numId w:val="1"/>
        </w:numPr>
      </w:pPr>
      <w:r w:rsidRPr="00DB760B">
        <w:t xml:space="preserve">The submission </w:t>
      </w:r>
      <w:r w:rsidR="00111BDF" w:rsidRPr="00DB760B">
        <w:t>wa</w:t>
      </w:r>
      <w:r w:rsidR="0068261B" w:rsidRPr="00DB760B">
        <w:t>s</w:t>
      </w:r>
      <w:r w:rsidR="00217C0E" w:rsidRPr="00DB760B">
        <w:t xml:space="preserve"> </w:t>
      </w:r>
      <w:r w:rsidRPr="00DB760B">
        <w:t>for</w:t>
      </w:r>
      <w:r w:rsidR="00D23FBC" w:rsidRPr="00DB760B">
        <w:t>:</w:t>
      </w:r>
    </w:p>
    <w:p w:rsidR="00D23FBC" w:rsidRPr="00DB760B" w:rsidRDefault="002F4A9A" w:rsidP="00050ADD">
      <w:pPr>
        <w:pStyle w:val="ListParagraph"/>
        <w:widowControl/>
        <w:numPr>
          <w:ilvl w:val="1"/>
          <w:numId w:val="11"/>
        </w:numPr>
      </w:pPr>
      <w:r w:rsidRPr="00DB760B">
        <w:t xml:space="preserve">the addition of </w:t>
      </w:r>
      <w:proofErr w:type="spellStart"/>
      <w:r w:rsidRPr="00DB760B">
        <w:t>ertugliflozin</w:t>
      </w:r>
      <w:proofErr w:type="spellEnd"/>
      <w:r w:rsidRPr="00DB760B">
        <w:t xml:space="preserve"> with </w:t>
      </w:r>
      <w:proofErr w:type="spellStart"/>
      <w:r w:rsidRPr="00DB760B">
        <w:t>sitagliptin</w:t>
      </w:r>
      <w:proofErr w:type="spellEnd"/>
      <w:r w:rsidRPr="00DB760B">
        <w:t xml:space="preserve"> </w:t>
      </w:r>
      <w:r w:rsidR="00D23FBC" w:rsidRPr="00DB760B">
        <w:t xml:space="preserve">(5 mg/100 mg, 15 mg/100 mg) </w:t>
      </w:r>
      <w:r w:rsidR="008C09B4" w:rsidRPr="00DB760B">
        <w:t>FDC</w:t>
      </w:r>
      <w:r w:rsidRPr="00DB760B">
        <w:t xml:space="preserve"> products to the PBS</w:t>
      </w:r>
      <w:r w:rsidR="00D23FBC" w:rsidRPr="00DB760B">
        <w:t>;</w:t>
      </w:r>
      <w:r w:rsidRPr="00DB760B">
        <w:t xml:space="preserve"> and </w:t>
      </w:r>
    </w:p>
    <w:p w:rsidR="002F4A9A" w:rsidRPr="00DB760B" w:rsidRDefault="002F4A9A" w:rsidP="00050ADD">
      <w:pPr>
        <w:pStyle w:val="ListParagraph"/>
        <w:widowControl/>
        <w:numPr>
          <w:ilvl w:val="1"/>
          <w:numId w:val="11"/>
        </w:numPr>
      </w:pPr>
      <w:r w:rsidRPr="00DB760B">
        <w:t>for changes to the PBS restri</w:t>
      </w:r>
      <w:r w:rsidR="00B84E7F" w:rsidRPr="00DB760B">
        <w:t>c</w:t>
      </w:r>
      <w:r w:rsidRPr="00DB760B">
        <w:t xml:space="preserve">tions of </w:t>
      </w:r>
      <w:proofErr w:type="spellStart"/>
      <w:r w:rsidRPr="00DB760B">
        <w:t>ertugliflozin</w:t>
      </w:r>
      <w:proofErr w:type="spellEnd"/>
      <w:r w:rsidR="006F70FB" w:rsidRPr="00DB760B">
        <w:t xml:space="preserve"> (5 mg, 15 mg)</w:t>
      </w:r>
      <w:r w:rsidRPr="00DB760B">
        <w:t xml:space="preserve">, </w:t>
      </w:r>
      <w:proofErr w:type="spellStart"/>
      <w:r w:rsidRPr="00DB760B">
        <w:t>ertugliflozin</w:t>
      </w:r>
      <w:proofErr w:type="spellEnd"/>
      <w:r w:rsidRPr="00DB760B">
        <w:t xml:space="preserve"> with metformin </w:t>
      </w:r>
      <w:r w:rsidR="006F70FB" w:rsidRPr="00DB760B">
        <w:t>(2.5</w:t>
      </w:r>
      <w:r w:rsidR="00C17F5C" w:rsidRPr="00DB760B">
        <w:t> </w:t>
      </w:r>
      <w:r w:rsidR="006F70FB" w:rsidRPr="00DB760B">
        <w:t>mg/500 mg, 2.5 mg/1</w:t>
      </w:r>
      <w:r w:rsidR="001B7B48" w:rsidRPr="00DB760B">
        <w:t xml:space="preserve"> </w:t>
      </w:r>
      <w:r w:rsidR="006F70FB" w:rsidRPr="00DB760B">
        <w:t>g, 7.5 mg/500 mg, 7.5 mg/1</w:t>
      </w:r>
      <w:r w:rsidR="001B7B48" w:rsidRPr="00DB760B">
        <w:t xml:space="preserve"> </w:t>
      </w:r>
      <w:r w:rsidR="006F70FB" w:rsidRPr="00DB760B">
        <w:t>g)</w:t>
      </w:r>
      <w:r w:rsidR="00BE489F" w:rsidRPr="00DB760B">
        <w:t xml:space="preserve"> FDC products</w:t>
      </w:r>
      <w:r w:rsidRPr="00DB760B">
        <w:t xml:space="preserve">, </w:t>
      </w:r>
      <w:proofErr w:type="spellStart"/>
      <w:r w:rsidRPr="00DB760B">
        <w:t>sitagliptin</w:t>
      </w:r>
      <w:proofErr w:type="spellEnd"/>
      <w:r w:rsidRPr="00DB760B">
        <w:t xml:space="preserve"> </w:t>
      </w:r>
      <w:r w:rsidR="006F70FB" w:rsidRPr="00DB760B">
        <w:t xml:space="preserve">(25 mg, 50 mg, 100 mg) </w:t>
      </w:r>
      <w:r w:rsidRPr="00DB760B">
        <w:t xml:space="preserve">and </w:t>
      </w:r>
      <w:proofErr w:type="spellStart"/>
      <w:r w:rsidRPr="00DB760B">
        <w:t>sitagliptin</w:t>
      </w:r>
      <w:proofErr w:type="spellEnd"/>
      <w:r w:rsidRPr="00DB760B">
        <w:t xml:space="preserve"> with metformin </w:t>
      </w:r>
      <w:r w:rsidR="00BE489F" w:rsidRPr="00DB760B">
        <w:t>(50 mg/500 mg, 50</w:t>
      </w:r>
      <w:r w:rsidR="00C17F5C" w:rsidRPr="00DB760B">
        <w:t> </w:t>
      </w:r>
      <w:r w:rsidR="00BE489F" w:rsidRPr="00DB760B">
        <w:t>mg/850 mg, 50 mg/1</w:t>
      </w:r>
      <w:r w:rsidR="001B7B48" w:rsidRPr="00DB760B">
        <w:t xml:space="preserve"> g, 50 mg/1 </w:t>
      </w:r>
      <w:r w:rsidR="00BE489F" w:rsidRPr="00DB760B">
        <w:t>g extended release (XR), 100</w:t>
      </w:r>
      <w:r w:rsidR="00C17F5C" w:rsidRPr="00DB760B">
        <w:t> </w:t>
      </w:r>
      <w:r w:rsidR="00BE489F" w:rsidRPr="00DB760B">
        <w:t>mg/1</w:t>
      </w:r>
      <w:r w:rsidR="001B7B48" w:rsidRPr="00DB760B">
        <w:t xml:space="preserve"> </w:t>
      </w:r>
      <w:r w:rsidR="00BE489F" w:rsidRPr="00DB760B">
        <w:t xml:space="preserve">g XR) </w:t>
      </w:r>
      <w:r w:rsidR="008C09B4" w:rsidRPr="00DB760B">
        <w:t>FDC</w:t>
      </w:r>
      <w:r w:rsidRPr="00DB760B">
        <w:t xml:space="preserve"> products to allow their use as triple therapies.</w:t>
      </w:r>
    </w:p>
    <w:p w:rsidR="00BA2322" w:rsidRPr="00DB760B" w:rsidRDefault="00143FAD" w:rsidP="00050ADD">
      <w:pPr>
        <w:pStyle w:val="ListParagraph"/>
        <w:widowControl/>
        <w:numPr>
          <w:ilvl w:val="1"/>
          <w:numId w:val="1"/>
        </w:numPr>
      </w:pPr>
      <w:r w:rsidRPr="00DB760B">
        <w:t>Th</w:t>
      </w:r>
      <w:r w:rsidR="006F1EC7" w:rsidRPr="00DB760B">
        <w:t xml:space="preserve">e </w:t>
      </w:r>
      <w:r w:rsidRPr="00DB760B">
        <w:t xml:space="preserve">combination </w:t>
      </w:r>
      <w:r w:rsidR="002F4A9A" w:rsidRPr="00DB760B">
        <w:t xml:space="preserve">of </w:t>
      </w:r>
      <w:proofErr w:type="spellStart"/>
      <w:r w:rsidR="006F1EC7" w:rsidRPr="00DB760B">
        <w:t>ertugliflozin</w:t>
      </w:r>
      <w:proofErr w:type="spellEnd"/>
      <w:r w:rsidR="006F1EC7" w:rsidRPr="00DB760B">
        <w:t xml:space="preserve"> plus </w:t>
      </w:r>
      <w:proofErr w:type="spellStart"/>
      <w:r w:rsidR="006F1EC7" w:rsidRPr="00DB760B">
        <w:t>sitagliptin</w:t>
      </w:r>
      <w:proofErr w:type="spellEnd"/>
      <w:r w:rsidR="006F1EC7" w:rsidRPr="00DB760B">
        <w:t xml:space="preserve"> </w:t>
      </w:r>
      <w:r w:rsidRPr="00DB760B">
        <w:t>has not been considered by the PBAC previously.</w:t>
      </w:r>
    </w:p>
    <w:p w:rsidR="00240C95" w:rsidRPr="00DB760B" w:rsidRDefault="00BA2322" w:rsidP="00050ADD">
      <w:pPr>
        <w:pStyle w:val="ListParagraph"/>
        <w:widowControl/>
        <w:numPr>
          <w:ilvl w:val="1"/>
          <w:numId w:val="1"/>
        </w:numPr>
      </w:pPr>
      <w:r w:rsidRPr="00DB760B">
        <w:t xml:space="preserve">In March 2018 </w:t>
      </w:r>
      <w:proofErr w:type="spellStart"/>
      <w:r w:rsidR="00143FAD" w:rsidRPr="00DB760B">
        <w:t>ertugliflozin</w:t>
      </w:r>
      <w:proofErr w:type="spellEnd"/>
      <w:r w:rsidR="00143FAD" w:rsidRPr="00DB760B">
        <w:t xml:space="preserve"> </w:t>
      </w:r>
      <w:r w:rsidR="006F70FB" w:rsidRPr="00DB760B">
        <w:t xml:space="preserve">(5 mg, 15 mg) </w:t>
      </w:r>
      <w:r w:rsidR="00143FAD" w:rsidRPr="00DB760B">
        <w:t xml:space="preserve">as a single agent and </w:t>
      </w:r>
      <w:proofErr w:type="spellStart"/>
      <w:r w:rsidR="00143FAD" w:rsidRPr="00DB760B">
        <w:t>ertugliflozin</w:t>
      </w:r>
      <w:proofErr w:type="spellEnd"/>
      <w:r w:rsidR="00143FAD" w:rsidRPr="00DB760B">
        <w:t xml:space="preserve"> with metformin </w:t>
      </w:r>
      <w:r w:rsidR="006F70FB" w:rsidRPr="00DB760B">
        <w:t>(2.5 mg/500 mg, 2.5 mg/1</w:t>
      </w:r>
      <w:r w:rsidR="001B7B48" w:rsidRPr="00DB760B">
        <w:t xml:space="preserve"> </w:t>
      </w:r>
      <w:r w:rsidR="006F70FB" w:rsidRPr="00DB760B">
        <w:t>g, 7.5 mg/500 mg, 7.5 mg/1</w:t>
      </w:r>
      <w:r w:rsidR="001B7B48" w:rsidRPr="00DB760B">
        <w:t xml:space="preserve"> </w:t>
      </w:r>
      <w:r w:rsidR="006F70FB" w:rsidRPr="00DB760B">
        <w:t xml:space="preserve">g) </w:t>
      </w:r>
      <w:r w:rsidR="008C09B4" w:rsidRPr="00DB760B">
        <w:t>FDC</w:t>
      </w:r>
      <w:r w:rsidR="00143FAD" w:rsidRPr="00DB760B">
        <w:t xml:space="preserve"> products were considered for listing.</w:t>
      </w:r>
    </w:p>
    <w:p w:rsidR="006F70FB" w:rsidRPr="00DB760B" w:rsidRDefault="00BA2322" w:rsidP="00050ADD">
      <w:pPr>
        <w:pStyle w:val="ListParagraph"/>
        <w:widowControl/>
        <w:numPr>
          <w:ilvl w:val="1"/>
          <w:numId w:val="1"/>
        </w:numPr>
      </w:pPr>
      <w:r w:rsidRPr="00DB760B">
        <w:t>T</w:t>
      </w:r>
      <w:r w:rsidR="00240C95" w:rsidRPr="00DB760B">
        <w:t xml:space="preserve">he PBAC recommended </w:t>
      </w:r>
      <w:proofErr w:type="spellStart"/>
      <w:r w:rsidR="00240C95" w:rsidRPr="00DB760B">
        <w:t>ertugliflozin</w:t>
      </w:r>
      <w:proofErr w:type="spellEnd"/>
      <w:r w:rsidR="00240C95" w:rsidRPr="00DB760B">
        <w:t xml:space="preserve"> 5 mg and </w:t>
      </w:r>
      <w:proofErr w:type="spellStart"/>
      <w:r w:rsidR="00240C95" w:rsidRPr="00DB760B">
        <w:t>ertugliflozin</w:t>
      </w:r>
      <w:proofErr w:type="spellEnd"/>
      <w:r w:rsidR="00240C95" w:rsidRPr="00DB760B">
        <w:t xml:space="preserve"> with metformin </w:t>
      </w:r>
      <w:r w:rsidR="00BE489F" w:rsidRPr="00DB760B">
        <w:t>2.5</w:t>
      </w:r>
      <w:r w:rsidR="00C17F5C" w:rsidRPr="00DB760B">
        <w:t> </w:t>
      </w:r>
      <w:r w:rsidR="00BE489F" w:rsidRPr="00DB760B">
        <w:t>mg/500 mg and 2.5 mg/1</w:t>
      </w:r>
      <w:r w:rsidR="001B7B48" w:rsidRPr="00DB760B">
        <w:t xml:space="preserve"> </w:t>
      </w:r>
      <w:r w:rsidR="00BE489F" w:rsidRPr="00DB760B">
        <w:t xml:space="preserve">g </w:t>
      </w:r>
      <w:r w:rsidR="008C09B4" w:rsidRPr="00DB760B">
        <w:t>FDC</w:t>
      </w:r>
      <w:r w:rsidR="00BE489F" w:rsidRPr="00DB760B">
        <w:t xml:space="preserve"> products</w:t>
      </w:r>
      <w:r w:rsidR="00240C95" w:rsidRPr="00DB760B">
        <w:t xml:space="preserve"> for PBS listing. The PBAC did not recommend </w:t>
      </w:r>
      <w:proofErr w:type="spellStart"/>
      <w:r w:rsidR="00240C95" w:rsidRPr="00DB760B">
        <w:t>ertugliflozin</w:t>
      </w:r>
      <w:proofErr w:type="spellEnd"/>
      <w:r w:rsidR="00240C95" w:rsidRPr="00DB760B">
        <w:t xml:space="preserve"> 15 mg and </w:t>
      </w:r>
      <w:proofErr w:type="spellStart"/>
      <w:r w:rsidR="00240C95" w:rsidRPr="00DB760B">
        <w:t>ertugliflozin</w:t>
      </w:r>
      <w:proofErr w:type="spellEnd"/>
      <w:r w:rsidR="00240C95" w:rsidRPr="00DB760B">
        <w:t xml:space="preserve"> with metformin </w:t>
      </w:r>
      <w:r w:rsidR="006F70FB" w:rsidRPr="00DB760B">
        <w:t>7.5 mg/500 mg and 7.5</w:t>
      </w:r>
      <w:r w:rsidR="00C17F5C" w:rsidRPr="00DB760B">
        <w:t> </w:t>
      </w:r>
      <w:r w:rsidR="006F70FB" w:rsidRPr="00DB760B">
        <w:t>mg/1</w:t>
      </w:r>
      <w:r w:rsidR="001B7B48" w:rsidRPr="00DB760B">
        <w:t xml:space="preserve"> </w:t>
      </w:r>
      <w:r w:rsidR="006F70FB" w:rsidRPr="00DB760B">
        <w:t xml:space="preserve">g </w:t>
      </w:r>
      <w:r w:rsidR="008C09B4" w:rsidRPr="00DB760B">
        <w:t>FDC</w:t>
      </w:r>
      <w:r w:rsidR="004A1B43" w:rsidRPr="00DB760B">
        <w:t xml:space="preserve"> products as the TGA Delegate’s Overview was not positive and the evidence did not support a clinical need (paragraph 7.2, March 2018 </w:t>
      </w:r>
      <w:r w:rsidR="001443DC" w:rsidRPr="00DB760B">
        <w:t>Public Summary Document (PSD)</w:t>
      </w:r>
      <w:r w:rsidR="004A1B43" w:rsidRPr="00DB760B">
        <w:t xml:space="preserve"> for </w:t>
      </w:r>
      <w:proofErr w:type="spellStart"/>
      <w:r w:rsidR="004A1B43" w:rsidRPr="00DB760B">
        <w:t>ertugliflozin</w:t>
      </w:r>
      <w:proofErr w:type="spellEnd"/>
      <w:r w:rsidR="004A1B43" w:rsidRPr="00DB760B">
        <w:t xml:space="preserve"> and </w:t>
      </w:r>
      <w:proofErr w:type="spellStart"/>
      <w:r w:rsidR="004A1B43" w:rsidRPr="00DB760B">
        <w:t>ertugliflozin</w:t>
      </w:r>
      <w:proofErr w:type="spellEnd"/>
      <w:r w:rsidR="004A1B43" w:rsidRPr="00DB760B">
        <w:t xml:space="preserve"> with metformin).</w:t>
      </w:r>
      <w:r w:rsidR="00217C0E" w:rsidRPr="00DB760B">
        <w:t xml:space="preserve"> </w:t>
      </w:r>
    </w:p>
    <w:p w:rsidR="00BA2322" w:rsidRPr="00DB760B" w:rsidRDefault="00BE54EC" w:rsidP="00050ADD">
      <w:pPr>
        <w:pStyle w:val="ListParagraph"/>
        <w:widowControl/>
        <w:numPr>
          <w:ilvl w:val="1"/>
          <w:numId w:val="1"/>
        </w:numPr>
      </w:pPr>
      <w:r w:rsidRPr="00DB760B">
        <w:lastRenderedPageBreak/>
        <w:t xml:space="preserve">Following the 8 April ACM, the TGA registered </w:t>
      </w:r>
      <w:proofErr w:type="spellStart"/>
      <w:r w:rsidRPr="00DB760B">
        <w:t>ertugliflozin</w:t>
      </w:r>
      <w:proofErr w:type="spellEnd"/>
      <w:r w:rsidRPr="00DB760B">
        <w:t xml:space="preserve"> 5 mg and 15 mg and all strengths of the related FDC products. </w:t>
      </w:r>
    </w:p>
    <w:p w:rsidR="001443DC" w:rsidRPr="00DB760B" w:rsidRDefault="00BA2322" w:rsidP="00050ADD">
      <w:pPr>
        <w:pStyle w:val="ListParagraph"/>
        <w:widowControl/>
        <w:numPr>
          <w:ilvl w:val="1"/>
          <w:numId w:val="1"/>
        </w:numPr>
      </w:pPr>
      <w:r w:rsidRPr="00DB760B">
        <w:t xml:space="preserve">Consequently, </w:t>
      </w:r>
      <w:r w:rsidR="00150DB9" w:rsidRPr="00DB760B">
        <w:t xml:space="preserve">a minor resubmission for </w:t>
      </w:r>
      <w:proofErr w:type="spellStart"/>
      <w:r w:rsidRPr="00DB760B">
        <w:t>er</w:t>
      </w:r>
      <w:r w:rsidR="00866434" w:rsidRPr="00DB760B">
        <w:t>tugliflozin</w:t>
      </w:r>
      <w:proofErr w:type="spellEnd"/>
      <w:r w:rsidR="00866434" w:rsidRPr="00DB760B">
        <w:t xml:space="preserve"> 15 mg and </w:t>
      </w:r>
      <w:proofErr w:type="spellStart"/>
      <w:r w:rsidR="00866434" w:rsidRPr="00DB760B">
        <w:t>ertugliflozi</w:t>
      </w:r>
      <w:r w:rsidRPr="00DB760B">
        <w:t>n</w:t>
      </w:r>
      <w:proofErr w:type="spellEnd"/>
      <w:r w:rsidRPr="00DB760B">
        <w:t xml:space="preserve"> with metformin 7.5 mg/500 mg and 7.5 mg/1 g </w:t>
      </w:r>
      <w:r w:rsidR="006F1EC7" w:rsidRPr="00DB760B">
        <w:t xml:space="preserve">FDC products </w:t>
      </w:r>
      <w:r w:rsidR="00C24719" w:rsidRPr="00DB760B">
        <w:t>w</w:t>
      </w:r>
      <w:r w:rsidR="00150DB9" w:rsidRPr="00DB760B">
        <w:t>as</w:t>
      </w:r>
      <w:r w:rsidR="00C24719" w:rsidRPr="00DB760B">
        <w:t xml:space="preserve"> </w:t>
      </w:r>
      <w:r w:rsidR="00654DC0" w:rsidRPr="00DB760B">
        <w:t>considered</w:t>
      </w:r>
      <w:r w:rsidR="00150DB9" w:rsidRPr="00DB760B">
        <w:t xml:space="preserve"> and the items were recommended for PBS listing </w:t>
      </w:r>
      <w:r w:rsidRPr="00DB760B">
        <w:t>at the July 2018 PBAC meeting.</w:t>
      </w:r>
    </w:p>
    <w:p w:rsidR="00143FAD" w:rsidRPr="00DB760B" w:rsidRDefault="008F44C6" w:rsidP="00050ADD">
      <w:pPr>
        <w:pStyle w:val="ListParagraph"/>
        <w:widowControl/>
        <w:numPr>
          <w:ilvl w:val="1"/>
          <w:numId w:val="1"/>
        </w:numPr>
      </w:pPr>
      <w:r w:rsidRPr="00DB760B">
        <w:t xml:space="preserve">In </w:t>
      </w:r>
      <w:r w:rsidR="00AE40F6" w:rsidRPr="00DB760B">
        <w:t>November</w:t>
      </w:r>
      <w:r w:rsidRPr="00DB760B">
        <w:t xml:space="preserve"> 2017, t</w:t>
      </w:r>
      <w:r w:rsidR="00143FAD" w:rsidRPr="00DB760B">
        <w:t xml:space="preserve">he PBAC recommended two SGLT2 inhibitor plus DPP4 inhibitor plus metformin triple oral combination therapies: </w:t>
      </w:r>
    </w:p>
    <w:p w:rsidR="00143FAD" w:rsidRPr="00DB760B" w:rsidRDefault="00143FAD" w:rsidP="00050ADD">
      <w:pPr>
        <w:pStyle w:val="ListParagraph"/>
        <w:widowControl/>
        <w:numPr>
          <w:ilvl w:val="0"/>
          <w:numId w:val="3"/>
        </w:numPr>
      </w:pPr>
      <w:proofErr w:type="spellStart"/>
      <w:r w:rsidRPr="00DB760B">
        <w:t>Dapagliflozin</w:t>
      </w:r>
      <w:proofErr w:type="spellEnd"/>
      <w:r w:rsidRPr="00DB760B">
        <w:t xml:space="preserve"> plus </w:t>
      </w:r>
      <w:proofErr w:type="spellStart"/>
      <w:r w:rsidRPr="00DB760B">
        <w:t>saxagliptin</w:t>
      </w:r>
      <w:proofErr w:type="spellEnd"/>
      <w:r w:rsidRPr="00DB760B">
        <w:t xml:space="preserve"> plus metformin</w:t>
      </w:r>
      <w:r w:rsidR="00240C95" w:rsidRPr="00DB760B">
        <w:t xml:space="preserve">, </w:t>
      </w:r>
      <w:r w:rsidR="00E464AC" w:rsidRPr="00DB760B">
        <w:t>including</w:t>
      </w:r>
      <w:r w:rsidR="00240C95" w:rsidRPr="00DB760B">
        <w:t xml:space="preserve"> the addition of the </w:t>
      </w:r>
      <w:proofErr w:type="spellStart"/>
      <w:r w:rsidR="00240C95" w:rsidRPr="00DB760B">
        <w:t>dapagliflozin</w:t>
      </w:r>
      <w:proofErr w:type="spellEnd"/>
      <w:r w:rsidR="00240C95" w:rsidRPr="00DB760B">
        <w:t xml:space="preserve"> with </w:t>
      </w:r>
      <w:proofErr w:type="spellStart"/>
      <w:r w:rsidR="00240C95" w:rsidRPr="00DB760B">
        <w:t>saxagliptin</w:t>
      </w:r>
      <w:proofErr w:type="spellEnd"/>
      <w:r w:rsidR="00240C95" w:rsidRPr="00DB760B">
        <w:t xml:space="preserve"> </w:t>
      </w:r>
      <w:r w:rsidR="008C09B4" w:rsidRPr="00DB760B">
        <w:t>FDC</w:t>
      </w:r>
      <w:r w:rsidR="00240C95" w:rsidRPr="00DB760B">
        <w:t xml:space="preserve"> product (10 mg/5 mg) to the PBS and changes to the relevant PBS restrictions of the </w:t>
      </w:r>
      <w:r w:rsidR="00BE489F" w:rsidRPr="00DB760B">
        <w:t>associated</w:t>
      </w:r>
      <w:r w:rsidR="00240C95" w:rsidRPr="00DB760B">
        <w:t xml:space="preserve"> single </w:t>
      </w:r>
      <w:r w:rsidR="00BE489F" w:rsidRPr="00DB760B">
        <w:t xml:space="preserve">agent </w:t>
      </w:r>
      <w:r w:rsidR="00240C95" w:rsidRPr="00DB760B">
        <w:t xml:space="preserve">and </w:t>
      </w:r>
      <w:r w:rsidR="008C09B4" w:rsidRPr="00DB760B">
        <w:t>FDC</w:t>
      </w:r>
      <w:r w:rsidR="00240C95" w:rsidRPr="00DB760B">
        <w:t xml:space="preserve"> products</w:t>
      </w:r>
      <w:r w:rsidR="00E464AC" w:rsidRPr="00DB760B">
        <w:t xml:space="preserve">; </w:t>
      </w:r>
    </w:p>
    <w:p w:rsidR="002C2775" w:rsidRPr="00DB760B" w:rsidRDefault="00143FAD" w:rsidP="00050ADD">
      <w:pPr>
        <w:pStyle w:val="ListParagraph"/>
        <w:widowControl/>
        <w:numPr>
          <w:ilvl w:val="0"/>
          <w:numId w:val="3"/>
        </w:numPr>
      </w:pPr>
      <w:proofErr w:type="spellStart"/>
      <w:r w:rsidRPr="00DB760B">
        <w:t>Empagliflozin</w:t>
      </w:r>
      <w:proofErr w:type="spellEnd"/>
      <w:r w:rsidRPr="00DB760B">
        <w:t xml:space="preserve"> plus </w:t>
      </w:r>
      <w:proofErr w:type="spellStart"/>
      <w:r w:rsidRPr="00DB760B">
        <w:t>linagliptin</w:t>
      </w:r>
      <w:proofErr w:type="spellEnd"/>
      <w:r w:rsidRPr="00DB760B">
        <w:t xml:space="preserve"> plus metformin</w:t>
      </w:r>
      <w:r w:rsidR="00240C95" w:rsidRPr="00DB760B">
        <w:t xml:space="preserve">, </w:t>
      </w:r>
      <w:r w:rsidR="00E464AC" w:rsidRPr="00DB760B">
        <w:t>including</w:t>
      </w:r>
      <w:r w:rsidR="00240C95" w:rsidRPr="00DB760B">
        <w:t xml:space="preserve"> the addition of the </w:t>
      </w:r>
      <w:proofErr w:type="spellStart"/>
      <w:r w:rsidR="00240C95" w:rsidRPr="00DB760B">
        <w:t>empagliflozin</w:t>
      </w:r>
      <w:proofErr w:type="spellEnd"/>
      <w:r w:rsidR="00240C95" w:rsidRPr="00DB760B">
        <w:t xml:space="preserve"> with </w:t>
      </w:r>
      <w:proofErr w:type="spellStart"/>
      <w:r w:rsidR="00240C95" w:rsidRPr="00DB760B">
        <w:t>linagliptin</w:t>
      </w:r>
      <w:proofErr w:type="spellEnd"/>
      <w:r w:rsidR="00240C95" w:rsidRPr="00DB760B">
        <w:t xml:space="preserve"> </w:t>
      </w:r>
      <w:r w:rsidR="008C09B4" w:rsidRPr="00DB760B">
        <w:t>FDC</w:t>
      </w:r>
      <w:r w:rsidR="00240C95" w:rsidRPr="00DB760B">
        <w:t xml:space="preserve"> products (10 mg/5 mg and 25 mg/1</w:t>
      </w:r>
      <w:r w:rsidR="001B7B48" w:rsidRPr="00DB760B">
        <w:t xml:space="preserve"> </w:t>
      </w:r>
      <w:r w:rsidR="00240C95" w:rsidRPr="00DB760B">
        <w:t xml:space="preserve">g) to the PBS and changes to the relevant PBS restrictions of the </w:t>
      </w:r>
      <w:r w:rsidR="00BE489F" w:rsidRPr="00DB760B">
        <w:t>associated</w:t>
      </w:r>
      <w:r w:rsidR="00240C95" w:rsidRPr="00DB760B">
        <w:t xml:space="preserve"> single </w:t>
      </w:r>
      <w:r w:rsidR="00BE489F" w:rsidRPr="00DB760B">
        <w:t xml:space="preserve">agent </w:t>
      </w:r>
      <w:r w:rsidR="00240C95" w:rsidRPr="00DB760B">
        <w:t xml:space="preserve">and </w:t>
      </w:r>
      <w:r w:rsidR="008C09B4" w:rsidRPr="00DB760B">
        <w:t>FDC</w:t>
      </w:r>
      <w:r w:rsidR="00240C95" w:rsidRPr="00DB760B">
        <w:t xml:space="preserve"> products</w:t>
      </w:r>
      <w:r w:rsidRPr="00DB760B">
        <w:t>.</w:t>
      </w:r>
    </w:p>
    <w:p w:rsidR="00C2778B" w:rsidRPr="00DB760B" w:rsidRDefault="002F4A9A" w:rsidP="00050ADD">
      <w:pPr>
        <w:pStyle w:val="ListParagraph"/>
        <w:widowControl/>
        <w:numPr>
          <w:ilvl w:val="1"/>
          <w:numId w:val="1"/>
        </w:numPr>
        <w:spacing w:after="120"/>
      </w:pPr>
      <w:r w:rsidRPr="00DB760B">
        <w:t>The submission presented a c</w:t>
      </w:r>
      <w:r w:rsidR="00240C95" w:rsidRPr="00DB760B">
        <w:t xml:space="preserve">ost-minimisation analysis for </w:t>
      </w:r>
      <w:proofErr w:type="spellStart"/>
      <w:r w:rsidR="00240C95" w:rsidRPr="00DB760B">
        <w:t>ertugliflozin</w:t>
      </w:r>
      <w:proofErr w:type="spellEnd"/>
      <w:r w:rsidR="00240C95" w:rsidRPr="00DB760B">
        <w:t xml:space="preserve"> with </w:t>
      </w:r>
      <w:proofErr w:type="spellStart"/>
      <w:r w:rsidR="00240C95" w:rsidRPr="00DB760B">
        <w:t>sitagliptin</w:t>
      </w:r>
      <w:proofErr w:type="spellEnd"/>
      <w:r w:rsidR="00240C95" w:rsidRPr="00DB760B">
        <w:t xml:space="preserve"> (5</w:t>
      </w:r>
      <w:r w:rsidR="00D23FBC" w:rsidRPr="00DB760B">
        <w:t> </w:t>
      </w:r>
      <w:r w:rsidR="003D3707" w:rsidRPr="00DB760B">
        <w:t>mg/100</w:t>
      </w:r>
      <w:r w:rsidR="00D23FBC" w:rsidRPr="00DB760B">
        <w:t> </w:t>
      </w:r>
      <w:r w:rsidR="003D3707" w:rsidRPr="00DB760B">
        <w:t xml:space="preserve">mg, 15 mg/100 mg) </w:t>
      </w:r>
      <w:r w:rsidR="00D23FBC" w:rsidRPr="00DB760B">
        <w:t xml:space="preserve">FDC products </w:t>
      </w:r>
      <w:r w:rsidR="003D3707" w:rsidRPr="00DB760B">
        <w:t xml:space="preserve">based on non-inferior efficacy and safety compared to </w:t>
      </w:r>
      <w:proofErr w:type="spellStart"/>
      <w:r w:rsidRPr="00DB760B">
        <w:t>dapa</w:t>
      </w:r>
      <w:r w:rsidR="00240C95" w:rsidRPr="00DB760B">
        <w:t>gliflozin</w:t>
      </w:r>
      <w:proofErr w:type="spellEnd"/>
      <w:r w:rsidR="00240C95" w:rsidRPr="00DB760B">
        <w:t xml:space="preserve"> with </w:t>
      </w:r>
      <w:proofErr w:type="spellStart"/>
      <w:r w:rsidR="00240C95" w:rsidRPr="00DB760B">
        <w:t>saxagliptin</w:t>
      </w:r>
      <w:proofErr w:type="spellEnd"/>
      <w:r w:rsidR="00240C95" w:rsidRPr="00DB760B">
        <w:t xml:space="preserve"> </w:t>
      </w:r>
      <w:r w:rsidRPr="00DB760B">
        <w:t xml:space="preserve">and </w:t>
      </w:r>
      <w:proofErr w:type="spellStart"/>
      <w:r w:rsidRPr="00DB760B">
        <w:t>empagliflozin</w:t>
      </w:r>
      <w:proofErr w:type="spellEnd"/>
      <w:r w:rsidRPr="00DB760B">
        <w:t xml:space="preserve"> with </w:t>
      </w:r>
      <w:proofErr w:type="spellStart"/>
      <w:r w:rsidRPr="00DB760B">
        <w:t>linagliptin</w:t>
      </w:r>
      <w:proofErr w:type="spellEnd"/>
      <w:r w:rsidRPr="00DB760B">
        <w:t xml:space="preserve"> </w:t>
      </w:r>
      <w:r w:rsidR="008C09B4" w:rsidRPr="00DB760B">
        <w:t>FDC</w:t>
      </w:r>
      <w:r w:rsidRPr="00DB760B">
        <w:t xml:space="preserve"> products. </w:t>
      </w:r>
    </w:p>
    <w:p w:rsidR="008B1757" w:rsidRPr="00DB760B" w:rsidRDefault="008B1757" w:rsidP="005A79A2">
      <w:pPr>
        <w:keepNext/>
        <w:widowControl/>
        <w:rPr>
          <w:rStyle w:val="CommentReference"/>
        </w:rPr>
      </w:pPr>
      <w:r w:rsidRPr="00DB760B">
        <w:rPr>
          <w:rStyle w:val="CommentReference"/>
        </w:rPr>
        <w:t>Table</w:t>
      </w:r>
      <w:r w:rsidR="002F4A9A" w:rsidRPr="00DB760B">
        <w:rPr>
          <w:rStyle w:val="CommentReference"/>
        </w:rPr>
        <w:t xml:space="preserve"> 1</w:t>
      </w:r>
      <w:r w:rsidRPr="00DB760B">
        <w:rPr>
          <w:rStyle w:val="CommentReference"/>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51"/>
      </w:tblGrid>
      <w:tr w:rsidR="008B1757" w:rsidRPr="00DB760B" w:rsidTr="002F4A9A">
        <w:trPr>
          <w:cantSplit/>
          <w:tblHeader/>
        </w:trPr>
        <w:tc>
          <w:tcPr>
            <w:tcW w:w="1129" w:type="dxa"/>
            <w:shd w:val="clear" w:color="auto" w:fill="auto"/>
            <w:tcMar>
              <w:left w:w="28" w:type="dxa"/>
              <w:right w:w="28" w:type="dxa"/>
            </w:tcMar>
          </w:tcPr>
          <w:p w:rsidR="008B1757" w:rsidRPr="00DB760B" w:rsidRDefault="008B1757" w:rsidP="005A79A2">
            <w:pPr>
              <w:pStyle w:val="Tabletext"/>
              <w:keepNext/>
              <w:rPr>
                <w:b/>
                <w:szCs w:val="20"/>
              </w:rPr>
            </w:pPr>
            <w:r w:rsidRPr="00DB760B">
              <w:rPr>
                <w:b/>
              </w:rPr>
              <w:t>Component</w:t>
            </w:r>
          </w:p>
        </w:tc>
        <w:tc>
          <w:tcPr>
            <w:tcW w:w="8051" w:type="dxa"/>
            <w:shd w:val="clear" w:color="auto" w:fill="auto"/>
            <w:tcMar>
              <w:left w:w="28" w:type="dxa"/>
              <w:right w:w="28" w:type="dxa"/>
            </w:tcMar>
          </w:tcPr>
          <w:p w:rsidR="008B1757" w:rsidRPr="00DB760B" w:rsidRDefault="008B1757" w:rsidP="005A79A2">
            <w:pPr>
              <w:pStyle w:val="Tabletext"/>
              <w:keepNext/>
              <w:jc w:val="center"/>
              <w:rPr>
                <w:b/>
              </w:rPr>
            </w:pPr>
            <w:r w:rsidRPr="00DB760B">
              <w:rPr>
                <w:b/>
              </w:rPr>
              <w:t>Description</w:t>
            </w:r>
          </w:p>
        </w:tc>
      </w:tr>
      <w:tr w:rsidR="002F4A9A" w:rsidRPr="00DB760B" w:rsidTr="002F4A9A">
        <w:trPr>
          <w:cantSplit/>
        </w:trPr>
        <w:tc>
          <w:tcPr>
            <w:tcW w:w="1129" w:type="dxa"/>
            <w:shd w:val="clear" w:color="auto" w:fill="auto"/>
            <w:tcMar>
              <w:left w:w="28" w:type="dxa"/>
              <w:right w:w="28" w:type="dxa"/>
            </w:tcMar>
          </w:tcPr>
          <w:p w:rsidR="002F4A9A" w:rsidRPr="00DB760B" w:rsidRDefault="002F4A9A" w:rsidP="005A79A2">
            <w:pPr>
              <w:pStyle w:val="Tabletext"/>
              <w:keepNext/>
            </w:pPr>
            <w:r w:rsidRPr="00DB760B">
              <w:t>Population</w:t>
            </w:r>
          </w:p>
        </w:tc>
        <w:tc>
          <w:tcPr>
            <w:tcW w:w="8051" w:type="dxa"/>
            <w:shd w:val="clear" w:color="auto" w:fill="auto"/>
            <w:tcMar>
              <w:left w:w="28" w:type="dxa"/>
              <w:right w:w="28" w:type="dxa"/>
            </w:tcMar>
            <w:vAlign w:val="center"/>
          </w:tcPr>
          <w:p w:rsidR="002F4A9A" w:rsidRPr="00DB760B" w:rsidRDefault="002F4A9A" w:rsidP="005A79A2">
            <w:pPr>
              <w:pStyle w:val="Tabletext"/>
              <w:keepNext/>
            </w:pPr>
            <w:r w:rsidRPr="00DB760B">
              <w:t>Patients with T2DM with inadequate glycaemic control, who have been previously stabilised on dual or triple oral therapy which included a SGLT2 or DPP4 inhibitor.</w:t>
            </w:r>
          </w:p>
        </w:tc>
      </w:tr>
      <w:tr w:rsidR="002F4A9A" w:rsidRPr="00DB760B" w:rsidTr="002F4A9A">
        <w:trPr>
          <w:cantSplit/>
        </w:trPr>
        <w:tc>
          <w:tcPr>
            <w:tcW w:w="1129" w:type="dxa"/>
            <w:shd w:val="clear" w:color="auto" w:fill="auto"/>
            <w:tcMar>
              <w:left w:w="28" w:type="dxa"/>
              <w:right w:w="28" w:type="dxa"/>
            </w:tcMar>
          </w:tcPr>
          <w:p w:rsidR="002F4A9A" w:rsidRPr="00DB760B" w:rsidRDefault="002F4A9A" w:rsidP="005A79A2">
            <w:pPr>
              <w:pStyle w:val="Tabletext"/>
              <w:keepNext/>
            </w:pPr>
            <w:r w:rsidRPr="00DB760B">
              <w:t>Intervention</w:t>
            </w:r>
          </w:p>
        </w:tc>
        <w:tc>
          <w:tcPr>
            <w:tcW w:w="8051" w:type="dxa"/>
            <w:shd w:val="clear" w:color="auto" w:fill="auto"/>
            <w:tcMar>
              <w:left w:w="28" w:type="dxa"/>
              <w:right w:w="28" w:type="dxa"/>
            </w:tcMar>
            <w:vAlign w:val="center"/>
          </w:tcPr>
          <w:p w:rsidR="00273997" w:rsidRPr="00DB760B" w:rsidRDefault="002F4A9A" w:rsidP="00273997">
            <w:pPr>
              <w:pStyle w:val="Tabletext"/>
              <w:keepNext/>
            </w:pPr>
            <w:proofErr w:type="spellStart"/>
            <w:r w:rsidRPr="00DB760B">
              <w:t>Ertugliflozin</w:t>
            </w:r>
            <w:proofErr w:type="spellEnd"/>
            <w:r w:rsidRPr="00DB760B">
              <w:t xml:space="preserve"> 5 m</w:t>
            </w:r>
            <w:r w:rsidR="00BE489F" w:rsidRPr="00DB760B">
              <w:t xml:space="preserve">g </w:t>
            </w:r>
            <w:r w:rsidR="00273997" w:rsidRPr="00DB760B">
              <w:t>with</w:t>
            </w:r>
            <w:r w:rsidRPr="00DB760B">
              <w:t xml:space="preserve"> </w:t>
            </w:r>
            <w:proofErr w:type="spellStart"/>
            <w:r w:rsidRPr="00DB760B">
              <w:t>sitagliptin</w:t>
            </w:r>
            <w:proofErr w:type="spellEnd"/>
            <w:r w:rsidRPr="00DB760B">
              <w:t xml:space="preserve"> 100 mg </w:t>
            </w:r>
            <w:r w:rsidR="00273997" w:rsidRPr="00DB760B">
              <w:t xml:space="preserve">FDC, in combination with </w:t>
            </w:r>
            <w:r w:rsidRPr="00DB760B">
              <w:t>metformin</w:t>
            </w:r>
          </w:p>
          <w:p w:rsidR="002F4A9A" w:rsidRPr="00DB760B" w:rsidRDefault="00273997" w:rsidP="00273997">
            <w:pPr>
              <w:pStyle w:val="Tabletext"/>
              <w:keepNext/>
            </w:pPr>
            <w:proofErr w:type="spellStart"/>
            <w:r w:rsidRPr="00DB760B">
              <w:t>Ertugliflozin</w:t>
            </w:r>
            <w:proofErr w:type="spellEnd"/>
            <w:r w:rsidRPr="00DB760B">
              <w:t xml:space="preserve"> 15 mg with </w:t>
            </w:r>
            <w:proofErr w:type="spellStart"/>
            <w:r w:rsidRPr="00DB760B">
              <w:t>sitagliptin</w:t>
            </w:r>
            <w:proofErr w:type="spellEnd"/>
            <w:r w:rsidRPr="00DB760B">
              <w:t xml:space="preserve"> 100 mg FDC, in combination with metformin</w:t>
            </w:r>
            <w:r w:rsidR="002F4A9A" w:rsidRPr="00DB760B">
              <w:t xml:space="preserve"> </w:t>
            </w:r>
          </w:p>
        </w:tc>
      </w:tr>
      <w:tr w:rsidR="002F4A9A" w:rsidRPr="00DB760B" w:rsidTr="002F4A9A">
        <w:trPr>
          <w:cantSplit/>
        </w:trPr>
        <w:tc>
          <w:tcPr>
            <w:tcW w:w="1129" w:type="dxa"/>
            <w:shd w:val="clear" w:color="auto" w:fill="auto"/>
            <w:tcMar>
              <w:left w:w="28" w:type="dxa"/>
              <w:right w:w="28" w:type="dxa"/>
            </w:tcMar>
          </w:tcPr>
          <w:p w:rsidR="002F4A9A" w:rsidRPr="00DB760B" w:rsidRDefault="002F4A9A" w:rsidP="005A79A2">
            <w:pPr>
              <w:pStyle w:val="Tabletext"/>
              <w:keepNext/>
            </w:pPr>
            <w:r w:rsidRPr="00DB760B">
              <w:t>Comparator</w:t>
            </w:r>
          </w:p>
        </w:tc>
        <w:tc>
          <w:tcPr>
            <w:tcW w:w="8051" w:type="dxa"/>
            <w:shd w:val="clear" w:color="auto" w:fill="auto"/>
            <w:tcMar>
              <w:left w:w="28" w:type="dxa"/>
              <w:right w:w="28" w:type="dxa"/>
            </w:tcMar>
            <w:vAlign w:val="center"/>
          </w:tcPr>
          <w:p w:rsidR="002F4A9A" w:rsidRPr="00DB760B" w:rsidRDefault="002F4A9A" w:rsidP="005A79A2">
            <w:pPr>
              <w:pStyle w:val="Tabletext"/>
              <w:keepNext/>
            </w:pPr>
            <w:r w:rsidRPr="00DB760B">
              <w:t>Triple oral combination therapy consisting of either:</w:t>
            </w:r>
          </w:p>
          <w:p w:rsidR="002F4A9A" w:rsidRPr="00DB760B" w:rsidRDefault="002F4A9A" w:rsidP="005A79A2">
            <w:pPr>
              <w:pStyle w:val="Tabletext"/>
              <w:keepNext/>
            </w:pPr>
            <w:r w:rsidRPr="00DB760B">
              <w:t xml:space="preserve">- </w:t>
            </w:r>
            <w:proofErr w:type="spellStart"/>
            <w:r w:rsidRPr="00DB760B">
              <w:t>Dapagliflozin</w:t>
            </w:r>
            <w:proofErr w:type="spellEnd"/>
            <w:r w:rsidRPr="00DB760B">
              <w:t xml:space="preserve"> plus </w:t>
            </w:r>
            <w:proofErr w:type="spellStart"/>
            <w:r w:rsidRPr="00DB760B">
              <w:t>saxagliptin</w:t>
            </w:r>
            <w:proofErr w:type="spellEnd"/>
            <w:r w:rsidRPr="00DB760B">
              <w:t xml:space="preserve"> plus metformin; or</w:t>
            </w:r>
          </w:p>
          <w:p w:rsidR="002F4A9A" w:rsidRPr="00DB760B" w:rsidRDefault="002F4A9A" w:rsidP="005A79A2">
            <w:pPr>
              <w:pStyle w:val="Tabletext"/>
              <w:keepNext/>
            </w:pPr>
            <w:r w:rsidRPr="00DB760B">
              <w:t xml:space="preserve">- </w:t>
            </w:r>
            <w:proofErr w:type="spellStart"/>
            <w:r w:rsidRPr="00DB760B">
              <w:t>Empagliflozin</w:t>
            </w:r>
            <w:proofErr w:type="spellEnd"/>
            <w:r w:rsidRPr="00DB760B">
              <w:t xml:space="preserve"> plus </w:t>
            </w:r>
            <w:proofErr w:type="spellStart"/>
            <w:r w:rsidRPr="00DB760B">
              <w:t>linagliptin</w:t>
            </w:r>
            <w:proofErr w:type="spellEnd"/>
            <w:r w:rsidRPr="00DB760B">
              <w:t xml:space="preserve"> plus metformin.</w:t>
            </w:r>
          </w:p>
        </w:tc>
      </w:tr>
      <w:tr w:rsidR="002F4A9A" w:rsidRPr="00DB760B" w:rsidTr="002F4A9A">
        <w:trPr>
          <w:cantSplit/>
        </w:trPr>
        <w:tc>
          <w:tcPr>
            <w:tcW w:w="1129" w:type="dxa"/>
            <w:shd w:val="clear" w:color="auto" w:fill="auto"/>
            <w:tcMar>
              <w:left w:w="28" w:type="dxa"/>
              <w:right w:w="28" w:type="dxa"/>
            </w:tcMar>
          </w:tcPr>
          <w:p w:rsidR="002F4A9A" w:rsidRPr="00DB760B" w:rsidRDefault="002F4A9A" w:rsidP="002F4A9A">
            <w:pPr>
              <w:pStyle w:val="Tabletext"/>
            </w:pPr>
            <w:r w:rsidRPr="00DB760B">
              <w:t>Outcomes</w:t>
            </w:r>
          </w:p>
        </w:tc>
        <w:tc>
          <w:tcPr>
            <w:tcW w:w="8051" w:type="dxa"/>
            <w:shd w:val="clear" w:color="auto" w:fill="auto"/>
            <w:tcMar>
              <w:left w:w="28" w:type="dxa"/>
              <w:right w:w="28" w:type="dxa"/>
            </w:tcMar>
            <w:vAlign w:val="center"/>
          </w:tcPr>
          <w:p w:rsidR="002F4A9A" w:rsidRPr="00DB760B" w:rsidRDefault="002F4A9A" w:rsidP="00BE489F">
            <w:pPr>
              <w:pStyle w:val="Tabletext"/>
            </w:pPr>
            <w:r w:rsidRPr="00DB760B">
              <w:t>Mean change in HbA</w:t>
            </w:r>
            <w:r w:rsidRPr="00DB760B">
              <w:rPr>
                <w:vertAlign w:val="subscript"/>
              </w:rPr>
              <w:t>1c</w:t>
            </w:r>
            <w:r w:rsidRPr="00DB760B">
              <w:t>, proportion of HbA</w:t>
            </w:r>
            <w:r w:rsidRPr="00DB760B">
              <w:rPr>
                <w:vertAlign w:val="subscript"/>
              </w:rPr>
              <w:t>1c</w:t>
            </w:r>
            <w:r w:rsidRPr="00DB760B">
              <w:t xml:space="preserve"> responders (&lt; 7</w:t>
            </w:r>
            <w:r w:rsidR="005079B0" w:rsidRPr="00DB760B">
              <w:t>.0</w:t>
            </w:r>
            <w:r w:rsidRPr="00DB760B">
              <w:t xml:space="preserve">%), mean change in </w:t>
            </w:r>
            <w:r w:rsidR="00BE489F" w:rsidRPr="00DB760B">
              <w:t>FPG</w:t>
            </w:r>
            <w:r w:rsidRPr="00DB760B">
              <w:t>, body weight, safety, hypoglycaemic events</w:t>
            </w:r>
          </w:p>
        </w:tc>
      </w:tr>
      <w:tr w:rsidR="002F4A9A" w:rsidRPr="00DB760B" w:rsidTr="002F4A9A">
        <w:trPr>
          <w:cantSplit/>
        </w:trPr>
        <w:tc>
          <w:tcPr>
            <w:tcW w:w="1129" w:type="dxa"/>
            <w:shd w:val="clear" w:color="auto" w:fill="auto"/>
            <w:tcMar>
              <w:left w:w="28" w:type="dxa"/>
              <w:right w:w="28" w:type="dxa"/>
            </w:tcMar>
          </w:tcPr>
          <w:p w:rsidR="002F4A9A" w:rsidRPr="00DB760B" w:rsidRDefault="002F4A9A" w:rsidP="002F4A9A">
            <w:pPr>
              <w:pStyle w:val="Tabletext"/>
            </w:pPr>
            <w:r w:rsidRPr="00DB760B">
              <w:t>Clinical claim</w:t>
            </w:r>
          </w:p>
        </w:tc>
        <w:tc>
          <w:tcPr>
            <w:tcW w:w="8051" w:type="dxa"/>
            <w:shd w:val="clear" w:color="auto" w:fill="auto"/>
            <w:tcMar>
              <w:left w:w="28" w:type="dxa"/>
              <w:right w:w="28" w:type="dxa"/>
            </w:tcMar>
            <w:vAlign w:val="center"/>
          </w:tcPr>
          <w:p w:rsidR="002F4A9A" w:rsidRPr="00DB760B" w:rsidRDefault="002F4A9A" w:rsidP="002F4A9A">
            <w:pPr>
              <w:keepNext/>
              <w:spacing w:after="120"/>
              <w:jc w:val="left"/>
              <w:rPr>
                <w:rFonts w:ascii="Arial Narrow" w:hAnsi="Arial Narrow" w:cstheme="minorBidi"/>
                <w:snapToGrid/>
                <w:sz w:val="20"/>
                <w:szCs w:val="20"/>
              </w:rPr>
            </w:pPr>
            <w:r w:rsidRPr="00DB760B">
              <w:rPr>
                <w:rFonts w:ascii="Arial Narrow" w:hAnsi="Arial Narrow"/>
                <w:sz w:val="20"/>
                <w:szCs w:val="20"/>
              </w:rPr>
              <w:t xml:space="preserve">In triple oral combination therapy, </w:t>
            </w:r>
            <w:proofErr w:type="spellStart"/>
            <w:r w:rsidRPr="00DB760B">
              <w:rPr>
                <w:rFonts w:ascii="Arial Narrow" w:hAnsi="Arial Narrow"/>
                <w:sz w:val="20"/>
                <w:szCs w:val="20"/>
              </w:rPr>
              <w:t>ertugliflozin</w:t>
            </w:r>
            <w:proofErr w:type="spellEnd"/>
            <w:r w:rsidRPr="00DB760B">
              <w:rPr>
                <w:rFonts w:ascii="Arial Narrow" w:hAnsi="Arial Narrow"/>
                <w:sz w:val="20"/>
                <w:szCs w:val="20"/>
              </w:rPr>
              <w:t xml:space="preserve"> (5 mg or 15 mg) is non-inferior to </w:t>
            </w:r>
            <w:proofErr w:type="spellStart"/>
            <w:r w:rsidRPr="00DB760B">
              <w:rPr>
                <w:rFonts w:ascii="Arial Narrow" w:hAnsi="Arial Narrow"/>
                <w:sz w:val="20"/>
                <w:szCs w:val="20"/>
              </w:rPr>
              <w:t>dapagliflozin</w:t>
            </w:r>
            <w:proofErr w:type="spellEnd"/>
            <w:r w:rsidRPr="00DB760B">
              <w:rPr>
                <w:rFonts w:ascii="Arial Narrow" w:hAnsi="Arial Narrow"/>
                <w:sz w:val="20"/>
                <w:szCs w:val="20"/>
              </w:rPr>
              <w:t xml:space="preserve"> (10 mg) and </w:t>
            </w:r>
            <w:proofErr w:type="spellStart"/>
            <w:r w:rsidRPr="00DB760B">
              <w:rPr>
                <w:rFonts w:ascii="Arial Narrow" w:hAnsi="Arial Narrow"/>
                <w:sz w:val="20"/>
                <w:szCs w:val="20"/>
              </w:rPr>
              <w:t>empagliflozin</w:t>
            </w:r>
            <w:proofErr w:type="spellEnd"/>
            <w:r w:rsidRPr="00DB760B">
              <w:rPr>
                <w:rFonts w:ascii="Arial Narrow" w:hAnsi="Arial Narrow"/>
                <w:sz w:val="20"/>
                <w:szCs w:val="20"/>
              </w:rPr>
              <w:t xml:space="preserve"> (10 mg or 25 mg); </w:t>
            </w:r>
            <w:proofErr w:type="spellStart"/>
            <w:r w:rsidRPr="00DB760B">
              <w:rPr>
                <w:rFonts w:ascii="Arial Narrow" w:hAnsi="Arial Narrow"/>
                <w:sz w:val="20"/>
                <w:szCs w:val="20"/>
              </w:rPr>
              <w:t>sitagliptin</w:t>
            </w:r>
            <w:proofErr w:type="spellEnd"/>
            <w:r w:rsidRPr="00DB760B">
              <w:rPr>
                <w:rFonts w:ascii="Arial Narrow" w:hAnsi="Arial Narrow"/>
                <w:sz w:val="20"/>
                <w:szCs w:val="20"/>
              </w:rPr>
              <w:t xml:space="preserve"> (100 mg) is non-inferior to </w:t>
            </w:r>
            <w:proofErr w:type="spellStart"/>
            <w:r w:rsidRPr="00DB760B">
              <w:rPr>
                <w:rFonts w:ascii="Arial Narrow" w:hAnsi="Arial Narrow"/>
                <w:sz w:val="20"/>
                <w:szCs w:val="20"/>
              </w:rPr>
              <w:t>saxagliptin</w:t>
            </w:r>
            <w:proofErr w:type="spellEnd"/>
            <w:r w:rsidRPr="00DB760B">
              <w:rPr>
                <w:rFonts w:ascii="Arial Narrow" w:hAnsi="Arial Narrow"/>
                <w:sz w:val="20"/>
                <w:szCs w:val="20"/>
              </w:rPr>
              <w:t xml:space="preserve"> (5 mg) and </w:t>
            </w:r>
            <w:proofErr w:type="spellStart"/>
            <w:r w:rsidRPr="00DB760B">
              <w:rPr>
                <w:rFonts w:ascii="Arial Narrow" w:hAnsi="Arial Narrow"/>
                <w:sz w:val="20"/>
                <w:szCs w:val="20"/>
              </w:rPr>
              <w:t>linagliptin</w:t>
            </w:r>
            <w:proofErr w:type="spellEnd"/>
            <w:r w:rsidRPr="00DB760B">
              <w:rPr>
                <w:rFonts w:ascii="Arial Narrow" w:hAnsi="Arial Narrow"/>
                <w:sz w:val="20"/>
                <w:szCs w:val="20"/>
              </w:rPr>
              <w:t xml:space="preserve"> (5 mg).</w:t>
            </w:r>
          </w:p>
          <w:p w:rsidR="002F4A9A" w:rsidRPr="00DB760B" w:rsidRDefault="002F4A9A" w:rsidP="00BE489F">
            <w:pPr>
              <w:pStyle w:val="Tabletext"/>
            </w:pPr>
            <w:r w:rsidRPr="00DB760B">
              <w:t xml:space="preserve">For the </w:t>
            </w:r>
            <w:r w:rsidR="00BE489F" w:rsidRPr="00DB760B">
              <w:t>FDC</w:t>
            </w:r>
            <w:r w:rsidRPr="00DB760B">
              <w:t xml:space="preserve"> of </w:t>
            </w:r>
            <w:proofErr w:type="spellStart"/>
            <w:r w:rsidRPr="00DB760B">
              <w:t>ertugliflozin</w:t>
            </w:r>
            <w:proofErr w:type="spellEnd"/>
            <w:r w:rsidRPr="00DB760B">
              <w:t xml:space="preserve"> with </w:t>
            </w:r>
            <w:proofErr w:type="spellStart"/>
            <w:r w:rsidRPr="00DB760B">
              <w:t>sitagliptin</w:t>
            </w:r>
            <w:proofErr w:type="spellEnd"/>
            <w:r w:rsidRPr="00DB760B">
              <w:t xml:space="preserve">, there is bioequivalence compared with the individual components taken concurrently at corresponding doses. </w:t>
            </w:r>
          </w:p>
        </w:tc>
      </w:tr>
      <w:tr w:rsidR="00273997" w:rsidRPr="00DB760B" w:rsidTr="002F4A9A">
        <w:trPr>
          <w:cantSplit/>
        </w:trPr>
        <w:tc>
          <w:tcPr>
            <w:tcW w:w="1129" w:type="dxa"/>
            <w:shd w:val="clear" w:color="auto" w:fill="auto"/>
            <w:tcMar>
              <w:left w:w="28" w:type="dxa"/>
              <w:right w:w="28" w:type="dxa"/>
            </w:tcMar>
          </w:tcPr>
          <w:p w:rsidR="00273997" w:rsidRPr="00DB760B" w:rsidRDefault="00273997" w:rsidP="00174234">
            <w:pPr>
              <w:pStyle w:val="Tabletext"/>
            </w:pPr>
            <w:r w:rsidRPr="00DB760B">
              <w:t>Economic analysis</w:t>
            </w:r>
          </w:p>
        </w:tc>
        <w:tc>
          <w:tcPr>
            <w:tcW w:w="8051" w:type="dxa"/>
            <w:shd w:val="clear" w:color="auto" w:fill="auto"/>
            <w:tcMar>
              <w:left w:w="28" w:type="dxa"/>
              <w:right w:w="28" w:type="dxa"/>
            </w:tcMar>
            <w:vAlign w:val="center"/>
          </w:tcPr>
          <w:p w:rsidR="00273997" w:rsidRPr="00DB760B" w:rsidRDefault="00273997" w:rsidP="00174234">
            <w:pPr>
              <w:keepNext/>
              <w:jc w:val="left"/>
              <w:rPr>
                <w:rFonts w:ascii="Arial Narrow" w:hAnsi="Arial Narrow"/>
                <w:sz w:val="20"/>
                <w:szCs w:val="20"/>
              </w:rPr>
            </w:pPr>
            <w:r w:rsidRPr="00DB760B">
              <w:rPr>
                <w:rFonts w:ascii="Arial Narrow" w:hAnsi="Arial Narrow"/>
                <w:sz w:val="20"/>
                <w:szCs w:val="20"/>
              </w:rPr>
              <w:t>Cost-minimisation analysis versus the comparator FDC products</w:t>
            </w:r>
            <w:r w:rsidR="00174234" w:rsidRPr="00DB760B">
              <w:rPr>
                <w:rFonts w:ascii="Arial Narrow" w:hAnsi="Arial Narrow"/>
                <w:sz w:val="20"/>
                <w:szCs w:val="20"/>
              </w:rPr>
              <w:t xml:space="preserve">, </w:t>
            </w:r>
            <w:proofErr w:type="spellStart"/>
            <w:r w:rsidR="00174234" w:rsidRPr="00DB760B">
              <w:rPr>
                <w:rFonts w:ascii="Arial Narrow" w:hAnsi="Arial Narrow"/>
                <w:sz w:val="20"/>
                <w:szCs w:val="20"/>
              </w:rPr>
              <w:t>dapagliflozin</w:t>
            </w:r>
            <w:proofErr w:type="spellEnd"/>
            <w:r w:rsidR="00174234" w:rsidRPr="00DB760B">
              <w:rPr>
                <w:rFonts w:ascii="Arial Narrow" w:hAnsi="Arial Narrow"/>
                <w:sz w:val="20"/>
                <w:szCs w:val="20"/>
              </w:rPr>
              <w:t xml:space="preserve"> 10 mg with </w:t>
            </w:r>
            <w:proofErr w:type="spellStart"/>
            <w:r w:rsidR="00174234" w:rsidRPr="00DB760B">
              <w:rPr>
                <w:rFonts w:ascii="Arial Narrow" w:hAnsi="Arial Narrow"/>
                <w:sz w:val="20"/>
                <w:szCs w:val="20"/>
              </w:rPr>
              <w:t>saxagliptin</w:t>
            </w:r>
            <w:proofErr w:type="spellEnd"/>
            <w:r w:rsidR="00174234" w:rsidRPr="00DB760B">
              <w:rPr>
                <w:rFonts w:ascii="Arial Narrow" w:hAnsi="Arial Narrow"/>
                <w:sz w:val="20"/>
                <w:szCs w:val="20"/>
              </w:rPr>
              <w:t xml:space="preserve"> 5 mg and </w:t>
            </w:r>
            <w:proofErr w:type="spellStart"/>
            <w:r w:rsidR="00174234" w:rsidRPr="00DB760B">
              <w:rPr>
                <w:rFonts w:ascii="Arial Narrow" w:hAnsi="Arial Narrow"/>
                <w:sz w:val="20"/>
                <w:szCs w:val="20"/>
              </w:rPr>
              <w:t>empagliflozin</w:t>
            </w:r>
            <w:proofErr w:type="spellEnd"/>
            <w:r w:rsidR="00174234" w:rsidRPr="00DB760B">
              <w:rPr>
                <w:rFonts w:ascii="Arial Narrow" w:hAnsi="Arial Narrow"/>
                <w:sz w:val="20"/>
                <w:szCs w:val="20"/>
              </w:rPr>
              <w:t xml:space="preserve"> 10 mg or 25 mg with </w:t>
            </w:r>
            <w:proofErr w:type="spellStart"/>
            <w:r w:rsidR="00174234" w:rsidRPr="00DB760B">
              <w:rPr>
                <w:rFonts w:ascii="Arial Narrow" w:hAnsi="Arial Narrow"/>
                <w:sz w:val="20"/>
                <w:szCs w:val="20"/>
              </w:rPr>
              <w:t>linagliptin</w:t>
            </w:r>
            <w:proofErr w:type="spellEnd"/>
            <w:r w:rsidR="00174234" w:rsidRPr="00DB760B">
              <w:rPr>
                <w:rFonts w:ascii="Arial Narrow" w:hAnsi="Arial Narrow"/>
                <w:sz w:val="20"/>
                <w:szCs w:val="20"/>
              </w:rPr>
              <w:t xml:space="preserve"> 5 mg.</w:t>
            </w:r>
          </w:p>
        </w:tc>
      </w:tr>
    </w:tbl>
    <w:p w:rsidR="008B1757" w:rsidRPr="00DB760B" w:rsidRDefault="008B1757" w:rsidP="008B1757">
      <w:pPr>
        <w:pStyle w:val="TableFooter"/>
      </w:pPr>
      <w:r w:rsidRPr="00DB760B">
        <w:t xml:space="preserve">Source: </w:t>
      </w:r>
      <w:r w:rsidR="002F4A9A" w:rsidRPr="00DB760B">
        <w:t>Table 1-1, Section 1.1.1 of the submission</w:t>
      </w:r>
    </w:p>
    <w:p w:rsidR="004E43B2" w:rsidRPr="001B3286" w:rsidRDefault="002F4A9A" w:rsidP="001B3286">
      <w:pPr>
        <w:pStyle w:val="TableFooter"/>
        <w:rPr>
          <w:sz w:val="20"/>
        </w:rPr>
      </w:pPr>
      <w:r w:rsidRPr="00DB760B">
        <w:t xml:space="preserve">DPP4 = dipeptidyl peptidase-4; </w:t>
      </w:r>
      <w:r w:rsidR="00BE489F" w:rsidRPr="00DB760B">
        <w:t xml:space="preserve">FDC = fixed dose combination; FPG = fasting plasma glucose; </w:t>
      </w:r>
      <w:r w:rsidRPr="00DB760B">
        <w:t>HbA</w:t>
      </w:r>
      <w:r w:rsidRPr="00DB760B">
        <w:rPr>
          <w:vertAlign w:val="subscript"/>
        </w:rPr>
        <w:t>1c</w:t>
      </w:r>
      <w:r w:rsidRPr="00DB760B">
        <w:t xml:space="preserve"> = glycated haemoglobin; SGLT2 = sodium-glucose co-transporter-2; T2DM = Type 2 diabetes mellitus</w:t>
      </w:r>
    </w:p>
    <w:p w:rsidR="003A4C25" w:rsidRPr="00DB760B" w:rsidRDefault="00B50DB8" w:rsidP="003A4C25">
      <w:pPr>
        <w:pStyle w:val="PBACHeading1"/>
        <w:spacing w:before="240" w:after="120"/>
        <w:outlineLvl w:val="0"/>
      </w:pPr>
      <w:bookmarkStart w:id="1" w:name="_Toc514244706"/>
      <w:r w:rsidRPr="00DB760B">
        <w:t>Requested listing</w:t>
      </w:r>
      <w:bookmarkEnd w:id="1"/>
    </w:p>
    <w:p w:rsidR="00B8714D" w:rsidRPr="00DB760B" w:rsidRDefault="00C010D9" w:rsidP="00050ADD">
      <w:pPr>
        <w:pStyle w:val="ListParagraph"/>
        <w:widowControl/>
        <w:numPr>
          <w:ilvl w:val="1"/>
          <w:numId w:val="1"/>
        </w:numPr>
      </w:pPr>
      <w:r w:rsidRPr="00DB760B">
        <w:t xml:space="preserve">The requested PBS listing for </w:t>
      </w:r>
      <w:proofErr w:type="spellStart"/>
      <w:r w:rsidRPr="00DB760B">
        <w:t>ertugliflozin</w:t>
      </w:r>
      <w:proofErr w:type="spellEnd"/>
      <w:r w:rsidRPr="00DB760B">
        <w:t xml:space="preserve"> with </w:t>
      </w:r>
      <w:proofErr w:type="spellStart"/>
      <w:r w:rsidRPr="00DB760B">
        <w:t>sitagliptin</w:t>
      </w:r>
      <w:proofErr w:type="spellEnd"/>
      <w:r w:rsidRPr="00DB760B">
        <w:t xml:space="preserve"> </w:t>
      </w:r>
      <w:r w:rsidR="008C09B4" w:rsidRPr="00DB760B">
        <w:t>FDC</w:t>
      </w:r>
      <w:r w:rsidRPr="00DB760B">
        <w:t xml:space="preserve"> products is presented below. </w:t>
      </w:r>
      <w:r w:rsidR="00B8714D" w:rsidRPr="00DB760B">
        <w:t xml:space="preserve">Following the PBS listing of the </w:t>
      </w:r>
      <w:proofErr w:type="spellStart"/>
      <w:r w:rsidR="00B8714D" w:rsidRPr="00DB760B">
        <w:t>dapagliflozin</w:t>
      </w:r>
      <w:proofErr w:type="spellEnd"/>
      <w:r w:rsidR="00B8714D" w:rsidRPr="00DB760B">
        <w:t xml:space="preserve"> with </w:t>
      </w:r>
      <w:proofErr w:type="spellStart"/>
      <w:r w:rsidR="00B8714D" w:rsidRPr="00DB760B">
        <w:t>saxagliptin</w:t>
      </w:r>
      <w:proofErr w:type="spellEnd"/>
      <w:r w:rsidR="00B8714D" w:rsidRPr="00DB760B">
        <w:t xml:space="preserve"> and </w:t>
      </w:r>
      <w:proofErr w:type="spellStart"/>
      <w:r w:rsidR="00B8714D" w:rsidRPr="00DB760B">
        <w:t>empagliflozin</w:t>
      </w:r>
      <w:proofErr w:type="spellEnd"/>
      <w:r w:rsidR="00B8714D" w:rsidRPr="00DB760B">
        <w:t xml:space="preserve"> with </w:t>
      </w:r>
      <w:proofErr w:type="spellStart"/>
      <w:r w:rsidR="00B8714D" w:rsidRPr="00DB760B">
        <w:t>linagliptin</w:t>
      </w:r>
      <w:proofErr w:type="spellEnd"/>
      <w:r w:rsidR="00B8714D" w:rsidRPr="00DB760B">
        <w:t xml:space="preserve"> FDC products </w:t>
      </w:r>
      <w:r w:rsidR="009038F6" w:rsidRPr="00DB760B">
        <w:t>o</w:t>
      </w:r>
      <w:r w:rsidR="00B8714D" w:rsidRPr="00DB760B">
        <w:t>n</w:t>
      </w:r>
      <w:r w:rsidR="009038F6" w:rsidRPr="00DB760B">
        <w:t xml:space="preserve"> 1</w:t>
      </w:r>
      <w:r w:rsidR="00B8714D" w:rsidRPr="00DB760B">
        <w:t xml:space="preserve"> April 2018, the</w:t>
      </w:r>
      <w:r w:rsidR="00776515" w:rsidRPr="00DB760B">
        <w:t xml:space="preserve"> </w:t>
      </w:r>
      <w:r w:rsidR="00B8714D" w:rsidRPr="00DB760B">
        <w:t>P</w:t>
      </w:r>
      <w:r w:rsidR="00776515" w:rsidRPr="00DB760B">
        <w:t>re-PBAC response</w:t>
      </w:r>
      <w:r w:rsidR="00B8714D" w:rsidRPr="00DB760B">
        <w:t xml:space="preserve"> </w:t>
      </w:r>
      <w:r w:rsidR="00B8714D" w:rsidRPr="00DB760B">
        <w:lastRenderedPageBreak/>
        <w:t>requeste</w:t>
      </w:r>
      <w:r w:rsidR="00FB7212" w:rsidRPr="00DB760B">
        <w:t>d the same restriction wording</w:t>
      </w:r>
      <w:r w:rsidR="0068139E" w:rsidRPr="00DB760B">
        <w:t xml:space="preserve"> and dispensed price for the maximum quantity (DPMQ)</w:t>
      </w:r>
      <w:r w:rsidR="00FB7212" w:rsidRPr="00DB760B">
        <w:t>.</w:t>
      </w:r>
      <w:r w:rsidR="00F8353B" w:rsidRPr="00DB760B">
        <w:t xml:space="preserve"> </w:t>
      </w:r>
    </w:p>
    <w:p w:rsidR="008327B8" w:rsidRPr="00DB760B" w:rsidRDefault="00C24719" w:rsidP="00050ADD">
      <w:pPr>
        <w:pStyle w:val="ListParagraph"/>
        <w:widowControl/>
        <w:numPr>
          <w:ilvl w:val="1"/>
          <w:numId w:val="1"/>
        </w:numPr>
      </w:pPr>
      <w:r w:rsidRPr="00DB760B">
        <w:t>As per the PBS listing</w:t>
      </w:r>
      <w:r w:rsidR="008327B8" w:rsidRPr="00DB760B">
        <w:t>s</w:t>
      </w:r>
      <w:r w:rsidRPr="00DB760B">
        <w:t xml:space="preserve"> of </w:t>
      </w:r>
      <w:proofErr w:type="spellStart"/>
      <w:r w:rsidRPr="00DB760B">
        <w:t>dapagliflozin</w:t>
      </w:r>
      <w:proofErr w:type="spellEnd"/>
      <w:r w:rsidR="008327B8" w:rsidRPr="00DB760B">
        <w:t xml:space="preserve"> and </w:t>
      </w:r>
      <w:proofErr w:type="spellStart"/>
      <w:r w:rsidR="008327B8" w:rsidRPr="00DB760B">
        <w:t>saxagliptin</w:t>
      </w:r>
      <w:proofErr w:type="spellEnd"/>
      <w:r w:rsidR="008327B8" w:rsidRPr="00DB760B">
        <w:t xml:space="preserve"> and </w:t>
      </w:r>
      <w:proofErr w:type="spellStart"/>
      <w:r w:rsidRPr="00DB760B">
        <w:t>empagliflozin</w:t>
      </w:r>
      <w:proofErr w:type="spellEnd"/>
      <w:r w:rsidR="008327B8" w:rsidRPr="00DB760B">
        <w:t xml:space="preserve"> and </w:t>
      </w:r>
      <w:proofErr w:type="spellStart"/>
      <w:r w:rsidR="008327B8" w:rsidRPr="00DB760B">
        <w:t>linagliptin</w:t>
      </w:r>
      <w:proofErr w:type="spellEnd"/>
      <w:r w:rsidRPr="00DB760B">
        <w:t xml:space="preserve"> on 1 April 2018 for use as triple oral therap</w:t>
      </w:r>
      <w:r w:rsidR="008327B8" w:rsidRPr="00DB760B">
        <w:t>ies in combination with metformin</w:t>
      </w:r>
      <w:r w:rsidRPr="00DB760B">
        <w:t>, the Pre-PBAC response requested that</w:t>
      </w:r>
      <w:r w:rsidR="008327B8" w:rsidRPr="00DB760B">
        <w:t>:</w:t>
      </w:r>
      <w:r w:rsidRPr="00DB760B">
        <w:t xml:space="preserve"> </w:t>
      </w:r>
    </w:p>
    <w:p w:rsidR="008327B8" w:rsidRPr="00DB760B" w:rsidRDefault="00C24719" w:rsidP="008327B8">
      <w:pPr>
        <w:pStyle w:val="ListParagraph"/>
        <w:widowControl/>
        <w:numPr>
          <w:ilvl w:val="1"/>
          <w:numId w:val="20"/>
        </w:numPr>
        <w:ind w:left="1077" w:hanging="357"/>
      </w:pPr>
      <w:proofErr w:type="gramStart"/>
      <w:r w:rsidRPr="00DB760B">
        <w:t>the</w:t>
      </w:r>
      <w:proofErr w:type="gramEnd"/>
      <w:r w:rsidRPr="00DB760B">
        <w:t xml:space="preserve"> note precluding use with a DPP4 inhibitor be deleted from the </w:t>
      </w:r>
      <w:r w:rsidR="008327B8" w:rsidRPr="00DB760B">
        <w:t xml:space="preserve">PBS restrictions for </w:t>
      </w:r>
      <w:proofErr w:type="spellStart"/>
      <w:r w:rsidRPr="00DB760B">
        <w:t>ertugliflozin</w:t>
      </w:r>
      <w:proofErr w:type="spellEnd"/>
      <w:r w:rsidRPr="00DB760B">
        <w:t xml:space="preserve"> and </w:t>
      </w:r>
      <w:proofErr w:type="spellStart"/>
      <w:r w:rsidRPr="00DB760B">
        <w:t>ertugliflozin</w:t>
      </w:r>
      <w:proofErr w:type="spellEnd"/>
      <w:r w:rsidRPr="00DB760B">
        <w:t xml:space="preserve"> with metformin </w:t>
      </w:r>
      <w:r w:rsidR="008327B8" w:rsidRPr="00DB760B">
        <w:t xml:space="preserve">FDC </w:t>
      </w:r>
      <w:r w:rsidRPr="00DB760B">
        <w:t xml:space="preserve">products. This amendment was </w:t>
      </w:r>
      <w:r w:rsidR="008327B8" w:rsidRPr="00DB760B">
        <w:t xml:space="preserve">also requested </w:t>
      </w:r>
      <w:r w:rsidRPr="00DB760B">
        <w:t xml:space="preserve">in </w:t>
      </w:r>
      <w:r w:rsidR="008327B8" w:rsidRPr="00DB760B">
        <w:t xml:space="preserve">the </w:t>
      </w:r>
      <w:r w:rsidR="00150DB9" w:rsidRPr="00DB760B">
        <w:t xml:space="preserve">July 2018 </w:t>
      </w:r>
      <w:r w:rsidR="008327B8" w:rsidRPr="00DB760B">
        <w:t xml:space="preserve">minor </w:t>
      </w:r>
      <w:r w:rsidR="00150DB9" w:rsidRPr="00DB760B">
        <w:t>re</w:t>
      </w:r>
      <w:r w:rsidR="008327B8" w:rsidRPr="00DB760B">
        <w:t xml:space="preserve">submission for </w:t>
      </w:r>
      <w:proofErr w:type="spellStart"/>
      <w:r w:rsidR="008327B8" w:rsidRPr="00DB760B">
        <w:t>ertugliflozin</w:t>
      </w:r>
      <w:proofErr w:type="spellEnd"/>
      <w:r w:rsidR="008327B8" w:rsidRPr="00DB760B">
        <w:t xml:space="preserve"> 15 mg and </w:t>
      </w:r>
      <w:proofErr w:type="spellStart"/>
      <w:r w:rsidR="008327B8" w:rsidRPr="00DB760B">
        <w:t>ertugliflozin</w:t>
      </w:r>
      <w:proofErr w:type="spellEnd"/>
      <w:r w:rsidR="008327B8" w:rsidRPr="00DB760B">
        <w:t xml:space="preserve"> with metformin 7.5 mg/500 mg and 7.5 mg/</w:t>
      </w:r>
      <w:r w:rsidR="005A344A" w:rsidRPr="00DB760B">
        <w:br/>
      </w:r>
      <w:r w:rsidR="008327B8" w:rsidRPr="00DB760B">
        <w:t>1 g; and</w:t>
      </w:r>
    </w:p>
    <w:p w:rsidR="00DE6E05" w:rsidRDefault="008327B8" w:rsidP="00150DB9">
      <w:pPr>
        <w:pStyle w:val="ListParagraph"/>
        <w:widowControl/>
        <w:numPr>
          <w:ilvl w:val="1"/>
          <w:numId w:val="20"/>
        </w:numPr>
        <w:ind w:left="1077" w:hanging="357"/>
      </w:pPr>
      <w:proofErr w:type="gramStart"/>
      <w:r w:rsidRPr="00DB760B">
        <w:t>the</w:t>
      </w:r>
      <w:proofErr w:type="gramEnd"/>
      <w:r w:rsidRPr="00DB760B">
        <w:t xml:space="preserve"> note precluding use with a SGLT2 inhibitor be deleted from the PBS restrictions for </w:t>
      </w:r>
      <w:proofErr w:type="spellStart"/>
      <w:r w:rsidRPr="00DB760B">
        <w:t>sitagliptin</w:t>
      </w:r>
      <w:proofErr w:type="spellEnd"/>
      <w:r w:rsidRPr="00DB760B">
        <w:t xml:space="preserve"> and </w:t>
      </w:r>
      <w:proofErr w:type="spellStart"/>
      <w:r w:rsidRPr="00DB760B">
        <w:t>sitagliptin</w:t>
      </w:r>
      <w:proofErr w:type="spellEnd"/>
      <w:r w:rsidRPr="00DB760B">
        <w:t xml:space="preserve"> with metformin FDC products.</w:t>
      </w:r>
    </w:p>
    <w:p w:rsidR="001B3286" w:rsidRPr="00DB760B" w:rsidRDefault="001B3286" w:rsidP="001B3286">
      <w:pPr>
        <w:pStyle w:val="ListParagraph"/>
        <w:widowControl/>
        <w:ind w:left="1077"/>
      </w:pPr>
    </w:p>
    <w:tbl>
      <w:tblPr>
        <w:tblW w:w="4977" w:type="pct"/>
        <w:tblInd w:w="28" w:type="dxa"/>
        <w:tblCellMar>
          <w:left w:w="28" w:type="dxa"/>
          <w:right w:w="28" w:type="dxa"/>
        </w:tblCellMar>
        <w:tblLook w:val="0000" w:firstRow="0" w:lastRow="0" w:firstColumn="0" w:lastColumn="0" w:noHBand="0" w:noVBand="0"/>
      </w:tblPr>
      <w:tblGrid>
        <w:gridCol w:w="2247"/>
        <w:gridCol w:w="1579"/>
        <w:gridCol w:w="993"/>
        <w:gridCol w:w="709"/>
        <w:gridCol w:w="1009"/>
        <w:gridCol w:w="1141"/>
        <w:gridCol w:w="1363"/>
      </w:tblGrid>
      <w:tr w:rsidR="0068139E" w:rsidRPr="00DB760B" w:rsidTr="001B3286">
        <w:trPr>
          <w:trHeight w:val="463"/>
        </w:trPr>
        <w:tc>
          <w:tcPr>
            <w:tcW w:w="2116" w:type="pct"/>
            <w:gridSpan w:val="2"/>
            <w:tcBorders>
              <w:bottom w:val="single" w:sz="4" w:space="0" w:color="auto"/>
            </w:tcBorders>
            <w:vAlign w:val="center"/>
          </w:tcPr>
          <w:p w:rsidR="00617E12" w:rsidRPr="00DB760B" w:rsidRDefault="00617E12" w:rsidP="001B3286">
            <w:pPr>
              <w:jc w:val="left"/>
              <w:rPr>
                <w:rFonts w:ascii="Arial Narrow" w:hAnsi="Arial Narrow"/>
                <w:b/>
                <w:sz w:val="20"/>
              </w:rPr>
            </w:pPr>
            <w:r w:rsidRPr="00DB760B">
              <w:rPr>
                <w:rFonts w:ascii="Arial Narrow" w:hAnsi="Arial Narrow"/>
                <w:b/>
                <w:sz w:val="20"/>
              </w:rPr>
              <w:t>Name, Restriction,</w:t>
            </w:r>
          </w:p>
          <w:p w:rsidR="00617E12" w:rsidRPr="00DB760B" w:rsidRDefault="00617E12" w:rsidP="001B3286">
            <w:pPr>
              <w:jc w:val="left"/>
              <w:rPr>
                <w:rFonts w:ascii="Arial Narrow" w:hAnsi="Arial Narrow"/>
                <w:b/>
                <w:sz w:val="20"/>
              </w:rPr>
            </w:pPr>
            <w:r w:rsidRPr="00DB760B">
              <w:rPr>
                <w:rFonts w:ascii="Arial Narrow" w:hAnsi="Arial Narrow"/>
                <w:b/>
                <w:sz w:val="20"/>
              </w:rPr>
              <w:t>Manner of administration and form</w:t>
            </w:r>
          </w:p>
        </w:tc>
        <w:tc>
          <w:tcPr>
            <w:tcW w:w="549" w:type="pct"/>
            <w:tcBorders>
              <w:bottom w:val="single" w:sz="4" w:space="0" w:color="auto"/>
            </w:tcBorders>
            <w:vAlign w:val="center"/>
          </w:tcPr>
          <w:p w:rsidR="00617E12" w:rsidRPr="00DB760B" w:rsidRDefault="00617E12" w:rsidP="001B3286">
            <w:pPr>
              <w:jc w:val="center"/>
              <w:rPr>
                <w:rFonts w:ascii="Arial Narrow" w:hAnsi="Arial Narrow"/>
                <w:b/>
                <w:sz w:val="20"/>
              </w:rPr>
            </w:pPr>
            <w:r w:rsidRPr="00DB760B">
              <w:rPr>
                <w:rFonts w:ascii="Arial Narrow" w:hAnsi="Arial Narrow"/>
                <w:b/>
                <w:sz w:val="20"/>
              </w:rPr>
              <w:t>Max.</w:t>
            </w:r>
            <w:r w:rsidR="0068139E" w:rsidRPr="00DB760B">
              <w:rPr>
                <w:rFonts w:ascii="Arial Narrow" w:hAnsi="Arial Narrow"/>
                <w:b/>
                <w:sz w:val="20"/>
              </w:rPr>
              <w:t xml:space="preserve"> </w:t>
            </w:r>
            <w:proofErr w:type="spellStart"/>
            <w:r w:rsidR="009D7652" w:rsidRPr="00DB760B">
              <w:rPr>
                <w:rFonts w:ascii="Arial Narrow" w:hAnsi="Arial Narrow"/>
                <w:b/>
                <w:sz w:val="20"/>
              </w:rPr>
              <w:t>q</w:t>
            </w:r>
            <w:r w:rsidRPr="00DB760B">
              <w:rPr>
                <w:rFonts w:ascii="Arial Narrow" w:hAnsi="Arial Narrow"/>
                <w:b/>
                <w:sz w:val="20"/>
              </w:rPr>
              <w:t>ty</w:t>
            </w:r>
            <w:proofErr w:type="spellEnd"/>
            <w:r w:rsidR="009D7652" w:rsidRPr="00DB760B">
              <w:rPr>
                <w:rFonts w:ascii="Arial Narrow" w:hAnsi="Arial Narrow"/>
                <w:b/>
                <w:sz w:val="20"/>
              </w:rPr>
              <w:t xml:space="preserve"> packs</w:t>
            </w:r>
            <w:r w:rsidR="00591957" w:rsidRPr="00DB760B">
              <w:rPr>
                <w:rFonts w:ascii="Arial Narrow" w:hAnsi="Arial Narrow"/>
                <w:b/>
                <w:sz w:val="20"/>
              </w:rPr>
              <w:t xml:space="preserve"> </w:t>
            </w:r>
          </w:p>
        </w:tc>
        <w:tc>
          <w:tcPr>
            <w:tcW w:w="392" w:type="pct"/>
            <w:tcBorders>
              <w:bottom w:val="single" w:sz="4" w:space="0" w:color="auto"/>
            </w:tcBorders>
            <w:vAlign w:val="center"/>
          </w:tcPr>
          <w:p w:rsidR="00617E12" w:rsidRPr="00DB760B" w:rsidRDefault="00617E12" w:rsidP="001B3286">
            <w:pPr>
              <w:jc w:val="center"/>
              <w:rPr>
                <w:rFonts w:ascii="Arial Narrow" w:hAnsi="Arial Narrow"/>
                <w:b/>
                <w:sz w:val="20"/>
              </w:rPr>
            </w:pPr>
            <w:r w:rsidRPr="00DB760B">
              <w:rPr>
                <w:rFonts w:ascii="Arial Narrow" w:hAnsi="Arial Narrow" w:cs="Times New Roman"/>
                <w:b/>
                <w:sz w:val="20"/>
              </w:rPr>
              <w:t>№</w:t>
            </w:r>
            <w:r w:rsidRPr="00DB760B">
              <w:rPr>
                <w:rFonts w:ascii="Arial Narrow" w:hAnsi="Arial Narrow"/>
                <w:b/>
                <w:sz w:val="20"/>
              </w:rPr>
              <w:t>.of</w:t>
            </w:r>
          </w:p>
          <w:p w:rsidR="00617E12" w:rsidRPr="00DB760B" w:rsidRDefault="00617E12" w:rsidP="001B3286">
            <w:pPr>
              <w:jc w:val="center"/>
              <w:rPr>
                <w:rFonts w:ascii="Arial Narrow" w:hAnsi="Arial Narrow"/>
                <w:b/>
                <w:sz w:val="20"/>
              </w:rPr>
            </w:pPr>
            <w:r w:rsidRPr="00DB760B">
              <w:rPr>
                <w:rFonts w:ascii="Arial Narrow" w:hAnsi="Arial Narrow"/>
                <w:b/>
                <w:sz w:val="20"/>
              </w:rPr>
              <w:t>Rpts</w:t>
            </w:r>
          </w:p>
        </w:tc>
        <w:tc>
          <w:tcPr>
            <w:tcW w:w="558" w:type="pct"/>
            <w:tcBorders>
              <w:bottom w:val="single" w:sz="4" w:space="0" w:color="auto"/>
            </w:tcBorders>
            <w:vAlign w:val="center"/>
          </w:tcPr>
          <w:p w:rsidR="00617E12" w:rsidRPr="00DB760B" w:rsidRDefault="0068139E" w:rsidP="001B3286">
            <w:pPr>
              <w:jc w:val="center"/>
              <w:rPr>
                <w:rFonts w:ascii="Arial Narrow" w:hAnsi="Arial Narrow"/>
                <w:b/>
                <w:sz w:val="20"/>
              </w:rPr>
            </w:pPr>
            <w:r w:rsidRPr="00DB760B">
              <w:rPr>
                <w:rFonts w:ascii="Arial Narrow" w:hAnsi="Arial Narrow"/>
                <w:b/>
                <w:sz w:val="20"/>
              </w:rPr>
              <w:t>DPMQ</w:t>
            </w:r>
            <w:r w:rsidR="00C010D9" w:rsidRPr="00DB760B">
              <w:rPr>
                <w:rFonts w:ascii="Arial Narrow" w:hAnsi="Arial Narrow"/>
                <w:b/>
                <w:sz w:val="20"/>
              </w:rPr>
              <w:t xml:space="preserve"> </w:t>
            </w:r>
          </w:p>
        </w:tc>
        <w:tc>
          <w:tcPr>
            <w:tcW w:w="1384" w:type="pct"/>
            <w:gridSpan w:val="2"/>
            <w:tcBorders>
              <w:bottom w:val="single" w:sz="4" w:space="0" w:color="auto"/>
            </w:tcBorders>
            <w:vAlign w:val="center"/>
          </w:tcPr>
          <w:p w:rsidR="00617E12" w:rsidRPr="00DB760B" w:rsidRDefault="00617E12" w:rsidP="001B3286">
            <w:pPr>
              <w:jc w:val="left"/>
              <w:rPr>
                <w:rFonts w:ascii="Arial Narrow" w:hAnsi="Arial Narrow"/>
                <w:b/>
                <w:sz w:val="20"/>
              </w:rPr>
            </w:pPr>
            <w:r w:rsidRPr="00DB760B">
              <w:rPr>
                <w:rFonts w:ascii="Arial Narrow" w:hAnsi="Arial Narrow"/>
                <w:b/>
                <w:sz w:val="20"/>
              </w:rPr>
              <w:t>Proprietary Name and Manufacturer</w:t>
            </w:r>
          </w:p>
        </w:tc>
      </w:tr>
      <w:tr w:rsidR="0068139E" w:rsidRPr="00DB760B" w:rsidTr="001B3286">
        <w:trPr>
          <w:trHeight w:val="567"/>
        </w:trPr>
        <w:tc>
          <w:tcPr>
            <w:tcW w:w="2116" w:type="pct"/>
            <w:gridSpan w:val="2"/>
            <w:vAlign w:val="center"/>
          </w:tcPr>
          <w:p w:rsidR="00617E12" w:rsidRPr="00DB760B" w:rsidRDefault="00C010D9" w:rsidP="001B3286">
            <w:pPr>
              <w:jc w:val="left"/>
              <w:rPr>
                <w:rFonts w:ascii="Arial Narrow" w:hAnsi="Arial Narrow"/>
                <w:sz w:val="20"/>
              </w:rPr>
            </w:pPr>
            <w:proofErr w:type="spellStart"/>
            <w:r w:rsidRPr="00DB760B">
              <w:rPr>
                <w:rFonts w:ascii="Arial Narrow" w:hAnsi="Arial Narrow"/>
                <w:smallCaps/>
                <w:sz w:val="20"/>
              </w:rPr>
              <w:t>Ertugliflozin</w:t>
            </w:r>
            <w:proofErr w:type="spellEnd"/>
            <w:r w:rsidRPr="00DB760B">
              <w:rPr>
                <w:rFonts w:ascii="Arial Narrow" w:hAnsi="Arial Narrow"/>
                <w:smallCaps/>
                <w:sz w:val="20"/>
              </w:rPr>
              <w:t xml:space="preserve"> with </w:t>
            </w:r>
            <w:proofErr w:type="spellStart"/>
            <w:r w:rsidRPr="00DB760B">
              <w:rPr>
                <w:rFonts w:ascii="Arial Narrow" w:hAnsi="Arial Narrow"/>
                <w:smallCaps/>
                <w:sz w:val="20"/>
              </w:rPr>
              <w:t>Sitagliptin</w:t>
            </w:r>
            <w:proofErr w:type="spellEnd"/>
          </w:p>
          <w:p w:rsidR="00617E12" w:rsidRPr="00DB760B" w:rsidRDefault="009D7652" w:rsidP="001B3286">
            <w:pPr>
              <w:jc w:val="left"/>
              <w:rPr>
                <w:rFonts w:ascii="Arial Narrow" w:hAnsi="Arial Narrow"/>
                <w:sz w:val="20"/>
              </w:rPr>
            </w:pPr>
            <w:proofErr w:type="spellStart"/>
            <w:r w:rsidRPr="00DB760B">
              <w:rPr>
                <w:rFonts w:ascii="Arial Narrow" w:hAnsi="Arial Narrow"/>
                <w:sz w:val="20"/>
              </w:rPr>
              <w:t>ertugliflozin</w:t>
            </w:r>
            <w:proofErr w:type="spellEnd"/>
            <w:r w:rsidR="00C010D9" w:rsidRPr="00DB760B">
              <w:rPr>
                <w:rFonts w:ascii="Arial Narrow" w:hAnsi="Arial Narrow"/>
                <w:sz w:val="20"/>
              </w:rPr>
              <w:t xml:space="preserve"> 5 mg</w:t>
            </w:r>
            <w:r w:rsidRPr="00DB760B">
              <w:rPr>
                <w:rFonts w:ascii="Arial Narrow" w:hAnsi="Arial Narrow"/>
                <w:sz w:val="20"/>
              </w:rPr>
              <w:t xml:space="preserve"> + </w:t>
            </w:r>
            <w:proofErr w:type="spellStart"/>
            <w:r w:rsidRPr="00DB760B">
              <w:rPr>
                <w:rFonts w:ascii="Arial Narrow" w:hAnsi="Arial Narrow"/>
                <w:sz w:val="20"/>
              </w:rPr>
              <w:t>sitagliptin</w:t>
            </w:r>
            <w:proofErr w:type="spellEnd"/>
            <w:r w:rsidRPr="00DB760B">
              <w:rPr>
                <w:rFonts w:ascii="Arial Narrow" w:hAnsi="Arial Narrow"/>
                <w:sz w:val="20"/>
              </w:rPr>
              <w:t xml:space="preserve"> </w:t>
            </w:r>
            <w:r w:rsidR="00C010D9" w:rsidRPr="00DB760B">
              <w:rPr>
                <w:rFonts w:ascii="Arial Narrow" w:hAnsi="Arial Narrow"/>
                <w:sz w:val="20"/>
              </w:rPr>
              <w:t>100 mg</w:t>
            </w:r>
            <w:r w:rsidRPr="00DB760B">
              <w:rPr>
                <w:rFonts w:ascii="Arial Narrow" w:hAnsi="Arial Narrow"/>
                <w:sz w:val="20"/>
              </w:rPr>
              <w:t xml:space="preserve"> tablet, 28</w:t>
            </w:r>
          </w:p>
          <w:p w:rsidR="00C010D9" w:rsidRPr="00DB760B" w:rsidRDefault="009D7652" w:rsidP="001B3286">
            <w:pPr>
              <w:jc w:val="left"/>
              <w:rPr>
                <w:rFonts w:ascii="Arial Narrow" w:hAnsi="Arial Narrow"/>
                <w:sz w:val="20"/>
              </w:rPr>
            </w:pPr>
            <w:proofErr w:type="spellStart"/>
            <w:r w:rsidRPr="00DB760B">
              <w:rPr>
                <w:rFonts w:ascii="Arial Narrow" w:hAnsi="Arial Narrow"/>
                <w:sz w:val="20"/>
              </w:rPr>
              <w:t>ertugliflozin</w:t>
            </w:r>
            <w:proofErr w:type="spellEnd"/>
            <w:r w:rsidRPr="00DB760B">
              <w:rPr>
                <w:rFonts w:ascii="Arial Narrow" w:hAnsi="Arial Narrow"/>
                <w:sz w:val="20"/>
              </w:rPr>
              <w:t xml:space="preserve"> </w:t>
            </w:r>
            <w:r w:rsidR="00C010D9" w:rsidRPr="00DB760B">
              <w:rPr>
                <w:rFonts w:ascii="Arial Narrow" w:hAnsi="Arial Narrow"/>
                <w:sz w:val="20"/>
              </w:rPr>
              <w:t>15 mg</w:t>
            </w:r>
            <w:r w:rsidRPr="00DB760B">
              <w:rPr>
                <w:rFonts w:ascii="Arial Narrow" w:hAnsi="Arial Narrow"/>
                <w:sz w:val="20"/>
              </w:rPr>
              <w:t xml:space="preserve"> + </w:t>
            </w:r>
            <w:proofErr w:type="spellStart"/>
            <w:r w:rsidRPr="00DB760B">
              <w:rPr>
                <w:rFonts w:ascii="Arial Narrow" w:hAnsi="Arial Narrow"/>
                <w:sz w:val="20"/>
              </w:rPr>
              <w:t>sitagliptin</w:t>
            </w:r>
            <w:proofErr w:type="spellEnd"/>
            <w:r w:rsidRPr="00DB760B">
              <w:rPr>
                <w:rFonts w:ascii="Arial Narrow" w:hAnsi="Arial Narrow"/>
                <w:sz w:val="20"/>
              </w:rPr>
              <w:t xml:space="preserve"> </w:t>
            </w:r>
            <w:r w:rsidR="00C010D9" w:rsidRPr="00DB760B">
              <w:rPr>
                <w:rFonts w:ascii="Arial Narrow" w:hAnsi="Arial Narrow"/>
                <w:sz w:val="20"/>
              </w:rPr>
              <w:t>100 mg</w:t>
            </w:r>
            <w:r w:rsidRPr="00DB760B">
              <w:rPr>
                <w:rFonts w:ascii="Arial Narrow" w:hAnsi="Arial Narrow"/>
                <w:sz w:val="20"/>
              </w:rPr>
              <w:t xml:space="preserve"> tablet, 28</w:t>
            </w:r>
          </w:p>
        </w:tc>
        <w:tc>
          <w:tcPr>
            <w:tcW w:w="549" w:type="pct"/>
            <w:vAlign w:val="center"/>
          </w:tcPr>
          <w:p w:rsidR="0068139E" w:rsidRPr="00DB760B" w:rsidRDefault="0068139E" w:rsidP="001B3286">
            <w:pPr>
              <w:jc w:val="center"/>
              <w:rPr>
                <w:rFonts w:ascii="Arial Narrow" w:hAnsi="Arial Narrow"/>
                <w:sz w:val="20"/>
              </w:rPr>
            </w:pPr>
          </w:p>
          <w:p w:rsidR="009D7652" w:rsidRPr="00DB760B" w:rsidRDefault="009D7652" w:rsidP="001B3286">
            <w:pPr>
              <w:jc w:val="center"/>
              <w:rPr>
                <w:rFonts w:ascii="Arial Narrow" w:hAnsi="Arial Narrow"/>
                <w:sz w:val="20"/>
              </w:rPr>
            </w:pPr>
            <w:r w:rsidRPr="00DB760B">
              <w:rPr>
                <w:rFonts w:ascii="Arial Narrow" w:hAnsi="Arial Narrow"/>
                <w:sz w:val="20"/>
              </w:rPr>
              <w:t>1</w:t>
            </w:r>
          </w:p>
          <w:p w:rsidR="00C010D9" w:rsidRPr="00DB760B" w:rsidRDefault="009D7652" w:rsidP="001B3286">
            <w:pPr>
              <w:jc w:val="center"/>
              <w:rPr>
                <w:rFonts w:ascii="Arial Narrow" w:hAnsi="Arial Narrow"/>
                <w:sz w:val="20"/>
              </w:rPr>
            </w:pPr>
            <w:r w:rsidRPr="00DB760B">
              <w:rPr>
                <w:rFonts w:ascii="Arial Narrow" w:hAnsi="Arial Narrow"/>
                <w:sz w:val="20"/>
              </w:rPr>
              <w:t>1</w:t>
            </w:r>
          </w:p>
        </w:tc>
        <w:tc>
          <w:tcPr>
            <w:tcW w:w="392" w:type="pct"/>
            <w:vAlign w:val="center"/>
          </w:tcPr>
          <w:p w:rsidR="0068139E" w:rsidRPr="00DB760B" w:rsidRDefault="0068139E" w:rsidP="001B3286">
            <w:pPr>
              <w:jc w:val="center"/>
              <w:rPr>
                <w:rFonts w:ascii="Arial Narrow" w:hAnsi="Arial Narrow"/>
                <w:sz w:val="20"/>
              </w:rPr>
            </w:pPr>
          </w:p>
          <w:p w:rsidR="00617E12" w:rsidRPr="00DB760B" w:rsidRDefault="00C010D9" w:rsidP="001B3286">
            <w:pPr>
              <w:jc w:val="center"/>
              <w:rPr>
                <w:rFonts w:ascii="Arial Narrow" w:hAnsi="Arial Narrow"/>
                <w:sz w:val="20"/>
              </w:rPr>
            </w:pPr>
            <w:r w:rsidRPr="00DB760B">
              <w:rPr>
                <w:rFonts w:ascii="Arial Narrow" w:hAnsi="Arial Narrow"/>
                <w:sz w:val="20"/>
              </w:rPr>
              <w:t>5</w:t>
            </w:r>
          </w:p>
          <w:p w:rsidR="00C010D9" w:rsidRPr="00DB760B" w:rsidRDefault="00C010D9" w:rsidP="001B3286">
            <w:pPr>
              <w:jc w:val="center"/>
              <w:rPr>
                <w:rFonts w:ascii="Arial Narrow" w:hAnsi="Arial Narrow"/>
                <w:sz w:val="20"/>
              </w:rPr>
            </w:pPr>
            <w:r w:rsidRPr="00DB760B">
              <w:rPr>
                <w:rFonts w:ascii="Arial Narrow" w:hAnsi="Arial Narrow"/>
                <w:sz w:val="20"/>
              </w:rPr>
              <w:t>5</w:t>
            </w:r>
          </w:p>
        </w:tc>
        <w:tc>
          <w:tcPr>
            <w:tcW w:w="558" w:type="pct"/>
            <w:vAlign w:val="center"/>
          </w:tcPr>
          <w:p w:rsidR="0068139E" w:rsidRPr="00DB760B" w:rsidRDefault="0068139E" w:rsidP="001B3286">
            <w:pPr>
              <w:jc w:val="center"/>
              <w:rPr>
                <w:rFonts w:ascii="Arial Narrow" w:hAnsi="Arial Narrow"/>
                <w:sz w:val="20"/>
              </w:rPr>
            </w:pPr>
          </w:p>
          <w:p w:rsidR="00617E12" w:rsidRPr="00DB760B" w:rsidRDefault="00C010D9" w:rsidP="001B3286">
            <w:pPr>
              <w:jc w:val="center"/>
              <w:rPr>
                <w:rFonts w:ascii="Arial Narrow" w:hAnsi="Arial Narrow"/>
                <w:sz w:val="20"/>
              </w:rPr>
            </w:pPr>
            <w:r w:rsidRPr="00DB760B">
              <w:rPr>
                <w:rFonts w:ascii="Arial Narrow" w:hAnsi="Arial Narrow"/>
                <w:sz w:val="20"/>
              </w:rPr>
              <w:t>$</w:t>
            </w:r>
            <w:r w:rsidR="008327B8" w:rsidRPr="00DB760B">
              <w:rPr>
                <w:rFonts w:ascii="Arial Narrow" w:hAnsi="Arial Narrow"/>
                <w:sz w:val="20"/>
              </w:rPr>
              <w:t>79.43</w:t>
            </w:r>
          </w:p>
          <w:p w:rsidR="00C010D9" w:rsidRPr="00DB760B" w:rsidRDefault="00C010D9" w:rsidP="001B3286">
            <w:pPr>
              <w:jc w:val="center"/>
              <w:rPr>
                <w:rFonts w:ascii="Arial Narrow" w:hAnsi="Arial Narrow"/>
                <w:sz w:val="20"/>
              </w:rPr>
            </w:pPr>
            <w:r w:rsidRPr="00DB760B">
              <w:rPr>
                <w:rFonts w:ascii="Arial Narrow" w:hAnsi="Arial Narrow"/>
                <w:sz w:val="20"/>
              </w:rPr>
              <w:t>$</w:t>
            </w:r>
            <w:r w:rsidR="008327B8" w:rsidRPr="00DB760B">
              <w:rPr>
                <w:rFonts w:ascii="Arial Narrow" w:hAnsi="Arial Narrow"/>
                <w:sz w:val="20"/>
              </w:rPr>
              <w:t>79.43</w:t>
            </w:r>
          </w:p>
        </w:tc>
        <w:tc>
          <w:tcPr>
            <w:tcW w:w="631" w:type="pct"/>
          </w:tcPr>
          <w:p w:rsidR="003A4C25" w:rsidRPr="00DB760B" w:rsidRDefault="003A4C25" w:rsidP="001B3286">
            <w:pPr>
              <w:jc w:val="left"/>
              <w:rPr>
                <w:rFonts w:ascii="Arial Narrow" w:hAnsi="Arial Narrow"/>
                <w:sz w:val="20"/>
              </w:rPr>
            </w:pPr>
          </w:p>
          <w:p w:rsidR="00617E12" w:rsidRPr="00DB760B" w:rsidRDefault="0068139E" w:rsidP="001B3286">
            <w:pPr>
              <w:jc w:val="left"/>
              <w:rPr>
                <w:rFonts w:ascii="Arial Narrow" w:hAnsi="Arial Narrow"/>
                <w:sz w:val="20"/>
              </w:rPr>
            </w:pPr>
            <w:proofErr w:type="spellStart"/>
            <w:r w:rsidRPr="00DB760B">
              <w:rPr>
                <w:rFonts w:ascii="Arial Narrow" w:hAnsi="Arial Narrow"/>
                <w:sz w:val="20"/>
              </w:rPr>
              <w:t>S</w:t>
            </w:r>
            <w:r w:rsidR="00C010D9" w:rsidRPr="00DB760B">
              <w:rPr>
                <w:rFonts w:ascii="Arial Narrow" w:hAnsi="Arial Narrow"/>
                <w:sz w:val="20"/>
              </w:rPr>
              <w:t>teglujan</w:t>
            </w:r>
            <w:proofErr w:type="spellEnd"/>
            <w:r w:rsidR="00C010D9" w:rsidRPr="00DB760B">
              <w:rPr>
                <w:rFonts w:ascii="Arial Narrow" w:hAnsi="Arial Narrow"/>
                <w:sz w:val="20"/>
              </w:rPr>
              <w:t xml:space="preserve"> </w:t>
            </w:r>
            <w:r w:rsidR="00C010D9" w:rsidRPr="00DB760B">
              <w:rPr>
                <w:vertAlign w:val="superscript"/>
              </w:rPr>
              <w:t>®</w:t>
            </w:r>
          </w:p>
        </w:tc>
        <w:tc>
          <w:tcPr>
            <w:tcW w:w="753" w:type="pct"/>
          </w:tcPr>
          <w:p w:rsidR="003A4C25" w:rsidRPr="00DB760B" w:rsidRDefault="003A4C25" w:rsidP="001B3286">
            <w:pPr>
              <w:jc w:val="left"/>
              <w:rPr>
                <w:rFonts w:ascii="Arial Narrow" w:hAnsi="Arial Narrow"/>
                <w:sz w:val="20"/>
              </w:rPr>
            </w:pPr>
          </w:p>
          <w:p w:rsidR="00591957" w:rsidRPr="00DB760B" w:rsidRDefault="00C010D9" w:rsidP="001B3286">
            <w:pPr>
              <w:jc w:val="left"/>
              <w:rPr>
                <w:rFonts w:ascii="Arial Narrow" w:hAnsi="Arial Narrow"/>
                <w:sz w:val="20"/>
              </w:rPr>
            </w:pPr>
            <w:r w:rsidRPr="00DB760B">
              <w:rPr>
                <w:rFonts w:ascii="Arial Narrow" w:hAnsi="Arial Narrow"/>
                <w:sz w:val="20"/>
              </w:rPr>
              <w:t>Merck, Sharp &amp; Dohme</w:t>
            </w:r>
          </w:p>
          <w:p w:rsidR="009B432F" w:rsidRPr="00DB760B" w:rsidRDefault="009B432F" w:rsidP="001B3286">
            <w:pPr>
              <w:jc w:val="left"/>
              <w:rPr>
                <w:rFonts w:ascii="Arial Narrow" w:hAnsi="Arial Narrow"/>
                <w:sz w:val="20"/>
              </w:rPr>
            </w:pPr>
          </w:p>
        </w:tc>
      </w:tr>
      <w:tr w:rsidR="00542C2D" w:rsidRPr="00DB760B" w:rsidTr="001B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3" w:type="pct"/>
            <w:tcBorders>
              <w:top w:val="single" w:sz="4" w:space="0" w:color="auto"/>
              <w:left w:val="single" w:sz="4" w:space="0" w:color="auto"/>
              <w:bottom w:val="single" w:sz="4" w:space="0" w:color="auto"/>
              <w:right w:val="single" w:sz="4" w:space="0" w:color="auto"/>
            </w:tcBorders>
            <w:hideMark/>
          </w:tcPr>
          <w:p w:rsidR="00542C2D" w:rsidRPr="00DB760B" w:rsidRDefault="00591957" w:rsidP="001B3286">
            <w:pPr>
              <w:pStyle w:val="Tabletext"/>
              <w:rPr>
                <w:b/>
                <w:lang w:eastAsia="en-AU"/>
              </w:rPr>
            </w:pPr>
            <w:r w:rsidRPr="00DB760B">
              <w:rPr>
                <w:b/>
                <w:lang w:eastAsia="en-AU"/>
              </w:rPr>
              <w:t>Category/Program:</w:t>
            </w:r>
          </w:p>
        </w:tc>
        <w:tc>
          <w:tcPr>
            <w:tcW w:w="3757" w:type="pct"/>
            <w:gridSpan w:val="6"/>
            <w:tcBorders>
              <w:top w:val="single" w:sz="4" w:space="0" w:color="auto"/>
              <w:left w:val="single" w:sz="4" w:space="0" w:color="auto"/>
              <w:bottom w:val="single" w:sz="4" w:space="0" w:color="auto"/>
              <w:right w:val="single" w:sz="4" w:space="0" w:color="auto"/>
            </w:tcBorders>
          </w:tcPr>
          <w:p w:rsidR="00542C2D" w:rsidRPr="00DB760B" w:rsidRDefault="00C010D9" w:rsidP="001B3286">
            <w:pPr>
              <w:pStyle w:val="Tabletext"/>
              <w:rPr>
                <w:lang w:eastAsia="en-AU"/>
              </w:rPr>
            </w:pPr>
            <w:r w:rsidRPr="00DB760B">
              <w:rPr>
                <w:lang w:eastAsia="en-AU"/>
              </w:rPr>
              <w:t>General Schedule, Section 85</w:t>
            </w:r>
          </w:p>
        </w:tc>
      </w:tr>
      <w:tr w:rsidR="00542C2D" w:rsidRPr="00DB760B" w:rsidTr="001B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3" w:type="pct"/>
            <w:tcBorders>
              <w:top w:val="single" w:sz="4" w:space="0" w:color="auto"/>
              <w:left w:val="single" w:sz="4" w:space="0" w:color="auto"/>
              <w:bottom w:val="single" w:sz="4" w:space="0" w:color="auto"/>
              <w:right w:val="single" w:sz="4" w:space="0" w:color="auto"/>
            </w:tcBorders>
            <w:hideMark/>
          </w:tcPr>
          <w:p w:rsidR="00542C2D" w:rsidRPr="00DB760B" w:rsidRDefault="00591957" w:rsidP="001B3286">
            <w:pPr>
              <w:pStyle w:val="Tabletext"/>
              <w:rPr>
                <w:b/>
                <w:lang w:eastAsia="en-AU"/>
              </w:rPr>
            </w:pPr>
            <w:r w:rsidRPr="00DB760B">
              <w:rPr>
                <w:b/>
                <w:lang w:eastAsia="en-AU"/>
              </w:rPr>
              <w:t>PBS indication:</w:t>
            </w:r>
          </w:p>
        </w:tc>
        <w:tc>
          <w:tcPr>
            <w:tcW w:w="3757" w:type="pct"/>
            <w:gridSpan w:val="6"/>
            <w:tcBorders>
              <w:top w:val="single" w:sz="4" w:space="0" w:color="auto"/>
              <w:left w:val="single" w:sz="4" w:space="0" w:color="auto"/>
              <w:bottom w:val="single" w:sz="4" w:space="0" w:color="auto"/>
              <w:right w:val="single" w:sz="4" w:space="0" w:color="auto"/>
            </w:tcBorders>
          </w:tcPr>
          <w:p w:rsidR="00542C2D" w:rsidRPr="00DB760B" w:rsidRDefault="00C010D9" w:rsidP="001B3286">
            <w:pPr>
              <w:pStyle w:val="Tabletext"/>
              <w:rPr>
                <w:lang w:eastAsia="en-AU"/>
              </w:rPr>
            </w:pPr>
            <w:r w:rsidRPr="00DB760B">
              <w:rPr>
                <w:lang w:eastAsia="en-AU"/>
              </w:rPr>
              <w:t>Diabetes mellitus type 2</w:t>
            </w:r>
          </w:p>
        </w:tc>
      </w:tr>
      <w:tr w:rsidR="00542C2D" w:rsidRPr="00DB760B" w:rsidTr="001B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3" w:type="pct"/>
            <w:tcBorders>
              <w:top w:val="single" w:sz="4" w:space="0" w:color="auto"/>
              <w:left w:val="single" w:sz="4" w:space="0" w:color="auto"/>
              <w:bottom w:val="single" w:sz="4" w:space="0" w:color="auto"/>
              <w:right w:val="single" w:sz="4" w:space="0" w:color="auto"/>
            </w:tcBorders>
            <w:hideMark/>
          </w:tcPr>
          <w:p w:rsidR="00542C2D" w:rsidRPr="00DB760B" w:rsidRDefault="00542C2D" w:rsidP="001B3286">
            <w:pPr>
              <w:pStyle w:val="Tabletext"/>
              <w:rPr>
                <w:b/>
                <w:lang w:eastAsia="en-AU"/>
              </w:rPr>
            </w:pPr>
            <w:r w:rsidRPr="00DB760B">
              <w:rPr>
                <w:b/>
                <w:lang w:eastAsia="en-AU"/>
              </w:rPr>
              <w:t>Restriction</w:t>
            </w:r>
            <w:r w:rsidR="00591957" w:rsidRPr="00DB760B">
              <w:rPr>
                <w:b/>
                <w:lang w:eastAsia="en-AU"/>
              </w:rPr>
              <w:t>:</w:t>
            </w:r>
          </w:p>
        </w:tc>
        <w:tc>
          <w:tcPr>
            <w:tcW w:w="3757" w:type="pct"/>
            <w:gridSpan w:val="6"/>
            <w:tcBorders>
              <w:top w:val="single" w:sz="4" w:space="0" w:color="auto"/>
              <w:left w:val="single" w:sz="4" w:space="0" w:color="auto"/>
              <w:bottom w:val="single" w:sz="4" w:space="0" w:color="auto"/>
              <w:right w:val="single" w:sz="4" w:space="0" w:color="auto"/>
            </w:tcBorders>
          </w:tcPr>
          <w:p w:rsidR="00542C2D" w:rsidRPr="00DB760B" w:rsidRDefault="00C010D9" w:rsidP="001B3286">
            <w:pPr>
              <w:pStyle w:val="Tabletext"/>
              <w:rPr>
                <w:lang w:eastAsia="en-AU"/>
              </w:rPr>
            </w:pPr>
            <w:r w:rsidRPr="00DB760B">
              <w:rPr>
                <w:lang w:eastAsia="en-AU"/>
              </w:rPr>
              <w:t>Streamlined</w:t>
            </w:r>
          </w:p>
        </w:tc>
      </w:tr>
      <w:tr w:rsidR="00B8714D" w:rsidRPr="00DB760B" w:rsidTr="001B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3" w:type="pct"/>
            <w:tcBorders>
              <w:top w:val="single" w:sz="4" w:space="0" w:color="auto"/>
              <w:left w:val="single" w:sz="4" w:space="0" w:color="auto"/>
              <w:bottom w:val="single" w:sz="4" w:space="0" w:color="auto"/>
              <w:right w:val="single" w:sz="4" w:space="0" w:color="auto"/>
            </w:tcBorders>
          </w:tcPr>
          <w:p w:rsidR="00B8714D" w:rsidRPr="00DB760B" w:rsidRDefault="00B8714D" w:rsidP="001B3286">
            <w:pPr>
              <w:pStyle w:val="Tabletext"/>
              <w:rPr>
                <w:b/>
                <w:lang w:eastAsia="en-AU"/>
              </w:rPr>
            </w:pPr>
            <w:r w:rsidRPr="00DB760B">
              <w:rPr>
                <w:b/>
                <w:lang w:eastAsia="en-AU"/>
              </w:rPr>
              <w:t>Treatment phase:</w:t>
            </w:r>
          </w:p>
        </w:tc>
        <w:tc>
          <w:tcPr>
            <w:tcW w:w="3757" w:type="pct"/>
            <w:gridSpan w:val="6"/>
            <w:tcBorders>
              <w:top w:val="single" w:sz="4" w:space="0" w:color="auto"/>
              <w:left w:val="single" w:sz="4" w:space="0" w:color="auto"/>
              <w:bottom w:val="single" w:sz="4" w:space="0" w:color="auto"/>
              <w:right w:val="single" w:sz="4" w:space="0" w:color="auto"/>
            </w:tcBorders>
          </w:tcPr>
          <w:p w:rsidR="00B8714D" w:rsidRPr="00DB760B" w:rsidRDefault="00B8714D" w:rsidP="001B3286">
            <w:pPr>
              <w:pStyle w:val="Tabletext"/>
              <w:rPr>
                <w:szCs w:val="20"/>
              </w:rPr>
            </w:pPr>
            <w:r w:rsidRPr="00DB760B">
              <w:rPr>
                <w:szCs w:val="20"/>
              </w:rPr>
              <w:t>Initial treatment</w:t>
            </w:r>
          </w:p>
        </w:tc>
      </w:tr>
      <w:tr w:rsidR="00542C2D" w:rsidRPr="00DB760B" w:rsidTr="001B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3" w:type="pct"/>
            <w:tcBorders>
              <w:top w:val="single" w:sz="4" w:space="0" w:color="auto"/>
              <w:left w:val="single" w:sz="4" w:space="0" w:color="auto"/>
              <w:bottom w:val="single" w:sz="4" w:space="0" w:color="auto"/>
              <w:right w:val="single" w:sz="4" w:space="0" w:color="auto"/>
            </w:tcBorders>
            <w:hideMark/>
          </w:tcPr>
          <w:p w:rsidR="00542C2D" w:rsidRPr="00DB760B" w:rsidRDefault="00542C2D" w:rsidP="001B3286">
            <w:pPr>
              <w:pStyle w:val="Tabletext"/>
              <w:rPr>
                <w:b/>
                <w:lang w:eastAsia="en-AU"/>
              </w:rPr>
            </w:pPr>
            <w:r w:rsidRPr="00DB760B">
              <w:rPr>
                <w:b/>
                <w:lang w:eastAsia="en-AU"/>
              </w:rPr>
              <w:t>Clinical criteria</w:t>
            </w:r>
            <w:r w:rsidR="00591957" w:rsidRPr="00DB760B">
              <w:rPr>
                <w:b/>
                <w:lang w:eastAsia="en-AU"/>
              </w:rPr>
              <w:t>:</w:t>
            </w:r>
          </w:p>
        </w:tc>
        <w:tc>
          <w:tcPr>
            <w:tcW w:w="3757" w:type="pct"/>
            <w:gridSpan w:val="6"/>
            <w:tcBorders>
              <w:top w:val="single" w:sz="4" w:space="0" w:color="auto"/>
              <w:left w:val="single" w:sz="4" w:space="0" w:color="auto"/>
              <w:bottom w:val="single" w:sz="4" w:space="0" w:color="auto"/>
              <w:right w:val="single" w:sz="4" w:space="0" w:color="auto"/>
            </w:tcBorders>
          </w:tcPr>
          <w:p w:rsidR="00C010D9" w:rsidRPr="00DB760B" w:rsidRDefault="00C010D9" w:rsidP="001B3286">
            <w:pPr>
              <w:pStyle w:val="Tabletext"/>
              <w:rPr>
                <w:szCs w:val="20"/>
              </w:rPr>
            </w:pPr>
            <w:r w:rsidRPr="00DB760B">
              <w:rPr>
                <w:szCs w:val="20"/>
              </w:rPr>
              <w:t xml:space="preserve">The treatment must be in combination with metformin; </w:t>
            </w:r>
          </w:p>
          <w:p w:rsidR="009D7652" w:rsidRPr="00DB760B" w:rsidRDefault="009D7652" w:rsidP="001B3286">
            <w:pPr>
              <w:pStyle w:val="Tabletext"/>
              <w:rPr>
                <w:szCs w:val="20"/>
              </w:rPr>
            </w:pPr>
          </w:p>
          <w:p w:rsidR="00C010D9" w:rsidRPr="00DB760B" w:rsidRDefault="00C010D9" w:rsidP="001B3286">
            <w:pPr>
              <w:pStyle w:val="Tabletext"/>
              <w:rPr>
                <w:szCs w:val="20"/>
              </w:rPr>
            </w:pPr>
            <w:r w:rsidRPr="00DB760B">
              <w:rPr>
                <w:szCs w:val="20"/>
              </w:rPr>
              <w:t xml:space="preserve">AND </w:t>
            </w:r>
          </w:p>
          <w:p w:rsidR="009D7652" w:rsidRPr="00DB760B" w:rsidRDefault="009D7652" w:rsidP="001B3286">
            <w:pPr>
              <w:pStyle w:val="Tabletext"/>
              <w:rPr>
                <w:szCs w:val="20"/>
              </w:rPr>
            </w:pPr>
          </w:p>
          <w:p w:rsidR="009D7652" w:rsidRPr="00DB760B" w:rsidRDefault="00B8714D" w:rsidP="001B3286">
            <w:pPr>
              <w:pStyle w:val="Tabletext"/>
              <w:rPr>
                <w:szCs w:val="20"/>
              </w:rPr>
            </w:pPr>
            <w:r w:rsidRPr="00DB760B">
              <w:rPr>
                <w:szCs w:val="20"/>
              </w:rPr>
              <w:t xml:space="preserve">Patient must have an HbA1c measurement greater than 7% despite treatment with dual oral combination therapy with metformin and a dipeptidyl peptidase 4 inhibitor (gliptin) or a sodium-glucose co-transporter 2 (SGLT2) inhibitor; </w:t>
            </w:r>
          </w:p>
          <w:p w:rsidR="00B8714D" w:rsidRPr="00DB760B" w:rsidRDefault="00B8714D" w:rsidP="001B3286">
            <w:pPr>
              <w:pStyle w:val="Tabletext"/>
              <w:rPr>
                <w:szCs w:val="20"/>
              </w:rPr>
            </w:pPr>
            <w:r w:rsidRPr="00DB760B">
              <w:rPr>
                <w:szCs w:val="20"/>
              </w:rPr>
              <w:t>OR</w:t>
            </w:r>
          </w:p>
          <w:p w:rsidR="00B8714D" w:rsidRPr="00DB760B" w:rsidRDefault="00B8714D" w:rsidP="001B3286">
            <w:pPr>
              <w:pStyle w:val="Tabletext"/>
              <w:rPr>
                <w:szCs w:val="20"/>
              </w:rPr>
            </w:pPr>
            <w:r w:rsidRPr="00DB760B">
              <w:rPr>
                <w:szCs w:val="20"/>
              </w:rPr>
              <w:t xml:space="preserve">Patient must have, where HbA1c measurement is clinically inappropriate, blood glucose levels greater than 10 </w:t>
            </w:r>
            <w:proofErr w:type="spellStart"/>
            <w:r w:rsidRPr="00DB760B">
              <w:rPr>
                <w:szCs w:val="20"/>
              </w:rPr>
              <w:t>mmol</w:t>
            </w:r>
            <w:proofErr w:type="spellEnd"/>
            <w:r w:rsidRPr="00DB760B">
              <w:rPr>
                <w:szCs w:val="20"/>
              </w:rPr>
              <w:t xml:space="preserve"> per L in more than 20% of tests over a 2 week period prior to initiation of triple oral therapy with a sodium-glucose co-transporter </w:t>
            </w:r>
            <w:proofErr w:type="gramStart"/>
            <w:r w:rsidRPr="00DB760B">
              <w:rPr>
                <w:szCs w:val="20"/>
              </w:rPr>
              <w:t>2 (SGLT2) inhibitor,</w:t>
            </w:r>
            <w:proofErr w:type="gramEnd"/>
            <w:r w:rsidRPr="00DB760B">
              <w:rPr>
                <w:szCs w:val="20"/>
              </w:rPr>
              <w:t xml:space="preserve"> metformin and a gliptin.</w:t>
            </w:r>
          </w:p>
          <w:p w:rsidR="00B8714D" w:rsidRPr="00DB760B" w:rsidRDefault="00B8714D" w:rsidP="001B3286">
            <w:pPr>
              <w:pStyle w:val="Tabletext"/>
              <w:rPr>
                <w:szCs w:val="20"/>
              </w:rPr>
            </w:pPr>
          </w:p>
          <w:p w:rsidR="00B8714D" w:rsidRPr="00DB760B" w:rsidRDefault="00B8714D" w:rsidP="001B3286">
            <w:pPr>
              <w:pStyle w:val="Tabletext"/>
              <w:rPr>
                <w:szCs w:val="20"/>
              </w:rPr>
            </w:pPr>
            <w:r w:rsidRPr="00DB760B">
              <w:rPr>
                <w:szCs w:val="20"/>
              </w:rPr>
              <w:t>The date and level of the qualifying HbA1c measurement must be documented in the patient’s medical records at the time triple oral therapy with an SGLT2 inhibitor, metformin and a gliptin is initiated.</w:t>
            </w:r>
          </w:p>
          <w:p w:rsidR="00B8714D" w:rsidRPr="00DB760B" w:rsidRDefault="00B8714D" w:rsidP="001B3286">
            <w:pPr>
              <w:pStyle w:val="Tabletext"/>
              <w:rPr>
                <w:szCs w:val="20"/>
              </w:rPr>
            </w:pPr>
          </w:p>
          <w:p w:rsidR="00B8714D" w:rsidRPr="00DB760B" w:rsidRDefault="00B8714D" w:rsidP="001B3286">
            <w:pPr>
              <w:pStyle w:val="Tabletext"/>
              <w:rPr>
                <w:szCs w:val="20"/>
              </w:rPr>
            </w:pPr>
            <w:r w:rsidRPr="00DB760B">
              <w:rPr>
                <w:szCs w:val="20"/>
              </w:rPr>
              <w:t>The HbA1c must be no more than 4 months old at the time triple oral therapy with an SGLT2 inhibitor, metformin and a gliptin is initiated.</w:t>
            </w:r>
          </w:p>
          <w:p w:rsidR="00B8714D" w:rsidRPr="00DB760B" w:rsidRDefault="00B8714D" w:rsidP="001B3286">
            <w:pPr>
              <w:pStyle w:val="Tabletext"/>
              <w:rPr>
                <w:szCs w:val="20"/>
              </w:rPr>
            </w:pPr>
          </w:p>
          <w:p w:rsidR="00B8714D" w:rsidRPr="00DB760B" w:rsidRDefault="00B8714D" w:rsidP="001B3286">
            <w:pPr>
              <w:pStyle w:val="Tabletext"/>
              <w:rPr>
                <w:szCs w:val="20"/>
              </w:rPr>
            </w:pPr>
            <w:r w:rsidRPr="00DB760B">
              <w:rPr>
                <w:szCs w:val="20"/>
              </w:rPr>
              <w:t>Blood glucose monitoring may be used as an alternative assessment to HbA1c levels in the following circumstances:</w:t>
            </w:r>
          </w:p>
          <w:p w:rsidR="00B8714D" w:rsidRPr="00DB760B" w:rsidRDefault="00B8714D" w:rsidP="001B3286">
            <w:pPr>
              <w:pStyle w:val="Tabletext"/>
              <w:numPr>
                <w:ilvl w:val="0"/>
                <w:numId w:val="14"/>
              </w:numPr>
              <w:rPr>
                <w:szCs w:val="20"/>
              </w:rPr>
            </w:pPr>
            <w:r w:rsidRPr="00DB760B">
              <w:rPr>
                <w:szCs w:val="20"/>
              </w:rPr>
              <w:t xml:space="preserve">A clinical condition with reduced red blood cell survival, including haemolytic anaemias and </w:t>
            </w:r>
            <w:proofErr w:type="spellStart"/>
            <w:r w:rsidRPr="00DB760B">
              <w:rPr>
                <w:szCs w:val="20"/>
              </w:rPr>
              <w:t>haemoglobinopathies</w:t>
            </w:r>
            <w:proofErr w:type="spellEnd"/>
            <w:r w:rsidRPr="00DB760B">
              <w:rPr>
                <w:szCs w:val="20"/>
              </w:rPr>
              <w:t>; and/or</w:t>
            </w:r>
          </w:p>
          <w:p w:rsidR="00B8714D" w:rsidRPr="00DB760B" w:rsidRDefault="00B8714D" w:rsidP="001B3286">
            <w:pPr>
              <w:pStyle w:val="Tabletext"/>
              <w:numPr>
                <w:ilvl w:val="0"/>
                <w:numId w:val="14"/>
              </w:numPr>
              <w:rPr>
                <w:szCs w:val="20"/>
              </w:rPr>
            </w:pPr>
            <w:r w:rsidRPr="00DB760B">
              <w:rPr>
                <w:szCs w:val="20"/>
              </w:rPr>
              <w:t>Had red cell transfusion within the previous 3 months.</w:t>
            </w:r>
          </w:p>
          <w:p w:rsidR="00B8714D" w:rsidRPr="00DB760B" w:rsidRDefault="00B8714D" w:rsidP="001B3286">
            <w:pPr>
              <w:pStyle w:val="Tabletext"/>
              <w:rPr>
                <w:szCs w:val="20"/>
              </w:rPr>
            </w:pPr>
          </w:p>
          <w:p w:rsidR="00542C2D" w:rsidRPr="00DB760B" w:rsidRDefault="009038F6" w:rsidP="001B3286">
            <w:pPr>
              <w:pStyle w:val="Tabletext"/>
              <w:rPr>
                <w:lang w:eastAsia="en-AU"/>
              </w:rPr>
            </w:pPr>
            <w:r w:rsidRPr="00DB760B">
              <w:rPr>
                <w:szCs w:val="20"/>
              </w:rPr>
              <w:t xml:space="preserve">The results of the blood glucose monitoring, which must be no more than 4 months old at the </w:t>
            </w:r>
            <w:r w:rsidRPr="00DB760B">
              <w:rPr>
                <w:szCs w:val="20"/>
              </w:rPr>
              <w:lastRenderedPageBreak/>
              <w:t>time of initiation of triple oral therapy with an SGLT2 inhibitor, metformin and a gliptin, must be documented in the patient’s medical records.</w:t>
            </w:r>
          </w:p>
        </w:tc>
      </w:tr>
    </w:tbl>
    <w:p w:rsidR="00B60939" w:rsidRPr="00DB760B" w:rsidRDefault="00B60939" w:rsidP="004B1CB4"/>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9"/>
        <w:gridCol w:w="6792"/>
      </w:tblGrid>
      <w:tr w:rsidR="009038F6" w:rsidRPr="00DB760B" w:rsidTr="006F1EC7">
        <w:trPr>
          <w:trHeight w:val="20"/>
        </w:trPr>
        <w:tc>
          <w:tcPr>
            <w:tcW w:w="1244" w:type="pct"/>
            <w:tcBorders>
              <w:top w:val="single" w:sz="4" w:space="0" w:color="auto"/>
              <w:left w:val="single" w:sz="4" w:space="0" w:color="auto"/>
              <w:bottom w:val="single" w:sz="4" w:space="0" w:color="auto"/>
              <w:right w:val="single" w:sz="4" w:space="0" w:color="auto"/>
            </w:tcBorders>
            <w:hideMark/>
          </w:tcPr>
          <w:p w:rsidR="009038F6" w:rsidRPr="00DB760B" w:rsidRDefault="009038F6" w:rsidP="006F1EC7">
            <w:pPr>
              <w:pStyle w:val="Tabletext"/>
              <w:rPr>
                <w:b/>
                <w:lang w:eastAsia="en-AU"/>
              </w:rPr>
            </w:pPr>
            <w:r w:rsidRPr="00DB760B">
              <w:rPr>
                <w:b/>
                <w:lang w:eastAsia="en-AU"/>
              </w:rPr>
              <w:t>Category/Program:</w:t>
            </w:r>
          </w:p>
        </w:tc>
        <w:tc>
          <w:tcPr>
            <w:tcW w:w="3756" w:type="pct"/>
            <w:tcBorders>
              <w:top w:val="single" w:sz="4" w:space="0" w:color="auto"/>
              <w:left w:val="single" w:sz="4" w:space="0" w:color="auto"/>
              <w:bottom w:val="single" w:sz="4" w:space="0" w:color="auto"/>
              <w:right w:val="single" w:sz="4" w:space="0" w:color="auto"/>
            </w:tcBorders>
          </w:tcPr>
          <w:p w:rsidR="009038F6" w:rsidRPr="00DB760B" w:rsidRDefault="009038F6" w:rsidP="006F1EC7">
            <w:pPr>
              <w:pStyle w:val="Tabletext"/>
              <w:rPr>
                <w:lang w:eastAsia="en-AU"/>
              </w:rPr>
            </w:pPr>
            <w:r w:rsidRPr="00DB760B">
              <w:rPr>
                <w:lang w:eastAsia="en-AU"/>
              </w:rPr>
              <w:t>General Schedule, Section 85</w:t>
            </w:r>
          </w:p>
        </w:tc>
      </w:tr>
      <w:tr w:rsidR="009038F6" w:rsidRPr="00DB760B" w:rsidTr="006F1EC7">
        <w:trPr>
          <w:trHeight w:val="20"/>
        </w:trPr>
        <w:tc>
          <w:tcPr>
            <w:tcW w:w="1244" w:type="pct"/>
            <w:tcBorders>
              <w:top w:val="single" w:sz="4" w:space="0" w:color="auto"/>
              <w:left w:val="single" w:sz="4" w:space="0" w:color="auto"/>
              <w:bottom w:val="single" w:sz="4" w:space="0" w:color="auto"/>
              <w:right w:val="single" w:sz="4" w:space="0" w:color="auto"/>
            </w:tcBorders>
            <w:hideMark/>
          </w:tcPr>
          <w:p w:rsidR="009038F6" w:rsidRPr="00DB760B" w:rsidRDefault="009038F6" w:rsidP="006F1EC7">
            <w:pPr>
              <w:pStyle w:val="Tabletext"/>
              <w:rPr>
                <w:b/>
                <w:lang w:eastAsia="en-AU"/>
              </w:rPr>
            </w:pPr>
            <w:r w:rsidRPr="00DB760B">
              <w:rPr>
                <w:b/>
                <w:lang w:eastAsia="en-AU"/>
              </w:rPr>
              <w:t>PBS indication:</w:t>
            </w:r>
          </w:p>
        </w:tc>
        <w:tc>
          <w:tcPr>
            <w:tcW w:w="3756" w:type="pct"/>
            <w:tcBorders>
              <w:top w:val="single" w:sz="4" w:space="0" w:color="auto"/>
              <w:left w:val="single" w:sz="4" w:space="0" w:color="auto"/>
              <w:bottom w:val="single" w:sz="4" w:space="0" w:color="auto"/>
              <w:right w:val="single" w:sz="4" w:space="0" w:color="auto"/>
            </w:tcBorders>
          </w:tcPr>
          <w:p w:rsidR="009038F6" w:rsidRPr="00DB760B" w:rsidRDefault="009038F6" w:rsidP="006F1EC7">
            <w:pPr>
              <w:pStyle w:val="Tabletext"/>
              <w:rPr>
                <w:lang w:eastAsia="en-AU"/>
              </w:rPr>
            </w:pPr>
            <w:r w:rsidRPr="00DB760B">
              <w:rPr>
                <w:lang w:eastAsia="en-AU"/>
              </w:rPr>
              <w:t>Diabetes mellitus type 2</w:t>
            </w:r>
          </w:p>
        </w:tc>
      </w:tr>
      <w:tr w:rsidR="009038F6" w:rsidRPr="00DB760B" w:rsidTr="006F1EC7">
        <w:trPr>
          <w:trHeight w:val="20"/>
        </w:trPr>
        <w:tc>
          <w:tcPr>
            <w:tcW w:w="1244" w:type="pct"/>
            <w:tcBorders>
              <w:top w:val="single" w:sz="4" w:space="0" w:color="auto"/>
              <w:left w:val="single" w:sz="4" w:space="0" w:color="auto"/>
              <w:bottom w:val="single" w:sz="4" w:space="0" w:color="auto"/>
              <w:right w:val="single" w:sz="4" w:space="0" w:color="auto"/>
            </w:tcBorders>
            <w:hideMark/>
          </w:tcPr>
          <w:p w:rsidR="009038F6" w:rsidRPr="00DB760B" w:rsidRDefault="009038F6" w:rsidP="006F1EC7">
            <w:pPr>
              <w:pStyle w:val="Tabletext"/>
              <w:rPr>
                <w:b/>
                <w:lang w:eastAsia="en-AU"/>
              </w:rPr>
            </w:pPr>
            <w:r w:rsidRPr="00DB760B">
              <w:rPr>
                <w:b/>
                <w:lang w:eastAsia="en-AU"/>
              </w:rPr>
              <w:t>Restriction:</w:t>
            </w:r>
          </w:p>
        </w:tc>
        <w:tc>
          <w:tcPr>
            <w:tcW w:w="3756" w:type="pct"/>
            <w:tcBorders>
              <w:top w:val="single" w:sz="4" w:space="0" w:color="auto"/>
              <w:left w:val="single" w:sz="4" w:space="0" w:color="auto"/>
              <w:bottom w:val="single" w:sz="4" w:space="0" w:color="auto"/>
              <w:right w:val="single" w:sz="4" w:space="0" w:color="auto"/>
            </w:tcBorders>
          </w:tcPr>
          <w:p w:rsidR="009038F6" w:rsidRPr="00DB760B" w:rsidRDefault="009038F6" w:rsidP="006F1EC7">
            <w:pPr>
              <w:pStyle w:val="Tabletext"/>
              <w:rPr>
                <w:lang w:eastAsia="en-AU"/>
              </w:rPr>
            </w:pPr>
            <w:r w:rsidRPr="00DB760B">
              <w:rPr>
                <w:lang w:eastAsia="en-AU"/>
              </w:rPr>
              <w:t>Streamlined</w:t>
            </w:r>
          </w:p>
        </w:tc>
      </w:tr>
      <w:tr w:rsidR="009038F6" w:rsidRPr="00DB760B" w:rsidTr="006F1EC7">
        <w:trPr>
          <w:trHeight w:val="20"/>
        </w:trPr>
        <w:tc>
          <w:tcPr>
            <w:tcW w:w="1244" w:type="pct"/>
            <w:tcBorders>
              <w:top w:val="single" w:sz="4" w:space="0" w:color="auto"/>
              <w:left w:val="single" w:sz="4" w:space="0" w:color="auto"/>
              <w:bottom w:val="single" w:sz="4" w:space="0" w:color="auto"/>
              <w:right w:val="single" w:sz="4" w:space="0" w:color="auto"/>
            </w:tcBorders>
          </w:tcPr>
          <w:p w:rsidR="009038F6" w:rsidRPr="00DB760B" w:rsidRDefault="009038F6" w:rsidP="006F1EC7">
            <w:pPr>
              <w:pStyle w:val="Tabletext"/>
              <w:rPr>
                <w:b/>
                <w:lang w:eastAsia="en-AU"/>
              </w:rPr>
            </w:pPr>
            <w:r w:rsidRPr="00DB760B">
              <w:rPr>
                <w:b/>
                <w:lang w:eastAsia="en-AU"/>
              </w:rPr>
              <w:t>Treatment phase:</w:t>
            </w:r>
          </w:p>
        </w:tc>
        <w:tc>
          <w:tcPr>
            <w:tcW w:w="3756" w:type="pct"/>
            <w:tcBorders>
              <w:top w:val="single" w:sz="4" w:space="0" w:color="auto"/>
              <w:left w:val="single" w:sz="4" w:space="0" w:color="auto"/>
              <w:bottom w:val="single" w:sz="4" w:space="0" w:color="auto"/>
              <w:right w:val="single" w:sz="4" w:space="0" w:color="auto"/>
            </w:tcBorders>
          </w:tcPr>
          <w:p w:rsidR="009038F6" w:rsidRPr="00DB760B" w:rsidRDefault="009038F6" w:rsidP="006F1EC7">
            <w:pPr>
              <w:pStyle w:val="Tabletext"/>
              <w:rPr>
                <w:szCs w:val="20"/>
              </w:rPr>
            </w:pPr>
            <w:r w:rsidRPr="00DB760B">
              <w:rPr>
                <w:szCs w:val="20"/>
              </w:rPr>
              <w:t>Continuing treatment</w:t>
            </w:r>
          </w:p>
        </w:tc>
      </w:tr>
      <w:tr w:rsidR="009038F6" w:rsidRPr="00DB760B" w:rsidTr="006F1EC7">
        <w:trPr>
          <w:trHeight w:val="20"/>
        </w:trPr>
        <w:tc>
          <w:tcPr>
            <w:tcW w:w="1244" w:type="pct"/>
            <w:tcBorders>
              <w:top w:val="single" w:sz="4" w:space="0" w:color="auto"/>
              <w:left w:val="single" w:sz="4" w:space="0" w:color="auto"/>
              <w:bottom w:val="single" w:sz="4" w:space="0" w:color="auto"/>
              <w:right w:val="single" w:sz="4" w:space="0" w:color="auto"/>
            </w:tcBorders>
            <w:hideMark/>
          </w:tcPr>
          <w:p w:rsidR="009038F6" w:rsidRPr="00DB760B" w:rsidRDefault="009038F6" w:rsidP="006F1EC7">
            <w:pPr>
              <w:pStyle w:val="Tabletext"/>
              <w:rPr>
                <w:b/>
                <w:lang w:eastAsia="en-AU"/>
              </w:rPr>
            </w:pPr>
            <w:r w:rsidRPr="00DB760B">
              <w:rPr>
                <w:b/>
                <w:lang w:eastAsia="en-AU"/>
              </w:rPr>
              <w:t>Clinical criteria:</w:t>
            </w:r>
          </w:p>
        </w:tc>
        <w:tc>
          <w:tcPr>
            <w:tcW w:w="3756" w:type="pct"/>
            <w:tcBorders>
              <w:top w:val="single" w:sz="4" w:space="0" w:color="auto"/>
              <w:left w:val="single" w:sz="4" w:space="0" w:color="auto"/>
              <w:bottom w:val="single" w:sz="4" w:space="0" w:color="auto"/>
              <w:right w:val="single" w:sz="4" w:space="0" w:color="auto"/>
            </w:tcBorders>
          </w:tcPr>
          <w:p w:rsidR="009D7652" w:rsidRPr="00DB760B" w:rsidRDefault="009038F6" w:rsidP="006F1EC7">
            <w:pPr>
              <w:pStyle w:val="Tabletext"/>
              <w:rPr>
                <w:szCs w:val="20"/>
              </w:rPr>
            </w:pPr>
            <w:r w:rsidRPr="00DB760B">
              <w:rPr>
                <w:szCs w:val="20"/>
              </w:rPr>
              <w:t xml:space="preserve">The treatment must be in combination with metformin; </w:t>
            </w:r>
          </w:p>
          <w:p w:rsidR="008459F5" w:rsidRPr="00DB760B" w:rsidRDefault="008459F5" w:rsidP="006F1EC7">
            <w:pPr>
              <w:pStyle w:val="Tabletext"/>
              <w:rPr>
                <w:szCs w:val="20"/>
              </w:rPr>
            </w:pPr>
          </w:p>
          <w:p w:rsidR="009038F6" w:rsidRPr="00DB760B" w:rsidRDefault="009038F6" w:rsidP="006F1EC7">
            <w:pPr>
              <w:pStyle w:val="Tabletext"/>
              <w:rPr>
                <w:szCs w:val="20"/>
              </w:rPr>
            </w:pPr>
            <w:r w:rsidRPr="00DB760B">
              <w:rPr>
                <w:szCs w:val="20"/>
              </w:rPr>
              <w:t xml:space="preserve">AND </w:t>
            </w:r>
          </w:p>
          <w:p w:rsidR="009D7652" w:rsidRPr="00DB760B" w:rsidRDefault="009D7652" w:rsidP="006F1EC7">
            <w:pPr>
              <w:pStyle w:val="Tabletext"/>
              <w:rPr>
                <w:szCs w:val="20"/>
              </w:rPr>
            </w:pPr>
          </w:p>
          <w:p w:rsidR="009038F6" w:rsidRPr="00DB760B" w:rsidRDefault="009038F6" w:rsidP="009038F6">
            <w:pPr>
              <w:pStyle w:val="Tabletext"/>
              <w:rPr>
                <w:lang w:eastAsia="en-AU"/>
              </w:rPr>
            </w:pPr>
            <w:r w:rsidRPr="00DB760B">
              <w:rPr>
                <w:lang w:eastAsia="en-AU"/>
              </w:rPr>
              <w:t xml:space="preserve">Patient must have previously received a PBS-subsidised regimen of oral diabetic medicines which included a sodium-glucose co-transporter </w:t>
            </w:r>
            <w:proofErr w:type="gramStart"/>
            <w:r w:rsidRPr="00DB760B">
              <w:rPr>
                <w:lang w:eastAsia="en-AU"/>
              </w:rPr>
              <w:t>2 (SGLT2)</w:t>
            </w:r>
            <w:r w:rsidR="00FB7212" w:rsidRPr="00DB760B">
              <w:rPr>
                <w:lang w:eastAsia="en-AU"/>
              </w:rPr>
              <w:t xml:space="preserve"> </w:t>
            </w:r>
            <w:r w:rsidRPr="00DB760B">
              <w:rPr>
                <w:lang w:eastAsia="en-AU"/>
              </w:rPr>
              <w:t>inhibitor</w:t>
            </w:r>
            <w:proofErr w:type="gramEnd"/>
            <w:r w:rsidRPr="00DB760B">
              <w:rPr>
                <w:lang w:eastAsia="en-AU"/>
              </w:rPr>
              <w:t>, metformin and a gliptin for this condition.</w:t>
            </w:r>
          </w:p>
        </w:tc>
      </w:tr>
    </w:tbl>
    <w:p w:rsidR="009038F6" w:rsidRPr="00DB760B" w:rsidRDefault="009038F6" w:rsidP="004B1CB4"/>
    <w:p w:rsidR="00591957" w:rsidRPr="00DB760B" w:rsidRDefault="00781FE8" w:rsidP="00050ADD">
      <w:pPr>
        <w:pStyle w:val="ListParagraph"/>
        <w:widowControl/>
        <w:numPr>
          <w:ilvl w:val="1"/>
          <w:numId w:val="1"/>
        </w:numPr>
      </w:pPr>
      <w:r w:rsidRPr="00DB760B">
        <w:t xml:space="preserve">Although the </w:t>
      </w:r>
      <w:r w:rsidR="00687329" w:rsidRPr="00DB760B">
        <w:t xml:space="preserve">submission </w:t>
      </w:r>
      <w:r w:rsidR="0068139E" w:rsidRPr="00DB760B">
        <w:t xml:space="preserve">did </w:t>
      </w:r>
      <w:r w:rsidR="00687329" w:rsidRPr="00DB760B">
        <w:t>not propose a special pricing arrangement</w:t>
      </w:r>
      <w:r w:rsidRPr="00DB760B">
        <w:t>, it</w:t>
      </w:r>
      <w:r w:rsidR="00687329" w:rsidRPr="00DB760B">
        <w:t xml:space="preserve"> acknowledged that the proposed DPMQ may not reflect the actual price of the comparator products and stated a willingness to adjust the proposed price to ensure the cost-minim</w:t>
      </w:r>
      <w:r w:rsidR="00B84E7F" w:rsidRPr="00DB760B">
        <w:t>i</w:t>
      </w:r>
      <w:r w:rsidR="00687329" w:rsidRPr="00DB760B">
        <w:t>sation framework was maintained.</w:t>
      </w:r>
    </w:p>
    <w:p w:rsidR="004E43B2" w:rsidRPr="001B3286" w:rsidRDefault="00076208" w:rsidP="001B3286">
      <w:pPr>
        <w:pStyle w:val="ListParagraph"/>
        <w:widowControl/>
        <w:ind w:firstLine="142"/>
        <w:rPr>
          <w:i/>
        </w:rPr>
      </w:pPr>
      <w:r w:rsidRPr="00DB760B">
        <w:rPr>
          <w:i/>
        </w:rPr>
        <w:t>For more detail on the PBAC’s view, see Section 7 PBAC outcome.</w:t>
      </w:r>
    </w:p>
    <w:p w:rsidR="00C11E90" w:rsidRPr="001B3286" w:rsidRDefault="00B50DB8" w:rsidP="00B60939">
      <w:pPr>
        <w:pStyle w:val="PBACHeading1"/>
        <w:spacing w:before="240" w:after="120"/>
        <w:outlineLvl w:val="0"/>
      </w:pPr>
      <w:bookmarkStart w:id="2" w:name="_Toc514244707"/>
      <w:r w:rsidRPr="00DB760B">
        <w:t>Background</w:t>
      </w:r>
      <w:bookmarkEnd w:id="2"/>
    </w:p>
    <w:p w:rsidR="00591957" w:rsidRPr="001B3286" w:rsidRDefault="00591957" w:rsidP="001B3286">
      <w:pPr>
        <w:spacing w:before="240" w:after="120"/>
        <w:rPr>
          <w:b/>
          <w:i/>
          <w:sz w:val="28"/>
          <w:szCs w:val="28"/>
        </w:rPr>
      </w:pPr>
      <w:r w:rsidRPr="00DB760B">
        <w:rPr>
          <w:b/>
          <w:i/>
          <w:sz w:val="28"/>
          <w:szCs w:val="28"/>
        </w:rPr>
        <w:t>Registration status</w:t>
      </w:r>
    </w:p>
    <w:p w:rsidR="00592ED1" w:rsidRPr="00DB760B" w:rsidRDefault="00B60939" w:rsidP="00050ADD">
      <w:pPr>
        <w:pStyle w:val="ListParagraph"/>
        <w:widowControl/>
        <w:numPr>
          <w:ilvl w:val="1"/>
          <w:numId w:val="1"/>
        </w:numPr>
      </w:pPr>
      <w:r w:rsidRPr="00DB760B">
        <w:t xml:space="preserve">The submission </w:t>
      </w:r>
      <w:r w:rsidR="00781FE8" w:rsidRPr="00DB760B">
        <w:t xml:space="preserve">for the </w:t>
      </w:r>
      <w:proofErr w:type="spellStart"/>
      <w:r w:rsidR="00781FE8" w:rsidRPr="00DB760B">
        <w:t>ertugliflozin</w:t>
      </w:r>
      <w:proofErr w:type="spellEnd"/>
      <w:r w:rsidR="00781FE8" w:rsidRPr="00DB760B">
        <w:t xml:space="preserve"> with </w:t>
      </w:r>
      <w:proofErr w:type="spellStart"/>
      <w:r w:rsidR="00781FE8" w:rsidRPr="00DB760B">
        <w:t>sitagliptin</w:t>
      </w:r>
      <w:proofErr w:type="spellEnd"/>
      <w:r w:rsidR="00781FE8" w:rsidRPr="00DB760B">
        <w:t xml:space="preserve"> FDC products </w:t>
      </w:r>
      <w:r w:rsidRPr="00DB760B">
        <w:t xml:space="preserve">was made under TGA/PBAC Parallel Process. </w:t>
      </w:r>
      <w:r w:rsidR="00776515" w:rsidRPr="00DB760B">
        <w:t>At the time of PBAC consideration</w:t>
      </w:r>
      <w:r w:rsidR="00150DB9" w:rsidRPr="00DB760B">
        <w:t xml:space="preserve"> (following the </w:t>
      </w:r>
      <w:r w:rsidR="00966570" w:rsidRPr="00DB760B">
        <w:t>8 April ACM</w:t>
      </w:r>
      <w:r w:rsidR="00150DB9" w:rsidRPr="00DB760B">
        <w:t>)</w:t>
      </w:r>
      <w:r w:rsidR="00966570" w:rsidRPr="00DB760B">
        <w:t xml:space="preserve">, </w:t>
      </w:r>
      <w:r w:rsidR="001B7B48" w:rsidRPr="00DB760B">
        <w:t xml:space="preserve">the TGA </w:t>
      </w:r>
      <w:r w:rsidR="00133822" w:rsidRPr="00DB760B">
        <w:t xml:space="preserve">had </w:t>
      </w:r>
      <w:r w:rsidR="001B7B48" w:rsidRPr="00DB760B">
        <w:t xml:space="preserve">registered </w:t>
      </w:r>
      <w:proofErr w:type="spellStart"/>
      <w:r w:rsidR="00592ED1" w:rsidRPr="00DB760B">
        <w:t>ertugliflozin</w:t>
      </w:r>
      <w:proofErr w:type="spellEnd"/>
      <w:r w:rsidR="00592ED1" w:rsidRPr="00DB760B">
        <w:t xml:space="preserve"> with </w:t>
      </w:r>
      <w:proofErr w:type="spellStart"/>
      <w:r w:rsidR="00592ED1" w:rsidRPr="00DB760B">
        <w:t>sitagliptin</w:t>
      </w:r>
      <w:proofErr w:type="spellEnd"/>
      <w:r w:rsidR="00592ED1" w:rsidRPr="00DB760B">
        <w:t xml:space="preserve"> 5 mg/100 mg and 15 mg/100 mg</w:t>
      </w:r>
      <w:r w:rsidR="009B375D" w:rsidRPr="00DB760B">
        <w:t xml:space="preserve"> </w:t>
      </w:r>
      <w:r w:rsidR="00006E30" w:rsidRPr="00DB760B">
        <w:t>for the following indication</w:t>
      </w:r>
      <w:r w:rsidR="00592ED1" w:rsidRPr="00DB760B">
        <w:t>:</w:t>
      </w:r>
    </w:p>
    <w:p w:rsidR="00592ED1" w:rsidRPr="00DB760B" w:rsidRDefault="00592ED1" w:rsidP="00654DC0">
      <w:pPr>
        <w:pStyle w:val="ListParagraph"/>
        <w:widowControl/>
        <w:ind w:left="862"/>
      </w:pPr>
      <w:r w:rsidRPr="00DB760B">
        <w:t>“</w:t>
      </w:r>
      <w:r w:rsidR="00006E30" w:rsidRPr="00DB760B">
        <w:t xml:space="preserve">As </w:t>
      </w:r>
      <w:r w:rsidRPr="00DB760B">
        <w:t xml:space="preserve">an adjunct to diet and exercise to improve glycaemic control in adults with type 2 diabetes mellitus when treatment with both </w:t>
      </w:r>
      <w:proofErr w:type="spellStart"/>
      <w:r w:rsidRPr="00DB760B">
        <w:t>ertugliflozin</w:t>
      </w:r>
      <w:proofErr w:type="spellEnd"/>
      <w:r w:rsidRPr="00DB760B">
        <w:t xml:space="preserve"> and </w:t>
      </w:r>
      <w:proofErr w:type="spellStart"/>
      <w:r w:rsidRPr="00DB760B">
        <w:t>sitaglipti</w:t>
      </w:r>
      <w:r w:rsidR="00B102CF" w:rsidRPr="00DB760B">
        <w:t>n</w:t>
      </w:r>
      <w:proofErr w:type="spellEnd"/>
      <w:r w:rsidRPr="00DB760B">
        <w:t xml:space="preserve"> is appropriate.”</w:t>
      </w:r>
    </w:p>
    <w:p w:rsidR="00781FE8" w:rsidRPr="00DB760B" w:rsidRDefault="00592ED1" w:rsidP="00050ADD">
      <w:pPr>
        <w:pStyle w:val="ListParagraph"/>
        <w:widowControl/>
        <w:numPr>
          <w:ilvl w:val="1"/>
          <w:numId w:val="1"/>
        </w:numPr>
      </w:pPr>
      <w:proofErr w:type="spellStart"/>
      <w:r w:rsidRPr="00DB760B">
        <w:t>E</w:t>
      </w:r>
      <w:r w:rsidR="00781FE8" w:rsidRPr="00DB760B">
        <w:t>rtugliflozin</w:t>
      </w:r>
      <w:proofErr w:type="spellEnd"/>
      <w:r w:rsidR="00781FE8" w:rsidRPr="00DB760B">
        <w:t xml:space="preserve"> </w:t>
      </w:r>
      <w:r w:rsidRPr="00DB760B">
        <w:t xml:space="preserve">5 mg and 15 mg </w:t>
      </w:r>
      <w:r w:rsidR="00781FE8" w:rsidRPr="00DB760B">
        <w:t xml:space="preserve">as a single agent and </w:t>
      </w:r>
      <w:proofErr w:type="spellStart"/>
      <w:r w:rsidR="00781FE8" w:rsidRPr="00DB760B">
        <w:t>ertugliflozin</w:t>
      </w:r>
      <w:proofErr w:type="spellEnd"/>
      <w:r w:rsidR="00781FE8" w:rsidRPr="00DB760B">
        <w:t xml:space="preserve"> with metformin FDC products were also </w:t>
      </w:r>
      <w:r w:rsidRPr="00DB760B">
        <w:t>approved by the TGA in April 2018</w:t>
      </w:r>
      <w:r w:rsidR="009038F6" w:rsidRPr="00DB760B">
        <w:t xml:space="preserve"> for the same indication</w:t>
      </w:r>
      <w:r w:rsidR="00781FE8" w:rsidRPr="00DB760B">
        <w:t>.</w:t>
      </w:r>
      <w:r w:rsidR="00477438" w:rsidRPr="00DB760B">
        <w:t xml:space="preserve"> </w:t>
      </w:r>
    </w:p>
    <w:p w:rsidR="00781FE8" w:rsidRPr="00DB760B" w:rsidRDefault="00781FE8" w:rsidP="00050ADD">
      <w:pPr>
        <w:pStyle w:val="ListParagraph"/>
        <w:widowControl/>
        <w:numPr>
          <w:ilvl w:val="1"/>
          <w:numId w:val="1"/>
        </w:numPr>
      </w:pPr>
      <w:r w:rsidRPr="00DB760B">
        <w:t>The TGA indication</w:t>
      </w:r>
      <w:r w:rsidR="00D23FBC" w:rsidRPr="00DB760B">
        <w:t>s</w:t>
      </w:r>
      <w:r w:rsidRPr="00DB760B">
        <w:t xml:space="preserve"> for </w:t>
      </w:r>
      <w:proofErr w:type="spellStart"/>
      <w:r w:rsidRPr="00DB760B">
        <w:t>sitagliptin</w:t>
      </w:r>
      <w:proofErr w:type="spellEnd"/>
      <w:r w:rsidRPr="00DB760B">
        <w:t xml:space="preserve"> and </w:t>
      </w:r>
      <w:proofErr w:type="spellStart"/>
      <w:r w:rsidRPr="00DB760B">
        <w:t>sitagliptin</w:t>
      </w:r>
      <w:proofErr w:type="spellEnd"/>
      <w:r w:rsidRPr="00DB760B">
        <w:t xml:space="preserve">-based FDC products do not allow for use as triple oral therapy in combination with a SGLT2 inhibitor and metformin. </w:t>
      </w:r>
    </w:p>
    <w:p w:rsidR="00410B67" w:rsidRPr="001B3286" w:rsidRDefault="00076208" w:rsidP="001B3286">
      <w:pPr>
        <w:pStyle w:val="PBACHeading1"/>
        <w:numPr>
          <w:ilvl w:val="0"/>
          <w:numId w:val="0"/>
        </w:numPr>
        <w:ind w:left="720" w:firstLine="142"/>
        <w:rPr>
          <w:rFonts w:asciiTheme="minorHAnsi" w:hAnsiTheme="minorHAnsi"/>
          <w:b w:val="0"/>
          <w:i/>
          <w:sz w:val="24"/>
          <w:szCs w:val="24"/>
        </w:rPr>
      </w:pPr>
      <w:r w:rsidRPr="00DB760B">
        <w:rPr>
          <w:rFonts w:asciiTheme="minorHAnsi" w:hAnsiTheme="minorHAnsi"/>
          <w:b w:val="0"/>
          <w:i/>
          <w:sz w:val="24"/>
          <w:szCs w:val="24"/>
        </w:rPr>
        <w:t>For more detail on the PBAC’s view, see Section 7 PBAC outcome.</w:t>
      </w:r>
    </w:p>
    <w:p w:rsidR="00B60939" w:rsidRPr="00DB760B" w:rsidRDefault="00203181" w:rsidP="00B60939">
      <w:pPr>
        <w:pStyle w:val="PBACHeading1"/>
        <w:spacing w:before="240" w:after="120"/>
        <w:outlineLvl w:val="0"/>
      </w:pPr>
      <w:bookmarkStart w:id="3" w:name="_Toc514244708"/>
      <w:r w:rsidRPr="00DB760B">
        <w:t xml:space="preserve">Population and </w:t>
      </w:r>
      <w:r w:rsidR="008E0D3C" w:rsidRPr="00DB760B">
        <w:t>d</w:t>
      </w:r>
      <w:r w:rsidRPr="00DB760B">
        <w:t>isease</w:t>
      </w:r>
      <w:bookmarkEnd w:id="3"/>
    </w:p>
    <w:p w:rsidR="00894489" w:rsidRPr="00DB760B" w:rsidRDefault="003A4C25" w:rsidP="00050ADD">
      <w:pPr>
        <w:pStyle w:val="ListParagraph"/>
        <w:widowControl/>
        <w:numPr>
          <w:ilvl w:val="1"/>
          <w:numId w:val="1"/>
        </w:numPr>
      </w:pPr>
      <w:r w:rsidRPr="00DB760B">
        <w:t xml:space="preserve">T2DM is a metabolic disorder characterised by hyperglycaemia resulting from resistance to the action of insulin, insufficient insulin secretion or both. The </w:t>
      </w:r>
      <w:r w:rsidRPr="00DB760B">
        <w:lastRenderedPageBreak/>
        <w:t>submissions target population was patients with T2DM who were inadequately controlled, but had been previously stabilised, on dual or triple oral combination therapy which included a SGLT2 inhibitor or a DPP4 inhibitor and metformin.</w:t>
      </w:r>
      <w:r w:rsidR="002623BD" w:rsidRPr="00DB760B">
        <w:t xml:space="preserve"> Inadequate control was defined in existing PBS criteria as glycated haemoglobin (HbA</w:t>
      </w:r>
      <w:r w:rsidR="002623BD" w:rsidRPr="00DB760B">
        <w:rPr>
          <w:vertAlign w:val="subscript"/>
        </w:rPr>
        <w:t>1c</w:t>
      </w:r>
      <w:r w:rsidR="002623BD" w:rsidRPr="00DB760B">
        <w:t>) greater than 7</w:t>
      </w:r>
      <w:r w:rsidR="00690AE0" w:rsidRPr="00DB760B">
        <w:t>.0</w:t>
      </w:r>
      <w:r w:rsidR="002623BD" w:rsidRPr="00DB760B">
        <w:t>%.</w:t>
      </w:r>
    </w:p>
    <w:p w:rsidR="002C2775" w:rsidRPr="00DB760B" w:rsidRDefault="00687329" w:rsidP="00050ADD">
      <w:pPr>
        <w:pStyle w:val="ListParagraph"/>
        <w:widowControl/>
        <w:numPr>
          <w:ilvl w:val="1"/>
          <w:numId w:val="1"/>
        </w:numPr>
      </w:pPr>
      <w:r w:rsidRPr="00DB760B">
        <w:t xml:space="preserve">The submission stated that the listing of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would result in no change to the current clinical management algorithm for T2DM. Triple therapy would be initiated in patients who were uncontrolled on dual therapy consisting of metformin plus either a SGLT2 inhibitor or a DPP4 inhibitor.</w:t>
      </w:r>
    </w:p>
    <w:p w:rsidR="00687329" w:rsidRPr="00DB760B" w:rsidRDefault="00687329" w:rsidP="00050ADD">
      <w:pPr>
        <w:pStyle w:val="ListParagraph"/>
        <w:widowControl/>
        <w:numPr>
          <w:ilvl w:val="1"/>
          <w:numId w:val="1"/>
        </w:numPr>
      </w:pPr>
      <w:r w:rsidRPr="00DB760B">
        <w:t xml:space="preserve">The place in therapy for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would be the same as for the PBS-</w:t>
      </w:r>
      <w:r w:rsidR="00781FE8" w:rsidRPr="00DB760B">
        <w:t>recommended</w:t>
      </w:r>
      <w:r w:rsidRPr="00DB760B">
        <w:t xml:space="preserve"> triple therapy combinations of a SGLT2 inhibitor plus a DPP4 inhibitor plus metformin.</w:t>
      </w:r>
    </w:p>
    <w:p w:rsidR="00E55BB5" w:rsidRPr="001B3286" w:rsidRDefault="00076208" w:rsidP="001B3286">
      <w:pPr>
        <w:pStyle w:val="PBACHeading1"/>
        <w:numPr>
          <w:ilvl w:val="0"/>
          <w:numId w:val="0"/>
        </w:numPr>
        <w:ind w:left="720" w:firstLine="142"/>
        <w:rPr>
          <w:rFonts w:asciiTheme="minorHAnsi" w:hAnsiTheme="minorHAnsi"/>
          <w:b w:val="0"/>
          <w:i/>
          <w:sz w:val="24"/>
          <w:szCs w:val="24"/>
        </w:rPr>
      </w:pPr>
      <w:r w:rsidRPr="00DB760B">
        <w:rPr>
          <w:rFonts w:asciiTheme="minorHAnsi" w:hAnsiTheme="minorHAnsi"/>
          <w:b w:val="0"/>
          <w:i/>
          <w:sz w:val="24"/>
          <w:szCs w:val="24"/>
        </w:rPr>
        <w:t>For more detail on the PBAC’s view, see Section 7 PBAC outcome.</w:t>
      </w:r>
    </w:p>
    <w:p w:rsidR="00B60939" w:rsidRPr="00DB760B" w:rsidRDefault="00B50DB8" w:rsidP="005A79A2">
      <w:pPr>
        <w:pStyle w:val="PBACHeading1"/>
        <w:keepNext/>
        <w:spacing w:before="240" w:after="120"/>
        <w:outlineLvl w:val="0"/>
      </w:pPr>
      <w:bookmarkStart w:id="4" w:name="_Toc514244709"/>
      <w:r w:rsidRPr="00DB760B">
        <w:t>Comparator</w:t>
      </w:r>
      <w:bookmarkEnd w:id="4"/>
    </w:p>
    <w:p w:rsidR="00CF29D7" w:rsidRPr="00DB760B" w:rsidRDefault="00CF29D7" w:rsidP="00050ADD">
      <w:pPr>
        <w:pStyle w:val="ListParagraph"/>
        <w:keepNext/>
        <w:widowControl/>
        <w:numPr>
          <w:ilvl w:val="1"/>
          <w:numId w:val="1"/>
        </w:numPr>
      </w:pPr>
      <w:r w:rsidRPr="00DB760B">
        <w:rPr>
          <w:rFonts w:cs="Calibri"/>
          <w:snapToGrid/>
          <w:szCs w:val="24"/>
          <w:lang w:eastAsia="en-AU"/>
        </w:rPr>
        <w:t xml:space="preserve">For the triple therapy combination of </w:t>
      </w:r>
      <w:proofErr w:type="spellStart"/>
      <w:r w:rsidRPr="00DB760B">
        <w:rPr>
          <w:rFonts w:cs="Calibri"/>
          <w:snapToGrid/>
          <w:szCs w:val="24"/>
          <w:lang w:eastAsia="en-AU"/>
        </w:rPr>
        <w:t>ertugliflozin</w:t>
      </w:r>
      <w:proofErr w:type="spellEnd"/>
      <w:r w:rsidRPr="00DB760B">
        <w:rPr>
          <w:rFonts w:cs="Calibri"/>
          <w:snapToGrid/>
          <w:szCs w:val="24"/>
          <w:lang w:eastAsia="en-AU"/>
        </w:rPr>
        <w:t xml:space="preserve"> </w:t>
      </w:r>
      <w:r w:rsidR="006144C0" w:rsidRPr="00DB760B">
        <w:rPr>
          <w:rFonts w:cs="Calibri"/>
          <w:snapToGrid/>
          <w:szCs w:val="24"/>
          <w:lang w:eastAsia="en-AU"/>
        </w:rPr>
        <w:t xml:space="preserve">5 mg or 15 mg </w:t>
      </w:r>
      <w:r w:rsidRPr="00DB760B">
        <w:rPr>
          <w:rFonts w:cs="Calibri"/>
          <w:snapToGrid/>
          <w:szCs w:val="24"/>
          <w:lang w:eastAsia="en-AU"/>
        </w:rPr>
        <w:t xml:space="preserve">plus </w:t>
      </w:r>
      <w:proofErr w:type="spellStart"/>
      <w:r w:rsidRPr="00DB760B">
        <w:rPr>
          <w:rFonts w:cs="Calibri"/>
          <w:snapToGrid/>
          <w:szCs w:val="24"/>
          <w:lang w:eastAsia="en-AU"/>
        </w:rPr>
        <w:t>sitagliptin</w:t>
      </w:r>
      <w:proofErr w:type="spellEnd"/>
      <w:r w:rsidRPr="00DB760B">
        <w:rPr>
          <w:rFonts w:cs="Calibri"/>
          <w:snapToGrid/>
          <w:szCs w:val="24"/>
          <w:lang w:eastAsia="en-AU"/>
        </w:rPr>
        <w:t xml:space="preserve"> </w:t>
      </w:r>
      <w:r w:rsidR="006144C0" w:rsidRPr="00DB760B">
        <w:rPr>
          <w:rFonts w:cs="Calibri"/>
          <w:snapToGrid/>
          <w:szCs w:val="24"/>
          <w:lang w:eastAsia="en-AU"/>
        </w:rPr>
        <w:t>100</w:t>
      </w:r>
      <w:r w:rsidR="00C17F5C" w:rsidRPr="00DB760B">
        <w:rPr>
          <w:rFonts w:cs="Calibri"/>
          <w:snapToGrid/>
          <w:szCs w:val="24"/>
          <w:lang w:eastAsia="en-AU"/>
        </w:rPr>
        <w:t> </w:t>
      </w:r>
      <w:r w:rsidR="006144C0" w:rsidRPr="00DB760B">
        <w:rPr>
          <w:rFonts w:cs="Calibri"/>
          <w:snapToGrid/>
          <w:szCs w:val="24"/>
          <w:lang w:eastAsia="en-AU"/>
        </w:rPr>
        <w:t xml:space="preserve">mg </w:t>
      </w:r>
      <w:r w:rsidRPr="00DB760B">
        <w:rPr>
          <w:rFonts w:cs="Calibri"/>
          <w:snapToGrid/>
          <w:szCs w:val="24"/>
          <w:lang w:eastAsia="en-AU"/>
        </w:rPr>
        <w:t>plus metformin, the submission nominated two primary comparators:</w:t>
      </w:r>
    </w:p>
    <w:p w:rsidR="00CF29D7" w:rsidRPr="00DB760B" w:rsidRDefault="00FE61D1" w:rsidP="00050ADD">
      <w:pPr>
        <w:pStyle w:val="ListParagraph"/>
        <w:widowControl/>
        <w:numPr>
          <w:ilvl w:val="0"/>
          <w:numId w:val="4"/>
        </w:numPr>
      </w:pPr>
      <w:proofErr w:type="spellStart"/>
      <w:r w:rsidRPr="00DB760B">
        <w:rPr>
          <w:rFonts w:cs="Calibri"/>
          <w:snapToGrid/>
          <w:szCs w:val="24"/>
          <w:lang w:eastAsia="en-AU"/>
        </w:rPr>
        <w:t>d</w:t>
      </w:r>
      <w:r w:rsidR="00CF29D7" w:rsidRPr="00DB760B">
        <w:rPr>
          <w:rFonts w:cs="Calibri"/>
          <w:snapToGrid/>
          <w:szCs w:val="24"/>
          <w:lang w:eastAsia="en-AU"/>
        </w:rPr>
        <w:t>apagliflozin</w:t>
      </w:r>
      <w:proofErr w:type="spellEnd"/>
      <w:r w:rsidR="00CF29D7" w:rsidRPr="00DB760B">
        <w:rPr>
          <w:rFonts w:cs="Calibri"/>
          <w:snapToGrid/>
          <w:szCs w:val="24"/>
          <w:lang w:eastAsia="en-AU"/>
        </w:rPr>
        <w:t xml:space="preserve"> </w:t>
      </w:r>
      <w:r w:rsidR="006144C0" w:rsidRPr="00DB760B">
        <w:rPr>
          <w:rFonts w:cs="Calibri"/>
          <w:snapToGrid/>
          <w:szCs w:val="24"/>
          <w:lang w:eastAsia="en-AU"/>
        </w:rPr>
        <w:t xml:space="preserve">10 mg </w:t>
      </w:r>
      <w:r w:rsidR="00CF29D7" w:rsidRPr="00DB760B">
        <w:rPr>
          <w:rFonts w:cs="Calibri"/>
          <w:snapToGrid/>
          <w:szCs w:val="24"/>
          <w:lang w:eastAsia="en-AU"/>
        </w:rPr>
        <w:t xml:space="preserve">plus </w:t>
      </w:r>
      <w:proofErr w:type="spellStart"/>
      <w:r w:rsidR="00CF29D7" w:rsidRPr="00DB760B">
        <w:rPr>
          <w:rFonts w:cs="Calibri"/>
          <w:snapToGrid/>
          <w:szCs w:val="24"/>
          <w:lang w:eastAsia="en-AU"/>
        </w:rPr>
        <w:t>saxagliptin</w:t>
      </w:r>
      <w:proofErr w:type="spellEnd"/>
      <w:r w:rsidR="00CF29D7" w:rsidRPr="00DB760B">
        <w:rPr>
          <w:rFonts w:cs="Calibri"/>
          <w:snapToGrid/>
          <w:szCs w:val="24"/>
          <w:lang w:eastAsia="en-AU"/>
        </w:rPr>
        <w:t xml:space="preserve"> </w:t>
      </w:r>
      <w:r w:rsidR="006144C0" w:rsidRPr="00DB760B">
        <w:rPr>
          <w:rFonts w:cs="Calibri"/>
          <w:snapToGrid/>
          <w:szCs w:val="24"/>
          <w:lang w:eastAsia="en-AU"/>
        </w:rPr>
        <w:t xml:space="preserve">5 mg </w:t>
      </w:r>
      <w:r w:rsidR="00CF29D7" w:rsidRPr="00DB760B">
        <w:rPr>
          <w:rFonts w:cs="Calibri"/>
          <w:snapToGrid/>
          <w:szCs w:val="24"/>
          <w:lang w:eastAsia="en-AU"/>
        </w:rPr>
        <w:t xml:space="preserve">plus metformin; and </w:t>
      </w:r>
    </w:p>
    <w:p w:rsidR="002C2775" w:rsidRPr="00DB760B" w:rsidRDefault="00FE61D1" w:rsidP="00050ADD">
      <w:pPr>
        <w:pStyle w:val="ListParagraph"/>
        <w:widowControl/>
        <w:numPr>
          <w:ilvl w:val="0"/>
          <w:numId w:val="4"/>
        </w:numPr>
      </w:pPr>
      <w:proofErr w:type="spellStart"/>
      <w:proofErr w:type="gramStart"/>
      <w:r w:rsidRPr="00DB760B">
        <w:rPr>
          <w:rFonts w:cs="Calibri"/>
          <w:snapToGrid/>
          <w:szCs w:val="24"/>
          <w:lang w:eastAsia="en-AU"/>
        </w:rPr>
        <w:t>e</w:t>
      </w:r>
      <w:r w:rsidR="00CF29D7" w:rsidRPr="00DB760B">
        <w:rPr>
          <w:rFonts w:cs="Calibri"/>
          <w:snapToGrid/>
          <w:szCs w:val="24"/>
          <w:lang w:eastAsia="en-AU"/>
        </w:rPr>
        <w:t>mpagliflozin</w:t>
      </w:r>
      <w:proofErr w:type="spellEnd"/>
      <w:proofErr w:type="gramEnd"/>
      <w:r w:rsidR="00CF29D7" w:rsidRPr="00DB760B">
        <w:rPr>
          <w:rFonts w:cs="Calibri"/>
          <w:snapToGrid/>
          <w:szCs w:val="24"/>
          <w:lang w:eastAsia="en-AU"/>
        </w:rPr>
        <w:t xml:space="preserve"> </w:t>
      </w:r>
      <w:r w:rsidR="006144C0" w:rsidRPr="00DB760B">
        <w:rPr>
          <w:rFonts w:cs="Calibri"/>
          <w:snapToGrid/>
          <w:szCs w:val="24"/>
          <w:lang w:eastAsia="en-AU"/>
        </w:rPr>
        <w:t xml:space="preserve">10 mg or 25 mg </w:t>
      </w:r>
      <w:r w:rsidR="00CF29D7" w:rsidRPr="00DB760B">
        <w:rPr>
          <w:rFonts w:cs="Calibri"/>
          <w:snapToGrid/>
          <w:szCs w:val="24"/>
          <w:lang w:eastAsia="en-AU"/>
        </w:rPr>
        <w:t xml:space="preserve">plus </w:t>
      </w:r>
      <w:proofErr w:type="spellStart"/>
      <w:r w:rsidR="00CF29D7" w:rsidRPr="00DB760B">
        <w:rPr>
          <w:rFonts w:cs="Calibri"/>
          <w:snapToGrid/>
          <w:szCs w:val="24"/>
          <w:lang w:eastAsia="en-AU"/>
        </w:rPr>
        <w:t>linagliptin</w:t>
      </w:r>
      <w:proofErr w:type="spellEnd"/>
      <w:r w:rsidR="00CF29D7" w:rsidRPr="00DB760B">
        <w:rPr>
          <w:rFonts w:cs="Calibri"/>
          <w:snapToGrid/>
          <w:szCs w:val="24"/>
          <w:lang w:eastAsia="en-AU"/>
        </w:rPr>
        <w:t xml:space="preserve"> </w:t>
      </w:r>
      <w:r w:rsidR="006144C0" w:rsidRPr="00DB760B">
        <w:rPr>
          <w:rFonts w:cs="Calibri"/>
          <w:snapToGrid/>
          <w:szCs w:val="24"/>
          <w:lang w:eastAsia="en-AU"/>
        </w:rPr>
        <w:t xml:space="preserve">5 mg </w:t>
      </w:r>
      <w:r w:rsidR="00CF29D7" w:rsidRPr="00DB760B">
        <w:rPr>
          <w:rFonts w:cs="Calibri"/>
          <w:snapToGrid/>
          <w:szCs w:val="24"/>
          <w:lang w:eastAsia="en-AU"/>
        </w:rPr>
        <w:t xml:space="preserve">plus metformin. </w:t>
      </w:r>
    </w:p>
    <w:p w:rsidR="00133822" w:rsidRPr="00DB760B" w:rsidRDefault="00133822" w:rsidP="00133822">
      <w:pPr>
        <w:pStyle w:val="ListParagraph"/>
        <w:widowControl/>
        <w:numPr>
          <w:ilvl w:val="1"/>
          <w:numId w:val="1"/>
        </w:numPr>
      </w:pPr>
      <w:r w:rsidRPr="00DB760B">
        <w:rPr>
          <w:rFonts w:cs="Calibri"/>
          <w:snapToGrid/>
          <w:szCs w:val="24"/>
          <w:lang w:eastAsia="en-AU"/>
        </w:rPr>
        <w:t xml:space="preserve">For </w:t>
      </w:r>
      <w:proofErr w:type="spellStart"/>
      <w:r w:rsidRPr="00DB760B">
        <w:rPr>
          <w:rFonts w:cs="Calibri"/>
          <w:snapToGrid/>
          <w:szCs w:val="24"/>
          <w:lang w:eastAsia="en-AU"/>
        </w:rPr>
        <w:t>ertugliflozin</w:t>
      </w:r>
      <w:proofErr w:type="spellEnd"/>
      <w:r w:rsidRPr="00DB760B">
        <w:rPr>
          <w:rFonts w:cs="Calibri"/>
          <w:snapToGrid/>
          <w:szCs w:val="24"/>
          <w:lang w:eastAsia="en-AU"/>
        </w:rPr>
        <w:t xml:space="preserve"> plus </w:t>
      </w:r>
      <w:proofErr w:type="spellStart"/>
      <w:r w:rsidRPr="00DB760B">
        <w:rPr>
          <w:rFonts w:cs="Calibri"/>
          <w:snapToGrid/>
          <w:szCs w:val="24"/>
          <w:lang w:eastAsia="en-AU"/>
        </w:rPr>
        <w:t>sitagliptin</w:t>
      </w:r>
      <w:proofErr w:type="spellEnd"/>
      <w:r w:rsidRPr="00DB760B">
        <w:rPr>
          <w:rFonts w:cs="Calibri"/>
          <w:snapToGrid/>
          <w:szCs w:val="24"/>
          <w:lang w:eastAsia="en-AU"/>
        </w:rPr>
        <w:t xml:space="preserve"> 5 mg/100 mg or 15 mg/100 mg FDC products, the nominated comparators were:</w:t>
      </w:r>
    </w:p>
    <w:p w:rsidR="00133822" w:rsidRPr="00DB760B" w:rsidRDefault="00133822" w:rsidP="00133822">
      <w:pPr>
        <w:pStyle w:val="ListParagraph"/>
        <w:widowControl/>
        <w:numPr>
          <w:ilvl w:val="0"/>
          <w:numId w:val="5"/>
        </w:numPr>
      </w:pPr>
      <w:r w:rsidRPr="00DB760B">
        <w:t>the individual components taken concurrently at the corresponding doses;</w:t>
      </w:r>
    </w:p>
    <w:p w:rsidR="00133822" w:rsidRPr="00DB760B" w:rsidRDefault="00133822" w:rsidP="00133822">
      <w:pPr>
        <w:pStyle w:val="ListParagraph"/>
        <w:widowControl/>
        <w:numPr>
          <w:ilvl w:val="0"/>
          <w:numId w:val="5"/>
        </w:numPr>
      </w:pPr>
      <w:proofErr w:type="spellStart"/>
      <w:r w:rsidRPr="00DB760B">
        <w:t>dapagliflozin</w:t>
      </w:r>
      <w:proofErr w:type="spellEnd"/>
      <w:r w:rsidRPr="00DB760B">
        <w:t xml:space="preserve"> with </w:t>
      </w:r>
      <w:proofErr w:type="spellStart"/>
      <w:r w:rsidRPr="00DB760B">
        <w:t>saxagliptin</w:t>
      </w:r>
      <w:proofErr w:type="spellEnd"/>
      <w:r w:rsidRPr="00DB760B">
        <w:t xml:space="preserve"> (10 mg/5 mg) FDC product; and</w:t>
      </w:r>
    </w:p>
    <w:p w:rsidR="00133822" w:rsidRPr="00DB760B" w:rsidRDefault="00133822" w:rsidP="00133822">
      <w:pPr>
        <w:pStyle w:val="ListParagraph"/>
        <w:widowControl/>
        <w:numPr>
          <w:ilvl w:val="0"/>
          <w:numId w:val="5"/>
        </w:numPr>
      </w:pPr>
      <w:proofErr w:type="spellStart"/>
      <w:proofErr w:type="gramStart"/>
      <w:r w:rsidRPr="00DB760B">
        <w:t>empagliflozin</w:t>
      </w:r>
      <w:proofErr w:type="spellEnd"/>
      <w:proofErr w:type="gramEnd"/>
      <w:r w:rsidRPr="00DB760B">
        <w:t xml:space="preserve"> with </w:t>
      </w:r>
      <w:proofErr w:type="spellStart"/>
      <w:r w:rsidRPr="00DB760B">
        <w:t>linagliptin</w:t>
      </w:r>
      <w:proofErr w:type="spellEnd"/>
      <w:r w:rsidRPr="00DB760B">
        <w:t xml:space="preserve"> (10 mg/5 mg, 25 mg/5 mg) FDC products.</w:t>
      </w:r>
    </w:p>
    <w:p w:rsidR="00133822" w:rsidRPr="00DB760B" w:rsidRDefault="00133822" w:rsidP="00050ADD">
      <w:pPr>
        <w:pStyle w:val="ListParagraph"/>
        <w:widowControl/>
        <w:numPr>
          <w:ilvl w:val="1"/>
          <w:numId w:val="1"/>
        </w:numPr>
      </w:pPr>
      <w:r w:rsidRPr="00DB760B">
        <w:t>The PBAC considered that the nominated comparators were appropriate.</w:t>
      </w:r>
    </w:p>
    <w:p w:rsidR="00B60939" w:rsidRPr="001B3286" w:rsidRDefault="00076208" w:rsidP="001B3286">
      <w:pPr>
        <w:widowControl/>
        <w:ind w:left="720" w:firstLine="142"/>
        <w:rPr>
          <w:i/>
        </w:rPr>
      </w:pPr>
      <w:r w:rsidRPr="00DB760B">
        <w:rPr>
          <w:i/>
        </w:rPr>
        <w:t>For more detail on the PBAC’s view, see Section 7 PBAC outcome.</w:t>
      </w:r>
    </w:p>
    <w:p w:rsidR="00B60939" w:rsidRPr="00DB760B" w:rsidRDefault="00BD6CF3" w:rsidP="004B1CB4">
      <w:pPr>
        <w:pStyle w:val="PBACHeading1"/>
        <w:spacing w:before="240" w:after="120"/>
        <w:outlineLvl w:val="0"/>
      </w:pPr>
      <w:bookmarkStart w:id="5" w:name="_Toc514244710"/>
      <w:r w:rsidRPr="00DB760B">
        <w:t>C</w:t>
      </w:r>
      <w:r w:rsidR="00B50DB8" w:rsidRPr="00DB760B">
        <w:t>onsideration of the evidence</w:t>
      </w:r>
      <w:bookmarkEnd w:id="5"/>
    </w:p>
    <w:p w:rsidR="00301DD3" w:rsidRPr="00DB760B" w:rsidRDefault="00301DD3" w:rsidP="001B3286">
      <w:pPr>
        <w:pStyle w:val="Heading2"/>
        <w:spacing w:before="240" w:after="120"/>
      </w:pPr>
      <w:bookmarkStart w:id="6" w:name="_Toc514244711"/>
      <w:r w:rsidRPr="00DB760B">
        <w:t>Sponsor hearing</w:t>
      </w:r>
    </w:p>
    <w:p w:rsidR="00301DD3" w:rsidRPr="00DB760B" w:rsidRDefault="00301DD3" w:rsidP="00050ADD">
      <w:pPr>
        <w:numPr>
          <w:ilvl w:val="1"/>
          <w:numId w:val="1"/>
        </w:numPr>
        <w:spacing w:after="120"/>
        <w:rPr>
          <w:rFonts w:asciiTheme="minorHAnsi" w:hAnsiTheme="minorHAnsi"/>
          <w:bCs/>
        </w:rPr>
      </w:pPr>
      <w:r w:rsidRPr="00DB760B">
        <w:rPr>
          <w:rFonts w:asciiTheme="minorHAnsi" w:hAnsiTheme="minorHAnsi"/>
          <w:bCs/>
        </w:rPr>
        <w:t>There was no hearing for this item.</w:t>
      </w:r>
    </w:p>
    <w:p w:rsidR="00133822" w:rsidRPr="001B3286" w:rsidRDefault="00301DD3" w:rsidP="001B3286">
      <w:pPr>
        <w:pStyle w:val="Heading2"/>
        <w:spacing w:before="240" w:after="120"/>
      </w:pPr>
      <w:r w:rsidRPr="005B5346">
        <w:t>Consumer comments</w:t>
      </w:r>
    </w:p>
    <w:p w:rsidR="00301DD3" w:rsidRPr="001B3286" w:rsidRDefault="00301DD3" w:rsidP="00301DD3">
      <w:pPr>
        <w:numPr>
          <w:ilvl w:val="1"/>
          <w:numId w:val="1"/>
        </w:numPr>
        <w:spacing w:after="120"/>
        <w:rPr>
          <w:rFonts w:asciiTheme="minorHAnsi" w:hAnsiTheme="minorHAnsi"/>
          <w:bCs/>
        </w:rPr>
      </w:pPr>
      <w:r w:rsidRPr="00DB760B">
        <w:rPr>
          <w:rFonts w:asciiTheme="minorHAnsi" w:hAnsiTheme="minorHAnsi"/>
          <w:bCs/>
        </w:rPr>
        <w:lastRenderedPageBreak/>
        <w:t>The PBAC noted that no consumer comments were received for this item.</w:t>
      </w:r>
    </w:p>
    <w:p w:rsidR="00B60939" w:rsidRPr="00DB760B" w:rsidRDefault="00B60939" w:rsidP="001B3286">
      <w:pPr>
        <w:pStyle w:val="Heading2"/>
        <w:spacing w:before="240" w:after="120"/>
      </w:pPr>
      <w:r w:rsidRPr="00DB760B">
        <w:t>Clinical trials</w:t>
      </w:r>
      <w:bookmarkEnd w:id="6"/>
    </w:p>
    <w:p w:rsidR="00C137D9" w:rsidRPr="00DB760B" w:rsidRDefault="00B84E7F" w:rsidP="00050ADD">
      <w:pPr>
        <w:pStyle w:val="ListParagraph"/>
        <w:widowControl/>
        <w:numPr>
          <w:ilvl w:val="1"/>
          <w:numId w:val="1"/>
        </w:numPr>
      </w:pPr>
      <w:r w:rsidRPr="00DB760B">
        <w:rPr>
          <w:rFonts w:cs="Calibri"/>
          <w:snapToGrid/>
          <w:szCs w:val="24"/>
          <w:lang w:eastAsia="en-AU"/>
        </w:rPr>
        <w:t>The primary clinical co</w:t>
      </w:r>
      <w:r w:rsidR="00C137D9" w:rsidRPr="00DB760B">
        <w:rPr>
          <w:rFonts w:cs="Calibri"/>
          <w:snapToGrid/>
          <w:szCs w:val="24"/>
          <w:lang w:eastAsia="en-AU"/>
        </w:rPr>
        <w:t>mpari</w:t>
      </w:r>
      <w:r w:rsidRPr="00DB760B">
        <w:rPr>
          <w:rFonts w:cs="Calibri"/>
          <w:snapToGrid/>
          <w:szCs w:val="24"/>
          <w:lang w:eastAsia="en-AU"/>
        </w:rPr>
        <w:t>son</w:t>
      </w:r>
      <w:r w:rsidR="00C137D9" w:rsidRPr="00DB760B">
        <w:rPr>
          <w:rFonts w:cs="Calibri"/>
          <w:snapToGrid/>
          <w:szCs w:val="24"/>
          <w:lang w:eastAsia="en-AU"/>
        </w:rPr>
        <w:t xml:space="preserve"> was an indirect comparison of </w:t>
      </w:r>
      <w:proofErr w:type="spellStart"/>
      <w:r w:rsidR="00C137D9" w:rsidRPr="00DB760B">
        <w:rPr>
          <w:rFonts w:cs="Calibri"/>
          <w:snapToGrid/>
          <w:szCs w:val="24"/>
          <w:lang w:eastAsia="en-AU"/>
        </w:rPr>
        <w:t>ertugliflozin</w:t>
      </w:r>
      <w:proofErr w:type="spellEnd"/>
      <w:r w:rsidR="00C137D9" w:rsidRPr="00DB760B">
        <w:rPr>
          <w:rFonts w:cs="Calibri"/>
          <w:snapToGrid/>
          <w:szCs w:val="24"/>
          <w:lang w:eastAsia="en-AU"/>
        </w:rPr>
        <w:t xml:space="preserve"> pl</w:t>
      </w:r>
      <w:r w:rsidR="00690AE0" w:rsidRPr="00DB760B">
        <w:rPr>
          <w:rFonts w:cs="Calibri"/>
          <w:snapToGrid/>
          <w:szCs w:val="24"/>
          <w:lang w:eastAsia="en-AU"/>
        </w:rPr>
        <w:t xml:space="preserve">us </w:t>
      </w:r>
      <w:proofErr w:type="spellStart"/>
      <w:r w:rsidR="00690AE0" w:rsidRPr="00DB760B">
        <w:rPr>
          <w:rFonts w:cs="Calibri"/>
          <w:snapToGrid/>
          <w:szCs w:val="24"/>
          <w:lang w:eastAsia="en-AU"/>
        </w:rPr>
        <w:t>sitagliptin</w:t>
      </w:r>
      <w:proofErr w:type="spellEnd"/>
      <w:r w:rsidR="00690AE0" w:rsidRPr="00DB760B">
        <w:rPr>
          <w:rFonts w:cs="Calibri"/>
          <w:snapToGrid/>
          <w:szCs w:val="24"/>
          <w:lang w:eastAsia="en-AU"/>
        </w:rPr>
        <w:t xml:space="preserve"> plus metformin with</w:t>
      </w:r>
      <w:r w:rsidR="00C137D9" w:rsidRPr="00DB760B">
        <w:rPr>
          <w:rFonts w:cs="Calibri"/>
          <w:snapToGrid/>
          <w:szCs w:val="24"/>
          <w:lang w:eastAsia="en-AU"/>
        </w:rPr>
        <w:t xml:space="preserve"> </w:t>
      </w:r>
      <w:proofErr w:type="spellStart"/>
      <w:r w:rsidR="00C137D9" w:rsidRPr="00DB760B">
        <w:rPr>
          <w:rFonts w:cs="Calibri"/>
          <w:snapToGrid/>
          <w:szCs w:val="24"/>
          <w:lang w:eastAsia="en-AU"/>
        </w:rPr>
        <w:t>dapagliflozin</w:t>
      </w:r>
      <w:proofErr w:type="spellEnd"/>
      <w:r w:rsidR="00C137D9" w:rsidRPr="00DB760B">
        <w:rPr>
          <w:rFonts w:cs="Calibri"/>
          <w:snapToGrid/>
          <w:szCs w:val="24"/>
          <w:lang w:eastAsia="en-AU"/>
        </w:rPr>
        <w:t xml:space="preserve"> plus </w:t>
      </w:r>
      <w:proofErr w:type="spellStart"/>
      <w:r w:rsidR="00C137D9" w:rsidRPr="00DB760B">
        <w:rPr>
          <w:rFonts w:cs="Calibri"/>
          <w:snapToGrid/>
          <w:szCs w:val="24"/>
          <w:lang w:eastAsia="en-AU"/>
        </w:rPr>
        <w:t>saxagliptin</w:t>
      </w:r>
      <w:proofErr w:type="spellEnd"/>
      <w:r w:rsidR="00C137D9" w:rsidRPr="00DB760B">
        <w:rPr>
          <w:rFonts w:cs="Calibri"/>
          <w:snapToGrid/>
          <w:szCs w:val="24"/>
          <w:lang w:eastAsia="en-AU"/>
        </w:rPr>
        <w:t xml:space="preserve"> plus metformin and </w:t>
      </w:r>
      <w:proofErr w:type="spellStart"/>
      <w:proofErr w:type="gramStart"/>
      <w:r w:rsidR="00C137D9" w:rsidRPr="00DB760B">
        <w:rPr>
          <w:rFonts w:cs="Calibri"/>
          <w:snapToGrid/>
          <w:szCs w:val="24"/>
          <w:lang w:eastAsia="en-AU"/>
        </w:rPr>
        <w:t>empagliflozin</w:t>
      </w:r>
      <w:proofErr w:type="spellEnd"/>
      <w:proofErr w:type="gramEnd"/>
      <w:r w:rsidR="00C137D9" w:rsidRPr="00DB760B">
        <w:rPr>
          <w:rFonts w:cs="Calibri"/>
          <w:snapToGrid/>
          <w:szCs w:val="24"/>
          <w:lang w:eastAsia="en-AU"/>
        </w:rPr>
        <w:t xml:space="preserve"> plus </w:t>
      </w:r>
      <w:proofErr w:type="spellStart"/>
      <w:r w:rsidR="00C137D9" w:rsidRPr="00DB760B">
        <w:rPr>
          <w:rFonts w:cs="Calibri"/>
          <w:snapToGrid/>
          <w:szCs w:val="24"/>
          <w:lang w:eastAsia="en-AU"/>
        </w:rPr>
        <w:t>linagliptin</w:t>
      </w:r>
      <w:proofErr w:type="spellEnd"/>
      <w:r w:rsidR="00C137D9" w:rsidRPr="00DB760B">
        <w:rPr>
          <w:rFonts w:cs="Calibri"/>
          <w:snapToGrid/>
          <w:szCs w:val="24"/>
          <w:lang w:eastAsia="en-AU"/>
        </w:rPr>
        <w:t xml:space="preserve"> plus metformin. Placebo plus a DPP4 inhibitor plus metformin was the common reference arm. The </w:t>
      </w:r>
      <w:r w:rsidR="00690AE0" w:rsidRPr="00DB760B">
        <w:rPr>
          <w:rFonts w:cs="Calibri"/>
          <w:snapToGrid/>
          <w:szCs w:val="24"/>
          <w:lang w:eastAsia="en-AU"/>
        </w:rPr>
        <w:t>comparison included</w:t>
      </w:r>
      <w:r w:rsidR="00C137D9" w:rsidRPr="00DB760B">
        <w:rPr>
          <w:rFonts w:cs="Calibri"/>
          <w:snapToGrid/>
          <w:szCs w:val="24"/>
          <w:lang w:eastAsia="en-AU"/>
        </w:rPr>
        <w:t xml:space="preserve"> the results from three key randomised controlled trials:</w:t>
      </w:r>
    </w:p>
    <w:p w:rsidR="00C137D9" w:rsidRPr="00DB760B" w:rsidRDefault="00C137D9" w:rsidP="00050ADD">
      <w:pPr>
        <w:pStyle w:val="ListParagraph"/>
        <w:widowControl/>
        <w:numPr>
          <w:ilvl w:val="0"/>
          <w:numId w:val="6"/>
        </w:numPr>
      </w:pPr>
      <w:r w:rsidRPr="00DB760B">
        <w:rPr>
          <w:rFonts w:cs="Calibri"/>
          <w:snapToGrid/>
          <w:szCs w:val="24"/>
          <w:lang w:eastAsia="en-AU"/>
        </w:rPr>
        <w:t xml:space="preserve">P006 – a comparison of </w:t>
      </w:r>
      <w:r w:rsidR="005A79A2" w:rsidRPr="00DB760B">
        <w:rPr>
          <w:rFonts w:cs="Calibri"/>
          <w:snapToGrid/>
          <w:szCs w:val="24"/>
          <w:lang w:eastAsia="en-AU"/>
        </w:rPr>
        <w:t>[</w:t>
      </w:r>
      <w:proofErr w:type="spellStart"/>
      <w:r w:rsidRPr="00DB760B">
        <w:rPr>
          <w:rFonts w:cs="Calibri"/>
          <w:snapToGrid/>
          <w:szCs w:val="24"/>
          <w:lang w:eastAsia="en-AU"/>
        </w:rPr>
        <w:t>ertugliflozin</w:t>
      </w:r>
      <w:proofErr w:type="spellEnd"/>
      <w:r w:rsidRPr="00DB760B">
        <w:rPr>
          <w:rFonts w:cs="Calibri"/>
          <w:snapToGrid/>
          <w:szCs w:val="24"/>
          <w:lang w:eastAsia="en-AU"/>
        </w:rPr>
        <w:t xml:space="preserve"> or placebo</w:t>
      </w:r>
      <w:r w:rsidR="005A79A2" w:rsidRPr="00DB760B">
        <w:rPr>
          <w:rFonts w:cs="Calibri"/>
          <w:snapToGrid/>
          <w:szCs w:val="24"/>
          <w:lang w:eastAsia="en-AU"/>
        </w:rPr>
        <w:t>]</w:t>
      </w:r>
      <w:r w:rsidRPr="00DB760B">
        <w:rPr>
          <w:rFonts w:cs="Calibri"/>
          <w:snapToGrid/>
          <w:szCs w:val="24"/>
          <w:lang w:eastAsia="en-AU"/>
        </w:rPr>
        <w:t xml:space="preserve"> plus </w:t>
      </w:r>
      <w:proofErr w:type="spellStart"/>
      <w:r w:rsidRPr="00DB760B">
        <w:rPr>
          <w:rFonts w:cs="Calibri"/>
          <w:snapToGrid/>
          <w:szCs w:val="24"/>
          <w:lang w:eastAsia="en-AU"/>
        </w:rPr>
        <w:t>sitagliptin</w:t>
      </w:r>
      <w:proofErr w:type="spellEnd"/>
      <w:r w:rsidRPr="00DB760B">
        <w:rPr>
          <w:rFonts w:cs="Calibri"/>
          <w:snapToGrid/>
          <w:szCs w:val="24"/>
          <w:lang w:eastAsia="en-AU"/>
        </w:rPr>
        <w:t xml:space="preserve"> plus metformin (N = 462);</w:t>
      </w:r>
    </w:p>
    <w:p w:rsidR="00C137D9" w:rsidRPr="00DB760B" w:rsidRDefault="00C137D9" w:rsidP="00050ADD">
      <w:pPr>
        <w:pStyle w:val="ListParagraph"/>
        <w:widowControl/>
        <w:numPr>
          <w:ilvl w:val="0"/>
          <w:numId w:val="6"/>
        </w:numPr>
      </w:pPr>
      <w:r w:rsidRPr="00DB760B">
        <w:rPr>
          <w:rFonts w:cs="Calibri"/>
          <w:snapToGrid/>
          <w:szCs w:val="24"/>
          <w:lang w:eastAsia="en-AU"/>
        </w:rPr>
        <w:t xml:space="preserve">Mathieu 2015 – a comparison of </w:t>
      </w:r>
      <w:r w:rsidR="005A79A2" w:rsidRPr="00DB760B">
        <w:rPr>
          <w:rFonts w:cs="Calibri"/>
          <w:snapToGrid/>
          <w:szCs w:val="24"/>
          <w:lang w:eastAsia="en-AU"/>
        </w:rPr>
        <w:t>[</w:t>
      </w:r>
      <w:proofErr w:type="spellStart"/>
      <w:r w:rsidRPr="00DB760B">
        <w:rPr>
          <w:rFonts w:cs="Calibri"/>
          <w:snapToGrid/>
          <w:szCs w:val="24"/>
          <w:lang w:eastAsia="en-AU"/>
        </w:rPr>
        <w:t>dapagliflozin</w:t>
      </w:r>
      <w:proofErr w:type="spellEnd"/>
      <w:r w:rsidRPr="00DB760B">
        <w:rPr>
          <w:rFonts w:cs="Calibri"/>
          <w:snapToGrid/>
          <w:szCs w:val="24"/>
          <w:lang w:eastAsia="en-AU"/>
        </w:rPr>
        <w:t xml:space="preserve"> or placebo</w:t>
      </w:r>
      <w:r w:rsidR="005A79A2" w:rsidRPr="00DB760B">
        <w:rPr>
          <w:rFonts w:cs="Calibri"/>
          <w:snapToGrid/>
          <w:szCs w:val="24"/>
          <w:lang w:eastAsia="en-AU"/>
        </w:rPr>
        <w:t>]</w:t>
      </w:r>
      <w:r w:rsidRPr="00DB760B">
        <w:rPr>
          <w:rFonts w:cs="Calibri"/>
          <w:snapToGrid/>
          <w:szCs w:val="24"/>
          <w:lang w:eastAsia="en-AU"/>
        </w:rPr>
        <w:t xml:space="preserve"> plus </w:t>
      </w:r>
      <w:proofErr w:type="spellStart"/>
      <w:r w:rsidRPr="00DB760B">
        <w:rPr>
          <w:rFonts w:cs="Calibri"/>
          <w:snapToGrid/>
          <w:szCs w:val="24"/>
          <w:lang w:eastAsia="en-AU"/>
        </w:rPr>
        <w:t>saxagliptin</w:t>
      </w:r>
      <w:proofErr w:type="spellEnd"/>
      <w:r w:rsidRPr="00DB760B">
        <w:rPr>
          <w:rFonts w:cs="Calibri"/>
          <w:snapToGrid/>
          <w:szCs w:val="24"/>
          <w:lang w:eastAsia="en-AU"/>
        </w:rPr>
        <w:t xml:space="preserve"> plus metformin (N = 320); and</w:t>
      </w:r>
    </w:p>
    <w:p w:rsidR="00C137D9" w:rsidRPr="00DB760B" w:rsidRDefault="00C137D9" w:rsidP="00050ADD">
      <w:pPr>
        <w:pStyle w:val="ListParagraph"/>
        <w:widowControl/>
        <w:numPr>
          <w:ilvl w:val="0"/>
          <w:numId w:val="6"/>
        </w:numPr>
      </w:pPr>
      <w:proofErr w:type="spellStart"/>
      <w:r w:rsidRPr="00DB760B">
        <w:rPr>
          <w:rFonts w:cs="Calibri"/>
          <w:snapToGrid/>
          <w:szCs w:val="24"/>
          <w:lang w:eastAsia="en-AU"/>
        </w:rPr>
        <w:t>Softeland</w:t>
      </w:r>
      <w:proofErr w:type="spellEnd"/>
      <w:r w:rsidRPr="00DB760B">
        <w:rPr>
          <w:rFonts w:cs="Calibri"/>
          <w:snapToGrid/>
          <w:szCs w:val="24"/>
          <w:lang w:eastAsia="en-AU"/>
        </w:rPr>
        <w:t xml:space="preserve"> 2017 – a comparison of </w:t>
      </w:r>
      <w:r w:rsidR="005A79A2" w:rsidRPr="00DB760B">
        <w:rPr>
          <w:rFonts w:cs="Calibri"/>
          <w:snapToGrid/>
          <w:szCs w:val="24"/>
          <w:lang w:eastAsia="en-AU"/>
        </w:rPr>
        <w:t>[</w:t>
      </w:r>
      <w:proofErr w:type="spellStart"/>
      <w:r w:rsidRPr="00DB760B">
        <w:rPr>
          <w:rFonts w:cs="Calibri"/>
          <w:snapToGrid/>
          <w:szCs w:val="24"/>
          <w:lang w:eastAsia="en-AU"/>
        </w:rPr>
        <w:t>empagliflozin</w:t>
      </w:r>
      <w:proofErr w:type="spellEnd"/>
      <w:r w:rsidRPr="00DB760B">
        <w:rPr>
          <w:rFonts w:cs="Calibri"/>
          <w:snapToGrid/>
          <w:szCs w:val="24"/>
          <w:lang w:eastAsia="en-AU"/>
        </w:rPr>
        <w:t xml:space="preserve"> or placebo</w:t>
      </w:r>
      <w:r w:rsidR="005A79A2" w:rsidRPr="00DB760B">
        <w:rPr>
          <w:rFonts w:cs="Calibri"/>
          <w:snapToGrid/>
          <w:szCs w:val="24"/>
          <w:lang w:eastAsia="en-AU"/>
        </w:rPr>
        <w:t>]</w:t>
      </w:r>
      <w:r w:rsidRPr="00DB760B">
        <w:rPr>
          <w:rFonts w:cs="Calibri"/>
          <w:snapToGrid/>
          <w:szCs w:val="24"/>
          <w:lang w:eastAsia="en-AU"/>
        </w:rPr>
        <w:t xml:space="preserve"> plus </w:t>
      </w:r>
      <w:proofErr w:type="spellStart"/>
      <w:r w:rsidRPr="00DB760B">
        <w:rPr>
          <w:rFonts w:cs="Calibri"/>
          <w:snapToGrid/>
          <w:szCs w:val="24"/>
          <w:lang w:eastAsia="en-AU"/>
        </w:rPr>
        <w:t>linagliptin</w:t>
      </w:r>
      <w:proofErr w:type="spellEnd"/>
      <w:r w:rsidRPr="00DB760B">
        <w:rPr>
          <w:rFonts w:cs="Calibri"/>
          <w:snapToGrid/>
          <w:szCs w:val="24"/>
          <w:lang w:eastAsia="en-AU"/>
        </w:rPr>
        <w:t xml:space="preserve"> plus metformin (N = 327).</w:t>
      </w:r>
    </w:p>
    <w:p w:rsidR="00C137D9" w:rsidRPr="00DB760B" w:rsidRDefault="00C137D9" w:rsidP="00050ADD">
      <w:pPr>
        <w:pStyle w:val="ListParagraph"/>
        <w:widowControl/>
        <w:numPr>
          <w:ilvl w:val="1"/>
          <w:numId w:val="1"/>
        </w:numPr>
      </w:pPr>
      <w:r w:rsidRPr="00DB760B">
        <w:t xml:space="preserve">Supporting information was provided by three </w:t>
      </w:r>
      <w:r w:rsidR="000F48C0" w:rsidRPr="00DB760B">
        <w:t>additional</w:t>
      </w:r>
      <w:r w:rsidRPr="00DB760B">
        <w:t xml:space="preserve"> randomised controlled trials:</w:t>
      </w:r>
    </w:p>
    <w:p w:rsidR="00C137D9" w:rsidRPr="00DB760B" w:rsidRDefault="00C137D9" w:rsidP="00050ADD">
      <w:pPr>
        <w:pStyle w:val="ListParagraph"/>
        <w:widowControl/>
        <w:numPr>
          <w:ilvl w:val="0"/>
          <w:numId w:val="7"/>
        </w:numPr>
      </w:pPr>
      <w:proofErr w:type="spellStart"/>
      <w:r w:rsidRPr="00DB760B">
        <w:t>Jabbou</w:t>
      </w:r>
      <w:r w:rsidR="00B84E7F" w:rsidRPr="00DB760B">
        <w:t>r</w:t>
      </w:r>
      <w:proofErr w:type="spellEnd"/>
      <w:r w:rsidRPr="00DB760B">
        <w:t xml:space="preserve"> 2014 – a comparison of </w:t>
      </w:r>
      <w:r w:rsidR="005A79A2" w:rsidRPr="00DB760B">
        <w:t>[</w:t>
      </w:r>
      <w:proofErr w:type="spellStart"/>
      <w:r w:rsidRPr="00DB760B">
        <w:t>dapagliflozin</w:t>
      </w:r>
      <w:proofErr w:type="spellEnd"/>
      <w:r w:rsidRPr="00DB760B">
        <w:t xml:space="preserve"> or placebo</w:t>
      </w:r>
      <w:r w:rsidR="005A79A2" w:rsidRPr="00DB760B">
        <w:t>]</w:t>
      </w:r>
      <w:r w:rsidRPr="00DB760B">
        <w:t xml:space="preserve"> plus </w:t>
      </w:r>
      <w:proofErr w:type="spellStart"/>
      <w:r w:rsidRPr="00DB760B">
        <w:t>sitagliptin</w:t>
      </w:r>
      <w:proofErr w:type="spellEnd"/>
      <w:r w:rsidRPr="00DB760B">
        <w:t xml:space="preserve"> plus metformin (N = 226);</w:t>
      </w:r>
    </w:p>
    <w:p w:rsidR="00C137D9" w:rsidRPr="00DB760B" w:rsidRDefault="00C137D9" w:rsidP="00050ADD">
      <w:pPr>
        <w:pStyle w:val="ListParagraph"/>
        <w:widowControl/>
        <w:numPr>
          <w:ilvl w:val="0"/>
          <w:numId w:val="7"/>
        </w:numPr>
      </w:pPr>
      <w:proofErr w:type="spellStart"/>
      <w:r w:rsidRPr="00DB760B">
        <w:t>Matthaei</w:t>
      </w:r>
      <w:proofErr w:type="spellEnd"/>
      <w:r w:rsidRPr="00DB760B">
        <w:t xml:space="preserve"> 2015 – a comparison of </w:t>
      </w:r>
      <w:r w:rsidR="005A79A2" w:rsidRPr="00DB760B">
        <w:t>[</w:t>
      </w:r>
      <w:proofErr w:type="spellStart"/>
      <w:r w:rsidRPr="00DB760B">
        <w:t>saxagliptin</w:t>
      </w:r>
      <w:proofErr w:type="spellEnd"/>
      <w:r w:rsidRPr="00DB760B">
        <w:t xml:space="preserve"> or placebo</w:t>
      </w:r>
      <w:r w:rsidR="005A79A2" w:rsidRPr="00DB760B">
        <w:t>]</w:t>
      </w:r>
      <w:r w:rsidRPr="00DB760B">
        <w:t xml:space="preserve"> plus </w:t>
      </w:r>
      <w:proofErr w:type="spellStart"/>
      <w:r w:rsidRPr="00DB760B">
        <w:t>dapagliflozin</w:t>
      </w:r>
      <w:proofErr w:type="spellEnd"/>
      <w:r w:rsidRPr="00DB760B">
        <w:t xml:space="preserve"> plus metformin (N = 315); and </w:t>
      </w:r>
    </w:p>
    <w:p w:rsidR="00C137D9" w:rsidRPr="00DB760B" w:rsidRDefault="00C137D9" w:rsidP="00050ADD">
      <w:pPr>
        <w:pStyle w:val="ListParagraph"/>
        <w:widowControl/>
        <w:numPr>
          <w:ilvl w:val="0"/>
          <w:numId w:val="7"/>
        </w:numPr>
      </w:pPr>
      <w:proofErr w:type="spellStart"/>
      <w:r w:rsidRPr="00DB760B">
        <w:t>Tinahones</w:t>
      </w:r>
      <w:proofErr w:type="spellEnd"/>
      <w:r w:rsidRPr="00DB760B">
        <w:t xml:space="preserve"> 2016 – a comparison of </w:t>
      </w:r>
      <w:r w:rsidR="005A79A2" w:rsidRPr="00DB760B">
        <w:t>[</w:t>
      </w:r>
      <w:proofErr w:type="spellStart"/>
      <w:r w:rsidRPr="00DB760B">
        <w:t>linagliptin</w:t>
      </w:r>
      <w:proofErr w:type="spellEnd"/>
      <w:r w:rsidRPr="00DB760B">
        <w:t xml:space="preserve"> or placebo</w:t>
      </w:r>
      <w:r w:rsidR="005A79A2" w:rsidRPr="00DB760B">
        <w:t>]</w:t>
      </w:r>
      <w:r w:rsidRPr="00DB760B">
        <w:t xml:space="preserve"> plus </w:t>
      </w:r>
      <w:proofErr w:type="spellStart"/>
      <w:r w:rsidR="000F48C0" w:rsidRPr="00DB760B">
        <w:t>empagliflozin</w:t>
      </w:r>
      <w:proofErr w:type="spellEnd"/>
      <w:r w:rsidR="000F48C0" w:rsidRPr="00DB760B">
        <w:t xml:space="preserve"> plus metformin (N = 467).</w:t>
      </w:r>
    </w:p>
    <w:p w:rsidR="001B3286" w:rsidRPr="001B3286" w:rsidRDefault="00A73134" w:rsidP="001B3286">
      <w:pPr>
        <w:pStyle w:val="ListParagraph"/>
        <w:widowControl/>
        <w:numPr>
          <w:ilvl w:val="1"/>
          <w:numId w:val="1"/>
        </w:numPr>
      </w:pPr>
      <w:r w:rsidRPr="00DB760B">
        <w:rPr>
          <w:rFonts w:cs="Calibri"/>
          <w:snapToGrid/>
          <w:szCs w:val="24"/>
          <w:lang w:eastAsia="en-AU"/>
        </w:rPr>
        <w:t>Details of the trials presented in the submission ar</w:t>
      </w:r>
      <w:r w:rsidR="00DE2595">
        <w:rPr>
          <w:rFonts w:cs="Calibri"/>
          <w:snapToGrid/>
          <w:szCs w:val="24"/>
          <w:lang w:eastAsia="en-AU"/>
        </w:rPr>
        <w:t>e provided in the table below.</w:t>
      </w:r>
    </w:p>
    <w:p w:rsidR="001B3286" w:rsidRPr="001B3286" w:rsidRDefault="001B3286" w:rsidP="001B3286">
      <w:pPr>
        <w:pStyle w:val="ListParagraph"/>
        <w:widowControl/>
        <w:ind w:left="862"/>
        <w:rPr>
          <w:rStyle w:val="CommentReference"/>
          <w:rFonts w:ascii="Calibri" w:hAnsi="Calibri"/>
          <w:b w:val="0"/>
          <w:sz w:val="24"/>
          <w:szCs w:val="22"/>
        </w:rPr>
      </w:pPr>
    </w:p>
    <w:p w:rsidR="00CF29D7" w:rsidRPr="00DB760B" w:rsidRDefault="00CF29D7" w:rsidP="007B3E37">
      <w:pPr>
        <w:keepNext/>
        <w:rPr>
          <w:rFonts w:ascii="Arial Narrow" w:hAnsi="Arial Narrow"/>
          <w:b/>
          <w:sz w:val="20"/>
          <w:szCs w:val="16"/>
        </w:rPr>
      </w:pPr>
      <w:r w:rsidRPr="00DB760B">
        <w:rPr>
          <w:rStyle w:val="CommentReference"/>
        </w:rPr>
        <w:t>Table 2: Randomised controlled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5"/>
        <w:gridCol w:w="5997"/>
        <w:gridCol w:w="2091"/>
      </w:tblGrid>
      <w:tr w:rsidR="00CF29D7" w:rsidRPr="00DB760B" w:rsidTr="005A79A2">
        <w:trPr>
          <w:cantSplit/>
          <w:tblHeader/>
        </w:trPr>
        <w:tc>
          <w:tcPr>
            <w:tcW w:w="548" w:type="pct"/>
            <w:vAlign w:val="center"/>
          </w:tcPr>
          <w:p w:rsidR="00CF29D7" w:rsidRPr="00DB760B" w:rsidRDefault="00CF29D7" w:rsidP="001B3286">
            <w:pPr>
              <w:pStyle w:val="Tabletext"/>
              <w:rPr>
                <w:b/>
              </w:rPr>
            </w:pPr>
            <w:r w:rsidRPr="00DB760B">
              <w:rPr>
                <w:b/>
              </w:rPr>
              <w:t>Trial ID</w:t>
            </w:r>
          </w:p>
        </w:tc>
        <w:tc>
          <w:tcPr>
            <w:tcW w:w="3301" w:type="pct"/>
            <w:vAlign w:val="center"/>
          </w:tcPr>
          <w:p w:rsidR="00CF29D7" w:rsidRPr="00DB760B" w:rsidRDefault="00CF29D7" w:rsidP="001B3286">
            <w:pPr>
              <w:pStyle w:val="Tabletext"/>
              <w:jc w:val="center"/>
              <w:rPr>
                <w:b/>
              </w:rPr>
            </w:pPr>
            <w:r w:rsidRPr="00DB760B">
              <w:rPr>
                <w:b/>
              </w:rPr>
              <w:t>Protocol title/ Publication title</w:t>
            </w:r>
          </w:p>
        </w:tc>
        <w:tc>
          <w:tcPr>
            <w:tcW w:w="1151" w:type="pct"/>
          </w:tcPr>
          <w:p w:rsidR="00CF29D7" w:rsidRPr="00DB760B" w:rsidRDefault="00CF29D7" w:rsidP="001B3286">
            <w:pPr>
              <w:pStyle w:val="Tabletext"/>
              <w:jc w:val="center"/>
              <w:rPr>
                <w:b/>
              </w:rPr>
            </w:pPr>
            <w:r w:rsidRPr="00DB760B">
              <w:rPr>
                <w:b/>
              </w:rPr>
              <w:t>Publication citation</w:t>
            </w:r>
          </w:p>
        </w:tc>
      </w:tr>
      <w:tr w:rsidR="00CF29D7" w:rsidRPr="00DB760B" w:rsidTr="005A79A2">
        <w:trPr>
          <w:cantSplit/>
        </w:trPr>
        <w:tc>
          <w:tcPr>
            <w:tcW w:w="5000" w:type="pct"/>
            <w:gridSpan w:val="3"/>
            <w:tcBorders>
              <w:bottom w:val="nil"/>
            </w:tcBorders>
          </w:tcPr>
          <w:p w:rsidR="00CF29D7" w:rsidRPr="00DB760B" w:rsidRDefault="00CF29D7" w:rsidP="001B3286">
            <w:pPr>
              <w:pStyle w:val="Tabletext"/>
              <w:rPr>
                <w:b/>
              </w:rPr>
            </w:pPr>
            <w:r w:rsidRPr="00DB760B">
              <w:rPr>
                <w:b/>
              </w:rPr>
              <w:t>[ERTU] + SITA + MF</w:t>
            </w:r>
            <w:r w:rsidR="005C3302" w:rsidRPr="00DB760B">
              <w:rPr>
                <w:b/>
              </w:rPr>
              <w:t xml:space="preserve"> versus [PBO] + SITA + MF</w:t>
            </w:r>
          </w:p>
        </w:tc>
      </w:tr>
      <w:tr w:rsidR="00CF29D7" w:rsidRPr="00DB760B" w:rsidTr="005A79A2">
        <w:trPr>
          <w:cantSplit/>
        </w:trPr>
        <w:tc>
          <w:tcPr>
            <w:tcW w:w="548" w:type="pct"/>
            <w:tcBorders>
              <w:bottom w:val="nil"/>
            </w:tcBorders>
          </w:tcPr>
          <w:p w:rsidR="00CF29D7" w:rsidRPr="00DB760B" w:rsidRDefault="00CF29D7" w:rsidP="001B3286">
            <w:pPr>
              <w:pStyle w:val="Tabletext"/>
              <w:rPr>
                <w:rFonts w:ascii="Times" w:hAnsi="Times"/>
              </w:rPr>
            </w:pPr>
            <w:r w:rsidRPr="00DB760B">
              <w:t>P006</w:t>
            </w:r>
          </w:p>
        </w:tc>
        <w:tc>
          <w:tcPr>
            <w:tcW w:w="3301" w:type="pct"/>
            <w:tcBorders>
              <w:bottom w:val="nil"/>
            </w:tcBorders>
          </w:tcPr>
          <w:p w:rsidR="00CF29D7" w:rsidRPr="00DB760B" w:rsidRDefault="00CF29D7" w:rsidP="001B3286">
            <w:pPr>
              <w:pStyle w:val="Tabletext"/>
              <w:rPr>
                <w:szCs w:val="18"/>
              </w:rPr>
            </w:pPr>
            <w:r w:rsidRPr="00DB760B">
              <w:rPr>
                <w:szCs w:val="18"/>
              </w:rPr>
              <w:t xml:space="preserve">Study P006 – A </w:t>
            </w:r>
            <w:r w:rsidR="005A79A2" w:rsidRPr="00DB760B">
              <w:rPr>
                <w:szCs w:val="18"/>
              </w:rPr>
              <w:t>P</w:t>
            </w:r>
            <w:r w:rsidRPr="00DB760B">
              <w:rPr>
                <w:szCs w:val="18"/>
              </w:rPr>
              <w:t xml:space="preserve">hase </w:t>
            </w:r>
            <w:r w:rsidR="005A79A2" w:rsidRPr="00DB760B">
              <w:rPr>
                <w:szCs w:val="18"/>
              </w:rPr>
              <w:t>3</w:t>
            </w:r>
            <w:r w:rsidRPr="00DB760B">
              <w:rPr>
                <w:szCs w:val="18"/>
              </w:rPr>
              <w:t xml:space="preserve">, multicentre, </w:t>
            </w:r>
            <w:proofErr w:type="gramStart"/>
            <w:r w:rsidRPr="00DB760B">
              <w:rPr>
                <w:szCs w:val="18"/>
              </w:rPr>
              <w:t>randomised,</w:t>
            </w:r>
            <w:proofErr w:type="gramEnd"/>
            <w:r w:rsidRPr="00DB760B">
              <w:rPr>
                <w:szCs w:val="18"/>
              </w:rPr>
              <w:t xml:space="preserve"> double-blind, placebo-controlled, parallel-group clinical trial to evaluate the safety and efficacy of </w:t>
            </w:r>
            <w:proofErr w:type="spellStart"/>
            <w:r w:rsidRPr="00DB760B">
              <w:rPr>
                <w:szCs w:val="18"/>
              </w:rPr>
              <w:t>ertugliflozin</w:t>
            </w:r>
            <w:proofErr w:type="spellEnd"/>
            <w:r w:rsidRPr="00DB760B">
              <w:rPr>
                <w:szCs w:val="18"/>
              </w:rPr>
              <w:t xml:space="preserve"> (MK-8835/PF-04971729) in the treatment of subjects with Type 2 diabetes mellitus who have inadequate glycaemic control on metformin and </w:t>
            </w:r>
            <w:proofErr w:type="spellStart"/>
            <w:r w:rsidRPr="00DB760B">
              <w:rPr>
                <w:szCs w:val="18"/>
              </w:rPr>
              <w:t>sitagliptin</w:t>
            </w:r>
            <w:proofErr w:type="spellEnd"/>
            <w:r w:rsidRPr="00DB760B">
              <w:rPr>
                <w:szCs w:val="18"/>
              </w:rPr>
              <w:t>.</w:t>
            </w:r>
          </w:p>
        </w:tc>
        <w:tc>
          <w:tcPr>
            <w:tcW w:w="1151" w:type="pct"/>
            <w:tcBorders>
              <w:bottom w:val="nil"/>
            </w:tcBorders>
          </w:tcPr>
          <w:p w:rsidR="00CF29D7" w:rsidRPr="00DB760B" w:rsidRDefault="00CF29D7" w:rsidP="001B3286">
            <w:pPr>
              <w:pStyle w:val="Tabletext"/>
            </w:pPr>
            <w:r w:rsidRPr="00DB760B">
              <w:t>27 October 2016</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lang w:eastAsia="en-AU"/>
              </w:rPr>
            </w:pPr>
            <w:proofErr w:type="spellStart"/>
            <w:r w:rsidRPr="00DB760B">
              <w:rPr>
                <w:szCs w:val="18"/>
                <w:lang w:eastAsia="en-AU"/>
              </w:rPr>
              <w:t>Dagogo</w:t>
            </w:r>
            <w:proofErr w:type="spellEnd"/>
            <w:r w:rsidRPr="00DB760B">
              <w:rPr>
                <w:szCs w:val="18"/>
                <w:lang w:eastAsia="en-AU"/>
              </w:rPr>
              <w:t xml:space="preserve">-Jack S, Liu J, </w:t>
            </w:r>
            <w:proofErr w:type="spellStart"/>
            <w:r w:rsidRPr="00DB760B">
              <w:rPr>
                <w:szCs w:val="18"/>
                <w:lang w:eastAsia="en-AU"/>
              </w:rPr>
              <w:t>Eldor</w:t>
            </w:r>
            <w:proofErr w:type="spellEnd"/>
            <w:r w:rsidRPr="00DB760B">
              <w:rPr>
                <w:szCs w:val="18"/>
                <w:lang w:eastAsia="en-AU"/>
              </w:rPr>
              <w:t xml:space="preserve"> R, </w:t>
            </w:r>
            <w:proofErr w:type="spellStart"/>
            <w:r w:rsidRPr="00DB760B">
              <w:rPr>
                <w:szCs w:val="18"/>
                <w:lang w:eastAsia="en-AU"/>
              </w:rPr>
              <w:t>Amorin</w:t>
            </w:r>
            <w:proofErr w:type="spellEnd"/>
            <w:r w:rsidRPr="00DB760B">
              <w:rPr>
                <w:szCs w:val="18"/>
                <w:lang w:eastAsia="en-AU"/>
              </w:rPr>
              <w:t xml:space="preserve"> G, Johnson J, </w:t>
            </w:r>
            <w:r w:rsidRPr="00DB760B">
              <w:rPr>
                <w:i/>
                <w:szCs w:val="18"/>
                <w:lang w:eastAsia="en-AU"/>
              </w:rPr>
              <w:t>et al</w:t>
            </w:r>
            <w:r w:rsidRPr="00DB760B">
              <w:rPr>
                <w:szCs w:val="18"/>
                <w:lang w:eastAsia="en-AU"/>
              </w:rPr>
              <w:t xml:space="preserve">. Efficacy and safety of the addition of </w:t>
            </w:r>
            <w:proofErr w:type="spellStart"/>
            <w:r w:rsidRPr="00DB760B">
              <w:rPr>
                <w:szCs w:val="18"/>
                <w:lang w:eastAsia="en-AU"/>
              </w:rPr>
              <w:t>ertugliflozin</w:t>
            </w:r>
            <w:proofErr w:type="spellEnd"/>
            <w:r w:rsidRPr="00DB760B">
              <w:rPr>
                <w:szCs w:val="18"/>
                <w:lang w:eastAsia="en-AU"/>
              </w:rPr>
              <w:t xml:space="preserve"> in patients with Type 2 diabetes mellitus inadequately controlled with metformin and </w:t>
            </w:r>
            <w:proofErr w:type="spellStart"/>
            <w:r w:rsidRPr="00DB760B">
              <w:rPr>
                <w:szCs w:val="18"/>
                <w:lang w:eastAsia="en-AU"/>
              </w:rPr>
              <w:t>sitagliptin</w:t>
            </w:r>
            <w:proofErr w:type="spellEnd"/>
            <w:r w:rsidRPr="00DB760B">
              <w:rPr>
                <w:szCs w:val="18"/>
                <w:lang w:eastAsia="en-AU"/>
              </w:rPr>
              <w:t>: The VERTIS SITA2 placebo-controlled randomised study.</w:t>
            </w:r>
          </w:p>
        </w:tc>
        <w:tc>
          <w:tcPr>
            <w:tcW w:w="1151" w:type="pct"/>
            <w:tcBorders>
              <w:top w:val="nil"/>
              <w:bottom w:val="nil"/>
            </w:tcBorders>
          </w:tcPr>
          <w:p w:rsidR="00CF29D7" w:rsidRPr="00DB760B" w:rsidRDefault="00CF29D7" w:rsidP="001B3286">
            <w:pPr>
              <w:pStyle w:val="Tabletext"/>
              <w:rPr>
                <w:szCs w:val="18"/>
                <w:lang w:eastAsia="en-AU"/>
              </w:rPr>
            </w:pPr>
            <w:r w:rsidRPr="00DB760B">
              <w:rPr>
                <w:i/>
                <w:szCs w:val="18"/>
                <w:lang w:eastAsia="en-AU"/>
              </w:rPr>
              <w:t>Diabetes, Obesity and Metabolism</w:t>
            </w:r>
            <w:r w:rsidRPr="00DB760B">
              <w:rPr>
                <w:szCs w:val="18"/>
                <w:lang w:eastAsia="en-AU"/>
              </w:rPr>
              <w:t>. 2017;</w:t>
            </w:r>
            <w:r w:rsidR="00690AE0" w:rsidRPr="00DB760B">
              <w:rPr>
                <w:szCs w:val="18"/>
                <w:lang w:eastAsia="en-AU"/>
              </w:rPr>
              <w:t xml:space="preserve"> </w:t>
            </w:r>
            <w:r w:rsidRPr="00DB760B">
              <w:rPr>
                <w:szCs w:val="18"/>
                <w:lang w:eastAsia="en-AU"/>
              </w:rPr>
              <w:t>20(3):</w:t>
            </w:r>
            <w:r w:rsidR="00690AE0" w:rsidRPr="00DB760B">
              <w:rPr>
                <w:szCs w:val="18"/>
                <w:lang w:eastAsia="en-AU"/>
              </w:rPr>
              <w:t xml:space="preserve"> </w:t>
            </w:r>
            <w:r w:rsidRPr="00DB760B">
              <w:rPr>
                <w:szCs w:val="18"/>
                <w:lang w:eastAsia="en-AU"/>
              </w:rPr>
              <w:t>530-540.</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lang w:eastAsia="en-AU"/>
              </w:rPr>
            </w:pPr>
            <w:proofErr w:type="spellStart"/>
            <w:r w:rsidRPr="00DB760B">
              <w:rPr>
                <w:szCs w:val="18"/>
                <w:lang w:eastAsia="en-AU"/>
              </w:rPr>
              <w:t>Eldor</w:t>
            </w:r>
            <w:proofErr w:type="spellEnd"/>
            <w:r w:rsidRPr="00DB760B">
              <w:rPr>
                <w:szCs w:val="18"/>
                <w:lang w:eastAsia="en-AU"/>
              </w:rPr>
              <w:t xml:space="preserve"> R, Liu J, </w:t>
            </w:r>
            <w:proofErr w:type="spellStart"/>
            <w:r w:rsidRPr="00DB760B">
              <w:rPr>
                <w:szCs w:val="18"/>
                <w:lang w:eastAsia="en-AU"/>
              </w:rPr>
              <w:t>Dagogo</w:t>
            </w:r>
            <w:proofErr w:type="spellEnd"/>
            <w:r w:rsidRPr="00DB760B">
              <w:rPr>
                <w:szCs w:val="18"/>
                <w:lang w:eastAsia="en-AU"/>
              </w:rPr>
              <w:t xml:space="preserve">-Jack S, </w:t>
            </w:r>
            <w:proofErr w:type="spellStart"/>
            <w:r w:rsidRPr="00DB760B">
              <w:rPr>
                <w:szCs w:val="18"/>
                <w:lang w:eastAsia="en-AU"/>
              </w:rPr>
              <w:t>Amorin</w:t>
            </w:r>
            <w:proofErr w:type="spellEnd"/>
            <w:r w:rsidRPr="00DB760B">
              <w:rPr>
                <w:szCs w:val="18"/>
                <w:lang w:eastAsia="en-AU"/>
              </w:rPr>
              <w:t xml:space="preserve"> G, Johnson J, </w:t>
            </w:r>
            <w:r w:rsidRPr="00DB760B">
              <w:rPr>
                <w:i/>
                <w:szCs w:val="18"/>
                <w:lang w:eastAsia="en-AU"/>
              </w:rPr>
              <w:t>et al</w:t>
            </w:r>
            <w:r w:rsidRPr="00DB760B">
              <w:rPr>
                <w:szCs w:val="18"/>
                <w:lang w:eastAsia="en-AU"/>
              </w:rPr>
              <w:t xml:space="preserve">. Safety and efficacy of </w:t>
            </w:r>
            <w:proofErr w:type="spellStart"/>
            <w:r w:rsidRPr="00DB760B">
              <w:rPr>
                <w:szCs w:val="18"/>
                <w:lang w:eastAsia="en-AU"/>
              </w:rPr>
              <w:t>ertugliflozin</w:t>
            </w:r>
            <w:proofErr w:type="spellEnd"/>
            <w:r w:rsidRPr="00DB760B">
              <w:rPr>
                <w:szCs w:val="18"/>
                <w:lang w:eastAsia="en-AU"/>
              </w:rPr>
              <w:t xml:space="preserve"> after 52 weeks in patients with Type 2 diabetes inadequately controlled on metformin and </w:t>
            </w:r>
            <w:proofErr w:type="spellStart"/>
            <w:r w:rsidRPr="00DB760B">
              <w:rPr>
                <w:szCs w:val="18"/>
                <w:lang w:eastAsia="en-AU"/>
              </w:rPr>
              <w:t>sitagliptin</w:t>
            </w:r>
            <w:proofErr w:type="spellEnd"/>
            <w:r w:rsidRPr="00DB760B">
              <w:rPr>
                <w:szCs w:val="18"/>
                <w:lang w:eastAsia="en-AU"/>
              </w:rPr>
              <w:t xml:space="preserve">: VERTIS SITA2 trial extension. </w:t>
            </w:r>
          </w:p>
        </w:tc>
        <w:tc>
          <w:tcPr>
            <w:tcW w:w="1151" w:type="pct"/>
            <w:tcBorders>
              <w:top w:val="nil"/>
              <w:bottom w:val="nil"/>
            </w:tcBorders>
          </w:tcPr>
          <w:p w:rsidR="00CF29D7" w:rsidRPr="00DB760B" w:rsidRDefault="00CF29D7" w:rsidP="001B3286">
            <w:pPr>
              <w:pStyle w:val="Tabletext"/>
              <w:rPr>
                <w:szCs w:val="18"/>
                <w:lang w:eastAsia="en-AU"/>
              </w:rPr>
            </w:pPr>
            <w:r w:rsidRPr="00DB760B">
              <w:rPr>
                <w:szCs w:val="18"/>
                <w:lang w:eastAsia="en-AU"/>
              </w:rPr>
              <w:t>Conference abstract:</w:t>
            </w:r>
            <w:r w:rsidRPr="00DB760B">
              <w:rPr>
                <w:i/>
                <w:szCs w:val="18"/>
                <w:lang w:eastAsia="en-AU"/>
              </w:rPr>
              <w:t xml:space="preserve"> </w:t>
            </w:r>
            <w:proofErr w:type="spellStart"/>
            <w:r w:rsidRPr="00DB760B">
              <w:rPr>
                <w:i/>
                <w:szCs w:val="18"/>
                <w:lang w:eastAsia="en-AU"/>
              </w:rPr>
              <w:t>Diabetologia</w:t>
            </w:r>
            <w:proofErr w:type="spellEnd"/>
            <w:r w:rsidRPr="00DB760B">
              <w:rPr>
                <w:i/>
                <w:szCs w:val="18"/>
                <w:lang w:eastAsia="en-AU"/>
              </w:rPr>
              <w:t xml:space="preserve">. </w:t>
            </w:r>
            <w:r w:rsidRPr="00DB760B">
              <w:rPr>
                <w:szCs w:val="18"/>
                <w:lang w:eastAsia="en-AU"/>
              </w:rPr>
              <w:t>2017;</w:t>
            </w:r>
            <w:r w:rsidR="00690AE0" w:rsidRPr="00DB760B">
              <w:rPr>
                <w:szCs w:val="18"/>
                <w:lang w:eastAsia="en-AU"/>
              </w:rPr>
              <w:t xml:space="preserve"> </w:t>
            </w:r>
            <w:r w:rsidRPr="00DB760B">
              <w:rPr>
                <w:szCs w:val="18"/>
                <w:lang w:eastAsia="en-AU"/>
              </w:rPr>
              <w:t xml:space="preserve">60: 1 </w:t>
            </w:r>
            <w:proofErr w:type="spellStart"/>
            <w:r w:rsidRPr="00DB760B">
              <w:rPr>
                <w:szCs w:val="18"/>
                <w:lang w:eastAsia="en-AU"/>
              </w:rPr>
              <w:t>Supp</w:t>
            </w:r>
            <w:proofErr w:type="spellEnd"/>
            <w:r w:rsidRPr="00DB760B">
              <w:rPr>
                <w:szCs w:val="18"/>
                <w:lang w:eastAsia="en-AU"/>
              </w:rPr>
              <w:t xml:space="preserve"> 1 (S21).</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lang w:eastAsia="en-AU"/>
              </w:rPr>
            </w:pPr>
            <w:proofErr w:type="spellStart"/>
            <w:r w:rsidRPr="00DB760B">
              <w:rPr>
                <w:szCs w:val="18"/>
                <w:lang w:eastAsia="en-AU"/>
              </w:rPr>
              <w:t>Lauring</w:t>
            </w:r>
            <w:proofErr w:type="spellEnd"/>
            <w:r w:rsidRPr="00DB760B">
              <w:rPr>
                <w:szCs w:val="18"/>
                <w:lang w:eastAsia="en-AU"/>
              </w:rPr>
              <w:t xml:space="preserve"> B, </w:t>
            </w:r>
            <w:proofErr w:type="spellStart"/>
            <w:r w:rsidRPr="00DB760B">
              <w:rPr>
                <w:szCs w:val="18"/>
                <w:lang w:eastAsia="en-AU"/>
              </w:rPr>
              <w:t>Eldor</w:t>
            </w:r>
            <w:proofErr w:type="spellEnd"/>
            <w:r w:rsidRPr="00DB760B">
              <w:rPr>
                <w:szCs w:val="18"/>
                <w:lang w:eastAsia="en-AU"/>
              </w:rPr>
              <w:t xml:space="preserve"> R, Liu J, </w:t>
            </w:r>
            <w:proofErr w:type="spellStart"/>
            <w:r w:rsidRPr="00DB760B">
              <w:rPr>
                <w:szCs w:val="18"/>
                <w:lang w:eastAsia="en-AU"/>
              </w:rPr>
              <w:t>Dagogo</w:t>
            </w:r>
            <w:proofErr w:type="spellEnd"/>
            <w:r w:rsidRPr="00DB760B">
              <w:rPr>
                <w:szCs w:val="18"/>
                <w:lang w:eastAsia="en-AU"/>
              </w:rPr>
              <w:t xml:space="preserve">-Jack S, </w:t>
            </w:r>
            <w:proofErr w:type="spellStart"/>
            <w:r w:rsidRPr="00DB760B">
              <w:rPr>
                <w:szCs w:val="18"/>
                <w:lang w:eastAsia="en-AU"/>
              </w:rPr>
              <w:t>Amorin</w:t>
            </w:r>
            <w:proofErr w:type="spellEnd"/>
            <w:r w:rsidRPr="00DB760B">
              <w:rPr>
                <w:szCs w:val="18"/>
                <w:lang w:eastAsia="en-AU"/>
              </w:rPr>
              <w:t xml:space="preserve"> G, </w:t>
            </w:r>
            <w:r w:rsidRPr="00DB760B">
              <w:rPr>
                <w:i/>
                <w:szCs w:val="18"/>
                <w:lang w:eastAsia="en-AU"/>
              </w:rPr>
              <w:t>et al</w:t>
            </w:r>
            <w:r w:rsidRPr="00DB760B">
              <w:rPr>
                <w:szCs w:val="18"/>
                <w:lang w:eastAsia="en-AU"/>
              </w:rPr>
              <w:t xml:space="preserve">. Efficacy and safety of </w:t>
            </w:r>
            <w:proofErr w:type="spellStart"/>
            <w:r w:rsidRPr="00DB760B">
              <w:rPr>
                <w:szCs w:val="18"/>
                <w:lang w:eastAsia="en-AU"/>
              </w:rPr>
              <w:t>ertugliflozin</w:t>
            </w:r>
            <w:proofErr w:type="spellEnd"/>
            <w:r w:rsidRPr="00DB760B">
              <w:rPr>
                <w:szCs w:val="18"/>
                <w:lang w:eastAsia="en-AU"/>
              </w:rPr>
              <w:t xml:space="preserve"> in subjects with Type 2 diabetes mellitus inadequately controlled on the dual combination of metformin and </w:t>
            </w:r>
            <w:proofErr w:type="spellStart"/>
            <w:r w:rsidRPr="00DB760B">
              <w:rPr>
                <w:szCs w:val="18"/>
                <w:lang w:eastAsia="en-AU"/>
              </w:rPr>
              <w:t>sitagliptin</w:t>
            </w:r>
            <w:proofErr w:type="spellEnd"/>
            <w:r w:rsidRPr="00DB760B">
              <w:rPr>
                <w:szCs w:val="18"/>
                <w:lang w:eastAsia="en-AU"/>
              </w:rPr>
              <w:t>: The VERTIS SITA2 trial.</w:t>
            </w:r>
          </w:p>
        </w:tc>
        <w:tc>
          <w:tcPr>
            <w:tcW w:w="1151" w:type="pct"/>
            <w:tcBorders>
              <w:top w:val="nil"/>
              <w:bottom w:val="nil"/>
            </w:tcBorders>
          </w:tcPr>
          <w:p w:rsidR="00CF29D7" w:rsidRPr="00DB760B" w:rsidRDefault="00CF29D7" w:rsidP="001B3286">
            <w:pPr>
              <w:pStyle w:val="Tabletext"/>
              <w:rPr>
                <w:i/>
                <w:szCs w:val="18"/>
                <w:lang w:eastAsia="en-AU"/>
              </w:rPr>
            </w:pPr>
            <w:r w:rsidRPr="00DB760B">
              <w:rPr>
                <w:szCs w:val="18"/>
                <w:lang w:eastAsia="en-AU"/>
              </w:rPr>
              <w:t>Conference abstract:</w:t>
            </w:r>
            <w:r w:rsidRPr="00DB760B">
              <w:rPr>
                <w:i/>
                <w:szCs w:val="18"/>
                <w:lang w:eastAsia="en-AU"/>
              </w:rPr>
              <w:t xml:space="preserve"> </w:t>
            </w:r>
            <w:proofErr w:type="spellStart"/>
            <w:r w:rsidRPr="00DB760B">
              <w:rPr>
                <w:i/>
                <w:szCs w:val="18"/>
                <w:lang w:eastAsia="en-AU"/>
              </w:rPr>
              <w:t>Diabetologia</w:t>
            </w:r>
            <w:proofErr w:type="spellEnd"/>
            <w:r w:rsidRPr="00DB760B">
              <w:rPr>
                <w:i/>
                <w:szCs w:val="18"/>
                <w:lang w:eastAsia="en-AU"/>
              </w:rPr>
              <w:t xml:space="preserve">. </w:t>
            </w:r>
            <w:r w:rsidRPr="00DB760B">
              <w:rPr>
                <w:szCs w:val="18"/>
                <w:lang w:eastAsia="en-AU"/>
              </w:rPr>
              <w:t>2016;</w:t>
            </w:r>
            <w:r w:rsidR="00690AE0" w:rsidRPr="00DB760B">
              <w:rPr>
                <w:szCs w:val="18"/>
                <w:lang w:eastAsia="en-AU"/>
              </w:rPr>
              <w:t xml:space="preserve"> </w:t>
            </w:r>
            <w:r w:rsidRPr="00DB760B">
              <w:rPr>
                <w:szCs w:val="18"/>
                <w:lang w:eastAsia="en-AU"/>
              </w:rPr>
              <w:t>59(1):</w:t>
            </w:r>
            <w:r w:rsidR="00690AE0" w:rsidRPr="00DB760B">
              <w:rPr>
                <w:szCs w:val="18"/>
                <w:lang w:eastAsia="en-AU"/>
              </w:rPr>
              <w:t xml:space="preserve"> </w:t>
            </w:r>
            <w:r w:rsidRPr="00DB760B">
              <w:rPr>
                <w:szCs w:val="18"/>
                <w:lang w:eastAsia="en-AU"/>
              </w:rPr>
              <w:t>S93.</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lang w:eastAsia="en-AU"/>
              </w:rPr>
            </w:pPr>
            <w:r w:rsidRPr="00DB760B">
              <w:rPr>
                <w:szCs w:val="18"/>
                <w:lang w:eastAsia="en-AU"/>
              </w:rPr>
              <w:t xml:space="preserve">Liu J, </w:t>
            </w:r>
            <w:proofErr w:type="spellStart"/>
            <w:r w:rsidRPr="00DB760B">
              <w:rPr>
                <w:szCs w:val="18"/>
                <w:lang w:eastAsia="en-AU"/>
              </w:rPr>
              <w:t>Eldor</w:t>
            </w:r>
            <w:proofErr w:type="spellEnd"/>
            <w:r w:rsidRPr="00DB760B">
              <w:rPr>
                <w:szCs w:val="18"/>
                <w:lang w:eastAsia="en-AU"/>
              </w:rPr>
              <w:t xml:space="preserve"> R, </w:t>
            </w:r>
            <w:proofErr w:type="spellStart"/>
            <w:r w:rsidRPr="00DB760B">
              <w:rPr>
                <w:szCs w:val="18"/>
                <w:lang w:eastAsia="en-AU"/>
              </w:rPr>
              <w:t>Dagogo</w:t>
            </w:r>
            <w:proofErr w:type="spellEnd"/>
            <w:r w:rsidRPr="00DB760B">
              <w:rPr>
                <w:szCs w:val="18"/>
                <w:lang w:eastAsia="en-AU"/>
              </w:rPr>
              <w:t xml:space="preserve">-Jack S, </w:t>
            </w:r>
            <w:proofErr w:type="spellStart"/>
            <w:r w:rsidRPr="00DB760B">
              <w:rPr>
                <w:szCs w:val="18"/>
                <w:lang w:eastAsia="en-AU"/>
              </w:rPr>
              <w:t>Amorin</w:t>
            </w:r>
            <w:proofErr w:type="spellEnd"/>
            <w:r w:rsidRPr="00DB760B">
              <w:rPr>
                <w:szCs w:val="18"/>
                <w:lang w:eastAsia="en-AU"/>
              </w:rPr>
              <w:t xml:space="preserve"> G, Johnson J, </w:t>
            </w:r>
            <w:r w:rsidRPr="00DB760B">
              <w:rPr>
                <w:i/>
                <w:szCs w:val="18"/>
                <w:lang w:eastAsia="en-AU"/>
              </w:rPr>
              <w:t>et al</w:t>
            </w:r>
            <w:r w:rsidRPr="00DB760B">
              <w:rPr>
                <w:szCs w:val="18"/>
                <w:lang w:eastAsia="en-AU"/>
              </w:rPr>
              <w:t xml:space="preserve">. Safety and efficacy of </w:t>
            </w:r>
            <w:proofErr w:type="spellStart"/>
            <w:r w:rsidRPr="00DB760B">
              <w:rPr>
                <w:szCs w:val="18"/>
                <w:lang w:eastAsia="en-AU"/>
              </w:rPr>
              <w:t>ertugliflozin</w:t>
            </w:r>
            <w:proofErr w:type="spellEnd"/>
            <w:r w:rsidRPr="00DB760B">
              <w:rPr>
                <w:szCs w:val="18"/>
                <w:lang w:eastAsia="en-AU"/>
              </w:rPr>
              <w:t xml:space="preserve"> after 52 weeks in subjects with T2DM inadequately controlled on metformin and </w:t>
            </w:r>
            <w:proofErr w:type="spellStart"/>
            <w:r w:rsidRPr="00DB760B">
              <w:rPr>
                <w:szCs w:val="18"/>
                <w:lang w:eastAsia="en-AU"/>
              </w:rPr>
              <w:t>sitagliptin</w:t>
            </w:r>
            <w:proofErr w:type="spellEnd"/>
            <w:r w:rsidRPr="00DB760B">
              <w:rPr>
                <w:szCs w:val="18"/>
                <w:lang w:eastAsia="en-AU"/>
              </w:rPr>
              <w:t>: Results from the extension phase of the VERTIS SITA2 trial.</w:t>
            </w:r>
          </w:p>
        </w:tc>
        <w:tc>
          <w:tcPr>
            <w:tcW w:w="1151" w:type="pct"/>
            <w:tcBorders>
              <w:top w:val="nil"/>
              <w:bottom w:val="nil"/>
            </w:tcBorders>
          </w:tcPr>
          <w:p w:rsidR="00CF29D7" w:rsidRPr="00DB760B" w:rsidRDefault="00CF29D7" w:rsidP="001B3286">
            <w:pPr>
              <w:pStyle w:val="Tabletext"/>
              <w:rPr>
                <w:i/>
                <w:szCs w:val="18"/>
                <w:lang w:eastAsia="en-AU"/>
              </w:rPr>
            </w:pPr>
            <w:r w:rsidRPr="00DB760B">
              <w:rPr>
                <w:szCs w:val="18"/>
                <w:lang w:eastAsia="en-AU"/>
              </w:rPr>
              <w:t>Conference abstract:</w:t>
            </w:r>
            <w:r w:rsidRPr="00DB760B">
              <w:rPr>
                <w:i/>
                <w:szCs w:val="18"/>
                <w:lang w:eastAsia="en-AU"/>
              </w:rPr>
              <w:t xml:space="preserve"> Diabetes. </w:t>
            </w:r>
            <w:r w:rsidRPr="00DB760B">
              <w:rPr>
                <w:szCs w:val="18"/>
                <w:lang w:eastAsia="en-AU"/>
              </w:rPr>
              <w:t>2017;</w:t>
            </w:r>
            <w:r w:rsidR="00690AE0" w:rsidRPr="00DB760B">
              <w:rPr>
                <w:szCs w:val="18"/>
                <w:lang w:eastAsia="en-AU"/>
              </w:rPr>
              <w:t xml:space="preserve"> </w:t>
            </w:r>
            <w:r w:rsidRPr="00DB760B">
              <w:rPr>
                <w:szCs w:val="18"/>
                <w:lang w:eastAsia="en-AU"/>
              </w:rPr>
              <w:t>66:</w:t>
            </w:r>
            <w:r w:rsidR="00690AE0" w:rsidRPr="00DB760B">
              <w:rPr>
                <w:szCs w:val="18"/>
                <w:lang w:eastAsia="en-AU"/>
              </w:rPr>
              <w:t xml:space="preserve"> </w:t>
            </w:r>
            <w:r w:rsidRPr="00DB760B">
              <w:rPr>
                <w:szCs w:val="18"/>
                <w:lang w:eastAsia="en-AU"/>
              </w:rPr>
              <w:t>A35.</w:t>
            </w:r>
          </w:p>
        </w:tc>
      </w:tr>
      <w:tr w:rsidR="00CF29D7" w:rsidRPr="00DB760B" w:rsidTr="005A79A2">
        <w:trPr>
          <w:cantSplit/>
        </w:trPr>
        <w:tc>
          <w:tcPr>
            <w:tcW w:w="5000" w:type="pct"/>
            <w:gridSpan w:val="3"/>
            <w:tcBorders>
              <w:bottom w:val="nil"/>
            </w:tcBorders>
          </w:tcPr>
          <w:p w:rsidR="00CF29D7" w:rsidRPr="00DB760B" w:rsidRDefault="00CF29D7" w:rsidP="001B3286">
            <w:pPr>
              <w:pStyle w:val="Tabletext"/>
              <w:rPr>
                <w:b/>
              </w:rPr>
            </w:pPr>
            <w:r w:rsidRPr="00DB760B">
              <w:rPr>
                <w:b/>
              </w:rPr>
              <w:t>[DAPA] + SAXA + MF</w:t>
            </w:r>
            <w:r w:rsidR="005C3302" w:rsidRPr="00DB760B">
              <w:rPr>
                <w:b/>
              </w:rPr>
              <w:t xml:space="preserve"> versus [PBO] + SAXA + MF</w:t>
            </w:r>
          </w:p>
        </w:tc>
      </w:tr>
      <w:tr w:rsidR="00CF29D7" w:rsidRPr="00DB760B" w:rsidTr="005A79A2">
        <w:trPr>
          <w:cantSplit/>
        </w:trPr>
        <w:tc>
          <w:tcPr>
            <w:tcW w:w="548" w:type="pct"/>
            <w:tcBorders>
              <w:bottom w:val="nil"/>
            </w:tcBorders>
          </w:tcPr>
          <w:p w:rsidR="00CF29D7" w:rsidRPr="00DB760B" w:rsidRDefault="00CF29D7" w:rsidP="001B3286">
            <w:pPr>
              <w:pStyle w:val="Tabletext"/>
            </w:pPr>
            <w:r w:rsidRPr="00DB760B">
              <w:t>Mathieu 2015</w:t>
            </w:r>
          </w:p>
        </w:tc>
        <w:tc>
          <w:tcPr>
            <w:tcW w:w="3301" w:type="pct"/>
            <w:tcBorders>
              <w:bottom w:val="nil"/>
            </w:tcBorders>
          </w:tcPr>
          <w:p w:rsidR="00CF29D7" w:rsidRPr="00DB760B" w:rsidRDefault="00CF29D7" w:rsidP="001B3286">
            <w:pPr>
              <w:pStyle w:val="Tabletext"/>
            </w:pPr>
            <w:r w:rsidRPr="00DB760B">
              <w:t xml:space="preserve">Mathieu C, </w:t>
            </w:r>
            <w:proofErr w:type="spellStart"/>
            <w:r w:rsidRPr="00DB760B">
              <w:t>Ranetti</w:t>
            </w:r>
            <w:proofErr w:type="spellEnd"/>
            <w:r w:rsidRPr="00DB760B">
              <w:t xml:space="preserve"> AE, Li D, </w:t>
            </w:r>
            <w:r w:rsidRPr="00DB760B">
              <w:rPr>
                <w:i/>
              </w:rPr>
              <w:t>et al</w:t>
            </w:r>
            <w:r w:rsidRPr="00DB760B">
              <w:t xml:space="preserve">. Randomised, double-blind, </w:t>
            </w:r>
            <w:r w:rsidR="005A79A2" w:rsidRPr="00DB760B">
              <w:t>P</w:t>
            </w:r>
            <w:r w:rsidRPr="00DB760B">
              <w:t xml:space="preserve">hase </w:t>
            </w:r>
            <w:r w:rsidR="005A79A2" w:rsidRPr="00DB760B">
              <w:t>3</w:t>
            </w:r>
            <w:r w:rsidRPr="00DB760B">
              <w:t xml:space="preserve"> trial of triple therapy with </w:t>
            </w:r>
            <w:proofErr w:type="spellStart"/>
            <w:r w:rsidRPr="00DB760B">
              <w:t>dapagliflozin</w:t>
            </w:r>
            <w:proofErr w:type="spellEnd"/>
            <w:r w:rsidRPr="00DB760B">
              <w:t xml:space="preserve"> add-on to </w:t>
            </w:r>
            <w:proofErr w:type="spellStart"/>
            <w:r w:rsidRPr="00DB760B">
              <w:t>saxagliptin</w:t>
            </w:r>
            <w:proofErr w:type="spellEnd"/>
            <w:r w:rsidRPr="00DB760B">
              <w:t xml:space="preserve"> plus metformin in Type 2 diabetes.</w:t>
            </w:r>
          </w:p>
        </w:tc>
        <w:tc>
          <w:tcPr>
            <w:tcW w:w="1151" w:type="pct"/>
            <w:tcBorders>
              <w:bottom w:val="nil"/>
            </w:tcBorders>
          </w:tcPr>
          <w:p w:rsidR="00CF29D7" w:rsidRPr="00DB760B" w:rsidRDefault="00CF29D7" w:rsidP="001B3286">
            <w:pPr>
              <w:pStyle w:val="Tabletext"/>
            </w:pPr>
            <w:r w:rsidRPr="00DB760B">
              <w:rPr>
                <w:i/>
              </w:rPr>
              <w:t>Diabetes Care</w:t>
            </w:r>
            <w:r w:rsidRPr="00DB760B">
              <w:t>. 2015;</w:t>
            </w:r>
            <w:r w:rsidR="00690AE0" w:rsidRPr="00DB760B">
              <w:t xml:space="preserve"> </w:t>
            </w:r>
            <w:r w:rsidRPr="00DB760B">
              <w:t>38:</w:t>
            </w:r>
            <w:r w:rsidR="00690AE0" w:rsidRPr="00DB760B">
              <w:t xml:space="preserve"> </w:t>
            </w:r>
            <w:r w:rsidRPr="00DB760B">
              <w:t>2009-2017.</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r w:rsidRPr="00DB760B">
              <w:rPr>
                <w:szCs w:val="18"/>
              </w:rPr>
              <w:t xml:space="preserve">Mathieu C, </w:t>
            </w:r>
            <w:proofErr w:type="spellStart"/>
            <w:r w:rsidRPr="00DB760B">
              <w:rPr>
                <w:szCs w:val="18"/>
              </w:rPr>
              <w:t>Herrara</w:t>
            </w:r>
            <w:proofErr w:type="spellEnd"/>
            <w:r w:rsidRPr="00DB760B">
              <w:rPr>
                <w:szCs w:val="18"/>
              </w:rPr>
              <w:t xml:space="preserve"> </w:t>
            </w:r>
            <w:proofErr w:type="spellStart"/>
            <w:r w:rsidRPr="00DB760B">
              <w:rPr>
                <w:szCs w:val="18"/>
              </w:rPr>
              <w:t>Marmolejo</w:t>
            </w:r>
            <w:proofErr w:type="spellEnd"/>
            <w:r w:rsidRPr="00DB760B">
              <w:rPr>
                <w:szCs w:val="18"/>
              </w:rPr>
              <w:t xml:space="preserve"> M, Gonzalez </w:t>
            </w:r>
            <w:proofErr w:type="spellStart"/>
            <w:r w:rsidRPr="00DB760B">
              <w:rPr>
                <w:szCs w:val="18"/>
              </w:rPr>
              <w:t>Gonzalez</w:t>
            </w:r>
            <w:proofErr w:type="spellEnd"/>
            <w:r w:rsidRPr="00DB760B">
              <w:rPr>
                <w:szCs w:val="18"/>
              </w:rPr>
              <w:t xml:space="preserve"> JG, </w:t>
            </w:r>
            <w:r w:rsidRPr="00DB760B">
              <w:rPr>
                <w:i/>
                <w:szCs w:val="18"/>
              </w:rPr>
              <w:t>et al</w:t>
            </w:r>
            <w:r w:rsidRPr="00DB760B">
              <w:rPr>
                <w:szCs w:val="18"/>
              </w:rPr>
              <w:t xml:space="preserve">. Efficacy and safety of triple therapy with </w:t>
            </w:r>
            <w:proofErr w:type="spellStart"/>
            <w:r w:rsidRPr="00DB760B">
              <w:rPr>
                <w:szCs w:val="18"/>
              </w:rPr>
              <w:t>dapagliflozin</w:t>
            </w:r>
            <w:proofErr w:type="spellEnd"/>
            <w:r w:rsidRPr="00DB760B">
              <w:rPr>
                <w:szCs w:val="18"/>
              </w:rPr>
              <w:t xml:space="preserve"> add-on to </w:t>
            </w:r>
            <w:proofErr w:type="spellStart"/>
            <w:r w:rsidRPr="00DB760B">
              <w:rPr>
                <w:szCs w:val="18"/>
              </w:rPr>
              <w:t>saxagliptin</w:t>
            </w:r>
            <w:proofErr w:type="spellEnd"/>
            <w:r w:rsidRPr="00DB760B">
              <w:rPr>
                <w:szCs w:val="18"/>
              </w:rPr>
              <w:t xml:space="preserve"> plus metformin over 52 weeks in patients with Type 2 diabetes.</w:t>
            </w:r>
          </w:p>
        </w:tc>
        <w:tc>
          <w:tcPr>
            <w:tcW w:w="1151" w:type="pct"/>
            <w:tcBorders>
              <w:top w:val="nil"/>
              <w:bottom w:val="nil"/>
            </w:tcBorders>
          </w:tcPr>
          <w:p w:rsidR="00CF29D7" w:rsidRPr="00DB760B" w:rsidRDefault="00CF29D7" w:rsidP="001B3286">
            <w:pPr>
              <w:pStyle w:val="Tabletext"/>
            </w:pPr>
            <w:r w:rsidRPr="00DB760B">
              <w:rPr>
                <w:i/>
              </w:rPr>
              <w:t>Diabetes, Obesity and Metabolism.</w:t>
            </w:r>
            <w:r w:rsidRPr="00DB760B">
              <w:t xml:space="preserve"> 2016;</w:t>
            </w:r>
            <w:r w:rsidR="00690AE0" w:rsidRPr="00DB760B">
              <w:t xml:space="preserve"> </w:t>
            </w:r>
            <w:r w:rsidRPr="00DB760B">
              <w:t>18:</w:t>
            </w:r>
            <w:r w:rsidR="00690AE0" w:rsidRPr="00DB760B">
              <w:t xml:space="preserve"> </w:t>
            </w:r>
            <w:r w:rsidRPr="00DB760B">
              <w:t>1134-1137.</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r w:rsidRPr="00DB760B">
              <w:rPr>
                <w:szCs w:val="18"/>
              </w:rPr>
              <w:t xml:space="preserve">Mathieu C, </w:t>
            </w:r>
            <w:proofErr w:type="spellStart"/>
            <w:r w:rsidRPr="00DB760B">
              <w:rPr>
                <w:szCs w:val="18"/>
              </w:rPr>
              <w:t>Ranetti</w:t>
            </w:r>
            <w:proofErr w:type="spellEnd"/>
            <w:r w:rsidRPr="00DB760B">
              <w:rPr>
                <w:szCs w:val="18"/>
              </w:rPr>
              <w:t xml:space="preserve"> AE, Li D, </w:t>
            </w:r>
            <w:r w:rsidRPr="00DB760B">
              <w:rPr>
                <w:i/>
                <w:szCs w:val="18"/>
              </w:rPr>
              <w:t>et al</w:t>
            </w:r>
            <w:r w:rsidRPr="00DB760B">
              <w:rPr>
                <w:szCs w:val="18"/>
              </w:rPr>
              <w:t>. A randomised, double-b</w:t>
            </w:r>
            <w:r w:rsidR="005A79A2" w:rsidRPr="00DB760B">
              <w:rPr>
                <w:szCs w:val="18"/>
              </w:rPr>
              <w:t>li</w:t>
            </w:r>
            <w:r w:rsidRPr="00DB760B">
              <w:rPr>
                <w:szCs w:val="18"/>
              </w:rPr>
              <w:t xml:space="preserve">nd, </w:t>
            </w:r>
            <w:r w:rsidR="005A79A2" w:rsidRPr="00DB760B">
              <w:rPr>
                <w:szCs w:val="18"/>
              </w:rPr>
              <w:t>P</w:t>
            </w:r>
            <w:r w:rsidRPr="00DB760B">
              <w:rPr>
                <w:szCs w:val="18"/>
              </w:rPr>
              <w:t xml:space="preserve">hase </w:t>
            </w:r>
            <w:r w:rsidR="005A79A2" w:rsidRPr="00DB760B">
              <w:rPr>
                <w:szCs w:val="18"/>
              </w:rPr>
              <w:t>3</w:t>
            </w:r>
            <w:r w:rsidRPr="00DB760B">
              <w:rPr>
                <w:szCs w:val="18"/>
              </w:rPr>
              <w:t xml:space="preserve"> trial of </w:t>
            </w:r>
            <w:proofErr w:type="spellStart"/>
            <w:r w:rsidRPr="00DB760B">
              <w:rPr>
                <w:szCs w:val="18"/>
              </w:rPr>
              <w:t>dapagliflozin</w:t>
            </w:r>
            <w:proofErr w:type="spellEnd"/>
            <w:r w:rsidRPr="00DB760B">
              <w:rPr>
                <w:szCs w:val="18"/>
              </w:rPr>
              <w:t xml:space="preserve"> add-on to </w:t>
            </w:r>
            <w:proofErr w:type="spellStart"/>
            <w:r w:rsidRPr="00DB760B">
              <w:rPr>
                <w:szCs w:val="18"/>
              </w:rPr>
              <w:t>saxagliptin</w:t>
            </w:r>
            <w:proofErr w:type="spellEnd"/>
            <w:r w:rsidRPr="00DB760B">
              <w:rPr>
                <w:szCs w:val="18"/>
              </w:rPr>
              <w:t xml:space="preserve"> plus metformin in Type 2 diabetes.</w:t>
            </w:r>
          </w:p>
        </w:tc>
        <w:tc>
          <w:tcPr>
            <w:tcW w:w="1151" w:type="pct"/>
            <w:tcBorders>
              <w:top w:val="nil"/>
              <w:bottom w:val="nil"/>
            </w:tcBorders>
          </w:tcPr>
          <w:p w:rsidR="00CF29D7" w:rsidRPr="00DB760B" w:rsidRDefault="00CF29D7" w:rsidP="001B3286">
            <w:pPr>
              <w:pStyle w:val="Tabletext"/>
            </w:pPr>
            <w:r w:rsidRPr="00DB760B">
              <w:t>Conference abstract:</w:t>
            </w:r>
          </w:p>
          <w:p w:rsidR="00CF29D7" w:rsidRPr="00DB760B" w:rsidRDefault="00CF29D7" w:rsidP="001B3286">
            <w:pPr>
              <w:pStyle w:val="Tabletext"/>
            </w:pPr>
            <w:proofErr w:type="spellStart"/>
            <w:r w:rsidRPr="00DB760B">
              <w:rPr>
                <w:i/>
              </w:rPr>
              <w:t>Diabetologia</w:t>
            </w:r>
            <w:proofErr w:type="spellEnd"/>
            <w:r w:rsidRPr="00DB760B">
              <w:rPr>
                <w:i/>
              </w:rPr>
              <w:t>.</w:t>
            </w:r>
            <w:r w:rsidRPr="00DB760B">
              <w:t xml:space="preserve"> 2015;</w:t>
            </w:r>
            <w:r w:rsidR="00690AE0" w:rsidRPr="00DB760B">
              <w:t xml:space="preserve"> </w:t>
            </w:r>
            <w:r w:rsidRPr="00DB760B">
              <w:t>58:</w:t>
            </w:r>
            <w:r w:rsidR="00690AE0" w:rsidRPr="00DB760B">
              <w:t xml:space="preserve"> </w:t>
            </w:r>
            <w:r w:rsidRPr="00DB760B">
              <w:t>S356.</w:t>
            </w:r>
          </w:p>
        </w:tc>
      </w:tr>
      <w:tr w:rsidR="00CF29D7" w:rsidRPr="00DB760B" w:rsidTr="005A79A2">
        <w:trPr>
          <w:cantSplit/>
        </w:trPr>
        <w:tc>
          <w:tcPr>
            <w:tcW w:w="548" w:type="pct"/>
            <w:tcBorders>
              <w:top w:val="nil"/>
              <w:bottom w:val="single" w:sz="4" w:space="0" w:color="auto"/>
            </w:tcBorders>
            <w:vAlign w:val="center"/>
          </w:tcPr>
          <w:p w:rsidR="00CF29D7" w:rsidRPr="00DB760B" w:rsidRDefault="00CF29D7" w:rsidP="001B3286">
            <w:pPr>
              <w:pStyle w:val="Tabletext"/>
            </w:pPr>
          </w:p>
        </w:tc>
        <w:tc>
          <w:tcPr>
            <w:tcW w:w="3301" w:type="pct"/>
            <w:tcBorders>
              <w:top w:val="nil"/>
              <w:bottom w:val="single" w:sz="4" w:space="0" w:color="auto"/>
            </w:tcBorders>
          </w:tcPr>
          <w:p w:rsidR="00CF29D7" w:rsidRPr="00DB760B" w:rsidRDefault="00CF29D7" w:rsidP="001B3286">
            <w:pPr>
              <w:pStyle w:val="Tabletext"/>
              <w:rPr>
                <w:szCs w:val="18"/>
              </w:rPr>
            </w:pPr>
            <w:r w:rsidRPr="00DB760B">
              <w:rPr>
                <w:szCs w:val="18"/>
              </w:rPr>
              <w:t xml:space="preserve">Mathieu C, </w:t>
            </w:r>
            <w:proofErr w:type="spellStart"/>
            <w:r w:rsidRPr="00DB760B">
              <w:rPr>
                <w:szCs w:val="18"/>
              </w:rPr>
              <w:t>Ranetti</w:t>
            </w:r>
            <w:proofErr w:type="spellEnd"/>
            <w:r w:rsidRPr="00DB760B">
              <w:rPr>
                <w:szCs w:val="18"/>
              </w:rPr>
              <w:t xml:space="preserve"> AE, Li D, </w:t>
            </w:r>
            <w:r w:rsidRPr="00DB760B">
              <w:rPr>
                <w:i/>
                <w:szCs w:val="18"/>
              </w:rPr>
              <w:t>et al</w:t>
            </w:r>
            <w:r w:rsidRPr="00DB760B">
              <w:rPr>
                <w:szCs w:val="18"/>
              </w:rPr>
              <w:t xml:space="preserve">. A randomised, double-blind, </w:t>
            </w:r>
            <w:r w:rsidR="005A79A2" w:rsidRPr="00DB760B">
              <w:rPr>
                <w:szCs w:val="18"/>
              </w:rPr>
              <w:t>P</w:t>
            </w:r>
            <w:r w:rsidRPr="00DB760B">
              <w:rPr>
                <w:szCs w:val="18"/>
              </w:rPr>
              <w:t xml:space="preserve">hase </w:t>
            </w:r>
            <w:r w:rsidR="005A79A2" w:rsidRPr="00DB760B">
              <w:rPr>
                <w:szCs w:val="18"/>
              </w:rPr>
              <w:t>3</w:t>
            </w:r>
            <w:r w:rsidRPr="00DB760B">
              <w:rPr>
                <w:szCs w:val="18"/>
              </w:rPr>
              <w:t xml:space="preserve"> trial of </w:t>
            </w:r>
            <w:proofErr w:type="spellStart"/>
            <w:r w:rsidRPr="00DB760B">
              <w:rPr>
                <w:szCs w:val="18"/>
              </w:rPr>
              <w:t>dapagliflozin</w:t>
            </w:r>
            <w:proofErr w:type="spellEnd"/>
            <w:r w:rsidRPr="00DB760B">
              <w:rPr>
                <w:szCs w:val="18"/>
              </w:rPr>
              <w:t xml:space="preserve"> add-on to </w:t>
            </w:r>
            <w:proofErr w:type="spellStart"/>
            <w:r w:rsidRPr="00DB760B">
              <w:rPr>
                <w:szCs w:val="18"/>
              </w:rPr>
              <w:t>saxagliptin</w:t>
            </w:r>
            <w:proofErr w:type="spellEnd"/>
            <w:r w:rsidRPr="00DB760B">
              <w:rPr>
                <w:szCs w:val="18"/>
              </w:rPr>
              <w:t xml:space="preserve"> plus metformin in Type 2 diabetes.</w:t>
            </w:r>
          </w:p>
        </w:tc>
        <w:tc>
          <w:tcPr>
            <w:tcW w:w="1151" w:type="pct"/>
            <w:tcBorders>
              <w:top w:val="nil"/>
              <w:bottom w:val="single" w:sz="4" w:space="0" w:color="auto"/>
            </w:tcBorders>
          </w:tcPr>
          <w:p w:rsidR="00CF29D7" w:rsidRPr="00DB760B" w:rsidRDefault="00CF29D7" w:rsidP="001B3286">
            <w:pPr>
              <w:pStyle w:val="Tabletext"/>
            </w:pPr>
            <w:r w:rsidRPr="00DB760B">
              <w:t>Conference abstract:</w:t>
            </w:r>
          </w:p>
          <w:p w:rsidR="00CF29D7" w:rsidRPr="00DB760B" w:rsidRDefault="00CF29D7" w:rsidP="001B3286">
            <w:pPr>
              <w:pStyle w:val="Tabletext"/>
            </w:pPr>
            <w:r w:rsidRPr="00DB760B">
              <w:rPr>
                <w:i/>
              </w:rPr>
              <w:t>Diabetes.</w:t>
            </w:r>
            <w:r w:rsidRPr="00DB760B">
              <w:t xml:space="preserve"> 2015;</w:t>
            </w:r>
            <w:r w:rsidR="00690AE0" w:rsidRPr="00DB760B">
              <w:t xml:space="preserve"> </w:t>
            </w:r>
            <w:r w:rsidRPr="00DB760B">
              <w:t>64:</w:t>
            </w:r>
            <w:r w:rsidR="00690AE0" w:rsidRPr="00DB760B">
              <w:t xml:space="preserve"> </w:t>
            </w:r>
            <w:r w:rsidRPr="00DB760B">
              <w:t>A28.</w:t>
            </w:r>
          </w:p>
        </w:tc>
      </w:tr>
      <w:tr w:rsidR="00CF29D7" w:rsidRPr="00DB760B" w:rsidTr="001B3286">
        <w:trPr>
          <w:cantSplit/>
        </w:trPr>
        <w:tc>
          <w:tcPr>
            <w:tcW w:w="5000" w:type="pct"/>
            <w:gridSpan w:val="3"/>
            <w:tcBorders>
              <w:top w:val="single" w:sz="4" w:space="0" w:color="auto"/>
              <w:bottom w:val="single" w:sz="4" w:space="0" w:color="auto"/>
            </w:tcBorders>
          </w:tcPr>
          <w:p w:rsidR="00CF29D7" w:rsidRPr="00DB760B" w:rsidRDefault="00CF29D7" w:rsidP="001B3286">
            <w:pPr>
              <w:pStyle w:val="Tabletext"/>
              <w:rPr>
                <w:b/>
              </w:rPr>
            </w:pPr>
            <w:r w:rsidRPr="00DB760B">
              <w:rPr>
                <w:b/>
              </w:rPr>
              <w:t>[EMPA] + LINA + MF</w:t>
            </w:r>
            <w:r w:rsidR="005C3302" w:rsidRPr="00DB760B">
              <w:rPr>
                <w:b/>
              </w:rPr>
              <w:t xml:space="preserve"> versus [PBO] + LINA + MF</w:t>
            </w:r>
          </w:p>
        </w:tc>
      </w:tr>
      <w:tr w:rsidR="00CF29D7" w:rsidRPr="00DB760B" w:rsidTr="001B3286">
        <w:trPr>
          <w:cantSplit/>
        </w:trPr>
        <w:tc>
          <w:tcPr>
            <w:tcW w:w="548" w:type="pct"/>
            <w:tcBorders>
              <w:top w:val="single" w:sz="4" w:space="0" w:color="auto"/>
              <w:bottom w:val="single" w:sz="4" w:space="0" w:color="auto"/>
            </w:tcBorders>
          </w:tcPr>
          <w:p w:rsidR="00CF29D7" w:rsidRPr="00DB760B" w:rsidRDefault="00CF29D7" w:rsidP="001B3286">
            <w:pPr>
              <w:pStyle w:val="Tabletext"/>
            </w:pPr>
            <w:proofErr w:type="spellStart"/>
            <w:r w:rsidRPr="00DB760B">
              <w:t>Softeland</w:t>
            </w:r>
            <w:proofErr w:type="spellEnd"/>
            <w:r w:rsidRPr="00DB760B">
              <w:t xml:space="preserve"> 2017</w:t>
            </w:r>
          </w:p>
        </w:tc>
        <w:tc>
          <w:tcPr>
            <w:tcW w:w="3301" w:type="pct"/>
            <w:tcBorders>
              <w:top w:val="single" w:sz="4" w:space="0" w:color="auto"/>
              <w:bottom w:val="single" w:sz="4" w:space="0" w:color="auto"/>
            </w:tcBorders>
          </w:tcPr>
          <w:p w:rsidR="00CF29D7" w:rsidRPr="00DB760B" w:rsidRDefault="00CF29D7" w:rsidP="001B3286">
            <w:pPr>
              <w:pStyle w:val="Tabletext"/>
              <w:rPr>
                <w:szCs w:val="18"/>
              </w:rPr>
            </w:pPr>
            <w:proofErr w:type="spellStart"/>
            <w:r w:rsidRPr="00DB760B">
              <w:rPr>
                <w:szCs w:val="18"/>
              </w:rPr>
              <w:t>Softeland</w:t>
            </w:r>
            <w:proofErr w:type="spellEnd"/>
            <w:r w:rsidRPr="00DB760B">
              <w:rPr>
                <w:szCs w:val="18"/>
              </w:rPr>
              <w:t xml:space="preserve"> E, Meier JJ, </w:t>
            </w:r>
            <w:proofErr w:type="spellStart"/>
            <w:r w:rsidRPr="00DB760B">
              <w:rPr>
                <w:szCs w:val="18"/>
              </w:rPr>
              <w:t>Vangen</w:t>
            </w:r>
            <w:proofErr w:type="spellEnd"/>
            <w:r w:rsidRPr="00DB760B">
              <w:rPr>
                <w:szCs w:val="18"/>
              </w:rPr>
              <w:t xml:space="preserve"> B, </w:t>
            </w:r>
            <w:r w:rsidRPr="00DB760B">
              <w:rPr>
                <w:i/>
                <w:szCs w:val="18"/>
              </w:rPr>
              <w:t>et al</w:t>
            </w:r>
            <w:r w:rsidRPr="00DB760B">
              <w:rPr>
                <w:szCs w:val="18"/>
              </w:rPr>
              <w:t xml:space="preserve">. </w:t>
            </w:r>
            <w:proofErr w:type="spellStart"/>
            <w:r w:rsidRPr="00DB760B">
              <w:rPr>
                <w:szCs w:val="18"/>
              </w:rPr>
              <w:t>Empagliflozin</w:t>
            </w:r>
            <w:proofErr w:type="spellEnd"/>
            <w:r w:rsidRPr="00DB760B">
              <w:rPr>
                <w:szCs w:val="18"/>
              </w:rPr>
              <w:t xml:space="preserve"> as add-on therapy in patients with Type 2 diabetes inadequately controlled with </w:t>
            </w:r>
            <w:proofErr w:type="spellStart"/>
            <w:r w:rsidRPr="00DB760B">
              <w:rPr>
                <w:szCs w:val="18"/>
              </w:rPr>
              <w:t>linagliptin</w:t>
            </w:r>
            <w:proofErr w:type="spellEnd"/>
            <w:r w:rsidRPr="00DB760B">
              <w:rPr>
                <w:szCs w:val="18"/>
              </w:rPr>
              <w:t xml:space="preserve"> and metformin: A 24-week </w:t>
            </w:r>
            <w:proofErr w:type="gramStart"/>
            <w:r w:rsidRPr="00DB760B">
              <w:rPr>
                <w:szCs w:val="18"/>
              </w:rPr>
              <w:t>randomised,</w:t>
            </w:r>
            <w:proofErr w:type="gramEnd"/>
            <w:r w:rsidRPr="00DB760B">
              <w:rPr>
                <w:szCs w:val="18"/>
              </w:rPr>
              <w:t xml:space="preserve"> double-blind parallel-group trial.</w:t>
            </w:r>
          </w:p>
        </w:tc>
        <w:tc>
          <w:tcPr>
            <w:tcW w:w="1151" w:type="pct"/>
            <w:tcBorders>
              <w:top w:val="single" w:sz="4" w:space="0" w:color="auto"/>
              <w:bottom w:val="single" w:sz="4" w:space="0" w:color="auto"/>
            </w:tcBorders>
          </w:tcPr>
          <w:p w:rsidR="00CF29D7" w:rsidRPr="00DB760B" w:rsidRDefault="00CF29D7" w:rsidP="001B3286">
            <w:pPr>
              <w:pStyle w:val="Tabletext"/>
            </w:pPr>
            <w:r w:rsidRPr="00DB760B">
              <w:rPr>
                <w:i/>
              </w:rPr>
              <w:t>Diabetes Care</w:t>
            </w:r>
            <w:r w:rsidRPr="00DB760B">
              <w:t>. 2017;</w:t>
            </w:r>
            <w:r w:rsidR="00690AE0" w:rsidRPr="00DB760B">
              <w:t xml:space="preserve"> </w:t>
            </w:r>
            <w:r w:rsidRPr="00DB760B">
              <w:t>40:</w:t>
            </w:r>
            <w:r w:rsidR="00690AE0" w:rsidRPr="00DB760B">
              <w:t xml:space="preserve"> </w:t>
            </w:r>
            <w:r w:rsidRPr="00DB760B">
              <w:t>201-209.</w:t>
            </w:r>
          </w:p>
        </w:tc>
      </w:tr>
      <w:tr w:rsidR="00CF29D7" w:rsidRPr="00DB760B" w:rsidTr="001B3286">
        <w:trPr>
          <w:cantSplit/>
        </w:trPr>
        <w:tc>
          <w:tcPr>
            <w:tcW w:w="548" w:type="pct"/>
            <w:tcBorders>
              <w:top w:val="single" w:sz="4" w:space="0" w:color="auto"/>
              <w:bottom w:val="nil"/>
            </w:tcBorders>
            <w:vAlign w:val="center"/>
          </w:tcPr>
          <w:p w:rsidR="00CF29D7" w:rsidRPr="00DB760B" w:rsidRDefault="00CF29D7" w:rsidP="001B3286">
            <w:pPr>
              <w:pStyle w:val="Tabletext"/>
            </w:pPr>
          </w:p>
        </w:tc>
        <w:tc>
          <w:tcPr>
            <w:tcW w:w="3301" w:type="pct"/>
            <w:tcBorders>
              <w:top w:val="single" w:sz="4" w:space="0" w:color="auto"/>
              <w:bottom w:val="nil"/>
            </w:tcBorders>
          </w:tcPr>
          <w:p w:rsidR="00CF29D7" w:rsidRPr="00DB760B" w:rsidRDefault="00CF29D7" w:rsidP="001B3286">
            <w:pPr>
              <w:pStyle w:val="Tabletext"/>
              <w:rPr>
                <w:szCs w:val="18"/>
              </w:rPr>
            </w:pPr>
            <w:r w:rsidRPr="00DB760B">
              <w:rPr>
                <w:szCs w:val="18"/>
              </w:rPr>
              <w:t>Maldonado-</w:t>
            </w:r>
            <w:proofErr w:type="spellStart"/>
            <w:r w:rsidRPr="00DB760B">
              <w:rPr>
                <w:szCs w:val="18"/>
              </w:rPr>
              <w:t>Lutomirsky</w:t>
            </w:r>
            <w:proofErr w:type="spellEnd"/>
            <w:r w:rsidRPr="00DB760B">
              <w:rPr>
                <w:szCs w:val="18"/>
              </w:rPr>
              <w:t xml:space="preserve"> M, </w:t>
            </w:r>
            <w:proofErr w:type="spellStart"/>
            <w:r w:rsidRPr="00DB760B">
              <w:rPr>
                <w:szCs w:val="18"/>
              </w:rPr>
              <w:t>Softeland</w:t>
            </w:r>
            <w:proofErr w:type="spellEnd"/>
            <w:r w:rsidRPr="00DB760B">
              <w:rPr>
                <w:szCs w:val="18"/>
              </w:rPr>
              <w:t xml:space="preserve"> E, Meier JJ, </w:t>
            </w:r>
            <w:r w:rsidRPr="00DB760B">
              <w:rPr>
                <w:i/>
                <w:szCs w:val="18"/>
              </w:rPr>
              <w:t>et al</w:t>
            </w:r>
            <w:r w:rsidRPr="00DB760B">
              <w:rPr>
                <w:szCs w:val="18"/>
              </w:rPr>
              <w:t xml:space="preserve">. </w:t>
            </w:r>
            <w:proofErr w:type="spellStart"/>
            <w:r w:rsidRPr="00DB760B">
              <w:rPr>
                <w:szCs w:val="18"/>
              </w:rPr>
              <w:t>Empagliflozin</w:t>
            </w:r>
            <w:proofErr w:type="spellEnd"/>
            <w:r w:rsidRPr="00DB760B">
              <w:rPr>
                <w:szCs w:val="18"/>
              </w:rPr>
              <w:t xml:space="preserve"> as add-on to </w:t>
            </w:r>
            <w:proofErr w:type="spellStart"/>
            <w:r w:rsidRPr="00DB760B">
              <w:rPr>
                <w:szCs w:val="18"/>
              </w:rPr>
              <w:t>linagliptin</w:t>
            </w:r>
            <w:proofErr w:type="spellEnd"/>
            <w:r w:rsidRPr="00DB760B">
              <w:rPr>
                <w:szCs w:val="18"/>
              </w:rPr>
              <w:t xml:space="preserve"> and metformin in patients with Type 2 diabetes: A 24-week randomised, double-blind, parallel-group trial.</w:t>
            </w:r>
          </w:p>
        </w:tc>
        <w:tc>
          <w:tcPr>
            <w:tcW w:w="1151" w:type="pct"/>
            <w:tcBorders>
              <w:top w:val="single" w:sz="4" w:space="0" w:color="auto"/>
              <w:bottom w:val="nil"/>
            </w:tcBorders>
          </w:tcPr>
          <w:p w:rsidR="00CF29D7" w:rsidRPr="00DB760B" w:rsidRDefault="00CF29D7" w:rsidP="001B3286">
            <w:pPr>
              <w:pStyle w:val="Tabletext"/>
            </w:pPr>
            <w:r w:rsidRPr="00DB760B">
              <w:t xml:space="preserve">Conference abstract: </w:t>
            </w:r>
            <w:proofErr w:type="spellStart"/>
            <w:r w:rsidRPr="00DB760B">
              <w:rPr>
                <w:i/>
              </w:rPr>
              <w:t>Diabetologia</w:t>
            </w:r>
            <w:proofErr w:type="spellEnd"/>
            <w:r w:rsidRPr="00DB760B">
              <w:t>. 2016;</w:t>
            </w:r>
            <w:r w:rsidR="00690AE0" w:rsidRPr="00DB760B">
              <w:t xml:space="preserve"> </w:t>
            </w:r>
            <w:r w:rsidRPr="00DB760B">
              <w:t>59:</w:t>
            </w:r>
            <w:r w:rsidR="00690AE0" w:rsidRPr="00DB760B">
              <w:t xml:space="preserve"> </w:t>
            </w:r>
            <w:r w:rsidRPr="00DB760B">
              <w:t>S93.</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proofErr w:type="spellStart"/>
            <w:r w:rsidRPr="00DB760B">
              <w:rPr>
                <w:szCs w:val="18"/>
              </w:rPr>
              <w:t>Seufert</w:t>
            </w:r>
            <w:proofErr w:type="spellEnd"/>
            <w:r w:rsidRPr="00DB760B">
              <w:rPr>
                <w:szCs w:val="18"/>
              </w:rPr>
              <w:t xml:space="preserve"> J, </w:t>
            </w:r>
            <w:proofErr w:type="spellStart"/>
            <w:r w:rsidRPr="00DB760B">
              <w:rPr>
                <w:szCs w:val="18"/>
              </w:rPr>
              <w:t>Softeland</w:t>
            </w:r>
            <w:proofErr w:type="spellEnd"/>
            <w:r w:rsidRPr="00DB760B">
              <w:rPr>
                <w:szCs w:val="18"/>
              </w:rPr>
              <w:t xml:space="preserve"> E, </w:t>
            </w:r>
            <w:proofErr w:type="spellStart"/>
            <w:r w:rsidRPr="00DB760B">
              <w:rPr>
                <w:szCs w:val="18"/>
              </w:rPr>
              <w:t>Toorawa</w:t>
            </w:r>
            <w:proofErr w:type="spellEnd"/>
            <w:r w:rsidRPr="00DB760B">
              <w:rPr>
                <w:szCs w:val="18"/>
              </w:rPr>
              <w:t xml:space="preserve"> R, </w:t>
            </w:r>
            <w:r w:rsidRPr="00DB760B">
              <w:rPr>
                <w:i/>
                <w:szCs w:val="18"/>
              </w:rPr>
              <w:t>et al</w:t>
            </w:r>
            <w:r w:rsidRPr="00DB760B">
              <w:rPr>
                <w:szCs w:val="18"/>
              </w:rPr>
              <w:t>. HbA</w:t>
            </w:r>
            <w:r w:rsidRPr="00DB760B">
              <w:rPr>
                <w:szCs w:val="18"/>
                <w:vertAlign w:val="subscript"/>
              </w:rPr>
              <w:t>1c</w:t>
            </w:r>
            <w:r w:rsidRPr="00DB760B">
              <w:rPr>
                <w:szCs w:val="18"/>
              </w:rPr>
              <w:t xml:space="preserve"> response to open-label </w:t>
            </w:r>
            <w:proofErr w:type="spellStart"/>
            <w:r w:rsidRPr="00DB760B">
              <w:rPr>
                <w:szCs w:val="18"/>
              </w:rPr>
              <w:t>linagliptin</w:t>
            </w:r>
            <w:proofErr w:type="spellEnd"/>
            <w:r w:rsidRPr="00DB760B">
              <w:rPr>
                <w:szCs w:val="18"/>
              </w:rPr>
              <w:t xml:space="preserve"> with metformin in patients with Type 2 diabetes.</w:t>
            </w:r>
          </w:p>
        </w:tc>
        <w:tc>
          <w:tcPr>
            <w:tcW w:w="1151" w:type="pct"/>
            <w:tcBorders>
              <w:top w:val="nil"/>
              <w:bottom w:val="nil"/>
            </w:tcBorders>
          </w:tcPr>
          <w:p w:rsidR="00CF29D7" w:rsidRPr="00DB760B" w:rsidRDefault="00CF29D7" w:rsidP="001B3286">
            <w:pPr>
              <w:pStyle w:val="Tabletext"/>
            </w:pPr>
            <w:r w:rsidRPr="00DB760B">
              <w:t xml:space="preserve">Conference abstract: </w:t>
            </w:r>
            <w:r w:rsidRPr="00DB760B">
              <w:rPr>
                <w:i/>
              </w:rPr>
              <w:t>Diabetes</w:t>
            </w:r>
            <w:r w:rsidRPr="00DB760B">
              <w:t>. 2017;</w:t>
            </w:r>
            <w:r w:rsidR="00690AE0" w:rsidRPr="00DB760B">
              <w:t xml:space="preserve"> </w:t>
            </w:r>
            <w:r w:rsidRPr="00DB760B">
              <w:t>66:</w:t>
            </w:r>
            <w:r w:rsidR="00690AE0" w:rsidRPr="00DB760B">
              <w:t xml:space="preserve"> </w:t>
            </w:r>
            <w:r w:rsidRPr="00DB760B">
              <w:t>A345.</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proofErr w:type="spellStart"/>
            <w:r w:rsidRPr="00DB760B">
              <w:rPr>
                <w:szCs w:val="18"/>
              </w:rPr>
              <w:t>Seufert</w:t>
            </w:r>
            <w:proofErr w:type="spellEnd"/>
            <w:r w:rsidRPr="00DB760B">
              <w:rPr>
                <w:szCs w:val="18"/>
              </w:rPr>
              <w:t xml:space="preserve"> J, </w:t>
            </w:r>
            <w:proofErr w:type="spellStart"/>
            <w:r w:rsidRPr="00DB760B">
              <w:rPr>
                <w:szCs w:val="18"/>
              </w:rPr>
              <w:t>Naderali</w:t>
            </w:r>
            <w:proofErr w:type="spellEnd"/>
            <w:r w:rsidRPr="00DB760B">
              <w:rPr>
                <w:szCs w:val="18"/>
              </w:rPr>
              <w:t xml:space="preserve"> E, </w:t>
            </w:r>
            <w:proofErr w:type="spellStart"/>
            <w:r w:rsidRPr="00DB760B">
              <w:rPr>
                <w:szCs w:val="18"/>
              </w:rPr>
              <w:t>Maldonaldo</w:t>
            </w:r>
            <w:proofErr w:type="spellEnd"/>
            <w:r w:rsidRPr="00DB760B">
              <w:rPr>
                <w:szCs w:val="18"/>
              </w:rPr>
              <w:t xml:space="preserve"> M, </w:t>
            </w:r>
            <w:r w:rsidRPr="00DB760B">
              <w:rPr>
                <w:i/>
                <w:szCs w:val="18"/>
              </w:rPr>
              <w:t>et al</w:t>
            </w:r>
            <w:r w:rsidRPr="00DB760B">
              <w:rPr>
                <w:szCs w:val="18"/>
              </w:rPr>
              <w:t xml:space="preserve">. </w:t>
            </w:r>
            <w:proofErr w:type="spellStart"/>
            <w:r w:rsidRPr="00DB760B">
              <w:rPr>
                <w:szCs w:val="18"/>
              </w:rPr>
              <w:t>Empagliflozin</w:t>
            </w:r>
            <w:proofErr w:type="spellEnd"/>
            <w:r w:rsidRPr="00DB760B">
              <w:rPr>
                <w:szCs w:val="18"/>
              </w:rPr>
              <w:t xml:space="preserve"> as add-on to </w:t>
            </w:r>
            <w:proofErr w:type="spellStart"/>
            <w:r w:rsidRPr="00DB760B">
              <w:rPr>
                <w:szCs w:val="18"/>
              </w:rPr>
              <w:t>linagliptin</w:t>
            </w:r>
            <w:proofErr w:type="spellEnd"/>
            <w:r w:rsidRPr="00DB760B">
              <w:rPr>
                <w:szCs w:val="18"/>
              </w:rPr>
              <w:t xml:space="preserve"> and metformin in patients with Type 2 diabetes: Subgroup analysis by baseline demographics in a 24-week randomised trial. </w:t>
            </w:r>
          </w:p>
        </w:tc>
        <w:tc>
          <w:tcPr>
            <w:tcW w:w="1151" w:type="pct"/>
            <w:tcBorders>
              <w:top w:val="nil"/>
              <w:bottom w:val="nil"/>
            </w:tcBorders>
          </w:tcPr>
          <w:p w:rsidR="00CF29D7" w:rsidRPr="00DB760B" w:rsidRDefault="00CF29D7" w:rsidP="001B3286">
            <w:pPr>
              <w:pStyle w:val="Tabletext"/>
            </w:pPr>
            <w:r w:rsidRPr="00DB760B">
              <w:t xml:space="preserve">Conference abstract: </w:t>
            </w:r>
            <w:r w:rsidRPr="00DB760B">
              <w:rPr>
                <w:i/>
              </w:rPr>
              <w:t>Diabetes</w:t>
            </w:r>
            <w:r w:rsidRPr="00DB760B">
              <w:t>. 2016;</w:t>
            </w:r>
            <w:r w:rsidR="00690AE0" w:rsidRPr="00DB760B">
              <w:t xml:space="preserve"> </w:t>
            </w:r>
            <w:r w:rsidRPr="00DB760B">
              <w:t xml:space="preserve">65 </w:t>
            </w:r>
            <w:proofErr w:type="spellStart"/>
            <w:r w:rsidRPr="00DB760B">
              <w:t>Supp</w:t>
            </w:r>
            <w:proofErr w:type="spellEnd"/>
            <w:r w:rsidRPr="00DB760B">
              <w:t xml:space="preserve"> 1:</w:t>
            </w:r>
            <w:r w:rsidR="00690AE0" w:rsidRPr="00DB760B">
              <w:t xml:space="preserve"> </w:t>
            </w:r>
            <w:r w:rsidRPr="00DB760B">
              <w:t>A292.</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proofErr w:type="spellStart"/>
            <w:r w:rsidRPr="00DB760B">
              <w:rPr>
                <w:szCs w:val="18"/>
              </w:rPr>
              <w:t>Softeland</w:t>
            </w:r>
            <w:proofErr w:type="spellEnd"/>
            <w:r w:rsidRPr="00DB760B">
              <w:rPr>
                <w:szCs w:val="18"/>
              </w:rPr>
              <w:t xml:space="preserve"> E, Meier JJ, </w:t>
            </w:r>
            <w:proofErr w:type="spellStart"/>
            <w:r w:rsidRPr="00DB760B">
              <w:rPr>
                <w:szCs w:val="18"/>
              </w:rPr>
              <w:t>Vangen</w:t>
            </w:r>
            <w:proofErr w:type="spellEnd"/>
            <w:r w:rsidRPr="00DB760B">
              <w:rPr>
                <w:szCs w:val="18"/>
              </w:rPr>
              <w:t xml:space="preserve"> B, </w:t>
            </w:r>
            <w:r w:rsidRPr="00DB760B">
              <w:rPr>
                <w:i/>
                <w:szCs w:val="18"/>
              </w:rPr>
              <w:t>et al</w:t>
            </w:r>
            <w:r w:rsidRPr="00DB760B">
              <w:rPr>
                <w:szCs w:val="18"/>
              </w:rPr>
              <w:t xml:space="preserve">. </w:t>
            </w:r>
            <w:proofErr w:type="spellStart"/>
            <w:r w:rsidRPr="00DB760B">
              <w:rPr>
                <w:szCs w:val="18"/>
              </w:rPr>
              <w:t>Empagliflozin</w:t>
            </w:r>
            <w:proofErr w:type="spellEnd"/>
            <w:r w:rsidRPr="00DB760B">
              <w:rPr>
                <w:szCs w:val="18"/>
              </w:rPr>
              <w:t xml:space="preserve"> as add-on to </w:t>
            </w:r>
            <w:proofErr w:type="spellStart"/>
            <w:r w:rsidRPr="00DB760B">
              <w:rPr>
                <w:szCs w:val="18"/>
              </w:rPr>
              <w:t>linagliptin</w:t>
            </w:r>
            <w:proofErr w:type="spellEnd"/>
            <w:r w:rsidRPr="00DB760B">
              <w:rPr>
                <w:szCs w:val="18"/>
              </w:rPr>
              <w:t xml:space="preserve"> and metformin in patients with Type 2 diabetes: Subgroup analysis by region in a 24-week randomised trial.</w:t>
            </w:r>
          </w:p>
        </w:tc>
        <w:tc>
          <w:tcPr>
            <w:tcW w:w="1151" w:type="pct"/>
            <w:tcBorders>
              <w:top w:val="nil"/>
              <w:bottom w:val="nil"/>
            </w:tcBorders>
          </w:tcPr>
          <w:p w:rsidR="00CF29D7" w:rsidRPr="00DB760B" w:rsidRDefault="00CF29D7" w:rsidP="001B3286">
            <w:pPr>
              <w:pStyle w:val="Tabletext"/>
            </w:pPr>
            <w:r w:rsidRPr="00DB760B">
              <w:t xml:space="preserve">Conference abstract: </w:t>
            </w:r>
            <w:r w:rsidRPr="00DB760B">
              <w:rPr>
                <w:i/>
              </w:rPr>
              <w:t>Diabetes</w:t>
            </w:r>
            <w:r w:rsidRPr="00DB760B">
              <w:t>. 2016;</w:t>
            </w:r>
            <w:r w:rsidR="00690AE0" w:rsidRPr="00DB760B">
              <w:t xml:space="preserve"> </w:t>
            </w:r>
            <w:r w:rsidRPr="00DB760B">
              <w:t xml:space="preserve">65 </w:t>
            </w:r>
            <w:proofErr w:type="spellStart"/>
            <w:r w:rsidRPr="00DB760B">
              <w:t>Supp</w:t>
            </w:r>
            <w:proofErr w:type="spellEnd"/>
            <w:r w:rsidRPr="00DB760B">
              <w:t xml:space="preserve"> 1:</w:t>
            </w:r>
            <w:r w:rsidR="00690AE0" w:rsidRPr="00DB760B">
              <w:t xml:space="preserve"> </w:t>
            </w:r>
            <w:r w:rsidRPr="00DB760B">
              <w:t>A295.</w:t>
            </w:r>
          </w:p>
        </w:tc>
      </w:tr>
      <w:tr w:rsidR="00CF29D7" w:rsidRPr="00DB760B" w:rsidTr="005A79A2">
        <w:trPr>
          <w:cantSplit/>
        </w:trPr>
        <w:tc>
          <w:tcPr>
            <w:tcW w:w="548" w:type="pct"/>
            <w:tcBorders>
              <w:top w:val="nil"/>
              <w:bottom w:val="single" w:sz="4" w:space="0" w:color="auto"/>
            </w:tcBorders>
            <w:vAlign w:val="center"/>
          </w:tcPr>
          <w:p w:rsidR="00CF29D7" w:rsidRPr="00DB760B" w:rsidRDefault="00CF29D7" w:rsidP="001B3286">
            <w:pPr>
              <w:pStyle w:val="Tabletext"/>
            </w:pPr>
          </w:p>
        </w:tc>
        <w:tc>
          <w:tcPr>
            <w:tcW w:w="3301" w:type="pct"/>
            <w:tcBorders>
              <w:top w:val="nil"/>
              <w:bottom w:val="single" w:sz="4" w:space="0" w:color="auto"/>
            </w:tcBorders>
          </w:tcPr>
          <w:p w:rsidR="00CF29D7" w:rsidRPr="00DB760B" w:rsidRDefault="00CF29D7" w:rsidP="001B3286">
            <w:pPr>
              <w:pStyle w:val="Tabletext"/>
              <w:rPr>
                <w:szCs w:val="18"/>
              </w:rPr>
            </w:pPr>
            <w:r w:rsidRPr="00DB760B">
              <w:rPr>
                <w:szCs w:val="18"/>
              </w:rPr>
              <w:t xml:space="preserve">Wanner C, </w:t>
            </w:r>
            <w:proofErr w:type="spellStart"/>
            <w:r w:rsidRPr="00DB760B">
              <w:rPr>
                <w:szCs w:val="18"/>
              </w:rPr>
              <w:t>Naderali</w:t>
            </w:r>
            <w:proofErr w:type="spellEnd"/>
            <w:r w:rsidRPr="00DB760B">
              <w:rPr>
                <w:szCs w:val="18"/>
              </w:rPr>
              <w:t xml:space="preserve"> E, </w:t>
            </w:r>
            <w:proofErr w:type="spellStart"/>
            <w:r w:rsidRPr="00DB760B">
              <w:rPr>
                <w:szCs w:val="18"/>
              </w:rPr>
              <w:t>Maldonaldo</w:t>
            </w:r>
            <w:proofErr w:type="spellEnd"/>
            <w:r w:rsidRPr="00DB760B">
              <w:rPr>
                <w:szCs w:val="18"/>
              </w:rPr>
              <w:t xml:space="preserve"> M, </w:t>
            </w:r>
            <w:r w:rsidRPr="00DB760B">
              <w:rPr>
                <w:i/>
                <w:szCs w:val="18"/>
              </w:rPr>
              <w:t>et al</w:t>
            </w:r>
            <w:r w:rsidRPr="00DB760B">
              <w:rPr>
                <w:szCs w:val="18"/>
              </w:rPr>
              <w:t xml:space="preserve">. </w:t>
            </w:r>
            <w:proofErr w:type="spellStart"/>
            <w:r w:rsidRPr="00DB760B">
              <w:rPr>
                <w:szCs w:val="18"/>
              </w:rPr>
              <w:t>Empagliflozin</w:t>
            </w:r>
            <w:proofErr w:type="spellEnd"/>
            <w:r w:rsidRPr="00DB760B">
              <w:rPr>
                <w:szCs w:val="18"/>
              </w:rPr>
              <w:t xml:space="preserve"> as add-on to </w:t>
            </w:r>
            <w:proofErr w:type="spellStart"/>
            <w:r w:rsidRPr="00DB760B">
              <w:rPr>
                <w:szCs w:val="18"/>
              </w:rPr>
              <w:t>linagliptin</w:t>
            </w:r>
            <w:proofErr w:type="spellEnd"/>
            <w:r w:rsidRPr="00DB760B">
              <w:rPr>
                <w:szCs w:val="18"/>
              </w:rPr>
              <w:t xml:space="preserve"> and metformin in patients with Type 2 diabetes: Subgroup analysis by region in a 24-week randomised trial.</w:t>
            </w:r>
          </w:p>
        </w:tc>
        <w:tc>
          <w:tcPr>
            <w:tcW w:w="1151" w:type="pct"/>
            <w:tcBorders>
              <w:top w:val="nil"/>
              <w:bottom w:val="single" w:sz="4" w:space="0" w:color="auto"/>
            </w:tcBorders>
          </w:tcPr>
          <w:p w:rsidR="00CF29D7" w:rsidRPr="00DB760B" w:rsidRDefault="00CF29D7" w:rsidP="001B3286">
            <w:pPr>
              <w:pStyle w:val="Tabletext"/>
            </w:pPr>
            <w:r w:rsidRPr="00DB760B">
              <w:t xml:space="preserve">Conference abstract: </w:t>
            </w:r>
            <w:r w:rsidRPr="00DB760B">
              <w:rPr>
                <w:i/>
              </w:rPr>
              <w:t>Diabetes</w:t>
            </w:r>
            <w:r w:rsidRPr="00DB760B">
              <w:t>. 2016;</w:t>
            </w:r>
            <w:r w:rsidR="00690AE0" w:rsidRPr="00DB760B">
              <w:t xml:space="preserve"> </w:t>
            </w:r>
            <w:r w:rsidRPr="00DB760B">
              <w:t xml:space="preserve">65 </w:t>
            </w:r>
            <w:proofErr w:type="spellStart"/>
            <w:r w:rsidRPr="00DB760B">
              <w:t>Supp</w:t>
            </w:r>
            <w:proofErr w:type="spellEnd"/>
            <w:r w:rsidRPr="00DB760B">
              <w:t xml:space="preserve"> 1: </w:t>
            </w:r>
            <w:r w:rsidR="00690AE0" w:rsidRPr="00DB760B">
              <w:t xml:space="preserve"> </w:t>
            </w:r>
            <w:r w:rsidRPr="00DB760B">
              <w:t>A228-A289.</w:t>
            </w:r>
          </w:p>
        </w:tc>
      </w:tr>
      <w:tr w:rsidR="00CF29D7" w:rsidRPr="00DB760B" w:rsidTr="005A79A2">
        <w:trPr>
          <w:cantSplit/>
        </w:trPr>
        <w:tc>
          <w:tcPr>
            <w:tcW w:w="5000" w:type="pct"/>
            <w:gridSpan w:val="3"/>
            <w:tcBorders>
              <w:top w:val="single" w:sz="4" w:space="0" w:color="auto"/>
              <w:bottom w:val="single" w:sz="4" w:space="0" w:color="auto"/>
            </w:tcBorders>
          </w:tcPr>
          <w:p w:rsidR="00CF29D7" w:rsidRPr="00DB760B" w:rsidRDefault="00CF29D7" w:rsidP="001B3286">
            <w:pPr>
              <w:pStyle w:val="Tabletext"/>
              <w:rPr>
                <w:b/>
              </w:rPr>
            </w:pPr>
            <w:r w:rsidRPr="00DB760B">
              <w:rPr>
                <w:b/>
              </w:rPr>
              <w:t>Supportive trials: SGLT2 + DPP4 + MF</w:t>
            </w:r>
          </w:p>
        </w:tc>
      </w:tr>
      <w:tr w:rsidR="00CF29D7" w:rsidRPr="00DB760B" w:rsidTr="005A79A2">
        <w:trPr>
          <w:cantSplit/>
        </w:trPr>
        <w:tc>
          <w:tcPr>
            <w:tcW w:w="548" w:type="pct"/>
            <w:tcBorders>
              <w:top w:val="single" w:sz="4" w:space="0" w:color="auto"/>
              <w:bottom w:val="nil"/>
            </w:tcBorders>
          </w:tcPr>
          <w:p w:rsidR="00CF29D7" w:rsidRPr="00DB760B" w:rsidRDefault="00CF29D7" w:rsidP="001B3286">
            <w:pPr>
              <w:pStyle w:val="Tabletext"/>
            </w:pPr>
            <w:proofErr w:type="spellStart"/>
            <w:r w:rsidRPr="00DB760B">
              <w:lastRenderedPageBreak/>
              <w:t>Matthaei</w:t>
            </w:r>
            <w:proofErr w:type="spellEnd"/>
            <w:r w:rsidRPr="00DB760B">
              <w:t xml:space="preserve"> 2015</w:t>
            </w:r>
          </w:p>
        </w:tc>
        <w:tc>
          <w:tcPr>
            <w:tcW w:w="3301" w:type="pct"/>
            <w:tcBorders>
              <w:top w:val="single" w:sz="4" w:space="0" w:color="auto"/>
              <w:bottom w:val="nil"/>
            </w:tcBorders>
          </w:tcPr>
          <w:p w:rsidR="00CF29D7" w:rsidRPr="00DB760B" w:rsidRDefault="00CF29D7" w:rsidP="001B3286">
            <w:pPr>
              <w:pStyle w:val="Tabletext"/>
              <w:rPr>
                <w:szCs w:val="18"/>
              </w:rPr>
            </w:pPr>
            <w:proofErr w:type="spellStart"/>
            <w:r w:rsidRPr="00DB760B">
              <w:rPr>
                <w:szCs w:val="18"/>
              </w:rPr>
              <w:t>Matthaei</w:t>
            </w:r>
            <w:proofErr w:type="spellEnd"/>
            <w:r w:rsidRPr="00DB760B">
              <w:rPr>
                <w:szCs w:val="18"/>
              </w:rPr>
              <w:t xml:space="preserve"> S, </w:t>
            </w:r>
            <w:proofErr w:type="spellStart"/>
            <w:r w:rsidRPr="00DB760B">
              <w:rPr>
                <w:szCs w:val="18"/>
              </w:rPr>
              <w:t>Catrinoiu</w:t>
            </w:r>
            <w:proofErr w:type="spellEnd"/>
            <w:r w:rsidRPr="00DB760B">
              <w:rPr>
                <w:szCs w:val="18"/>
              </w:rPr>
              <w:t xml:space="preserve"> D, </w:t>
            </w:r>
            <w:proofErr w:type="spellStart"/>
            <w:r w:rsidRPr="00DB760B">
              <w:rPr>
                <w:szCs w:val="18"/>
              </w:rPr>
              <w:t>Celinski</w:t>
            </w:r>
            <w:proofErr w:type="spellEnd"/>
            <w:r w:rsidRPr="00DB760B">
              <w:rPr>
                <w:szCs w:val="18"/>
              </w:rPr>
              <w:t xml:space="preserve"> A, </w:t>
            </w:r>
            <w:r w:rsidRPr="00DB760B">
              <w:rPr>
                <w:i/>
                <w:szCs w:val="18"/>
              </w:rPr>
              <w:t>et al</w:t>
            </w:r>
            <w:r w:rsidRPr="00DB760B">
              <w:rPr>
                <w:szCs w:val="18"/>
              </w:rPr>
              <w:t xml:space="preserve">. Randomised, double-blind trial of triple therapy with </w:t>
            </w:r>
            <w:proofErr w:type="spellStart"/>
            <w:r w:rsidRPr="00DB760B">
              <w:rPr>
                <w:szCs w:val="18"/>
              </w:rPr>
              <w:t>saxagliptin</w:t>
            </w:r>
            <w:proofErr w:type="spellEnd"/>
            <w:r w:rsidRPr="00DB760B">
              <w:rPr>
                <w:szCs w:val="18"/>
              </w:rPr>
              <w:t xml:space="preserve"> add-on to </w:t>
            </w:r>
            <w:proofErr w:type="spellStart"/>
            <w:r w:rsidRPr="00DB760B">
              <w:rPr>
                <w:szCs w:val="18"/>
              </w:rPr>
              <w:t>dapagliflozin</w:t>
            </w:r>
            <w:proofErr w:type="spellEnd"/>
            <w:r w:rsidRPr="00DB760B">
              <w:rPr>
                <w:szCs w:val="18"/>
              </w:rPr>
              <w:t xml:space="preserve"> plus metformin in patients with Type 2 diabetes.</w:t>
            </w:r>
          </w:p>
        </w:tc>
        <w:tc>
          <w:tcPr>
            <w:tcW w:w="1151" w:type="pct"/>
            <w:tcBorders>
              <w:top w:val="single" w:sz="4" w:space="0" w:color="auto"/>
              <w:bottom w:val="nil"/>
            </w:tcBorders>
          </w:tcPr>
          <w:p w:rsidR="00CF29D7" w:rsidRPr="00DB760B" w:rsidRDefault="00CF29D7" w:rsidP="001B3286">
            <w:pPr>
              <w:pStyle w:val="Tabletext"/>
            </w:pPr>
            <w:r w:rsidRPr="00DB760B">
              <w:rPr>
                <w:i/>
              </w:rPr>
              <w:t>Diabetes Care.</w:t>
            </w:r>
            <w:r w:rsidRPr="00DB760B">
              <w:t xml:space="preserve"> 2015;</w:t>
            </w:r>
            <w:r w:rsidR="00690AE0" w:rsidRPr="00DB760B">
              <w:t xml:space="preserve"> </w:t>
            </w:r>
            <w:r w:rsidRPr="00DB760B">
              <w:t>38:</w:t>
            </w:r>
            <w:r w:rsidR="00690AE0" w:rsidRPr="00DB760B">
              <w:t xml:space="preserve"> </w:t>
            </w:r>
            <w:r w:rsidRPr="00DB760B">
              <w:t>2018-2024.</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proofErr w:type="spellStart"/>
            <w:r w:rsidRPr="00DB760B">
              <w:rPr>
                <w:szCs w:val="18"/>
              </w:rPr>
              <w:t>Matthaei</w:t>
            </w:r>
            <w:proofErr w:type="spellEnd"/>
            <w:r w:rsidRPr="00DB760B">
              <w:rPr>
                <w:szCs w:val="18"/>
              </w:rPr>
              <w:t xml:space="preserve"> S, Aggarwal N, Garcia-Hernandez P, </w:t>
            </w:r>
            <w:r w:rsidRPr="00DB760B">
              <w:rPr>
                <w:i/>
                <w:szCs w:val="18"/>
              </w:rPr>
              <w:t>et al</w:t>
            </w:r>
            <w:r w:rsidRPr="00DB760B">
              <w:rPr>
                <w:szCs w:val="18"/>
              </w:rPr>
              <w:t xml:space="preserve">. One-year efficacy and safety of </w:t>
            </w:r>
            <w:proofErr w:type="spellStart"/>
            <w:r w:rsidRPr="00DB760B">
              <w:rPr>
                <w:szCs w:val="18"/>
              </w:rPr>
              <w:t>saxagliptin</w:t>
            </w:r>
            <w:proofErr w:type="spellEnd"/>
            <w:r w:rsidRPr="00DB760B">
              <w:rPr>
                <w:szCs w:val="18"/>
              </w:rPr>
              <w:t xml:space="preserve"> add-on in patients receiving </w:t>
            </w:r>
            <w:proofErr w:type="spellStart"/>
            <w:r w:rsidRPr="00DB760B">
              <w:rPr>
                <w:szCs w:val="18"/>
              </w:rPr>
              <w:t>dapagliflozin</w:t>
            </w:r>
            <w:proofErr w:type="spellEnd"/>
            <w:r w:rsidRPr="00DB760B">
              <w:rPr>
                <w:szCs w:val="18"/>
              </w:rPr>
              <w:t xml:space="preserve"> and metformin. </w:t>
            </w:r>
          </w:p>
        </w:tc>
        <w:tc>
          <w:tcPr>
            <w:tcW w:w="1151" w:type="pct"/>
            <w:tcBorders>
              <w:top w:val="nil"/>
              <w:bottom w:val="nil"/>
            </w:tcBorders>
          </w:tcPr>
          <w:p w:rsidR="00CF29D7" w:rsidRPr="00DB760B" w:rsidRDefault="00CF29D7" w:rsidP="001B3286">
            <w:pPr>
              <w:pStyle w:val="Tabletext"/>
            </w:pPr>
            <w:r w:rsidRPr="00DB760B">
              <w:rPr>
                <w:i/>
              </w:rPr>
              <w:t>Diabetes, Obesity and Metabolism.</w:t>
            </w:r>
            <w:r w:rsidRPr="00DB760B">
              <w:t xml:space="preserve"> 2016;</w:t>
            </w:r>
            <w:r w:rsidR="00690AE0" w:rsidRPr="00DB760B">
              <w:t xml:space="preserve"> </w:t>
            </w:r>
            <w:r w:rsidRPr="00DB760B">
              <w:t>18:</w:t>
            </w:r>
            <w:r w:rsidR="00690AE0" w:rsidRPr="00DB760B">
              <w:t xml:space="preserve"> </w:t>
            </w:r>
            <w:r w:rsidRPr="00DB760B">
              <w:t>1128-1133.</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proofErr w:type="spellStart"/>
            <w:r w:rsidRPr="00DB760B">
              <w:rPr>
                <w:szCs w:val="18"/>
              </w:rPr>
              <w:t>Matthaei</w:t>
            </w:r>
            <w:proofErr w:type="spellEnd"/>
            <w:r w:rsidRPr="00DB760B">
              <w:rPr>
                <w:szCs w:val="18"/>
              </w:rPr>
              <w:t xml:space="preserve"> S, </w:t>
            </w:r>
            <w:proofErr w:type="spellStart"/>
            <w:r w:rsidRPr="00DB760B">
              <w:rPr>
                <w:szCs w:val="18"/>
              </w:rPr>
              <w:t>Catrinoiu</w:t>
            </w:r>
            <w:proofErr w:type="spellEnd"/>
            <w:r w:rsidRPr="00DB760B">
              <w:rPr>
                <w:szCs w:val="18"/>
              </w:rPr>
              <w:t xml:space="preserve"> D, </w:t>
            </w:r>
            <w:proofErr w:type="spellStart"/>
            <w:r w:rsidRPr="00DB760B">
              <w:rPr>
                <w:szCs w:val="18"/>
              </w:rPr>
              <w:t>Celinski</w:t>
            </w:r>
            <w:proofErr w:type="spellEnd"/>
            <w:r w:rsidRPr="00DB760B">
              <w:rPr>
                <w:szCs w:val="18"/>
              </w:rPr>
              <w:t xml:space="preserve"> A, </w:t>
            </w:r>
            <w:r w:rsidRPr="00DB760B">
              <w:rPr>
                <w:i/>
                <w:szCs w:val="18"/>
              </w:rPr>
              <w:t>et al</w:t>
            </w:r>
            <w:r w:rsidRPr="00DB760B">
              <w:rPr>
                <w:szCs w:val="18"/>
              </w:rPr>
              <w:t xml:space="preserve">. A randomised, double-blind trial of </w:t>
            </w:r>
            <w:proofErr w:type="spellStart"/>
            <w:r w:rsidRPr="00DB760B">
              <w:rPr>
                <w:szCs w:val="18"/>
              </w:rPr>
              <w:t>saxagliptin</w:t>
            </w:r>
            <w:proofErr w:type="spellEnd"/>
            <w:r w:rsidRPr="00DB760B">
              <w:rPr>
                <w:szCs w:val="18"/>
              </w:rPr>
              <w:t xml:space="preserve"> add-on to </w:t>
            </w:r>
            <w:proofErr w:type="spellStart"/>
            <w:r w:rsidRPr="00DB760B">
              <w:rPr>
                <w:szCs w:val="18"/>
              </w:rPr>
              <w:t>dapagliflozin</w:t>
            </w:r>
            <w:proofErr w:type="spellEnd"/>
            <w:r w:rsidRPr="00DB760B">
              <w:rPr>
                <w:szCs w:val="18"/>
              </w:rPr>
              <w:t xml:space="preserve"> plus metformin.</w:t>
            </w:r>
          </w:p>
        </w:tc>
        <w:tc>
          <w:tcPr>
            <w:tcW w:w="1151" w:type="pct"/>
            <w:tcBorders>
              <w:top w:val="nil"/>
              <w:bottom w:val="nil"/>
            </w:tcBorders>
          </w:tcPr>
          <w:p w:rsidR="00CF29D7" w:rsidRPr="00DB760B" w:rsidRDefault="00CF29D7" w:rsidP="001B3286">
            <w:pPr>
              <w:pStyle w:val="Tabletext"/>
            </w:pPr>
            <w:r w:rsidRPr="00DB760B">
              <w:t>Conference abstract:</w:t>
            </w:r>
          </w:p>
          <w:p w:rsidR="00CF29D7" w:rsidRPr="00DB760B" w:rsidRDefault="00CF29D7" w:rsidP="001B3286">
            <w:pPr>
              <w:pStyle w:val="Tabletext"/>
            </w:pPr>
            <w:r w:rsidRPr="00DB760B">
              <w:rPr>
                <w:i/>
              </w:rPr>
              <w:t>Diabetes</w:t>
            </w:r>
            <w:r w:rsidRPr="00DB760B">
              <w:t>. 2015;</w:t>
            </w:r>
            <w:r w:rsidR="00690AE0" w:rsidRPr="00DB760B">
              <w:t xml:space="preserve"> </w:t>
            </w:r>
            <w:r w:rsidRPr="00DB760B">
              <w:t>64:</w:t>
            </w:r>
            <w:r w:rsidR="00690AE0" w:rsidRPr="00DB760B">
              <w:t xml:space="preserve"> </w:t>
            </w:r>
            <w:r w:rsidRPr="00DB760B">
              <w:t>A27-A28.</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r w:rsidRPr="00DB760B">
              <w:rPr>
                <w:szCs w:val="18"/>
              </w:rPr>
              <w:t xml:space="preserve">Blonde L, Mathieu C, Sheehan JJ, et al. Quality measures assessment of triple therapy with </w:t>
            </w:r>
            <w:proofErr w:type="spellStart"/>
            <w:r w:rsidRPr="00DB760B">
              <w:rPr>
                <w:szCs w:val="18"/>
              </w:rPr>
              <w:t>saxagliptin</w:t>
            </w:r>
            <w:proofErr w:type="spellEnd"/>
            <w:r w:rsidRPr="00DB760B">
              <w:rPr>
                <w:szCs w:val="18"/>
              </w:rPr>
              <w:t xml:space="preserve"> plus </w:t>
            </w:r>
            <w:proofErr w:type="spellStart"/>
            <w:r w:rsidRPr="00DB760B">
              <w:rPr>
                <w:szCs w:val="18"/>
              </w:rPr>
              <w:t>dapagliflozin</w:t>
            </w:r>
            <w:proofErr w:type="spellEnd"/>
            <w:r w:rsidRPr="00DB760B">
              <w:rPr>
                <w:szCs w:val="18"/>
              </w:rPr>
              <w:t xml:space="preserve"> plus metformin in Type 2 diabetes mellitus patients with inadequate response to </w:t>
            </w:r>
            <w:proofErr w:type="spellStart"/>
            <w:r w:rsidRPr="00DB760B">
              <w:rPr>
                <w:szCs w:val="18"/>
              </w:rPr>
              <w:t>dapagliflozin</w:t>
            </w:r>
            <w:proofErr w:type="spellEnd"/>
            <w:r w:rsidRPr="00DB760B">
              <w:rPr>
                <w:szCs w:val="18"/>
              </w:rPr>
              <w:t xml:space="preserve"> plus metformin or </w:t>
            </w:r>
            <w:proofErr w:type="spellStart"/>
            <w:r w:rsidRPr="00DB760B">
              <w:rPr>
                <w:szCs w:val="18"/>
              </w:rPr>
              <w:t>saxagliptin</w:t>
            </w:r>
            <w:proofErr w:type="spellEnd"/>
            <w:r w:rsidRPr="00DB760B">
              <w:rPr>
                <w:szCs w:val="18"/>
              </w:rPr>
              <w:t xml:space="preserve"> plus metformin.</w:t>
            </w:r>
          </w:p>
        </w:tc>
        <w:tc>
          <w:tcPr>
            <w:tcW w:w="1151" w:type="pct"/>
            <w:tcBorders>
              <w:top w:val="nil"/>
              <w:bottom w:val="nil"/>
            </w:tcBorders>
          </w:tcPr>
          <w:p w:rsidR="00CF29D7" w:rsidRPr="00DB760B" w:rsidRDefault="00CF29D7" w:rsidP="001B3286">
            <w:pPr>
              <w:pStyle w:val="Tabletext"/>
            </w:pPr>
            <w:r w:rsidRPr="00DB760B">
              <w:t xml:space="preserve">Conference abstract: </w:t>
            </w:r>
            <w:r w:rsidRPr="00DB760B">
              <w:rPr>
                <w:i/>
              </w:rPr>
              <w:t>Diabetes</w:t>
            </w:r>
            <w:r w:rsidRPr="00DB760B">
              <w:t>. 2016;</w:t>
            </w:r>
            <w:r w:rsidR="00690AE0" w:rsidRPr="00DB760B">
              <w:t xml:space="preserve"> </w:t>
            </w:r>
            <w:r w:rsidRPr="00DB760B">
              <w:t xml:space="preserve">65 </w:t>
            </w:r>
            <w:proofErr w:type="spellStart"/>
            <w:r w:rsidRPr="00DB760B">
              <w:t>Supp</w:t>
            </w:r>
            <w:proofErr w:type="spellEnd"/>
            <w:r w:rsidRPr="00DB760B">
              <w:t xml:space="preserve"> 1:</w:t>
            </w:r>
            <w:r w:rsidR="00690AE0" w:rsidRPr="00DB760B">
              <w:t xml:space="preserve"> </w:t>
            </w:r>
            <w:r w:rsidRPr="00DB760B">
              <w:t>A296.</w:t>
            </w:r>
          </w:p>
        </w:tc>
      </w:tr>
      <w:tr w:rsidR="00CF29D7" w:rsidRPr="00DB760B" w:rsidTr="005A79A2">
        <w:trPr>
          <w:cantSplit/>
        </w:trPr>
        <w:tc>
          <w:tcPr>
            <w:tcW w:w="548" w:type="pct"/>
            <w:tcBorders>
              <w:top w:val="nil"/>
              <w:bottom w:val="single" w:sz="4" w:space="0" w:color="auto"/>
            </w:tcBorders>
            <w:vAlign w:val="center"/>
          </w:tcPr>
          <w:p w:rsidR="00CF29D7" w:rsidRPr="00DB760B" w:rsidRDefault="00CF29D7" w:rsidP="001B3286">
            <w:pPr>
              <w:pStyle w:val="Tabletext"/>
            </w:pPr>
          </w:p>
        </w:tc>
        <w:tc>
          <w:tcPr>
            <w:tcW w:w="3301" w:type="pct"/>
            <w:tcBorders>
              <w:top w:val="nil"/>
              <w:bottom w:val="single" w:sz="4" w:space="0" w:color="auto"/>
            </w:tcBorders>
          </w:tcPr>
          <w:p w:rsidR="00CF29D7" w:rsidRPr="00DB760B" w:rsidRDefault="00CF29D7" w:rsidP="001B3286">
            <w:pPr>
              <w:pStyle w:val="Tabletext"/>
              <w:rPr>
                <w:szCs w:val="18"/>
              </w:rPr>
            </w:pPr>
            <w:proofErr w:type="spellStart"/>
            <w:r w:rsidRPr="00DB760B">
              <w:rPr>
                <w:szCs w:val="18"/>
              </w:rPr>
              <w:t>Catrinoiu</w:t>
            </w:r>
            <w:proofErr w:type="spellEnd"/>
            <w:r w:rsidRPr="00DB760B">
              <w:rPr>
                <w:szCs w:val="18"/>
              </w:rPr>
              <w:t xml:space="preserve"> D, </w:t>
            </w:r>
            <w:proofErr w:type="spellStart"/>
            <w:r w:rsidRPr="00DB760B">
              <w:rPr>
                <w:szCs w:val="18"/>
              </w:rPr>
              <w:t>Matthaei</w:t>
            </w:r>
            <w:proofErr w:type="spellEnd"/>
            <w:r w:rsidRPr="00DB760B">
              <w:rPr>
                <w:szCs w:val="18"/>
              </w:rPr>
              <w:t xml:space="preserve"> S, </w:t>
            </w:r>
            <w:proofErr w:type="spellStart"/>
            <w:r w:rsidRPr="00DB760B">
              <w:rPr>
                <w:szCs w:val="18"/>
              </w:rPr>
              <w:t>Celinski</w:t>
            </w:r>
            <w:proofErr w:type="spellEnd"/>
            <w:r w:rsidRPr="00DB760B">
              <w:rPr>
                <w:szCs w:val="18"/>
              </w:rPr>
              <w:t xml:space="preserve"> A, </w:t>
            </w:r>
            <w:r w:rsidRPr="00DB760B">
              <w:rPr>
                <w:i/>
                <w:szCs w:val="18"/>
              </w:rPr>
              <w:t>et al</w:t>
            </w:r>
            <w:r w:rsidRPr="00DB760B">
              <w:rPr>
                <w:szCs w:val="18"/>
              </w:rPr>
              <w:t xml:space="preserve">. A randomised, double-blind trial of </w:t>
            </w:r>
            <w:proofErr w:type="spellStart"/>
            <w:r w:rsidRPr="00DB760B">
              <w:rPr>
                <w:szCs w:val="18"/>
              </w:rPr>
              <w:t>saxagliptin</w:t>
            </w:r>
            <w:proofErr w:type="spellEnd"/>
            <w:r w:rsidRPr="00DB760B">
              <w:rPr>
                <w:szCs w:val="18"/>
              </w:rPr>
              <w:t xml:space="preserve"> add-on to </w:t>
            </w:r>
            <w:proofErr w:type="spellStart"/>
            <w:r w:rsidRPr="00DB760B">
              <w:rPr>
                <w:szCs w:val="18"/>
              </w:rPr>
              <w:t>dapagliflozin</w:t>
            </w:r>
            <w:proofErr w:type="spellEnd"/>
            <w:r w:rsidRPr="00DB760B">
              <w:rPr>
                <w:szCs w:val="18"/>
              </w:rPr>
              <w:t xml:space="preserve"> plus metformin.</w:t>
            </w:r>
          </w:p>
        </w:tc>
        <w:tc>
          <w:tcPr>
            <w:tcW w:w="1151" w:type="pct"/>
            <w:tcBorders>
              <w:top w:val="nil"/>
              <w:bottom w:val="single" w:sz="4" w:space="0" w:color="auto"/>
            </w:tcBorders>
          </w:tcPr>
          <w:p w:rsidR="00CF29D7" w:rsidRPr="00DB760B" w:rsidRDefault="00CF29D7" w:rsidP="001B3286">
            <w:pPr>
              <w:pStyle w:val="Tabletext"/>
            </w:pPr>
            <w:r w:rsidRPr="00DB760B">
              <w:t xml:space="preserve">Conference abstract: </w:t>
            </w:r>
            <w:proofErr w:type="spellStart"/>
            <w:r w:rsidRPr="00DB760B">
              <w:rPr>
                <w:i/>
              </w:rPr>
              <w:t>Diabetologia</w:t>
            </w:r>
            <w:proofErr w:type="spellEnd"/>
            <w:r w:rsidRPr="00DB760B">
              <w:t>. 2015;</w:t>
            </w:r>
            <w:r w:rsidR="00690AE0" w:rsidRPr="00DB760B">
              <w:t xml:space="preserve"> </w:t>
            </w:r>
            <w:r w:rsidRPr="00DB760B">
              <w:t>58:</w:t>
            </w:r>
            <w:r w:rsidR="00690AE0" w:rsidRPr="00DB760B">
              <w:t xml:space="preserve"> </w:t>
            </w:r>
            <w:r w:rsidRPr="00DB760B">
              <w:t>S386.</w:t>
            </w:r>
          </w:p>
        </w:tc>
      </w:tr>
      <w:tr w:rsidR="00CF29D7" w:rsidRPr="00DB760B" w:rsidTr="005A79A2">
        <w:trPr>
          <w:cantSplit/>
        </w:trPr>
        <w:tc>
          <w:tcPr>
            <w:tcW w:w="548" w:type="pct"/>
            <w:tcBorders>
              <w:top w:val="single" w:sz="4" w:space="0" w:color="auto"/>
              <w:bottom w:val="nil"/>
            </w:tcBorders>
          </w:tcPr>
          <w:p w:rsidR="00CF29D7" w:rsidRPr="00DB760B" w:rsidRDefault="00CF29D7" w:rsidP="001B3286">
            <w:pPr>
              <w:pStyle w:val="Tabletext"/>
            </w:pPr>
            <w:proofErr w:type="spellStart"/>
            <w:r w:rsidRPr="00DB760B">
              <w:t>Tinahones</w:t>
            </w:r>
            <w:proofErr w:type="spellEnd"/>
            <w:r w:rsidRPr="00DB760B">
              <w:t xml:space="preserve"> 2016</w:t>
            </w:r>
          </w:p>
        </w:tc>
        <w:tc>
          <w:tcPr>
            <w:tcW w:w="3301" w:type="pct"/>
            <w:tcBorders>
              <w:top w:val="single" w:sz="4" w:space="0" w:color="auto"/>
              <w:bottom w:val="nil"/>
            </w:tcBorders>
          </w:tcPr>
          <w:p w:rsidR="00CF29D7" w:rsidRPr="00DB760B" w:rsidRDefault="00CF29D7" w:rsidP="001B3286">
            <w:pPr>
              <w:pStyle w:val="Tabletext"/>
              <w:rPr>
                <w:szCs w:val="18"/>
              </w:rPr>
            </w:pPr>
            <w:proofErr w:type="spellStart"/>
            <w:r w:rsidRPr="00DB760B">
              <w:rPr>
                <w:szCs w:val="18"/>
              </w:rPr>
              <w:t>Tinahones</w:t>
            </w:r>
            <w:proofErr w:type="spellEnd"/>
            <w:r w:rsidRPr="00DB760B">
              <w:rPr>
                <w:szCs w:val="18"/>
              </w:rPr>
              <w:t xml:space="preserve"> FJ, </w:t>
            </w:r>
            <w:proofErr w:type="spellStart"/>
            <w:r w:rsidRPr="00DB760B">
              <w:rPr>
                <w:szCs w:val="18"/>
              </w:rPr>
              <w:t>Gallwitz</w:t>
            </w:r>
            <w:proofErr w:type="spellEnd"/>
            <w:r w:rsidRPr="00DB760B">
              <w:rPr>
                <w:szCs w:val="18"/>
              </w:rPr>
              <w:t xml:space="preserve"> B, </w:t>
            </w:r>
            <w:proofErr w:type="spellStart"/>
            <w:r w:rsidRPr="00DB760B">
              <w:rPr>
                <w:szCs w:val="18"/>
              </w:rPr>
              <w:t>Nordaby</w:t>
            </w:r>
            <w:proofErr w:type="spellEnd"/>
            <w:r w:rsidRPr="00DB760B">
              <w:rPr>
                <w:szCs w:val="18"/>
              </w:rPr>
              <w:t xml:space="preserve"> M, </w:t>
            </w:r>
            <w:r w:rsidRPr="00DB760B">
              <w:rPr>
                <w:i/>
                <w:szCs w:val="18"/>
              </w:rPr>
              <w:t>et al</w:t>
            </w:r>
            <w:r w:rsidRPr="00DB760B">
              <w:rPr>
                <w:szCs w:val="18"/>
              </w:rPr>
              <w:t xml:space="preserve">. </w:t>
            </w:r>
            <w:proofErr w:type="spellStart"/>
            <w:r w:rsidRPr="00DB760B">
              <w:rPr>
                <w:szCs w:val="18"/>
              </w:rPr>
              <w:t>Linagliptin</w:t>
            </w:r>
            <w:proofErr w:type="spellEnd"/>
            <w:r w:rsidRPr="00DB760B">
              <w:rPr>
                <w:szCs w:val="18"/>
              </w:rPr>
              <w:t xml:space="preserve"> as add-on to </w:t>
            </w:r>
            <w:proofErr w:type="spellStart"/>
            <w:r w:rsidRPr="00DB760B">
              <w:rPr>
                <w:szCs w:val="18"/>
              </w:rPr>
              <w:t>empagliflozin</w:t>
            </w:r>
            <w:proofErr w:type="spellEnd"/>
            <w:r w:rsidRPr="00DB760B">
              <w:rPr>
                <w:szCs w:val="18"/>
              </w:rPr>
              <w:t xml:space="preserve"> and metformin in patients with Type 2 diabetes: Two 24-week randomised, double-blind, double-dummy, parallel-group trials.</w:t>
            </w:r>
          </w:p>
        </w:tc>
        <w:tc>
          <w:tcPr>
            <w:tcW w:w="1151" w:type="pct"/>
            <w:tcBorders>
              <w:top w:val="single" w:sz="4" w:space="0" w:color="auto"/>
              <w:bottom w:val="nil"/>
            </w:tcBorders>
          </w:tcPr>
          <w:p w:rsidR="00CF29D7" w:rsidRPr="00DB760B" w:rsidRDefault="00CF29D7" w:rsidP="001B3286">
            <w:pPr>
              <w:pStyle w:val="Tabletext"/>
            </w:pPr>
            <w:r w:rsidRPr="00DB760B">
              <w:rPr>
                <w:i/>
              </w:rPr>
              <w:t>Diabetes, Obesity and Metabolism</w:t>
            </w:r>
            <w:r w:rsidRPr="00DB760B">
              <w:t>. 2017;</w:t>
            </w:r>
            <w:r w:rsidR="00690AE0" w:rsidRPr="00DB760B">
              <w:t xml:space="preserve"> </w:t>
            </w:r>
            <w:r w:rsidRPr="00DB760B">
              <w:t>19:</w:t>
            </w:r>
            <w:r w:rsidR="00690AE0" w:rsidRPr="00DB760B">
              <w:t xml:space="preserve"> </w:t>
            </w:r>
            <w:r w:rsidRPr="00DB760B">
              <w:t>266-274.</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proofErr w:type="spellStart"/>
            <w:r w:rsidRPr="00DB760B">
              <w:rPr>
                <w:szCs w:val="18"/>
              </w:rPr>
              <w:t>Tinahones</w:t>
            </w:r>
            <w:proofErr w:type="spellEnd"/>
            <w:r w:rsidRPr="00DB760B">
              <w:rPr>
                <w:szCs w:val="18"/>
              </w:rPr>
              <w:t xml:space="preserve"> FJ, </w:t>
            </w:r>
            <w:proofErr w:type="spellStart"/>
            <w:r w:rsidRPr="00DB760B">
              <w:rPr>
                <w:szCs w:val="18"/>
              </w:rPr>
              <w:t>Gallwitz</w:t>
            </w:r>
            <w:proofErr w:type="spellEnd"/>
            <w:r w:rsidRPr="00DB760B">
              <w:rPr>
                <w:szCs w:val="18"/>
              </w:rPr>
              <w:t xml:space="preserve"> B, </w:t>
            </w:r>
            <w:proofErr w:type="spellStart"/>
            <w:r w:rsidRPr="00DB760B">
              <w:rPr>
                <w:szCs w:val="18"/>
              </w:rPr>
              <w:t>Nordaby</w:t>
            </w:r>
            <w:proofErr w:type="spellEnd"/>
            <w:r w:rsidRPr="00DB760B">
              <w:rPr>
                <w:szCs w:val="18"/>
              </w:rPr>
              <w:t xml:space="preserve"> M, </w:t>
            </w:r>
            <w:r w:rsidRPr="00DB760B">
              <w:rPr>
                <w:i/>
                <w:szCs w:val="18"/>
              </w:rPr>
              <w:t>et al</w:t>
            </w:r>
            <w:r w:rsidRPr="00DB760B">
              <w:rPr>
                <w:szCs w:val="18"/>
              </w:rPr>
              <w:t xml:space="preserve">. </w:t>
            </w:r>
            <w:proofErr w:type="spellStart"/>
            <w:r w:rsidRPr="00DB760B">
              <w:rPr>
                <w:szCs w:val="18"/>
              </w:rPr>
              <w:t>Linagliptin</w:t>
            </w:r>
            <w:proofErr w:type="spellEnd"/>
            <w:r w:rsidRPr="00DB760B">
              <w:rPr>
                <w:szCs w:val="18"/>
              </w:rPr>
              <w:t xml:space="preserve"> as add-on to </w:t>
            </w:r>
            <w:proofErr w:type="spellStart"/>
            <w:r w:rsidRPr="00DB760B">
              <w:rPr>
                <w:szCs w:val="18"/>
              </w:rPr>
              <w:t>empagliflozin</w:t>
            </w:r>
            <w:proofErr w:type="spellEnd"/>
            <w:r w:rsidRPr="00DB760B">
              <w:rPr>
                <w:szCs w:val="18"/>
              </w:rPr>
              <w:t xml:space="preserve"> and metformin in patients with Type 2 diabetes: Two 24-week, randomised, double-blind, parallel-group trials.</w:t>
            </w:r>
          </w:p>
        </w:tc>
        <w:tc>
          <w:tcPr>
            <w:tcW w:w="1151" w:type="pct"/>
            <w:tcBorders>
              <w:top w:val="nil"/>
              <w:bottom w:val="nil"/>
            </w:tcBorders>
          </w:tcPr>
          <w:p w:rsidR="00CF29D7" w:rsidRPr="00DB760B" w:rsidRDefault="00CF29D7" w:rsidP="001B3286">
            <w:pPr>
              <w:pStyle w:val="Tabletext"/>
            </w:pPr>
            <w:r w:rsidRPr="00DB760B">
              <w:t>Conference abstract:</w:t>
            </w:r>
          </w:p>
          <w:p w:rsidR="00CF29D7" w:rsidRPr="00DB760B" w:rsidRDefault="00CF29D7" w:rsidP="001B3286">
            <w:pPr>
              <w:pStyle w:val="Tabletext"/>
            </w:pPr>
            <w:r w:rsidRPr="00DB760B">
              <w:rPr>
                <w:i/>
              </w:rPr>
              <w:t>Diabetes</w:t>
            </w:r>
            <w:r w:rsidRPr="00DB760B">
              <w:t>. 2016;</w:t>
            </w:r>
            <w:r w:rsidR="00690AE0" w:rsidRPr="00DB760B">
              <w:t xml:space="preserve"> </w:t>
            </w:r>
            <w:r w:rsidRPr="00DB760B">
              <w:t xml:space="preserve">65 </w:t>
            </w:r>
            <w:proofErr w:type="spellStart"/>
            <w:r w:rsidRPr="00DB760B">
              <w:t>Supp</w:t>
            </w:r>
            <w:proofErr w:type="spellEnd"/>
            <w:r w:rsidRPr="00DB760B">
              <w:t xml:space="preserve"> 1:</w:t>
            </w:r>
            <w:r w:rsidR="00690AE0" w:rsidRPr="00DB760B">
              <w:t xml:space="preserve"> </w:t>
            </w:r>
            <w:r w:rsidRPr="00DB760B">
              <w:t>A50.</w:t>
            </w:r>
          </w:p>
        </w:tc>
      </w:tr>
      <w:tr w:rsidR="00CF29D7" w:rsidRPr="00DB760B" w:rsidTr="005A79A2">
        <w:trPr>
          <w:cantSplit/>
        </w:trPr>
        <w:tc>
          <w:tcPr>
            <w:tcW w:w="548" w:type="pct"/>
            <w:tcBorders>
              <w:top w:val="nil"/>
              <w:bottom w:val="nil"/>
            </w:tcBorders>
            <w:vAlign w:val="center"/>
          </w:tcPr>
          <w:p w:rsidR="00CF29D7" w:rsidRPr="00DB760B" w:rsidRDefault="00CF29D7" w:rsidP="001B3286">
            <w:pPr>
              <w:pStyle w:val="Tabletext"/>
            </w:pPr>
          </w:p>
        </w:tc>
        <w:tc>
          <w:tcPr>
            <w:tcW w:w="3301" w:type="pct"/>
            <w:tcBorders>
              <w:top w:val="nil"/>
              <w:bottom w:val="nil"/>
            </w:tcBorders>
          </w:tcPr>
          <w:p w:rsidR="00CF29D7" w:rsidRPr="00DB760B" w:rsidRDefault="00CF29D7" w:rsidP="001B3286">
            <w:pPr>
              <w:pStyle w:val="Tabletext"/>
              <w:rPr>
                <w:szCs w:val="18"/>
              </w:rPr>
            </w:pPr>
            <w:proofErr w:type="spellStart"/>
            <w:r w:rsidRPr="00DB760B">
              <w:rPr>
                <w:szCs w:val="18"/>
              </w:rPr>
              <w:t>Kis</w:t>
            </w:r>
            <w:proofErr w:type="spellEnd"/>
            <w:r w:rsidRPr="00DB760B">
              <w:rPr>
                <w:szCs w:val="18"/>
              </w:rPr>
              <w:t xml:space="preserve"> SG, </w:t>
            </w:r>
            <w:proofErr w:type="spellStart"/>
            <w:r w:rsidRPr="00DB760B">
              <w:rPr>
                <w:szCs w:val="18"/>
              </w:rPr>
              <w:t>Khunti</w:t>
            </w:r>
            <w:proofErr w:type="spellEnd"/>
            <w:r w:rsidRPr="00DB760B">
              <w:rPr>
                <w:szCs w:val="18"/>
              </w:rPr>
              <w:t xml:space="preserve"> K, </w:t>
            </w:r>
            <w:proofErr w:type="spellStart"/>
            <w:r w:rsidRPr="00DB760B">
              <w:rPr>
                <w:szCs w:val="18"/>
              </w:rPr>
              <w:t>Maldonaldo</w:t>
            </w:r>
            <w:proofErr w:type="spellEnd"/>
            <w:r w:rsidRPr="00DB760B">
              <w:rPr>
                <w:szCs w:val="18"/>
              </w:rPr>
              <w:t xml:space="preserve"> M, </w:t>
            </w:r>
            <w:r w:rsidRPr="00DB760B">
              <w:rPr>
                <w:i/>
                <w:szCs w:val="18"/>
              </w:rPr>
              <w:t>et al</w:t>
            </w:r>
            <w:r w:rsidRPr="00DB760B">
              <w:rPr>
                <w:szCs w:val="18"/>
              </w:rPr>
              <w:t xml:space="preserve">. </w:t>
            </w:r>
            <w:proofErr w:type="spellStart"/>
            <w:r w:rsidRPr="00DB760B">
              <w:rPr>
                <w:szCs w:val="18"/>
              </w:rPr>
              <w:t>Linagliptin</w:t>
            </w:r>
            <w:proofErr w:type="spellEnd"/>
            <w:r w:rsidRPr="00DB760B">
              <w:rPr>
                <w:szCs w:val="18"/>
              </w:rPr>
              <w:t xml:space="preserve"> as add-on to </w:t>
            </w:r>
            <w:proofErr w:type="spellStart"/>
            <w:r w:rsidRPr="00DB760B">
              <w:rPr>
                <w:szCs w:val="18"/>
              </w:rPr>
              <w:t>empagliflozin</w:t>
            </w:r>
            <w:proofErr w:type="spellEnd"/>
            <w:r w:rsidRPr="00DB760B">
              <w:rPr>
                <w:szCs w:val="18"/>
              </w:rPr>
              <w:t xml:space="preserve"> and metformin in patients with Type 2 diabetes: Subgroup analysis by baseline demographics in two 24-week randomised, double-blind, parallel-group trials.</w:t>
            </w:r>
          </w:p>
        </w:tc>
        <w:tc>
          <w:tcPr>
            <w:tcW w:w="1151" w:type="pct"/>
            <w:tcBorders>
              <w:top w:val="nil"/>
              <w:bottom w:val="nil"/>
            </w:tcBorders>
          </w:tcPr>
          <w:p w:rsidR="00CF29D7" w:rsidRPr="00DB760B" w:rsidRDefault="00CF29D7" w:rsidP="001B3286">
            <w:pPr>
              <w:pStyle w:val="Tabletext"/>
            </w:pPr>
            <w:r w:rsidRPr="00DB760B">
              <w:t xml:space="preserve">Conference abstract: </w:t>
            </w:r>
            <w:r w:rsidRPr="00DB760B">
              <w:rPr>
                <w:i/>
              </w:rPr>
              <w:t>Diabetes</w:t>
            </w:r>
            <w:r w:rsidRPr="00DB760B">
              <w:t>. 2016;</w:t>
            </w:r>
            <w:r w:rsidR="00690AE0" w:rsidRPr="00DB760B">
              <w:t xml:space="preserve"> </w:t>
            </w:r>
            <w:r w:rsidRPr="00DB760B">
              <w:t xml:space="preserve">65 </w:t>
            </w:r>
            <w:proofErr w:type="spellStart"/>
            <w:r w:rsidRPr="00DB760B">
              <w:t>Supp</w:t>
            </w:r>
            <w:proofErr w:type="spellEnd"/>
            <w:r w:rsidRPr="00DB760B">
              <w:t xml:space="preserve"> 1:</w:t>
            </w:r>
            <w:r w:rsidR="00690AE0" w:rsidRPr="00DB760B">
              <w:t xml:space="preserve"> </w:t>
            </w:r>
            <w:r w:rsidRPr="00DB760B">
              <w:t>A297-A298.</w:t>
            </w:r>
          </w:p>
        </w:tc>
      </w:tr>
      <w:tr w:rsidR="00CF29D7" w:rsidRPr="00DB760B" w:rsidTr="00A13434">
        <w:trPr>
          <w:cantSplit/>
        </w:trPr>
        <w:tc>
          <w:tcPr>
            <w:tcW w:w="548" w:type="pct"/>
            <w:tcBorders>
              <w:top w:val="nil"/>
              <w:bottom w:val="single" w:sz="4" w:space="0" w:color="auto"/>
            </w:tcBorders>
            <w:vAlign w:val="center"/>
          </w:tcPr>
          <w:p w:rsidR="00CF29D7" w:rsidRPr="00DB760B" w:rsidRDefault="00CF29D7" w:rsidP="001B3286">
            <w:pPr>
              <w:pStyle w:val="Tabletext"/>
            </w:pPr>
          </w:p>
        </w:tc>
        <w:tc>
          <w:tcPr>
            <w:tcW w:w="3301" w:type="pct"/>
            <w:tcBorders>
              <w:top w:val="nil"/>
              <w:bottom w:val="single" w:sz="4" w:space="0" w:color="auto"/>
            </w:tcBorders>
          </w:tcPr>
          <w:p w:rsidR="00CF29D7" w:rsidRPr="00DB760B" w:rsidRDefault="00CF29D7" w:rsidP="001B3286">
            <w:pPr>
              <w:pStyle w:val="Tabletext"/>
              <w:rPr>
                <w:szCs w:val="18"/>
              </w:rPr>
            </w:pPr>
            <w:proofErr w:type="spellStart"/>
            <w:r w:rsidRPr="00DB760B">
              <w:rPr>
                <w:szCs w:val="18"/>
              </w:rPr>
              <w:t>Tinahones</w:t>
            </w:r>
            <w:proofErr w:type="spellEnd"/>
            <w:r w:rsidRPr="00DB760B">
              <w:rPr>
                <w:szCs w:val="18"/>
              </w:rPr>
              <w:t xml:space="preserve"> FJ, </w:t>
            </w:r>
            <w:proofErr w:type="spellStart"/>
            <w:r w:rsidRPr="00DB760B">
              <w:rPr>
                <w:szCs w:val="18"/>
              </w:rPr>
              <w:t>Gallwitz</w:t>
            </w:r>
            <w:proofErr w:type="spellEnd"/>
            <w:r w:rsidRPr="00DB760B">
              <w:rPr>
                <w:szCs w:val="18"/>
              </w:rPr>
              <w:t xml:space="preserve"> B, </w:t>
            </w:r>
            <w:proofErr w:type="spellStart"/>
            <w:r w:rsidRPr="00DB760B">
              <w:rPr>
                <w:szCs w:val="18"/>
              </w:rPr>
              <w:t>Nordaby</w:t>
            </w:r>
            <w:proofErr w:type="spellEnd"/>
            <w:r w:rsidRPr="00DB760B">
              <w:rPr>
                <w:szCs w:val="18"/>
              </w:rPr>
              <w:t xml:space="preserve"> M, </w:t>
            </w:r>
            <w:r w:rsidRPr="00DB760B">
              <w:rPr>
                <w:i/>
                <w:szCs w:val="18"/>
              </w:rPr>
              <w:t>et al</w:t>
            </w:r>
            <w:r w:rsidRPr="00DB760B">
              <w:rPr>
                <w:szCs w:val="18"/>
              </w:rPr>
              <w:t xml:space="preserve">. </w:t>
            </w:r>
            <w:proofErr w:type="spellStart"/>
            <w:r w:rsidRPr="00DB760B">
              <w:rPr>
                <w:szCs w:val="18"/>
              </w:rPr>
              <w:t>Linagliptin</w:t>
            </w:r>
            <w:proofErr w:type="spellEnd"/>
            <w:r w:rsidRPr="00DB760B">
              <w:rPr>
                <w:szCs w:val="18"/>
              </w:rPr>
              <w:t xml:space="preserve"> as add-on to </w:t>
            </w:r>
            <w:proofErr w:type="spellStart"/>
            <w:r w:rsidRPr="00DB760B">
              <w:rPr>
                <w:szCs w:val="18"/>
              </w:rPr>
              <w:t>empagliflozin</w:t>
            </w:r>
            <w:proofErr w:type="spellEnd"/>
            <w:r w:rsidRPr="00DB760B">
              <w:rPr>
                <w:szCs w:val="18"/>
              </w:rPr>
              <w:t xml:space="preserve"> and metformin in patients with Type 2 diabetes: Two 24-week randomised, double-blind, parallel-group trials.</w:t>
            </w:r>
          </w:p>
        </w:tc>
        <w:tc>
          <w:tcPr>
            <w:tcW w:w="1151" w:type="pct"/>
            <w:tcBorders>
              <w:top w:val="nil"/>
              <w:bottom w:val="single" w:sz="4" w:space="0" w:color="auto"/>
            </w:tcBorders>
          </w:tcPr>
          <w:p w:rsidR="00CF29D7" w:rsidRPr="00DB760B" w:rsidRDefault="00CF29D7" w:rsidP="001B3286">
            <w:pPr>
              <w:pStyle w:val="Tabletext"/>
            </w:pPr>
            <w:r w:rsidRPr="00DB760B">
              <w:t xml:space="preserve">Conference abstract: </w:t>
            </w:r>
            <w:proofErr w:type="spellStart"/>
            <w:r w:rsidRPr="00DB760B">
              <w:rPr>
                <w:i/>
              </w:rPr>
              <w:t>Diabetologia</w:t>
            </w:r>
            <w:proofErr w:type="spellEnd"/>
            <w:r w:rsidRPr="00DB760B">
              <w:t>. 2016;</w:t>
            </w:r>
            <w:r w:rsidR="00690AE0" w:rsidRPr="00DB760B">
              <w:t xml:space="preserve"> </w:t>
            </w:r>
            <w:r w:rsidRPr="00DB760B">
              <w:t>59:</w:t>
            </w:r>
            <w:r w:rsidR="00690AE0" w:rsidRPr="00DB760B">
              <w:t xml:space="preserve"> </w:t>
            </w:r>
            <w:r w:rsidRPr="00DB760B">
              <w:t>S371-S372.</w:t>
            </w:r>
          </w:p>
        </w:tc>
      </w:tr>
      <w:tr w:rsidR="00CF29D7" w:rsidRPr="00DB760B" w:rsidTr="00A13434">
        <w:trPr>
          <w:cantSplit/>
        </w:trPr>
        <w:tc>
          <w:tcPr>
            <w:tcW w:w="548" w:type="pct"/>
            <w:tcBorders>
              <w:top w:val="single" w:sz="4" w:space="0" w:color="auto"/>
              <w:bottom w:val="nil"/>
              <w:right w:val="single" w:sz="4" w:space="0" w:color="auto"/>
            </w:tcBorders>
          </w:tcPr>
          <w:p w:rsidR="00CF29D7" w:rsidRPr="00DB760B" w:rsidRDefault="00CF29D7" w:rsidP="001B3286">
            <w:pPr>
              <w:pStyle w:val="Tabletext"/>
            </w:pPr>
            <w:proofErr w:type="spellStart"/>
            <w:r w:rsidRPr="00DB760B">
              <w:t>Jabbour</w:t>
            </w:r>
            <w:proofErr w:type="spellEnd"/>
            <w:r w:rsidRPr="00DB760B">
              <w:t xml:space="preserve"> 2014</w:t>
            </w:r>
          </w:p>
        </w:tc>
        <w:tc>
          <w:tcPr>
            <w:tcW w:w="3301" w:type="pct"/>
            <w:tcBorders>
              <w:top w:val="single" w:sz="4" w:space="0" w:color="auto"/>
              <w:left w:val="single" w:sz="4" w:space="0" w:color="auto"/>
              <w:bottom w:val="nil"/>
              <w:right w:val="single" w:sz="4" w:space="0" w:color="auto"/>
            </w:tcBorders>
          </w:tcPr>
          <w:p w:rsidR="00CF29D7" w:rsidRPr="00DB760B" w:rsidRDefault="00CF29D7" w:rsidP="001B3286">
            <w:pPr>
              <w:pStyle w:val="Tabletext"/>
            </w:pPr>
            <w:proofErr w:type="spellStart"/>
            <w:r w:rsidRPr="00DB760B">
              <w:t>Jabbour</w:t>
            </w:r>
            <w:proofErr w:type="spellEnd"/>
            <w:r w:rsidRPr="00DB760B">
              <w:t xml:space="preserve"> S, Hardy E, </w:t>
            </w:r>
            <w:proofErr w:type="spellStart"/>
            <w:r w:rsidRPr="00DB760B">
              <w:t>Sugg</w:t>
            </w:r>
            <w:proofErr w:type="spellEnd"/>
            <w:r w:rsidRPr="00DB760B">
              <w:t xml:space="preserve"> J, </w:t>
            </w:r>
            <w:r w:rsidRPr="00DB760B">
              <w:rPr>
                <w:i/>
              </w:rPr>
              <w:t>et al</w:t>
            </w:r>
            <w:r w:rsidRPr="00DB760B">
              <w:t xml:space="preserve">. </w:t>
            </w:r>
            <w:proofErr w:type="spellStart"/>
            <w:r w:rsidRPr="00DB760B">
              <w:t>Dapagliflozin</w:t>
            </w:r>
            <w:proofErr w:type="spellEnd"/>
            <w:r w:rsidRPr="00DB760B">
              <w:t xml:space="preserve"> is effective as add-on therapy to </w:t>
            </w:r>
            <w:proofErr w:type="spellStart"/>
            <w:r w:rsidRPr="00DB760B">
              <w:t>sitagliptin</w:t>
            </w:r>
            <w:proofErr w:type="spellEnd"/>
            <w:r w:rsidRPr="00DB760B">
              <w:t xml:space="preserve"> with or without metformin: A 24-week multicentre, randomised, double-blind, placebo-controlled study.</w:t>
            </w:r>
          </w:p>
        </w:tc>
        <w:tc>
          <w:tcPr>
            <w:tcW w:w="1151" w:type="pct"/>
            <w:tcBorders>
              <w:top w:val="single" w:sz="4" w:space="0" w:color="auto"/>
              <w:left w:val="single" w:sz="4" w:space="0" w:color="auto"/>
              <w:bottom w:val="nil"/>
            </w:tcBorders>
          </w:tcPr>
          <w:p w:rsidR="00CF29D7" w:rsidRPr="00DB760B" w:rsidRDefault="00CF29D7" w:rsidP="001B3286">
            <w:pPr>
              <w:pStyle w:val="Tabletext"/>
            </w:pPr>
            <w:r w:rsidRPr="00DB760B">
              <w:rPr>
                <w:i/>
              </w:rPr>
              <w:t>Diabetes Care.</w:t>
            </w:r>
            <w:r w:rsidRPr="00DB760B">
              <w:t xml:space="preserve"> 2014;</w:t>
            </w:r>
            <w:r w:rsidR="00690AE0" w:rsidRPr="00DB760B">
              <w:t xml:space="preserve"> </w:t>
            </w:r>
            <w:r w:rsidRPr="00DB760B">
              <w:t>37:</w:t>
            </w:r>
            <w:r w:rsidR="00690AE0" w:rsidRPr="00DB760B">
              <w:t xml:space="preserve"> </w:t>
            </w:r>
            <w:r w:rsidRPr="00DB760B">
              <w:t>40-750.</w:t>
            </w:r>
          </w:p>
        </w:tc>
      </w:tr>
      <w:tr w:rsidR="00CF29D7" w:rsidRPr="00DB760B" w:rsidTr="00A13434">
        <w:trPr>
          <w:cantSplit/>
        </w:trPr>
        <w:tc>
          <w:tcPr>
            <w:tcW w:w="548" w:type="pct"/>
            <w:tcBorders>
              <w:top w:val="nil"/>
              <w:bottom w:val="nil"/>
              <w:right w:val="single" w:sz="4" w:space="0" w:color="auto"/>
            </w:tcBorders>
            <w:vAlign w:val="center"/>
          </w:tcPr>
          <w:p w:rsidR="00CF29D7" w:rsidRPr="00DB760B" w:rsidRDefault="00CF29D7" w:rsidP="001B3286">
            <w:pPr>
              <w:pStyle w:val="Tabletext"/>
            </w:pPr>
          </w:p>
        </w:tc>
        <w:tc>
          <w:tcPr>
            <w:tcW w:w="3301" w:type="pct"/>
            <w:tcBorders>
              <w:top w:val="nil"/>
              <w:left w:val="single" w:sz="4" w:space="0" w:color="auto"/>
              <w:bottom w:val="nil"/>
              <w:right w:val="single" w:sz="4" w:space="0" w:color="auto"/>
            </w:tcBorders>
          </w:tcPr>
          <w:p w:rsidR="00CF29D7" w:rsidRPr="00DB760B" w:rsidRDefault="00CF29D7" w:rsidP="001B3286">
            <w:pPr>
              <w:pStyle w:val="Tabletext"/>
              <w:rPr>
                <w:szCs w:val="18"/>
              </w:rPr>
            </w:pPr>
            <w:proofErr w:type="spellStart"/>
            <w:r w:rsidRPr="00DB760B">
              <w:rPr>
                <w:szCs w:val="18"/>
              </w:rPr>
              <w:t>Jabbour</w:t>
            </w:r>
            <w:proofErr w:type="spellEnd"/>
            <w:r w:rsidRPr="00DB760B">
              <w:rPr>
                <w:szCs w:val="18"/>
              </w:rPr>
              <w:t xml:space="preserve"> S, Hardy E, </w:t>
            </w:r>
            <w:proofErr w:type="spellStart"/>
            <w:r w:rsidRPr="00DB760B">
              <w:rPr>
                <w:szCs w:val="18"/>
              </w:rPr>
              <w:t>Sugg</w:t>
            </w:r>
            <w:proofErr w:type="spellEnd"/>
            <w:r w:rsidRPr="00DB760B">
              <w:rPr>
                <w:szCs w:val="18"/>
              </w:rPr>
              <w:t xml:space="preserve"> J, </w:t>
            </w:r>
            <w:r w:rsidRPr="00DB760B">
              <w:rPr>
                <w:i/>
                <w:szCs w:val="18"/>
              </w:rPr>
              <w:t>et al</w:t>
            </w:r>
            <w:r w:rsidRPr="00DB760B">
              <w:rPr>
                <w:szCs w:val="18"/>
              </w:rPr>
              <w:t xml:space="preserve">. </w:t>
            </w:r>
            <w:proofErr w:type="spellStart"/>
            <w:r w:rsidRPr="00DB760B">
              <w:rPr>
                <w:szCs w:val="18"/>
              </w:rPr>
              <w:t>Dapagliflozin</w:t>
            </w:r>
            <w:proofErr w:type="spellEnd"/>
            <w:r w:rsidRPr="00DB760B">
              <w:rPr>
                <w:szCs w:val="18"/>
              </w:rPr>
              <w:t xml:space="preserve"> is safe and effective as add on therapy to </w:t>
            </w:r>
            <w:proofErr w:type="spellStart"/>
            <w:r w:rsidRPr="00DB760B">
              <w:rPr>
                <w:szCs w:val="18"/>
              </w:rPr>
              <w:t>sitagliptin</w:t>
            </w:r>
            <w:proofErr w:type="spellEnd"/>
            <w:r w:rsidRPr="00DB760B">
              <w:rPr>
                <w:szCs w:val="18"/>
              </w:rPr>
              <w:t xml:space="preserve"> with or without background metformin.</w:t>
            </w:r>
          </w:p>
        </w:tc>
        <w:tc>
          <w:tcPr>
            <w:tcW w:w="1151" w:type="pct"/>
            <w:tcBorders>
              <w:top w:val="nil"/>
              <w:left w:val="single" w:sz="4" w:space="0" w:color="auto"/>
              <w:bottom w:val="nil"/>
            </w:tcBorders>
          </w:tcPr>
          <w:p w:rsidR="00CF29D7" w:rsidRPr="00DB760B" w:rsidRDefault="00CF29D7" w:rsidP="001B3286">
            <w:pPr>
              <w:pStyle w:val="Tabletext"/>
            </w:pPr>
            <w:r w:rsidRPr="00DB760B">
              <w:t>Conference abstract:</w:t>
            </w:r>
          </w:p>
          <w:p w:rsidR="00CF29D7" w:rsidRPr="00DB760B" w:rsidRDefault="00CF29D7" w:rsidP="001B3286">
            <w:pPr>
              <w:pStyle w:val="Tabletext"/>
              <w:rPr>
                <w:i/>
              </w:rPr>
            </w:pPr>
            <w:proofErr w:type="spellStart"/>
            <w:r w:rsidRPr="00DB760B">
              <w:rPr>
                <w:i/>
              </w:rPr>
              <w:t>Diabetologia</w:t>
            </w:r>
            <w:proofErr w:type="spellEnd"/>
            <w:r w:rsidRPr="00DB760B">
              <w:rPr>
                <w:i/>
              </w:rPr>
              <w:t xml:space="preserve">. </w:t>
            </w:r>
            <w:r w:rsidRPr="00DB760B">
              <w:t>2012;</w:t>
            </w:r>
            <w:r w:rsidR="00690AE0" w:rsidRPr="00DB760B">
              <w:t xml:space="preserve"> </w:t>
            </w:r>
            <w:r w:rsidRPr="00DB760B">
              <w:t>55:</w:t>
            </w:r>
            <w:r w:rsidR="00690AE0" w:rsidRPr="00DB760B">
              <w:t xml:space="preserve"> </w:t>
            </w:r>
            <w:r w:rsidRPr="00DB760B">
              <w:t>S311.</w:t>
            </w:r>
          </w:p>
        </w:tc>
      </w:tr>
      <w:tr w:rsidR="00CF29D7" w:rsidRPr="00DB760B" w:rsidTr="00A13434">
        <w:trPr>
          <w:cantSplit/>
        </w:trPr>
        <w:tc>
          <w:tcPr>
            <w:tcW w:w="548" w:type="pct"/>
            <w:tcBorders>
              <w:top w:val="nil"/>
              <w:bottom w:val="single" w:sz="4" w:space="0" w:color="auto"/>
              <w:right w:val="single" w:sz="4" w:space="0" w:color="auto"/>
            </w:tcBorders>
            <w:vAlign w:val="center"/>
          </w:tcPr>
          <w:p w:rsidR="00CF29D7" w:rsidRPr="00DB760B" w:rsidRDefault="00CF29D7" w:rsidP="001B3286">
            <w:pPr>
              <w:pStyle w:val="Tabletext"/>
            </w:pPr>
          </w:p>
        </w:tc>
        <w:tc>
          <w:tcPr>
            <w:tcW w:w="3301" w:type="pct"/>
            <w:tcBorders>
              <w:top w:val="nil"/>
              <w:left w:val="single" w:sz="4" w:space="0" w:color="auto"/>
              <w:bottom w:val="single" w:sz="4" w:space="0" w:color="auto"/>
              <w:right w:val="single" w:sz="4" w:space="0" w:color="auto"/>
            </w:tcBorders>
          </w:tcPr>
          <w:p w:rsidR="00CF29D7" w:rsidRPr="00DB760B" w:rsidRDefault="00CF29D7" w:rsidP="001B3286">
            <w:pPr>
              <w:pStyle w:val="Tabletext"/>
              <w:rPr>
                <w:szCs w:val="18"/>
              </w:rPr>
            </w:pPr>
            <w:proofErr w:type="spellStart"/>
            <w:r w:rsidRPr="00DB760B">
              <w:rPr>
                <w:szCs w:val="18"/>
              </w:rPr>
              <w:t>Jabbour</w:t>
            </w:r>
            <w:proofErr w:type="spellEnd"/>
            <w:r w:rsidRPr="00DB760B">
              <w:rPr>
                <w:szCs w:val="18"/>
              </w:rPr>
              <w:t xml:space="preserve"> S, Hardy E, </w:t>
            </w:r>
            <w:proofErr w:type="spellStart"/>
            <w:r w:rsidRPr="00DB760B">
              <w:rPr>
                <w:szCs w:val="18"/>
              </w:rPr>
              <w:t>Sugg</w:t>
            </w:r>
            <w:proofErr w:type="spellEnd"/>
            <w:r w:rsidRPr="00DB760B">
              <w:rPr>
                <w:szCs w:val="18"/>
              </w:rPr>
              <w:t xml:space="preserve"> J, </w:t>
            </w:r>
            <w:r w:rsidRPr="00DB760B">
              <w:rPr>
                <w:i/>
                <w:szCs w:val="18"/>
              </w:rPr>
              <w:t>et al.</w:t>
            </w:r>
            <w:r w:rsidRPr="00DB760B">
              <w:rPr>
                <w:szCs w:val="18"/>
              </w:rPr>
              <w:t xml:space="preserve"> </w:t>
            </w:r>
            <w:proofErr w:type="spellStart"/>
            <w:r w:rsidRPr="00DB760B">
              <w:rPr>
                <w:szCs w:val="18"/>
              </w:rPr>
              <w:t>Dapagliflozin</w:t>
            </w:r>
            <w:proofErr w:type="spellEnd"/>
            <w:r w:rsidRPr="00DB760B">
              <w:rPr>
                <w:szCs w:val="18"/>
              </w:rPr>
              <w:t xml:space="preserve"> as add-on therapy to </w:t>
            </w:r>
            <w:proofErr w:type="spellStart"/>
            <w:r w:rsidRPr="00DB760B">
              <w:rPr>
                <w:szCs w:val="18"/>
              </w:rPr>
              <w:t>sitagliptin</w:t>
            </w:r>
            <w:proofErr w:type="spellEnd"/>
            <w:r w:rsidRPr="00DB760B">
              <w:rPr>
                <w:szCs w:val="18"/>
              </w:rPr>
              <w:t xml:space="preserve"> with or without metformin: A randomised, double-blind, placebo-controlled study.</w:t>
            </w:r>
          </w:p>
        </w:tc>
        <w:tc>
          <w:tcPr>
            <w:tcW w:w="1151" w:type="pct"/>
            <w:tcBorders>
              <w:top w:val="nil"/>
              <w:left w:val="single" w:sz="4" w:space="0" w:color="auto"/>
              <w:bottom w:val="single" w:sz="4" w:space="0" w:color="auto"/>
            </w:tcBorders>
          </w:tcPr>
          <w:p w:rsidR="00CF29D7" w:rsidRPr="00DB760B" w:rsidRDefault="00CF29D7" w:rsidP="001B3286">
            <w:pPr>
              <w:pStyle w:val="Tabletext"/>
            </w:pPr>
            <w:r w:rsidRPr="00DB760B">
              <w:t>Conference abstract:</w:t>
            </w:r>
          </w:p>
          <w:p w:rsidR="00CF29D7" w:rsidRPr="00DB760B" w:rsidRDefault="00CF29D7" w:rsidP="001B3286">
            <w:pPr>
              <w:pStyle w:val="Tabletext"/>
            </w:pPr>
            <w:r w:rsidRPr="00DB760B">
              <w:rPr>
                <w:i/>
              </w:rPr>
              <w:t>Diabetes.</w:t>
            </w:r>
            <w:r w:rsidRPr="00DB760B">
              <w:t xml:space="preserve"> 2012;</w:t>
            </w:r>
            <w:r w:rsidR="00690AE0" w:rsidRPr="00DB760B">
              <w:t xml:space="preserve"> </w:t>
            </w:r>
            <w:r w:rsidRPr="00DB760B">
              <w:t>61:</w:t>
            </w:r>
            <w:r w:rsidR="00690AE0" w:rsidRPr="00DB760B">
              <w:t xml:space="preserve"> </w:t>
            </w:r>
            <w:r w:rsidRPr="00DB760B">
              <w:t>A275-A276.</w:t>
            </w:r>
          </w:p>
        </w:tc>
      </w:tr>
    </w:tbl>
    <w:p w:rsidR="00CF29D7" w:rsidRPr="00DB760B" w:rsidRDefault="00CF29D7" w:rsidP="001B3286">
      <w:pPr>
        <w:pStyle w:val="TableFooter"/>
        <w:keepNext/>
        <w:keepLines/>
      </w:pPr>
      <w:r w:rsidRPr="00DB760B">
        <w:t>Source: Table 2-6, Section 2.2.3 of the submission</w:t>
      </w:r>
    </w:p>
    <w:p w:rsidR="00CF29D7" w:rsidRPr="00DB760B" w:rsidRDefault="00CF29D7" w:rsidP="001B3286">
      <w:pPr>
        <w:pStyle w:val="TableFooter"/>
        <w:keepNext/>
        <w:keepLines/>
        <w:rPr>
          <w:sz w:val="20"/>
        </w:rPr>
      </w:pPr>
      <w:r w:rsidRPr="00DB760B">
        <w:t xml:space="preserve">DAPA = </w:t>
      </w:r>
      <w:proofErr w:type="spellStart"/>
      <w:r w:rsidRPr="00DB760B">
        <w:t>dapagliflozin</w:t>
      </w:r>
      <w:proofErr w:type="spellEnd"/>
      <w:r w:rsidRPr="00DB760B">
        <w:t xml:space="preserve">; DPP4 = dipeptidyl peptidase-4; EMPA = </w:t>
      </w:r>
      <w:proofErr w:type="spellStart"/>
      <w:r w:rsidRPr="00DB760B">
        <w:t>empagliflozin</w:t>
      </w:r>
      <w:proofErr w:type="spellEnd"/>
      <w:r w:rsidRPr="00DB760B">
        <w:t xml:space="preserve">; ERTU = </w:t>
      </w:r>
      <w:proofErr w:type="spellStart"/>
      <w:r w:rsidRPr="00DB760B">
        <w:t>ertugliflozin</w:t>
      </w:r>
      <w:proofErr w:type="spellEnd"/>
      <w:r w:rsidRPr="00DB760B">
        <w:t xml:space="preserve">; LINA = </w:t>
      </w:r>
      <w:proofErr w:type="spellStart"/>
      <w:r w:rsidRPr="00DB760B">
        <w:t>linagliptin</w:t>
      </w:r>
      <w:proofErr w:type="spellEnd"/>
      <w:r w:rsidRPr="00DB760B">
        <w:t xml:space="preserve">; MF = metformin; </w:t>
      </w:r>
      <w:r w:rsidR="005C3302" w:rsidRPr="00DB760B">
        <w:t xml:space="preserve">PBO = placebo; </w:t>
      </w:r>
      <w:r w:rsidRPr="00DB760B">
        <w:t xml:space="preserve">SAXA = </w:t>
      </w:r>
      <w:proofErr w:type="spellStart"/>
      <w:r w:rsidRPr="00DB760B">
        <w:t>saxagliptin</w:t>
      </w:r>
      <w:proofErr w:type="spellEnd"/>
      <w:r w:rsidRPr="00DB760B">
        <w:t xml:space="preserve">; SGLT2 = sodium-glucose co-transporter-2; SITA = </w:t>
      </w:r>
      <w:proofErr w:type="spellStart"/>
      <w:r w:rsidRPr="00DB760B">
        <w:t>sitagliptin</w:t>
      </w:r>
      <w:proofErr w:type="spellEnd"/>
    </w:p>
    <w:p w:rsidR="00CF29D7" w:rsidRPr="00DB760B" w:rsidRDefault="00CF29D7" w:rsidP="008E0D3C">
      <w:pPr>
        <w:rPr>
          <w:rStyle w:val="CommentReference"/>
        </w:rPr>
      </w:pPr>
    </w:p>
    <w:p w:rsidR="007F1017" w:rsidRPr="00DB760B" w:rsidRDefault="008F120A" w:rsidP="00050ADD">
      <w:pPr>
        <w:pStyle w:val="ListParagraph"/>
        <w:keepNext/>
        <w:widowControl/>
        <w:numPr>
          <w:ilvl w:val="1"/>
          <w:numId w:val="1"/>
        </w:numPr>
      </w:pPr>
      <w:r w:rsidRPr="00DB760B">
        <w:lastRenderedPageBreak/>
        <w:t xml:space="preserve">The key features of the direct randomised trials are summarised in </w:t>
      </w:r>
      <w:r w:rsidR="005F1E68" w:rsidRPr="00DB760B">
        <w:t>Table 3</w:t>
      </w:r>
      <w:r w:rsidRPr="00DB760B">
        <w:t xml:space="preserve">.  </w:t>
      </w:r>
    </w:p>
    <w:p w:rsidR="007F1017" w:rsidRPr="00DB760B" w:rsidRDefault="005F1E68" w:rsidP="007B3E37">
      <w:pPr>
        <w:keepNext/>
        <w:rPr>
          <w:rStyle w:val="CommentReference"/>
        </w:rPr>
      </w:pPr>
      <w:r w:rsidRPr="00DB760B">
        <w:rPr>
          <w:rStyle w:val="CommentReference"/>
        </w:rPr>
        <w:t>Table 3</w:t>
      </w:r>
      <w:r w:rsidR="007F1017" w:rsidRPr="00DB760B">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5"/>
        <w:gridCol w:w="699"/>
        <w:gridCol w:w="1713"/>
        <w:gridCol w:w="1143"/>
        <w:gridCol w:w="2142"/>
        <w:gridCol w:w="2091"/>
      </w:tblGrid>
      <w:tr w:rsidR="006008B4" w:rsidRPr="00DB760B" w:rsidTr="00690AE0">
        <w:trPr>
          <w:cantSplit/>
          <w:tblHeader/>
        </w:trPr>
        <w:tc>
          <w:tcPr>
            <w:tcW w:w="713" w:type="pct"/>
            <w:shd w:val="clear" w:color="auto" w:fill="auto"/>
            <w:vAlign w:val="center"/>
          </w:tcPr>
          <w:p w:rsidR="006008B4" w:rsidRPr="00DB760B" w:rsidRDefault="006008B4" w:rsidP="007B3E37">
            <w:pPr>
              <w:pStyle w:val="Tabletext"/>
              <w:keepNext/>
              <w:rPr>
                <w:b/>
              </w:rPr>
            </w:pPr>
            <w:r w:rsidRPr="00DB760B">
              <w:rPr>
                <w:b/>
              </w:rPr>
              <w:t>Trial</w:t>
            </w:r>
          </w:p>
        </w:tc>
        <w:tc>
          <w:tcPr>
            <w:tcW w:w="385" w:type="pct"/>
            <w:shd w:val="clear" w:color="auto" w:fill="auto"/>
            <w:vAlign w:val="center"/>
          </w:tcPr>
          <w:p w:rsidR="006008B4" w:rsidRPr="00DB760B" w:rsidRDefault="006008B4" w:rsidP="007B3E37">
            <w:pPr>
              <w:pStyle w:val="Tabletext"/>
              <w:keepNext/>
              <w:jc w:val="center"/>
              <w:rPr>
                <w:b/>
              </w:rPr>
            </w:pPr>
            <w:r w:rsidRPr="00DB760B">
              <w:rPr>
                <w:b/>
              </w:rPr>
              <w:t>N</w:t>
            </w:r>
          </w:p>
        </w:tc>
        <w:tc>
          <w:tcPr>
            <w:tcW w:w="943" w:type="pct"/>
            <w:shd w:val="clear" w:color="auto" w:fill="auto"/>
            <w:vAlign w:val="center"/>
          </w:tcPr>
          <w:p w:rsidR="006008B4" w:rsidRPr="00DB760B" w:rsidRDefault="00B62D07" w:rsidP="007B3E37">
            <w:pPr>
              <w:pStyle w:val="Tabletext"/>
              <w:keepNext/>
              <w:jc w:val="center"/>
              <w:rPr>
                <w:b/>
              </w:rPr>
            </w:pPr>
            <w:r w:rsidRPr="00DB760B">
              <w:rPr>
                <w:b/>
              </w:rPr>
              <w:t>Design/</w:t>
            </w:r>
            <w:r w:rsidR="006008B4" w:rsidRPr="00DB760B">
              <w:rPr>
                <w:b/>
              </w:rPr>
              <w:t>duration</w:t>
            </w:r>
          </w:p>
        </w:tc>
        <w:tc>
          <w:tcPr>
            <w:tcW w:w="629" w:type="pct"/>
            <w:shd w:val="clear" w:color="auto" w:fill="auto"/>
            <w:vAlign w:val="center"/>
          </w:tcPr>
          <w:p w:rsidR="006008B4" w:rsidRPr="00DB760B" w:rsidRDefault="006008B4" w:rsidP="007B3E37">
            <w:pPr>
              <w:pStyle w:val="Tabletext"/>
              <w:keepNext/>
              <w:jc w:val="center"/>
              <w:rPr>
                <w:b/>
              </w:rPr>
            </w:pPr>
            <w:r w:rsidRPr="00DB760B">
              <w:rPr>
                <w:b/>
              </w:rPr>
              <w:t>Risk of bias</w:t>
            </w:r>
          </w:p>
        </w:tc>
        <w:tc>
          <w:tcPr>
            <w:tcW w:w="1179" w:type="pct"/>
            <w:shd w:val="clear" w:color="auto" w:fill="auto"/>
            <w:vAlign w:val="center"/>
          </w:tcPr>
          <w:p w:rsidR="006008B4" w:rsidRPr="00DB760B" w:rsidRDefault="006008B4" w:rsidP="007B3E37">
            <w:pPr>
              <w:pStyle w:val="Tabletext"/>
              <w:keepNext/>
              <w:jc w:val="center"/>
              <w:rPr>
                <w:b/>
              </w:rPr>
            </w:pPr>
            <w:r w:rsidRPr="00DB760B">
              <w:rPr>
                <w:b/>
              </w:rPr>
              <w:t>Patient population</w:t>
            </w:r>
          </w:p>
        </w:tc>
        <w:tc>
          <w:tcPr>
            <w:tcW w:w="1151" w:type="pct"/>
            <w:shd w:val="clear" w:color="auto" w:fill="auto"/>
            <w:vAlign w:val="center"/>
          </w:tcPr>
          <w:p w:rsidR="006008B4" w:rsidRPr="00DB760B" w:rsidRDefault="006008B4" w:rsidP="007B3E37">
            <w:pPr>
              <w:pStyle w:val="Tabletext"/>
              <w:keepNext/>
              <w:jc w:val="center"/>
              <w:rPr>
                <w:b/>
              </w:rPr>
            </w:pPr>
            <w:r w:rsidRPr="00DB760B">
              <w:rPr>
                <w:b/>
              </w:rPr>
              <w:t>Outcomes</w:t>
            </w:r>
          </w:p>
        </w:tc>
      </w:tr>
      <w:tr w:rsidR="007F1017" w:rsidRPr="00DB760B" w:rsidTr="005A79A2">
        <w:trPr>
          <w:cantSplit/>
        </w:trPr>
        <w:tc>
          <w:tcPr>
            <w:tcW w:w="5000" w:type="pct"/>
            <w:gridSpan w:val="6"/>
            <w:shd w:val="clear" w:color="auto" w:fill="auto"/>
            <w:vAlign w:val="center"/>
          </w:tcPr>
          <w:p w:rsidR="007F1017" w:rsidRPr="00DB760B" w:rsidRDefault="00B33FA5" w:rsidP="007B3E37">
            <w:pPr>
              <w:pStyle w:val="Tabletext"/>
              <w:keepNext/>
              <w:rPr>
                <w:b/>
              </w:rPr>
            </w:pPr>
            <w:r w:rsidRPr="00DB760B">
              <w:rPr>
                <w:b/>
              </w:rPr>
              <w:t>[ERTU] + SITA + MF versus [PBO] + SITA + MF</w:t>
            </w:r>
          </w:p>
        </w:tc>
      </w:tr>
      <w:tr w:rsidR="006008B4" w:rsidRPr="00DB760B" w:rsidTr="00690AE0">
        <w:trPr>
          <w:cantSplit/>
        </w:trPr>
        <w:tc>
          <w:tcPr>
            <w:tcW w:w="713" w:type="pct"/>
            <w:shd w:val="clear" w:color="auto" w:fill="auto"/>
            <w:vAlign w:val="center"/>
          </w:tcPr>
          <w:p w:rsidR="006008B4" w:rsidRPr="00DB760B" w:rsidRDefault="006008B4" w:rsidP="007B3E37">
            <w:pPr>
              <w:pStyle w:val="Tabletext"/>
              <w:keepNext/>
            </w:pPr>
            <w:r w:rsidRPr="00DB760B">
              <w:t>P006</w:t>
            </w:r>
          </w:p>
        </w:tc>
        <w:tc>
          <w:tcPr>
            <w:tcW w:w="385" w:type="pct"/>
            <w:shd w:val="clear" w:color="auto" w:fill="auto"/>
            <w:vAlign w:val="center"/>
          </w:tcPr>
          <w:p w:rsidR="006008B4" w:rsidRPr="00DB760B" w:rsidRDefault="006008B4" w:rsidP="007B3E37">
            <w:pPr>
              <w:pStyle w:val="Tabletext"/>
              <w:keepNext/>
              <w:jc w:val="center"/>
            </w:pPr>
            <w:r w:rsidRPr="00DB760B">
              <w:t>462</w:t>
            </w:r>
          </w:p>
        </w:tc>
        <w:tc>
          <w:tcPr>
            <w:tcW w:w="943" w:type="pct"/>
            <w:shd w:val="clear" w:color="auto" w:fill="auto"/>
            <w:vAlign w:val="center"/>
          </w:tcPr>
          <w:p w:rsidR="006008B4" w:rsidRPr="00DB760B" w:rsidRDefault="006008B4" w:rsidP="007B3E37">
            <w:pPr>
              <w:pStyle w:val="Tabletext"/>
              <w:keepNext/>
              <w:jc w:val="center"/>
            </w:pPr>
            <w:r w:rsidRPr="00DB760B">
              <w:t>R, DB, MC</w:t>
            </w:r>
          </w:p>
          <w:p w:rsidR="006008B4" w:rsidRPr="00DB760B" w:rsidRDefault="006008B4" w:rsidP="007B3E37">
            <w:pPr>
              <w:pStyle w:val="Tabletext"/>
              <w:keepNext/>
              <w:jc w:val="center"/>
            </w:pPr>
            <w:r w:rsidRPr="00DB760B">
              <w:t>26/52 weeks</w:t>
            </w:r>
          </w:p>
        </w:tc>
        <w:tc>
          <w:tcPr>
            <w:tcW w:w="629" w:type="pct"/>
            <w:shd w:val="clear" w:color="auto" w:fill="auto"/>
            <w:vAlign w:val="center"/>
          </w:tcPr>
          <w:p w:rsidR="006008B4" w:rsidRPr="00DB760B" w:rsidRDefault="006008B4" w:rsidP="007B3E37">
            <w:pPr>
              <w:pStyle w:val="Tabletext"/>
              <w:keepNext/>
              <w:jc w:val="center"/>
            </w:pPr>
            <w:r w:rsidRPr="00DB760B">
              <w:t>Low</w:t>
            </w:r>
            <w:r w:rsidR="00B62D07" w:rsidRPr="00DB760B">
              <w:t xml:space="preserve"> </w:t>
            </w:r>
            <w:r w:rsidR="00B62D07" w:rsidRPr="00DB760B">
              <w:rPr>
                <w:vertAlign w:val="superscript"/>
              </w:rPr>
              <w:t>a</w:t>
            </w:r>
          </w:p>
        </w:tc>
        <w:tc>
          <w:tcPr>
            <w:tcW w:w="1179" w:type="pct"/>
            <w:shd w:val="clear" w:color="auto" w:fill="auto"/>
            <w:vAlign w:val="center"/>
          </w:tcPr>
          <w:p w:rsidR="00AA73D8" w:rsidRPr="00DB760B" w:rsidRDefault="006008B4" w:rsidP="007B3E37">
            <w:pPr>
              <w:pStyle w:val="Tabletext"/>
              <w:keepNext/>
              <w:jc w:val="center"/>
            </w:pPr>
            <w:r w:rsidRPr="00DB760B">
              <w:t>T2DM</w:t>
            </w:r>
            <w:r w:rsidR="00AA73D8" w:rsidRPr="00DB760B">
              <w:t xml:space="preserve">; </w:t>
            </w:r>
          </w:p>
          <w:p w:rsidR="006008B4" w:rsidRPr="00DB760B" w:rsidRDefault="00AA73D8" w:rsidP="007B3E37">
            <w:pPr>
              <w:pStyle w:val="Tabletext"/>
              <w:keepNext/>
              <w:jc w:val="center"/>
            </w:pPr>
            <w:r w:rsidRPr="00DB760B">
              <w:t>HbA</w:t>
            </w:r>
            <w:r w:rsidRPr="00DB760B">
              <w:rPr>
                <w:vertAlign w:val="subscript"/>
              </w:rPr>
              <w:t>1</w:t>
            </w:r>
            <w:r w:rsidR="00A13434" w:rsidRPr="00DB760B">
              <w:rPr>
                <w:vertAlign w:val="subscript"/>
              </w:rPr>
              <w:t>c</w:t>
            </w:r>
            <w:r w:rsidRPr="00DB760B">
              <w:t xml:space="preserve"> ≥ 7.0% to ≤ 10.5%</w:t>
            </w:r>
          </w:p>
        </w:tc>
        <w:tc>
          <w:tcPr>
            <w:tcW w:w="1151" w:type="pct"/>
            <w:shd w:val="clear" w:color="auto" w:fill="auto"/>
            <w:vAlign w:val="center"/>
          </w:tcPr>
          <w:p w:rsidR="006008B4" w:rsidRPr="00DB760B" w:rsidRDefault="006008B4" w:rsidP="007B3E37">
            <w:pPr>
              <w:pStyle w:val="Tabletext"/>
              <w:keepNext/>
              <w:jc w:val="center"/>
            </w:pPr>
            <w:r w:rsidRPr="00DB760B">
              <w:t>∆ HbA</w:t>
            </w:r>
            <w:r w:rsidRPr="00DB760B">
              <w:rPr>
                <w:vertAlign w:val="subscript"/>
              </w:rPr>
              <w:t>1c</w:t>
            </w:r>
            <w:r w:rsidRPr="00DB760B">
              <w:t>, % HbA</w:t>
            </w:r>
            <w:r w:rsidRPr="00DB760B">
              <w:rPr>
                <w:vertAlign w:val="subscript"/>
              </w:rPr>
              <w:t>1c</w:t>
            </w:r>
            <w:r w:rsidRPr="00DB760B">
              <w:t xml:space="preserve"> &lt; 7</w:t>
            </w:r>
            <w:r w:rsidR="005079B0" w:rsidRPr="00DB760B">
              <w:t>.0</w:t>
            </w:r>
            <w:r w:rsidRPr="00DB760B">
              <w:t xml:space="preserve">%, </w:t>
            </w:r>
            <w:r w:rsidR="00602DCC" w:rsidRPr="00DB760B">
              <w:br/>
            </w:r>
            <w:r w:rsidR="00B62D07" w:rsidRPr="00DB760B">
              <w:t xml:space="preserve">∆ FPG, ∆ weight, </w:t>
            </w:r>
            <w:r w:rsidRPr="00DB760B">
              <w:t xml:space="preserve">safety </w:t>
            </w:r>
          </w:p>
        </w:tc>
      </w:tr>
      <w:tr w:rsidR="000C3480" w:rsidRPr="00DB760B" w:rsidTr="005A79A2">
        <w:trPr>
          <w:cantSplit/>
        </w:trPr>
        <w:tc>
          <w:tcPr>
            <w:tcW w:w="5000" w:type="pct"/>
            <w:gridSpan w:val="6"/>
            <w:shd w:val="clear" w:color="auto" w:fill="auto"/>
            <w:vAlign w:val="center"/>
          </w:tcPr>
          <w:p w:rsidR="000C3480" w:rsidRPr="00DB760B" w:rsidRDefault="000C3480" w:rsidP="007B3E37">
            <w:pPr>
              <w:pStyle w:val="Tabletext"/>
              <w:keepNext/>
              <w:rPr>
                <w:b/>
              </w:rPr>
            </w:pPr>
            <w:r w:rsidRPr="00DB760B">
              <w:rPr>
                <w:b/>
              </w:rPr>
              <w:t>[SGLT2] + DPP4 + MF versus [PBO] + DPP4 + MF</w:t>
            </w:r>
          </w:p>
        </w:tc>
      </w:tr>
      <w:tr w:rsidR="006008B4" w:rsidRPr="00DB760B" w:rsidTr="00690AE0">
        <w:trPr>
          <w:cantSplit/>
        </w:trPr>
        <w:tc>
          <w:tcPr>
            <w:tcW w:w="713" w:type="pct"/>
            <w:shd w:val="clear" w:color="auto" w:fill="auto"/>
            <w:vAlign w:val="center"/>
          </w:tcPr>
          <w:p w:rsidR="006008B4" w:rsidRPr="00DB760B" w:rsidRDefault="006008B4" w:rsidP="007B3E37">
            <w:pPr>
              <w:pStyle w:val="Tabletext"/>
              <w:keepNext/>
            </w:pPr>
            <w:r w:rsidRPr="00DB760B">
              <w:t>Mathieu 2015</w:t>
            </w:r>
          </w:p>
        </w:tc>
        <w:tc>
          <w:tcPr>
            <w:tcW w:w="385" w:type="pct"/>
            <w:shd w:val="clear" w:color="auto" w:fill="auto"/>
            <w:vAlign w:val="center"/>
          </w:tcPr>
          <w:p w:rsidR="006008B4" w:rsidRPr="00DB760B" w:rsidRDefault="006008B4" w:rsidP="007B3E37">
            <w:pPr>
              <w:pStyle w:val="Tabletext"/>
              <w:keepNext/>
              <w:jc w:val="center"/>
            </w:pPr>
            <w:r w:rsidRPr="00DB760B">
              <w:t>320</w:t>
            </w:r>
          </w:p>
        </w:tc>
        <w:tc>
          <w:tcPr>
            <w:tcW w:w="943" w:type="pct"/>
            <w:shd w:val="clear" w:color="auto" w:fill="auto"/>
            <w:vAlign w:val="center"/>
          </w:tcPr>
          <w:p w:rsidR="006008B4" w:rsidRPr="00DB760B" w:rsidRDefault="006008B4" w:rsidP="007B3E37">
            <w:pPr>
              <w:pStyle w:val="Tabletext"/>
              <w:keepNext/>
              <w:jc w:val="center"/>
            </w:pPr>
            <w:r w:rsidRPr="00DB760B">
              <w:t>R, DB, MC</w:t>
            </w:r>
          </w:p>
          <w:p w:rsidR="006008B4" w:rsidRPr="00DB760B" w:rsidRDefault="006008B4" w:rsidP="007B3E37">
            <w:pPr>
              <w:pStyle w:val="Tabletext"/>
              <w:keepNext/>
              <w:jc w:val="center"/>
            </w:pPr>
            <w:r w:rsidRPr="00DB760B">
              <w:t>24/52 weeks</w:t>
            </w:r>
          </w:p>
        </w:tc>
        <w:tc>
          <w:tcPr>
            <w:tcW w:w="629" w:type="pct"/>
            <w:shd w:val="clear" w:color="auto" w:fill="auto"/>
            <w:vAlign w:val="center"/>
          </w:tcPr>
          <w:p w:rsidR="006008B4" w:rsidRPr="00DB760B" w:rsidRDefault="006008B4" w:rsidP="007B3E37">
            <w:pPr>
              <w:pStyle w:val="Tabletext"/>
              <w:keepNext/>
              <w:jc w:val="center"/>
            </w:pPr>
            <w:r w:rsidRPr="00DB760B">
              <w:t>L</w:t>
            </w:r>
            <w:r w:rsidR="00B62D07" w:rsidRPr="00DB760B">
              <w:t xml:space="preserve">ow </w:t>
            </w:r>
            <w:r w:rsidR="00B62D07" w:rsidRPr="00DB760B">
              <w:rPr>
                <w:vertAlign w:val="superscript"/>
              </w:rPr>
              <w:t>a</w:t>
            </w:r>
          </w:p>
        </w:tc>
        <w:tc>
          <w:tcPr>
            <w:tcW w:w="1179" w:type="pct"/>
            <w:shd w:val="clear" w:color="auto" w:fill="auto"/>
            <w:vAlign w:val="center"/>
          </w:tcPr>
          <w:p w:rsidR="00AA73D8" w:rsidRPr="00DB760B" w:rsidRDefault="00AA73D8" w:rsidP="007B3E37">
            <w:pPr>
              <w:pStyle w:val="Tabletext"/>
              <w:keepNext/>
              <w:jc w:val="center"/>
            </w:pPr>
            <w:r w:rsidRPr="00DB760B">
              <w:t xml:space="preserve">T2DM; </w:t>
            </w:r>
          </w:p>
          <w:p w:rsidR="006008B4" w:rsidRPr="00DB760B" w:rsidRDefault="00AA73D8" w:rsidP="007B3E37">
            <w:pPr>
              <w:pStyle w:val="Tabletext"/>
              <w:keepNext/>
              <w:jc w:val="center"/>
            </w:pPr>
            <w:r w:rsidRPr="00DB760B">
              <w:t>HbA</w:t>
            </w:r>
            <w:r w:rsidRPr="00DB760B">
              <w:rPr>
                <w:vertAlign w:val="subscript"/>
              </w:rPr>
              <w:t>1</w:t>
            </w:r>
            <w:r w:rsidR="00A13434" w:rsidRPr="00DB760B">
              <w:rPr>
                <w:vertAlign w:val="subscript"/>
              </w:rPr>
              <w:t>c</w:t>
            </w:r>
            <w:r w:rsidRPr="00DB760B">
              <w:t xml:space="preserve"> ≥ 7.0% to ≤ 10.5%</w:t>
            </w:r>
          </w:p>
        </w:tc>
        <w:tc>
          <w:tcPr>
            <w:tcW w:w="1151" w:type="pct"/>
            <w:shd w:val="clear" w:color="auto" w:fill="auto"/>
            <w:vAlign w:val="center"/>
          </w:tcPr>
          <w:p w:rsidR="006008B4" w:rsidRPr="00DB760B" w:rsidRDefault="00602DCC" w:rsidP="007B3E37">
            <w:pPr>
              <w:pStyle w:val="Tabletext"/>
              <w:keepNext/>
              <w:jc w:val="center"/>
            </w:pPr>
            <w:r w:rsidRPr="00DB760B">
              <w:t>∆ HbA</w:t>
            </w:r>
            <w:r w:rsidRPr="00DB760B">
              <w:rPr>
                <w:vertAlign w:val="subscript"/>
              </w:rPr>
              <w:t>1c</w:t>
            </w:r>
            <w:r w:rsidRPr="00DB760B">
              <w:t>, % HbA</w:t>
            </w:r>
            <w:r w:rsidRPr="00DB760B">
              <w:rPr>
                <w:vertAlign w:val="subscript"/>
              </w:rPr>
              <w:t>1c</w:t>
            </w:r>
            <w:r w:rsidRPr="00DB760B">
              <w:t xml:space="preserve"> </w:t>
            </w:r>
            <w:r w:rsidR="00B62D07" w:rsidRPr="00DB760B">
              <w:t>&lt; 7</w:t>
            </w:r>
            <w:r w:rsidR="005079B0" w:rsidRPr="00DB760B">
              <w:t>.0</w:t>
            </w:r>
            <w:r w:rsidR="00B62D07" w:rsidRPr="00DB760B">
              <w:t>%,</w:t>
            </w:r>
            <w:r w:rsidRPr="00DB760B">
              <w:br/>
            </w:r>
            <w:r w:rsidR="00B62D07" w:rsidRPr="00DB760B">
              <w:t>∆ FPG, ∆ weight, safety</w:t>
            </w:r>
          </w:p>
        </w:tc>
      </w:tr>
      <w:tr w:rsidR="00B62D07" w:rsidRPr="00DB760B" w:rsidTr="00690AE0">
        <w:trPr>
          <w:cantSplit/>
        </w:trPr>
        <w:tc>
          <w:tcPr>
            <w:tcW w:w="713" w:type="pct"/>
            <w:shd w:val="clear" w:color="auto" w:fill="auto"/>
            <w:vAlign w:val="center"/>
          </w:tcPr>
          <w:p w:rsidR="00B62D07" w:rsidRPr="00DB760B" w:rsidRDefault="00B62D07" w:rsidP="007B3E37">
            <w:pPr>
              <w:pStyle w:val="Tabletext"/>
              <w:keepNext/>
            </w:pPr>
            <w:proofErr w:type="spellStart"/>
            <w:r w:rsidRPr="00DB760B">
              <w:t>Softeland</w:t>
            </w:r>
            <w:proofErr w:type="spellEnd"/>
            <w:r w:rsidRPr="00DB760B">
              <w:t xml:space="preserve"> 2017</w:t>
            </w:r>
          </w:p>
        </w:tc>
        <w:tc>
          <w:tcPr>
            <w:tcW w:w="385" w:type="pct"/>
            <w:shd w:val="clear" w:color="auto" w:fill="auto"/>
            <w:vAlign w:val="center"/>
          </w:tcPr>
          <w:p w:rsidR="00B62D07" w:rsidRPr="00DB760B" w:rsidRDefault="00B62D07" w:rsidP="007B3E37">
            <w:pPr>
              <w:pStyle w:val="Tabletext"/>
              <w:keepNext/>
              <w:jc w:val="center"/>
            </w:pPr>
            <w:r w:rsidRPr="00DB760B">
              <w:t>327</w:t>
            </w:r>
          </w:p>
        </w:tc>
        <w:tc>
          <w:tcPr>
            <w:tcW w:w="943" w:type="pct"/>
            <w:shd w:val="clear" w:color="auto" w:fill="auto"/>
            <w:vAlign w:val="center"/>
          </w:tcPr>
          <w:p w:rsidR="00B62D07" w:rsidRPr="00DB760B" w:rsidRDefault="00B62D07" w:rsidP="007B3E37">
            <w:pPr>
              <w:pStyle w:val="Tabletext"/>
              <w:keepNext/>
              <w:jc w:val="center"/>
            </w:pPr>
            <w:r w:rsidRPr="00DB760B">
              <w:t>R, DB, MC</w:t>
            </w:r>
          </w:p>
          <w:p w:rsidR="00B62D07" w:rsidRPr="00DB760B" w:rsidRDefault="00B62D07" w:rsidP="007B3E37">
            <w:pPr>
              <w:pStyle w:val="Tabletext"/>
              <w:keepNext/>
              <w:jc w:val="center"/>
            </w:pPr>
            <w:r w:rsidRPr="00DB760B">
              <w:t>24 weeks</w:t>
            </w:r>
          </w:p>
        </w:tc>
        <w:tc>
          <w:tcPr>
            <w:tcW w:w="629" w:type="pct"/>
            <w:shd w:val="clear" w:color="auto" w:fill="auto"/>
            <w:vAlign w:val="center"/>
          </w:tcPr>
          <w:p w:rsidR="00B62D07" w:rsidRPr="00DB760B" w:rsidRDefault="00B62D07" w:rsidP="007B3E37">
            <w:pPr>
              <w:pStyle w:val="Tabletext"/>
              <w:keepNext/>
              <w:jc w:val="center"/>
            </w:pPr>
            <w:r w:rsidRPr="00DB760B">
              <w:t xml:space="preserve">Low </w:t>
            </w:r>
            <w:r w:rsidRPr="00DB760B">
              <w:rPr>
                <w:vertAlign w:val="superscript"/>
              </w:rPr>
              <w:t>a</w:t>
            </w:r>
          </w:p>
        </w:tc>
        <w:tc>
          <w:tcPr>
            <w:tcW w:w="1179" w:type="pct"/>
            <w:shd w:val="clear" w:color="auto" w:fill="auto"/>
            <w:vAlign w:val="center"/>
          </w:tcPr>
          <w:p w:rsidR="00AA73D8" w:rsidRPr="00DB760B" w:rsidRDefault="00AA73D8" w:rsidP="007B3E37">
            <w:pPr>
              <w:pStyle w:val="Tabletext"/>
              <w:keepNext/>
              <w:jc w:val="center"/>
            </w:pPr>
            <w:r w:rsidRPr="00DB760B">
              <w:t xml:space="preserve">T2DM; </w:t>
            </w:r>
          </w:p>
          <w:p w:rsidR="00B62D07" w:rsidRPr="00DB760B" w:rsidRDefault="00AA73D8" w:rsidP="007B3E37">
            <w:pPr>
              <w:pStyle w:val="Tabletext"/>
              <w:keepNext/>
              <w:jc w:val="center"/>
            </w:pPr>
            <w:r w:rsidRPr="00DB760B">
              <w:t>HbA</w:t>
            </w:r>
            <w:r w:rsidRPr="00DB760B">
              <w:rPr>
                <w:vertAlign w:val="subscript"/>
              </w:rPr>
              <w:t>1</w:t>
            </w:r>
            <w:r w:rsidR="00A13434" w:rsidRPr="00DB760B">
              <w:rPr>
                <w:vertAlign w:val="subscript"/>
              </w:rPr>
              <w:t>c</w:t>
            </w:r>
            <w:r w:rsidRPr="00DB760B">
              <w:t xml:space="preserve"> ≥ 7.0% to ≤ 10.5%</w:t>
            </w:r>
          </w:p>
        </w:tc>
        <w:tc>
          <w:tcPr>
            <w:tcW w:w="1151" w:type="pct"/>
            <w:shd w:val="clear" w:color="auto" w:fill="auto"/>
          </w:tcPr>
          <w:p w:rsidR="00B62D07" w:rsidRPr="00DB760B" w:rsidRDefault="00602DCC" w:rsidP="007B3E37">
            <w:pPr>
              <w:pStyle w:val="Tabletext"/>
              <w:keepNext/>
              <w:jc w:val="center"/>
            </w:pPr>
            <w:r w:rsidRPr="00DB760B">
              <w:t>∆ HbA</w:t>
            </w:r>
            <w:r w:rsidRPr="00DB760B">
              <w:rPr>
                <w:vertAlign w:val="subscript"/>
              </w:rPr>
              <w:t>1c</w:t>
            </w:r>
            <w:r w:rsidRPr="00DB760B">
              <w:t>, % HbA</w:t>
            </w:r>
            <w:r w:rsidRPr="00DB760B">
              <w:rPr>
                <w:vertAlign w:val="subscript"/>
              </w:rPr>
              <w:t>1c</w:t>
            </w:r>
            <w:r w:rsidRPr="00DB760B">
              <w:t xml:space="preserve"> </w:t>
            </w:r>
            <w:r w:rsidR="00B62D07" w:rsidRPr="00DB760B">
              <w:t>&lt; 7</w:t>
            </w:r>
            <w:r w:rsidR="005079B0" w:rsidRPr="00DB760B">
              <w:t>.0</w:t>
            </w:r>
            <w:r w:rsidR="00B62D07" w:rsidRPr="00DB760B">
              <w:t xml:space="preserve">%, </w:t>
            </w:r>
            <w:r w:rsidRPr="00DB760B">
              <w:br/>
            </w:r>
            <w:r w:rsidR="00B62D07" w:rsidRPr="00DB760B">
              <w:t xml:space="preserve">∆ FPG, ∆ weight, safety </w:t>
            </w:r>
          </w:p>
        </w:tc>
      </w:tr>
      <w:tr w:rsidR="00B62D07" w:rsidRPr="00DB760B" w:rsidTr="00690AE0">
        <w:trPr>
          <w:cantSplit/>
        </w:trPr>
        <w:tc>
          <w:tcPr>
            <w:tcW w:w="713" w:type="pct"/>
            <w:shd w:val="clear" w:color="auto" w:fill="auto"/>
            <w:vAlign w:val="center"/>
          </w:tcPr>
          <w:p w:rsidR="00B62D07" w:rsidRPr="00DB760B" w:rsidRDefault="00B62D07" w:rsidP="007B3E37">
            <w:pPr>
              <w:pStyle w:val="Tabletext"/>
              <w:keepNext/>
            </w:pPr>
            <w:proofErr w:type="spellStart"/>
            <w:r w:rsidRPr="00DB760B">
              <w:t>Jabbour</w:t>
            </w:r>
            <w:proofErr w:type="spellEnd"/>
            <w:r w:rsidRPr="00DB760B">
              <w:t xml:space="preserve"> 2014</w:t>
            </w:r>
          </w:p>
        </w:tc>
        <w:tc>
          <w:tcPr>
            <w:tcW w:w="385" w:type="pct"/>
            <w:shd w:val="clear" w:color="auto" w:fill="auto"/>
            <w:vAlign w:val="center"/>
          </w:tcPr>
          <w:p w:rsidR="00B62D07" w:rsidRPr="00DB760B" w:rsidRDefault="00B62D07" w:rsidP="007B3E37">
            <w:pPr>
              <w:pStyle w:val="Tabletext"/>
              <w:keepNext/>
              <w:jc w:val="center"/>
            </w:pPr>
            <w:r w:rsidRPr="00DB760B">
              <w:t>226</w:t>
            </w:r>
          </w:p>
        </w:tc>
        <w:tc>
          <w:tcPr>
            <w:tcW w:w="943" w:type="pct"/>
            <w:shd w:val="clear" w:color="auto" w:fill="auto"/>
            <w:vAlign w:val="center"/>
          </w:tcPr>
          <w:p w:rsidR="00B62D07" w:rsidRPr="00DB760B" w:rsidRDefault="00B62D07" w:rsidP="007B3E37">
            <w:pPr>
              <w:pStyle w:val="Tabletext"/>
              <w:keepNext/>
              <w:jc w:val="center"/>
            </w:pPr>
            <w:r w:rsidRPr="00DB760B">
              <w:t>R, DB, MC</w:t>
            </w:r>
          </w:p>
          <w:p w:rsidR="00B62D07" w:rsidRPr="00DB760B" w:rsidRDefault="00B62D07" w:rsidP="007B3E37">
            <w:pPr>
              <w:pStyle w:val="Tabletext"/>
              <w:keepNext/>
              <w:jc w:val="center"/>
            </w:pPr>
            <w:r w:rsidRPr="00DB760B">
              <w:t>24/48 weeks</w:t>
            </w:r>
          </w:p>
        </w:tc>
        <w:tc>
          <w:tcPr>
            <w:tcW w:w="629" w:type="pct"/>
            <w:shd w:val="clear" w:color="auto" w:fill="auto"/>
            <w:vAlign w:val="center"/>
          </w:tcPr>
          <w:p w:rsidR="00B62D07" w:rsidRPr="00DB760B" w:rsidRDefault="00B62D07" w:rsidP="007B3E37">
            <w:pPr>
              <w:pStyle w:val="Tabletext"/>
              <w:keepNext/>
              <w:jc w:val="center"/>
            </w:pPr>
            <w:r w:rsidRPr="00DB760B">
              <w:t xml:space="preserve">Low </w:t>
            </w:r>
            <w:r w:rsidRPr="00DB760B">
              <w:rPr>
                <w:vertAlign w:val="superscript"/>
              </w:rPr>
              <w:t>a</w:t>
            </w:r>
          </w:p>
        </w:tc>
        <w:tc>
          <w:tcPr>
            <w:tcW w:w="1179" w:type="pct"/>
            <w:shd w:val="clear" w:color="auto" w:fill="auto"/>
            <w:vAlign w:val="center"/>
          </w:tcPr>
          <w:p w:rsidR="00AA73D8" w:rsidRPr="00DB760B" w:rsidRDefault="00AA73D8" w:rsidP="007B3E37">
            <w:pPr>
              <w:pStyle w:val="Tabletext"/>
              <w:keepNext/>
              <w:jc w:val="center"/>
            </w:pPr>
            <w:r w:rsidRPr="00DB760B">
              <w:t xml:space="preserve">T2DM; </w:t>
            </w:r>
          </w:p>
          <w:p w:rsidR="00B62D07" w:rsidRPr="00DB760B" w:rsidRDefault="00AA73D8" w:rsidP="007B3E37">
            <w:pPr>
              <w:pStyle w:val="Tabletext"/>
              <w:keepNext/>
              <w:jc w:val="center"/>
            </w:pPr>
            <w:r w:rsidRPr="00DB760B">
              <w:t>HbA</w:t>
            </w:r>
            <w:r w:rsidRPr="00DB760B">
              <w:rPr>
                <w:vertAlign w:val="subscript"/>
              </w:rPr>
              <w:t>1</w:t>
            </w:r>
            <w:r w:rsidR="00A13434" w:rsidRPr="00DB760B">
              <w:rPr>
                <w:vertAlign w:val="subscript"/>
              </w:rPr>
              <w:t>c</w:t>
            </w:r>
            <w:r w:rsidRPr="00DB760B">
              <w:t xml:space="preserve"> ≥ 7.0% to ≤ 10.0%</w:t>
            </w:r>
          </w:p>
        </w:tc>
        <w:tc>
          <w:tcPr>
            <w:tcW w:w="1151" w:type="pct"/>
            <w:shd w:val="clear" w:color="auto" w:fill="auto"/>
          </w:tcPr>
          <w:p w:rsidR="00B62D07" w:rsidRPr="00DB760B" w:rsidRDefault="00602DCC" w:rsidP="007B3E37">
            <w:pPr>
              <w:pStyle w:val="Tabletext"/>
              <w:keepNext/>
              <w:jc w:val="center"/>
            </w:pPr>
            <w:r w:rsidRPr="00DB760B">
              <w:t>∆ HbA</w:t>
            </w:r>
            <w:r w:rsidRPr="00DB760B">
              <w:rPr>
                <w:vertAlign w:val="subscript"/>
              </w:rPr>
              <w:t>1c</w:t>
            </w:r>
            <w:r w:rsidRPr="00DB760B">
              <w:t>, % HbA</w:t>
            </w:r>
            <w:r w:rsidRPr="00DB760B">
              <w:rPr>
                <w:vertAlign w:val="subscript"/>
              </w:rPr>
              <w:t>1c</w:t>
            </w:r>
            <w:r w:rsidRPr="00DB760B">
              <w:t xml:space="preserve"> </w:t>
            </w:r>
            <w:r w:rsidR="00B62D07" w:rsidRPr="00DB760B">
              <w:t>&lt; 7</w:t>
            </w:r>
            <w:r w:rsidR="005079B0" w:rsidRPr="00DB760B">
              <w:t>.0</w:t>
            </w:r>
            <w:r w:rsidR="00B62D07" w:rsidRPr="00DB760B">
              <w:t xml:space="preserve">%, </w:t>
            </w:r>
            <w:r w:rsidRPr="00DB760B">
              <w:br/>
            </w:r>
            <w:r w:rsidR="00B62D07" w:rsidRPr="00DB760B">
              <w:t>∆ FPG, ∆ weight</w:t>
            </w:r>
          </w:p>
        </w:tc>
      </w:tr>
      <w:tr w:rsidR="006008B4" w:rsidRPr="00DB760B" w:rsidTr="00690AE0">
        <w:trPr>
          <w:cantSplit/>
        </w:trPr>
        <w:tc>
          <w:tcPr>
            <w:tcW w:w="713" w:type="pct"/>
            <w:shd w:val="clear" w:color="auto" w:fill="auto"/>
            <w:vAlign w:val="center"/>
          </w:tcPr>
          <w:p w:rsidR="006008B4" w:rsidRPr="00DB760B" w:rsidRDefault="006008B4" w:rsidP="007B3E37">
            <w:pPr>
              <w:pStyle w:val="Tabletext"/>
              <w:keepNext/>
            </w:pPr>
            <w:r w:rsidRPr="00DB760B">
              <w:t>Meta-analysis</w:t>
            </w:r>
          </w:p>
        </w:tc>
        <w:tc>
          <w:tcPr>
            <w:tcW w:w="385" w:type="pct"/>
            <w:shd w:val="clear" w:color="auto" w:fill="auto"/>
            <w:vAlign w:val="center"/>
          </w:tcPr>
          <w:p w:rsidR="006008B4" w:rsidRPr="00DB760B" w:rsidRDefault="00AA73D8" w:rsidP="007B3E37">
            <w:pPr>
              <w:pStyle w:val="Tabletext"/>
              <w:keepNext/>
              <w:jc w:val="center"/>
            </w:pPr>
            <w:r w:rsidRPr="00DB760B">
              <w:t>873</w:t>
            </w:r>
          </w:p>
        </w:tc>
        <w:tc>
          <w:tcPr>
            <w:tcW w:w="3902" w:type="pct"/>
            <w:gridSpan w:val="4"/>
            <w:shd w:val="clear" w:color="auto" w:fill="auto"/>
            <w:vAlign w:val="center"/>
          </w:tcPr>
          <w:p w:rsidR="006008B4" w:rsidRPr="00DB760B" w:rsidRDefault="006008B4" w:rsidP="007B3E37">
            <w:pPr>
              <w:pStyle w:val="Tabletext"/>
              <w:keepNext/>
            </w:pPr>
            <w:r w:rsidRPr="00DB760B">
              <w:t>Supplemen</w:t>
            </w:r>
            <w:r w:rsidR="00AA73D8" w:rsidRPr="00DB760B">
              <w:t>tary indirect comparison versus P006</w:t>
            </w:r>
            <w:r w:rsidRPr="00DB760B">
              <w:t xml:space="preserve">; included Mathieu 2015, </w:t>
            </w:r>
            <w:proofErr w:type="spellStart"/>
            <w:r w:rsidRPr="00DB760B">
              <w:t>Softeland</w:t>
            </w:r>
            <w:proofErr w:type="spellEnd"/>
            <w:r w:rsidRPr="00DB760B">
              <w:t xml:space="preserve"> 2017 and </w:t>
            </w:r>
            <w:proofErr w:type="spellStart"/>
            <w:r w:rsidRPr="00DB760B">
              <w:t>Jabbour</w:t>
            </w:r>
            <w:proofErr w:type="spellEnd"/>
            <w:r w:rsidRPr="00DB760B">
              <w:t xml:space="preserve"> 2014</w:t>
            </w:r>
          </w:p>
        </w:tc>
      </w:tr>
      <w:tr w:rsidR="000C3480" w:rsidRPr="00DB760B" w:rsidTr="005A79A2">
        <w:trPr>
          <w:cantSplit/>
        </w:trPr>
        <w:tc>
          <w:tcPr>
            <w:tcW w:w="5000" w:type="pct"/>
            <w:gridSpan w:val="6"/>
            <w:shd w:val="clear" w:color="auto" w:fill="auto"/>
            <w:vAlign w:val="center"/>
          </w:tcPr>
          <w:p w:rsidR="000C3480" w:rsidRPr="00DB760B" w:rsidRDefault="000C3480" w:rsidP="007B3E37">
            <w:pPr>
              <w:pStyle w:val="Tabletext"/>
              <w:keepNext/>
              <w:rPr>
                <w:b/>
              </w:rPr>
            </w:pPr>
            <w:r w:rsidRPr="00DB760B">
              <w:rPr>
                <w:b/>
              </w:rPr>
              <w:t>[DPP4] + SGLT2 + MF versus [PBO] + SGLT2 + MF</w:t>
            </w:r>
          </w:p>
        </w:tc>
      </w:tr>
      <w:tr w:rsidR="00B62D07" w:rsidRPr="00DB760B" w:rsidTr="00690AE0">
        <w:trPr>
          <w:cantSplit/>
        </w:trPr>
        <w:tc>
          <w:tcPr>
            <w:tcW w:w="713" w:type="pct"/>
            <w:shd w:val="clear" w:color="auto" w:fill="auto"/>
            <w:vAlign w:val="center"/>
          </w:tcPr>
          <w:p w:rsidR="00B62D07" w:rsidRPr="00DB760B" w:rsidRDefault="00B62D07" w:rsidP="007B3E37">
            <w:pPr>
              <w:pStyle w:val="Tabletext"/>
              <w:keepNext/>
            </w:pPr>
            <w:proofErr w:type="spellStart"/>
            <w:r w:rsidRPr="00DB760B">
              <w:t>Matthaei</w:t>
            </w:r>
            <w:proofErr w:type="spellEnd"/>
            <w:r w:rsidRPr="00DB760B">
              <w:t xml:space="preserve"> 2015</w:t>
            </w:r>
          </w:p>
        </w:tc>
        <w:tc>
          <w:tcPr>
            <w:tcW w:w="385" w:type="pct"/>
            <w:shd w:val="clear" w:color="auto" w:fill="auto"/>
            <w:vAlign w:val="center"/>
          </w:tcPr>
          <w:p w:rsidR="00B62D07" w:rsidRPr="00DB760B" w:rsidRDefault="00B62D07" w:rsidP="007B3E37">
            <w:pPr>
              <w:pStyle w:val="Tabletext"/>
              <w:keepNext/>
              <w:jc w:val="center"/>
            </w:pPr>
            <w:r w:rsidRPr="00DB760B">
              <w:t>315</w:t>
            </w:r>
          </w:p>
        </w:tc>
        <w:tc>
          <w:tcPr>
            <w:tcW w:w="943" w:type="pct"/>
            <w:shd w:val="clear" w:color="auto" w:fill="auto"/>
            <w:vAlign w:val="center"/>
          </w:tcPr>
          <w:p w:rsidR="00B62D07" w:rsidRPr="00DB760B" w:rsidRDefault="00B62D07" w:rsidP="007B3E37">
            <w:pPr>
              <w:pStyle w:val="Tabletext"/>
              <w:keepNext/>
              <w:jc w:val="center"/>
            </w:pPr>
            <w:r w:rsidRPr="00DB760B">
              <w:t>R, DB, MC</w:t>
            </w:r>
          </w:p>
          <w:p w:rsidR="00B62D07" w:rsidRPr="00DB760B" w:rsidRDefault="00B62D07" w:rsidP="007B3E37">
            <w:pPr>
              <w:pStyle w:val="Tabletext"/>
              <w:keepNext/>
              <w:jc w:val="center"/>
            </w:pPr>
            <w:r w:rsidRPr="00DB760B">
              <w:t>24/52 weeks</w:t>
            </w:r>
          </w:p>
        </w:tc>
        <w:tc>
          <w:tcPr>
            <w:tcW w:w="629" w:type="pct"/>
            <w:shd w:val="clear" w:color="auto" w:fill="auto"/>
            <w:vAlign w:val="center"/>
          </w:tcPr>
          <w:p w:rsidR="00B62D07" w:rsidRPr="00DB760B" w:rsidRDefault="00B62D07" w:rsidP="007B3E37">
            <w:pPr>
              <w:pStyle w:val="Tabletext"/>
              <w:keepNext/>
              <w:jc w:val="center"/>
            </w:pPr>
            <w:r w:rsidRPr="00DB760B">
              <w:t xml:space="preserve">Low </w:t>
            </w:r>
            <w:r w:rsidRPr="00DB760B">
              <w:rPr>
                <w:vertAlign w:val="superscript"/>
              </w:rPr>
              <w:t>a</w:t>
            </w:r>
          </w:p>
        </w:tc>
        <w:tc>
          <w:tcPr>
            <w:tcW w:w="1179" w:type="pct"/>
            <w:shd w:val="clear" w:color="auto" w:fill="auto"/>
            <w:vAlign w:val="center"/>
          </w:tcPr>
          <w:p w:rsidR="00AA73D8" w:rsidRPr="00DB760B" w:rsidRDefault="00AA73D8" w:rsidP="007B3E37">
            <w:pPr>
              <w:pStyle w:val="Tabletext"/>
              <w:keepNext/>
              <w:jc w:val="center"/>
            </w:pPr>
            <w:r w:rsidRPr="00DB760B">
              <w:t xml:space="preserve">T2DM; </w:t>
            </w:r>
          </w:p>
          <w:p w:rsidR="00B62D07" w:rsidRPr="00DB760B" w:rsidRDefault="00AA73D8" w:rsidP="007B3E37">
            <w:pPr>
              <w:pStyle w:val="Tabletext"/>
              <w:keepNext/>
              <w:jc w:val="center"/>
            </w:pPr>
            <w:r w:rsidRPr="00DB760B">
              <w:t>HbA</w:t>
            </w:r>
            <w:r w:rsidRPr="00DB760B">
              <w:rPr>
                <w:vertAlign w:val="subscript"/>
              </w:rPr>
              <w:t>1</w:t>
            </w:r>
            <w:r w:rsidR="00A13434" w:rsidRPr="00DB760B">
              <w:rPr>
                <w:vertAlign w:val="subscript"/>
              </w:rPr>
              <w:t>c</w:t>
            </w:r>
            <w:r w:rsidRPr="00DB760B">
              <w:t xml:space="preserve"> ≥ 7.0% to ≤ 10.5%</w:t>
            </w:r>
          </w:p>
        </w:tc>
        <w:tc>
          <w:tcPr>
            <w:tcW w:w="1151" w:type="pct"/>
            <w:shd w:val="clear" w:color="auto" w:fill="auto"/>
          </w:tcPr>
          <w:p w:rsidR="00B62D07" w:rsidRPr="00DB760B" w:rsidRDefault="00602DCC" w:rsidP="007B3E37">
            <w:pPr>
              <w:pStyle w:val="Tabletext"/>
              <w:keepNext/>
              <w:jc w:val="center"/>
            </w:pPr>
            <w:r w:rsidRPr="00DB760B">
              <w:t>∆ HbA</w:t>
            </w:r>
            <w:r w:rsidRPr="00DB760B">
              <w:rPr>
                <w:vertAlign w:val="subscript"/>
              </w:rPr>
              <w:t>1c</w:t>
            </w:r>
            <w:r w:rsidRPr="00DB760B">
              <w:t>, % HbA</w:t>
            </w:r>
            <w:r w:rsidRPr="00DB760B">
              <w:rPr>
                <w:vertAlign w:val="subscript"/>
              </w:rPr>
              <w:t>1c</w:t>
            </w:r>
            <w:r w:rsidRPr="00DB760B">
              <w:t xml:space="preserve"> </w:t>
            </w:r>
            <w:r w:rsidR="00B62D07" w:rsidRPr="00DB760B">
              <w:t>&lt; 7</w:t>
            </w:r>
            <w:r w:rsidR="005079B0" w:rsidRPr="00DB760B">
              <w:t>.0</w:t>
            </w:r>
            <w:r w:rsidR="00B62D07" w:rsidRPr="00DB760B">
              <w:t xml:space="preserve">%, </w:t>
            </w:r>
            <w:r w:rsidRPr="00DB760B">
              <w:br/>
            </w:r>
            <w:r w:rsidR="00B62D07" w:rsidRPr="00DB760B">
              <w:t xml:space="preserve">∆ FPG, ∆ weight, safety </w:t>
            </w:r>
          </w:p>
        </w:tc>
      </w:tr>
      <w:tr w:rsidR="00B62D07" w:rsidRPr="00DB760B" w:rsidTr="00690AE0">
        <w:trPr>
          <w:cantSplit/>
        </w:trPr>
        <w:tc>
          <w:tcPr>
            <w:tcW w:w="713" w:type="pct"/>
            <w:shd w:val="clear" w:color="auto" w:fill="auto"/>
            <w:vAlign w:val="center"/>
          </w:tcPr>
          <w:p w:rsidR="00B62D07" w:rsidRPr="00DB760B" w:rsidRDefault="00B62D07" w:rsidP="007B3E37">
            <w:pPr>
              <w:pStyle w:val="Tabletext"/>
              <w:keepNext/>
            </w:pPr>
            <w:proofErr w:type="spellStart"/>
            <w:r w:rsidRPr="00DB760B">
              <w:t>Tinahones</w:t>
            </w:r>
            <w:proofErr w:type="spellEnd"/>
            <w:r w:rsidRPr="00DB760B">
              <w:t xml:space="preserve"> 2016</w:t>
            </w:r>
          </w:p>
        </w:tc>
        <w:tc>
          <w:tcPr>
            <w:tcW w:w="385" w:type="pct"/>
            <w:shd w:val="clear" w:color="auto" w:fill="auto"/>
            <w:vAlign w:val="center"/>
          </w:tcPr>
          <w:p w:rsidR="00B62D07" w:rsidRPr="00DB760B" w:rsidRDefault="00B62D07" w:rsidP="007B3E37">
            <w:pPr>
              <w:pStyle w:val="Tabletext"/>
              <w:keepNext/>
              <w:jc w:val="center"/>
            </w:pPr>
            <w:r w:rsidRPr="00DB760B">
              <w:t>467</w:t>
            </w:r>
          </w:p>
        </w:tc>
        <w:tc>
          <w:tcPr>
            <w:tcW w:w="943" w:type="pct"/>
            <w:shd w:val="clear" w:color="auto" w:fill="auto"/>
            <w:vAlign w:val="center"/>
          </w:tcPr>
          <w:p w:rsidR="00B62D07" w:rsidRPr="00DB760B" w:rsidRDefault="00B62D07" w:rsidP="007B3E37">
            <w:pPr>
              <w:pStyle w:val="Tabletext"/>
              <w:keepNext/>
              <w:jc w:val="center"/>
            </w:pPr>
            <w:r w:rsidRPr="00DB760B">
              <w:t>R, DB, MC</w:t>
            </w:r>
          </w:p>
          <w:p w:rsidR="00B62D07" w:rsidRPr="00DB760B" w:rsidRDefault="00B62D07" w:rsidP="007B3E37">
            <w:pPr>
              <w:pStyle w:val="Tabletext"/>
              <w:keepNext/>
              <w:jc w:val="center"/>
            </w:pPr>
            <w:r w:rsidRPr="00DB760B">
              <w:t>24 weeks</w:t>
            </w:r>
          </w:p>
        </w:tc>
        <w:tc>
          <w:tcPr>
            <w:tcW w:w="629" w:type="pct"/>
            <w:shd w:val="clear" w:color="auto" w:fill="auto"/>
            <w:vAlign w:val="center"/>
          </w:tcPr>
          <w:p w:rsidR="00B62D07" w:rsidRPr="00DB760B" w:rsidRDefault="00B62D07" w:rsidP="007B3E37">
            <w:pPr>
              <w:pStyle w:val="Tabletext"/>
              <w:keepNext/>
              <w:jc w:val="center"/>
            </w:pPr>
            <w:r w:rsidRPr="00DB760B">
              <w:t xml:space="preserve">Low </w:t>
            </w:r>
            <w:r w:rsidRPr="00DB760B">
              <w:rPr>
                <w:vertAlign w:val="superscript"/>
              </w:rPr>
              <w:t>a</w:t>
            </w:r>
          </w:p>
        </w:tc>
        <w:tc>
          <w:tcPr>
            <w:tcW w:w="1179" w:type="pct"/>
            <w:shd w:val="clear" w:color="auto" w:fill="auto"/>
            <w:vAlign w:val="center"/>
          </w:tcPr>
          <w:p w:rsidR="00AA73D8" w:rsidRPr="00DB760B" w:rsidRDefault="00AA73D8" w:rsidP="007B3E37">
            <w:pPr>
              <w:pStyle w:val="Tabletext"/>
              <w:keepNext/>
              <w:jc w:val="center"/>
            </w:pPr>
            <w:r w:rsidRPr="00DB760B">
              <w:t xml:space="preserve">T2DM; </w:t>
            </w:r>
          </w:p>
          <w:p w:rsidR="00B62D07" w:rsidRPr="00DB760B" w:rsidRDefault="00AA73D8" w:rsidP="007B3E37">
            <w:pPr>
              <w:pStyle w:val="Tabletext"/>
              <w:keepNext/>
              <w:jc w:val="center"/>
            </w:pPr>
            <w:r w:rsidRPr="00DB760B">
              <w:t>HbA</w:t>
            </w:r>
            <w:r w:rsidRPr="00DB760B">
              <w:rPr>
                <w:vertAlign w:val="subscript"/>
              </w:rPr>
              <w:t>1</w:t>
            </w:r>
            <w:r w:rsidR="00A13434" w:rsidRPr="00DB760B">
              <w:rPr>
                <w:vertAlign w:val="subscript"/>
              </w:rPr>
              <w:t>c</w:t>
            </w:r>
            <w:r w:rsidRPr="00DB760B">
              <w:t xml:space="preserve"> ≥ 7.0% to ≤ 10.5%</w:t>
            </w:r>
          </w:p>
        </w:tc>
        <w:tc>
          <w:tcPr>
            <w:tcW w:w="1151" w:type="pct"/>
            <w:shd w:val="clear" w:color="auto" w:fill="auto"/>
          </w:tcPr>
          <w:p w:rsidR="00B62D07" w:rsidRPr="00DB760B" w:rsidRDefault="00602DCC" w:rsidP="007B3E37">
            <w:pPr>
              <w:pStyle w:val="Tabletext"/>
              <w:keepNext/>
              <w:jc w:val="center"/>
            </w:pPr>
            <w:r w:rsidRPr="00DB760B">
              <w:t>∆ HbA</w:t>
            </w:r>
            <w:r w:rsidRPr="00DB760B">
              <w:rPr>
                <w:vertAlign w:val="subscript"/>
              </w:rPr>
              <w:t>1c</w:t>
            </w:r>
            <w:r w:rsidRPr="00DB760B">
              <w:t>, % HbA</w:t>
            </w:r>
            <w:r w:rsidRPr="00DB760B">
              <w:rPr>
                <w:vertAlign w:val="subscript"/>
              </w:rPr>
              <w:t>1c</w:t>
            </w:r>
            <w:r w:rsidRPr="00DB760B">
              <w:t xml:space="preserve"> </w:t>
            </w:r>
            <w:r w:rsidR="00B62D07" w:rsidRPr="00DB760B">
              <w:t>&lt; 7</w:t>
            </w:r>
            <w:r w:rsidR="005079B0" w:rsidRPr="00DB760B">
              <w:t>.0</w:t>
            </w:r>
            <w:r w:rsidR="00B62D07" w:rsidRPr="00DB760B">
              <w:t xml:space="preserve">%, </w:t>
            </w:r>
            <w:r w:rsidRPr="00DB760B">
              <w:br/>
            </w:r>
            <w:r w:rsidR="00B62D07" w:rsidRPr="00DB760B">
              <w:t xml:space="preserve">∆ FPG, ∆ weight, safety </w:t>
            </w:r>
          </w:p>
        </w:tc>
      </w:tr>
      <w:tr w:rsidR="006008B4" w:rsidRPr="00DB760B" w:rsidTr="00690AE0">
        <w:trPr>
          <w:cantSplit/>
        </w:trPr>
        <w:tc>
          <w:tcPr>
            <w:tcW w:w="713" w:type="pct"/>
            <w:shd w:val="clear" w:color="auto" w:fill="auto"/>
            <w:vAlign w:val="center"/>
          </w:tcPr>
          <w:p w:rsidR="006008B4" w:rsidRPr="00DB760B" w:rsidRDefault="006008B4" w:rsidP="007B3E37">
            <w:pPr>
              <w:pStyle w:val="Tabletext"/>
              <w:keepNext/>
            </w:pPr>
            <w:r w:rsidRPr="00DB760B">
              <w:t>Meta-analysis</w:t>
            </w:r>
          </w:p>
        </w:tc>
        <w:tc>
          <w:tcPr>
            <w:tcW w:w="385" w:type="pct"/>
            <w:shd w:val="clear" w:color="auto" w:fill="auto"/>
            <w:vAlign w:val="center"/>
          </w:tcPr>
          <w:p w:rsidR="006008B4" w:rsidRPr="00DB760B" w:rsidRDefault="00AA73D8" w:rsidP="007B3E37">
            <w:pPr>
              <w:pStyle w:val="Tabletext"/>
              <w:keepNext/>
              <w:jc w:val="center"/>
            </w:pPr>
            <w:r w:rsidRPr="00DB760B">
              <w:t>782</w:t>
            </w:r>
          </w:p>
        </w:tc>
        <w:tc>
          <w:tcPr>
            <w:tcW w:w="3902" w:type="pct"/>
            <w:gridSpan w:val="4"/>
            <w:shd w:val="clear" w:color="auto" w:fill="auto"/>
            <w:vAlign w:val="center"/>
          </w:tcPr>
          <w:p w:rsidR="006008B4" w:rsidRPr="00DB760B" w:rsidRDefault="006008B4" w:rsidP="007B3E37">
            <w:pPr>
              <w:pStyle w:val="Tabletext"/>
              <w:keepNext/>
            </w:pPr>
            <w:r w:rsidRPr="00DB760B">
              <w:t>Supplementary</w:t>
            </w:r>
            <w:r w:rsidR="00AA73D8" w:rsidRPr="00DB760B">
              <w:t xml:space="preserve"> indirect comparison versus P006</w:t>
            </w:r>
            <w:r w:rsidRPr="00DB760B">
              <w:t xml:space="preserve">; included </w:t>
            </w:r>
            <w:proofErr w:type="spellStart"/>
            <w:r w:rsidRPr="00DB760B">
              <w:t>Matthaei</w:t>
            </w:r>
            <w:proofErr w:type="spellEnd"/>
            <w:r w:rsidRPr="00DB760B">
              <w:t xml:space="preserve"> 2015 and </w:t>
            </w:r>
            <w:proofErr w:type="spellStart"/>
            <w:r w:rsidRPr="00DB760B">
              <w:t>Tinahones</w:t>
            </w:r>
            <w:proofErr w:type="spellEnd"/>
            <w:r w:rsidRPr="00DB760B">
              <w:t xml:space="preserve"> 2016</w:t>
            </w:r>
          </w:p>
        </w:tc>
      </w:tr>
    </w:tbl>
    <w:p w:rsidR="00B62D07" w:rsidRPr="00DB760B" w:rsidRDefault="00B62D07" w:rsidP="00045017">
      <w:pPr>
        <w:pStyle w:val="TableFooter"/>
      </w:pPr>
      <w:r w:rsidRPr="00DB760B">
        <w:t>Source</w:t>
      </w:r>
      <w:r w:rsidR="00602DCC" w:rsidRPr="00DB760B">
        <w:t>: Section 2 of the submission and individual trial papers</w:t>
      </w:r>
    </w:p>
    <w:p w:rsidR="007F1017" w:rsidRPr="00DB760B" w:rsidRDefault="007F1017" w:rsidP="00B62D07">
      <w:pPr>
        <w:pStyle w:val="TableFooter"/>
      </w:pPr>
      <w:r w:rsidRPr="00DB760B">
        <w:t>DB</w:t>
      </w:r>
      <w:r w:rsidR="006008B4" w:rsidRPr="00DB760B">
        <w:t xml:space="preserve"> </w:t>
      </w:r>
      <w:r w:rsidRPr="00DB760B">
        <w:t>=</w:t>
      </w:r>
      <w:r w:rsidR="006008B4" w:rsidRPr="00DB760B">
        <w:t xml:space="preserve"> </w:t>
      </w:r>
      <w:r w:rsidRPr="00DB760B">
        <w:t xml:space="preserve">double blind; </w:t>
      </w:r>
      <w:r w:rsidR="006008B4" w:rsidRPr="00DB760B">
        <w:t xml:space="preserve">DPP4 = dipeptidyl peptidase-4; ERTU = </w:t>
      </w:r>
      <w:proofErr w:type="spellStart"/>
      <w:r w:rsidR="006008B4" w:rsidRPr="00DB760B">
        <w:t>ertugliflozin</w:t>
      </w:r>
      <w:proofErr w:type="spellEnd"/>
      <w:r w:rsidR="006008B4" w:rsidRPr="00DB760B">
        <w:t xml:space="preserve">; </w:t>
      </w:r>
      <w:r w:rsidR="00B62D07" w:rsidRPr="00DB760B">
        <w:t xml:space="preserve">FPG = fasting plasma glucose; </w:t>
      </w:r>
      <w:r w:rsidR="006008B4" w:rsidRPr="00DB760B">
        <w:t>HbA</w:t>
      </w:r>
      <w:r w:rsidR="006008B4" w:rsidRPr="00DB760B">
        <w:rPr>
          <w:vertAlign w:val="subscript"/>
        </w:rPr>
        <w:t>1c</w:t>
      </w:r>
      <w:r w:rsidR="006008B4" w:rsidRPr="00DB760B">
        <w:t xml:space="preserve"> = glycated haemoglobin; </w:t>
      </w:r>
      <w:r w:rsidRPr="00DB760B">
        <w:t>MC</w:t>
      </w:r>
      <w:r w:rsidR="006008B4" w:rsidRPr="00DB760B">
        <w:t xml:space="preserve"> </w:t>
      </w:r>
      <w:r w:rsidRPr="00DB760B">
        <w:t>=</w:t>
      </w:r>
      <w:r w:rsidR="006008B4" w:rsidRPr="00DB760B">
        <w:t xml:space="preserve"> </w:t>
      </w:r>
      <w:r w:rsidRPr="00DB760B">
        <w:t xml:space="preserve">multi-centre; </w:t>
      </w:r>
      <w:r w:rsidR="006008B4" w:rsidRPr="00DB760B">
        <w:t>MF = metformin; PBO = placebo; R = randomised; SGLT2 = sodium-glucose co-transporter-2</w:t>
      </w:r>
      <w:r w:rsidR="005A79A2" w:rsidRPr="00DB760B">
        <w:t xml:space="preserve">; </w:t>
      </w:r>
      <w:r w:rsidR="006008B4" w:rsidRPr="00DB760B">
        <w:t xml:space="preserve">SITA = </w:t>
      </w:r>
      <w:proofErr w:type="spellStart"/>
      <w:r w:rsidR="006008B4" w:rsidRPr="00DB760B">
        <w:t>sitagliptin</w:t>
      </w:r>
      <w:proofErr w:type="spellEnd"/>
      <w:r w:rsidR="006008B4" w:rsidRPr="00DB760B">
        <w:t>; T2DM = Type 2 diabetes mellitus</w:t>
      </w:r>
    </w:p>
    <w:p w:rsidR="00B62D07" w:rsidRPr="00DB760B" w:rsidRDefault="00B62D07" w:rsidP="001B3286">
      <w:pPr>
        <w:pStyle w:val="TableFooter"/>
      </w:pPr>
      <w:proofErr w:type="gramStart"/>
      <w:r w:rsidRPr="00DB760B">
        <w:rPr>
          <w:vertAlign w:val="superscript"/>
        </w:rPr>
        <w:t>a</w:t>
      </w:r>
      <w:proofErr w:type="gramEnd"/>
      <w:r w:rsidRPr="00DB760B">
        <w:rPr>
          <w:vertAlign w:val="superscript"/>
        </w:rPr>
        <w:t xml:space="preserve"> </w:t>
      </w:r>
      <w:r w:rsidRPr="00DB760B">
        <w:t xml:space="preserve">Sponsored by a pharmaceutical company, which might </w:t>
      </w:r>
      <w:r w:rsidR="005A79A2" w:rsidRPr="00DB760B">
        <w:t xml:space="preserve">have </w:t>
      </w:r>
      <w:r w:rsidRPr="00DB760B">
        <w:t>result</w:t>
      </w:r>
      <w:r w:rsidR="005A79A2" w:rsidRPr="00DB760B">
        <w:t>ed</w:t>
      </w:r>
      <w:r w:rsidRPr="00DB760B">
        <w:t xml:space="preserve"> in an overall high risk of bias</w:t>
      </w:r>
    </w:p>
    <w:p w:rsidR="00B60939" w:rsidRPr="00DB760B" w:rsidRDefault="00B60939" w:rsidP="001B3286">
      <w:pPr>
        <w:pStyle w:val="Heading2"/>
        <w:spacing w:before="240" w:after="120"/>
      </w:pPr>
      <w:bookmarkStart w:id="7" w:name="_Toc514244712"/>
      <w:r w:rsidRPr="00DB760B">
        <w:t>Comparative effectiveness</w:t>
      </w:r>
      <w:bookmarkEnd w:id="7"/>
    </w:p>
    <w:p w:rsidR="002C2775" w:rsidRPr="00DB760B" w:rsidRDefault="00221D6C" w:rsidP="00050ADD">
      <w:pPr>
        <w:pStyle w:val="ListParagraph"/>
        <w:widowControl/>
        <w:numPr>
          <w:ilvl w:val="1"/>
          <w:numId w:val="1"/>
        </w:numPr>
      </w:pPr>
      <w:r w:rsidRPr="00DB760B">
        <w:rPr>
          <w:rFonts w:cs="Calibri"/>
          <w:snapToGrid/>
          <w:szCs w:val="24"/>
          <w:lang w:eastAsia="en-AU"/>
        </w:rPr>
        <w:t>The primary outcome presented in each of the trials was</w:t>
      </w:r>
      <w:r w:rsidR="00A30E26" w:rsidRPr="00DB760B">
        <w:rPr>
          <w:rFonts w:cs="Calibri"/>
          <w:snapToGrid/>
          <w:szCs w:val="24"/>
          <w:lang w:eastAsia="en-AU"/>
        </w:rPr>
        <w:t xml:space="preserve"> </w:t>
      </w:r>
      <w:r w:rsidRPr="00DB760B">
        <w:rPr>
          <w:rFonts w:cs="Calibri"/>
          <w:snapToGrid/>
          <w:szCs w:val="24"/>
          <w:lang w:eastAsia="en-AU"/>
        </w:rPr>
        <w:t>change in glycated haemoglobin (HbA</w:t>
      </w:r>
      <w:r w:rsidRPr="00DB760B">
        <w:rPr>
          <w:rFonts w:cs="Calibri"/>
          <w:snapToGrid/>
          <w:szCs w:val="24"/>
          <w:vertAlign w:val="subscript"/>
          <w:lang w:eastAsia="en-AU"/>
        </w:rPr>
        <w:t>1c</w:t>
      </w:r>
      <w:r w:rsidRPr="00DB760B">
        <w:rPr>
          <w:rFonts w:cs="Calibri"/>
          <w:snapToGrid/>
          <w:szCs w:val="24"/>
          <w:lang w:eastAsia="en-AU"/>
        </w:rPr>
        <w:t xml:space="preserve">) from baseline after </w:t>
      </w:r>
      <w:proofErr w:type="gramStart"/>
      <w:r w:rsidRPr="00DB760B">
        <w:rPr>
          <w:rFonts w:cs="Calibri"/>
          <w:snapToGrid/>
          <w:szCs w:val="24"/>
          <w:lang w:eastAsia="en-AU"/>
        </w:rPr>
        <w:t xml:space="preserve">a </w:t>
      </w:r>
      <w:r w:rsidR="00166BF9" w:rsidRPr="00DB760B">
        <w:rPr>
          <w:rFonts w:cs="Calibri"/>
          <w:snapToGrid/>
          <w:szCs w:val="24"/>
          <w:lang w:eastAsia="en-AU"/>
        </w:rPr>
        <w:t>treatment</w:t>
      </w:r>
      <w:proofErr w:type="gramEnd"/>
      <w:r w:rsidR="00166BF9" w:rsidRPr="00DB760B">
        <w:rPr>
          <w:rFonts w:cs="Calibri"/>
          <w:snapToGrid/>
          <w:szCs w:val="24"/>
          <w:lang w:eastAsia="en-AU"/>
        </w:rPr>
        <w:t xml:space="preserve"> </w:t>
      </w:r>
      <w:r w:rsidRPr="00DB760B">
        <w:rPr>
          <w:rFonts w:cs="Calibri"/>
          <w:snapToGrid/>
          <w:szCs w:val="24"/>
          <w:lang w:eastAsia="en-AU"/>
        </w:rPr>
        <w:t>duration of 24 or 26 weeks.</w:t>
      </w:r>
      <w:r w:rsidR="008A3322" w:rsidRPr="00DB760B">
        <w:rPr>
          <w:rFonts w:cs="Calibri"/>
          <w:snapToGrid/>
          <w:szCs w:val="24"/>
          <w:lang w:eastAsia="en-AU"/>
        </w:rPr>
        <w:t xml:space="preserve"> For the indirect comparisons a non-inferiority margin of 0.4% was nominated. Th</w:t>
      </w:r>
      <w:r w:rsidR="00D04A5B" w:rsidRPr="00DB760B">
        <w:rPr>
          <w:rFonts w:cs="Calibri"/>
          <w:snapToGrid/>
          <w:szCs w:val="24"/>
          <w:lang w:eastAsia="en-AU"/>
        </w:rPr>
        <w:t xml:space="preserve">e </w:t>
      </w:r>
      <w:r w:rsidR="00A210A2" w:rsidRPr="00DB760B">
        <w:rPr>
          <w:rFonts w:cs="Calibri"/>
          <w:snapToGrid/>
          <w:szCs w:val="24"/>
          <w:lang w:eastAsia="en-AU"/>
        </w:rPr>
        <w:t xml:space="preserve">primary </w:t>
      </w:r>
      <w:r w:rsidR="00D04A5B" w:rsidRPr="00DB760B">
        <w:rPr>
          <w:rFonts w:cs="Calibri"/>
          <w:snapToGrid/>
          <w:szCs w:val="24"/>
          <w:lang w:eastAsia="en-AU"/>
        </w:rPr>
        <w:t>outcome and non-inferiority margin were</w:t>
      </w:r>
      <w:r w:rsidR="008A3322" w:rsidRPr="00DB760B">
        <w:rPr>
          <w:rFonts w:cs="Calibri"/>
          <w:snapToGrid/>
          <w:szCs w:val="24"/>
          <w:lang w:eastAsia="en-AU"/>
        </w:rPr>
        <w:t xml:space="preserve"> reasonable and </w:t>
      </w:r>
      <w:r w:rsidR="006504C3" w:rsidRPr="00DB760B">
        <w:rPr>
          <w:rFonts w:cs="Calibri"/>
          <w:snapToGrid/>
          <w:szCs w:val="24"/>
          <w:lang w:eastAsia="en-AU"/>
        </w:rPr>
        <w:t xml:space="preserve">the PBAC noted that they </w:t>
      </w:r>
      <w:r w:rsidR="008459F5" w:rsidRPr="00DB760B">
        <w:rPr>
          <w:rFonts w:cs="Calibri"/>
          <w:snapToGrid/>
          <w:szCs w:val="24"/>
          <w:lang w:eastAsia="en-AU"/>
        </w:rPr>
        <w:t>were</w:t>
      </w:r>
      <w:r w:rsidR="00EA02F4" w:rsidRPr="00DB760B">
        <w:rPr>
          <w:rFonts w:cs="Calibri"/>
          <w:snapToGrid/>
          <w:szCs w:val="24"/>
          <w:lang w:eastAsia="en-AU"/>
        </w:rPr>
        <w:t xml:space="preserve"> </w:t>
      </w:r>
      <w:r w:rsidR="008A3322" w:rsidRPr="00DB760B">
        <w:rPr>
          <w:rFonts w:cs="Calibri"/>
          <w:snapToGrid/>
          <w:szCs w:val="24"/>
          <w:lang w:eastAsia="en-AU"/>
        </w:rPr>
        <w:t>accepted by the PBAC previously.</w:t>
      </w:r>
    </w:p>
    <w:p w:rsidR="00221D6C" w:rsidRPr="00DB760B" w:rsidRDefault="00221D6C" w:rsidP="00050ADD">
      <w:pPr>
        <w:pStyle w:val="ListParagraph"/>
        <w:widowControl/>
        <w:numPr>
          <w:ilvl w:val="1"/>
          <w:numId w:val="1"/>
        </w:numPr>
      </w:pPr>
      <w:r w:rsidRPr="00DB760B">
        <w:rPr>
          <w:rFonts w:cs="Calibri"/>
          <w:snapToGrid/>
          <w:szCs w:val="24"/>
          <w:lang w:eastAsia="en-AU"/>
        </w:rPr>
        <w:t xml:space="preserve">The submission presented an indirect comparison between </w:t>
      </w:r>
      <w:proofErr w:type="spellStart"/>
      <w:r w:rsidRPr="00DB760B">
        <w:rPr>
          <w:rFonts w:cs="Calibri"/>
          <w:snapToGrid/>
          <w:szCs w:val="24"/>
          <w:lang w:eastAsia="en-AU"/>
        </w:rPr>
        <w:t>ertugliflozin</w:t>
      </w:r>
      <w:proofErr w:type="spellEnd"/>
      <w:r w:rsidRPr="00DB760B">
        <w:rPr>
          <w:rFonts w:cs="Calibri"/>
          <w:snapToGrid/>
          <w:szCs w:val="24"/>
          <w:lang w:eastAsia="en-AU"/>
        </w:rPr>
        <w:t xml:space="preserve"> plus </w:t>
      </w:r>
      <w:proofErr w:type="spellStart"/>
      <w:r w:rsidRPr="00DB760B">
        <w:rPr>
          <w:rFonts w:cs="Calibri"/>
          <w:snapToGrid/>
          <w:szCs w:val="24"/>
          <w:lang w:eastAsia="en-AU"/>
        </w:rPr>
        <w:t>sitagliptin</w:t>
      </w:r>
      <w:proofErr w:type="spellEnd"/>
      <w:r w:rsidRPr="00DB760B">
        <w:rPr>
          <w:rFonts w:cs="Calibri"/>
          <w:snapToGrid/>
          <w:szCs w:val="24"/>
          <w:lang w:eastAsia="en-AU"/>
        </w:rPr>
        <w:t xml:space="preserve"> plus metformin </w:t>
      </w:r>
      <w:r w:rsidR="008A3322" w:rsidRPr="00DB760B">
        <w:rPr>
          <w:rFonts w:cs="Calibri"/>
          <w:snapToGrid/>
          <w:szCs w:val="24"/>
          <w:lang w:eastAsia="en-AU"/>
        </w:rPr>
        <w:t xml:space="preserve">(P006) </w:t>
      </w:r>
      <w:r w:rsidRPr="00DB760B">
        <w:rPr>
          <w:rFonts w:cs="Calibri"/>
          <w:snapToGrid/>
          <w:szCs w:val="24"/>
          <w:lang w:eastAsia="en-AU"/>
        </w:rPr>
        <w:t>and:</w:t>
      </w:r>
    </w:p>
    <w:p w:rsidR="00221D6C" w:rsidRPr="00DB760B" w:rsidRDefault="00221D6C" w:rsidP="00050ADD">
      <w:pPr>
        <w:pStyle w:val="ListParagraph"/>
        <w:widowControl/>
        <w:numPr>
          <w:ilvl w:val="0"/>
          <w:numId w:val="8"/>
        </w:numPr>
      </w:pPr>
      <w:proofErr w:type="spellStart"/>
      <w:r w:rsidRPr="00DB760B">
        <w:rPr>
          <w:rFonts w:cs="Calibri"/>
          <w:snapToGrid/>
          <w:szCs w:val="24"/>
          <w:lang w:eastAsia="en-AU"/>
        </w:rPr>
        <w:t>dapagliflozin</w:t>
      </w:r>
      <w:proofErr w:type="spellEnd"/>
      <w:r w:rsidRPr="00DB760B">
        <w:rPr>
          <w:rFonts w:cs="Calibri"/>
          <w:snapToGrid/>
          <w:szCs w:val="24"/>
          <w:lang w:eastAsia="en-AU"/>
        </w:rPr>
        <w:t xml:space="preserve"> plus </w:t>
      </w:r>
      <w:proofErr w:type="spellStart"/>
      <w:r w:rsidRPr="00DB760B">
        <w:rPr>
          <w:rFonts w:cs="Calibri"/>
          <w:snapToGrid/>
          <w:szCs w:val="24"/>
          <w:lang w:eastAsia="en-AU"/>
        </w:rPr>
        <w:t>saxagliptin</w:t>
      </w:r>
      <w:proofErr w:type="spellEnd"/>
      <w:r w:rsidRPr="00DB760B">
        <w:rPr>
          <w:rFonts w:cs="Calibri"/>
          <w:snapToGrid/>
          <w:szCs w:val="24"/>
          <w:lang w:eastAsia="en-AU"/>
        </w:rPr>
        <w:t xml:space="preserve"> plus metformin</w:t>
      </w:r>
      <w:r w:rsidR="008A3322" w:rsidRPr="00DB760B">
        <w:rPr>
          <w:rFonts w:cs="Calibri"/>
          <w:snapToGrid/>
          <w:szCs w:val="24"/>
          <w:lang w:eastAsia="en-AU"/>
        </w:rPr>
        <w:t xml:space="preserve"> (Mathieu 2015)</w:t>
      </w:r>
      <w:r w:rsidRPr="00DB760B">
        <w:rPr>
          <w:rFonts w:cs="Calibri"/>
          <w:snapToGrid/>
          <w:szCs w:val="24"/>
          <w:lang w:eastAsia="en-AU"/>
        </w:rPr>
        <w:t xml:space="preserve">; and </w:t>
      </w:r>
    </w:p>
    <w:p w:rsidR="00221D6C" w:rsidRPr="00DB760B" w:rsidRDefault="00221D6C" w:rsidP="00050ADD">
      <w:pPr>
        <w:pStyle w:val="ListParagraph"/>
        <w:widowControl/>
        <w:numPr>
          <w:ilvl w:val="0"/>
          <w:numId w:val="8"/>
        </w:numPr>
      </w:pPr>
      <w:proofErr w:type="spellStart"/>
      <w:proofErr w:type="gramStart"/>
      <w:r w:rsidRPr="00DB760B">
        <w:rPr>
          <w:rFonts w:cs="Calibri"/>
          <w:snapToGrid/>
          <w:szCs w:val="24"/>
          <w:lang w:eastAsia="en-AU"/>
        </w:rPr>
        <w:t>empagliflozin</w:t>
      </w:r>
      <w:proofErr w:type="spellEnd"/>
      <w:proofErr w:type="gramEnd"/>
      <w:r w:rsidRPr="00DB760B">
        <w:rPr>
          <w:rFonts w:cs="Calibri"/>
          <w:snapToGrid/>
          <w:szCs w:val="24"/>
          <w:lang w:eastAsia="en-AU"/>
        </w:rPr>
        <w:t xml:space="preserve"> plus </w:t>
      </w:r>
      <w:proofErr w:type="spellStart"/>
      <w:r w:rsidRPr="00DB760B">
        <w:rPr>
          <w:rFonts w:cs="Calibri"/>
          <w:snapToGrid/>
          <w:szCs w:val="24"/>
          <w:lang w:eastAsia="en-AU"/>
        </w:rPr>
        <w:t>linagliptin</w:t>
      </w:r>
      <w:proofErr w:type="spellEnd"/>
      <w:r w:rsidRPr="00DB760B">
        <w:rPr>
          <w:rFonts w:cs="Calibri"/>
          <w:snapToGrid/>
          <w:szCs w:val="24"/>
          <w:lang w:eastAsia="en-AU"/>
        </w:rPr>
        <w:t xml:space="preserve"> plus metformin</w:t>
      </w:r>
      <w:r w:rsidR="008A3322" w:rsidRPr="00DB760B">
        <w:rPr>
          <w:rFonts w:cs="Calibri"/>
          <w:snapToGrid/>
          <w:szCs w:val="24"/>
          <w:lang w:eastAsia="en-AU"/>
        </w:rPr>
        <w:t xml:space="preserve"> (</w:t>
      </w:r>
      <w:proofErr w:type="spellStart"/>
      <w:r w:rsidR="008A3322" w:rsidRPr="00DB760B">
        <w:rPr>
          <w:rFonts w:cs="Calibri"/>
          <w:snapToGrid/>
          <w:szCs w:val="24"/>
          <w:lang w:eastAsia="en-AU"/>
        </w:rPr>
        <w:t>Softeland</w:t>
      </w:r>
      <w:proofErr w:type="spellEnd"/>
      <w:r w:rsidR="008A3322" w:rsidRPr="00DB760B">
        <w:rPr>
          <w:rFonts w:cs="Calibri"/>
          <w:snapToGrid/>
          <w:szCs w:val="24"/>
          <w:lang w:eastAsia="en-AU"/>
        </w:rPr>
        <w:t xml:space="preserve"> 2016)</w:t>
      </w:r>
      <w:r w:rsidRPr="00DB760B">
        <w:rPr>
          <w:rFonts w:cs="Calibri"/>
          <w:snapToGrid/>
          <w:szCs w:val="24"/>
          <w:lang w:eastAsia="en-AU"/>
        </w:rPr>
        <w:t>.</w:t>
      </w:r>
    </w:p>
    <w:p w:rsidR="00221D6C" w:rsidRPr="00376223" w:rsidRDefault="00221D6C" w:rsidP="00376223">
      <w:pPr>
        <w:widowControl/>
        <w:spacing w:after="160"/>
        <w:ind w:left="720"/>
        <w:rPr>
          <w:rFonts w:cs="Calibri"/>
          <w:snapToGrid/>
          <w:szCs w:val="24"/>
          <w:lang w:eastAsia="en-AU"/>
        </w:rPr>
      </w:pPr>
      <w:r w:rsidRPr="00DB760B">
        <w:rPr>
          <w:rFonts w:cs="Calibri"/>
          <w:snapToGrid/>
          <w:szCs w:val="24"/>
          <w:lang w:eastAsia="en-AU"/>
        </w:rPr>
        <w:t xml:space="preserve">[Placebo] plus </w:t>
      </w:r>
      <w:r w:rsidR="00A210A2" w:rsidRPr="00DB760B">
        <w:rPr>
          <w:rFonts w:cs="Calibri"/>
          <w:snapToGrid/>
          <w:szCs w:val="24"/>
          <w:lang w:eastAsia="en-AU"/>
        </w:rPr>
        <w:t xml:space="preserve">a </w:t>
      </w:r>
      <w:r w:rsidRPr="00DB760B">
        <w:rPr>
          <w:rFonts w:cs="Calibri"/>
          <w:snapToGrid/>
          <w:szCs w:val="24"/>
          <w:lang w:eastAsia="en-AU"/>
        </w:rPr>
        <w:t>DPP4 inhibitor plus metformin was the common comparator.</w:t>
      </w:r>
    </w:p>
    <w:p w:rsidR="00502BCB" w:rsidRPr="00DB760B" w:rsidRDefault="00502BCB" w:rsidP="00050ADD">
      <w:pPr>
        <w:pStyle w:val="ListParagraph"/>
        <w:widowControl/>
        <w:numPr>
          <w:ilvl w:val="1"/>
          <w:numId w:val="1"/>
        </w:numPr>
      </w:pPr>
      <w:r w:rsidRPr="00DB760B">
        <w:t xml:space="preserve">Supportive indirect comparisons presented by the submission compared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(P006) to a meta-analysis of:</w:t>
      </w:r>
    </w:p>
    <w:p w:rsidR="00502BCB" w:rsidRPr="00DB760B" w:rsidRDefault="00502BCB" w:rsidP="00050ADD">
      <w:pPr>
        <w:pStyle w:val="ListParagraph"/>
        <w:widowControl/>
        <w:numPr>
          <w:ilvl w:val="0"/>
          <w:numId w:val="9"/>
        </w:numPr>
      </w:pPr>
      <w:r w:rsidRPr="00DB760B">
        <w:t xml:space="preserve">three trials of a SGLT2 inhibitor plus a DPP4 inhibitor plus metformin (Mathieu 2015, </w:t>
      </w:r>
      <w:proofErr w:type="spellStart"/>
      <w:r w:rsidRPr="00DB760B">
        <w:t>Softeland</w:t>
      </w:r>
      <w:proofErr w:type="spellEnd"/>
      <w:r w:rsidRPr="00DB760B">
        <w:t xml:space="preserve"> 2016 and </w:t>
      </w:r>
      <w:proofErr w:type="spellStart"/>
      <w:r w:rsidRPr="00DB760B">
        <w:t>Jabbour</w:t>
      </w:r>
      <w:proofErr w:type="spellEnd"/>
      <w:r w:rsidRPr="00DB760B">
        <w:t xml:space="preserve"> 2014); and </w:t>
      </w:r>
    </w:p>
    <w:p w:rsidR="00502BCB" w:rsidRPr="00DB760B" w:rsidRDefault="00502BCB" w:rsidP="00050ADD">
      <w:pPr>
        <w:pStyle w:val="ListParagraph"/>
        <w:widowControl/>
        <w:numPr>
          <w:ilvl w:val="0"/>
          <w:numId w:val="9"/>
        </w:numPr>
      </w:pPr>
      <w:proofErr w:type="gramStart"/>
      <w:r w:rsidRPr="00DB760B">
        <w:lastRenderedPageBreak/>
        <w:t>two</w:t>
      </w:r>
      <w:proofErr w:type="gramEnd"/>
      <w:r w:rsidRPr="00DB760B">
        <w:t xml:space="preserve"> trials of a DPP4 inhibitor plus a SGLT2 inhibitor plus metformin (</w:t>
      </w:r>
      <w:proofErr w:type="spellStart"/>
      <w:r w:rsidRPr="00DB760B">
        <w:t>Matthaei</w:t>
      </w:r>
      <w:proofErr w:type="spellEnd"/>
      <w:r w:rsidRPr="00DB760B">
        <w:t xml:space="preserve"> 2015 and </w:t>
      </w:r>
      <w:proofErr w:type="spellStart"/>
      <w:r w:rsidRPr="00DB760B">
        <w:t>Tinahones</w:t>
      </w:r>
      <w:proofErr w:type="spellEnd"/>
      <w:r w:rsidR="00A210A2" w:rsidRPr="00DB760B">
        <w:t xml:space="preserve"> 2016).</w:t>
      </w:r>
    </w:p>
    <w:p w:rsidR="008A3322" w:rsidRPr="00DB760B" w:rsidRDefault="005F1E68" w:rsidP="001B3286">
      <w:pPr>
        <w:keepNext/>
        <w:keepLines/>
        <w:widowControl/>
        <w:rPr>
          <w:rStyle w:val="CommentReference"/>
        </w:rPr>
      </w:pPr>
      <w:r w:rsidRPr="00DB760B">
        <w:rPr>
          <w:rStyle w:val="CommentReference"/>
        </w:rPr>
        <w:t>Table 4</w:t>
      </w:r>
      <w:r w:rsidR="008A3322" w:rsidRPr="00DB760B">
        <w:rPr>
          <w:rStyle w:val="CommentReference"/>
        </w:rPr>
        <w:t>:  Results of the indirect comparisons for change from baseline in HbA</w:t>
      </w:r>
      <w:r w:rsidR="008A3322" w:rsidRPr="00DB760B">
        <w:rPr>
          <w:rStyle w:val="CommentReference"/>
          <w:vertAlign w:val="subscript"/>
        </w:rPr>
        <w:t xml:space="preserve">1c </w:t>
      </w:r>
      <w:r w:rsidR="001B1FAE" w:rsidRPr="00DB760B">
        <w:rPr>
          <w:rStyle w:val="CommentReference"/>
        </w:rPr>
        <w:t xml:space="preserve">at 24 or </w:t>
      </w:r>
      <w:r w:rsidR="008A3322" w:rsidRPr="00DB760B">
        <w:rPr>
          <w:rStyle w:val="CommentReference"/>
        </w:rPr>
        <w:t>26 weeks</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132"/>
        <w:gridCol w:w="1552"/>
        <w:gridCol w:w="1712"/>
        <w:gridCol w:w="1701"/>
        <w:gridCol w:w="8"/>
        <w:gridCol w:w="2046"/>
      </w:tblGrid>
      <w:tr w:rsidR="002573FF" w:rsidRPr="00DB760B" w:rsidTr="001B3286">
        <w:trPr>
          <w:tblHeader/>
          <w:jc w:val="center"/>
        </w:trPr>
        <w:tc>
          <w:tcPr>
            <w:tcW w:w="844" w:type="dxa"/>
            <w:vMerge w:val="restart"/>
            <w:tcMar>
              <w:left w:w="28" w:type="dxa"/>
              <w:right w:w="28" w:type="dxa"/>
            </w:tcMar>
            <w:vAlign w:val="center"/>
          </w:tcPr>
          <w:p w:rsidR="002573FF" w:rsidRPr="00DB760B" w:rsidRDefault="002573FF" w:rsidP="001B3286">
            <w:pPr>
              <w:pStyle w:val="Tabletext"/>
              <w:keepNext/>
              <w:keepLines/>
              <w:rPr>
                <w:b/>
              </w:rPr>
            </w:pPr>
            <w:r w:rsidRPr="00DB760B">
              <w:rPr>
                <w:b/>
              </w:rPr>
              <w:t>Trial</w:t>
            </w:r>
          </w:p>
        </w:tc>
        <w:tc>
          <w:tcPr>
            <w:tcW w:w="1132" w:type="dxa"/>
            <w:vMerge w:val="restart"/>
            <w:shd w:val="clear" w:color="auto" w:fill="auto"/>
            <w:tcMar>
              <w:left w:w="28" w:type="dxa"/>
              <w:right w:w="28" w:type="dxa"/>
            </w:tcMar>
            <w:vAlign w:val="center"/>
          </w:tcPr>
          <w:p w:rsidR="002573FF" w:rsidRPr="00DB760B" w:rsidRDefault="002573FF" w:rsidP="001B3286">
            <w:pPr>
              <w:pStyle w:val="Tabletext"/>
              <w:keepNext/>
              <w:keepLines/>
              <w:rPr>
                <w:b/>
              </w:rPr>
            </w:pPr>
            <w:r w:rsidRPr="00DB760B">
              <w:rPr>
                <w:b/>
              </w:rPr>
              <w:t>Arm</w:t>
            </w:r>
          </w:p>
        </w:tc>
        <w:tc>
          <w:tcPr>
            <w:tcW w:w="4965" w:type="dxa"/>
            <w:gridSpan w:val="3"/>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Change from baseline in HbA</w:t>
            </w:r>
            <w:r w:rsidRPr="00DB760B">
              <w:rPr>
                <w:b/>
                <w:vertAlign w:val="subscript"/>
              </w:rPr>
              <w:t>1c</w:t>
            </w:r>
            <w:r w:rsidRPr="00DB760B">
              <w:rPr>
                <w:b/>
              </w:rPr>
              <w:t xml:space="preserve"> LSM (SD)</w:t>
            </w:r>
          </w:p>
        </w:tc>
        <w:tc>
          <w:tcPr>
            <w:tcW w:w="2054" w:type="dxa"/>
            <w:gridSpan w:val="2"/>
            <w:vMerge w:val="restart"/>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LSM difference</w:t>
            </w:r>
            <w:r w:rsidRPr="00DB760B">
              <w:rPr>
                <w:b/>
              </w:rPr>
              <w:br/>
              <w:t xml:space="preserve"> (95% CI)</w:t>
            </w:r>
          </w:p>
        </w:tc>
      </w:tr>
      <w:tr w:rsidR="002573FF" w:rsidRPr="00DB760B" w:rsidTr="001B3286">
        <w:trPr>
          <w:tblHeader/>
          <w:jc w:val="center"/>
        </w:trPr>
        <w:tc>
          <w:tcPr>
            <w:tcW w:w="844" w:type="dxa"/>
            <w:vMerge/>
            <w:tcMar>
              <w:left w:w="28" w:type="dxa"/>
              <w:right w:w="28" w:type="dxa"/>
            </w:tcMar>
          </w:tcPr>
          <w:p w:rsidR="002573FF" w:rsidRPr="00DB760B" w:rsidRDefault="002573FF" w:rsidP="001B3286">
            <w:pPr>
              <w:pStyle w:val="Tabletext"/>
              <w:keepNext/>
              <w:keepLines/>
            </w:pPr>
          </w:p>
        </w:tc>
        <w:tc>
          <w:tcPr>
            <w:tcW w:w="1132" w:type="dxa"/>
            <w:vMerge/>
            <w:shd w:val="clear" w:color="auto" w:fill="auto"/>
            <w:tcMar>
              <w:left w:w="28" w:type="dxa"/>
              <w:right w:w="28" w:type="dxa"/>
            </w:tcMar>
            <w:vAlign w:val="center"/>
          </w:tcPr>
          <w:p w:rsidR="002573FF" w:rsidRPr="00DB760B" w:rsidRDefault="002573FF" w:rsidP="001B3286">
            <w:pPr>
              <w:pStyle w:val="Tabletext"/>
              <w:keepNext/>
              <w:keepLines/>
            </w:pPr>
          </w:p>
        </w:tc>
        <w:tc>
          <w:tcPr>
            <w:tcW w:w="1552" w:type="dxa"/>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[ERTU] + SITA + MF</w:t>
            </w:r>
          </w:p>
        </w:tc>
        <w:tc>
          <w:tcPr>
            <w:tcW w:w="1712" w:type="dxa"/>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[PBO] + DPP4 + MF</w:t>
            </w:r>
          </w:p>
        </w:tc>
        <w:tc>
          <w:tcPr>
            <w:tcW w:w="1701" w:type="dxa"/>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[SGLT2] + DPP4 + MF</w:t>
            </w:r>
          </w:p>
        </w:tc>
        <w:tc>
          <w:tcPr>
            <w:tcW w:w="2054" w:type="dxa"/>
            <w:gridSpan w:val="2"/>
            <w:vMerge/>
            <w:shd w:val="clear" w:color="auto" w:fill="auto"/>
            <w:tcMar>
              <w:left w:w="28" w:type="dxa"/>
              <w:right w:w="28" w:type="dxa"/>
            </w:tcMar>
            <w:vAlign w:val="center"/>
          </w:tcPr>
          <w:p w:rsidR="002573FF" w:rsidRPr="00DB760B" w:rsidRDefault="002573FF" w:rsidP="001B3286">
            <w:pPr>
              <w:pStyle w:val="Tabletext"/>
              <w:keepNext/>
              <w:keepLines/>
              <w:jc w:val="center"/>
            </w:pPr>
          </w:p>
        </w:tc>
      </w:tr>
      <w:tr w:rsidR="002573FF" w:rsidRPr="00DB760B" w:rsidTr="001B3286">
        <w:trPr>
          <w:jc w:val="center"/>
        </w:trPr>
        <w:tc>
          <w:tcPr>
            <w:tcW w:w="844" w:type="dxa"/>
            <w:vMerge w:val="restart"/>
            <w:tcMar>
              <w:left w:w="28" w:type="dxa"/>
              <w:right w:w="28" w:type="dxa"/>
            </w:tcMar>
            <w:vAlign w:val="center"/>
          </w:tcPr>
          <w:p w:rsidR="002573FF" w:rsidRPr="00DB760B" w:rsidRDefault="002573FF" w:rsidP="001B3286">
            <w:pPr>
              <w:pStyle w:val="Tabletext"/>
              <w:keepNext/>
              <w:keepLines/>
            </w:pPr>
            <w:r w:rsidRPr="00DB760B">
              <w:t>P006</w:t>
            </w: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ERTU 5 mg</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156</w:t>
            </w:r>
          </w:p>
          <w:p w:rsidR="002573FF" w:rsidRPr="00DB760B" w:rsidRDefault="002573FF" w:rsidP="001B3286">
            <w:pPr>
              <w:pStyle w:val="Tabletext"/>
              <w:keepNext/>
              <w:keepLines/>
              <w:jc w:val="center"/>
            </w:pPr>
            <w:r w:rsidRPr="00DB760B">
              <w:t>-0.78 (0.83)</w:t>
            </w:r>
          </w:p>
        </w:tc>
        <w:tc>
          <w:tcPr>
            <w:tcW w:w="171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153</w:t>
            </w:r>
          </w:p>
          <w:p w:rsidR="002573FF" w:rsidRPr="00DB760B" w:rsidRDefault="002573FF" w:rsidP="001B3286">
            <w:pPr>
              <w:pStyle w:val="Tabletext"/>
              <w:keepNext/>
              <w:keepLines/>
              <w:jc w:val="center"/>
            </w:pPr>
            <w:r w:rsidRPr="00DB760B">
              <w:t>-0.09 (0.85)</w:t>
            </w:r>
          </w:p>
        </w:tc>
        <w:tc>
          <w:tcPr>
            <w:tcW w:w="1701"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pPr>
            <w:r w:rsidRPr="00DB760B">
              <w:t>-0.69 (-0.88, -0.50)</w:t>
            </w:r>
          </w:p>
        </w:tc>
      </w:tr>
      <w:tr w:rsidR="002573FF" w:rsidRPr="00DB760B" w:rsidTr="001B3286">
        <w:trPr>
          <w:jc w:val="center"/>
        </w:trPr>
        <w:tc>
          <w:tcPr>
            <w:tcW w:w="844" w:type="dxa"/>
            <w:vMerge/>
            <w:tcMar>
              <w:left w:w="28" w:type="dxa"/>
              <w:right w:w="28" w:type="dxa"/>
            </w:tcMar>
          </w:tcPr>
          <w:p w:rsidR="002573FF" w:rsidRPr="00DB760B" w:rsidRDefault="002573FF" w:rsidP="001B3286">
            <w:pPr>
              <w:pStyle w:val="Tabletext"/>
              <w:keepNext/>
              <w:keepLines/>
            </w:pP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ERTU 15 mg</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153</w:t>
            </w:r>
          </w:p>
          <w:p w:rsidR="002573FF" w:rsidRPr="00DB760B" w:rsidRDefault="002573FF" w:rsidP="001B3286">
            <w:pPr>
              <w:pStyle w:val="Tabletext"/>
              <w:keepNext/>
              <w:keepLines/>
              <w:jc w:val="center"/>
            </w:pPr>
            <w:r w:rsidRPr="00DB760B">
              <w:t>-0.86 (0.85)</w:t>
            </w:r>
          </w:p>
        </w:tc>
        <w:tc>
          <w:tcPr>
            <w:tcW w:w="171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153</w:t>
            </w:r>
          </w:p>
          <w:p w:rsidR="002573FF" w:rsidRPr="00DB760B" w:rsidRDefault="002573FF" w:rsidP="001B3286">
            <w:pPr>
              <w:pStyle w:val="Tabletext"/>
              <w:keepNext/>
              <w:keepLines/>
              <w:jc w:val="center"/>
            </w:pPr>
            <w:r w:rsidRPr="00DB760B">
              <w:t>-0.09 (0.85)</w:t>
            </w:r>
          </w:p>
        </w:tc>
        <w:tc>
          <w:tcPr>
            <w:tcW w:w="1701"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pPr>
            <w:r w:rsidRPr="00DB760B">
              <w:t>-0.77 (-0.96, -0.58)</w:t>
            </w:r>
          </w:p>
        </w:tc>
      </w:tr>
      <w:tr w:rsidR="002573FF" w:rsidRPr="00DB760B" w:rsidTr="001B3286">
        <w:trPr>
          <w:jc w:val="center"/>
        </w:trPr>
        <w:tc>
          <w:tcPr>
            <w:tcW w:w="6941" w:type="dxa"/>
            <w:gridSpan w:val="5"/>
            <w:tcMar>
              <w:left w:w="28" w:type="dxa"/>
              <w:right w:w="28" w:type="dxa"/>
            </w:tcMar>
          </w:tcPr>
          <w:p w:rsidR="002573FF" w:rsidRPr="00DB760B" w:rsidRDefault="002573FF" w:rsidP="001B3286">
            <w:pPr>
              <w:pStyle w:val="Tabletext"/>
              <w:keepNext/>
              <w:keepLines/>
              <w:jc w:val="right"/>
            </w:pPr>
            <w:r w:rsidRPr="00DB760B">
              <w:t xml:space="preserve">Pooled: </w:t>
            </w:r>
            <w:proofErr w:type="spellStart"/>
            <w:r w:rsidRPr="00DB760B">
              <w:t>ertugliflozin</w:t>
            </w:r>
            <w:proofErr w:type="spellEnd"/>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pPr>
            <w:r w:rsidRPr="00DB760B">
              <w:t>WMD = -0.73 (-0.86, -0.60)</w:t>
            </w:r>
          </w:p>
        </w:tc>
      </w:tr>
      <w:tr w:rsidR="002573FF" w:rsidRPr="00DB760B" w:rsidTr="001B3286">
        <w:trPr>
          <w:trHeight w:val="175"/>
          <w:tblHeader/>
          <w:jc w:val="center"/>
        </w:trPr>
        <w:tc>
          <w:tcPr>
            <w:tcW w:w="5240" w:type="dxa"/>
            <w:gridSpan w:val="4"/>
            <w:tcMar>
              <w:left w:w="28" w:type="dxa"/>
              <w:right w:w="28" w:type="dxa"/>
            </w:tcMar>
          </w:tcPr>
          <w:p w:rsidR="002573FF" w:rsidRPr="00DB760B" w:rsidRDefault="002573FF" w:rsidP="001B3286">
            <w:pPr>
              <w:pStyle w:val="Tabletext"/>
              <w:keepNext/>
              <w:keepLines/>
              <w:jc w:val="center"/>
              <w:rPr>
                <w:b/>
              </w:rPr>
            </w:pPr>
          </w:p>
        </w:tc>
        <w:tc>
          <w:tcPr>
            <w:tcW w:w="1701" w:type="dxa"/>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[DAPA] + SAXA  + MF</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p>
        </w:tc>
      </w:tr>
      <w:tr w:rsidR="002573FF" w:rsidRPr="00DB760B" w:rsidTr="001B3286">
        <w:trPr>
          <w:jc w:val="center"/>
        </w:trPr>
        <w:tc>
          <w:tcPr>
            <w:tcW w:w="844" w:type="dxa"/>
            <w:tcMar>
              <w:left w:w="28" w:type="dxa"/>
              <w:right w:w="28" w:type="dxa"/>
            </w:tcMar>
          </w:tcPr>
          <w:p w:rsidR="002573FF" w:rsidRPr="00DB760B" w:rsidRDefault="002573FF" w:rsidP="001B3286">
            <w:pPr>
              <w:pStyle w:val="Tabletext"/>
              <w:keepNext/>
              <w:keepLines/>
            </w:pPr>
            <w:r w:rsidRPr="00DB760B">
              <w:t>Mathieu 2015</w:t>
            </w: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171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158</w:t>
            </w:r>
          </w:p>
          <w:p w:rsidR="002573FF" w:rsidRPr="00DB760B" w:rsidRDefault="002573FF" w:rsidP="001B3286">
            <w:pPr>
              <w:pStyle w:val="Tabletext"/>
              <w:keepNext/>
              <w:keepLines/>
              <w:jc w:val="center"/>
            </w:pPr>
            <w:r w:rsidRPr="00DB760B">
              <w:t>-0.10 (0.81)</w:t>
            </w:r>
          </w:p>
        </w:tc>
        <w:tc>
          <w:tcPr>
            <w:tcW w:w="1701"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158</w:t>
            </w:r>
          </w:p>
          <w:p w:rsidR="002573FF" w:rsidRPr="00DB760B" w:rsidRDefault="002573FF" w:rsidP="001B3286">
            <w:pPr>
              <w:pStyle w:val="Tabletext"/>
              <w:keepNext/>
              <w:keepLines/>
              <w:jc w:val="center"/>
            </w:pPr>
            <w:r w:rsidRPr="00DB760B">
              <w:t>-0.82 (0.87)</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pPr>
            <w:r w:rsidRPr="00DB760B">
              <w:t>-0.72 (-0.91, -0.53)</w:t>
            </w:r>
          </w:p>
        </w:tc>
      </w:tr>
      <w:tr w:rsidR="002573FF" w:rsidRPr="00DB760B" w:rsidTr="001B3286">
        <w:trPr>
          <w:jc w:val="center"/>
        </w:trPr>
        <w:tc>
          <w:tcPr>
            <w:tcW w:w="6941" w:type="dxa"/>
            <w:gridSpan w:val="5"/>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5 mg) </w:t>
            </w:r>
            <w:r w:rsidR="007B7220" w:rsidRPr="00DB760B">
              <w:rPr>
                <w:b/>
              </w:rPr>
              <w:t>vs.</w:t>
            </w:r>
            <w:r w:rsidRPr="00DB760B">
              <w:rPr>
                <w:b/>
              </w:rPr>
              <w:t xml:space="preserve"> Mathieu 2015  (95% CI)</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WMD = 0.03 (-0.24, 0.30)</w:t>
            </w:r>
          </w:p>
        </w:tc>
      </w:tr>
      <w:tr w:rsidR="002573FF" w:rsidRPr="00DB760B" w:rsidTr="001B3286">
        <w:trPr>
          <w:jc w:val="center"/>
        </w:trPr>
        <w:tc>
          <w:tcPr>
            <w:tcW w:w="6941" w:type="dxa"/>
            <w:gridSpan w:val="5"/>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15 mg) </w:t>
            </w:r>
            <w:r w:rsidR="007B7220" w:rsidRPr="00DB760B">
              <w:rPr>
                <w:b/>
              </w:rPr>
              <w:t>vs.</w:t>
            </w:r>
            <w:r w:rsidRPr="00DB760B">
              <w:rPr>
                <w:b/>
              </w:rPr>
              <w:t xml:space="preserve"> Mathieu 2015 (95% CI)</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WMD = -0.05 (-0.32, 0.22)</w:t>
            </w:r>
          </w:p>
        </w:tc>
      </w:tr>
      <w:tr w:rsidR="002573FF" w:rsidRPr="00DB760B" w:rsidTr="001B3286">
        <w:trPr>
          <w:jc w:val="center"/>
        </w:trPr>
        <w:tc>
          <w:tcPr>
            <w:tcW w:w="6941" w:type="dxa"/>
            <w:gridSpan w:val="5"/>
            <w:tcMar>
              <w:left w:w="28" w:type="dxa"/>
              <w:right w:w="28" w:type="dxa"/>
            </w:tcMar>
          </w:tcPr>
          <w:p w:rsidR="002573FF" w:rsidRPr="00DB760B" w:rsidRDefault="002573FF" w:rsidP="001B3286">
            <w:pPr>
              <w:pStyle w:val="Tabletext"/>
              <w:keepNext/>
              <w:keepLines/>
              <w:jc w:val="right"/>
              <w:rPr>
                <w:b/>
              </w:rPr>
            </w:pPr>
            <w:r w:rsidRPr="00DB760B">
              <w:rPr>
                <w:b/>
              </w:rPr>
              <w:t>Indirect WMD, P006 (ERTU 5 mg</w:t>
            </w:r>
            <w:r w:rsidR="00690AE0" w:rsidRPr="00DB760B">
              <w:rPr>
                <w:b/>
              </w:rPr>
              <w:t xml:space="preserve"> </w:t>
            </w:r>
            <w:r w:rsidRPr="00DB760B">
              <w:rPr>
                <w:b/>
              </w:rPr>
              <w:t>+</w:t>
            </w:r>
            <w:r w:rsidR="00690AE0" w:rsidRPr="00DB760B">
              <w:rPr>
                <w:b/>
              </w:rPr>
              <w:t xml:space="preserve"> </w:t>
            </w:r>
            <w:r w:rsidRPr="00DB760B">
              <w:rPr>
                <w:b/>
              </w:rPr>
              <w:t xml:space="preserve">15 mg) </w:t>
            </w:r>
            <w:r w:rsidR="007B7220" w:rsidRPr="00DB760B">
              <w:rPr>
                <w:b/>
              </w:rPr>
              <w:t>vs.</w:t>
            </w:r>
            <w:r w:rsidRPr="00DB760B">
              <w:rPr>
                <w:b/>
              </w:rPr>
              <w:t xml:space="preserve"> Mathieu 2015 (95% CI)</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WMD = -0.01 (-0.24, 0.22)</w:t>
            </w:r>
          </w:p>
        </w:tc>
      </w:tr>
      <w:tr w:rsidR="002573FF" w:rsidRPr="00DB760B" w:rsidTr="001B3286">
        <w:trPr>
          <w:trHeight w:val="175"/>
          <w:tblHeader/>
          <w:jc w:val="center"/>
        </w:trPr>
        <w:tc>
          <w:tcPr>
            <w:tcW w:w="5240" w:type="dxa"/>
            <w:gridSpan w:val="4"/>
            <w:tcMar>
              <w:left w:w="28" w:type="dxa"/>
              <w:right w:w="28" w:type="dxa"/>
            </w:tcMar>
          </w:tcPr>
          <w:p w:rsidR="002573FF" w:rsidRPr="00DB760B" w:rsidRDefault="002573FF" w:rsidP="001B3286">
            <w:pPr>
              <w:pStyle w:val="Tabletext"/>
              <w:keepNext/>
              <w:keepLines/>
              <w:jc w:val="center"/>
              <w:rPr>
                <w:b/>
              </w:rPr>
            </w:pPr>
          </w:p>
        </w:tc>
        <w:tc>
          <w:tcPr>
            <w:tcW w:w="1701"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[EMPA] + LINA  + MF</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p>
        </w:tc>
      </w:tr>
      <w:tr w:rsidR="002573FF" w:rsidRPr="00DB760B" w:rsidTr="001B3286">
        <w:trPr>
          <w:jc w:val="center"/>
        </w:trPr>
        <w:tc>
          <w:tcPr>
            <w:tcW w:w="844" w:type="dxa"/>
            <w:vMerge w:val="restart"/>
            <w:tcMar>
              <w:left w:w="28" w:type="dxa"/>
              <w:right w:w="28" w:type="dxa"/>
            </w:tcMar>
            <w:vAlign w:val="center"/>
          </w:tcPr>
          <w:p w:rsidR="002573FF" w:rsidRPr="00DB760B" w:rsidRDefault="002573FF" w:rsidP="001B3286">
            <w:pPr>
              <w:pStyle w:val="Tabletext"/>
              <w:keepNext/>
              <w:keepLines/>
            </w:pPr>
            <w:proofErr w:type="spellStart"/>
            <w:r w:rsidRPr="00DB760B">
              <w:t>Softeland</w:t>
            </w:r>
            <w:proofErr w:type="spellEnd"/>
            <w:r w:rsidRPr="00DB760B">
              <w:t xml:space="preserve"> 2017</w:t>
            </w: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EMPA 10 mg</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1712" w:type="dxa"/>
            <w:vMerge w:val="restart"/>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108</w:t>
            </w:r>
          </w:p>
          <w:p w:rsidR="002573FF" w:rsidRPr="00DB760B" w:rsidRDefault="002573FF" w:rsidP="001B3286">
            <w:pPr>
              <w:pStyle w:val="Tabletext"/>
              <w:keepNext/>
              <w:keepLines/>
              <w:jc w:val="center"/>
            </w:pPr>
            <w:r w:rsidRPr="00DB760B">
              <w:t>0.14 (0.84)</w:t>
            </w:r>
          </w:p>
        </w:tc>
        <w:tc>
          <w:tcPr>
            <w:tcW w:w="1701"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100</w:t>
            </w:r>
          </w:p>
          <w:p w:rsidR="002573FF" w:rsidRPr="00DB760B" w:rsidRDefault="002573FF" w:rsidP="001B3286">
            <w:pPr>
              <w:pStyle w:val="Tabletext"/>
              <w:keepNext/>
              <w:keepLines/>
              <w:jc w:val="center"/>
            </w:pPr>
            <w:r w:rsidRPr="00DB760B">
              <w:t>-0.65 (0.80)</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pPr>
            <w:r w:rsidRPr="00DB760B">
              <w:t>-0.79 (-1.02, -0.55)</w:t>
            </w:r>
          </w:p>
        </w:tc>
      </w:tr>
      <w:tr w:rsidR="002573FF" w:rsidRPr="00DB760B" w:rsidTr="001B3286">
        <w:trPr>
          <w:jc w:val="center"/>
        </w:trPr>
        <w:tc>
          <w:tcPr>
            <w:tcW w:w="844" w:type="dxa"/>
            <w:vMerge/>
            <w:tcMar>
              <w:left w:w="28" w:type="dxa"/>
              <w:right w:w="28" w:type="dxa"/>
            </w:tcMar>
          </w:tcPr>
          <w:p w:rsidR="002573FF" w:rsidRPr="00DB760B" w:rsidRDefault="002573FF" w:rsidP="001B3286">
            <w:pPr>
              <w:pStyle w:val="Tabletext"/>
              <w:keepNext/>
              <w:keepLines/>
            </w:pP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EMPA 25 mg</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1712" w:type="dxa"/>
            <w:vMerge/>
            <w:shd w:val="clear" w:color="auto" w:fill="auto"/>
            <w:tcMar>
              <w:left w:w="28" w:type="dxa"/>
              <w:right w:w="28" w:type="dxa"/>
            </w:tcMar>
            <w:vAlign w:val="center"/>
          </w:tcPr>
          <w:p w:rsidR="002573FF" w:rsidRPr="00DB760B" w:rsidRDefault="002573FF" w:rsidP="001B3286">
            <w:pPr>
              <w:pStyle w:val="Tabletext"/>
              <w:keepNext/>
              <w:keepLines/>
            </w:pPr>
          </w:p>
        </w:tc>
        <w:tc>
          <w:tcPr>
            <w:tcW w:w="1701"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100</w:t>
            </w:r>
          </w:p>
          <w:p w:rsidR="002573FF" w:rsidRPr="00DB760B" w:rsidRDefault="002573FF" w:rsidP="001B3286">
            <w:pPr>
              <w:pStyle w:val="Tabletext"/>
              <w:keepNext/>
              <w:keepLines/>
              <w:jc w:val="center"/>
            </w:pPr>
            <w:r w:rsidRPr="00DB760B">
              <w:t>-0.56 (0.80)</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pPr>
            <w:r w:rsidRPr="00DB760B">
              <w:t>-0.70 (-0.93, -0.46)</w:t>
            </w:r>
          </w:p>
        </w:tc>
      </w:tr>
      <w:tr w:rsidR="002573FF" w:rsidRPr="00DB760B" w:rsidTr="001B3286">
        <w:trPr>
          <w:jc w:val="center"/>
        </w:trPr>
        <w:tc>
          <w:tcPr>
            <w:tcW w:w="6941" w:type="dxa"/>
            <w:gridSpan w:val="5"/>
            <w:tcMar>
              <w:left w:w="28" w:type="dxa"/>
              <w:right w:w="28" w:type="dxa"/>
            </w:tcMar>
          </w:tcPr>
          <w:p w:rsidR="002573FF" w:rsidRPr="00DB760B" w:rsidRDefault="002573FF" w:rsidP="001B3286">
            <w:pPr>
              <w:pStyle w:val="Tabletext"/>
              <w:keepNext/>
              <w:keepLines/>
              <w:jc w:val="right"/>
            </w:pPr>
            <w:r w:rsidRPr="00DB760B">
              <w:t xml:space="preserve">Pooled: </w:t>
            </w:r>
            <w:proofErr w:type="spellStart"/>
            <w:r w:rsidRPr="00DB760B">
              <w:t>empagliflozin</w:t>
            </w:r>
            <w:proofErr w:type="spellEnd"/>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pPr>
            <w:r w:rsidRPr="00DB760B">
              <w:t>WMD = -0.74 (-0.91, -0.58)</w:t>
            </w:r>
          </w:p>
        </w:tc>
      </w:tr>
      <w:tr w:rsidR="002573FF" w:rsidRPr="00DB760B" w:rsidTr="001B3286">
        <w:trPr>
          <w:jc w:val="center"/>
        </w:trPr>
        <w:tc>
          <w:tcPr>
            <w:tcW w:w="6941" w:type="dxa"/>
            <w:gridSpan w:val="5"/>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5 mg) </w:t>
            </w:r>
            <w:r w:rsidR="007B7220" w:rsidRPr="00DB760B">
              <w:rPr>
                <w:b/>
              </w:rPr>
              <w:t>vs.</w:t>
            </w:r>
            <w:r w:rsidRPr="00DB760B">
              <w:rPr>
                <w:b/>
              </w:rPr>
              <w:t xml:space="preserve"> </w:t>
            </w:r>
            <w:proofErr w:type="spellStart"/>
            <w:r w:rsidRPr="00DB760B">
              <w:rPr>
                <w:b/>
              </w:rPr>
              <w:t>Softeland</w:t>
            </w:r>
            <w:proofErr w:type="spellEnd"/>
            <w:r w:rsidRPr="00DB760B">
              <w:rPr>
                <w:b/>
              </w:rPr>
              <w:t xml:space="preserve"> 2017 (EMPA 10 mg) (95% CI)</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WMD = 0.10 (-0.20, 0.40)</w:t>
            </w:r>
          </w:p>
        </w:tc>
      </w:tr>
      <w:tr w:rsidR="002573FF" w:rsidRPr="00DB760B" w:rsidTr="001B3286">
        <w:trPr>
          <w:trHeight w:val="175"/>
          <w:tblHeader/>
          <w:jc w:val="center"/>
        </w:trPr>
        <w:tc>
          <w:tcPr>
            <w:tcW w:w="6941" w:type="dxa"/>
            <w:gridSpan w:val="5"/>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15 mg) </w:t>
            </w:r>
            <w:r w:rsidR="007B7220" w:rsidRPr="00DB760B">
              <w:rPr>
                <w:b/>
              </w:rPr>
              <w:t>vs.</w:t>
            </w:r>
            <w:r w:rsidRPr="00DB760B">
              <w:rPr>
                <w:b/>
              </w:rPr>
              <w:t xml:space="preserve"> </w:t>
            </w:r>
            <w:proofErr w:type="spellStart"/>
            <w:r w:rsidRPr="00DB760B">
              <w:rPr>
                <w:b/>
              </w:rPr>
              <w:t>Softeland</w:t>
            </w:r>
            <w:proofErr w:type="spellEnd"/>
            <w:r w:rsidRPr="00DB760B">
              <w:rPr>
                <w:b/>
              </w:rPr>
              <w:t xml:space="preserve"> 2017 (EMPA 10 mg) (95% CI)</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WMD = -0.07 (-0.37, 0.23)</w:t>
            </w:r>
          </w:p>
        </w:tc>
      </w:tr>
      <w:tr w:rsidR="002573FF" w:rsidRPr="00DB760B" w:rsidTr="001B3286">
        <w:trPr>
          <w:trHeight w:val="175"/>
          <w:tblHeader/>
          <w:jc w:val="center"/>
        </w:trPr>
        <w:tc>
          <w:tcPr>
            <w:tcW w:w="6941" w:type="dxa"/>
            <w:gridSpan w:val="5"/>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5 mg) </w:t>
            </w:r>
            <w:r w:rsidR="007B7220" w:rsidRPr="00DB760B">
              <w:rPr>
                <w:b/>
              </w:rPr>
              <w:t>vs.</w:t>
            </w:r>
            <w:r w:rsidRPr="00DB760B">
              <w:rPr>
                <w:b/>
              </w:rPr>
              <w:t xml:space="preserve"> </w:t>
            </w:r>
            <w:proofErr w:type="spellStart"/>
            <w:r w:rsidRPr="00DB760B">
              <w:rPr>
                <w:b/>
              </w:rPr>
              <w:t>Softeland</w:t>
            </w:r>
            <w:proofErr w:type="spellEnd"/>
            <w:r w:rsidRPr="00DB760B">
              <w:rPr>
                <w:b/>
              </w:rPr>
              <w:t xml:space="preserve"> 2017 (EMPA 25 mg) (95% CI)</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WMD = 0.01 (-0.29, 0.31)</w:t>
            </w:r>
          </w:p>
        </w:tc>
      </w:tr>
      <w:tr w:rsidR="002573FF" w:rsidRPr="00DB760B" w:rsidTr="001B3286">
        <w:trPr>
          <w:trHeight w:val="175"/>
          <w:tblHeader/>
          <w:jc w:val="center"/>
        </w:trPr>
        <w:tc>
          <w:tcPr>
            <w:tcW w:w="6941" w:type="dxa"/>
            <w:gridSpan w:val="5"/>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15 mg) </w:t>
            </w:r>
            <w:r w:rsidR="007B7220" w:rsidRPr="00DB760B">
              <w:rPr>
                <w:b/>
              </w:rPr>
              <w:t>vs.</w:t>
            </w:r>
            <w:r w:rsidRPr="00DB760B">
              <w:rPr>
                <w:b/>
              </w:rPr>
              <w:t xml:space="preserve"> </w:t>
            </w:r>
            <w:proofErr w:type="spellStart"/>
            <w:r w:rsidRPr="00DB760B">
              <w:rPr>
                <w:b/>
              </w:rPr>
              <w:t>Softeland</w:t>
            </w:r>
            <w:proofErr w:type="spellEnd"/>
            <w:r w:rsidRPr="00DB760B">
              <w:rPr>
                <w:b/>
              </w:rPr>
              <w:t xml:space="preserve"> 2017 (EMPA 25 mg) (95% CI)</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WMD = 0.02 (-0.28, 0.32)</w:t>
            </w:r>
          </w:p>
        </w:tc>
      </w:tr>
      <w:tr w:rsidR="002573FF" w:rsidRPr="00DB760B" w:rsidTr="001B3286">
        <w:trPr>
          <w:trHeight w:val="175"/>
          <w:tblHeader/>
          <w:jc w:val="center"/>
        </w:trPr>
        <w:tc>
          <w:tcPr>
            <w:tcW w:w="6941" w:type="dxa"/>
            <w:gridSpan w:val="5"/>
            <w:tcMar>
              <w:left w:w="6" w:type="dxa"/>
              <w:right w:w="6" w:type="dxa"/>
            </w:tcMar>
          </w:tcPr>
          <w:p w:rsidR="002573FF" w:rsidRPr="00DB760B" w:rsidRDefault="002573FF" w:rsidP="001B3286">
            <w:pPr>
              <w:pStyle w:val="Tabletext"/>
              <w:keepNext/>
              <w:keepLines/>
              <w:jc w:val="right"/>
              <w:rPr>
                <w:b/>
              </w:rPr>
            </w:pPr>
            <w:r w:rsidRPr="00DB760B">
              <w:rPr>
                <w:b/>
              </w:rPr>
              <w:t xml:space="preserve">Indirect WMD, </w:t>
            </w:r>
            <w:r w:rsidR="00690AE0" w:rsidRPr="00DB760B">
              <w:rPr>
                <w:b/>
              </w:rPr>
              <w:br/>
            </w:r>
            <w:r w:rsidRPr="00DB760B">
              <w:rPr>
                <w:b/>
              </w:rPr>
              <w:t>P006 (ERTU 5 mg</w:t>
            </w:r>
            <w:r w:rsidR="00690AE0" w:rsidRPr="00DB760B">
              <w:rPr>
                <w:b/>
              </w:rPr>
              <w:t xml:space="preserve"> </w:t>
            </w:r>
            <w:r w:rsidRPr="00DB760B">
              <w:rPr>
                <w:b/>
              </w:rPr>
              <w:t>+</w:t>
            </w:r>
            <w:r w:rsidR="00690AE0" w:rsidRPr="00DB760B">
              <w:rPr>
                <w:b/>
              </w:rPr>
              <w:t xml:space="preserve"> </w:t>
            </w:r>
            <w:r w:rsidRPr="00DB760B">
              <w:rPr>
                <w:b/>
              </w:rPr>
              <w:t xml:space="preserve">15 mg) </w:t>
            </w:r>
            <w:r w:rsidR="007B7220" w:rsidRPr="00DB760B">
              <w:rPr>
                <w:b/>
              </w:rPr>
              <w:t>vs</w:t>
            </w:r>
            <w:r w:rsidR="00690AE0" w:rsidRPr="00DB760B">
              <w:rPr>
                <w:b/>
              </w:rPr>
              <w:t>.</w:t>
            </w:r>
            <w:r w:rsidRPr="00DB760B">
              <w:rPr>
                <w:b/>
              </w:rPr>
              <w:t xml:space="preserve"> </w:t>
            </w:r>
            <w:proofErr w:type="spellStart"/>
            <w:r w:rsidRPr="00DB760B">
              <w:rPr>
                <w:b/>
              </w:rPr>
              <w:t>Softeland</w:t>
            </w:r>
            <w:proofErr w:type="spellEnd"/>
            <w:r w:rsidRPr="00DB760B">
              <w:rPr>
                <w:b/>
              </w:rPr>
              <w:t xml:space="preserve"> 2017 (EMPA 10 mg</w:t>
            </w:r>
            <w:r w:rsidR="00690AE0" w:rsidRPr="00DB760B">
              <w:rPr>
                <w:b/>
              </w:rPr>
              <w:t xml:space="preserve"> </w:t>
            </w:r>
            <w:r w:rsidRPr="00DB760B">
              <w:rPr>
                <w:b/>
              </w:rPr>
              <w:t>+</w:t>
            </w:r>
            <w:r w:rsidR="00690AE0" w:rsidRPr="00DB760B">
              <w:rPr>
                <w:b/>
              </w:rPr>
              <w:t xml:space="preserve"> </w:t>
            </w:r>
            <w:r w:rsidRPr="00DB760B">
              <w:rPr>
                <w:b/>
              </w:rPr>
              <w:t>25 mg) (95%CI)</w:t>
            </w:r>
          </w:p>
        </w:tc>
        <w:tc>
          <w:tcPr>
            <w:tcW w:w="2054"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WMD = 0.05 (-0.20, 0.30)</w:t>
            </w:r>
          </w:p>
        </w:tc>
      </w:tr>
      <w:tr w:rsidR="002573FF" w:rsidRPr="00DB760B" w:rsidTr="001B3286">
        <w:trPr>
          <w:trHeight w:val="175"/>
          <w:tblHeader/>
          <w:jc w:val="center"/>
        </w:trPr>
        <w:tc>
          <w:tcPr>
            <w:tcW w:w="5240" w:type="dxa"/>
            <w:gridSpan w:val="4"/>
            <w:tcMar>
              <w:left w:w="28" w:type="dxa"/>
              <w:right w:w="28" w:type="dxa"/>
            </w:tcMar>
          </w:tcPr>
          <w:p w:rsidR="002573FF" w:rsidRPr="00DB760B" w:rsidRDefault="002573FF" w:rsidP="001B3286">
            <w:pPr>
              <w:pStyle w:val="Tabletext"/>
              <w:keepNext/>
              <w:keepLines/>
              <w:jc w:val="center"/>
              <w:rPr>
                <w:b/>
              </w:rPr>
            </w:pPr>
          </w:p>
        </w:tc>
        <w:tc>
          <w:tcPr>
            <w:tcW w:w="1709" w:type="dxa"/>
            <w:gridSpan w:val="2"/>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[DAPA] + SITA + MF</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p>
        </w:tc>
      </w:tr>
      <w:tr w:rsidR="002573FF" w:rsidRPr="00DB760B" w:rsidTr="001B3286">
        <w:trPr>
          <w:jc w:val="center"/>
        </w:trPr>
        <w:tc>
          <w:tcPr>
            <w:tcW w:w="844" w:type="dxa"/>
            <w:tcMar>
              <w:left w:w="28" w:type="dxa"/>
              <w:right w:w="28" w:type="dxa"/>
            </w:tcMar>
          </w:tcPr>
          <w:p w:rsidR="002573FF" w:rsidRPr="00DB760B" w:rsidRDefault="002573FF" w:rsidP="001B3286">
            <w:pPr>
              <w:pStyle w:val="Tabletext"/>
              <w:keepNext/>
              <w:keepLines/>
            </w:pPr>
            <w:proofErr w:type="spellStart"/>
            <w:r w:rsidRPr="00DB760B">
              <w:t>Jabbour</w:t>
            </w:r>
            <w:proofErr w:type="spellEnd"/>
            <w:r w:rsidRPr="00DB760B">
              <w:t xml:space="preserve"> 2014</w:t>
            </w: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1712" w:type="dxa"/>
            <w:shd w:val="clear" w:color="auto" w:fill="auto"/>
            <w:vAlign w:val="center"/>
          </w:tcPr>
          <w:p w:rsidR="002573FF" w:rsidRPr="00DB760B" w:rsidRDefault="002573FF" w:rsidP="001B3286">
            <w:pPr>
              <w:pStyle w:val="Tabletext"/>
              <w:keepNext/>
              <w:keepLines/>
              <w:jc w:val="center"/>
            </w:pPr>
            <w:r w:rsidRPr="00DB760B">
              <w:t>N = 113</w:t>
            </w:r>
          </w:p>
          <w:p w:rsidR="002573FF" w:rsidRPr="00DB760B" w:rsidRDefault="002573FF" w:rsidP="001B3286">
            <w:pPr>
              <w:pStyle w:val="Tabletext"/>
              <w:keepNext/>
              <w:keepLines/>
              <w:jc w:val="center"/>
            </w:pPr>
            <w:r w:rsidRPr="00DB760B">
              <w:t>0.00 (0.81)</w:t>
            </w:r>
          </w:p>
        </w:tc>
        <w:tc>
          <w:tcPr>
            <w:tcW w:w="1709" w:type="dxa"/>
            <w:gridSpan w:val="2"/>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113</w:t>
            </w:r>
          </w:p>
          <w:p w:rsidR="002573FF" w:rsidRPr="00DB760B" w:rsidRDefault="002573FF" w:rsidP="001B3286">
            <w:pPr>
              <w:pStyle w:val="Tabletext"/>
              <w:keepNext/>
              <w:keepLines/>
              <w:jc w:val="center"/>
            </w:pPr>
            <w:r w:rsidRPr="00DB760B">
              <w:t>-0.40 (0.81)</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-0.40 (-0.61, -0.19)</w:t>
            </w:r>
          </w:p>
        </w:tc>
      </w:tr>
      <w:tr w:rsidR="002573FF" w:rsidRPr="00DB760B" w:rsidTr="001B3286">
        <w:trPr>
          <w:jc w:val="center"/>
        </w:trPr>
        <w:tc>
          <w:tcPr>
            <w:tcW w:w="6949" w:type="dxa"/>
            <w:gridSpan w:val="6"/>
            <w:tcMar>
              <w:left w:w="28" w:type="dxa"/>
              <w:right w:w="28" w:type="dxa"/>
            </w:tcMar>
          </w:tcPr>
          <w:p w:rsidR="002573FF" w:rsidRPr="00DB760B" w:rsidRDefault="002573FF" w:rsidP="001B3286">
            <w:pPr>
              <w:pStyle w:val="Tabletext"/>
              <w:keepNext/>
              <w:keepLines/>
              <w:jc w:val="right"/>
            </w:pPr>
            <w:r w:rsidRPr="00DB760B">
              <w:t xml:space="preserve">Meta-analysis: Mathieu 2015, </w:t>
            </w:r>
            <w:proofErr w:type="spellStart"/>
            <w:r w:rsidRPr="00DB760B">
              <w:t>Softeland</w:t>
            </w:r>
            <w:proofErr w:type="spellEnd"/>
            <w:r w:rsidRPr="00DB760B">
              <w:t xml:space="preserve"> 2017 and </w:t>
            </w:r>
            <w:proofErr w:type="spellStart"/>
            <w:r w:rsidRPr="00DB760B">
              <w:t>Jabbour</w:t>
            </w:r>
            <w:proofErr w:type="spellEnd"/>
            <w:r w:rsidRPr="00DB760B">
              <w:t xml:space="preserve"> 2014</w:t>
            </w:r>
          </w:p>
          <w:p w:rsidR="002573FF" w:rsidRPr="00DB760B" w:rsidRDefault="002573FF" w:rsidP="001B3286">
            <w:pPr>
              <w:pStyle w:val="Tabletext"/>
              <w:keepNext/>
              <w:keepLines/>
              <w:tabs>
                <w:tab w:val="left" w:pos="2684"/>
                <w:tab w:val="center" w:pos="3446"/>
              </w:tabs>
              <w:jc w:val="right"/>
            </w:pPr>
            <w:r w:rsidRPr="00DB760B">
              <w:tab/>
            </w:r>
            <w:r w:rsidRPr="00DB760B">
              <w:tab/>
              <w:t>I</w:t>
            </w:r>
            <w:r w:rsidRPr="00DB760B">
              <w:rPr>
                <w:vertAlign w:val="superscript"/>
              </w:rPr>
              <w:t xml:space="preserve">2 </w:t>
            </w:r>
            <w:r w:rsidRPr="00DB760B">
              <w:t>= 59%; p = 0.06</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WMD = -0.65 (-0.82, -0.48)</w:t>
            </w:r>
          </w:p>
        </w:tc>
      </w:tr>
      <w:tr w:rsidR="002573FF" w:rsidRPr="00DB760B" w:rsidTr="001B3286">
        <w:trPr>
          <w:jc w:val="center"/>
        </w:trPr>
        <w:tc>
          <w:tcPr>
            <w:tcW w:w="6949" w:type="dxa"/>
            <w:gridSpan w:val="6"/>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5 mg) </w:t>
            </w:r>
            <w:r w:rsidR="007B7220" w:rsidRPr="00DB760B">
              <w:rPr>
                <w:b/>
              </w:rPr>
              <w:t>vs.</w:t>
            </w:r>
            <w:r w:rsidRPr="00DB760B">
              <w:rPr>
                <w:b/>
              </w:rPr>
              <w:t xml:space="preserve"> meta-analysis (95% CI)</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WMD = -0.04 (-0.29, 0.21)</w:t>
            </w:r>
          </w:p>
        </w:tc>
      </w:tr>
      <w:tr w:rsidR="002573FF" w:rsidRPr="00DB760B" w:rsidTr="001B3286">
        <w:trPr>
          <w:jc w:val="center"/>
        </w:trPr>
        <w:tc>
          <w:tcPr>
            <w:tcW w:w="6949" w:type="dxa"/>
            <w:gridSpan w:val="6"/>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15 mg) </w:t>
            </w:r>
            <w:r w:rsidR="007B7220" w:rsidRPr="00DB760B">
              <w:rPr>
                <w:b/>
              </w:rPr>
              <w:t>vs.</w:t>
            </w:r>
            <w:r w:rsidRPr="00DB760B">
              <w:rPr>
                <w:b/>
              </w:rPr>
              <w:t xml:space="preserve"> meta-analysis (95% CI)</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WMD = -0.12 (-0.37, 0.13)</w:t>
            </w:r>
          </w:p>
        </w:tc>
      </w:tr>
      <w:tr w:rsidR="002573FF" w:rsidRPr="00DB760B" w:rsidTr="001B3286">
        <w:trPr>
          <w:jc w:val="center"/>
        </w:trPr>
        <w:tc>
          <w:tcPr>
            <w:tcW w:w="6949" w:type="dxa"/>
            <w:gridSpan w:val="6"/>
            <w:tcMar>
              <w:left w:w="28" w:type="dxa"/>
              <w:right w:w="28" w:type="dxa"/>
            </w:tcMar>
          </w:tcPr>
          <w:p w:rsidR="002573FF" w:rsidRPr="00DB760B" w:rsidRDefault="002573FF" w:rsidP="001B3286">
            <w:pPr>
              <w:pStyle w:val="Tabletext"/>
              <w:keepNext/>
              <w:keepLines/>
              <w:jc w:val="right"/>
              <w:rPr>
                <w:b/>
              </w:rPr>
            </w:pPr>
            <w:r w:rsidRPr="00DB760B">
              <w:rPr>
                <w:b/>
              </w:rPr>
              <w:t>Indirect WMD, P006 (ERTU 5 mg</w:t>
            </w:r>
            <w:r w:rsidR="00690AE0" w:rsidRPr="00DB760B">
              <w:rPr>
                <w:b/>
              </w:rPr>
              <w:t xml:space="preserve"> </w:t>
            </w:r>
            <w:r w:rsidRPr="00DB760B">
              <w:rPr>
                <w:b/>
              </w:rPr>
              <w:t>+</w:t>
            </w:r>
            <w:r w:rsidR="00690AE0" w:rsidRPr="00DB760B">
              <w:rPr>
                <w:b/>
              </w:rPr>
              <w:t xml:space="preserve"> </w:t>
            </w:r>
            <w:r w:rsidRPr="00DB760B">
              <w:rPr>
                <w:b/>
              </w:rPr>
              <w:t xml:space="preserve">15 mg) </w:t>
            </w:r>
            <w:r w:rsidR="007B7220" w:rsidRPr="00DB760B">
              <w:rPr>
                <w:b/>
              </w:rPr>
              <w:t>vs.</w:t>
            </w:r>
            <w:r w:rsidRPr="00DB760B">
              <w:rPr>
                <w:b/>
              </w:rPr>
              <w:t xml:space="preserve"> meta-analysis (95% CI)</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WMD = -0.08 (-0.29, 0.13)</w:t>
            </w:r>
          </w:p>
        </w:tc>
      </w:tr>
      <w:tr w:rsidR="002573FF" w:rsidRPr="00DB760B" w:rsidTr="001B3286">
        <w:trPr>
          <w:trHeight w:val="175"/>
          <w:tblHeader/>
          <w:jc w:val="center"/>
        </w:trPr>
        <w:tc>
          <w:tcPr>
            <w:tcW w:w="3528" w:type="dxa"/>
            <w:gridSpan w:val="3"/>
            <w:tcMar>
              <w:left w:w="28" w:type="dxa"/>
              <w:right w:w="28" w:type="dxa"/>
            </w:tcMar>
          </w:tcPr>
          <w:p w:rsidR="002573FF" w:rsidRPr="00DB760B" w:rsidRDefault="002573FF" w:rsidP="001B3286">
            <w:pPr>
              <w:pStyle w:val="Tabletext"/>
              <w:keepNext/>
              <w:keepLines/>
              <w:jc w:val="center"/>
              <w:rPr>
                <w:b/>
              </w:rPr>
            </w:pPr>
          </w:p>
        </w:tc>
        <w:tc>
          <w:tcPr>
            <w:tcW w:w="1712" w:type="dxa"/>
            <w:tcMar>
              <w:left w:w="6" w:type="dxa"/>
              <w:right w:w="6" w:type="dxa"/>
            </w:tcMar>
          </w:tcPr>
          <w:p w:rsidR="002573FF" w:rsidRPr="00DB760B" w:rsidRDefault="002573FF" w:rsidP="001B3286">
            <w:pPr>
              <w:pStyle w:val="Tabletext"/>
              <w:keepNext/>
              <w:keepLines/>
              <w:jc w:val="center"/>
              <w:rPr>
                <w:b/>
              </w:rPr>
            </w:pPr>
            <w:r w:rsidRPr="00DB760B">
              <w:rPr>
                <w:b/>
              </w:rPr>
              <w:t>[PBO] + SGLT2 + MF</w:t>
            </w:r>
          </w:p>
        </w:tc>
        <w:tc>
          <w:tcPr>
            <w:tcW w:w="1709"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[SAXA] + DAPA + MF</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p>
        </w:tc>
      </w:tr>
      <w:tr w:rsidR="002573FF" w:rsidRPr="00DB760B" w:rsidTr="001B3286">
        <w:trPr>
          <w:jc w:val="center"/>
        </w:trPr>
        <w:tc>
          <w:tcPr>
            <w:tcW w:w="844" w:type="dxa"/>
            <w:tcMar>
              <w:left w:w="28" w:type="dxa"/>
              <w:right w:w="28" w:type="dxa"/>
            </w:tcMar>
          </w:tcPr>
          <w:p w:rsidR="002573FF" w:rsidRPr="00DB760B" w:rsidRDefault="002573FF" w:rsidP="001B3286">
            <w:pPr>
              <w:pStyle w:val="Tabletext"/>
              <w:keepNext/>
              <w:keepLines/>
            </w:pPr>
            <w:proofErr w:type="spellStart"/>
            <w:r w:rsidRPr="00DB760B">
              <w:t>Matthaei</w:t>
            </w:r>
            <w:proofErr w:type="spellEnd"/>
            <w:r w:rsidRPr="00DB760B">
              <w:t xml:space="preserve"> 2015</w:t>
            </w: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1712" w:type="dxa"/>
            <w:shd w:val="clear" w:color="auto" w:fill="auto"/>
            <w:vAlign w:val="center"/>
          </w:tcPr>
          <w:p w:rsidR="002573FF" w:rsidRPr="00DB760B" w:rsidRDefault="002573FF" w:rsidP="001B3286">
            <w:pPr>
              <w:pStyle w:val="Tabletext"/>
              <w:keepNext/>
              <w:keepLines/>
              <w:jc w:val="center"/>
            </w:pPr>
            <w:r w:rsidRPr="00DB760B">
              <w:t>N = 149</w:t>
            </w:r>
          </w:p>
          <w:p w:rsidR="002573FF" w:rsidRPr="00DB760B" w:rsidRDefault="002573FF" w:rsidP="001B3286">
            <w:pPr>
              <w:pStyle w:val="Tabletext"/>
              <w:keepNext/>
              <w:keepLines/>
              <w:jc w:val="center"/>
            </w:pPr>
            <w:r w:rsidRPr="00DB760B">
              <w:t>-0.16 (0.75)</w:t>
            </w:r>
          </w:p>
        </w:tc>
        <w:tc>
          <w:tcPr>
            <w:tcW w:w="1709" w:type="dxa"/>
            <w:gridSpan w:val="2"/>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139</w:t>
            </w:r>
          </w:p>
          <w:p w:rsidR="002573FF" w:rsidRPr="00DB760B" w:rsidRDefault="002573FF" w:rsidP="001B3286">
            <w:pPr>
              <w:pStyle w:val="Tabletext"/>
              <w:keepNext/>
              <w:keepLines/>
              <w:jc w:val="center"/>
            </w:pPr>
            <w:r w:rsidRPr="00DB760B">
              <w:t>-0.51 (0.72)</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t>-0.35 (-0.52, -0.18)</w:t>
            </w:r>
          </w:p>
        </w:tc>
      </w:tr>
      <w:tr w:rsidR="002573FF" w:rsidRPr="00DB760B" w:rsidTr="001B3286">
        <w:trPr>
          <w:trHeight w:val="175"/>
          <w:tblHeader/>
          <w:jc w:val="center"/>
        </w:trPr>
        <w:tc>
          <w:tcPr>
            <w:tcW w:w="5240" w:type="dxa"/>
            <w:gridSpan w:val="4"/>
            <w:tcMar>
              <w:left w:w="28" w:type="dxa"/>
              <w:right w:w="28" w:type="dxa"/>
            </w:tcMar>
          </w:tcPr>
          <w:p w:rsidR="002573FF" w:rsidRPr="00DB760B" w:rsidRDefault="002573FF" w:rsidP="001B3286">
            <w:pPr>
              <w:pStyle w:val="Tabletext"/>
              <w:keepNext/>
              <w:keepLines/>
              <w:jc w:val="center"/>
              <w:rPr>
                <w:b/>
              </w:rPr>
            </w:pPr>
          </w:p>
        </w:tc>
        <w:tc>
          <w:tcPr>
            <w:tcW w:w="1709" w:type="dxa"/>
            <w:gridSpan w:val="2"/>
            <w:shd w:val="clear" w:color="auto" w:fill="auto"/>
            <w:tcMar>
              <w:left w:w="6" w:type="dxa"/>
              <w:right w:w="6" w:type="dxa"/>
            </w:tcMar>
            <w:vAlign w:val="center"/>
          </w:tcPr>
          <w:p w:rsidR="002573FF" w:rsidRPr="00DB760B" w:rsidRDefault="002573FF" w:rsidP="001B3286">
            <w:pPr>
              <w:pStyle w:val="Tabletext"/>
              <w:keepNext/>
              <w:keepLines/>
              <w:jc w:val="center"/>
              <w:rPr>
                <w:b/>
              </w:rPr>
            </w:pPr>
            <w:r w:rsidRPr="00DB760B">
              <w:rPr>
                <w:b/>
              </w:rPr>
              <w:t>[LINA] + EMPA + MF</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p>
        </w:tc>
      </w:tr>
      <w:tr w:rsidR="002573FF" w:rsidRPr="00DB760B" w:rsidTr="001B3286">
        <w:trPr>
          <w:jc w:val="center"/>
        </w:trPr>
        <w:tc>
          <w:tcPr>
            <w:tcW w:w="844" w:type="dxa"/>
            <w:vMerge w:val="restart"/>
            <w:tcMar>
              <w:left w:w="28" w:type="dxa"/>
              <w:right w:w="28" w:type="dxa"/>
            </w:tcMar>
            <w:vAlign w:val="center"/>
          </w:tcPr>
          <w:p w:rsidR="002573FF" w:rsidRPr="00DB760B" w:rsidRDefault="002573FF" w:rsidP="001B3286">
            <w:pPr>
              <w:pStyle w:val="Tabletext"/>
              <w:keepNext/>
              <w:keepLines/>
            </w:pPr>
            <w:proofErr w:type="spellStart"/>
            <w:r w:rsidRPr="00DB760B">
              <w:t>Tinahones</w:t>
            </w:r>
            <w:proofErr w:type="spellEnd"/>
            <w:r w:rsidRPr="00DB760B">
              <w:t xml:space="preserve"> 2016</w:t>
            </w: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EMPA 10 mg</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1712" w:type="dxa"/>
            <w:shd w:val="clear" w:color="auto" w:fill="auto"/>
            <w:vAlign w:val="center"/>
          </w:tcPr>
          <w:p w:rsidR="002573FF" w:rsidRPr="00DB760B" w:rsidRDefault="002573FF" w:rsidP="001B3286">
            <w:pPr>
              <w:pStyle w:val="Tabletext"/>
              <w:keepNext/>
              <w:keepLines/>
              <w:jc w:val="center"/>
            </w:pPr>
            <w:r w:rsidRPr="00DB760B">
              <w:t>N = 110</w:t>
            </w:r>
          </w:p>
          <w:p w:rsidR="002573FF" w:rsidRPr="00DB760B" w:rsidRDefault="002573FF" w:rsidP="001B3286">
            <w:pPr>
              <w:pStyle w:val="Tabletext"/>
              <w:keepNext/>
              <w:keepLines/>
              <w:jc w:val="center"/>
            </w:pPr>
            <w:r w:rsidRPr="00DB760B">
              <w:t>-0.21 (0.73)</w:t>
            </w:r>
          </w:p>
        </w:tc>
        <w:tc>
          <w:tcPr>
            <w:tcW w:w="1709" w:type="dxa"/>
            <w:gridSpan w:val="2"/>
            <w:shd w:val="clear" w:color="auto" w:fill="auto"/>
            <w:tcMar>
              <w:left w:w="28" w:type="dxa"/>
              <w:right w:w="28" w:type="dxa"/>
            </w:tcMar>
            <w:vAlign w:val="center"/>
          </w:tcPr>
          <w:p w:rsidR="002573FF" w:rsidRPr="00DB760B" w:rsidRDefault="002573FF" w:rsidP="001B3286">
            <w:pPr>
              <w:pStyle w:val="Tabletext"/>
              <w:keepNext/>
              <w:keepLines/>
              <w:jc w:val="center"/>
            </w:pPr>
            <w:r w:rsidRPr="00DB760B">
              <w:t>N = 111</w:t>
            </w:r>
          </w:p>
          <w:p w:rsidR="002573FF" w:rsidRPr="00DB760B" w:rsidRDefault="002573FF" w:rsidP="001B3286">
            <w:pPr>
              <w:pStyle w:val="Tabletext"/>
              <w:keepNext/>
              <w:keepLines/>
              <w:jc w:val="center"/>
            </w:pPr>
            <w:r w:rsidRPr="00DB760B">
              <w:t>-0.53 (0.74)</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-0.32 (-0.51, -0.13)</w:t>
            </w:r>
          </w:p>
        </w:tc>
      </w:tr>
      <w:tr w:rsidR="002573FF" w:rsidRPr="00DB760B" w:rsidTr="001B3286">
        <w:trPr>
          <w:jc w:val="center"/>
        </w:trPr>
        <w:tc>
          <w:tcPr>
            <w:tcW w:w="844" w:type="dxa"/>
            <w:vMerge/>
            <w:tcMar>
              <w:left w:w="28" w:type="dxa"/>
              <w:right w:w="28" w:type="dxa"/>
            </w:tcMar>
          </w:tcPr>
          <w:p w:rsidR="002573FF" w:rsidRPr="00DB760B" w:rsidRDefault="002573FF" w:rsidP="001B3286">
            <w:pPr>
              <w:pStyle w:val="Tabletext"/>
              <w:keepNext/>
              <w:keepLines/>
            </w:pPr>
          </w:p>
        </w:tc>
        <w:tc>
          <w:tcPr>
            <w:tcW w:w="1132" w:type="dxa"/>
            <w:shd w:val="clear" w:color="auto" w:fill="auto"/>
            <w:tcMar>
              <w:left w:w="28" w:type="dxa"/>
              <w:right w:w="28" w:type="dxa"/>
            </w:tcMar>
            <w:vAlign w:val="center"/>
          </w:tcPr>
          <w:p w:rsidR="002573FF" w:rsidRPr="00DB760B" w:rsidRDefault="002573FF" w:rsidP="001B3286">
            <w:pPr>
              <w:pStyle w:val="Tabletext"/>
              <w:keepNext/>
              <w:keepLines/>
            </w:pPr>
            <w:r w:rsidRPr="00DB760B">
              <w:t>EMPA 25 mg</w:t>
            </w:r>
          </w:p>
        </w:tc>
        <w:tc>
          <w:tcPr>
            <w:tcW w:w="1552"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t>
            </w:r>
          </w:p>
        </w:tc>
        <w:tc>
          <w:tcPr>
            <w:tcW w:w="1712" w:type="dxa"/>
            <w:shd w:val="clear" w:color="auto" w:fill="auto"/>
            <w:vAlign w:val="center"/>
          </w:tcPr>
          <w:p w:rsidR="002573FF" w:rsidRPr="00DB760B" w:rsidRDefault="002573FF" w:rsidP="001B3286">
            <w:pPr>
              <w:pStyle w:val="Tabletext"/>
              <w:keepNext/>
              <w:keepLines/>
              <w:jc w:val="center"/>
            </w:pPr>
            <w:r w:rsidRPr="00DB760B">
              <w:t>N = 98</w:t>
            </w:r>
          </w:p>
          <w:p w:rsidR="002573FF" w:rsidRPr="00DB760B" w:rsidRDefault="002573FF" w:rsidP="001B3286">
            <w:pPr>
              <w:pStyle w:val="Tabletext"/>
              <w:keepNext/>
              <w:keepLines/>
              <w:jc w:val="center"/>
            </w:pPr>
            <w:r w:rsidRPr="00DB760B">
              <w:t>-0.10 (0.69)</w:t>
            </w:r>
          </w:p>
        </w:tc>
        <w:tc>
          <w:tcPr>
            <w:tcW w:w="1709" w:type="dxa"/>
            <w:gridSpan w:val="2"/>
            <w:shd w:val="clear" w:color="auto" w:fill="auto"/>
            <w:tcMar>
              <w:left w:w="28" w:type="dxa"/>
              <w:right w:w="28" w:type="dxa"/>
            </w:tcMar>
            <w:vAlign w:val="center"/>
          </w:tcPr>
          <w:p w:rsidR="002573FF" w:rsidRPr="00DB760B" w:rsidRDefault="002573FF" w:rsidP="001B3286">
            <w:pPr>
              <w:pStyle w:val="Tabletext"/>
              <w:keepNext/>
              <w:keepLines/>
              <w:jc w:val="center"/>
            </w:pPr>
            <w:r w:rsidRPr="00DB760B">
              <w:t xml:space="preserve">N = 98 </w:t>
            </w:r>
          </w:p>
          <w:p w:rsidR="002573FF" w:rsidRPr="00DB760B" w:rsidRDefault="002573FF" w:rsidP="001B3286">
            <w:pPr>
              <w:pStyle w:val="Tabletext"/>
              <w:keepNext/>
              <w:keepLines/>
              <w:jc w:val="center"/>
            </w:pPr>
            <w:r w:rsidRPr="00DB760B">
              <w:t>-0.58 (0.69)</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-0.48 (-0.67, 0.29)</w:t>
            </w:r>
          </w:p>
        </w:tc>
      </w:tr>
      <w:tr w:rsidR="002573FF" w:rsidRPr="00DB760B" w:rsidTr="001B3286">
        <w:trPr>
          <w:jc w:val="center"/>
        </w:trPr>
        <w:tc>
          <w:tcPr>
            <w:tcW w:w="6949" w:type="dxa"/>
            <w:gridSpan w:val="6"/>
            <w:tcMar>
              <w:left w:w="28" w:type="dxa"/>
              <w:right w:w="28" w:type="dxa"/>
            </w:tcMar>
          </w:tcPr>
          <w:p w:rsidR="002573FF" w:rsidRPr="00DB760B" w:rsidRDefault="002573FF" w:rsidP="001B3286">
            <w:pPr>
              <w:pStyle w:val="Tabletext"/>
              <w:keepNext/>
              <w:keepLines/>
              <w:tabs>
                <w:tab w:val="left" w:pos="2684"/>
                <w:tab w:val="center" w:pos="3446"/>
              </w:tabs>
              <w:jc w:val="right"/>
            </w:pPr>
            <w:r w:rsidRPr="00DB760B">
              <w:t xml:space="preserve">Meta-analysis: </w:t>
            </w:r>
            <w:proofErr w:type="spellStart"/>
            <w:r w:rsidRPr="00DB760B">
              <w:t>Matthaei</w:t>
            </w:r>
            <w:proofErr w:type="spellEnd"/>
            <w:r w:rsidRPr="00DB760B">
              <w:t xml:space="preserve"> 2015 and </w:t>
            </w:r>
            <w:proofErr w:type="spellStart"/>
            <w:r w:rsidRPr="00DB760B">
              <w:t>Tinahones</w:t>
            </w:r>
            <w:proofErr w:type="spellEnd"/>
            <w:r w:rsidRPr="00DB760B">
              <w:t xml:space="preserve"> 2016</w:t>
            </w:r>
          </w:p>
          <w:p w:rsidR="002573FF" w:rsidRPr="00DB760B" w:rsidRDefault="002573FF" w:rsidP="001B3286">
            <w:pPr>
              <w:pStyle w:val="Tabletext"/>
              <w:keepNext/>
              <w:keepLines/>
              <w:tabs>
                <w:tab w:val="left" w:pos="2684"/>
                <w:tab w:val="center" w:pos="3446"/>
              </w:tabs>
              <w:jc w:val="right"/>
            </w:pPr>
            <w:r w:rsidRPr="00DB760B">
              <w:t>I</w:t>
            </w:r>
            <w:r w:rsidRPr="00DB760B">
              <w:rPr>
                <w:vertAlign w:val="superscript"/>
              </w:rPr>
              <w:t xml:space="preserve">2 </w:t>
            </w:r>
            <w:r w:rsidRPr="00DB760B">
              <w:t>= 0%; p = 0.47</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pPr>
            <w:r w:rsidRPr="00DB760B">
              <w:t>WMD = -0.38 (-0.49, -0.27)</w:t>
            </w:r>
          </w:p>
        </w:tc>
      </w:tr>
      <w:tr w:rsidR="002573FF" w:rsidRPr="00DB760B" w:rsidTr="001B3286">
        <w:trPr>
          <w:jc w:val="center"/>
        </w:trPr>
        <w:tc>
          <w:tcPr>
            <w:tcW w:w="6949" w:type="dxa"/>
            <w:gridSpan w:val="6"/>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5 mg) </w:t>
            </w:r>
            <w:r w:rsidR="007B7220" w:rsidRPr="00DB760B">
              <w:rPr>
                <w:b/>
              </w:rPr>
              <w:t>vs.</w:t>
            </w:r>
            <w:r w:rsidRPr="00DB760B">
              <w:rPr>
                <w:b/>
              </w:rPr>
              <w:t xml:space="preserve"> meta-analysis (95% CI)</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WMD = -0.31 (-0.53, -0.09)</w:t>
            </w:r>
          </w:p>
        </w:tc>
      </w:tr>
      <w:tr w:rsidR="002573FF" w:rsidRPr="00DB760B" w:rsidTr="001B3286">
        <w:trPr>
          <w:jc w:val="center"/>
        </w:trPr>
        <w:tc>
          <w:tcPr>
            <w:tcW w:w="6949" w:type="dxa"/>
            <w:gridSpan w:val="6"/>
            <w:tcMar>
              <w:left w:w="28" w:type="dxa"/>
              <w:right w:w="28" w:type="dxa"/>
            </w:tcMar>
          </w:tcPr>
          <w:p w:rsidR="002573FF" w:rsidRPr="00DB760B" w:rsidRDefault="002573FF" w:rsidP="001B3286">
            <w:pPr>
              <w:pStyle w:val="Tabletext"/>
              <w:keepNext/>
              <w:keepLines/>
              <w:jc w:val="right"/>
              <w:rPr>
                <w:b/>
              </w:rPr>
            </w:pPr>
            <w:r w:rsidRPr="00DB760B">
              <w:rPr>
                <w:b/>
              </w:rPr>
              <w:t xml:space="preserve">Indirect WMD, P006 (ERTU 15 mg) </w:t>
            </w:r>
            <w:r w:rsidR="007B7220" w:rsidRPr="00DB760B">
              <w:rPr>
                <w:b/>
              </w:rPr>
              <w:t>vs.</w:t>
            </w:r>
            <w:r w:rsidRPr="00DB760B">
              <w:rPr>
                <w:b/>
              </w:rPr>
              <w:t xml:space="preserve"> meta-analysis (95% CI)</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WMD = -0.39 (-0.61, -0.17)</w:t>
            </w:r>
          </w:p>
        </w:tc>
      </w:tr>
      <w:tr w:rsidR="002573FF" w:rsidRPr="00DB760B" w:rsidTr="001B3286">
        <w:trPr>
          <w:jc w:val="center"/>
        </w:trPr>
        <w:tc>
          <w:tcPr>
            <w:tcW w:w="6949" w:type="dxa"/>
            <w:gridSpan w:val="6"/>
            <w:tcMar>
              <w:left w:w="28" w:type="dxa"/>
              <w:right w:w="28" w:type="dxa"/>
            </w:tcMar>
          </w:tcPr>
          <w:p w:rsidR="002573FF" w:rsidRPr="00DB760B" w:rsidRDefault="002573FF" w:rsidP="001B3286">
            <w:pPr>
              <w:pStyle w:val="Tabletext"/>
              <w:keepNext/>
              <w:keepLines/>
              <w:jc w:val="right"/>
              <w:rPr>
                <w:b/>
              </w:rPr>
            </w:pPr>
            <w:r w:rsidRPr="00DB760B">
              <w:rPr>
                <w:b/>
              </w:rPr>
              <w:t>Indirect WMD, P006 (ERTU 5 mg</w:t>
            </w:r>
            <w:r w:rsidR="00690AE0" w:rsidRPr="00DB760B">
              <w:rPr>
                <w:b/>
              </w:rPr>
              <w:t xml:space="preserve"> </w:t>
            </w:r>
            <w:r w:rsidRPr="00DB760B">
              <w:rPr>
                <w:b/>
              </w:rPr>
              <w:t>+</w:t>
            </w:r>
            <w:r w:rsidR="00690AE0" w:rsidRPr="00DB760B">
              <w:rPr>
                <w:b/>
              </w:rPr>
              <w:t xml:space="preserve"> </w:t>
            </w:r>
            <w:r w:rsidRPr="00DB760B">
              <w:rPr>
                <w:b/>
              </w:rPr>
              <w:t xml:space="preserve">15 mg) </w:t>
            </w:r>
            <w:r w:rsidR="007B7220" w:rsidRPr="00DB760B">
              <w:rPr>
                <w:b/>
              </w:rPr>
              <w:t>vs.</w:t>
            </w:r>
            <w:r w:rsidRPr="00DB760B">
              <w:rPr>
                <w:b/>
              </w:rPr>
              <w:t xml:space="preserve"> meta-analysis (95% CI)</w:t>
            </w:r>
          </w:p>
        </w:tc>
        <w:tc>
          <w:tcPr>
            <w:tcW w:w="2046" w:type="dxa"/>
            <w:shd w:val="clear" w:color="auto" w:fill="auto"/>
            <w:tcMar>
              <w:left w:w="28" w:type="dxa"/>
              <w:right w:w="28" w:type="dxa"/>
            </w:tcMar>
            <w:vAlign w:val="center"/>
          </w:tcPr>
          <w:p w:rsidR="002573FF" w:rsidRPr="00DB760B" w:rsidRDefault="002573FF" w:rsidP="001B3286">
            <w:pPr>
              <w:pStyle w:val="Tabletext"/>
              <w:keepNext/>
              <w:keepLines/>
              <w:jc w:val="center"/>
              <w:rPr>
                <w:b/>
              </w:rPr>
            </w:pPr>
            <w:r w:rsidRPr="00DB760B">
              <w:rPr>
                <w:b/>
              </w:rPr>
              <w:t>WMD = -0.35 (-0.52, -0.18)</w:t>
            </w:r>
          </w:p>
        </w:tc>
      </w:tr>
    </w:tbl>
    <w:p w:rsidR="008A3322" w:rsidRPr="00DB760B" w:rsidRDefault="008A3322" w:rsidP="001B3286">
      <w:pPr>
        <w:pStyle w:val="TableFooter"/>
        <w:keepNext/>
        <w:keepLines/>
      </w:pPr>
      <w:r w:rsidRPr="00DB760B">
        <w:t>Source: Figure 2-11 and Table 2-20, Section 2.6.2, and Attachment 11 of the submission</w:t>
      </w:r>
    </w:p>
    <w:p w:rsidR="008A3322" w:rsidRPr="00DB760B" w:rsidRDefault="008A3322" w:rsidP="001B3286">
      <w:pPr>
        <w:pStyle w:val="TableFooter"/>
        <w:keepNext/>
        <w:keepLines/>
      </w:pPr>
      <w:r w:rsidRPr="00DB760B">
        <w:t xml:space="preserve">CI = confidence interval; DAPA = </w:t>
      </w:r>
      <w:proofErr w:type="spellStart"/>
      <w:r w:rsidRPr="00DB760B">
        <w:t>dapagliptin</w:t>
      </w:r>
      <w:proofErr w:type="spellEnd"/>
      <w:r w:rsidRPr="00DB760B">
        <w:t xml:space="preserve">; DPP4 = dipeptidyl peptidase-4; EMPA = </w:t>
      </w:r>
      <w:proofErr w:type="spellStart"/>
      <w:r w:rsidRPr="00DB760B">
        <w:t>empagliflozin</w:t>
      </w:r>
      <w:proofErr w:type="spellEnd"/>
      <w:r w:rsidRPr="00DB760B">
        <w:t xml:space="preserve">; ERTU = </w:t>
      </w:r>
      <w:proofErr w:type="spellStart"/>
      <w:r w:rsidRPr="00DB760B">
        <w:t>ertugliflozin</w:t>
      </w:r>
      <w:proofErr w:type="spellEnd"/>
      <w:r w:rsidRPr="00DB760B">
        <w:t>; HbA</w:t>
      </w:r>
      <w:r w:rsidRPr="00DB760B">
        <w:rPr>
          <w:vertAlign w:val="subscript"/>
        </w:rPr>
        <w:t>1c</w:t>
      </w:r>
      <w:r w:rsidRPr="00DB760B">
        <w:t xml:space="preserve"> = glycated haemoglobin; LINA = </w:t>
      </w:r>
      <w:proofErr w:type="spellStart"/>
      <w:r w:rsidRPr="00DB760B">
        <w:t>linagliptin</w:t>
      </w:r>
      <w:proofErr w:type="spellEnd"/>
      <w:r w:rsidRPr="00DB760B">
        <w:t xml:space="preserve">; LSM = least square mean; MF = metformin; PBO = placebo; SAXA = </w:t>
      </w:r>
      <w:proofErr w:type="spellStart"/>
      <w:r w:rsidRPr="00DB760B">
        <w:t>saxagliptin</w:t>
      </w:r>
      <w:proofErr w:type="spellEnd"/>
      <w:r w:rsidRPr="00DB760B">
        <w:t xml:space="preserve">; SD = standard deviation; SGLT2 = sodium-glucose co-transporter-2; SITA = </w:t>
      </w:r>
      <w:proofErr w:type="spellStart"/>
      <w:r w:rsidRPr="00DB760B">
        <w:t>sitagliptin</w:t>
      </w:r>
      <w:proofErr w:type="spellEnd"/>
      <w:r w:rsidRPr="00DB760B">
        <w:t xml:space="preserve">; </w:t>
      </w:r>
      <w:r w:rsidR="007B7220" w:rsidRPr="00DB760B">
        <w:t>vs.</w:t>
      </w:r>
      <w:r w:rsidR="00502BCB" w:rsidRPr="00DB760B">
        <w:t xml:space="preserve"> = versus; </w:t>
      </w:r>
      <w:r w:rsidRPr="00DB760B">
        <w:t xml:space="preserve">WMD = weighted mean difference; </w:t>
      </w:r>
      <w:r w:rsidRPr="00DB760B">
        <w:rPr>
          <w:b/>
        </w:rPr>
        <w:t>bold</w:t>
      </w:r>
      <w:r w:rsidRPr="00DB760B">
        <w:t xml:space="preserve"> = WMD </w:t>
      </w:r>
      <w:r w:rsidRPr="00DB760B">
        <w:lastRenderedPageBreak/>
        <w:t xml:space="preserve">met the non-inferiority margin proposed by the submission (upper bound 95% CI: </w:t>
      </w:r>
      <w:r w:rsidRPr="00DB760B">
        <w:rPr>
          <w:rFonts w:cs="Times New Roman"/>
        </w:rPr>
        <w:t>≤ 0.4%)</w:t>
      </w:r>
    </w:p>
    <w:p w:rsidR="008A3322" w:rsidRPr="00DB760B" w:rsidRDefault="008A3322" w:rsidP="008A3322">
      <w:pPr>
        <w:widowControl/>
      </w:pPr>
    </w:p>
    <w:p w:rsidR="00502BCB" w:rsidRPr="00DB760B" w:rsidRDefault="00502BCB" w:rsidP="00050ADD">
      <w:pPr>
        <w:pStyle w:val="ListParagraph"/>
        <w:widowControl/>
        <w:numPr>
          <w:ilvl w:val="1"/>
          <w:numId w:val="1"/>
        </w:numPr>
      </w:pPr>
      <w:r w:rsidRPr="00DB760B">
        <w:rPr>
          <w:rFonts w:cs="Calibri"/>
          <w:snapToGrid/>
          <w:szCs w:val="24"/>
          <w:lang w:eastAsia="en-AU"/>
        </w:rPr>
        <w:t>The results of t</w:t>
      </w:r>
      <w:r w:rsidR="00C13843" w:rsidRPr="00DB760B">
        <w:rPr>
          <w:rFonts w:cs="Calibri"/>
          <w:snapToGrid/>
          <w:szCs w:val="24"/>
          <w:lang w:eastAsia="en-AU"/>
        </w:rPr>
        <w:t xml:space="preserve">he indirect comparisons suggested </w:t>
      </w:r>
      <w:r w:rsidRPr="00DB760B">
        <w:rPr>
          <w:rFonts w:cs="Calibri"/>
          <w:snapToGrid/>
          <w:szCs w:val="24"/>
          <w:lang w:eastAsia="en-AU"/>
        </w:rPr>
        <w:t>that for change in HbA</w:t>
      </w:r>
      <w:r w:rsidRPr="00DB760B">
        <w:rPr>
          <w:rFonts w:cs="Calibri"/>
          <w:snapToGrid/>
          <w:szCs w:val="24"/>
          <w:vertAlign w:val="subscript"/>
          <w:lang w:eastAsia="en-AU"/>
        </w:rPr>
        <w:t>1c</w:t>
      </w:r>
      <w:r w:rsidR="001B1FAE" w:rsidRPr="00DB760B">
        <w:rPr>
          <w:rFonts w:cs="Calibri"/>
          <w:snapToGrid/>
          <w:szCs w:val="24"/>
          <w:lang w:eastAsia="en-AU"/>
        </w:rPr>
        <w:t xml:space="preserve"> from baseline at 24 or </w:t>
      </w:r>
      <w:r w:rsidRPr="00DB760B">
        <w:rPr>
          <w:rFonts w:cs="Calibri"/>
          <w:snapToGrid/>
          <w:szCs w:val="24"/>
          <w:lang w:eastAsia="en-AU"/>
        </w:rPr>
        <w:t>26 weeks</w:t>
      </w:r>
      <w:r w:rsidR="00D04A5B" w:rsidRPr="00DB760B">
        <w:rPr>
          <w:rFonts w:cs="Calibri"/>
          <w:snapToGrid/>
          <w:szCs w:val="24"/>
          <w:lang w:eastAsia="en-AU"/>
        </w:rPr>
        <w:t>,</w:t>
      </w:r>
      <w:r w:rsidRPr="00DB760B">
        <w:rPr>
          <w:rFonts w:cs="Calibri"/>
          <w:snapToGrid/>
          <w:szCs w:val="24"/>
          <w:lang w:eastAsia="en-AU"/>
        </w:rPr>
        <w:t xml:space="preserve"> [</w:t>
      </w:r>
      <w:proofErr w:type="spellStart"/>
      <w:r w:rsidRPr="00DB760B">
        <w:rPr>
          <w:rFonts w:cs="Calibri"/>
          <w:snapToGrid/>
          <w:szCs w:val="24"/>
          <w:lang w:eastAsia="en-AU"/>
        </w:rPr>
        <w:t>ertugliflozin</w:t>
      </w:r>
      <w:proofErr w:type="spellEnd"/>
      <w:r w:rsidR="002573FF" w:rsidRPr="00DB760B">
        <w:rPr>
          <w:rFonts w:cs="Calibri"/>
          <w:snapToGrid/>
          <w:szCs w:val="24"/>
          <w:lang w:eastAsia="en-AU"/>
        </w:rPr>
        <w:t xml:space="preserve"> 5 mg or 15 mg</w:t>
      </w:r>
      <w:r w:rsidRPr="00DB760B">
        <w:rPr>
          <w:rFonts w:cs="Calibri"/>
          <w:snapToGrid/>
          <w:szCs w:val="24"/>
          <w:lang w:eastAsia="en-AU"/>
        </w:rPr>
        <w:t xml:space="preserve">] plus </w:t>
      </w:r>
      <w:proofErr w:type="spellStart"/>
      <w:r w:rsidRPr="00DB760B">
        <w:rPr>
          <w:rFonts w:cs="Calibri"/>
          <w:snapToGrid/>
          <w:szCs w:val="24"/>
          <w:lang w:eastAsia="en-AU"/>
        </w:rPr>
        <w:t>sitagliptin</w:t>
      </w:r>
      <w:proofErr w:type="spellEnd"/>
      <w:r w:rsidRPr="00DB760B">
        <w:rPr>
          <w:rFonts w:cs="Calibri"/>
          <w:snapToGrid/>
          <w:szCs w:val="24"/>
          <w:lang w:eastAsia="en-AU"/>
        </w:rPr>
        <w:t xml:space="preserve"> plus metformin: </w:t>
      </w:r>
    </w:p>
    <w:p w:rsidR="00502BCB" w:rsidRPr="00DB760B" w:rsidRDefault="00502BCB" w:rsidP="00050ADD">
      <w:pPr>
        <w:pStyle w:val="ListParagraph"/>
        <w:widowControl/>
        <w:numPr>
          <w:ilvl w:val="0"/>
          <w:numId w:val="10"/>
        </w:numPr>
      </w:pPr>
      <w:r w:rsidRPr="00DB760B">
        <w:rPr>
          <w:rFonts w:cs="Calibri"/>
          <w:snapToGrid/>
          <w:szCs w:val="24"/>
          <w:lang w:eastAsia="en-AU"/>
        </w:rPr>
        <w:t>demonstrated no statistically significant differences to the comparators;</w:t>
      </w:r>
      <w:r w:rsidR="00A13434" w:rsidRPr="00DB760B">
        <w:rPr>
          <w:rFonts w:cs="Calibri"/>
          <w:snapToGrid/>
          <w:szCs w:val="24"/>
          <w:lang w:eastAsia="en-AU"/>
        </w:rPr>
        <w:t xml:space="preserve"> and</w:t>
      </w:r>
    </w:p>
    <w:p w:rsidR="00760C4E" w:rsidRPr="00DB760B" w:rsidRDefault="00502BCB" w:rsidP="00050ADD">
      <w:pPr>
        <w:pStyle w:val="ListParagraph"/>
        <w:widowControl/>
        <w:numPr>
          <w:ilvl w:val="0"/>
          <w:numId w:val="10"/>
        </w:numPr>
      </w:pPr>
      <w:proofErr w:type="gramStart"/>
      <w:r w:rsidRPr="00DB760B">
        <w:rPr>
          <w:rFonts w:cs="Calibri"/>
          <w:snapToGrid/>
          <w:szCs w:val="24"/>
          <w:lang w:eastAsia="en-AU"/>
        </w:rPr>
        <w:t>met</w:t>
      </w:r>
      <w:proofErr w:type="gramEnd"/>
      <w:r w:rsidRPr="00DB760B">
        <w:rPr>
          <w:rFonts w:cs="Calibri"/>
          <w:snapToGrid/>
          <w:szCs w:val="24"/>
          <w:lang w:eastAsia="en-AU"/>
        </w:rPr>
        <w:t xml:space="preserve"> the pre-specified non-inferiority margin of 0.4%, with the upper bound of all the 95% confidence intervals </w:t>
      </w:r>
      <w:r w:rsidR="00A210A2" w:rsidRPr="00DB760B">
        <w:rPr>
          <w:rFonts w:cs="Calibri"/>
          <w:snapToGrid/>
          <w:szCs w:val="24"/>
          <w:lang w:eastAsia="en-AU"/>
        </w:rPr>
        <w:t>less than or equal to</w:t>
      </w:r>
      <w:r w:rsidRPr="00DB760B">
        <w:rPr>
          <w:rFonts w:cs="Calibri"/>
          <w:snapToGrid/>
          <w:szCs w:val="24"/>
          <w:lang w:eastAsia="en-AU"/>
        </w:rPr>
        <w:t xml:space="preserve"> this value. </w:t>
      </w:r>
    </w:p>
    <w:p w:rsidR="001D4003" w:rsidRPr="00DB760B" w:rsidRDefault="001D4003" w:rsidP="00050ADD">
      <w:pPr>
        <w:pStyle w:val="ListParagraph"/>
        <w:widowControl/>
        <w:numPr>
          <w:ilvl w:val="1"/>
          <w:numId w:val="1"/>
        </w:numPr>
      </w:pPr>
      <w:r w:rsidRPr="00DB760B">
        <w:t>The</w:t>
      </w:r>
      <w:r w:rsidR="006504C3" w:rsidRPr="00DB760B">
        <w:t xml:space="preserve"> PBAC considered that the</w:t>
      </w:r>
      <w:r w:rsidRPr="00DB760B">
        <w:t xml:space="preserve">re were no statistically significant differences between patients treated with </w:t>
      </w:r>
      <w:proofErr w:type="spellStart"/>
      <w:r w:rsidRPr="00DB760B">
        <w:t>ertugliflozin</w:t>
      </w:r>
      <w:proofErr w:type="spellEnd"/>
      <w:r w:rsidRPr="00DB760B">
        <w:t xml:space="preserve"> 5 mg-based triple therapy or </w:t>
      </w:r>
      <w:proofErr w:type="spellStart"/>
      <w:r w:rsidRPr="00DB760B">
        <w:t>ertugliflozin</w:t>
      </w:r>
      <w:proofErr w:type="spellEnd"/>
      <w:r w:rsidRPr="00DB760B">
        <w:t xml:space="preserve"> 15 mg-based triple therapy.</w:t>
      </w:r>
    </w:p>
    <w:p w:rsidR="00412C77" w:rsidRPr="00DB760B" w:rsidRDefault="00412C77" w:rsidP="00050ADD">
      <w:pPr>
        <w:pStyle w:val="ListParagraph"/>
        <w:widowControl/>
        <w:numPr>
          <w:ilvl w:val="1"/>
          <w:numId w:val="1"/>
        </w:numPr>
      </w:pPr>
      <w:r w:rsidRPr="00DB760B">
        <w:t xml:space="preserve">The </w:t>
      </w:r>
      <w:r w:rsidR="006504C3" w:rsidRPr="00DB760B">
        <w:t xml:space="preserve">PBAC considered </w:t>
      </w:r>
      <w:r w:rsidRPr="00DB760B">
        <w:t xml:space="preserve">that all clinical claims for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triple therapies administered as individual agents also applied for regimens comprising of the </w:t>
      </w:r>
      <w:proofErr w:type="spellStart"/>
      <w:r w:rsidRPr="00DB760B">
        <w:t>ertugliflozin</w:t>
      </w:r>
      <w:proofErr w:type="spellEnd"/>
      <w:r w:rsidRPr="00DB760B">
        <w:t xml:space="preserve"> with </w:t>
      </w:r>
      <w:proofErr w:type="spellStart"/>
      <w:r w:rsidRPr="00DB760B">
        <w:t>sitagliptin</w:t>
      </w:r>
      <w:proofErr w:type="spellEnd"/>
      <w:r w:rsidRPr="00DB760B">
        <w:t xml:space="preserve"> FDC products on the basis of bioequivalence. The TGAs First Round C</w:t>
      </w:r>
      <w:r w:rsidR="001B3286">
        <w:t xml:space="preserve">linical Evaluation Report </w:t>
      </w:r>
      <w:r w:rsidRPr="00DB760B">
        <w:t>stated that:</w:t>
      </w:r>
    </w:p>
    <w:p w:rsidR="00412C77" w:rsidRDefault="00412C77" w:rsidP="00890E6C">
      <w:pPr>
        <w:pStyle w:val="ListParagraph"/>
        <w:widowControl/>
        <w:ind w:left="862"/>
      </w:pPr>
      <w:r w:rsidRPr="00DB760B">
        <w:t xml:space="preserve">“Each of the proposed dose strengths of the </w:t>
      </w:r>
      <w:proofErr w:type="spellStart"/>
      <w:r w:rsidRPr="00DB760B">
        <w:t>ertugliflozin</w:t>
      </w:r>
      <w:proofErr w:type="spellEnd"/>
      <w:r w:rsidRPr="00DB760B">
        <w:t xml:space="preserve"> with </w:t>
      </w:r>
      <w:proofErr w:type="spellStart"/>
      <w:r w:rsidRPr="00DB760B">
        <w:t>sitagliptin</w:t>
      </w:r>
      <w:proofErr w:type="spellEnd"/>
      <w:r w:rsidRPr="00DB760B">
        <w:t xml:space="preserve"> FDC tablets were bioequivalent with their matching dose of the free combination of </w:t>
      </w:r>
      <w:proofErr w:type="spellStart"/>
      <w:r w:rsidRPr="00DB760B">
        <w:t>ertugliflozin</w:t>
      </w:r>
      <w:proofErr w:type="spellEnd"/>
      <w:r w:rsidRPr="00DB760B">
        <w:t xml:space="preserve"> and </w:t>
      </w:r>
      <w:proofErr w:type="spellStart"/>
      <w:r w:rsidRPr="00DB760B">
        <w:t>sitagliptin</w:t>
      </w:r>
      <w:proofErr w:type="spellEnd"/>
      <w:r w:rsidRPr="00DB760B">
        <w:t xml:space="preserve"> tablets given in combination.”</w:t>
      </w:r>
    </w:p>
    <w:p w:rsidR="00E464AC" w:rsidRPr="00DB760B" w:rsidRDefault="00E464AC" w:rsidP="001B3286">
      <w:pPr>
        <w:pStyle w:val="Heading2"/>
        <w:spacing w:before="240" w:after="120"/>
      </w:pPr>
      <w:bookmarkStart w:id="8" w:name="_Toc514244713"/>
      <w:r w:rsidRPr="00DB760B">
        <w:t>Comparative harms</w:t>
      </w:r>
      <w:bookmarkEnd w:id="8"/>
    </w:p>
    <w:p w:rsidR="00B60939" w:rsidRPr="00DB760B" w:rsidRDefault="00D04A5B" w:rsidP="007B3E37">
      <w:pPr>
        <w:pStyle w:val="ListParagraph"/>
        <w:widowControl/>
        <w:numPr>
          <w:ilvl w:val="1"/>
          <w:numId w:val="1"/>
        </w:numPr>
      </w:pPr>
      <w:r w:rsidRPr="00DB760B">
        <w:t>Safety data was reported in all trials, with the e</w:t>
      </w:r>
      <w:r w:rsidR="001B1FAE" w:rsidRPr="00DB760B">
        <w:t xml:space="preserve">xception of </w:t>
      </w:r>
      <w:proofErr w:type="spellStart"/>
      <w:r w:rsidR="001B1FAE" w:rsidRPr="00DB760B">
        <w:t>Jabbour</w:t>
      </w:r>
      <w:proofErr w:type="spellEnd"/>
      <w:r w:rsidR="001B1FAE" w:rsidRPr="00DB760B">
        <w:t xml:space="preserve"> 2014, at 24 or </w:t>
      </w:r>
      <w:r w:rsidRPr="00DB760B">
        <w:t>26 weeks. The submission presented three adverse events of interest, the incidence of hypoglycaemic events, urinary tract infections and genital infections.</w:t>
      </w:r>
    </w:p>
    <w:p w:rsidR="00D04A5B" w:rsidRPr="00DB760B" w:rsidRDefault="005F1E68" w:rsidP="00376223">
      <w:pPr>
        <w:keepNext/>
        <w:keepLines/>
        <w:rPr>
          <w:rStyle w:val="CommentReference"/>
        </w:rPr>
      </w:pPr>
      <w:bookmarkStart w:id="9" w:name="_Toc511051531"/>
      <w:bookmarkStart w:id="10" w:name="_Toc511633733"/>
      <w:r w:rsidRPr="00DB760B">
        <w:rPr>
          <w:rStyle w:val="CommentReference"/>
        </w:rPr>
        <w:lastRenderedPageBreak/>
        <w:t>Table 5</w:t>
      </w:r>
      <w:r w:rsidR="00D04A5B" w:rsidRPr="00DB760B">
        <w:rPr>
          <w:rStyle w:val="CommentReference"/>
        </w:rPr>
        <w:t>:  Summary of key adverse events</w:t>
      </w:r>
      <w:r w:rsidR="001B1FAE" w:rsidRPr="00DB760B">
        <w:rPr>
          <w:rStyle w:val="CommentReference"/>
        </w:rPr>
        <w:t xml:space="preserve"> in the randomised trials at 24 or </w:t>
      </w:r>
      <w:r w:rsidR="00D04A5B" w:rsidRPr="00DB760B">
        <w:rPr>
          <w:rStyle w:val="CommentReference"/>
        </w:rPr>
        <w:t>26 weeks</w:t>
      </w:r>
      <w:bookmarkEnd w:id="9"/>
      <w:bookmarkEnd w:id="10"/>
      <w:r w:rsidR="00D04A5B" w:rsidRPr="00DB760B">
        <w:rPr>
          <w:rStyle w:val="CommentReference"/>
        </w:rPr>
        <w:t xml:space="preserve"> </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3"/>
        <w:gridCol w:w="570"/>
        <w:gridCol w:w="566"/>
        <w:gridCol w:w="569"/>
        <w:gridCol w:w="566"/>
        <w:gridCol w:w="567"/>
        <w:gridCol w:w="567"/>
        <w:gridCol w:w="567"/>
        <w:gridCol w:w="709"/>
        <w:gridCol w:w="571"/>
        <w:gridCol w:w="569"/>
        <w:gridCol w:w="569"/>
        <w:gridCol w:w="569"/>
        <w:gridCol w:w="569"/>
        <w:gridCol w:w="562"/>
      </w:tblGrid>
      <w:tr w:rsidR="00F62D45" w:rsidRPr="00DB760B" w:rsidTr="00A210A2">
        <w:trPr>
          <w:cantSplit/>
        </w:trPr>
        <w:tc>
          <w:tcPr>
            <w:tcW w:w="551" w:type="pct"/>
            <w:vMerge w:val="restart"/>
            <w:tcMar>
              <w:left w:w="6" w:type="dxa"/>
              <w:right w:w="6" w:type="dxa"/>
            </w:tcMar>
            <w:vAlign w:val="center"/>
          </w:tcPr>
          <w:p w:rsidR="00D04A5B" w:rsidRPr="00DB760B" w:rsidRDefault="00D04A5B" w:rsidP="00376223">
            <w:pPr>
              <w:pStyle w:val="Tabletext"/>
              <w:keepNext/>
              <w:keepLines/>
              <w:rPr>
                <w:b/>
              </w:rPr>
            </w:pPr>
          </w:p>
        </w:tc>
        <w:tc>
          <w:tcPr>
            <w:tcW w:w="2574" w:type="pct"/>
            <w:gridSpan w:val="8"/>
            <w:tcMar>
              <w:left w:w="6" w:type="dxa"/>
              <w:right w:w="6" w:type="dxa"/>
            </w:tcMar>
            <w:vAlign w:val="center"/>
          </w:tcPr>
          <w:p w:rsidR="00D04A5B" w:rsidRPr="00DB760B" w:rsidRDefault="00D04A5B" w:rsidP="00376223">
            <w:pPr>
              <w:pStyle w:val="Tabletext"/>
              <w:keepNext/>
              <w:keepLines/>
              <w:jc w:val="center"/>
              <w:rPr>
                <w:b/>
              </w:rPr>
            </w:pPr>
            <w:r w:rsidRPr="00DB760B">
              <w:rPr>
                <w:b/>
              </w:rPr>
              <w:t>Primary analysis</w:t>
            </w:r>
          </w:p>
        </w:tc>
        <w:tc>
          <w:tcPr>
            <w:tcW w:w="1875" w:type="pct"/>
            <w:gridSpan w:val="6"/>
            <w:tcMar>
              <w:left w:w="6" w:type="dxa"/>
              <w:right w:w="6" w:type="dxa"/>
            </w:tcMar>
            <w:vAlign w:val="center"/>
          </w:tcPr>
          <w:p w:rsidR="00D04A5B" w:rsidRPr="00DB760B" w:rsidRDefault="00D04A5B" w:rsidP="00376223">
            <w:pPr>
              <w:pStyle w:val="Tabletext"/>
              <w:keepNext/>
              <w:keepLines/>
              <w:jc w:val="center"/>
              <w:rPr>
                <w:b/>
              </w:rPr>
            </w:pPr>
            <w:r w:rsidRPr="00DB760B">
              <w:rPr>
                <w:b/>
              </w:rPr>
              <w:t>Supportive analysis</w:t>
            </w:r>
          </w:p>
        </w:tc>
      </w:tr>
      <w:tr w:rsidR="00F62D45" w:rsidRPr="00DB760B" w:rsidTr="00A210A2">
        <w:trPr>
          <w:cantSplit/>
        </w:trPr>
        <w:tc>
          <w:tcPr>
            <w:tcW w:w="551" w:type="pct"/>
            <w:vMerge/>
            <w:tcMar>
              <w:left w:w="6" w:type="dxa"/>
              <w:right w:w="6" w:type="dxa"/>
            </w:tcMar>
            <w:vAlign w:val="center"/>
          </w:tcPr>
          <w:p w:rsidR="00D04A5B" w:rsidRPr="00DB760B" w:rsidRDefault="00D04A5B" w:rsidP="00376223">
            <w:pPr>
              <w:pStyle w:val="Tabletext"/>
              <w:keepNext/>
              <w:keepLines/>
              <w:rPr>
                <w:b/>
              </w:rPr>
            </w:pPr>
          </w:p>
        </w:tc>
        <w:tc>
          <w:tcPr>
            <w:tcW w:w="2574" w:type="pct"/>
            <w:gridSpan w:val="8"/>
            <w:tcMar>
              <w:left w:w="6" w:type="dxa"/>
              <w:right w:w="6" w:type="dxa"/>
            </w:tcMar>
            <w:vAlign w:val="center"/>
          </w:tcPr>
          <w:p w:rsidR="00D04A5B" w:rsidRPr="00DB760B" w:rsidRDefault="00D04A5B" w:rsidP="00376223">
            <w:pPr>
              <w:pStyle w:val="Tabletext"/>
              <w:keepNext/>
              <w:keepLines/>
              <w:jc w:val="center"/>
              <w:rPr>
                <w:b/>
              </w:rPr>
            </w:pPr>
            <w:r w:rsidRPr="00DB760B">
              <w:rPr>
                <w:b/>
              </w:rPr>
              <w:t xml:space="preserve">[SGLT2] </w:t>
            </w:r>
            <w:r w:rsidR="005C3302" w:rsidRPr="00DB760B">
              <w:rPr>
                <w:b/>
              </w:rPr>
              <w:t xml:space="preserve">or [PBO] </w:t>
            </w:r>
            <w:r w:rsidRPr="00DB760B">
              <w:rPr>
                <w:b/>
              </w:rPr>
              <w:t>+ DPP4 + MF</w:t>
            </w:r>
          </w:p>
        </w:tc>
        <w:tc>
          <w:tcPr>
            <w:tcW w:w="1875" w:type="pct"/>
            <w:gridSpan w:val="6"/>
            <w:tcMar>
              <w:left w:w="6" w:type="dxa"/>
              <w:right w:w="6" w:type="dxa"/>
            </w:tcMar>
            <w:vAlign w:val="center"/>
          </w:tcPr>
          <w:p w:rsidR="00D04A5B" w:rsidRPr="00DB760B" w:rsidRDefault="00D04A5B" w:rsidP="00376223">
            <w:pPr>
              <w:pStyle w:val="Tabletext"/>
              <w:keepNext/>
              <w:keepLines/>
              <w:jc w:val="center"/>
              <w:rPr>
                <w:b/>
              </w:rPr>
            </w:pPr>
            <w:r w:rsidRPr="00DB760B">
              <w:rPr>
                <w:b/>
              </w:rPr>
              <w:t>[DPP4]</w:t>
            </w:r>
            <w:r w:rsidR="005C3302" w:rsidRPr="00DB760B">
              <w:rPr>
                <w:b/>
              </w:rPr>
              <w:t xml:space="preserve"> or [PBO]</w:t>
            </w:r>
            <w:r w:rsidRPr="00DB760B">
              <w:rPr>
                <w:b/>
              </w:rPr>
              <w:t xml:space="preserve"> + SGLT2 + MF</w:t>
            </w:r>
          </w:p>
        </w:tc>
      </w:tr>
      <w:tr w:rsidR="00F62D45" w:rsidRPr="00DB760B" w:rsidTr="00A210A2">
        <w:trPr>
          <w:cantSplit/>
        </w:trPr>
        <w:tc>
          <w:tcPr>
            <w:tcW w:w="551" w:type="pct"/>
            <w:vMerge/>
            <w:tcMar>
              <w:left w:w="6" w:type="dxa"/>
              <w:right w:w="6" w:type="dxa"/>
            </w:tcMar>
            <w:vAlign w:val="center"/>
          </w:tcPr>
          <w:p w:rsidR="00D04A5B" w:rsidRPr="00DB760B" w:rsidRDefault="00D04A5B" w:rsidP="00376223">
            <w:pPr>
              <w:pStyle w:val="Tabletext"/>
              <w:keepNext/>
              <w:keepLines/>
              <w:rPr>
                <w:b/>
              </w:rPr>
            </w:pPr>
          </w:p>
        </w:tc>
        <w:tc>
          <w:tcPr>
            <w:tcW w:w="937" w:type="pct"/>
            <w:gridSpan w:val="3"/>
            <w:tcMar>
              <w:left w:w="6" w:type="dxa"/>
              <w:right w:w="6" w:type="dxa"/>
            </w:tcMar>
            <w:vAlign w:val="center"/>
          </w:tcPr>
          <w:p w:rsidR="00D04A5B" w:rsidRPr="00DB760B" w:rsidRDefault="00D04A5B" w:rsidP="00376223">
            <w:pPr>
              <w:pStyle w:val="Tabletext"/>
              <w:keepNext/>
              <w:keepLines/>
              <w:jc w:val="center"/>
              <w:rPr>
                <w:b/>
              </w:rPr>
            </w:pPr>
            <w:r w:rsidRPr="00DB760B">
              <w:rPr>
                <w:b/>
              </w:rPr>
              <w:t>P006</w:t>
            </w:r>
          </w:p>
        </w:tc>
        <w:tc>
          <w:tcPr>
            <w:tcW w:w="623" w:type="pct"/>
            <w:gridSpan w:val="2"/>
            <w:tcMar>
              <w:left w:w="6" w:type="dxa"/>
              <w:right w:w="6" w:type="dxa"/>
            </w:tcMar>
            <w:vAlign w:val="center"/>
          </w:tcPr>
          <w:p w:rsidR="00D04A5B" w:rsidRPr="00DB760B" w:rsidRDefault="00D04A5B" w:rsidP="00376223">
            <w:pPr>
              <w:pStyle w:val="Tabletext"/>
              <w:keepNext/>
              <w:keepLines/>
              <w:jc w:val="center"/>
              <w:rPr>
                <w:b/>
              </w:rPr>
            </w:pPr>
            <w:r w:rsidRPr="00DB760B">
              <w:rPr>
                <w:b/>
              </w:rPr>
              <w:t>Mathieu 2015</w:t>
            </w:r>
          </w:p>
        </w:tc>
        <w:tc>
          <w:tcPr>
            <w:tcW w:w="1014" w:type="pct"/>
            <w:gridSpan w:val="3"/>
            <w:tcMar>
              <w:left w:w="6" w:type="dxa"/>
              <w:right w:w="6" w:type="dxa"/>
            </w:tcMar>
            <w:vAlign w:val="center"/>
          </w:tcPr>
          <w:p w:rsidR="00D04A5B" w:rsidRPr="00DB760B" w:rsidRDefault="00D04A5B" w:rsidP="00376223">
            <w:pPr>
              <w:pStyle w:val="Tabletext"/>
              <w:keepNext/>
              <w:keepLines/>
              <w:jc w:val="center"/>
              <w:rPr>
                <w:b/>
              </w:rPr>
            </w:pPr>
            <w:proofErr w:type="spellStart"/>
            <w:r w:rsidRPr="00DB760B">
              <w:rPr>
                <w:b/>
              </w:rPr>
              <w:t>Softeland</w:t>
            </w:r>
            <w:proofErr w:type="spellEnd"/>
            <w:r w:rsidRPr="00DB760B">
              <w:rPr>
                <w:b/>
              </w:rPr>
              <w:t xml:space="preserve"> 2017</w:t>
            </w:r>
          </w:p>
        </w:tc>
        <w:tc>
          <w:tcPr>
            <w:tcW w:w="627" w:type="pct"/>
            <w:gridSpan w:val="2"/>
            <w:tcMar>
              <w:left w:w="6" w:type="dxa"/>
              <w:right w:w="6" w:type="dxa"/>
            </w:tcMar>
            <w:vAlign w:val="center"/>
          </w:tcPr>
          <w:p w:rsidR="00D04A5B" w:rsidRPr="00DB760B" w:rsidRDefault="00D04A5B" w:rsidP="00376223">
            <w:pPr>
              <w:pStyle w:val="Tabletext"/>
              <w:keepNext/>
              <w:keepLines/>
              <w:jc w:val="center"/>
              <w:rPr>
                <w:b/>
              </w:rPr>
            </w:pPr>
            <w:proofErr w:type="spellStart"/>
            <w:r w:rsidRPr="00DB760B">
              <w:rPr>
                <w:b/>
              </w:rPr>
              <w:t>Matthaei</w:t>
            </w:r>
            <w:proofErr w:type="spellEnd"/>
            <w:r w:rsidRPr="00DB760B">
              <w:rPr>
                <w:b/>
              </w:rPr>
              <w:t xml:space="preserve"> 2015</w:t>
            </w:r>
          </w:p>
        </w:tc>
        <w:tc>
          <w:tcPr>
            <w:tcW w:w="1247" w:type="pct"/>
            <w:gridSpan w:val="4"/>
            <w:tcMar>
              <w:left w:w="6" w:type="dxa"/>
              <w:right w:w="6" w:type="dxa"/>
            </w:tcMar>
            <w:vAlign w:val="center"/>
          </w:tcPr>
          <w:p w:rsidR="00D04A5B" w:rsidRPr="00DB760B" w:rsidRDefault="00D04A5B" w:rsidP="00376223">
            <w:pPr>
              <w:pStyle w:val="Tabletext"/>
              <w:keepNext/>
              <w:keepLines/>
              <w:jc w:val="center"/>
              <w:rPr>
                <w:b/>
              </w:rPr>
            </w:pPr>
            <w:proofErr w:type="spellStart"/>
            <w:r w:rsidRPr="00DB760B">
              <w:rPr>
                <w:b/>
              </w:rPr>
              <w:t>Tinahones</w:t>
            </w:r>
            <w:proofErr w:type="spellEnd"/>
            <w:r w:rsidRPr="00DB760B">
              <w:rPr>
                <w:b/>
              </w:rPr>
              <w:t xml:space="preserve"> 2016</w:t>
            </w:r>
          </w:p>
        </w:tc>
      </w:tr>
      <w:tr w:rsidR="00F62D45" w:rsidRPr="00DB760B" w:rsidTr="00A210A2">
        <w:trPr>
          <w:cantSplit/>
        </w:trPr>
        <w:tc>
          <w:tcPr>
            <w:tcW w:w="551" w:type="pct"/>
            <w:vMerge/>
            <w:tcMar>
              <w:left w:w="6" w:type="dxa"/>
              <w:right w:w="6" w:type="dxa"/>
            </w:tcMar>
          </w:tcPr>
          <w:p w:rsidR="00D04A5B" w:rsidRPr="00DB760B" w:rsidRDefault="00D04A5B" w:rsidP="00376223">
            <w:pPr>
              <w:pStyle w:val="Tabletext"/>
              <w:keepNext/>
              <w:keepLines/>
              <w:rPr>
                <w:b/>
              </w:rPr>
            </w:pPr>
          </w:p>
        </w:tc>
        <w:tc>
          <w:tcPr>
            <w:tcW w:w="313" w:type="pct"/>
            <w:tcMar>
              <w:left w:w="6" w:type="dxa"/>
              <w:right w:w="6" w:type="dxa"/>
            </w:tcMar>
          </w:tcPr>
          <w:p w:rsidR="00D04A5B" w:rsidRPr="00DB760B" w:rsidRDefault="00D04A5B" w:rsidP="00376223">
            <w:pPr>
              <w:pStyle w:val="Tabletext"/>
              <w:keepNext/>
              <w:keepLines/>
              <w:jc w:val="center"/>
              <w:rPr>
                <w:b/>
              </w:rPr>
            </w:pPr>
            <w:r w:rsidRPr="00DB760B">
              <w:rPr>
                <w:b/>
              </w:rPr>
              <w:t>ERTU 5 mg</w:t>
            </w:r>
          </w:p>
        </w:tc>
        <w:tc>
          <w:tcPr>
            <w:tcW w:w="311" w:type="pct"/>
            <w:tcMar>
              <w:left w:w="6" w:type="dxa"/>
              <w:right w:w="6" w:type="dxa"/>
            </w:tcMar>
          </w:tcPr>
          <w:p w:rsidR="00D04A5B" w:rsidRPr="00DB760B" w:rsidRDefault="00D04A5B" w:rsidP="00376223">
            <w:pPr>
              <w:pStyle w:val="Tabletext"/>
              <w:keepNext/>
              <w:keepLines/>
              <w:jc w:val="center"/>
              <w:rPr>
                <w:b/>
              </w:rPr>
            </w:pPr>
            <w:r w:rsidRPr="00DB760B">
              <w:rPr>
                <w:b/>
              </w:rPr>
              <w:t>ERTU 15 mg</w:t>
            </w:r>
          </w:p>
        </w:tc>
        <w:tc>
          <w:tcPr>
            <w:tcW w:w="313" w:type="pct"/>
            <w:tcMar>
              <w:left w:w="6" w:type="dxa"/>
              <w:right w:w="6" w:type="dxa"/>
            </w:tcMar>
          </w:tcPr>
          <w:p w:rsidR="00D04A5B" w:rsidRPr="00DB760B" w:rsidRDefault="00D04A5B" w:rsidP="00376223">
            <w:pPr>
              <w:pStyle w:val="Tabletext"/>
              <w:keepNext/>
              <w:keepLines/>
              <w:jc w:val="center"/>
              <w:rPr>
                <w:b/>
              </w:rPr>
            </w:pPr>
            <w:r w:rsidRPr="00DB760B">
              <w:rPr>
                <w:b/>
              </w:rPr>
              <w:t>PBO</w:t>
            </w:r>
          </w:p>
        </w:tc>
        <w:tc>
          <w:tcPr>
            <w:tcW w:w="311" w:type="pct"/>
            <w:tcMar>
              <w:left w:w="6" w:type="dxa"/>
              <w:right w:w="6" w:type="dxa"/>
            </w:tcMar>
          </w:tcPr>
          <w:p w:rsidR="00D04A5B" w:rsidRPr="00DB760B" w:rsidRDefault="00D04A5B" w:rsidP="00376223">
            <w:pPr>
              <w:pStyle w:val="Tabletext"/>
              <w:keepNext/>
              <w:keepLines/>
              <w:jc w:val="center"/>
              <w:rPr>
                <w:b/>
              </w:rPr>
            </w:pPr>
            <w:r w:rsidRPr="00DB760B">
              <w:rPr>
                <w:b/>
              </w:rPr>
              <w:t>DAPA</w:t>
            </w:r>
          </w:p>
        </w:tc>
        <w:tc>
          <w:tcPr>
            <w:tcW w:w="312" w:type="pct"/>
            <w:tcMar>
              <w:left w:w="6" w:type="dxa"/>
              <w:right w:w="6" w:type="dxa"/>
            </w:tcMar>
          </w:tcPr>
          <w:p w:rsidR="00D04A5B" w:rsidRPr="00DB760B" w:rsidRDefault="00D04A5B" w:rsidP="00376223">
            <w:pPr>
              <w:pStyle w:val="Tabletext"/>
              <w:keepNext/>
              <w:keepLines/>
              <w:jc w:val="center"/>
              <w:rPr>
                <w:b/>
              </w:rPr>
            </w:pPr>
            <w:r w:rsidRPr="00DB760B">
              <w:rPr>
                <w:b/>
              </w:rPr>
              <w:t>PBO</w:t>
            </w:r>
          </w:p>
        </w:tc>
        <w:tc>
          <w:tcPr>
            <w:tcW w:w="312" w:type="pct"/>
            <w:tcMar>
              <w:left w:w="6" w:type="dxa"/>
              <w:right w:w="6" w:type="dxa"/>
            </w:tcMar>
          </w:tcPr>
          <w:p w:rsidR="00D04A5B" w:rsidRPr="00DB760B" w:rsidRDefault="00D04A5B" w:rsidP="00376223">
            <w:pPr>
              <w:pStyle w:val="Tabletext"/>
              <w:keepNext/>
              <w:keepLines/>
              <w:jc w:val="center"/>
              <w:rPr>
                <w:b/>
              </w:rPr>
            </w:pPr>
            <w:r w:rsidRPr="00DB760B">
              <w:rPr>
                <w:b/>
              </w:rPr>
              <w:t>EMPA 10 mg</w:t>
            </w:r>
          </w:p>
        </w:tc>
        <w:tc>
          <w:tcPr>
            <w:tcW w:w="312" w:type="pct"/>
            <w:tcMar>
              <w:left w:w="6" w:type="dxa"/>
              <w:right w:w="6" w:type="dxa"/>
            </w:tcMar>
          </w:tcPr>
          <w:p w:rsidR="00D04A5B" w:rsidRPr="00DB760B" w:rsidRDefault="00D04A5B" w:rsidP="00376223">
            <w:pPr>
              <w:pStyle w:val="Tabletext"/>
              <w:keepNext/>
              <w:keepLines/>
              <w:jc w:val="center"/>
              <w:rPr>
                <w:b/>
              </w:rPr>
            </w:pPr>
            <w:r w:rsidRPr="00DB760B">
              <w:rPr>
                <w:b/>
              </w:rPr>
              <w:t>EMPA 25 mg</w:t>
            </w:r>
          </w:p>
        </w:tc>
        <w:tc>
          <w:tcPr>
            <w:tcW w:w="390" w:type="pct"/>
            <w:tcMar>
              <w:left w:w="6" w:type="dxa"/>
              <w:right w:w="6" w:type="dxa"/>
            </w:tcMar>
          </w:tcPr>
          <w:p w:rsidR="00D04A5B" w:rsidRPr="00DB760B" w:rsidRDefault="00D04A5B" w:rsidP="00376223">
            <w:pPr>
              <w:pStyle w:val="Tabletext"/>
              <w:keepNext/>
              <w:keepLines/>
              <w:jc w:val="center"/>
              <w:rPr>
                <w:b/>
              </w:rPr>
            </w:pPr>
            <w:r w:rsidRPr="00DB760B">
              <w:rPr>
                <w:b/>
              </w:rPr>
              <w:t>PBO</w:t>
            </w:r>
          </w:p>
        </w:tc>
        <w:tc>
          <w:tcPr>
            <w:tcW w:w="314" w:type="pct"/>
            <w:tcMar>
              <w:left w:w="6" w:type="dxa"/>
              <w:right w:w="6" w:type="dxa"/>
            </w:tcMar>
          </w:tcPr>
          <w:p w:rsidR="00D04A5B" w:rsidRPr="00DB760B" w:rsidRDefault="00D04A5B" w:rsidP="00376223">
            <w:pPr>
              <w:pStyle w:val="Tabletext"/>
              <w:keepNext/>
              <w:keepLines/>
              <w:jc w:val="center"/>
              <w:rPr>
                <w:b/>
              </w:rPr>
            </w:pPr>
            <w:r w:rsidRPr="00DB760B">
              <w:rPr>
                <w:b/>
              </w:rPr>
              <w:t>SAXA</w:t>
            </w:r>
          </w:p>
        </w:tc>
        <w:tc>
          <w:tcPr>
            <w:tcW w:w="313" w:type="pct"/>
            <w:tcMar>
              <w:left w:w="6" w:type="dxa"/>
              <w:right w:w="6" w:type="dxa"/>
            </w:tcMar>
          </w:tcPr>
          <w:p w:rsidR="00D04A5B" w:rsidRPr="00DB760B" w:rsidRDefault="00D04A5B" w:rsidP="00376223">
            <w:pPr>
              <w:pStyle w:val="Tabletext"/>
              <w:keepNext/>
              <w:keepLines/>
              <w:jc w:val="center"/>
              <w:rPr>
                <w:b/>
              </w:rPr>
            </w:pPr>
            <w:r w:rsidRPr="00DB760B">
              <w:rPr>
                <w:b/>
              </w:rPr>
              <w:t>PBO</w:t>
            </w:r>
          </w:p>
        </w:tc>
        <w:tc>
          <w:tcPr>
            <w:tcW w:w="313" w:type="pct"/>
            <w:tcMar>
              <w:left w:w="6" w:type="dxa"/>
              <w:right w:w="6" w:type="dxa"/>
            </w:tcMar>
          </w:tcPr>
          <w:p w:rsidR="00D04A5B" w:rsidRPr="00DB760B" w:rsidRDefault="00D04A5B" w:rsidP="00376223">
            <w:pPr>
              <w:pStyle w:val="Tabletext"/>
              <w:keepNext/>
              <w:keepLines/>
              <w:jc w:val="center"/>
              <w:rPr>
                <w:b/>
              </w:rPr>
            </w:pPr>
            <w:r w:rsidRPr="00DB760B">
              <w:rPr>
                <w:b/>
              </w:rPr>
              <w:t>LINA + EMPA 10 mg</w:t>
            </w:r>
          </w:p>
        </w:tc>
        <w:tc>
          <w:tcPr>
            <w:tcW w:w="313" w:type="pct"/>
            <w:tcMar>
              <w:left w:w="6" w:type="dxa"/>
              <w:right w:w="6" w:type="dxa"/>
            </w:tcMar>
          </w:tcPr>
          <w:p w:rsidR="00D04A5B" w:rsidRPr="00DB760B" w:rsidRDefault="00D04A5B" w:rsidP="00376223">
            <w:pPr>
              <w:pStyle w:val="Tabletext"/>
              <w:keepNext/>
              <w:keepLines/>
              <w:jc w:val="center"/>
              <w:rPr>
                <w:b/>
              </w:rPr>
            </w:pPr>
            <w:r w:rsidRPr="00DB760B">
              <w:rPr>
                <w:b/>
              </w:rPr>
              <w:t>PBO + EMPA 10 mg</w:t>
            </w:r>
          </w:p>
        </w:tc>
        <w:tc>
          <w:tcPr>
            <w:tcW w:w="313" w:type="pct"/>
            <w:tcMar>
              <w:left w:w="6" w:type="dxa"/>
              <w:right w:w="6" w:type="dxa"/>
            </w:tcMar>
          </w:tcPr>
          <w:p w:rsidR="00D04A5B" w:rsidRPr="00DB760B" w:rsidRDefault="00D04A5B" w:rsidP="00376223">
            <w:pPr>
              <w:pStyle w:val="Tabletext"/>
              <w:keepNext/>
              <w:keepLines/>
              <w:jc w:val="center"/>
              <w:rPr>
                <w:b/>
              </w:rPr>
            </w:pPr>
            <w:r w:rsidRPr="00DB760B">
              <w:rPr>
                <w:b/>
              </w:rPr>
              <w:t>LINA + EMPA 25 mg</w:t>
            </w:r>
          </w:p>
        </w:tc>
        <w:tc>
          <w:tcPr>
            <w:tcW w:w="308" w:type="pct"/>
            <w:tcMar>
              <w:left w:w="6" w:type="dxa"/>
              <w:right w:w="6" w:type="dxa"/>
            </w:tcMar>
          </w:tcPr>
          <w:p w:rsidR="00D04A5B" w:rsidRPr="00DB760B" w:rsidRDefault="00D04A5B" w:rsidP="00376223">
            <w:pPr>
              <w:pStyle w:val="Tabletext"/>
              <w:keepNext/>
              <w:keepLines/>
              <w:jc w:val="center"/>
              <w:rPr>
                <w:b/>
              </w:rPr>
            </w:pPr>
            <w:r w:rsidRPr="00DB760B">
              <w:rPr>
                <w:b/>
              </w:rPr>
              <w:t>PBO + EMPA 25 mg</w:t>
            </w:r>
          </w:p>
        </w:tc>
      </w:tr>
      <w:tr w:rsidR="00F62D45" w:rsidRPr="00DB760B" w:rsidTr="00A210A2">
        <w:trPr>
          <w:cantSplit/>
        </w:trPr>
        <w:tc>
          <w:tcPr>
            <w:tcW w:w="551" w:type="pct"/>
            <w:tcMar>
              <w:left w:w="6" w:type="dxa"/>
              <w:right w:w="6" w:type="dxa"/>
            </w:tcMar>
          </w:tcPr>
          <w:p w:rsidR="00D04A5B" w:rsidRPr="00DB760B" w:rsidRDefault="00D04A5B" w:rsidP="00376223">
            <w:pPr>
              <w:pStyle w:val="Tabletext"/>
              <w:keepNext/>
              <w:keepLines/>
            </w:pPr>
            <w:r w:rsidRPr="00DB760B">
              <w:t>N</w:t>
            </w:r>
          </w:p>
        </w:tc>
        <w:tc>
          <w:tcPr>
            <w:tcW w:w="313" w:type="pct"/>
            <w:tcMar>
              <w:left w:w="6" w:type="dxa"/>
              <w:right w:w="6" w:type="dxa"/>
            </w:tcMar>
          </w:tcPr>
          <w:p w:rsidR="00D04A5B" w:rsidRPr="00DB760B" w:rsidRDefault="00D04A5B" w:rsidP="00376223">
            <w:pPr>
              <w:pStyle w:val="Tabletext"/>
              <w:keepNext/>
              <w:keepLines/>
              <w:jc w:val="center"/>
            </w:pPr>
            <w:r w:rsidRPr="00DB760B">
              <w:t>156</w:t>
            </w:r>
          </w:p>
        </w:tc>
        <w:tc>
          <w:tcPr>
            <w:tcW w:w="311" w:type="pct"/>
            <w:tcMar>
              <w:left w:w="6" w:type="dxa"/>
              <w:right w:w="6" w:type="dxa"/>
            </w:tcMar>
          </w:tcPr>
          <w:p w:rsidR="00D04A5B" w:rsidRPr="00DB760B" w:rsidRDefault="00D04A5B" w:rsidP="00376223">
            <w:pPr>
              <w:pStyle w:val="Tabletext"/>
              <w:keepNext/>
              <w:keepLines/>
              <w:jc w:val="center"/>
            </w:pPr>
            <w:r w:rsidRPr="00DB760B">
              <w:t>153</w:t>
            </w:r>
          </w:p>
        </w:tc>
        <w:tc>
          <w:tcPr>
            <w:tcW w:w="313" w:type="pct"/>
            <w:tcMar>
              <w:left w:w="6" w:type="dxa"/>
              <w:right w:w="6" w:type="dxa"/>
            </w:tcMar>
          </w:tcPr>
          <w:p w:rsidR="00D04A5B" w:rsidRPr="00DB760B" w:rsidRDefault="00D04A5B" w:rsidP="00376223">
            <w:pPr>
              <w:pStyle w:val="Tabletext"/>
              <w:keepNext/>
              <w:keepLines/>
              <w:jc w:val="center"/>
            </w:pPr>
            <w:r w:rsidRPr="00DB760B">
              <w:t>153</w:t>
            </w:r>
          </w:p>
        </w:tc>
        <w:tc>
          <w:tcPr>
            <w:tcW w:w="311" w:type="pct"/>
            <w:tcMar>
              <w:left w:w="6" w:type="dxa"/>
              <w:right w:w="6" w:type="dxa"/>
            </w:tcMar>
          </w:tcPr>
          <w:p w:rsidR="00D04A5B" w:rsidRPr="00DB760B" w:rsidRDefault="00D04A5B" w:rsidP="00376223">
            <w:pPr>
              <w:pStyle w:val="Tabletext"/>
              <w:keepNext/>
              <w:keepLines/>
              <w:jc w:val="center"/>
            </w:pPr>
            <w:r w:rsidRPr="00DB760B">
              <w:t>160</w:t>
            </w:r>
          </w:p>
        </w:tc>
        <w:tc>
          <w:tcPr>
            <w:tcW w:w="312" w:type="pct"/>
            <w:tcMar>
              <w:left w:w="6" w:type="dxa"/>
              <w:right w:w="6" w:type="dxa"/>
            </w:tcMar>
          </w:tcPr>
          <w:p w:rsidR="00D04A5B" w:rsidRPr="00DB760B" w:rsidRDefault="00D04A5B" w:rsidP="00376223">
            <w:pPr>
              <w:pStyle w:val="Tabletext"/>
              <w:keepNext/>
              <w:keepLines/>
              <w:jc w:val="center"/>
            </w:pPr>
            <w:r w:rsidRPr="00DB760B">
              <w:t>160</w:t>
            </w:r>
          </w:p>
        </w:tc>
        <w:tc>
          <w:tcPr>
            <w:tcW w:w="312" w:type="pct"/>
            <w:tcMar>
              <w:left w:w="6" w:type="dxa"/>
              <w:right w:w="6" w:type="dxa"/>
            </w:tcMar>
          </w:tcPr>
          <w:p w:rsidR="00D04A5B" w:rsidRPr="00DB760B" w:rsidRDefault="00D04A5B" w:rsidP="00376223">
            <w:pPr>
              <w:pStyle w:val="Tabletext"/>
              <w:keepNext/>
              <w:keepLines/>
              <w:jc w:val="center"/>
            </w:pPr>
            <w:r w:rsidRPr="00DB760B">
              <w:t>112</w:t>
            </w:r>
          </w:p>
        </w:tc>
        <w:tc>
          <w:tcPr>
            <w:tcW w:w="312" w:type="pct"/>
            <w:tcMar>
              <w:left w:w="6" w:type="dxa"/>
              <w:right w:w="6" w:type="dxa"/>
            </w:tcMar>
          </w:tcPr>
          <w:p w:rsidR="00D04A5B" w:rsidRPr="00DB760B" w:rsidRDefault="00D04A5B" w:rsidP="00376223">
            <w:pPr>
              <w:pStyle w:val="Tabletext"/>
              <w:keepNext/>
              <w:keepLines/>
              <w:jc w:val="center"/>
            </w:pPr>
            <w:r w:rsidRPr="00DB760B">
              <w:t>110</w:t>
            </w:r>
          </w:p>
        </w:tc>
        <w:tc>
          <w:tcPr>
            <w:tcW w:w="390" w:type="pct"/>
            <w:tcMar>
              <w:left w:w="6" w:type="dxa"/>
              <w:right w:w="6" w:type="dxa"/>
            </w:tcMar>
          </w:tcPr>
          <w:p w:rsidR="00D04A5B" w:rsidRPr="00DB760B" w:rsidRDefault="00D04A5B" w:rsidP="00376223">
            <w:pPr>
              <w:pStyle w:val="Tabletext"/>
              <w:keepNext/>
              <w:keepLines/>
              <w:jc w:val="center"/>
            </w:pPr>
            <w:r w:rsidRPr="00DB760B">
              <w:t>110</w:t>
            </w:r>
          </w:p>
        </w:tc>
        <w:tc>
          <w:tcPr>
            <w:tcW w:w="314" w:type="pct"/>
            <w:tcMar>
              <w:left w:w="6" w:type="dxa"/>
              <w:right w:w="6" w:type="dxa"/>
            </w:tcMar>
          </w:tcPr>
          <w:p w:rsidR="00D04A5B" w:rsidRPr="00DB760B" w:rsidRDefault="00D04A5B" w:rsidP="00376223">
            <w:pPr>
              <w:pStyle w:val="Tabletext"/>
              <w:keepNext/>
              <w:keepLines/>
              <w:jc w:val="center"/>
            </w:pPr>
            <w:r w:rsidRPr="00DB760B">
              <w:t>153</w:t>
            </w:r>
          </w:p>
        </w:tc>
        <w:tc>
          <w:tcPr>
            <w:tcW w:w="313" w:type="pct"/>
            <w:tcMar>
              <w:left w:w="6" w:type="dxa"/>
              <w:right w:w="6" w:type="dxa"/>
            </w:tcMar>
          </w:tcPr>
          <w:p w:rsidR="00D04A5B" w:rsidRPr="00DB760B" w:rsidRDefault="00D04A5B" w:rsidP="00376223">
            <w:pPr>
              <w:pStyle w:val="Tabletext"/>
              <w:keepNext/>
              <w:keepLines/>
              <w:jc w:val="center"/>
            </w:pPr>
            <w:r w:rsidRPr="00DB760B">
              <w:t>162</w:t>
            </w:r>
          </w:p>
        </w:tc>
        <w:tc>
          <w:tcPr>
            <w:tcW w:w="313" w:type="pct"/>
            <w:tcMar>
              <w:left w:w="6" w:type="dxa"/>
              <w:right w:w="6" w:type="dxa"/>
            </w:tcMar>
          </w:tcPr>
          <w:p w:rsidR="00D04A5B" w:rsidRPr="00DB760B" w:rsidRDefault="00D04A5B" w:rsidP="00376223">
            <w:pPr>
              <w:pStyle w:val="Tabletext"/>
              <w:keepNext/>
              <w:keepLines/>
              <w:jc w:val="center"/>
            </w:pPr>
            <w:r w:rsidRPr="00DB760B">
              <w:t>126</w:t>
            </w:r>
          </w:p>
        </w:tc>
        <w:tc>
          <w:tcPr>
            <w:tcW w:w="313" w:type="pct"/>
            <w:tcMar>
              <w:left w:w="6" w:type="dxa"/>
              <w:right w:w="6" w:type="dxa"/>
            </w:tcMar>
          </w:tcPr>
          <w:p w:rsidR="00D04A5B" w:rsidRPr="00DB760B" w:rsidRDefault="00D04A5B" w:rsidP="00376223">
            <w:pPr>
              <w:pStyle w:val="Tabletext"/>
              <w:keepNext/>
              <w:keepLines/>
              <w:jc w:val="center"/>
            </w:pPr>
            <w:r w:rsidRPr="00DB760B">
              <w:t>128</w:t>
            </w:r>
          </w:p>
        </w:tc>
        <w:tc>
          <w:tcPr>
            <w:tcW w:w="313" w:type="pct"/>
            <w:tcMar>
              <w:left w:w="6" w:type="dxa"/>
              <w:right w:w="6" w:type="dxa"/>
            </w:tcMar>
          </w:tcPr>
          <w:p w:rsidR="00D04A5B" w:rsidRPr="00DB760B" w:rsidRDefault="00D04A5B" w:rsidP="00376223">
            <w:pPr>
              <w:pStyle w:val="Tabletext"/>
              <w:keepNext/>
              <w:keepLines/>
              <w:jc w:val="center"/>
            </w:pPr>
            <w:r w:rsidRPr="00DB760B">
              <w:t>112</w:t>
            </w:r>
          </w:p>
        </w:tc>
        <w:tc>
          <w:tcPr>
            <w:tcW w:w="308" w:type="pct"/>
            <w:tcMar>
              <w:left w:w="6" w:type="dxa"/>
              <w:right w:w="6" w:type="dxa"/>
            </w:tcMar>
          </w:tcPr>
          <w:p w:rsidR="00D04A5B" w:rsidRPr="00DB760B" w:rsidRDefault="00D04A5B" w:rsidP="00376223">
            <w:pPr>
              <w:pStyle w:val="Tabletext"/>
              <w:keepNext/>
              <w:keepLines/>
              <w:jc w:val="center"/>
            </w:pPr>
            <w:r w:rsidRPr="00DB760B">
              <w:t>112</w:t>
            </w:r>
          </w:p>
        </w:tc>
      </w:tr>
      <w:tr w:rsidR="00F62D45" w:rsidRPr="00DB760B" w:rsidTr="00A210A2">
        <w:trPr>
          <w:cantSplit/>
          <w:trHeight w:val="124"/>
        </w:trPr>
        <w:tc>
          <w:tcPr>
            <w:tcW w:w="551" w:type="pct"/>
            <w:tcMar>
              <w:left w:w="6" w:type="dxa"/>
              <w:right w:w="6" w:type="dxa"/>
            </w:tcMar>
            <w:vAlign w:val="center"/>
          </w:tcPr>
          <w:p w:rsidR="00D04A5B" w:rsidRPr="00DB760B" w:rsidRDefault="00D04A5B" w:rsidP="00376223">
            <w:pPr>
              <w:pStyle w:val="Tabletext"/>
              <w:keepNext/>
              <w:keepLines/>
            </w:pPr>
            <w:r w:rsidRPr="00DB760B">
              <w:t>Any AE</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65 (42%)</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67 (44%)</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74 (48%)</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90 (56%)</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94 (59%)</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62 (55%)</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57 (52%)</w:t>
            </w:r>
          </w:p>
        </w:tc>
        <w:tc>
          <w:tcPr>
            <w:tcW w:w="390" w:type="pct"/>
            <w:tcMar>
              <w:left w:w="6" w:type="dxa"/>
              <w:right w:w="6" w:type="dxa"/>
            </w:tcMar>
            <w:vAlign w:val="center"/>
          </w:tcPr>
          <w:p w:rsidR="00F62D45"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75</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(68%)</w:t>
            </w:r>
          </w:p>
        </w:tc>
        <w:tc>
          <w:tcPr>
            <w:tcW w:w="314"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73 (48%)</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70 (43%)</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61 (48%)</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71 (56%)</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59 (53%)</w:t>
            </w:r>
          </w:p>
        </w:tc>
        <w:tc>
          <w:tcPr>
            <w:tcW w:w="308"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66 (59%)</w:t>
            </w:r>
          </w:p>
        </w:tc>
      </w:tr>
      <w:tr w:rsidR="00F62D45" w:rsidRPr="00DB760B" w:rsidTr="00A210A2">
        <w:trPr>
          <w:cantSplit/>
        </w:trPr>
        <w:tc>
          <w:tcPr>
            <w:tcW w:w="551" w:type="pct"/>
            <w:tcMar>
              <w:left w:w="6" w:type="dxa"/>
              <w:right w:w="6" w:type="dxa"/>
            </w:tcMar>
            <w:vAlign w:val="center"/>
          </w:tcPr>
          <w:p w:rsidR="00D04A5B" w:rsidRPr="00DB760B" w:rsidRDefault="00D04A5B" w:rsidP="00376223">
            <w:pPr>
              <w:pStyle w:val="Tabletext"/>
              <w:keepNext/>
              <w:keepLines/>
            </w:pPr>
            <w:r w:rsidRPr="00DB760B">
              <w:t>SAE</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 (5%)</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(2%)</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 (3%)</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 (3%)</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(2%)</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 (5%)</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 (4%)</w:t>
            </w:r>
          </w:p>
        </w:tc>
        <w:tc>
          <w:tcPr>
            <w:tcW w:w="390" w:type="pct"/>
            <w:tcMar>
              <w:left w:w="0"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10 (9%)</w:t>
            </w:r>
          </w:p>
        </w:tc>
        <w:tc>
          <w:tcPr>
            <w:tcW w:w="314"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 (3%)</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 (3%)</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 (3%)</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 (4%)</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(3%)</w:t>
            </w:r>
          </w:p>
        </w:tc>
        <w:tc>
          <w:tcPr>
            <w:tcW w:w="308"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 (4%)</w:t>
            </w:r>
          </w:p>
        </w:tc>
      </w:tr>
      <w:tr w:rsidR="00F62D45" w:rsidRPr="00DB760B" w:rsidTr="00A210A2">
        <w:trPr>
          <w:cantSplit/>
        </w:trPr>
        <w:tc>
          <w:tcPr>
            <w:tcW w:w="551" w:type="pct"/>
            <w:tcMar>
              <w:left w:w="6" w:type="dxa"/>
              <w:right w:w="6" w:type="dxa"/>
            </w:tcMar>
            <w:vAlign w:val="center"/>
          </w:tcPr>
          <w:p w:rsidR="00D04A5B" w:rsidRPr="00DB760B" w:rsidRDefault="00D04A5B" w:rsidP="00376223">
            <w:pPr>
              <w:pStyle w:val="Tabletext"/>
              <w:keepNext/>
              <w:keepLines/>
            </w:pPr>
            <w:r w:rsidRPr="00DB760B">
              <w:t>Withdrawal</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 (3%)</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 (1%)</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 (1%)</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8 (5%)</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 (1%)</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 (2%)</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90"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 (2%)</w:t>
            </w:r>
          </w:p>
        </w:tc>
        <w:tc>
          <w:tcPr>
            <w:tcW w:w="314"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 (1%)</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(2%)</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 (3%)</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(2%)</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(3%)</w:t>
            </w:r>
          </w:p>
        </w:tc>
        <w:tc>
          <w:tcPr>
            <w:tcW w:w="308"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(3%)</w:t>
            </w:r>
          </w:p>
        </w:tc>
      </w:tr>
      <w:tr w:rsidR="00F62D45" w:rsidRPr="00DB760B" w:rsidTr="00A210A2">
        <w:trPr>
          <w:cantSplit/>
        </w:trPr>
        <w:tc>
          <w:tcPr>
            <w:tcW w:w="551" w:type="pct"/>
            <w:tcMar>
              <w:left w:w="6" w:type="dxa"/>
              <w:right w:w="6" w:type="dxa"/>
            </w:tcMar>
            <w:vAlign w:val="center"/>
          </w:tcPr>
          <w:p w:rsidR="00D04A5B" w:rsidRPr="00DB760B" w:rsidRDefault="00D04A5B" w:rsidP="00376223">
            <w:pPr>
              <w:pStyle w:val="Tabletext"/>
              <w:keepNext/>
              <w:keepLines/>
            </w:pPr>
            <w:r w:rsidRPr="00DB760B">
              <w:t>Death</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NR</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NR</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90"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4"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NR</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NR</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08"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r>
      <w:tr w:rsidR="00F62D45" w:rsidRPr="00DB760B" w:rsidTr="00A210A2">
        <w:trPr>
          <w:cantSplit/>
        </w:trPr>
        <w:tc>
          <w:tcPr>
            <w:tcW w:w="551" w:type="pct"/>
            <w:tcMar>
              <w:left w:w="6" w:type="dxa"/>
              <w:right w:w="6" w:type="dxa"/>
            </w:tcMar>
            <w:vAlign w:val="center"/>
          </w:tcPr>
          <w:p w:rsidR="00D04A5B" w:rsidRPr="00DB760B" w:rsidRDefault="00D04A5B" w:rsidP="00376223">
            <w:pPr>
              <w:pStyle w:val="Tabletext"/>
              <w:keepNext/>
              <w:keepLines/>
            </w:pPr>
            <w:r w:rsidRPr="00DB760B">
              <w:t>Hypo event</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 (4%)</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(2%)</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 (3%)</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 (1%)</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(3%)</w:t>
            </w:r>
          </w:p>
        </w:tc>
        <w:tc>
          <w:tcPr>
            <w:tcW w:w="390" w:type="pct"/>
            <w:tcMar>
              <w:left w:w="6" w:type="dxa"/>
              <w:right w:w="6" w:type="dxa"/>
            </w:tcMar>
            <w:vAlign w:val="center"/>
          </w:tcPr>
          <w:p w:rsidR="00D04A5B" w:rsidRPr="00DB760B" w:rsidRDefault="00D04A5B" w:rsidP="00376223">
            <w:pPr>
              <w:keepNext/>
              <w:keepLines/>
              <w:jc w:val="center"/>
              <w:rPr>
                <w:rFonts w:ascii="Arial Narrow" w:hAnsi="Arial Narrow"/>
                <w:i/>
                <w:color w:val="000000"/>
                <w:sz w:val="20"/>
                <w:szCs w:val="20"/>
              </w:rPr>
            </w:pPr>
            <w:r w:rsidRPr="00DB760B">
              <w:rPr>
                <w:rFonts w:ascii="Arial Narrow" w:hAnsi="Arial Narrow"/>
                <w:i/>
                <w:color w:val="000000"/>
                <w:sz w:val="20"/>
                <w:szCs w:val="20"/>
              </w:rPr>
              <w:t>1 (1%)</w:t>
            </w:r>
          </w:p>
        </w:tc>
        <w:tc>
          <w:tcPr>
            <w:tcW w:w="314"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 (1%)</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 (</w:t>
            </w:r>
            <w:r w:rsidRPr="00DB760B">
              <w:rPr>
                <w:rFonts w:ascii="Arial Narrow" w:hAnsi="Arial Narrow"/>
                <w:i/>
                <w:color w:val="000000"/>
                <w:sz w:val="20"/>
                <w:szCs w:val="20"/>
              </w:rPr>
              <w:t>3%</w:t>
            </w:r>
            <w:r w:rsidRPr="00DB760B">
              <w:rPr>
                <w:rFonts w:ascii="Arial Narrow" w:hAnsi="Arial Narrow"/>
                <w:color w:val="000000"/>
                <w:sz w:val="20"/>
                <w:szCs w:val="20"/>
              </w:rPr>
              <w:t>)</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08"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 (</w:t>
            </w:r>
            <w:r w:rsidRPr="00DB760B">
              <w:rPr>
                <w:rFonts w:ascii="Arial Narrow" w:hAnsi="Arial Narrow"/>
                <w:i/>
                <w:color w:val="000000"/>
                <w:sz w:val="20"/>
                <w:szCs w:val="20"/>
              </w:rPr>
              <w:t>3%</w:t>
            </w:r>
            <w:r w:rsidRPr="00DB760B">
              <w:rPr>
                <w:rFonts w:ascii="Arial Narrow" w:hAnsi="Arial Narrow"/>
                <w:color w:val="000000"/>
                <w:sz w:val="20"/>
                <w:szCs w:val="20"/>
              </w:rPr>
              <w:t>)</w:t>
            </w:r>
          </w:p>
        </w:tc>
      </w:tr>
      <w:tr w:rsidR="00F62D45" w:rsidRPr="00DB760B" w:rsidTr="00A210A2">
        <w:trPr>
          <w:cantSplit/>
        </w:trPr>
        <w:tc>
          <w:tcPr>
            <w:tcW w:w="551" w:type="pct"/>
            <w:tcMar>
              <w:left w:w="6" w:type="dxa"/>
              <w:right w:w="6" w:type="dxa"/>
            </w:tcMar>
            <w:vAlign w:val="center"/>
          </w:tcPr>
          <w:p w:rsidR="00D04A5B" w:rsidRPr="00DB760B" w:rsidRDefault="00D04A5B" w:rsidP="00376223">
            <w:pPr>
              <w:pStyle w:val="Tabletext"/>
              <w:keepNext/>
              <w:keepLines/>
            </w:pPr>
            <w:r w:rsidRPr="00DB760B">
              <w:t>UTI</w:t>
            </w:r>
          </w:p>
        </w:tc>
        <w:tc>
          <w:tcPr>
            <w:tcW w:w="313"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w:t>
            </w:r>
          </w:p>
        </w:tc>
        <w:tc>
          <w:tcPr>
            <w:tcW w:w="311"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w:t>
            </w:r>
          </w:p>
        </w:tc>
        <w:tc>
          <w:tcPr>
            <w:tcW w:w="313"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w:t>
            </w:r>
          </w:p>
        </w:tc>
        <w:tc>
          <w:tcPr>
            <w:tcW w:w="311"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8</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w:t>
            </w:r>
          </w:p>
        </w:tc>
        <w:tc>
          <w:tcPr>
            <w:tcW w:w="312"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10 (6%)</w:t>
            </w:r>
          </w:p>
        </w:tc>
        <w:tc>
          <w:tcPr>
            <w:tcW w:w="312"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8</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w:t>
            </w:r>
          </w:p>
        </w:tc>
        <w:tc>
          <w:tcPr>
            <w:tcW w:w="312" w:type="pct"/>
            <w:tcMar>
              <w:left w:w="6" w:type="dxa"/>
              <w:right w:w="0" w:type="dxa"/>
            </w:tcMar>
            <w:vAlign w:val="center"/>
          </w:tcPr>
          <w:p w:rsidR="00D04A5B" w:rsidRPr="00DB760B" w:rsidRDefault="00D04A5B" w:rsidP="00376223">
            <w:pPr>
              <w:keepNext/>
              <w:keepLines/>
              <w:jc w:val="center"/>
              <w:rPr>
                <w:rFonts w:ascii="Arial Narrow" w:hAnsi="Arial Narrow"/>
                <w:i/>
                <w:color w:val="000000"/>
                <w:sz w:val="20"/>
                <w:szCs w:val="20"/>
              </w:rPr>
            </w:pPr>
            <w:r w:rsidRPr="00DB760B">
              <w:rPr>
                <w:rFonts w:ascii="Arial Narrow" w:hAnsi="Arial Narrow"/>
                <w:i/>
                <w:color w:val="000000"/>
                <w:sz w:val="20"/>
                <w:szCs w:val="20"/>
              </w:rPr>
              <w:t>4</w:t>
            </w:r>
          </w:p>
          <w:p w:rsidR="00D04A5B" w:rsidRPr="00DB760B" w:rsidRDefault="00D04A5B" w:rsidP="00376223">
            <w:pPr>
              <w:keepNext/>
              <w:keepLines/>
              <w:jc w:val="center"/>
              <w:rPr>
                <w:rFonts w:ascii="Arial Narrow" w:hAnsi="Arial Narrow"/>
                <w:i/>
                <w:color w:val="000000"/>
                <w:sz w:val="20"/>
                <w:szCs w:val="20"/>
              </w:rPr>
            </w:pPr>
            <w:r w:rsidRPr="00DB760B">
              <w:rPr>
                <w:rFonts w:ascii="Arial Narrow" w:hAnsi="Arial Narrow"/>
                <w:i/>
                <w:color w:val="000000"/>
                <w:sz w:val="20"/>
                <w:szCs w:val="20"/>
              </w:rPr>
              <w:t>(4%)</w:t>
            </w:r>
          </w:p>
        </w:tc>
        <w:tc>
          <w:tcPr>
            <w:tcW w:w="390"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7</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(6%)</w:t>
            </w:r>
          </w:p>
        </w:tc>
        <w:tc>
          <w:tcPr>
            <w:tcW w:w="314"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8</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w:t>
            </w:r>
          </w:p>
        </w:tc>
        <w:tc>
          <w:tcPr>
            <w:tcW w:w="313"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6</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w:t>
            </w:r>
          </w:p>
        </w:tc>
        <w:tc>
          <w:tcPr>
            <w:tcW w:w="313"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12 (10%)</w:t>
            </w:r>
          </w:p>
        </w:tc>
        <w:tc>
          <w:tcPr>
            <w:tcW w:w="313"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10 (8%)</w:t>
            </w:r>
          </w:p>
        </w:tc>
        <w:tc>
          <w:tcPr>
            <w:tcW w:w="313"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15 (13%)</w:t>
            </w:r>
          </w:p>
        </w:tc>
        <w:tc>
          <w:tcPr>
            <w:tcW w:w="308" w:type="pct"/>
            <w:tcMar>
              <w:left w:w="6" w:type="dxa"/>
              <w:right w:w="0"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9</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(8%)</w:t>
            </w:r>
          </w:p>
        </w:tc>
      </w:tr>
      <w:tr w:rsidR="00F62D45" w:rsidRPr="00DB760B" w:rsidTr="00C13843">
        <w:trPr>
          <w:cantSplit/>
        </w:trPr>
        <w:tc>
          <w:tcPr>
            <w:tcW w:w="551" w:type="pct"/>
            <w:tcMar>
              <w:left w:w="6" w:type="dxa"/>
              <w:right w:w="6" w:type="dxa"/>
            </w:tcMar>
            <w:vAlign w:val="center"/>
          </w:tcPr>
          <w:p w:rsidR="00D04A5B" w:rsidRPr="00DB760B" w:rsidRDefault="00D04A5B" w:rsidP="00376223">
            <w:pPr>
              <w:pStyle w:val="Tabletext"/>
              <w:keepNext/>
              <w:keepLines/>
            </w:pPr>
            <w:r w:rsidRPr="00DB760B">
              <w:t>Genital infection</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10 (6%)</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12 (8%)</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w:t>
            </w:r>
          </w:p>
        </w:tc>
        <w:tc>
          <w:tcPr>
            <w:tcW w:w="311"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8</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(1%)</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w:t>
            </w:r>
          </w:p>
        </w:tc>
        <w:tc>
          <w:tcPr>
            <w:tcW w:w="312"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(5%)</w:t>
            </w:r>
          </w:p>
        </w:tc>
        <w:tc>
          <w:tcPr>
            <w:tcW w:w="390"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w:t>
            </w:r>
          </w:p>
        </w:tc>
        <w:tc>
          <w:tcPr>
            <w:tcW w:w="314" w:type="pct"/>
            <w:tcMar>
              <w:left w:w="6" w:type="dxa"/>
              <w:right w:w="6" w:type="dxa"/>
            </w:tcMar>
            <w:vAlign w:val="center"/>
          </w:tcPr>
          <w:p w:rsidR="00A13434"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0</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w:t>
            </w:r>
            <w:r w:rsidRPr="00DB760B">
              <w:rPr>
                <w:rFonts w:ascii="Arial Narrow" w:hAnsi="Arial Narrow"/>
                <w:i/>
                <w:color w:val="000000"/>
                <w:sz w:val="20"/>
                <w:szCs w:val="20"/>
              </w:rPr>
              <w:t>3%</w:t>
            </w:r>
            <w:r w:rsidRPr="00DB760B">
              <w:rPr>
                <w:rFonts w:ascii="Arial Narrow" w:hAnsi="Arial Narrow"/>
                <w:color w:val="000000"/>
                <w:sz w:val="20"/>
                <w:szCs w:val="20"/>
              </w:rPr>
              <w:t>)</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(2%)</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4</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w:t>
            </w:r>
          </w:p>
        </w:tc>
        <w:tc>
          <w:tcPr>
            <w:tcW w:w="313"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(3%)</w:t>
            </w:r>
          </w:p>
        </w:tc>
        <w:tc>
          <w:tcPr>
            <w:tcW w:w="308" w:type="pct"/>
            <w:tcMar>
              <w:left w:w="6" w:type="dxa"/>
              <w:right w:w="6" w:type="dxa"/>
            </w:tcMar>
            <w:vAlign w:val="center"/>
          </w:tcPr>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9</w:t>
            </w:r>
          </w:p>
          <w:p w:rsidR="00D04A5B" w:rsidRPr="00DB760B" w:rsidRDefault="00D04A5B" w:rsidP="00376223">
            <w:pPr>
              <w:keepNext/>
              <w:keepLines/>
              <w:jc w:val="center"/>
              <w:rPr>
                <w:rFonts w:ascii="Arial Narrow" w:hAnsi="Arial Narrow"/>
                <w:color w:val="000000"/>
                <w:sz w:val="20"/>
                <w:szCs w:val="20"/>
              </w:rPr>
            </w:pPr>
            <w:r w:rsidRPr="00DB760B">
              <w:rPr>
                <w:rFonts w:ascii="Arial Narrow" w:hAnsi="Arial Narrow"/>
                <w:color w:val="000000"/>
                <w:sz w:val="20"/>
                <w:szCs w:val="20"/>
              </w:rPr>
              <w:t>(8%)</w:t>
            </w:r>
          </w:p>
        </w:tc>
      </w:tr>
    </w:tbl>
    <w:p w:rsidR="00D04A5B" w:rsidRPr="00DB760B" w:rsidRDefault="00D04A5B" w:rsidP="00376223">
      <w:pPr>
        <w:pStyle w:val="TableFooter"/>
        <w:keepNext/>
        <w:keepLines/>
      </w:pPr>
      <w:r w:rsidRPr="00DB760B">
        <w:t>Source: Table 2-18, Section 2.5.2 of the submission</w:t>
      </w:r>
      <w:r w:rsidR="00A13434" w:rsidRPr="00DB760B">
        <w:t xml:space="preserve">; and </w:t>
      </w:r>
      <w:r w:rsidR="00A13434" w:rsidRPr="00DB760B">
        <w:rPr>
          <w:i/>
        </w:rPr>
        <w:t>corrected during evaluation</w:t>
      </w:r>
    </w:p>
    <w:p w:rsidR="00D04A5B" w:rsidRPr="00DB760B" w:rsidRDefault="00D04A5B" w:rsidP="00376223">
      <w:pPr>
        <w:pStyle w:val="TableFooter"/>
        <w:keepNext/>
        <w:keepLines/>
      </w:pPr>
      <w:r w:rsidRPr="00DB760B">
        <w:t xml:space="preserve">AE = adverse event; DAPA = </w:t>
      </w:r>
      <w:proofErr w:type="spellStart"/>
      <w:r w:rsidRPr="00DB760B">
        <w:t>dapagliflozin</w:t>
      </w:r>
      <w:proofErr w:type="spellEnd"/>
      <w:r w:rsidRPr="00DB760B">
        <w:t xml:space="preserve">; </w:t>
      </w:r>
      <w:r w:rsidR="00A210A2" w:rsidRPr="00DB760B">
        <w:t xml:space="preserve">DPP4 = dipeptidyl peptidase-4; </w:t>
      </w:r>
      <w:r w:rsidRPr="00DB760B">
        <w:t xml:space="preserve">EMPA = </w:t>
      </w:r>
      <w:proofErr w:type="spellStart"/>
      <w:r w:rsidRPr="00DB760B">
        <w:t>empagliflozin</w:t>
      </w:r>
      <w:proofErr w:type="spellEnd"/>
      <w:r w:rsidRPr="00DB760B">
        <w:t xml:space="preserve">; ERTU = </w:t>
      </w:r>
      <w:proofErr w:type="spellStart"/>
      <w:r w:rsidRPr="00DB760B">
        <w:t>ertugliflozin</w:t>
      </w:r>
      <w:proofErr w:type="spellEnd"/>
      <w:r w:rsidRPr="00DB760B">
        <w:t xml:space="preserve">; Hypo = hypoglycaemic; LINA = </w:t>
      </w:r>
      <w:proofErr w:type="spellStart"/>
      <w:r w:rsidRPr="00DB760B">
        <w:t>linagliptin</w:t>
      </w:r>
      <w:proofErr w:type="spellEnd"/>
      <w:r w:rsidRPr="00DB760B">
        <w:t xml:space="preserve">; MF = metformin; NR = not reported; PBO = placebo; SAE = serious adverse event; SAXA = </w:t>
      </w:r>
      <w:proofErr w:type="spellStart"/>
      <w:r w:rsidRPr="00DB760B">
        <w:t>saxagliptin</w:t>
      </w:r>
      <w:proofErr w:type="spellEnd"/>
      <w:r w:rsidRPr="00DB760B">
        <w:t xml:space="preserve">; </w:t>
      </w:r>
      <w:r w:rsidR="00A210A2" w:rsidRPr="00DB760B">
        <w:t xml:space="preserve">SGLT2 = sodium-glucose co-transporter-2; </w:t>
      </w:r>
      <w:r w:rsidRPr="00DB760B">
        <w:t>UTI = urinary tract infection</w:t>
      </w:r>
    </w:p>
    <w:p w:rsidR="005D26B4" w:rsidRPr="00DB760B" w:rsidRDefault="005D26B4" w:rsidP="004151CF">
      <w:pPr>
        <w:pStyle w:val="ListParagraph"/>
        <w:spacing w:after="0"/>
        <w:ind w:left="0"/>
      </w:pPr>
    </w:p>
    <w:p w:rsidR="00D04A5B" w:rsidRPr="00DB760B" w:rsidRDefault="001B1FAE" w:rsidP="00050ADD">
      <w:pPr>
        <w:pStyle w:val="ListParagraph"/>
        <w:widowControl/>
        <w:numPr>
          <w:ilvl w:val="1"/>
          <w:numId w:val="1"/>
        </w:numPr>
      </w:pPr>
      <w:r w:rsidRPr="00DB760B">
        <w:t xml:space="preserve">At 24 or </w:t>
      </w:r>
      <w:r w:rsidR="00D04A5B" w:rsidRPr="00DB760B">
        <w:t xml:space="preserve">26 weeks, in all trials (with the exception of </w:t>
      </w:r>
      <w:proofErr w:type="spellStart"/>
      <w:r w:rsidR="00D04A5B" w:rsidRPr="00DB760B">
        <w:t>Matthaei</w:t>
      </w:r>
      <w:proofErr w:type="spellEnd"/>
      <w:r w:rsidR="00D04A5B" w:rsidRPr="00DB760B">
        <w:t xml:space="preserve"> 2015)</w:t>
      </w:r>
      <w:r w:rsidR="00C13843" w:rsidRPr="00DB760B">
        <w:t>,</w:t>
      </w:r>
      <w:r w:rsidR="00D04A5B" w:rsidRPr="00DB760B">
        <w:t xml:space="preserve"> the proportion of patients reporting any adverse events in the active treatment arms were less than in the respective placebo arms. The reports of serious adverse events (≤ 9%) and withdrawals from trials due to adverse events (≤ 5%) were </w:t>
      </w:r>
      <w:r w:rsidR="00C13843" w:rsidRPr="00DB760B">
        <w:t>consistent</w:t>
      </w:r>
      <w:r w:rsidR="00D04A5B" w:rsidRPr="00DB760B">
        <w:t xml:space="preserve"> across all trials.</w:t>
      </w:r>
    </w:p>
    <w:p w:rsidR="00E97351" w:rsidRPr="00DB760B" w:rsidRDefault="002E5F7D" w:rsidP="00050ADD">
      <w:pPr>
        <w:pStyle w:val="ListParagraph"/>
        <w:widowControl/>
        <w:numPr>
          <w:ilvl w:val="1"/>
          <w:numId w:val="1"/>
        </w:numPr>
      </w:pPr>
      <w:r w:rsidRPr="00DB760B">
        <w:t xml:space="preserve">In relation to hypoglycaemic events, the </w:t>
      </w:r>
      <w:r w:rsidR="00A210A2" w:rsidRPr="00DB760B">
        <w:t>incidence was</w:t>
      </w:r>
      <w:r w:rsidRPr="00DB760B">
        <w:t xml:space="preserve"> </w:t>
      </w:r>
      <w:r w:rsidR="00E97351" w:rsidRPr="00DB760B">
        <w:t>consistent (≤ 4%) across</w:t>
      </w:r>
      <w:r w:rsidRPr="00DB760B">
        <w:t xml:space="preserve"> all trial arms</w:t>
      </w:r>
      <w:r w:rsidR="00E97351" w:rsidRPr="00DB760B">
        <w:t xml:space="preserve"> at 24 or 26 weeks.</w:t>
      </w:r>
      <w:r w:rsidRPr="00DB760B">
        <w:t xml:space="preserve"> </w:t>
      </w:r>
    </w:p>
    <w:p w:rsidR="002E5F7D" w:rsidRPr="00DB760B" w:rsidRDefault="002E5F7D" w:rsidP="00050ADD">
      <w:pPr>
        <w:pStyle w:val="ListParagraph"/>
        <w:widowControl/>
        <w:numPr>
          <w:ilvl w:val="1"/>
          <w:numId w:val="1"/>
        </w:numPr>
      </w:pPr>
      <w:r w:rsidRPr="00DB760B">
        <w:t>The rates of urinary tract infections were</w:t>
      </w:r>
      <w:r w:rsidR="001B1FAE" w:rsidRPr="00DB760B">
        <w:t xml:space="preserve"> </w:t>
      </w:r>
      <w:r w:rsidR="00E97351" w:rsidRPr="00DB760B">
        <w:t>consistent (</w:t>
      </w:r>
      <w:r w:rsidR="001B1FAE" w:rsidRPr="00DB760B">
        <w:t>≤ 7%</w:t>
      </w:r>
      <w:r w:rsidR="00E97351" w:rsidRPr="00DB760B">
        <w:t xml:space="preserve">) </w:t>
      </w:r>
      <w:r w:rsidR="001B1FAE" w:rsidRPr="00DB760B">
        <w:t xml:space="preserve">in all trials at 24 or </w:t>
      </w:r>
      <w:r w:rsidRPr="00DB760B">
        <w:t xml:space="preserve">26 weeks, with the exception of </w:t>
      </w:r>
      <w:proofErr w:type="spellStart"/>
      <w:r w:rsidRPr="00DB760B">
        <w:t>Tinahones</w:t>
      </w:r>
      <w:proofErr w:type="spellEnd"/>
      <w:r w:rsidRPr="00DB760B">
        <w:t xml:space="preserve"> 2016, which had rates up to 13%. The incidence of genital infections was </w:t>
      </w:r>
      <w:r w:rsidR="00E97351" w:rsidRPr="00DB760B">
        <w:t>8% or lower in all trials</w:t>
      </w:r>
      <w:r w:rsidR="001D4003" w:rsidRPr="00DB760B">
        <w:t>.</w:t>
      </w:r>
    </w:p>
    <w:p w:rsidR="001D4003" w:rsidRPr="00DB760B" w:rsidRDefault="001D4003" w:rsidP="00050ADD">
      <w:pPr>
        <w:pStyle w:val="ListParagraph"/>
        <w:widowControl/>
        <w:numPr>
          <w:ilvl w:val="1"/>
          <w:numId w:val="1"/>
        </w:numPr>
      </w:pPr>
      <w:r w:rsidRPr="00DB760B">
        <w:t>Th</w:t>
      </w:r>
      <w:r w:rsidR="006504C3" w:rsidRPr="00DB760B">
        <w:t>e PBAC considered that th</w:t>
      </w:r>
      <w:r w:rsidRPr="00DB760B">
        <w:t xml:space="preserve">ere were no significant differences in the proportions of patients reporting adverse events between </w:t>
      </w:r>
      <w:proofErr w:type="spellStart"/>
      <w:r w:rsidRPr="00DB760B">
        <w:t>ertugliflozin</w:t>
      </w:r>
      <w:proofErr w:type="spellEnd"/>
      <w:r w:rsidRPr="00DB760B">
        <w:t xml:space="preserve"> 5 mg-based triple therapy and </w:t>
      </w:r>
      <w:proofErr w:type="spellStart"/>
      <w:r w:rsidRPr="00DB760B">
        <w:t>ertugliflozin</w:t>
      </w:r>
      <w:proofErr w:type="spellEnd"/>
      <w:r w:rsidRPr="00DB760B">
        <w:t xml:space="preserve"> 15 mg-based triple therapy.</w:t>
      </w:r>
    </w:p>
    <w:p w:rsidR="00D04A5B" w:rsidRPr="00DB760B" w:rsidRDefault="00D04A5B" w:rsidP="001B3286">
      <w:pPr>
        <w:pStyle w:val="Heading2"/>
        <w:spacing w:before="240" w:after="120"/>
      </w:pPr>
      <w:bookmarkStart w:id="11" w:name="_Toc514244714"/>
      <w:r w:rsidRPr="00DB760B">
        <w:t>Clinical claim</w:t>
      </w:r>
      <w:bookmarkEnd w:id="11"/>
    </w:p>
    <w:p w:rsidR="00B60939" w:rsidRPr="00DB760B" w:rsidRDefault="002E5F7D" w:rsidP="007B3E37">
      <w:pPr>
        <w:pStyle w:val="ListParagraph"/>
        <w:widowControl/>
        <w:numPr>
          <w:ilvl w:val="1"/>
          <w:numId w:val="1"/>
        </w:numPr>
      </w:pPr>
      <w:r w:rsidRPr="00DB760B">
        <w:t xml:space="preserve">The submission described the triple therapy combination of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as non-inferior in terms of effectiveness and safety compared with the comparators, </w:t>
      </w:r>
      <w:proofErr w:type="spellStart"/>
      <w:r w:rsidRPr="00DB760B">
        <w:t>dapagliflozin</w:t>
      </w:r>
      <w:proofErr w:type="spellEnd"/>
      <w:r w:rsidRPr="00DB760B">
        <w:t xml:space="preserve"> plus </w:t>
      </w:r>
      <w:proofErr w:type="spellStart"/>
      <w:r w:rsidRPr="00DB760B">
        <w:t>saxagliptin</w:t>
      </w:r>
      <w:proofErr w:type="spellEnd"/>
      <w:r w:rsidRPr="00DB760B">
        <w:t xml:space="preserve"> plus metformin and </w:t>
      </w:r>
      <w:proofErr w:type="spellStart"/>
      <w:r w:rsidRPr="00DB760B">
        <w:t>empagliflozin</w:t>
      </w:r>
      <w:proofErr w:type="spellEnd"/>
      <w:r w:rsidRPr="00DB760B">
        <w:t xml:space="preserve"> plus </w:t>
      </w:r>
      <w:proofErr w:type="spellStart"/>
      <w:r w:rsidRPr="00DB760B">
        <w:t>linagliptin</w:t>
      </w:r>
      <w:proofErr w:type="spellEnd"/>
      <w:r w:rsidRPr="00DB760B">
        <w:t xml:space="preserve"> plus metformin. </w:t>
      </w:r>
      <w:r w:rsidR="00811F11" w:rsidRPr="00DB760B">
        <w:t>The</w:t>
      </w:r>
      <w:r w:rsidR="00F31908" w:rsidRPr="00DB760B">
        <w:rPr>
          <w:i/>
        </w:rPr>
        <w:t xml:space="preserve"> </w:t>
      </w:r>
      <w:r w:rsidR="00F31908" w:rsidRPr="00DB760B">
        <w:t xml:space="preserve">PBAC </w:t>
      </w:r>
      <w:r w:rsidR="006504C3" w:rsidRPr="00DB760B">
        <w:t xml:space="preserve">and </w:t>
      </w:r>
      <w:r w:rsidR="00811F11" w:rsidRPr="00DB760B">
        <w:t>ESC</w:t>
      </w:r>
      <w:r w:rsidR="00201538" w:rsidRPr="00DB760B">
        <w:t xml:space="preserve"> </w:t>
      </w:r>
      <w:r w:rsidR="006504C3" w:rsidRPr="00DB760B">
        <w:t>considered</w:t>
      </w:r>
      <w:r w:rsidR="00811F11" w:rsidRPr="00DB760B">
        <w:t xml:space="preserve"> that t</w:t>
      </w:r>
      <w:r w:rsidRPr="00DB760B">
        <w:t xml:space="preserve">he therapeutic conclusions presented in the submission were adequately supported. </w:t>
      </w:r>
    </w:p>
    <w:p w:rsidR="00CD7A09" w:rsidRPr="00DB760B" w:rsidRDefault="00920562" w:rsidP="006504C3">
      <w:pPr>
        <w:pStyle w:val="ListParagraph"/>
        <w:widowControl/>
        <w:numPr>
          <w:ilvl w:val="1"/>
          <w:numId w:val="1"/>
        </w:numPr>
      </w:pPr>
      <w:r w:rsidRPr="00DB760B">
        <w:lastRenderedPageBreak/>
        <w:t>The</w:t>
      </w:r>
      <w:r w:rsidR="006504C3" w:rsidRPr="00DB760B">
        <w:t xml:space="preserve"> PBAC considered that the</w:t>
      </w:r>
      <w:r w:rsidRPr="00DB760B">
        <w:t>re were no statistically significant differences in terms of efficacy or safety</w:t>
      </w:r>
      <w:r w:rsidR="008F483A" w:rsidRPr="00DB760B">
        <w:t xml:space="preserve"> </w:t>
      </w:r>
      <w:r w:rsidRPr="00DB760B">
        <w:t xml:space="preserve">between triple therapy regimens based on </w:t>
      </w:r>
      <w:proofErr w:type="spellStart"/>
      <w:r w:rsidRPr="00DB760B">
        <w:t>ertugliflozin</w:t>
      </w:r>
      <w:proofErr w:type="spellEnd"/>
      <w:r w:rsidRPr="00DB760B">
        <w:t xml:space="preserve"> 5 mg or </w:t>
      </w:r>
      <w:proofErr w:type="spellStart"/>
      <w:r w:rsidRPr="00DB760B">
        <w:t>ertugliflozin</w:t>
      </w:r>
      <w:proofErr w:type="spellEnd"/>
      <w:r w:rsidRPr="00DB760B">
        <w:t xml:space="preserve"> 15 mg. </w:t>
      </w:r>
      <w:r w:rsidR="006504C3" w:rsidRPr="00DB760B">
        <w:t xml:space="preserve"> However, both the PBAC and ESC noted </w:t>
      </w:r>
      <w:r w:rsidR="00CD7A09" w:rsidRPr="00DB760B">
        <w:t xml:space="preserve">that both strengths of the </w:t>
      </w:r>
      <w:proofErr w:type="spellStart"/>
      <w:r w:rsidR="00CD7A09" w:rsidRPr="00DB760B">
        <w:t>empagliflozin</w:t>
      </w:r>
      <w:proofErr w:type="spellEnd"/>
      <w:r w:rsidR="00CD7A09" w:rsidRPr="00DB760B">
        <w:t xml:space="preserve"> with </w:t>
      </w:r>
      <w:proofErr w:type="spellStart"/>
      <w:r w:rsidR="00CD7A09" w:rsidRPr="00DB760B">
        <w:t>linagliptin</w:t>
      </w:r>
      <w:proofErr w:type="spellEnd"/>
      <w:r w:rsidR="00CD7A09" w:rsidRPr="00DB760B">
        <w:t xml:space="preserve"> FDC products (10 mg/5 mg and 25 mg/5 mg) were listed on the PBS despite not demonstrating statistically significant differences in terms of efficacy.</w:t>
      </w:r>
    </w:p>
    <w:p w:rsidR="002E5F7D" w:rsidRPr="00DB760B" w:rsidRDefault="002E5F7D" w:rsidP="00050ADD">
      <w:pPr>
        <w:pStyle w:val="ListParagraph"/>
        <w:widowControl/>
        <w:numPr>
          <w:ilvl w:val="1"/>
          <w:numId w:val="1"/>
        </w:numPr>
      </w:pPr>
      <w:r w:rsidRPr="00DB760B">
        <w:t xml:space="preserve">The </w:t>
      </w:r>
      <w:r w:rsidR="006504C3" w:rsidRPr="00DB760B">
        <w:t xml:space="preserve">PBAC considered that </w:t>
      </w:r>
      <w:r w:rsidRPr="00DB760B">
        <w:t xml:space="preserve">the FDC products of </w:t>
      </w:r>
      <w:proofErr w:type="spellStart"/>
      <w:r w:rsidRPr="00DB760B">
        <w:t>ertugliflozin</w:t>
      </w:r>
      <w:proofErr w:type="spellEnd"/>
      <w:r w:rsidRPr="00DB760B">
        <w:t xml:space="preserve"> with </w:t>
      </w:r>
      <w:proofErr w:type="spellStart"/>
      <w:r w:rsidRPr="00DB760B">
        <w:t>sitagliptin</w:t>
      </w:r>
      <w:proofErr w:type="spellEnd"/>
      <w:r w:rsidRPr="00DB760B">
        <w:t xml:space="preserve"> (5</w:t>
      </w:r>
      <w:r w:rsidR="00C17F5C" w:rsidRPr="00DB760B">
        <w:t> </w:t>
      </w:r>
      <w:r w:rsidRPr="00DB760B">
        <w:t>mg/100</w:t>
      </w:r>
      <w:r w:rsidR="00C17F5C" w:rsidRPr="00DB760B">
        <w:t> </w:t>
      </w:r>
      <w:r w:rsidR="00A13434" w:rsidRPr="00DB760B">
        <w:t>mg</w:t>
      </w:r>
      <w:r w:rsidRPr="00DB760B">
        <w:t xml:space="preserve">, 15 mg/100 mg) </w:t>
      </w:r>
      <w:r w:rsidR="006504C3" w:rsidRPr="00DB760B">
        <w:t>were</w:t>
      </w:r>
      <w:r w:rsidRPr="00DB760B">
        <w:t xml:space="preserve"> bioequivalent to the individual components taken concurrently. This conclusion was supported by the TGAs Clinical Evaluation Report.</w:t>
      </w:r>
    </w:p>
    <w:p w:rsidR="002E5F7D" w:rsidRPr="00DB760B" w:rsidRDefault="002E5F7D" w:rsidP="00050ADD">
      <w:pPr>
        <w:pStyle w:val="ListParagraph"/>
        <w:widowControl/>
        <w:numPr>
          <w:ilvl w:val="1"/>
          <w:numId w:val="1"/>
        </w:numPr>
      </w:pPr>
      <w:r w:rsidRPr="00DB760B">
        <w:t xml:space="preserve">The submission stated that all claims for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compared with </w:t>
      </w:r>
      <w:proofErr w:type="spellStart"/>
      <w:r w:rsidRPr="00DB760B">
        <w:t>dapagliflozin</w:t>
      </w:r>
      <w:proofErr w:type="spellEnd"/>
      <w:r w:rsidRPr="00DB760B">
        <w:t xml:space="preserve"> plus </w:t>
      </w:r>
      <w:proofErr w:type="spellStart"/>
      <w:r w:rsidRPr="00DB760B">
        <w:t>saxagliptin</w:t>
      </w:r>
      <w:proofErr w:type="spellEnd"/>
      <w:r w:rsidRPr="00DB760B">
        <w:t xml:space="preserve"> plus metformin and </w:t>
      </w:r>
      <w:proofErr w:type="spellStart"/>
      <w:r w:rsidRPr="00DB760B">
        <w:t>empagliflozin</w:t>
      </w:r>
      <w:proofErr w:type="spellEnd"/>
      <w:r w:rsidRPr="00DB760B">
        <w:t xml:space="preserve"> plus </w:t>
      </w:r>
      <w:proofErr w:type="spellStart"/>
      <w:r w:rsidRPr="00DB760B">
        <w:t>linagliptin</w:t>
      </w:r>
      <w:proofErr w:type="spellEnd"/>
      <w:r w:rsidRPr="00DB760B">
        <w:t xml:space="preserve"> plus metformin administered as individual agents also applied to regimens comprising of FDC products on the basis of bioequivalence. </w:t>
      </w:r>
      <w:r w:rsidR="00E969B9" w:rsidRPr="00DB760B">
        <w:t xml:space="preserve">Therefore, </w:t>
      </w:r>
      <w:proofErr w:type="spellStart"/>
      <w:r w:rsidR="00E969B9" w:rsidRPr="00DB760B">
        <w:t>ertugliflozin</w:t>
      </w:r>
      <w:proofErr w:type="spellEnd"/>
      <w:r w:rsidR="00E969B9" w:rsidRPr="00DB760B">
        <w:t xml:space="preserve"> with </w:t>
      </w:r>
      <w:proofErr w:type="spellStart"/>
      <w:r w:rsidR="00E969B9" w:rsidRPr="00DB760B">
        <w:t>sitagliptin</w:t>
      </w:r>
      <w:proofErr w:type="spellEnd"/>
      <w:r w:rsidR="00E969B9" w:rsidRPr="00DB760B">
        <w:t xml:space="preserve"> FDC products (5 mg/100</w:t>
      </w:r>
      <w:r w:rsidR="00A13434" w:rsidRPr="00DB760B">
        <w:t xml:space="preserve"> </w:t>
      </w:r>
      <w:r w:rsidR="00E969B9" w:rsidRPr="00DB760B">
        <w:t xml:space="preserve">mg, 15 mg/100 mg) were non-inferior to </w:t>
      </w:r>
      <w:proofErr w:type="spellStart"/>
      <w:r w:rsidR="00E969B9" w:rsidRPr="00DB760B">
        <w:t>dapagliflozin</w:t>
      </w:r>
      <w:proofErr w:type="spellEnd"/>
      <w:r w:rsidR="00E969B9" w:rsidRPr="00DB760B">
        <w:t xml:space="preserve"> with </w:t>
      </w:r>
      <w:proofErr w:type="spellStart"/>
      <w:r w:rsidR="00E969B9" w:rsidRPr="00DB760B">
        <w:t>saxagliptin</w:t>
      </w:r>
      <w:proofErr w:type="spellEnd"/>
      <w:r w:rsidR="00E969B9" w:rsidRPr="00DB760B">
        <w:t xml:space="preserve"> (10 mg/5 mg) and </w:t>
      </w:r>
      <w:proofErr w:type="spellStart"/>
      <w:r w:rsidR="00E969B9" w:rsidRPr="00DB760B">
        <w:t>empagliflozin</w:t>
      </w:r>
      <w:proofErr w:type="spellEnd"/>
      <w:r w:rsidR="00E969B9" w:rsidRPr="00DB760B">
        <w:t xml:space="preserve"> with </w:t>
      </w:r>
      <w:proofErr w:type="spellStart"/>
      <w:r w:rsidR="00E969B9" w:rsidRPr="00DB760B">
        <w:t>linagliptin</w:t>
      </w:r>
      <w:proofErr w:type="spellEnd"/>
      <w:r w:rsidR="00E969B9" w:rsidRPr="00DB760B">
        <w:t xml:space="preserve"> (10</w:t>
      </w:r>
      <w:r w:rsidR="00C17F5C" w:rsidRPr="00DB760B">
        <w:t> </w:t>
      </w:r>
      <w:r w:rsidR="00E969B9" w:rsidRPr="00DB760B">
        <w:t>mg/5</w:t>
      </w:r>
      <w:r w:rsidR="00C17F5C" w:rsidRPr="00DB760B">
        <w:t> </w:t>
      </w:r>
      <w:r w:rsidR="00E969B9" w:rsidRPr="00DB760B">
        <w:t>mg, 25 mg/5 mg) FDC products when used in triple therapy with metformin. This conclusion was reasonable.</w:t>
      </w:r>
      <w:r w:rsidR="002C1A9F" w:rsidRPr="00DB760B">
        <w:t xml:space="preserve"> This was supported by the PBAC and ESC.</w:t>
      </w:r>
    </w:p>
    <w:p w:rsidR="00301DD3" w:rsidRPr="00DB760B" w:rsidRDefault="00301DD3" w:rsidP="00050ADD">
      <w:pPr>
        <w:pStyle w:val="ListParagraph"/>
        <w:widowControl/>
        <w:numPr>
          <w:ilvl w:val="1"/>
          <w:numId w:val="1"/>
        </w:numPr>
        <w:spacing w:after="120"/>
        <w:ind w:left="810" w:hanging="810"/>
        <w:rPr>
          <w:rFonts w:asciiTheme="minorHAnsi" w:hAnsiTheme="minorHAnsi"/>
          <w:szCs w:val="20"/>
        </w:rPr>
      </w:pPr>
      <w:r w:rsidRPr="00DB760B">
        <w:rPr>
          <w:rFonts w:asciiTheme="minorHAnsi" w:hAnsiTheme="minorHAnsi"/>
          <w:szCs w:val="20"/>
        </w:rPr>
        <w:t>The PBAC considered that the claim of non-inferior comparative effectiveness was reasonable.</w:t>
      </w:r>
    </w:p>
    <w:p w:rsidR="00301DD3" w:rsidRPr="00DB760B" w:rsidRDefault="00301DD3" w:rsidP="00050ADD">
      <w:pPr>
        <w:pStyle w:val="ListParagraph"/>
        <w:widowControl/>
        <w:numPr>
          <w:ilvl w:val="1"/>
          <w:numId w:val="1"/>
        </w:numPr>
        <w:spacing w:after="120"/>
        <w:ind w:left="810" w:hanging="810"/>
        <w:rPr>
          <w:rFonts w:asciiTheme="minorHAnsi" w:hAnsiTheme="minorHAnsi"/>
          <w:szCs w:val="20"/>
        </w:rPr>
      </w:pPr>
      <w:r w:rsidRPr="00DB760B">
        <w:rPr>
          <w:rFonts w:asciiTheme="minorHAnsi" w:hAnsiTheme="minorHAnsi"/>
          <w:szCs w:val="20"/>
        </w:rPr>
        <w:t xml:space="preserve">The PBAC considered that the claim of non-inferior comparative safety was </w:t>
      </w:r>
      <w:r w:rsidR="004E1307" w:rsidRPr="00DB760B">
        <w:rPr>
          <w:rFonts w:asciiTheme="minorHAnsi" w:hAnsiTheme="minorHAnsi"/>
          <w:szCs w:val="20"/>
        </w:rPr>
        <w:t>reasonable</w:t>
      </w:r>
      <w:r w:rsidRPr="00DB760B">
        <w:rPr>
          <w:rFonts w:asciiTheme="minorHAnsi" w:hAnsiTheme="minorHAnsi"/>
          <w:szCs w:val="20"/>
        </w:rPr>
        <w:t>.</w:t>
      </w:r>
    </w:p>
    <w:p w:rsidR="00B60939" w:rsidRPr="00DB760B" w:rsidRDefault="00B60939" w:rsidP="001B3286">
      <w:pPr>
        <w:pStyle w:val="Heading2"/>
        <w:spacing w:before="240" w:after="120"/>
      </w:pPr>
      <w:bookmarkStart w:id="12" w:name="_Toc514244715"/>
      <w:r w:rsidRPr="00DB760B">
        <w:t>Economic analysis</w:t>
      </w:r>
      <w:bookmarkEnd w:id="12"/>
    </w:p>
    <w:p w:rsidR="00275C5A" w:rsidRPr="00DB760B" w:rsidRDefault="00C332A2" w:rsidP="00050ADD">
      <w:pPr>
        <w:pStyle w:val="ListParagraph"/>
        <w:widowControl/>
        <w:numPr>
          <w:ilvl w:val="1"/>
          <w:numId w:val="1"/>
        </w:numPr>
      </w:pPr>
      <w:r w:rsidRPr="00DB760B">
        <w:rPr>
          <w:rFonts w:cs="Calibri"/>
          <w:snapToGrid/>
          <w:szCs w:val="24"/>
          <w:lang w:eastAsia="en-AU"/>
        </w:rPr>
        <w:t>For the economic evaluation t</w:t>
      </w:r>
      <w:r w:rsidR="00AA73D8" w:rsidRPr="00DB760B">
        <w:rPr>
          <w:rFonts w:cs="Calibri"/>
          <w:snapToGrid/>
          <w:szCs w:val="24"/>
          <w:lang w:eastAsia="en-AU"/>
        </w:rPr>
        <w:t xml:space="preserve">he submission presented a cost-minimisation approach. </w:t>
      </w:r>
    </w:p>
    <w:p w:rsidR="002F5323" w:rsidRPr="00DB760B" w:rsidRDefault="005F1E68" w:rsidP="001A5F34">
      <w:pPr>
        <w:keepNext/>
        <w:widowControl/>
        <w:rPr>
          <w:rStyle w:val="CommentReference"/>
        </w:rPr>
      </w:pPr>
      <w:r w:rsidRPr="00DB760B">
        <w:rPr>
          <w:rStyle w:val="CommentReference"/>
        </w:rPr>
        <w:lastRenderedPageBreak/>
        <w:t>Table 6</w:t>
      </w:r>
      <w:r w:rsidR="002F5323" w:rsidRPr="00DB760B">
        <w:rPr>
          <w:rStyle w:val="CommentReference"/>
        </w:rPr>
        <w:t>:  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42"/>
      </w:tblGrid>
      <w:tr w:rsidR="002F5323" w:rsidRPr="00DB760B" w:rsidTr="00602DCC">
        <w:trPr>
          <w:cantSplit/>
        </w:trPr>
        <w:tc>
          <w:tcPr>
            <w:tcW w:w="1838" w:type="dxa"/>
            <w:tcMar>
              <w:left w:w="28" w:type="dxa"/>
              <w:right w:w="28" w:type="dxa"/>
            </w:tcMar>
            <w:vAlign w:val="center"/>
          </w:tcPr>
          <w:p w:rsidR="002F5323" w:rsidRPr="00DB760B" w:rsidRDefault="002F5323" w:rsidP="001A5F34">
            <w:pPr>
              <w:pStyle w:val="Tabletext"/>
              <w:keepNext/>
              <w:rPr>
                <w:b/>
              </w:rPr>
            </w:pPr>
            <w:r w:rsidRPr="00DB760B">
              <w:rPr>
                <w:b/>
              </w:rPr>
              <w:t>Component</w:t>
            </w:r>
          </w:p>
        </w:tc>
        <w:tc>
          <w:tcPr>
            <w:tcW w:w="7342" w:type="dxa"/>
            <w:tcMar>
              <w:left w:w="28" w:type="dxa"/>
              <w:right w:w="28" w:type="dxa"/>
            </w:tcMar>
            <w:vAlign w:val="center"/>
          </w:tcPr>
          <w:p w:rsidR="002F5323" w:rsidRPr="00DB760B" w:rsidRDefault="002F5323" w:rsidP="001A5F34">
            <w:pPr>
              <w:pStyle w:val="Tabletext"/>
              <w:keepNext/>
              <w:jc w:val="center"/>
              <w:rPr>
                <w:b/>
              </w:rPr>
            </w:pPr>
            <w:r w:rsidRPr="00DB760B">
              <w:rPr>
                <w:b/>
              </w:rPr>
              <w:t>Claim or assumption</w:t>
            </w:r>
          </w:p>
        </w:tc>
      </w:tr>
      <w:tr w:rsidR="002F5323" w:rsidRPr="00DB760B" w:rsidTr="00602DCC">
        <w:trPr>
          <w:cantSplit/>
        </w:trPr>
        <w:tc>
          <w:tcPr>
            <w:tcW w:w="1838" w:type="dxa"/>
            <w:tcMar>
              <w:left w:w="28" w:type="dxa"/>
              <w:right w:w="28" w:type="dxa"/>
            </w:tcMar>
            <w:vAlign w:val="center"/>
          </w:tcPr>
          <w:p w:rsidR="002F5323" w:rsidRPr="00DB760B" w:rsidRDefault="002F5323" w:rsidP="001A5F34">
            <w:pPr>
              <w:pStyle w:val="Tabletext"/>
              <w:keepNext/>
            </w:pPr>
            <w:r w:rsidRPr="00DB760B">
              <w:t>Therapeutic claim: effectiveness</w:t>
            </w:r>
          </w:p>
        </w:tc>
        <w:tc>
          <w:tcPr>
            <w:tcW w:w="7342" w:type="dxa"/>
            <w:tcMar>
              <w:left w:w="28" w:type="dxa"/>
              <w:right w:w="28" w:type="dxa"/>
            </w:tcMar>
            <w:vAlign w:val="center"/>
          </w:tcPr>
          <w:p w:rsidR="002F5323" w:rsidRPr="00DB760B" w:rsidRDefault="002F5323" w:rsidP="001A5F34">
            <w:pPr>
              <w:pStyle w:val="Tabletext"/>
              <w:keepNext/>
            </w:pPr>
            <w:r w:rsidRPr="00DB760B">
              <w:t>Effectiveness of [ERTU] + SITA + MF compared to the comparators, [DAPA] + SAXA + MF and [EMPA] + LINA + MF, was assumed to be non-inferior</w:t>
            </w:r>
          </w:p>
        </w:tc>
      </w:tr>
      <w:tr w:rsidR="002F5323" w:rsidRPr="00DB760B" w:rsidTr="00602DCC">
        <w:trPr>
          <w:cantSplit/>
        </w:trPr>
        <w:tc>
          <w:tcPr>
            <w:tcW w:w="1838" w:type="dxa"/>
            <w:tcMar>
              <w:left w:w="28" w:type="dxa"/>
              <w:right w:w="28" w:type="dxa"/>
            </w:tcMar>
            <w:vAlign w:val="center"/>
          </w:tcPr>
          <w:p w:rsidR="002F5323" w:rsidRPr="00DB760B" w:rsidRDefault="002F5323" w:rsidP="001A5F34">
            <w:pPr>
              <w:pStyle w:val="Tabletext"/>
              <w:keepNext/>
            </w:pPr>
            <w:r w:rsidRPr="00DB760B">
              <w:t>Therapeutic claim: safety</w:t>
            </w:r>
          </w:p>
        </w:tc>
        <w:tc>
          <w:tcPr>
            <w:tcW w:w="7342" w:type="dxa"/>
            <w:tcMar>
              <w:left w:w="28" w:type="dxa"/>
              <w:right w:w="28" w:type="dxa"/>
            </w:tcMar>
            <w:vAlign w:val="center"/>
          </w:tcPr>
          <w:p w:rsidR="002F5323" w:rsidRPr="00DB760B" w:rsidRDefault="002F5323" w:rsidP="001A5F34">
            <w:pPr>
              <w:pStyle w:val="Tabletext"/>
              <w:keepNext/>
            </w:pPr>
            <w:r w:rsidRPr="00DB760B">
              <w:t>Safety of [ERTU] + SITA + MF compared to the comparators, [DAPA] + SAXA + MF and [EMPA] + LINA + MF, was assumed to be non-inferior</w:t>
            </w:r>
          </w:p>
        </w:tc>
      </w:tr>
      <w:tr w:rsidR="002F5323" w:rsidRPr="00DB760B" w:rsidTr="00602DCC">
        <w:trPr>
          <w:cantSplit/>
        </w:trPr>
        <w:tc>
          <w:tcPr>
            <w:tcW w:w="1838" w:type="dxa"/>
            <w:tcMar>
              <w:left w:w="28" w:type="dxa"/>
              <w:right w:w="28" w:type="dxa"/>
            </w:tcMar>
            <w:vAlign w:val="center"/>
          </w:tcPr>
          <w:p w:rsidR="002F5323" w:rsidRPr="00DB760B" w:rsidRDefault="002F5323" w:rsidP="001A5F34">
            <w:pPr>
              <w:pStyle w:val="Tabletext"/>
              <w:keepNext/>
            </w:pPr>
            <w:r w:rsidRPr="00DB760B">
              <w:t>Key evidence base</w:t>
            </w:r>
          </w:p>
        </w:tc>
        <w:tc>
          <w:tcPr>
            <w:tcW w:w="7342" w:type="dxa"/>
            <w:tcMar>
              <w:left w:w="28" w:type="dxa"/>
              <w:right w:w="28" w:type="dxa"/>
            </w:tcMar>
            <w:vAlign w:val="center"/>
          </w:tcPr>
          <w:p w:rsidR="002F5323" w:rsidRPr="00DB760B" w:rsidRDefault="002F5323" w:rsidP="001A5F34">
            <w:pPr>
              <w:pStyle w:val="Tabletext"/>
              <w:keepNext/>
            </w:pPr>
            <w:r w:rsidRPr="00DB760B">
              <w:t xml:space="preserve">Indirect comparison of [ERTU] + SITA + MF with: </w:t>
            </w:r>
          </w:p>
          <w:p w:rsidR="002F5323" w:rsidRPr="00DB760B" w:rsidRDefault="002F5323" w:rsidP="001A5F34">
            <w:pPr>
              <w:pStyle w:val="Tabletext"/>
              <w:keepNext/>
            </w:pPr>
            <w:r w:rsidRPr="00DB760B">
              <w:t>- [DAPA] + SAXA + MF triple therapy; and</w:t>
            </w:r>
          </w:p>
          <w:p w:rsidR="002F5323" w:rsidRPr="00DB760B" w:rsidRDefault="002F5323" w:rsidP="001A5F34">
            <w:pPr>
              <w:pStyle w:val="Tabletext"/>
              <w:keepNext/>
            </w:pPr>
            <w:r w:rsidRPr="00DB760B">
              <w:t>- [EMPA] + LINA + MF triple therapy.</w:t>
            </w:r>
          </w:p>
          <w:p w:rsidR="002F5323" w:rsidRPr="00DB760B" w:rsidRDefault="002F5323" w:rsidP="001A5F34">
            <w:pPr>
              <w:pStyle w:val="Tabletext"/>
              <w:keepNext/>
            </w:pPr>
            <w:r w:rsidRPr="00DB760B">
              <w:t>PLUS</w:t>
            </w:r>
          </w:p>
          <w:p w:rsidR="002F5323" w:rsidRPr="00DB760B" w:rsidRDefault="002F5323" w:rsidP="001A5F34">
            <w:pPr>
              <w:pStyle w:val="Tabletext"/>
              <w:keepNext/>
            </w:pPr>
            <w:r w:rsidRPr="00DB760B">
              <w:t>Bioequivalence data that ERTU with SITA (5 mg/100</w:t>
            </w:r>
            <w:r w:rsidR="00602DCC" w:rsidRPr="00DB760B">
              <w:t xml:space="preserve"> </w:t>
            </w:r>
            <w:r w:rsidRPr="00DB760B">
              <w:t xml:space="preserve">mg, 15 mg/100 mg) </w:t>
            </w:r>
            <w:r w:rsidR="00602DCC" w:rsidRPr="00DB760B">
              <w:t xml:space="preserve">FDC products </w:t>
            </w:r>
            <w:r w:rsidRPr="00DB760B">
              <w:t>were bioequivalent to the co-administration of the individual doses and are non-inferior to the comparator FDC products (DAPA with SAXA 10 mg/5 mg and EMPA with LINA 10 mg/5 mg, 25 mg/5 mg).</w:t>
            </w:r>
          </w:p>
        </w:tc>
      </w:tr>
      <w:tr w:rsidR="002F5323" w:rsidRPr="00DB760B" w:rsidTr="00602DCC">
        <w:trPr>
          <w:cantSplit/>
        </w:trPr>
        <w:tc>
          <w:tcPr>
            <w:tcW w:w="1838" w:type="dxa"/>
            <w:tcMar>
              <w:left w:w="28" w:type="dxa"/>
              <w:right w:w="28" w:type="dxa"/>
            </w:tcMar>
            <w:vAlign w:val="center"/>
          </w:tcPr>
          <w:p w:rsidR="002F5323" w:rsidRPr="00DB760B" w:rsidRDefault="002F5323" w:rsidP="001A5F34">
            <w:pPr>
              <w:pStyle w:val="Tabletext"/>
              <w:keepNext/>
            </w:pPr>
            <w:proofErr w:type="spellStart"/>
            <w:r w:rsidRPr="00DB760B">
              <w:t>Equi</w:t>
            </w:r>
            <w:proofErr w:type="spellEnd"/>
            <w:r w:rsidRPr="00DB760B">
              <w:t>-effective doses</w:t>
            </w:r>
          </w:p>
        </w:tc>
        <w:tc>
          <w:tcPr>
            <w:tcW w:w="7342" w:type="dxa"/>
            <w:tcMar>
              <w:left w:w="28" w:type="dxa"/>
              <w:right w:w="28" w:type="dxa"/>
            </w:tcMar>
            <w:vAlign w:val="center"/>
          </w:tcPr>
          <w:p w:rsidR="002F5323" w:rsidRPr="00DB760B" w:rsidRDefault="002F5323" w:rsidP="001A5F34">
            <w:pPr>
              <w:pStyle w:val="Tabletext"/>
              <w:keepNext/>
            </w:pPr>
            <w:r w:rsidRPr="00DB760B">
              <w:t>ERTU 5 mg or 15 mg = DAPA 10 mg = EMPA 10 mg or 25 mg</w:t>
            </w:r>
          </w:p>
          <w:p w:rsidR="002F5323" w:rsidRPr="00DB760B" w:rsidRDefault="002F5323" w:rsidP="001A5F34">
            <w:pPr>
              <w:pStyle w:val="Tabletext"/>
              <w:keepNext/>
            </w:pPr>
            <w:r w:rsidRPr="00DB760B">
              <w:t>SITA 100 mg = SAXA 5 mg = LINA 5 mg</w:t>
            </w:r>
          </w:p>
        </w:tc>
      </w:tr>
      <w:tr w:rsidR="002F5323" w:rsidRPr="00DB760B" w:rsidTr="00602DCC">
        <w:trPr>
          <w:cantSplit/>
        </w:trPr>
        <w:tc>
          <w:tcPr>
            <w:tcW w:w="1838" w:type="dxa"/>
            <w:tcMar>
              <w:left w:w="28" w:type="dxa"/>
              <w:right w:w="28" w:type="dxa"/>
            </w:tcMar>
            <w:vAlign w:val="center"/>
          </w:tcPr>
          <w:p w:rsidR="002F5323" w:rsidRPr="00DB760B" w:rsidRDefault="002F5323" w:rsidP="001A5F34">
            <w:pPr>
              <w:pStyle w:val="Tabletext"/>
              <w:keepNext/>
            </w:pPr>
            <w:r w:rsidRPr="00DB760B">
              <w:t>Direct medicine costs</w:t>
            </w:r>
          </w:p>
        </w:tc>
        <w:tc>
          <w:tcPr>
            <w:tcW w:w="7342" w:type="dxa"/>
            <w:tcMar>
              <w:left w:w="28" w:type="dxa"/>
              <w:right w:w="28" w:type="dxa"/>
            </w:tcMar>
            <w:vAlign w:val="center"/>
          </w:tcPr>
          <w:p w:rsidR="002F5323" w:rsidRPr="00DB760B" w:rsidRDefault="002F5323" w:rsidP="001A5F34">
            <w:pPr>
              <w:pStyle w:val="Tabletext"/>
              <w:keepNext/>
            </w:pPr>
            <w:r w:rsidRPr="00DB760B">
              <w:t xml:space="preserve">Costs of the proposed medicine, </w:t>
            </w:r>
            <w:r w:rsidR="000A6FAA" w:rsidRPr="00DB760B">
              <w:t xml:space="preserve">ERTU </w:t>
            </w:r>
            <w:r w:rsidRPr="00DB760B">
              <w:t xml:space="preserve">with </w:t>
            </w:r>
            <w:r w:rsidR="000A6FAA" w:rsidRPr="00DB760B">
              <w:t>SITA</w:t>
            </w:r>
            <w:r w:rsidRPr="00DB760B">
              <w:t xml:space="preserve"> (5 mg/100 mg, 15 mg/100</w:t>
            </w:r>
            <w:r w:rsidR="00602DCC" w:rsidRPr="00DB760B">
              <w:t xml:space="preserve"> </w:t>
            </w:r>
            <w:r w:rsidRPr="00DB760B">
              <w:t xml:space="preserve">mg) </w:t>
            </w:r>
            <w:r w:rsidR="00602DCC" w:rsidRPr="00DB760B">
              <w:t xml:space="preserve">FDCs </w:t>
            </w:r>
            <w:r w:rsidRPr="00DB760B">
              <w:t xml:space="preserve">per patient year are equivalent to the costs of the comparators, </w:t>
            </w:r>
            <w:r w:rsidR="000A6FAA" w:rsidRPr="00DB760B">
              <w:t>DAPA</w:t>
            </w:r>
            <w:r w:rsidRPr="00DB760B">
              <w:t xml:space="preserve"> with </w:t>
            </w:r>
            <w:r w:rsidR="000A6FAA" w:rsidRPr="00DB760B">
              <w:t>SAXA</w:t>
            </w:r>
            <w:r w:rsidRPr="00DB760B">
              <w:t xml:space="preserve"> (10 mg/5</w:t>
            </w:r>
            <w:r w:rsidR="00602DCC" w:rsidRPr="00DB760B">
              <w:t xml:space="preserve"> </w:t>
            </w:r>
            <w:r w:rsidRPr="00DB760B">
              <w:t xml:space="preserve">mg) and </w:t>
            </w:r>
            <w:r w:rsidR="000A6FAA" w:rsidRPr="00DB760B">
              <w:t xml:space="preserve">EMPA </w:t>
            </w:r>
            <w:r w:rsidRPr="00DB760B">
              <w:t xml:space="preserve">with </w:t>
            </w:r>
            <w:r w:rsidR="000A6FAA" w:rsidRPr="00DB760B">
              <w:t>LINA</w:t>
            </w:r>
            <w:r w:rsidRPr="00DB760B">
              <w:t xml:space="preserve"> </w:t>
            </w:r>
            <w:r w:rsidR="00602DCC" w:rsidRPr="00DB760B">
              <w:t>(</w:t>
            </w:r>
            <w:r w:rsidRPr="00DB760B">
              <w:t>10 mg/5 mg, 25 mg/5 mg)</w:t>
            </w:r>
            <w:r w:rsidR="00602DCC" w:rsidRPr="00DB760B">
              <w:t xml:space="preserve"> FDC products</w:t>
            </w:r>
          </w:p>
        </w:tc>
      </w:tr>
      <w:tr w:rsidR="002F5323" w:rsidRPr="00DB760B" w:rsidTr="00602DCC">
        <w:trPr>
          <w:cantSplit/>
        </w:trPr>
        <w:tc>
          <w:tcPr>
            <w:tcW w:w="1838" w:type="dxa"/>
            <w:tcMar>
              <w:left w:w="28" w:type="dxa"/>
              <w:right w:w="28" w:type="dxa"/>
            </w:tcMar>
            <w:vAlign w:val="center"/>
          </w:tcPr>
          <w:p w:rsidR="002F5323" w:rsidRPr="00DB760B" w:rsidRDefault="002F5323" w:rsidP="001A5F34">
            <w:pPr>
              <w:pStyle w:val="Tabletext"/>
              <w:keepNext/>
            </w:pPr>
            <w:r w:rsidRPr="00DB760B">
              <w:t>Other costs</w:t>
            </w:r>
            <w:r w:rsidR="00602DCC" w:rsidRPr="00DB760B">
              <w:t>/</w:t>
            </w:r>
            <w:r w:rsidRPr="00DB760B">
              <w:t>cost offsets</w:t>
            </w:r>
          </w:p>
        </w:tc>
        <w:tc>
          <w:tcPr>
            <w:tcW w:w="7342" w:type="dxa"/>
            <w:tcMar>
              <w:left w:w="28" w:type="dxa"/>
              <w:right w:w="28" w:type="dxa"/>
            </w:tcMar>
            <w:vAlign w:val="center"/>
          </w:tcPr>
          <w:p w:rsidR="002F5323" w:rsidRPr="00DB760B" w:rsidRDefault="002F5323" w:rsidP="001A5F34">
            <w:pPr>
              <w:pStyle w:val="Tabletext"/>
              <w:keepNext/>
            </w:pPr>
            <w:r w:rsidRPr="00DB760B">
              <w:t>None</w:t>
            </w:r>
          </w:p>
        </w:tc>
      </w:tr>
    </w:tbl>
    <w:p w:rsidR="002F5323" w:rsidRPr="00DB760B" w:rsidRDefault="002F5323" w:rsidP="002F5323">
      <w:pPr>
        <w:pStyle w:val="TableFooter"/>
      </w:pPr>
      <w:r w:rsidRPr="00DB760B">
        <w:t>Source: Table 3-1, Section 3.1.1 of the submission</w:t>
      </w:r>
    </w:p>
    <w:p w:rsidR="002F5323" w:rsidRPr="00DB760B" w:rsidRDefault="002F5323" w:rsidP="002F5323">
      <w:pPr>
        <w:pStyle w:val="TableFooter"/>
      </w:pPr>
      <w:r w:rsidRPr="00DB760B">
        <w:t xml:space="preserve">DAPA = </w:t>
      </w:r>
      <w:proofErr w:type="spellStart"/>
      <w:r w:rsidRPr="00DB760B">
        <w:t>dapagliflozin</w:t>
      </w:r>
      <w:proofErr w:type="spellEnd"/>
      <w:r w:rsidRPr="00DB760B">
        <w:t xml:space="preserve">; EMPA = </w:t>
      </w:r>
      <w:proofErr w:type="spellStart"/>
      <w:r w:rsidRPr="00DB760B">
        <w:t>empagliflozin</w:t>
      </w:r>
      <w:proofErr w:type="spellEnd"/>
      <w:r w:rsidRPr="00DB760B">
        <w:t xml:space="preserve">; ERTU = </w:t>
      </w:r>
      <w:proofErr w:type="spellStart"/>
      <w:r w:rsidRPr="00DB760B">
        <w:t>ertugliflozin</w:t>
      </w:r>
      <w:proofErr w:type="spellEnd"/>
      <w:r w:rsidRPr="00DB760B">
        <w:t xml:space="preserve">; FDC = fixed dose combination; LINA = </w:t>
      </w:r>
      <w:proofErr w:type="spellStart"/>
      <w:r w:rsidRPr="00DB760B">
        <w:t>linagliptin</w:t>
      </w:r>
      <w:proofErr w:type="spellEnd"/>
      <w:r w:rsidRPr="00DB760B">
        <w:t xml:space="preserve">; MF = metformin; SAXA = </w:t>
      </w:r>
      <w:proofErr w:type="spellStart"/>
      <w:r w:rsidRPr="00DB760B">
        <w:t>saxagliptin</w:t>
      </w:r>
      <w:proofErr w:type="spellEnd"/>
      <w:r w:rsidRPr="00DB760B">
        <w:t xml:space="preserve">; SITA = </w:t>
      </w:r>
      <w:proofErr w:type="spellStart"/>
      <w:r w:rsidRPr="00DB760B">
        <w:t>sitagliptin</w:t>
      </w:r>
      <w:proofErr w:type="spellEnd"/>
    </w:p>
    <w:p w:rsidR="000A6FAA" w:rsidRPr="00DB760B" w:rsidRDefault="000A6FAA" w:rsidP="000A6FAA">
      <w:pPr>
        <w:rPr>
          <w:rStyle w:val="CommentReference"/>
        </w:rPr>
      </w:pPr>
    </w:p>
    <w:p w:rsidR="00E969B9" w:rsidRPr="00DB760B" w:rsidRDefault="00E969B9" w:rsidP="00050ADD">
      <w:pPr>
        <w:pStyle w:val="ListParagraph"/>
        <w:widowControl/>
        <w:numPr>
          <w:ilvl w:val="1"/>
          <w:numId w:val="1"/>
        </w:numPr>
      </w:pPr>
      <w:r w:rsidRPr="00DB760B">
        <w:t xml:space="preserve">The </w:t>
      </w:r>
      <w:proofErr w:type="spellStart"/>
      <w:r w:rsidRPr="00DB760B">
        <w:t>equi</w:t>
      </w:r>
      <w:proofErr w:type="spellEnd"/>
      <w:r w:rsidRPr="00DB760B">
        <w:t>-effective doses we</w:t>
      </w:r>
      <w:r w:rsidR="00A86E8B" w:rsidRPr="00DB760B">
        <w:t xml:space="preserve">re estimated </w:t>
      </w:r>
      <w:r w:rsidR="00864E90" w:rsidRPr="00DB760B">
        <w:t xml:space="preserve">by the submission </w:t>
      </w:r>
      <w:r w:rsidR="00A86E8B" w:rsidRPr="00DB760B">
        <w:t>as</w:t>
      </w:r>
      <w:r w:rsidRPr="00DB760B">
        <w:t>:</w:t>
      </w:r>
    </w:p>
    <w:p w:rsidR="00E969B9" w:rsidRPr="00DB760B" w:rsidRDefault="00E969B9" w:rsidP="00E969B9">
      <w:pPr>
        <w:pStyle w:val="ListParagraph"/>
        <w:widowControl/>
        <w:ind w:firstLine="720"/>
      </w:pPr>
      <w:proofErr w:type="spellStart"/>
      <w:r w:rsidRPr="00DB760B">
        <w:t>Ertugliflozin</w:t>
      </w:r>
      <w:proofErr w:type="spellEnd"/>
      <w:r w:rsidRPr="00DB760B">
        <w:t xml:space="preserve"> (5 mg or 15 mg) plus </w:t>
      </w:r>
      <w:proofErr w:type="spellStart"/>
      <w:r w:rsidRPr="00DB760B">
        <w:t>sitagliptin</w:t>
      </w:r>
      <w:proofErr w:type="spellEnd"/>
      <w:r w:rsidRPr="00DB760B">
        <w:t xml:space="preserve"> (100 mg)  </w:t>
      </w:r>
    </w:p>
    <w:p w:rsidR="00E969B9" w:rsidRPr="00DB760B" w:rsidRDefault="00E97351" w:rsidP="00E969B9">
      <w:pPr>
        <w:pStyle w:val="ListParagraph"/>
        <w:widowControl/>
        <w:ind w:firstLine="720"/>
      </w:pPr>
      <w:r w:rsidRPr="00DB760B">
        <w:t xml:space="preserve">= </w:t>
      </w:r>
      <w:proofErr w:type="spellStart"/>
      <w:r w:rsidR="00E969B9" w:rsidRPr="00DB760B">
        <w:t>Dapagliflozin</w:t>
      </w:r>
      <w:proofErr w:type="spellEnd"/>
      <w:r w:rsidR="00E969B9" w:rsidRPr="00DB760B">
        <w:t xml:space="preserve"> (1</w:t>
      </w:r>
      <w:r w:rsidRPr="00DB760B">
        <w:t xml:space="preserve">0 mg) plus </w:t>
      </w:r>
      <w:proofErr w:type="spellStart"/>
      <w:r w:rsidRPr="00DB760B">
        <w:t>saxagliptin</w:t>
      </w:r>
      <w:proofErr w:type="spellEnd"/>
      <w:r w:rsidRPr="00DB760B">
        <w:t xml:space="preserve"> (5 mg) </w:t>
      </w:r>
    </w:p>
    <w:p w:rsidR="00E969B9" w:rsidRPr="00DB760B" w:rsidRDefault="00E97351" w:rsidP="00E969B9">
      <w:pPr>
        <w:pStyle w:val="ListParagraph"/>
        <w:widowControl/>
        <w:ind w:firstLine="720"/>
      </w:pPr>
      <w:r w:rsidRPr="00DB760B">
        <w:t xml:space="preserve">= </w:t>
      </w:r>
      <w:proofErr w:type="spellStart"/>
      <w:r w:rsidR="00E969B9" w:rsidRPr="00DB760B">
        <w:t>Empagliflozin</w:t>
      </w:r>
      <w:proofErr w:type="spellEnd"/>
      <w:r w:rsidR="00E969B9" w:rsidRPr="00DB760B">
        <w:t xml:space="preserve"> (10 mg or 25 mg) plus </w:t>
      </w:r>
      <w:proofErr w:type="spellStart"/>
      <w:r w:rsidR="00E969B9" w:rsidRPr="00DB760B">
        <w:t>linagliptin</w:t>
      </w:r>
      <w:proofErr w:type="spellEnd"/>
      <w:r w:rsidR="00E969B9" w:rsidRPr="00DB760B">
        <w:t xml:space="preserve"> (5 mg)</w:t>
      </w:r>
    </w:p>
    <w:p w:rsidR="00E969B9" w:rsidRPr="00DB760B" w:rsidRDefault="00E969B9" w:rsidP="00050ADD">
      <w:pPr>
        <w:pStyle w:val="ListParagraph"/>
        <w:widowControl/>
        <w:numPr>
          <w:ilvl w:val="1"/>
          <w:numId w:val="1"/>
        </w:numPr>
      </w:pPr>
      <w:r w:rsidRPr="00DB760B">
        <w:t xml:space="preserve">The PBAC accepted </w:t>
      </w:r>
      <w:r w:rsidR="00477438" w:rsidRPr="00DB760B">
        <w:t xml:space="preserve">in March 2018 </w:t>
      </w:r>
      <w:r w:rsidRPr="00DB760B">
        <w:t xml:space="preserve">that </w:t>
      </w:r>
      <w:proofErr w:type="spellStart"/>
      <w:r w:rsidRPr="00DB760B">
        <w:t>ertugliflozin</w:t>
      </w:r>
      <w:proofErr w:type="spellEnd"/>
      <w:r w:rsidRPr="00DB760B">
        <w:t xml:space="preserve"> 5 mg = </w:t>
      </w:r>
      <w:proofErr w:type="spellStart"/>
      <w:r w:rsidRPr="00DB760B">
        <w:t>dapagliflozin</w:t>
      </w:r>
      <w:proofErr w:type="spellEnd"/>
      <w:r w:rsidRPr="00DB760B">
        <w:t xml:space="preserve"> 10 mg = </w:t>
      </w:r>
      <w:proofErr w:type="spellStart"/>
      <w:r w:rsidRPr="00DB760B">
        <w:t>empagliflozin</w:t>
      </w:r>
      <w:proofErr w:type="spellEnd"/>
      <w:r w:rsidRPr="00DB760B">
        <w:t xml:space="preserve"> 10 mg or 25 mg</w:t>
      </w:r>
      <w:r w:rsidR="00477438" w:rsidRPr="00DB760B">
        <w:t xml:space="preserve"> (paragraph 7.4, March 2018 </w:t>
      </w:r>
      <w:r w:rsidR="002C1A9F" w:rsidRPr="00DB760B">
        <w:t>PSD</w:t>
      </w:r>
      <w:r w:rsidR="00477438" w:rsidRPr="00DB760B">
        <w:t xml:space="preserve">, </w:t>
      </w:r>
      <w:proofErr w:type="spellStart"/>
      <w:r w:rsidR="00477438" w:rsidRPr="00DB760B">
        <w:t>ertugliflozin</w:t>
      </w:r>
      <w:proofErr w:type="spellEnd"/>
      <w:r w:rsidR="00477438" w:rsidRPr="00DB760B">
        <w:t xml:space="preserve"> and </w:t>
      </w:r>
      <w:proofErr w:type="spellStart"/>
      <w:r w:rsidR="00477438" w:rsidRPr="00DB760B">
        <w:t>ertugliflozin</w:t>
      </w:r>
      <w:proofErr w:type="spellEnd"/>
      <w:r w:rsidR="00477438" w:rsidRPr="00DB760B">
        <w:t xml:space="preserve"> with metformin).</w:t>
      </w:r>
      <w:r w:rsidR="002C1A9F" w:rsidRPr="00DB760B">
        <w:t xml:space="preserve"> At the July 2018 meeting the PBAC accepted that </w:t>
      </w:r>
      <w:proofErr w:type="spellStart"/>
      <w:r w:rsidR="002C1A9F" w:rsidRPr="00DB760B">
        <w:t>ertugliflozin</w:t>
      </w:r>
      <w:proofErr w:type="spellEnd"/>
      <w:r w:rsidR="002C1A9F" w:rsidRPr="00DB760B">
        <w:t xml:space="preserve"> 5 mg or 15 mg = </w:t>
      </w:r>
      <w:proofErr w:type="spellStart"/>
      <w:r w:rsidR="002C1A9F" w:rsidRPr="00DB760B">
        <w:t>dapagliflozin</w:t>
      </w:r>
      <w:proofErr w:type="spellEnd"/>
      <w:r w:rsidR="002C1A9F" w:rsidRPr="00DB760B">
        <w:t xml:space="preserve"> 10 mg = </w:t>
      </w:r>
      <w:proofErr w:type="spellStart"/>
      <w:r w:rsidR="002C1A9F" w:rsidRPr="00DB760B">
        <w:t>empagliflozin</w:t>
      </w:r>
      <w:proofErr w:type="spellEnd"/>
      <w:r w:rsidR="002C1A9F" w:rsidRPr="00DB760B">
        <w:t xml:space="preserve"> 10 mg or 25 mg.</w:t>
      </w:r>
    </w:p>
    <w:p w:rsidR="00E969B9" w:rsidRPr="00DB760B" w:rsidRDefault="00E969B9" w:rsidP="00050ADD">
      <w:pPr>
        <w:pStyle w:val="ListParagraph"/>
        <w:widowControl/>
        <w:numPr>
          <w:ilvl w:val="1"/>
          <w:numId w:val="1"/>
        </w:numPr>
      </w:pPr>
      <w:r w:rsidRPr="00DB760B">
        <w:t xml:space="preserve">The PBAC has previously accepted that </w:t>
      </w:r>
      <w:proofErr w:type="spellStart"/>
      <w:r w:rsidRPr="00DB760B">
        <w:t>sitagliptin</w:t>
      </w:r>
      <w:proofErr w:type="spellEnd"/>
      <w:r w:rsidRPr="00DB760B">
        <w:t xml:space="preserve"> 100 mg = </w:t>
      </w:r>
      <w:proofErr w:type="spellStart"/>
      <w:r w:rsidRPr="00DB760B">
        <w:t>saxagliptin</w:t>
      </w:r>
      <w:proofErr w:type="spellEnd"/>
      <w:r w:rsidRPr="00DB760B">
        <w:t xml:space="preserve"> 5 mg = </w:t>
      </w:r>
      <w:proofErr w:type="spellStart"/>
      <w:r w:rsidRPr="00DB760B">
        <w:t>linagliptin</w:t>
      </w:r>
      <w:proofErr w:type="spellEnd"/>
      <w:r w:rsidRPr="00DB760B">
        <w:t xml:space="preserve"> 5 mg</w:t>
      </w:r>
      <w:r w:rsidR="001B1FAE" w:rsidRPr="00DB760B">
        <w:t xml:space="preserve"> (PBS Therapeutic Relativity sheets, February 2018)</w:t>
      </w:r>
      <w:r w:rsidRPr="00DB760B">
        <w:t>.</w:t>
      </w:r>
    </w:p>
    <w:p w:rsidR="00C25D9C" w:rsidRPr="00DB760B" w:rsidRDefault="00E969B9" w:rsidP="00050ADD">
      <w:pPr>
        <w:pStyle w:val="ListParagraph"/>
        <w:widowControl/>
        <w:numPr>
          <w:ilvl w:val="1"/>
          <w:numId w:val="1"/>
        </w:numPr>
      </w:pPr>
      <w:r w:rsidRPr="00DB760B">
        <w:t xml:space="preserve">In addition, </w:t>
      </w:r>
      <w:proofErr w:type="spellStart"/>
      <w:r w:rsidRPr="00DB760B">
        <w:t>ertugliflozin</w:t>
      </w:r>
      <w:proofErr w:type="spellEnd"/>
      <w:r w:rsidRPr="00DB760B">
        <w:t xml:space="preserve"> with </w:t>
      </w:r>
      <w:proofErr w:type="spellStart"/>
      <w:r w:rsidRPr="00DB760B">
        <w:t>sitagliptin</w:t>
      </w:r>
      <w:proofErr w:type="spellEnd"/>
      <w:r w:rsidRPr="00DB760B">
        <w:t xml:space="preserve"> FDC products (5 mg/100 mg, 15</w:t>
      </w:r>
      <w:r w:rsidR="00C17F5C" w:rsidRPr="00DB760B">
        <w:t> </w:t>
      </w:r>
      <w:r w:rsidRPr="00DB760B">
        <w:t>mg/100</w:t>
      </w:r>
      <w:r w:rsidR="00C17F5C" w:rsidRPr="00DB760B">
        <w:t> </w:t>
      </w:r>
      <w:r w:rsidRPr="00DB760B">
        <w:t>mg) were considered bioequivalent to the co-administration of the individual components at corresponding doses.</w:t>
      </w:r>
      <w:r w:rsidR="00C13843" w:rsidRPr="00DB760B">
        <w:t xml:space="preserve"> Th</w:t>
      </w:r>
      <w:r w:rsidR="002C1A9F" w:rsidRPr="00DB760B">
        <w:t xml:space="preserve">e PBAC considered this </w:t>
      </w:r>
      <w:r w:rsidR="00C13843" w:rsidRPr="00DB760B">
        <w:t>was reasonable.</w:t>
      </w:r>
    </w:p>
    <w:p w:rsidR="00477438" w:rsidRPr="00DB760B" w:rsidRDefault="00477438" w:rsidP="00050ADD">
      <w:pPr>
        <w:pStyle w:val="ListParagraph"/>
        <w:widowControl/>
        <w:numPr>
          <w:ilvl w:val="1"/>
          <w:numId w:val="1"/>
        </w:numPr>
      </w:pPr>
      <w:r w:rsidRPr="00DB760B">
        <w:t xml:space="preserve">The </w:t>
      </w:r>
      <w:r w:rsidR="00C13843" w:rsidRPr="00DB760B">
        <w:t>requested DPMQ</w:t>
      </w:r>
      <w:r w:rsidRPr="00DB760B">
        <w:t xml:space="preserve"> for </w:t>
      </w:r>
      <w:proofErr w:type="spellStart"/>
      <w:r w:rsidRPr="00DB760B">
        <w:t>ertugliflozin</w:t>
      </w:r>
      <w:proofErr w:type="spellEnd"/>
      <w:r w:rsidRPr="00DB760B">
        <w:t xml:space="preserve"> with </w:t>
      </w:r>
      <w:proofErr w:type="spellStart"/>
      <w:r w:rsidRPr="00DB760B">
        <w:t>sitagliptin</w:t>
      </w:r>
      <w:proofErr w:type="spellEnd"/>
      <w:r w:rsidRPr="00DB760B">
        <w:t xml:space="preserve"> (5 mg/100 mg, 15 mg/100 mg) FDC products was $</w:t>
      </w:r>
      <w:r w:rsidR="002C1A9F" w:rsidRPr="00DB760B">
        <w:t>79.43</w:t>
      </w:r>
      <w:r w:rsidRPr="00DB760B">
        <w:t xml:space="preserve">. This was based on the DPMQs of the primary comparators (i.e. </w:t>
      </w:r>
      <w:proofErr w:type="spellStart"/>
      <w:r w:rsidRPr="00DB760B">
        <w:t>dapagliflozin</w:t>
      </w:r>
      <w:proofErr w:type="spellEnd"/>
      <w:r w:rsidRPr="00DB760B">
        <w:t xml:space="preserve"> </w:t>
      </w:r>
      <w:r w:rsidR="002C1A9F" w:rsidRPr="00DB760B">
        <w:t>with</w:t>
      </w:r>
      <w:r w:rsidRPr="00DB760B">
        <w:t xml:space="preserve"> </w:t>
      </w:r>
      <w:proofErr w:type="spellStart"/>
      <w:r w:rsidRPr="00DB760B">
        <w:t>saxagliptin</w:t>
      </w:r>
      <w:proofErr w:type="spellEnd"/>
      <w:r w:rsidRPr="00DB760B">
        <w:t xml:space="preserve">, and </w:t>
      </w:r>
      <w:proofErr w:type="spellStart"/>
      <w:r w:rsidRPr="00DB760B">
        <w:t>empagliflozin</w:t>
      </w:r>
      <w:proofErr w:type="spellEnd"/>
      <w:r w:rsidRPr="00DB760B">
        <w:t xml:space="preserve"> </w:t>
      </w:r>
      <w:r w:rsidR="002C1A9F" w:rsidRPr="00DB760B">
        <w:t xml:space="preserve">with </w:t>
      </w:r>
      <w:proofErr w:type="spellStart"/>
      <w:r w:rsidRPr="00DB760B">
        <w:t>linagliptin</w:t>
      </w:r>
      <w:proofErr w:type="spellEnd"/>
      <w:r w:rsidRPr="00DB760B">
        <w:t xml:space="preserve">). The submission acknowledged that the DPMQs might not reflect the </w:t>
      </w:r>
      <w:r w:rsidR="004E1307" w:rsidRPr="00DB760B">
        <w:t xml:space="preserve">effective </w:t>
      </w:r>
      <w:r w:rsidRPr="00DB760B">
        <w:t>prices of the FDC products. The Sponsor was wi</w:t>
      </w:r>
      <w:r w:rsidR="00FE61D1" w:rsidRPr="00DB760B">
        <w:t>lling to adjust the proposed DPMQ</w:t>
      </w:r>
      <w:r w:rsidRPr="00DB760B">
        <w:t xml:space="preserve"> to ensure the cost-minimisation framework was maintained.</w:t>
      </w:r>
    </w:p>
    <w:p w:rsidR="00CB0E2A" w:rsidRPr="00DB760B" w:rsidRDefault="000D1258" w:rsidP="00050ADD">
      <w:pPr>
        <w:pStyle w:val="ListParagraph"/>
        <w:widowControl/>
        <w:numPr>
          <w:ilvl w:val="1"/>
          <w:numId w:val="1"/>
        </w:numPr>
      </w:pPr>
      <w:r w:rsidRPr="00DB760B">
        <w:t xml:space="preserve">The PBAC noted there were no major issues with the cost-minimisation approach. </w:t>
      </w:r>
    </w:p>
    <w:p w:rsidR="00C25D9C" w:rsidRPr="00DB760B" w:rsidRDefault="00C25D9C" w:rsidP="001B3286">
      <w:pPr>
        <w:pStyle w:val="Heading2"/>
        <w:spacing w:before="240" w:after="120"/>
      </w:pPr>
      <w:bookmarkStart w:id="13" w:name="_Toc514244716"/>
      <w:r w:rsidRPr="00DB760B">
        <w:lastRenderedPageBreak/>
        <w:t>Drug cost/patient/year</w:t>
      </w:r>
      <w:r w:rsidR="0088376D" w:rsidRPr="00DB760B">
        <w:t xml:space="preserve"> = $1,</w:t>
      </w:r>
      <w:bookmarkEnd w:id="13"/>
      <w:r w:rsidR="002C1A9F" w:rsidRPr="00DB760B">
        <w:t>036.14</w:t>
      </w:r>
    </w:p>
    <w:p w:rsidR="00CB0E2A" w:rsidRPr="00DB760B" w:rsidRDefault="00CB0E2A" w:rsidP="00050ADD">
      <w:pPr>
        <w:pStyle w:val="ListParagraph"/>
        <w:keepNext/>
        <w:widowControl/>
        <w:numPr>
          <w:ilvl w:val="1"/>
          <w:numId w:val="1"/>
        </w:numPr>
      </w:pPr>
      <w:r w:rsidRPr="00DB760B">
        <w:t xml:space="preserve">The estimated cost of treating one patient for 12 months using the </w:t>
      </w:r>
      <w:r w:rsidR="0080011D" w:rsidRPr="00DB760B">
        <w:t xml:space="preserve">proposed </w:t>
      </w:r>
      <w:r w:rsidRPr="00DB760B">
        <w:t>DPMQ of $79.43 was $1,036.14.</w:t>
      </w:r>
    </w:p>
    <w:p w:rsidR="00B60939" w:rsidRPr="001B3286" w:rsidRDefault="00B60939" w:rsidP="001B3286">
      <w:pPr>
        <w:pStyle w:val="Heading2"/>
        <w:spacing w:before="240" w:after="120"/>
      </w:pPr>
      <w:bookmarkStart w:id="14" w:name="_Toc514244717"/>
      <w:r w:rsidRPr="00DB760B">
        <w:t>Estimated PBS usage &amp; financial implications</w:t>
      </w:r>
      <w:bookmarkEnd w:id="14"/>
    </w:p>
    <w:p w:rsidR="00C332A2" w:rsidRPr="00DB760B" w:rsidRDefault="00C25D9C" w:rsidP="00050ADD">
      <w:pPr>
        <w:pStyle w:val="ListParagraph"/>
        <w:widowControl/>
        <w:numPr>
          <w:ilvl w:val="1"/>
          <w:numId w:val="1"/>
        </w:numPr>
      </w:pPr>
      <w:r w:rsidRPr="00DB760B">
        <w:t xml:space="preserve">This submission </w:t>
      </w:r>
      <w:r w:rsidR="00B201A4" w:rsidRPr="00DB760B">
        <w:t>wa</w:t>
      </w:r>
      <w:r w:rsidRPr="00DB760B">
        <w:t>s not considered by DUSC</w:t>
      </w:r>
      <w:r w:rsidR="00C332A2" w:rsidRPr="00DB760B">
        <w:t xml:space="preserve">. </w:t>
      </w:r>
    </w:p>
    <w:p w:rsidR="0072416F" w:rsidRPr="00DB760B" w:rsidRDefault="00C332A2" w:rsidP="00050ADD">
      <w:pPr>
        <w:pStyle w:val="ListParagraph"/>
        <w:widowControl/>
        <w:numPr>
          <w:ilvl w:val="1"/>
          <w:numId w:val="1"/>
        </w:numPr>
      </w:pPr>
      <w:r w:rsidRPr="00DB760B">
        <w:t xml:space="preserve">The submission presented a market share approach to estimate the utilisation and financial implications associated with recommending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for listing on the PBS as triple oral therapy for the treatment of T2DM.</w:t>
      </w:r>
    </w:p>
    <w:p w:rsidR="00C25D9C" w:rsidRPr="00DB760B" w:rsidRDefault="002A2F50" w:rsidP="00376223">
      <w:pPr>
        <w:keepNext/>
        <w:keepLines/>
      </w:pPr>
      <w:r w:rsidRPr="00DB760B">
        <w:rPr>
          <w:rStyle w:val="CommentReference"/>
        </w:rPr>
        <w:t xml:space="preserve">Table </w:t>
      </w:r>
      <w:r w:rsidR="005F1E68" w:rsidRPr="00DB760B">
        <w:rPr>
          <w:rStyle w:val="CommentReference"/>
        </w:rPr>
        <w:t>7</w:t>
      </w:r>
      <w:r w:rsidRPr="00DB760B">
        <w:rPr>
          <w:rStyle w:val="CommentReference"/>
        </w:rPr>
        <w:t>: Estimated u</w:t>
      </w:r>
      <w:r w:rsidR="00873C58" w:rsidRPr="00DB760B">
        <w:rPr>
          <w:rStyle w:val="CommentReference"/>
        </w:rPr>
        <w:t>tilisations</w:t>
      </w:r>
      <w:r w:rsidRPr="00DB760B">
        <w:rPr>
          <w:rStyle w:val="CommentReference"/>
        </w:rPr>
        <w:t xml:space="preserve"> and financial implications</w:t>
      </w:r>
      <w:r w:rsidR="00873C58" w:rsidRPr="00DB760B">
        <w:rPr>
          <w:rStyle w:val="CommentReference"/>
        </w:rPr>
        <w:t xml:space="preserve"> of recommending ERTU + SITA + MF as triple oral therapy to the PBS/RPBS</w:t>
      </w:r>
      <w:r w:rsidR="0080011D" w:rsidRPr="00DB760B">
        <w:rPr>
          <w:rStyle w:val="CommentReferenc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17"/>
        <w:gridCol w:w="979"/>
        <w:gridCol w:w="980"/>
        <w:gridCol w:w="982"/>
        <w:gridCol w:w="976"/>
        <w:gridCol w:w="966"/>
        <w:gridCol w:w="1083"/>
      </w:tblGrid>
      <w:tr w:rsidR="00385A9D" w:rsidRPr="00DB760B" w:rsidTr="000300FA">
        <w:trPr>
          <w:cantSplit/>
          <w:tblHeader/>
        </w:trPr>
        <w:tc>
          <w:tcPr>
            <w:tcW w:w="1727" w:type="pct"/>
            <w:shd w:val="clear" w:color="auto" w:fill="auto"/>
            <w:vAlign w:val="center"/>
          </w:tcPr>
          <w:p w:rsidR="00385A9D" w:rsidRPr="00DB760B" w:rsidRDefault="00385A9D" w:rsidP="00376223">
            <w:pPr>
              <w:pStyle w:val="Tabletext"/>
              <w:keepNext/>
              <w:keepLines/>
              <w:widowControl w:val="0"/>
            </w:pPr>
          </w:p>
        </w:tc>
        <w:tc>
          <w:tcPr>
            <w:tcW w:w="550" w:type="pct"/>
            <w:shd w:val="clear" w:color="auto" w:fill="auto"/>
            <w:vAlign w:val="center"/>
          </w:tcPr>
          <w:p w:rsidR="00385A9D" w:rsidRPr="00DB760B" w:rsidRDefault="00385A9D" w:rsidP="00376223">
            <w:pPr>
              <w:pStyle w:val="Tabletext"/>
              <w:keepNext/>
              <w:keepLines/>
              <w:widowControl w:val="0"/>
              <w:jc w:val="center"/>
              <w:rPr>
                <w:b/>
              </w:rPr>
            </w:pPr>
            <w:r w:rsidRPr="00DB760B">
              <w:rPr>
                <w:b/>
              </w:rPr>
              <w:t>Year 1</w:t>
            </w:r>
            <w:r w:rsidR="00873C58" w:rsidRPr="00DB760B">
              <w:rPr>
                <w:b/>
              </w:rPr>
              <w:t>: 2019</w:t>
            </w:r>
          </w:p>
        </w:tc>
        <w:tc>
          <w:tcPr>
            <w:tcW w:w="550" w:type="pct"/>
            <w:shd w:val="clear" w:color="auto" w:fill="auto"/>
            <w:vAlign w:val="center"/>
          </w:tcPr>
          <w:p w:rsidR="00385A9D" w:rsidRPr="00DB760B" w:rsidRDefault="00385A9D" w:rsidP="00376223">
            <w:pPr>
              <w:pStyle w:val="Tabletext"/>
              <w:keepNext/>
              <w:keepLines/>
              <w:widowControl w:val="0"/>
              <w:jc w:val="center"/>
              <w:rPr>
                <w:b/>
              </w:rPr>
            </w:pPr>
            <w:r w:rsidRPr="00DB760B">
              <w:rPr>
                <w:b/>
              </w:rPr>
              <w:t>Year 2</w:t>
            </w:r>
            <w:r w:rsidR="00873C58" w:rsidRPr="00DB760B">
              <w:rPr>
                <w:b/>
              </w:rPr>
              <w:t>: 2020</w:t>
            </w:r>
          </w:p>
        </w:tc>
        <w:tc>
          <w:tcPr>
            <w:tcW w:w="551" w:type="pct"/>
            <w:shd w:val="clear" w:color="auto" w:fill="auto"/>
            <w:vAlign w:val="center"/>
          </w:tcPr>
          <w:p w:rsidR="00385A9D" w:rsidRPr="00DB760B" w:rsidRDefault="00385A9D" w:rsidP="00376223">
            <w:pPr>
              <w:pStyle w:val="Tabletext"/>
              <w:keepNext/>
              <w:keepLines/>
              <w:widowControl w:val="0"/>
              <w:jc w:val="center"/>
              <w:rPr>
                <w:b/>
              </w:rPr>
            </w:pPr>
            <w:r w:rsidRPr="00DB760B">
              <w:rPr>
                <w:b/>
              </w:rPr>
              <w:t>Year 3</w:t>
            </w:r>
            <w:r w:rsidR="00873C58" w:rsidRPr="00DB760B">
              <w:rPr>
                <w:b/>
              </w:rPr>
              <w:t>: 2021</w:t>
            </w:r>
          </w:p>
        </w:tc>
        <w:tc>
          <w:tcPr>
            <w:tcW w:w="547" w:type="pct"/>
            <w:shd w:val="clear" w:color="auto" w:fill="auto"/>
            <w:vAlign w:val="center"/>
          </w:tcPr>
          <w:p w:rsidR="00385A9D" w:rsidRPr="00DB760B" w:rsidRDefault="00385A9D" w:rsidP="00376223">
            <w:pPr>
              <w:pStyle w:val="Tabletext"/>
              <w:keepNext/>
              <w:keepLines/>
              <w:widowControl w:val="0"/>
              <w:jc w:val="center"/>
              <w:rPr>
                <w:b/>
              </w:rPr>
            </w:pPr>
            <w:r w:rsidRPr="00DB760B">
              <w:rPr>
                <w:b/>
              </w:rPr>
              <w:t>Year 4</w:t>
            </w:r>
            <w:r w:rsidR="00873C58" w:rsidRPr="00DB760B">
              <w:rPr>
                <w:b/>
              </w:rPr>
              <w:t>: 2022</w:t>
            </w:r>
          </w:p>
        </w:tc>
        <w:tc>
          <w:tcPr>
            <w:tcW w:w="537" w:type="pct"/>
            <w:shd w:val="clear" w:color="auto" w:fill="auto"/>
            <w:vAlign w:val="center"/>
          </w:tcPr>
          <w:p w:rsidR="00385A9D" w:rsidRPr="00DB760B" w:rsidRDefault="00385A9D" w:rsidP="00376223">
            <w:pPr>
              <w:pStyle w:val="Tabletext"/>
              <w:keepNext/>
              <w:keepLines/>
              <w:widowControl w:val="0"/>
              <w:jc w:val="center"/>
              <w:rPr>
                <w:b/>
              </w:rPr>
            </w:pPr>
            <w:r w:rsidRPr="00DB760B">
              <w:rPr>
                <w:b/>
              </w:rPr>
              <w:t>Year 5</w:t>
            </w:r>
            <w:r w:rsidR="00873C58" w:rsidRPr="00DB760B">
              <w:rPr>
                <w:b/>
              </w:rPr>
              <w:t>: 2023</w:t>
            </w:r>
          </w:p>
        </w:tc>
        <w:tc>
          <w:tcPr>
            <w:tcW w:w="538" w:type="pct"/>
          </w:tcPr>
          <w:p w:rsidR="00385A9D" w:rsidRPr="00DB760B" w:rsidRDefault="00385A9D" w:rsidP="00376223">
            <w:pPr>
              <w:pStyle w:val="Tabletext"/>
              <w:keepNext/>
              <w:keepLines/>
              <w:widowControl w:val="0"/>
              <w:jc w:val="center"/>
              <w:rPr>
                <w:b/>
              </w:rPr>
            </w:pPr>
            <w:r w:rsidRPr="00DB760B">
              <w:rPr>
                <w:b/>
              </w:rPr>
              <w:t>Year 6</w:t>
            </w:r>
            <w:r w:rsidR="00873C58" w:rsidRPr="00DB760B">
              <w:rPr>
                <w:b/>
              </w:rPr>
              <w:t>: 2024</w:t>
            </w:r>
          </w:p>
        </w:tc>
      </w:tr>
      <w:tr w:rsidR="00385A9D" w:rsidRPr="00DB760B" w:rsidTr="000300FA">
        <w:tc>
          <w:tcPr>
            <w:tcW w:w="5000" w:type="pct"/>
            <w:gridSpan w:val="7"/>
            <w:shd w:val="clear" w:color="auto" w:fill="auto"/>
            <w:vAlign w:val="center"/>
          </w:tcPr>
          <w:p w:rsidR="00385A9D" w:rsidRPr="00DB760B" w:rsidRDefault="00385A9D" w:rsidP="00376223">
            <w:pPr>
              <w:pStyle w:val="Tabletext"/>
              <w:keepNext/>
              <w:keepLines/>
              <w:widowControl w:val="0"/>
              <w:rPr>
                <w:b/>
                <w:bCs/>
                <w:color w:val="000000"/>
              </w:rPr>
            </w:pPr>
            <w:r w:rsidRPr="00DB760B">
              <w:rPr>
                <w:b/>
                <w:bCs/>
                <w:color w:val="000000"/>
              </w:rPr>
              <w:t>Estimated extent of use</w:t>
            </w:r>
          </w:p>
        </w:tc>
      </w:tr>
      <w:tr w:rsidR="0088376D" w:rsidRPr="00DB760B" w:rsidTr="000300FA">
        <w:tc>
          <w:tcPr>
            <w:tcW w:w="1727" w:type="pct"/>
            <w:shd w:val="clear" w:color="auto" w:fill="auto"/>
            <w:vAlign w:val="center"/>
          </w:tcPr>
          <w:p w:rsidR="0088376D" w:rsidRPr="00DB760B" w:rsidRDefault="0088376D" w:rsidP="00376223">
            <w:pPr>
              <w:pStyle w:val="Tabletext"/>
              <w:keepNext/>
              <w:keepLines/>
              <w:widowControl w:val="0"/>
              <w:rPr>
                <w:rFonts w:ascii="Times" w:hAnsi="Times"/>
              </w:rPr>
            </w:pPr>
            <w:r w:rsidRPr="00DB760B">
              <w:t>Utilisation of</w:t>
            </w:r>
            <w:r w:rsidR="00873C58" w:rsidRPr="00DB760B">
              <w:t xml:space="preserve"> ERTU and</w:t>
            </w:r>
            <w:r w:rsidRPr="00DB760B">
              <w:t xml:space="preserve"> </w:t>
            </w:r>
            <w:r w:rsidR="00873C58" w:rsidRPr="00DB760B">
              <w:t>ERTU/MF FDCs</w:t>
            </w:r>
          </w:p>
        </w:tc>
        <w:tc>
          <w:tcPr>
            <w:tcW w:w="550" w:type="pct"/>
            <w:shd w:val="clear" w:color="auto" w:fill="auto"/>
            <w:vAlign w:val="center"/>
          </w:tcPr>
          <w:p w:rsidR="0088376D" w:rsidRPr="007C551D" w:rsidRDefault="007C551D" w:rsidP="00376223">
            <w:pPr>
              <w:pStyle w:val="Tabletext"/>
              <w:keepNext/>
              <w:keepLines/>
              <w:widowControl w:val="0"/>
              <w:jc w:val="center"/>
              <w:rPr>
                <w:bCs/>
                <w:color w:val="000000"/>
                <w:highlight w:val="black"/>
              </w:rPr>
            </w:pPr>
            <w:r>
              <w:rPr>
                <w:noProof/>
                <w:color w:val="000000"/>
                <w:highlight w:val="black"/>
              </w:rPr>
              <w:t>'''''''''''''''''</w:t>
            </w:r>
          </w:p>
        </w:tc>
        <w:tc>
          <w:tcPr>
            <w:tcW w:w="550" w:type="pct"/>
            <w:shd w:val="clear" w:color="auto" w:fill="auto"/>
            <w:vAlign w:val="center"/>
          </w:tcPr>
          <w:p w:rsidR="0088376D" w:rsidRPr="007C551D" w:rsidRDefault="007C551D" w:rsidP="00376223">
            <w:pPr>
              <w:pStyle w:val="Tabletext"/>
              <w:keepNext/>
              <w:keepLines/>
              <w:widowControl w:val="0"/>
              <w:jc w:val="center"/>
              <w:rPr>
                <w:bCs/>
                <w:color w:val="000000"/>
                <w:highlight w:val="black"/>
              </w:rPr>
            </w:pPr>
            <w:r>
              <w:rPr>
                <w:noProof/>
                <w:color w:val="000000"/>
                <w:highlight w:val="black"/>
              </w:rPr>
              <w:t>''''''''''''''''</w:t>
            </w:r>
          </w:p>
        </w:tc>
        <w:tc>
          <w:tcPr>
            <w:tcW w:w="551" w:type="pct"/>
            <w:shd w:val="clear" w:color="auto" w:fill="auto"/>
            <w:vAlign w:val="center"/>
          </w:tcPr>
          <w:p w:rsidR="0088376D" w:rsidRPr="007C551D" w:rsidRDefault="007C551D" w:rsidP="00376223">
            <w:pPr>
              <w:pStyle w:val="Tabletext"/>
              <w:keepNext/>
              <w:keepLines/>
              <w:widowControl w:val="0"/>
              <w:jc w:val="center"/>
              <w:rPr>
                <w:bCs/>
                <w:color w:val="000000"/>
                <w:highlight w:val="black"/>
              </w:rPr>
            </w:pPr>
            <w:r>
              <w:rPr>
                <w:noProof/>
                <w:color w:val="000000"/>
                <w:highlight w:val="black"/>
              </w:rPr>
              <w:t>'''''''''''''''</w:t>
            </w:r>
          </w:p>
        </w:tc>
        <w:tc>
          <w:tcPr>
            <w:tcW w:w="547" w:type="pct"/>
            <w:shd w:val="clear" w:color="auto" w:fill="auto"/>
            <w:vAlign w:val="center"/>
          </w:tcPr>
          <w:p w:rsidR="0088376D" w:rsidRPr="007C551D" w:rsidRDefault="007C551D" w:rsidP="00376223">
            <w:pPr>
              <w:pStyle w:val="Tabletext"/>
              <w:keepNext/>
              <w:keepLines/>
              <w:widowControl w:val="0"/>
              <w:jc w:val="center"/>
              <w:rPr>
                <w:bCs/>
                <w:color w:val="000000"/>
                <w:highlight w:val="black"/>
              </w:rPr>
            </w:pPr>
            <w:r>
              <w:rPr>
                <w:noProof/>
                <w:color w:val="000000"/>
                <w:highlight w:val="black"/>
              </w:rPr>
              <w:t>'''''''''''''''</w:t>
            </w:r>
          </w:p>
        </w:tc>
        <w:tc>
          <w:tcPr>
            <w:tcW w:w="537" w:type="pct"/>
            <w:shd w:val="clear" w:color="auto" w:fill="auto"/>
            <w:vAlign w:val="center"/>
          </w:tcPr>
          <w:p w:rsidR="0088376D" w:rsidRPr="007C551D" w:rsidRDefault="007C551D" w:rsidP="00376223">
            <w:pPr>
              <w:pStyle w:val="Tabletext"/>
              <w:keepNext/>
              <w:keepLines/>
              <w:widowControl w:val="0"/>
              <w:jc w:val="center"/>
              <w:rPr>
                <w:bCs/>
                <w:color w:val="000000"/>
                <w:highlight w:val="black"/>
              </w:rPr>
            </w:pPr>
            <w:r>
              <w:rPr>
                <w:noProof/>
                <w:color w:val="000000"/>
                <w:highlight w:val="black"/>
              </w:rPr>
              <w:t>'''''''''''''''''</w:t>
            </w:r>
          </w:p>
        </w:tc>
        <w:tc>
          <w:tcPr>
            <w:tcW w:w="538" w:type="pct"/>
            <w:vAlign w:val="center"/>
          </w:tcPr>
          <w:p w:rsidR="0088376D" w:rsidRPr="007C551D" w:rsidRDefault="007C551D" w:rsidP="00376223">
            <w:pPr>
              <w:pStyle w:val="Tabletext"/>
              <w:keepNext/>
              <w:keepLines/>
              <w:widowControl w:val="0"/>
              <w:jc w:val="center"/>
              <w:rPr>
                <w:bCs/>
                <w:color w:val="000000"/>
                <w:highlight w:val="black"/>
              </w:rPr>
            </w:pPr>
            <w:r>
              <w:rPr>
                <w:noProof/>
                <w:color w:val="000000"/>
                <w:highlight w:val="black"/>
              </w:rPr>
              <w:t>'''''''''''''''''</w:t>
            </w:r>
          </w:p>
        </w:tc>
      </w:tr>
      <w:tr w:rsidR="0088376D" w:rsidRPr="00DB760B" w:rsidTr="000300FA">
        <w:tc>
          <w:tcPr>
            <w:tcW w:w="1727" w:type="pct"/>
            <w:shd w:val="clear" w:color="auto" w:fill="auto"/>
            <w:vAlign w:val="center"/>
          </w:tcPr>
          <w:p w:rsidR="0088376D" w:rsidRPr="00DB760B" w:rsidRDefault="0088376D" w:rsidP="00376223">
            <w:pPr>
              <w:pStyle w:val="Tabletext"/>
              <w:keepNext/>
              <w:keepLines/>
              <w:widowControl w:val="0"/>
              <w:rPr>
                <w:rFonts w:ascii="Times" w:hAnsi="Times"/>
              </w:rPr>
            </w:pPr>
            <w:r w:rsidRPr="00DB760B">
              <w:t xml:space="preserve">Utilisation of SITA </w:t>
            </w:r>
            <w:r w:rsidR="00873C58" w:rsidRPr="00DB760B">
              <w:t>and SITA/</w:t>
            </w:r>
            <w:r w:rsidRPr="00DB760B">
              <w:t>MF</w:t>
            </w:r>
            <w:r w:rsidR="00873C58" w:rsidRPr="00DB760B">
              <w:t xml:space="preserve"> FDCs</w:t>
            </w:r>
          </w:p>
        </w:tc>
        <w:tc>
          <w:tcPr>
            <w:tcW w:w="550" w:type="pct"/>
            <w:shd w:val="clear" w:color="auto" w:fill="auto"/>
            <w:vAlign w:val="center"/>
          </w:tcPr>
          <w:p w:rsidR="0088376D" w:rsidRPr="007C551D" w:rsidRDefault="007C551D" w:rsidP="00376223">
            <w:pPr>
              <w:pStyle w:val="Tabletext"/>
              <w:keepNext/>
              <w:keepLines/>
              <w:widowControl w:val="0"/>
              <w:jc w:val="center"/>
              <w:rPr>
                <w:b/>
                <w:bCs/>
                <w:color w:val="000000"/>
                <w:highlight w:val="black"/>
              </w:rPr>
            </w:pPr>
            <w:r>
              <w:rPr>
                <w:rStyle w:val="CommentReference"/>
                <w:b w:val="0"/>
                <w:noProof/>
                <w:color w:val="000000"/>
                <w:szCs w:val="22"/>
                <w:highlight w:val="black"/>
              </w:rPr>
              <w:t>'''''''''''''''</w:t>
            </w:r>
            <w:r w:rsidR="0088376D" w:rsidRPr="007C551D">
              <w:rPr>
                <w:rStyle w:val="CommentReference"/>
                <w:b w:val="0"/>
                <w:szCs w:val="22"/>
                <w:highlight w:val="black"/>
              </w:rPr>
              <w:t xml:space="preserve"> </w:t>
            </w:r>
          </w:p>
        </w:tc>
        <w:tc>
          <w:tcPr>
            <w:tcW w:w="550" w:type="pct"/>
            <w:shd w:val="clear" w:color="auto" w:fill="auto"/>
            <w:vAlign w:val="center"/>
          </w:tcPr>
          <w:p w:rsidR="0088376D" w:rsidRPr="007C551D" w:rsidRDefault="007C551D" w:rsidP="00376223">
            <w:pPr>
              <w:pStyle w:val="Tabletext"/>
              <w:keepNext/>
              <w:keepLines/>
              <w:widowControl w:val="0"/>
              <w:jc w:val="center"/>
              <w:rPr>
                <w:b/>
                <w:bCs/>
                <w:color w:val="000000"/>
                <w:highlight w:val="black"/>
              </w:rPr>
            </w:pPr>
            <w:r>
              <w:rPr>
                <w:rStyle w:val="CommentReference"/>
                <w:b w:val="0"/>
                <w:noProof/>
                <w:color w:val="000000"/>
                <w:szCs w:val="22"/>
                <w:highlight w:val="black"/>
              </w:rPr>
              <w:t>''''''''''''''''</w:t>
            </w:r>
            <w:r w:rsidR="0088376D" w:rsidRPr="007C551D">
              <w:rPr>
                <w:rStyle w:val="CommentReference"/>
                <w:b w:val="0"/>
                <w:szCs w:val="22"/>
                <w:highlight w:val="black"/>
              </w:rPr>
              <w:t xml:space="preserve"> </w:t>
            </w:r>
          </w:p>
        </w:tc>
        <w:tc>
          <w:tcPr>
            <w:tcW w:w="551" w:type="pct"/>
            <w:shd w:val="clear" w:color="auto" w:fill="auto"/>
            <w:vAlign w:val="center"/>
          </w:tcPr>
          <w:p w:rsidR="0088376D" w:rsidRPr="007C551D" w:rsidRDefault="007C551D" w:rsidP="00376223">
            <w:pPr>
              <w:pStyle w:val="Tabletext"/>
              <w:keepNext/>
              <w:keepLines/>
              <w:widowControl w:val="0"/>
              <w:jc w:val="center"/>
              <w:rPr>
                <w:b/>
                <w:bCs/>
                <w:color w:val="000000"/>
                <w:highlight w:val="black"/>
              </w:rPr>
            </w:pPr>
            <w:r>
              <w:rPr>
                <w:rStyle w:val="CommentReference"/>
                <w:b w:val="0"/>
                <w:noProof/>
                <w:color w:val="000000"/>
                <w:szCs w:val="22"/>
                <w:highlight w:val="black"/>
              </w:rPr>
              <w:t>'''''''''''''''</w:t>
            </w:r>
            <w:r w:rsidR="0088376D" w:rsidRPr="007C551D">
              <w:rPr>
                <w:rStyle w:val="CommentReference"/>
                <w:b w:val="0"/>
                <w:szCs w:val="22"/>
                <w:highlight w:val="black"/>
              </w:rPr>
              <w:t xml:space="preserve"> </w:t>
            </w:r>
          </w:p>
        </w:tc>
        <w:tc>
          <w:tcPr>
            <w:tcW w:w="547" w:type="pct"/>
            <w:shd w:val="clear" w:color="auto" w:fill="auto"/>
            <w:vAlign w:val="center"/>
          </w:tcPr>
          <w:p w:rsidR="0088376D" w:rsidRPr="007C551D" w:rsidRDefault="007C551D" w:rsidP="00376223">
            <w:pPr>
              <w:pStyle w:val="Tabletext"/>
              <w:keepNext/>
              <w:keepLines/>
              <w:widowControl w:val="0"/>
              <w:jc w:val="center"/>
              <w:rPr>
                <w:b/>
                <w:bCs/>
                <w:color w:val="000000"/>
                <w:highlight w:val="black"/>
              </w:rPr>
            </w:pPr>
            <w:r>
              <w:rPr>
                <w:rStyle w:val="CommentReference"/>
                <w:b w:val="0"/>
                <w:noProof/>
                <w:color w:val="000000"/>
                <w:szCs w:val="22"/>
                <w:highlight w:val="black"/>
              </w:rPr>
              <w:t>'''''''''''''''''</w:t>
            </w:r>
            <w:r w:rsidR="0088376D" w:rsidRPr="007C551D">
              <w:rPr>
                <w:rStyle w:val="CommentReference"/>
                <w:b w:val="0"/>
                <w:szCs w:val="22"/>
                <w:highlight w:val="black"/>
              </w:rPr>
              <w:t xml:space="preserve"> </w:t>
            </w:r>
          </w:p>
        </w:tc>
        <w:tc>
          <w:tcPr>
            <w:tcW w:w="537" w:type="pct"/>
            <w:shd w:val="clear" w:color="auto" w:fill="auto"/>
            <w:vAlign w:val="center"/>
          </w:tcPr>
          <w:p w:rsidR="0088376D" w:rsidRPr="007C551D" w:rsidRDefault="007C551D" w:rsidP="00376223">
            <w:pPr>
              <w:pStyle w:val="Tabletext"/>
              <w:keepNext/>
              <w:keepLines/>
              <w:widowControl w:val="0"/>
              <w:jc w:val="center"/>
              <w:rPr>
                <w:b/>
                <w:bCs/>
                <w:color w:val="000000"/>
                <w:highlight w:val="black"/>
              </w:rPr>
            </w:pPr>
            <w:r>
              <w:rPr>
                <w:rStyle w:val="CommentReference"/>
                <w:b w:val="0"/>
                <w:noProof/>
                <w:color w:val="000000"/>
                <w:szCs w:val="22"/>
                <w:highlight w:val="black"/>
              </w:rPr>
              <w:t>''''''''''''''''</w:t>
            </w:r>
            <w:r w:rsidR="0088376D" w:rsidRPr="007C551D">
              <w:rPr>
                <w:rStyle w:val="CommentReference"/>
                <w:b w:val="0"/>
                <w:szCs w:val="22"/>
                <w:highlight w:val="black"/>
              </w:rPr>
              <w:t xml:space="preserve"> </w:t>
            </w:r>
          </w:p>
        </w:tc>
        <w:tc>
          <w:tcPr>
            <w:tcW w:w="538" w:type="pct"/>
            <w:vAlign w:val="center"/>
          </w:tcPr>
          <w:p w:rsidR="0088376D" w:rsidRPr="007C551D" w:rsidRDefault="007C551D" w:rsidP="00376223">
            <w:pPr>
              <w:pStyle w:val="Tabletext"/>
              <w:keepNext/>
              <w:keepLines/>
              <w:widowControl w:val="0"/>
              <w:jc w:val="center"/>
              <w:rPr>
                <w:b/>
                <w:bCs/>
                <w:color w:val="000000"/>
                <w:highlight w:val="black"/>
              </w:rPr>
            </w:pPr>
            <w:r>
              <w:rPr>
                <w:rStyle w:val="CommentReference"/>
                <w:b w:val="0"/>
                <w:noProof/>
                <w:color w:val="000000"/>
                <w:szCs w:val="22"/>
                <w:highlight w:val="black"/>
              </w:rPr>
              <w:t>''''''''''''''''</w:t>
            </w:r>
            <w:r w:rsidR="0088376D" w:rsidRPr="007C551D">
              <w:rPr>
                <w:rStyle w:val="CommentReference"/>
                <w:b w:val="0"/>
                <w:szCs w:val="22"/>
                <w:highlight w:val="black"/>
              </w:rPr>
              <w:t xml:space="preserve"> </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pPr>
            <w:r w:rsidRPr="00DB760B">
              <w:t>Utilisation of ERTU/SITA FDCs</w:t>
            </w:r>
          </w:p>
        </w:tc>
        <w:tc>
          <w:tcPr>
            <w:tcW w:w="550" w:type="pct"/>
            <w:shd w:val="clear" w:color="auto" w:fill="auto"/>
            <w:vAlign w:val="center"/>
          </w:tcPr>
          <w:p w:rsidR="00873C58" w:rsidRPr="007C551D" w:rsidRDefault="007C551D" w:rsidP="00376223">
            <w:pPr>
              <w:pStyle w:val="Tabletext"/>
              <w:keepNext/>
              <w:keepLines/>
              <w:widowControl w:val="0"/>
              <w:jc w:val="center"/>
              <w:rPr>
                <w:bCs/>
                <w:color w:val="000000"/>
                <w:highlight w:val="black"/>
              </w:rPr>
            </w:pPr>
            <w:r>
              <w:rPr>
                <w:noProof/>
                <w:color w:val="000000"/>
                <w:highlight w:val="black"/>
              </w:rPr>
              <w:t>''''''''''''''''</w:t>
            </w:r>
            <w:r w:rsidR="00873C58" w:rsidRPr="007C551D">
              <w:rPr>
                <w:highlight w:val="black"/>
              </w:rPr>
              <w:t xml:space="preserve"> </w:t>
            </w:r>
          </w:p>
        </w:tc>
        <w:tc>
          <w:tcPr>
            <w:tcW w:w="550" w:type="pct"/>
            <w:shd w:val="clear" w:color="auto" w:fill="auto"/>
            <w:vAlign w:val="center"/>
          </w:tcPr>
          <w:p w:rsidR="00873C58" w:rsidRPr="007C551D" w:rsidRDefault="007C551D" w:rsidP="00376223">
            <w:pPr>
              <w:pStyle w:val="Tabletext"/>
              <w:keepNext/>
              <w:keepLines/>
              <w:widowControl w:val="0"/>
              <w:jc w:val="center"/>
              <w:rPr>
                <w:bCs/>
                <w:color w:val="000000"/>
                <w:highlight w:val="black"/>
              </w:rPr>
            </w:pPr>
            <w:r>
              <w:rPr>
                <w:noProof/>
                <w:color w:val="000000"/>
                <w:highlight w:val="black"/>
              </w:rPr>
              <w:t>''''''''''''''''''</w:t>
            </w:r>
            <w:r w:rsidR="00873C58" w:rsidRPr="007C551D">
              <w:rPr>
                <w:highlight w:val="black"/>
              </w:rPr>
              <w:t xml:space="preserve"> </w:t>
            </w:r>
          </w:p>
        </w:tc>
        <w:tc>
          <w:tcPr>
            <w:tcW w:w="551" w:type="pct"/>
            <w:shd w:val="clear" w:color="auto" w:fill="auto"/>
            <w:vAlign w:val="center"/>
          </w:tcPr>
          <w:p w:rsidR="00873C58" w:rsidRPr="007C551D" w:rsidRDefault="007C551D" w:rsidP="00376223">
            <w:pPr>
              <w:pStyle w:val="Tabletext"/>
              <w:keepNext/>
              <w:keepLines/>
              <w:widowControl w:val="0"/>
              <w:jc w:val="center"/>
              <w:rPr>
                <w:bCs/>
                <w:color w:val="000000"/>
                <w:highlight w:val="black"/>
              </w:rPr>
            </w:pPr>
            <w:r>
              <w:rPr>
                <w:noProof/>
                <w:color w:val="000000"/>
                <w:highlight w:val="black"/>
              </w:rPr>
              <w:t>'''''''''''''''''</w:t>
            </w:r>
            <w:r w:rsidR="00873C58" w:rsidRPr="007C551D">
              <w:rPr>
                <w:highlight w:val="black"/>
              </w:rPr>
              <w:t xml:space="preserve"> </w:t>
            </w:r>
          </w:p>
        </w:tc>
        <w:tc>
          <w:tcPr>
            <w:tcW w:w="547" w:type="pct"/>
            <w:shd w:val="clear" w:color="auto" w:fill="auto"/>
            <w:vAlign w:val="center"/>
          </w:tcPr>
          <w:p w:rsidR="00873C58" w:rsidRPr="007C551D" w:rsidRDefault="007C551D" w:rsidP="00376223">
            <w:pPr>
              <w:pStyle w:val="Tabletext"/>
              <w:keepNext/>
              <w:keepLines/>
              <w:widowControl w:val="0"/>
              <w:jc w:val="center"/>
              <w:rPr>
                <w:bCs/>
                <w:color w:val="000000"/>
                <w:highlight w:val="black"/>
              </w:rPr>
            </w:pPr>
            <w:r>
              <w:rPr>
                <w:noProof/>
                <w:color w:val="000000"/>
                <w:highlight w:val="black"/>
              </w:rPr>
              <w:t>''''''''''''''''</w:t>
            </w:r>
            <w:r w:rsidR="00873C58" w:rsidRPr="007C551D">
              <w:rPr>
                <w:highlight w:val="black"/>
              </w:rPr>
              <w:t xml:space="preserve"> </w:t>
            </w:r>
          </w:p>
        </w:tc>
        <w:tc>
          <w:tcPr>
            <w:tcW w:w="537" w:type="pct"/>
            <w:shd w:val="clear" w:color="auto" w:fill="auto"/>
            <w:vAlign w:val="center"/>
          </w:tcPr>
          <w:p w:rsidR="00873C58" w:rsidRPr="007C551D" w:rsidRDefault="007C551D" w:rsidP="00376223">
            <w:pPr>
              <w:pStyle w:val="Tabletext"/>
              <w:keepNext/>
              <w:keepLines/>
              <w:widowControl w:val="0"/>
              <w:jc w:val="center"/>
              <w:rPr>
                <w:bCs/>
                <w:color w:val="000000"/>
                <w:highlight w:val="black"/>
              </w:rPr>
            </w:pPr>
            <w:r>
              <w:rPr>
                <w:noProof/>
                <w:color w:val="000000"/>
                <w:highlight w:val="black"/>
              </w:rPr>
              <w:t>''''''''''''''''</w:t>
            </w:r>
            <w:r w:rsidR="00873C58" w:rsidRPr="007C551D">
              <w:rPr>
                <w:highlight w:val="black"/>
              </w:rPr>
              <w:t xml:space="preserve"> </w:t>
            </w:r>
          </w:p>
        </w:tc>
        <w:tc>
          <w:tcPr>
            <w:tcW w:w="538" w:type="pct"/>
            <w:vAlign w:val="center"/>
          </w:tcPr>
          <w:p w:rsidR="00873C58" w:rsidRPr="007C551D" w:rsidRDefault="007C551D" w:rsidP="00376223">
            <w:pPr>
              <w:pStyle w:val="Tabletext"/>
              <w:keepNext/>
              <w:keepLines/>
              <w:widowControl w:val="0"/>
              <w:jc w:val="center"/>
              <w:rPr>
                <w:bCs/>
                <w:color w:val="000000"/>
                <w:highlight w:val="black"/>
              </w:rPr>
            </w:pPr>
            <w:r>
              <w:rPr>
                <w:noProof/>
                <w:color w:val="000000"/>
                <w:highlight w:val="black"/>
              </w:rPr>
              <w:t>'''''''''''''''''</w:t>
            </w:r>
            <w:r w:rsidR="00873C58" w:rsidRPr="007C551D">
              <w:rPr>
                <w:highlight w:val="black"/>
              </w:rPr>
              <w:t xml:space="preserve"> </w:t>
            </w:r>
          </w:p>
        </w:tc>
      </w:tr>
      <w:tr w:rsidR="00385A9D" w:rsidRPr="00DB760B" w:rsidTr="000300FA">
        <w:tc>
          <w:tcPr>
            <w:tcW w:w="5000" w:type="pct"/>
            <w:gridSpan w:val="7"/>
            <w:shd w:val="clear" w:color="auto" w:fill="auto"/>
            <w:vAlign w:val="center"/>
          </w:tcPr>
          <w:p w:rsidR="00385A9D" w:rsidRPr="00DB760B" w:rsidRDefault="00385A9D" w:rsidP="00376223">
            <w:pPr>
              <w:pStyle w:val="Tabletext"/>
              <w:keepNext/>
              <w:keepLines/>
              <w:widowControl w:val="0"/>
              <w:rPr>
                <w:b/>
                <w:bCs/>
                <w:color w:val="000000"/>
              </w:rPr>
            </w:pPr>
            <w:r w:rsidRPr="00DB760B">
              <w:rPr>
                <w:b/>
                <w:bCs/>
                <w:color w:val="000000"/>
              </w:rPr>
              <w:t xml:space="preserve">Estimated financial implications of </w:t>
            </w:r>
            <w:r w:rsidR="00092806" w:rsidRPr="00DB760B">
              <w:rPr>
                <w:b/>
                <w:bCs/>
                <w:color w:val="000000"/>
              </w:rPr>
              <w:t>ERTU + SITA + MF triple oral therapy</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rFonts w:ascii="Times" w:hAnsi="Times"/>
              </w:rPr>
            </w:pPr>
            <w:r w:rsidRPr="00DB760B">
              <w:rPr>
                <w:sz w:val="19"/>
                <w:szCs w:val="19"/>
              </w:rPr>
              <w:t>Cost of ERTU and ERTU/MF FDCs</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1"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4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 xml:space="preserve">'''''''''''''''''''''' </w:t>
            </w:r>
          </w:p>
        </w:tc>
        <w:tc>
          <w:tcPr>
            <w:tcW w:w="53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8" w:type="pct"/>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sz w:val="19"/>
                <w:szCs w:val="19"/>
              </w:rPr>
            </w:pPr>
            <w:r w:rsidRPr="00DB760B">
              <w:rPr>
                <w:sz w:val="19"/>
                <w:szCs w:val="19"/>
              </w:rPr>
              <w:t>Cost of SITA and SITA/MF FDCs</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1"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4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8" w:type="pct"/>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sz w:val="19"/>
                <w:szCs w:val="19"/>
              </w:rPr>
            </w:pPr>
            <w:r w:rsidRPr="00DB760B">
              <w:rPr>
                <w:sz w:val="19"/>
                <w:szCs w:val="19"/>
              </w:rPr>
              <w:t>Cost PBS/RPBS of ERTU/SITA FDC</w:t>
            </w:r>
          </w:p>
        </w:tc>
        <w:tc>
          <w:tcPr>
            <w:tcW w:w="550"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0"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 xml:space="preserve">'''''''''''''''''''''' </w:t>
            </w:r>
          </w:p>
        </w:tc>
        <w:tc>
          <w:tcPr>
            <w:tcW w:w="551"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47"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7"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8" w:type="pct"/>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b/>
                <w:sz w:val="19"/>
                <w:szCs w:val="19"/>
              </w:rPr>
            </w:pPr>
            <w:r w:rsidRPr="00DB760B">
              <w:rPr>
                <w:b/>
                <w:sz w:val="19"/>
                <w:szCs w:val="19"/>
              </w:rPr>
              <w:t xml:space="preserve">Total cost  </w:t>
            </w:r>
          </w:p>
        </w:tc>
        <w:tc>
          <w:tcPr>
            <w:tcW w:w="550" w:type="pct"/>
            <w:shd w:val="clear" w:color="auto" w:fill="auto"/>
            <w:vAlign w:val="center"/>
          </w:tcPr>
          <w:p w:rsidR="00873C58" w:rsidRPr="00DB760B" w:rsidRDefault="00873C58" w:rsidP="00376223">
            <w:pPr>
              <w:pStyle w:val="Tabletext"/>
              <w:keepNext/>
              <w:keepLines/>
              <w:widowControl w:val="0"/>
              <w:rPr>
                <w:b/>
                <w:bCs/>
                <w:color w:val="000000"/>
              </w:rPr>
            </w:pPr>
            <w:r w:rsidRPr="00DB760B">
              <w:rPr>
                <w:b/>
              </w:rPr>
              <w:t>$</w:t>
            </w:r>
            <w:r w:rsidR="007C551D">
              <w:rPr>
                <w:b/>
                <w:noProof/>
                <w:color w:val="000000"/>
                <w:highlight w:val="black"/>
              </w:rPr>
              <w:t>''''''''''''''''''</w:t>
            </w:r>
          </w:p>
        </w:tc>
        <w:tc>
          <w:tcPr>
            <w:tcW w:w="550" w:type="pct"/>
            <w:shd w:val="clear" w:color="auto" w:fill="auto"/>
            <w:vAlign w:val="center"/>
          </w:tcPr>
          <w:p w:rsidR="00873C58" w:rsidRPr="00DB760B" w:rsidRDefault="00873C58" w:rsidP="00376223">
            <w:pPr>
              <w:pStyle w:val="Tabletext"/>
              <w:keepNext/>
              <w:keepLines/>
              <w:widowControl w:val="0"/>
              <w:rPr>
                <w:b/>
                <w:bCs/>
                <w:color w:val="000000"/>
              </w:rPr>
            </w:pPr>
            <w:r w:rsidRPr="00DB760B">
              <w:rPr>
                <w:b/>
              </w:rPr>
              <w:t>$</w:t>
            </w:r>
            <w:r w:rsidR="007C551D">
              <w:rPr>
                <w:b/>
                <w:noProof/>
                <w:color w:val="000000"/>
                <w:highlight w:val="black"/>
              </w:rPr>
              <w:t>'''''''''''''''''''''</w:t>
            </w:r>
          </w:p>
        </w:tc>
        <w:tc>
          <w:tcPr>
            <w:tcW w:w="551" w:type="pct"/>
            <w:shd w:val="clear" w:color="auto" w:fill="auto"/>
            <w:vAlign w:val="center"/>
          </w:tcPr>
          <w:p w:rsidR="00873C58" w:rsidRPr="00DB760B" w:rsidRDefault="00873C58" w:rsidP="00376223">
            <w:pPr>
              <w:pStyle w:val="Tabletext"/>
              <w:keepNext/>
              <w:keepLines/>
              <w:widowControl w:val="0"/>
              <w:rPr>
                <w:b/>
                <w:bCs/>
                <w:color w:val="000000"/>
              </w:rPr>
            </w:pPr>
            <w:r w:rsidRPr="00DB760B">
              <w:rPr>
                <w:b/>
              </w:rPr>
              <w:t>$</w:t>
            </w:r>
            <w:r w:rsidR="007C551D">
              <w:rPr>
                <w:b/>
                <w:noProof/>
                <w:color w:val="000000"/>
                <w:highlight w:val="black"/>
              </w:rPr>
              <w:t>''''''''''''''''''''</w:t>
            </w:r>
          </w:p>
        </w:tc>
        <w:tc>
          <w:tcPr>
            <w:tcW w:w="547" w:type="pct"/>
            <w:shd w:val="clear" w:color="auto" w:fill="auto"/>
            <w:vAlign w:val="center"/>
          </w:tcPr>
          <w:p w:rsidR="00873C58" w:rsidRPr="00DB760B" w:rsidRDefault="00873C58" w:rsidP="00376223">
            <w:pPr>
              <w:pStyle w:val="Tabletext"/>
              <w:keepNext/>
              <w:keepLines/>
              <w:widowControl w:val="0"/>
              <w:rPr>
                <w:b/>
                <w:bCs/>
                <w:color w:val="000000"/>
              </w:rPr>
            </w:pPr>
            <w:r w:rsidRPr="00DB760B">
              <w:rPr>
                <w:b/>
              </w:rPr>
              <w:t>$</w:t>
            </w:r>
            <w:r w:rsidR="007C551D">
              <w:rPr>
                <w:b/>
                <w:noProof/>
                <w:color w:val="000000"/>
                <w:highlight w:val="black"/>
              </w:rPr>
              <w:t>'''''''''''''''''''</w:t>
            </w:r>
          </w:p>
        </w:tc>
        <w:tc>
          <w:tcPr>
            <w:tcW w:w="537" w:type="pct"/>
            <w:shd w:val="clear" w:color="auto" w:fill="auto"/>
            <w:vAlign w:val="center"/>
          </w:tcPr>
          <w:p w:rsidR="00873C58" w:rsidRPr="00DB760B" w:rsidRDefault="00873C58" w:rsidP="00376223">
            <w:pPr>
              <w:pStyle w:val="Tabletext"/>
              <w:keepNext/>
              <w:keepLines/>
              <w:widowControl w:val="0"/>
              <w:rPr>
                <w:b/>
                <w:bCs/>
                <w:color w:val="000000"/>
              </w:rPr>
            </w:pPr>
            <w:r w:rsidRPr="00DB760B">
              <w:rPr>
                <w:b/>
              </w:rPr>
              <w:t>$</w:t>
            </w:r>
            <w:r w:rsidR="007C551D">
              <w:rPr>
                <w:b/>
                <w:noProof/>
                <w:color w:val="000000"/>
                <w:highlight w:val="black"/>
              </w:rPr>
              <w:t>'''''''''''''''''''''</w:t>
            </w:r>
          </w:p>
        </w:tc>
        <w:tc>
          <w:tcPr>
            <w:tcW w:w="538" w:type="pct"/>
            <w:vAlign w:val="center"/>
          </w:tcPr>
          <w:p w:rsidR="00873C58" w:rsidRPr="00DB760B" w:rsidRDefault="00873C58" w:rsidP="00376223">
            <w:pPr>
              <w:pStyle w:val="Tabletext"/>
              <w:keepNext/>
              <w:keepLines/>
              <w:widowControl w:val="0"/>
              <w:rPr>
                <w:b/>
                <w:bCs/>
                <w:color w:val="000000"/>
              </w:rPr>
            </w:pPr>
            <w:r w:rsidRPr="00DB760B">
              <w:rPr>
                <w:b/>
              </w:rPr>
              <w:t>$</w:t>
            </w:r>
            <w:r w:rsidR="007C551D">
              <w:rPr>
                <w:b/>
                <w:noProof/>
                <w:color w:val="000000"/>
                <w:highlight w:val="black"/>
              </w:rPr>
              <w:t>''''''''''''''''''''''''</w:t>
            </w:r>
          </w:p>
        </w:tc>
      </w:tr>
      <w:tr w:rsidR="00385A9D" w:rsidRPr="00DB760B" w:rsidTr="000300FA">
        <w:tc>
          <w:tcPr>
            <w:tcW w:w="5000" w:type="pct"/>
            <w:gridSpan w:val="7"/>
            <w:shd w:val="clear" w:color="auto" w:fill="auto"/>
            <w:vAlign w:val="center"/>
          </w:tcPr>
          <w:p w:rsidR="00385A9D" w:rsidRPr="00DB760B" w:rsidRDefault="00385A9D" w:rsidP="00376223">
            <w:pPr>
              <w:pStyle w:val="Tabletext"/>
              <w:keepNext/>
              <w:keepLines/>
              <w:widowControl w:val="0"/>
              <w:rPr>
                <w:bCs/>
                <w:color w:val="000000"/>
              </w:rPr>
            </w:pPr>
            <w:r w:rsidRPr="00DB760B">
              <w:rPr>
                <w:b/>
                <w:bCs/>
                <w:color w:val="000000"/>
              </w:rPr>
              <w:t xml:space="preserve">Estimated financial implications for </w:t>
            </w:r>
            <w:r w:rsidR="00092806" w:rsidRPr="00DB760B">
              <w:rPr>
                <w:b/>
                <w:bCs/>
                <w:color w:val="000000"/>
              </w:rPr>
              <w:t>DAPA + SAXA + MF and EMPA + LINA + MF triple oral therapies</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sz w:val="19"/>
                <w:szCs w:val="19"/>
              </w:rPr>
            </w:pPr>
            <w:r w:rsidRPr="00DB760B">
              <w:rPr>
                <w:sz w:val="19"/>
                <w:szCs w:val="19"/>
              </w:rPr>
              <w:t>Cost offsets of ERTU and ERTU/MF FDCs</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1"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4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8" w:type="pct"/>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sz w:val="19"/>
                <w:szCs w:val="19"/>
              </w:rPr>
            </w:pPr>
            <w:r w:rsidRPr="00DB760B">
              <w:rPr>
                <w:sz w:val="19"/>
                <w:szCs w:val="19"/>
              </w:rPr>
              <w:t>Cost offsets of SITA and SITA/MF FDCs</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 xml:space="preserve">'''''''''''''''''' </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1"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4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8" w:type="pct"/>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sz w:val="19"/>
                <w:szCs w:val="19"/>
              </w:rPr>
            </w:pPr>
            <w:r w:rsidRPr="00DB760B">
              <w:rPr>
                <w:sz w:val="19"/>
                <w:szCs w:val="19"/>
              </w:rPr>
              <w:t>Cost offsets of ERTU/SITA FDCs</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0"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51"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4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7" w:type="pct"/>
            <w:shd w:val="clear" w:color="auto" w:fill="auto"/>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c>
          <w:tcPr>
            <w:tcW w:w="538" w:type="pct"/>
            <w:vAlign w:val="center"/>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r w:rsidRPr="00DB760B">
              <w:t xml:space="preserve"> </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b/>
                <w:sz w:val="19"/>
                <w:szCs w:val="19"/>
              </w:rPr>
            </w:pPr>
            <w:r w:rsidRPr="00DB760B">
              <w:rPr>
                <w:b/>
                <w:sz w:val="19"/>
                <w:szCs w:val="19"/>
              </w:rPr>
              <w:t>Total cost offsets</w:t>
            </w:r>
          </w:p>
        </w:tc>
        <w:tc>
          <w:tcPr>
            <w:tcW w:w="550"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50"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51"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47"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37"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38" w:type="pct"/>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r>
      <w:tr w:rsidR="00385A9D" w:rsidRPr="00DB760B" w:rsidTr="000300FA">
        <w:tc>
          <w:tcPr>
            <w:tcW w:w="5000" w:type="pct"/>
            <w:gridSpan w:val="7"/>
            <w:shd w:val="clear" w:color="auto" w:fill="auto"/>
            <w:vAlign w:val="center"/>
          </w:tcPr>
          <w:p w:rsidR="00385A9D" w:rsidRPr="00DB760B" w:rsidRDefault="00385A9D" w:rsidP="00376223">
            <w:pPr>
              <w:pStyle w:val="Tabletext"/>
              <w:keepNext/>
              <w:keepLines/>
              <w:widowControl w:val="0"/>
              <w:rPr>
                <w:b/>
                <w:bCs/>
                <w:color w:val="000000"/>
              </w:rPr>
            </w:pPr>
            <w:r w:rsidRPr="00DB760B">
              <w:rPr>
                <w:b/>
                <w:bCs/>
                <w:color w:val="000000"/>
              </w:rPr>
              <w:t>Net financial implications</w:t>
            </w:r>
            <w:r w:rsidRPr="00DB760B">
              <w:rPr>
                <w:b/>
                <w:bCs/>
                <w:color w:val="4BACC6" w:themeColor="accent5"/>
              </w:rPr>
              <w:t xml:space="preserve"> </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sz w:val="19"/>
                <w:szCs w:val="19"/>
              </w:rPr>
            </w:pPr>
            <w:r w:rsidRPr="00DB760B">
              <w:rPr>
                <w:sz w:val="19"/>
                <w:szCs w:val="19"/>
              </w:rPr>
              <w:t>Net cost of ERTU and ERTU/MF FDCs</w:t>
            </w:r>
          </w:p>
        </w:tc>
        <w:tc>
          <w:tcPr>
            <w:tcW w:w="550"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50"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51"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47"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37"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38" w:type="pct"/>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rFonts w:ascii="Times" w:hAnsi="Times"/>
              </w:rPr>
            </w:pPr>
            <w:r w:rsidRPr="00DB760B">
              <w:rPr>
                <w:sz w:val="19"/>
                <w:szCs w:val="19"/>
              </w:rPr>
              <w:t>Net cost of SITA and SITA/MF FDCs</w:t>
            </w:r>
          </w:p>
        </w:tc>
        <w:tc>
          <w:tcPr>
            <w:tcW w:w="550"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50"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51"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47"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37"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38" w:type="pct"/>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sz w:val="19"/>
                <w:szCs w:val="19"/>
              </w:rPr>
            </w:pPr>
            <w:r w:rsidRPr="00DB760B">
              <w:rPr>
                <w:sz w:val="19"/>
                <w:szCs w:val="19"/>
              </w:rPr>
              <w:t>Net cost of ERTU/SITA FDCs</w:t>
            </w:r>
          </w:p>
        </w:tc>
        <w:tc>
          <w:tcPr>
            <w:tcW w:w="550"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50"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51"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47"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37" w:type="pct"/>
            <w:shd w:val="clear" w:color="auto" w:fill="auto"/>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c>
          <w:tcPr>
            <w:tcW w:w="538" w:type="pct"/>
            <w:vAlign w:val="bottom"/>
          </w:tcPr>
          <w:p w:rsidR="00873C58" w:rsidRPr="00DB760B" w:rsidRDefault="00873C58" w:rsidP="00376223">
            <w:pPr>
              <w:pStyle w:val="Tabletext"/>
              <w:keepNext/>
              <w:keepLines/>
              <w:widowControl w:val="0"/>
              <w:rPr>
                <w:bCs/>
                <w:color w:val="000000"/>
              </w:rPr>
            </w:pPr>
            <w:r w:rsidRPr="00DB760B">
              <w:t>-$</w:t>
            </w:r>
            <w:r w:rsidR="007C551D">
              <w:rPr>
                <w:noProof/>
                <w:color w:val="000000"/>
                <w:highlight w:val="black"/>
              </w:rPr>
              <w:t>''''''''''''''''''</w:t>
            </w:r>
          </w:p>
        </w:tc>
      </w:tr>
      <w:tr w:rsidR="00873C58" w:rsidRPr="00DB760B" w:rsidTr="000300FA">
        <w:tc>
          <w:tcPr>
            <w:tcW w:w="1727" w:type="pct"/>
            <w:shd w:val="clear" w:color="auto" w:fill="auto"/>
            <w:vAlign w:val="center"/>
          </w:tcPr>
          <w:p w:rsidR="00873C58" w:rsidRPr="00DB760B" w:rsidRDefault="00873C58" w:rsidP="00376223">
            <w:pPr>
              <w:pStyle w:val="Tabletext"/>
              <w:keepNext/>
              <w:keepLines/>
              <w:widowControl w:val="0"/>
              <w:rPr>
                <w:b/>
                <w:sz w:val="19"/>
                <w:szCs w:val="19"/>
              </w:rPr>
            </w:pPr>
            <w:r w:rsidRPr="00DB760B">
              <w:rPr>
                <w:b/>
                <w:sz w:val="19"/>
                <w:szCs w:val="19"/>
              </w:rPr>
              <w:t>Net cost to PBS/RPBS</w:t>
            </w:r>
          </w:p>
        </w:tc>
        <w:tc>
          <w:tcPr>
            <w:tcW w:w="550"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50"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51"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47"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37" w:type="pct"/>
            <w:shd w:val="clear" w:color="auto" w:fill="auto"/>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c>
          <w:tcPr>
            <w:tcW w:w="538" w:type="pct"/>
            <w:vAlign w:val="bottom"/>
          </w:tcPr>
          <w:p w:rsidR="00873C58" w:rsidRPr="00DB760B" w:rsidRDefault="00873C58" w:rsidP="00376223">
            <w:pPr>
              <w:pStyle w:val="Tabletext"/>
              <w:keepNext/>
              <w:keepLines/>
              <w:widowControl w:val="0"/>
              <w:rPr>
                <w:b/>
              </w:rPr>
            </w:pPr>
            <w:r w:rsidRPr="00DB760B">
              <w:rPr>
                <w:b/>
              </w:rPr>
              <w:t>$</w:t>
            </w:r>
            <w:r w:rsidR="007C551D">
              <w:rPr>
                <w:b/>
                <w:noProof/>
                <w:color w:val="000000"/>
                <w:highlight w:val="black"/>
              </w:rPr>
              <w:t>'''''''''''''</w:t>
            </w:r>
          </w:p>
        </w:tc>
      </w:tr>
    </w:tbl>
    <w:p w:rsidR="00385A9D" w:rsidRPr="00DB760B" w:rsidRDefault="00385A9D" w:rsidP="00376223">
      <w:pPr>
        <w:pStyle w:val="TableFooter"/>
        <w:keepNext/>
        <w:keepLines/>
      </w:pPr>
      <w:r w:rsidRPr="00DB760B">
        <w:t xml:space="preserve">Source: </w:t>
      </w:r>
      <w:r w:rsidR="0049579F" w:rsidRPr="00DB760B">
        <w:t>Attachment 13 of the submission</w:t>
      </w:r>
    </w:p>
    <w:p w:rsidR="0049579F" w:rsidRPr="00DB760B" w:rsidRDefault="0049579F" w:rsidP="00376223">
      <w:pPr>
        <w:pStyle w:val="TableFooter"/>
        <w:keepNext/>
        <w:keepLines/>
      </w:pPr>
      <w:r w:rsidRPr="00DB760B">
        <w:t xml:space="preserve">DAPA = </w:t>
      </w:r>
      <w:proofErr w:type="spellStart"/>
      <w:r w:rsidRPr="00DB760B">
        <w:t>dapagliptin</w:t>
      </w:r>
      <w:proofErr w:type="spellEnd"/>
      <w:r w:rsidRPr="00DB760B">
        <w:t xml:space="preserve">; EMPA = </w:t>
      </w:r>
      <w:proofErr w:type="spellStart"/>
      <w:r w:rsidRPr="00DB760B">
        <w:t>empagliflozin</w:t>
      </w:r>
      <w:proofErr w:type="spellEnd"/>
      <w:r w:rsidRPr="00DB760B">
        <w:t xml:space="preserve">; </w:t>
      </w:r>
      <w:r w:rsidR="00A13434" w:rsidRPr="00DB760B">
        <w:t xml:space="preserve">ERTU = </w:t>
      </w:r>
      <w:proofErr w:type="spellStart"/>
      <w:r w:rsidR="00A13434" w:rsidRPr="00DB760B">
        <w:t>ertugliflozin</w:t>
      </w:r>
      <w:proofErr w:type="spellEnd"/>
      <w:r w:rsidR="00A13434" w:rsidRPr="00DB760B">
        <w:t xml:space="preserve">; </w:t>
      </w:r>
      <w:r w:rsidRPr="00DB760B">
        <w:t xml:space="preserve">FDC = fixed dose combination; LINA = </w:t>
      </w:r>
      <w:proofErr w:type="spellStart"/>
      <w:r w:rsidRPr="00DB760B">
        <w:t>linagliptin</w:t>
      </w:r>
      <w:proofErr w:type="spellEnd"/>
      <w:r w:rsidRPr="00DB760B">
        <w:t xml:space="preserve">; MF = metformin; PBS = Pharmaceutical Benefits Scheme; RPBS = Repatriation Pharmaceutical Benefits Scheme; SAXA = </w:t>
      </w:r>
      <w:proofErr w:type="spellStart"/>
      <w:r w:rsidRPr="00DB760B">
        <w:t>saxagliptin</w:t>
      </w:r>
      <w:proofErr w:type="spellEnd"/>
      <w:r w:rsidRPr="00DB760B">
        <w:t xml:space="preserve">; SITA = </w:t>
      </w:r>
      <w:proofErr w:type="spellStart"/>
      <w:r w:rsidRPr="00DB760B">
        <w:t>sitagliptin</w:t>
      </w:r>
      <w:proofErr w:type="spellEnd"/>
    </w:p>
    <w:p w:rsidR="0080011D" w:rsidRPr="00DB760B" w:rsidRDefault="0080011D" w:rsidP="00376223">
      <w:pPr>
        <w:pStyle w:val="TableFooter"/>
        <w:keepNext/>
        <w:keepLines/>
        <w:rPr>
          <w:rStyle w:val="CommentReference"/>
        </w:rPr>
      </w:pPr>
      <w:r w:rsidRPr="00DB760B">
        <w:t>* Financial estimates were based on a proposed DPMQ of $103.56, which was nominated in the submission. It was expected that the net cost to the PBS/RPBS would remain negligible if the Pre-PBAC proposed DPMQ of $79.43 was used.</w:t>
      </w:r>
    </w:p>
    <w:p w:rsidR="00C25D9C" w:rsidRDefault="00C25D9C" w:rsidP="00C25D9C">
      <w:pPr>
        <w:widowControl/>
      </w:pPr>
    </w:p>
    <w:p w:rsidR="009B6B3E" w:rsidRPr="005B5346" w:rsidRDefault="005B5346" w:rsidP="00C25D9C">
      <w:pPr>
        <w:widowControl/>
      </w:pPr>
      <w:r w:rsidRPr="005B5346">
        <w:t xml:space="preserve">The </w:t>
      </w:r>
      <w:r>
        <w:t xml:space="preserve">redacted table shows that at year 6, the estimated number of patients less than $10 million and the net cost to the PBS would be less than $10 million. </w:t>
      </w:r>
    </w:p>
    <w:p w:rsidR="009B6B3E" w:rsidRPr="00DB760B" w:rsidRDefault="009B6B3E" w:rsidP="00C25D9C">
      <w:pPr>
        <w:widowControl/>
      </w:pPr>
    </w:p>
    <w:p w:rsidR="004E1307" w:rsidRPr="00DB760B" w:rsidRDefault="00BA5481" w:rsidP="00050ADD">
      <w:pPr>
        <w:pStyle w:val="ListParagraph"/>
        <w:widowControl/>
        <w:numPr>
          <w:ilvl w:val="1"/>
          <w:numId w:val="1"/>
        </w:numPr>
      </w:pPr>
      <w:r w:rsidRPr="00DB760B">
        <w:t xml:space="preserve">The net financial impact of recommending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for triple oral therapy was </w:t>
      </w:r>
      <w:r w:rsidR="00DB760B">
        <w:t>minimal</w:t>
      </w:r>
      <w:r w:rsidRPr="00DB760B">
        <w:t xml:space="preserve"> </w:t>
      </w:r>
      <w:r w:rsidR="001A5F34" w:rsidRPr="00DB760B">
        <w:t>for Years 1 to 6 as a cost-minimisation a</w:t>
      </w:r>
      <w:r w:rsidR="001B3286">
        <w:t>pproach was used in Section 3.</w:t>
      </w:r>
    </w:p>
    <w:p w:rsidR="004E1307" w:rsidRPr="00DB760B" w:rsidRDefault="004E1307" w:rsidP="004E1307">
      <w:pPr>
        <w:pStyle w:val="ListParagraph"/>
        <w:widowControl/>
        <w:numPr>
          <w:ilvl w:val="1"/>
          <w:numId w:val="1"/>
        </w:numPr>
        <w:rPr>
          <w:b/>
          <w:i/>
          <w:szCs w:val="24"/>
        </w:rPr>
      </w:pPr>
      <w:r w:rsidRPr="00DB760B">
        <w:rPr>
          <w:szCs w:val="24"/>
        </w:rPr>
        <w:lastRenderedPageBreak/>
        <w:t>The PBAC considered that a</w:t>
      </w:r>
      <w:r w:rsidR="00BA5481" w:rsidRPr="00DB760B">
        <w:rPr>
          <w:szCs w:val="24"/>
        </w:rPr>
        <w:t xml:space="preserve">lthough the utilisation and cost estimates were uncertain, the overall net financial effect </w:t>
      </w:r>
      <w:r w:rsidR="00EA02F4" w:rsidRPr="00DB760B">
        <w:rPr>
          <w:szCs w:val="24"/>
        </w:rPr>
        <w:t xml:space="preserve">is </w:t>
      </w:r>
      <w:r w:rsidR="00BA5481" w:rsidRPr="00DB760B">
        <w:rPr>
          <w:szCs w:val="24"/>
        </w:rPr>
        <w:t xml:space="preserve">expected to remain </w:t>
      </w:r>
      <w:r w:rsidR="00DB760B">
        <w:rPr>
          <w:szCs w:val="24"/>
        </w:rPr>
        <w:t>small</w:t>
      </w:r>
      <w:r w:rsidR="0080011D" w:rsidRPr="00DB760B">
        <w:rPr>
          <w:b/>
          <w:i/>
          <w:szCs w:val="24"/>
        </w:rPr>
        <w:t xml:space="preserve">. </w:t>
      </w:r>
    </w:p>
    <w:p w:rsidR="00576972" w:rsidRPr="00DB760B" w:rsidRDefault="00576972" w:rsidP="001B3286">
      <w:pPr>
        <w:pStyle w:val="Heading2"/>
        <w:spacing w:before="240" w:after="120"/>
      </w:pPr>
      <w:bookmarkStart w:id="15" w:name="_Toc514244718"/>
      <w:r w:rsidRPr="00DB760B">
        <w:t>Quality Use of Medicines</w:t>
      </w:r>
      <w:bookmarkEnd w:id="15"/>
    </w:p>
    <w:p w:rsidR="00576972" w:rsidRPr="00DB760B" w:rsidRDefault="00BA5481" w:rsidP="00050ADD">
      <w:pPr>
        <w:pStyle w:val="ListParagraph"/>
        <w:keepNext/>
        <w:widowControl/>
        <w:numPr>
          <w:ilvl w:val="1"/>
          <w:numId w:val="1"/>
        </w:numPr>
      </w:pPr>
      <w:r w:rsidRPr="00DB760B">
        <w:t xml:space="preserve">The submission outlined a number of initiatives to promote the safe and effective use of </w:t>
      </w:r>
      <w:proofErr w:type="spellStart"/>
      <w:r w:rsidRPr="00DB760B">
        <w:t>ertugliflozin</w:t>
      </w:r>
      <w:proofErr w:type="spellEnd"/>
      <w:r w:rsidRPr="00DB760B">
        <w:t xml:space="preserve"> plus </w:t>
      </w:r>
      <w:proofErr w:type="spellStart"/>
      <w:r w:rsidRPr="00DB760B">
        <w:t>sitagliptin</w:t>
      </w:r>
      <w:proofErr w:type="spellEnd"/>
      <w:r w:rsidRPr="00DB760B">
        <w:t xml:space="preserve"> plus metformin in the treatment of T2DM, including educational material for clinicians, nurses, pharmacists, diabetes educators and patients and </w:t>
      </w:r>
      <w:r w:rsidR="007B7489" w:rsidRPr="00DB760B">
        <w:t>an</w:t>
      </w:r>
      <w:r w:rsidRPr="00DB760B">
        <w:t xml:space="preserve"> 1800-telephone service. </w:t>
      </w:r>
    </w:p>
    <w:p w:rsidR="00C25D9C" w:rsidRPr="00DB760B" w:rsidRDefault="00576972" w:rsidP="001B3286">
      <w:pPr>
        <w:pStyle w:val="Heading2"/>
        <w:spacing w:before="240" w:after="120"/>
      </w:pPr>
      <w:bookmarkStart w:id="16" w:name="_Toc514244719"/>
      <w:r w:rsidRPr="00DB760B">
        <w:t>Financial Management – Risk Sharing Arrangements</w:t>
      </w:r>
      <w:bookmarkEnd w:id="16"/>
    </w:p>
    <w:p w:rsidR="00576972" w:rsidRPr="00DB760B" w:rsidRDefault="00092806" w:rsidP="00050ADD">
      <w:pPr>
        <w:pStyle w:val="ListParagraph"/>
        <w:widowControl/>
        <w:numPr>
          <w:ilvl w:val="1"/>
          <w:numId w:val="1"/>
        </w:numPr>
      </w:pPr>
      <w:r w:rsidRPr="00DB760B">
        <w:t xml:space="preserve">The submission </w:t>
      </w:r>
      <w:r w:rsidR="001A5F34" w:rsidRPr="00DB760B">
        <w:t>did</w:t>
      </w:r>
      <w:r w:rsidRPr="00DB760B">
        <w:t xml:space="preserve"> not propose a risk sharing arrangement. </w:t>
      </w:r>
    </w:p>
    <w:p w:rsidR="00301DD3" w:rsidRPr="00DB760B" w:rsidRDefault="00076208" w:rsidP="001B3286">
      <w:pPr>
        <w:pStyle w:val="PBACHeading1"/>
        <w:numPr>
          <w:ilvl w:val="0"/>
          <w:numId w:val="0"/>
        </w:numPr>
        <w:ind w:left="720" w:firstLine="142"/>
        <w:rPr>
          <w:rFonts w:asciiTheme="minorHAnsi" w:hAnsiTheme="minorHAnsi"/>
          <w:b w:val="0"/>
          <w:i/>
          <w:sz w:val="24"/>
          <w:szCs w:val="24"/>
        </w:rPr>
      </w:pPr>
      <w:r w:rsidRPr="00DB760B">
        <w:rPr>
          <w:rFonts w:asciiTheme="minorHAnsi" w:hAnsiTheme="minorHAnsi"/>
          <w:b w:val="0"/>
          <w:i/>
          <w:sz w:val="24"/>
          <w:szCs w:val="24"/>
        </w:rPr>
        <w:t>For more detail on the PBAC’s view, see Section 7 PBAC outcome.</w:t>
      </w:r>
    </w:p>
    <w:p w:rsidR="00301DD3" w:rsidRPr="005F7413" w:rsidRDefault="00301DD3" w:rsidP="005F7413">
      <w:pPr>
        <w:numPr>
          <w:ilvl w:val="0"/>
          <w:numId w:val="1"/>
        </w:numPr>
        <w:spacing w:before="240" w:after="120"/>
        <w:outlineLvl w:val="0"/>
        <w:rPr>
          <w:rFonts w:asciiTheme="minorHAnsi" w:hAnsiTheme="minorHAnsi"/>
          <w:b/>
          <w:bCs/>
          <w:sz w:val="32"/>
        </w:rPr>
      </w:pPr>
      <w:r w:rsidRPr="005F7413">
        <w:rPr>
          <w:rFonts w:asciiTheme="minorHAnsi" w:hAnsiTheme="minorHAnsi"/>
          <w:b/>
          <w:bCs/>
          <w:sz w:val="32"/>
        </w:rPr>
        <w:t>PBAC Outcome</w:t>
      </w:r>
    </w:p>
    <w:p w:rsidR="00301DD3" w:rsidRPr="00DB760B" w:rsidRDefault="00301DD3" w:rsidP="00050ADD">
      <w:pPr>
        <w:numPr>
          <w:ilvl w:val="1"/>
          <w:numId w:val="1"/>
        </w:numPr>
        <w:spacing w:after="120"/>
        <w:rPr>
          <w:rFonts w:asciiTheme="minorHAnsi" w:hAnsiTheme="minorHAnsi"/>
          <w:bCs/>
        </w:rPr>
      </w:pPr>
      <w:r w:rsidRPr="00DB760B">
        <w:rPr>
          <w:rFonts w:asciiTheme="minorHAnsi" w:hAnsiTheme="minorHAnsi"/>
          <w:bCs/>
        </w:rPr>
        <w:t>The PBAC recommended the</w:t>
      </w:r>
      <w:r w:rsidR="000D1258" w:rsidRPr="00DB760B">
        <w:rPr>
          <w:rFonts w:asciiTheme="minorHAnsi" w:hAnsiTheme="minorHAnsi"/>
          <w:bCs/>
        </w:rPr>
        <w:t xml:space="preserve"> Authority Required (STREAMLINED)</w:t>
      </w:r>
      <w:r w:rsidRPr="00DB760B">
        <w:rPr>
          <w:rFonts w:asciiTheme="minorHAnsi" w:hAnsiTheme="minorHAnsi"/>
          <w:bCs/>
        </w:rPr>
        <w:t xml:space="preserve"> listing</w:t>
      </w:r>
      <w:r w:rsidR="000D1258" w:rsidRPr="00DB760B">
        <w:rPr>
          <w:rFonts w:asciiTheme="minorHAnsi" w:hAnsiTheme="minorHAnsi"/>
          <w:bCs/>
        </w:rPr>
        <w:t xml:space="preserve"> </w:t>
      </w:r>
      <w:r w:rsidR="000D1258" w:rsidRPr="00DB760B">
        <w:rPr>
          <w:rFonts w:asciiTheme="minorHAnsi" w:eastAsiaTheme="minorHAnsi" w:hAnsiTheme="minorHAnsi" w:cstheme="minorBidi"/>
        </w:rPr>
        <w:t xml:space="preserve">of </w:t>
      </w:r>
      <w:proofErr w:type="spellStart"/>
      <w:r w:rsidR="000D1258" w:rsidRPr="00DB760B">
        <w:rPr>
          <w:rFonts w:asciiTheme="minorHAnsi" w:eastAsiaTheme="minorHAnsi" w:hAnsiTheme="minorHAnsi" w:cstheme="minorBidi"/>
        </w:rPr>
        <w:t>ertugliflozin</w:t>
      </w:r>
      <w:proofErr w:type="spellEnd"/>
      <w:r w:rsidR="005647A0" w:rsidRPr="00DB760B">
        <w:rPr>
          <w:rFonts w:asciiTheme="minorHAnsi" w:eastAsiaTheme="minorHAnsi" w:hAnsiTheme="minorHAnsi" w:cstheme="minorBidi"/>
        </w:rPr>
        <w:t xml:space="preserve"> </w:t>
      </w:r>
      <w:r w:rsidR="004A0114" w:rsidRPr="00DB760B">
        <w:rPr>
          <w:rFonts w:asciiTheme="minorHAnsi" w:eastAsiaTheme="minorHAnsi" w:hAnsiTheme="minorHAnsi" w:cstheme="minorBidi"/>
        </w:rPr>
        <w:t>with</w:t>
      </w:r>
      <w:r w:rsidR="005647A0" w:rsidRPr="00DB760B">
        <w:rPr>
          <w:rFonts w:asciiTheme="minorHAnsi" w:eastAsiaTheme="minorHAnsi" w:hAnsiTheme="minorHAnsi" w:cstheme="minorBidi"/>
        </w:rPr>
        <w:t xml:space="preserve"> </w:t>
      </w:r>
      <w:proofErr w:type="spellStart"/>
      <w:r w:rsidR="005647A0" w:rsidRPr="00DB760B">
        <w:rPr>
          <w:rFonts w:asciiTheme="minorHAnsi" w:eastAsiaTheme="minorHAnsi" w:hAnsiTheme="minorHAnsi" w:cstheme="minorBidi"/>
        </w:rPr>
        <w:t>sitagliptin</w:t>
      </w:r>
      <w:proofErr w:type="spellEnd"/>
      <w:r w:rsidR="00062979" w:rsidRPr="00DB760B">
        <w:rPr>
          <w:rFonts w:asciiTheme="minorHAnsi" w:eastAsiaTheme="minorHAnsi" w:hAnsiTheme="minorHAnsi" w:cstheme="minorBidi"/>
        </w:rPr>
        <w:t xml:space="preserve"> </w:t>
      </w:r>
      <w:r w:rsidR="004A0114" w:rsidRPr="00DB760B">
        <w:rPr>
          <w:rFonts w:asciiTheme="minorHAnsi" w:eastAsiaTheme="minorHAnsi" w:hAnsiTheme="minorHAnsi" w:cstheme="minorBidi"/>
        </w:rPr>
        <w:t xml:space="preserve">FDC products for </w:t>
      </w:r>
      <w:r w:rsidR="00D32D12" w:rsidRPr="00DB760B">
        <w:rPr>
          <w:rFonts w:asciiTheme="minorHAnsi" w:eastAsiaTheme="minorHAnsi" w:hAnsiTheme="minorHAnsi" w:cstheme="minorBidi"/>
        </w:rPr>
        <w:t>use</w:t>
      </w:r>
      <w:r w:rsidR="005647A0" w:rsidRPr="00DB760B">
        <w:rPr>
          <w:rFonts w:asciiTheme="minorHAnsi" w:eastAsiaTheme="minorHAnsi" w:hAnsiTheme="minorHAnsi" w:cstheme="minorBidi"/>
        </w:rPr>
        <w:t xml:space="preserve"> in </w:t>
      </w:r>
      <w:r w:rsidR="000D1258" w:rsidRPr="00DB760B">
        <w:rPr>
          <w:rFonts w:asciiTheme="minorHAnsi" w:eastAsiaTheme="minorHAnsi" w:hAnsiTheme="minorHAnsi" w:cstheme="minorBidi"/>
        </w:rPr>
        <w:t xml:space="preserve">triple oral therapy </w:t>
      </w:r>
      <w:r w:rsidR="004A0114" w:rsidRPr="00DB760B">
        <w:rPr>
          <w:rFonts w:asciiTheme="minorHAnsi" w:eastAsiaTheme="minorHAnsi" w:hAnsiTheme="minorHAnsi" w:cstheme="minorBidi"/>
        </w:rPr>
        <w:t xml:space="preserve">in combination with metformin in patients with T2DM who are </w:t>
      </w:r>
      <w:r w:rsidR="00146BBB" w:rsidRPr="00DB760B">
        <w:rPr>
          <w:rFonts w:asciiTheme="minorHAnsi" w:eastAsiaTheme="minorHAnsi" w:hAnsiTheme="minorHAnsi" w:cstheme="minorBidi"/>
        </w:rPr>
        <w:t xml:space="preserve">inadequately controlled </w:t>
      </w:r>
      <w:r w:rsidR="004A0114" w:rsidRPr="00DB760B">
        <w:rPr>
          <w:rFonts w:asciiTheme="minorHAnsi" w:eastAsiaTheme="minorHAnsi" w:hAnsiTheme="minorHAnsi" w:cstheme="minorBidi"/>
        </w:rPr>
        <w:t xml:space="preserve">on metformin and a DPP4 or SGLT2 inhibitor </w:t>
      </w:r>
      <w:r w:rsidR="00DB760B" w:rsidRPr="00DB760B">
        <w:rPr>
          <w:rFonts w:asciiTheme="minorHAnsi" w:eastAsiaTheme="minorHAnsi" w:hAnsiTheme="minorHAnsi" w:cstheme="minorBidi"/>
        </w:rPr>
        <w:t>based on</w:t>
      </w:r>
      <w:r w:rsidR="00936690" w:rsidRPr="00DB760B">
        <w:rPr>
          <w:rFonts w:asciiTheme="minorHAnsi" w:eastAsiaTheme="minorHAnsi" w:hAnsiTheme="minorHAnsi" w:cstheme="minorBidi"/>
        </w:rPr>
        <w:t xml:space="preserve"> cost-minimisation to </w:t>
      </w:r>
      <w:proofErr w:type="spellStart"/>
      <w:r w:rsidR="00936690" w:rsidRPr="00DB760B">
        <w:rPr>
          <w:rFonts w:asciiTheme="minorHAnsi" w:eastAsiaTheme="minorHAnsi" w:hAnsiTheme="minorHAnsi" w:cstheme="minorBidi"/>
        </w:rPr>
        <w:t>dapagliflozin</w:t>
      </w:r>
      <w:proofErr w:type="spellEnd"/>
      <w:r w:rsidR="00936690" w:rsidRPr="00DB760B">
        <w:rPr>
          <w:rFonts w:asciiTheme="minorHAnsi" w:eastAsiaTheme="minorHAnsi" w:hAnsiTheme="minorHAnsi" w:cstheme="minorBidi"/>
        </w:rPr>
        <w:t xml:space="preserve"> with </w:t>
      </w:r>
      <w:proofErr w:type="spellStart"/>
      <w:r w:rsidR="00936690" w:rsidRPr="00DB760B">
        <w:rPr>
          <w:rFonts w:asciiTheme="minorHAnsi" w:eastAsiaTheme="minorHAnsi" w:hAnsiTheme="minorHAnsi" w:cstheme="minorBidi"/>
        </w:rPr>
        <w:t>saxagliptin</w:t>
      </w:r>
      <w:proofErr w:type="spellEnd"/>
      <w:r w:rsidR="00936690" w:rsidRPr="00DB760B">
        <w:rPr>
          <w:rFonts w:asciiTheme="minorHAnsi" w:eastAsiaTheme="minorHAnsi" w:hAnsiTheme="minorHAnsi" w:cstheme="minorBidi"/>
        </w:rPr>
        <w:t xml:space="preserve"> plus metformin and </w:t>
      </w:r>
      <w:proofErr w:type="spellStart"/>
      <w:r w:rsidR="00936690" w:rsidRPr="00DB760B">
        <w:rPr>
          <w:rFonts w:asciiTheme="minorHAnsi" w:eastAsiaTheme="minorHAnsi" w:hAnsiTheme="minorHAnsi" w:cstheme="minorBidi"/>
        </w:rPr>
        <w:t>empagliflozin</w:t>
      </w:r>
      <w:proofErr w:type="spellEnd"/>
      <w:r w:rsidR="00936690" w:rsidRPr="00DB760B">
        <w:rPr>
          <w:rFonts w:asciiTheme="minorHAnsi" w:eastAsiaTheme="minorHAnsi" w:hAnsiTheme="minorHAnsi" w:cstheme="minorBidi"/>
        </w:rPr>
        <w:t xml:space="preserve"> with </w:t>
      </w:r>
      <w:proofErr w:type="spellStart"/>
      <w:r w:rsidR="00936690" w:rsidRPr="00DB760B">
        <w:rPr>
          <w:rFonts w:asciiTheme="minorHAnsi" w:eastAsiaTheme="minorHAnsi" w:hAnsiTheme="minorHAnsi" w:cstheme="minorBidi"/>
        </w:rPr>
        <w:t>linagliptin</w:t>
      </w:r>
      <w:proofErr w:type="spellEnd"/>
      <w:r w:rsidR="00936690" w:rsidRPr="00DB760B">
        <w:rPr>
          <w:rFonts w:asciiTheme="minorHAnsi" w:eastAsiaTheme="minorHAnsi" w:hAnsiTheme="minorHAnsi" w:cstheme="minorBidi"/>
        </w:rPr>
        <w:t xml:space="preserve"> plus metformin. The PBAC also recommended</w:t>
      </w:r>
      <w:r w:rsidR="009011DA" w:rsidRPr="00DB760B">
        <w:rPr>
          <w:rFonts w:asciiTheme="minorHAnsi" w:eastAsiaTheme="minorHAnsi" w:hAnsiTheme="minorHAnsi" w:cstheme="minorBidi"/>
        </w:rPr>
        <w:t xml:space="preserve"> restriction changes to</w:t>
      </w:r>
      <w:r w:rsidR="0070129A" w:rsidRPr="00DB760B">
        <w:rPr>
          <w:rFonts w:asciiTheme="minorHAnsi" w:eastAsiaTheme="minorHAnsi" w:hAnsiTheme="minorHAnsi" w:cstheme="minorBidi"/>
        </w:rPr>
        <w:t xml:space="preserve"> </w:t>
      </w:r>
      <w:r w:rsidR="00062979" w:rsidRPr="00DB760B">
        <w:rPr>
          <w:rFonts w:asciiTheme="minorHAnsi" w:eastAsiaTheme="minorHAnsi" w:hAnsiTheme="minorHAnsi" w:cstheme="minorBidi"/>
        </w:rPr>
        <w:t xml:space="preserve">currently listed </w:t>
      </w:r>
      <w:proofErr w:type="spellStart"/>
      <w:r w:rsidR="00936690" w:rsidRPr="00DB760B">
        <w:rPr>
          <w:rFonts w:asciiTheme="minorHAnsi" w:eastAsiaTheme="minorHAnsi" w:hAnsiTheme="minorHAnsi" w:cstheme="minorBidi"/>
        </w:rPr>
        <w:t>ertugliflozin</w:t>
      </w:r>
      <w:proofErr w:type="spellEnd"/>
      <w:r w:rsidR="00936690" w:rsidRPr="00DB760B">
        <w:rPr>
          <w:rFonts w:asciiTheme="minorHAnsi" w:eastAsiaTheme="minorHAnsi" w:hAnsiTheme="minorHAnsi" w:cstheme="minorBidi"/>
        </w:rPr>
        <w:t xml:space="preserve">, </w:t>
      </w:r>
      <w:proofErr w:type="spellStart"/>
      <w:r w:rsidR="00936690" w:rsidRPr="00DB760B">
        <w:rPr>
          <w:rFonts w:asciiTheme="minorHAnsi" w:eastAsiaTheme="minorHAnsi" w:hAnsiTheme="minorHAnsi" w:cstheme="minorBidi"/>
        </w:rPr>
        <w:t>ertugliflozin</w:t>
      </w:r>
      <w:proofErr w:type="spellEnd"/>
      <w:r w:rsidR="00936690" w:rsidRPr="00DB760B">
        <w:rPr>
          <w:rFonts w:asciiTheme="minorHAnsi" w:eastAsiaTheme="minorHAnsi" w:hAnsiTheme="minorHAnsi" w:cstheme="minorBidi"/>
        </w:rPr>
        <w:t xml:space="preserve"> with metformin, </w:t>
      </w:r>
      <w:proofErr w:type="spellStart"/>
      <w:r w:rsidR="009011DA" w:rsidRPr="00DB760B">
        <w:rPr>
          <w:rFonts w:asciiTheme="minorHAnsi" w:eastAsiaTheme="minorHAnsi" w:hAnsiTheme="minorHAnsi" w:cstheme="minorBidi"/>
        </w:rPr>
        <w:t>sitagliptin</w:t>
      </w:r>
      <w:proofErr w:type="spellEnd"/>
      <w:r w:rsidR="00062979" w:rsidRPr="00DB760B">
        <w:rPr>
          <w:rFonts w:asciiTheme="minorHAnsi" w:eastAsiaTheme="minorHAnsi" w:hAnsiTheme="minorHAnsi" w:cstheme="minorBidi"/>
        </w:rPr>
        <w:t xml:space="preserve"> and </w:t>
      </w:r>
      <w:proofErr w:type="spellStart"/>
      <w:r w:rsidR="00062979" w:rsidRPr="00DB760B">
        <w:rPr>
          <w:rFonts w:asciiTheme="minorHAnsi" w:eastAsiaTheme="minorHAnsi" w:hAnsiTheme="minorHAnsi" w:cstheme="minorBidi"/>
        </w:rPr>
        <w:t>sitagliptin</w:t>
      </w:r>
      <w:proofErr w:type="spellEnd"/>
      <w:r w:rsidR="00062979" w:rsidRPr="00DB760B">
        <w:rPr>
          <w:rFonts w:asciiTheme="minorHAnsi" w:eastAsiaTheme="minorHAnsi" w:hAnsiTheme="minorHAnsi" w:cstheme="minorBidi"/>
        </w:rPr>
        <w:t xml:space="preserve"> </w:t>
      </w:r>
      <w:r w:rsidR="00936690" w:rsidRPr="00DB760B">
        <w:rPr>
          <w:rFonts w:asciiTheme="minorHAnsi" w:eastAsiaTheme="minorHAnsi" w:hAnsiTheme="minorHAnsi" w:cstheme="minorBidi"/>
        </w:rPr>
        <w:t>with</w:t>
      </w:r>
      <w:r w:rsidR="00062979" w:rsidRPr="00DB760B">
        <w:rPr>
          <w:rFonts w:asciiTheme="minorHAnsi" w:eastAsiaTheme="minorHAnsi" w:hAnsiTheme="minorHAnsi" w:cstheme="minorBidi"/>
        </w:rPr>
        <w:t xml:space="preserve"> metformin</w:t>
      </w:r>
      <w:r w:rsidR="009011DA" w:rsidRPr="00DB760B">
        <w:rPr>
          <w:rFonts w:asciiTheme="minorHAnsi" w:eastAsiaTheme="minorHAnsi" w:hAnsiTheme="minorHAnsi" w:cstheme="minorBidi"/>
        </w:rPr>
        <w:t xml:space="preserve"> products</w:t>
      </w:r>
      <w:r w:rsidR="0070129A" w:rsidRPr="00DB760B">
        <w:rPr>
          <w:rFonts w:asciiTheme="minorHAnsi" w:eastAsiaTheme="minorHAnsi" w:hAnsiTheme="minorHAnsi" w:cstheme="minorBidi"/>
        </w:rPr>
        <w:t xml:space="preserve"> to allow</w:t>
      </w:r>
      <w:r w:rsidR="009011DA" w:rsidRPr="00DB760B">
        <w:rPr>
          <w:rFonts w:asciiTheme="minorHAnsi" w:eastAsiaTheme="minorHAnsi" w:hAnsiTheme="minorHAnsi" w:cstheme="minorBidi"/>
        </w:rPr>
        <w:t xml:space="preserve"> triple therapy</w:t>
      </w:r>
      <w:r w:rsidR="000D1258" w:rsidRPr="00DB760B">
        <w:rPr>
          <w:rFonts w:asciiTheme="minorHAnsi" w:eastAsiaTheme="minorHAnsi" w:hAnsiTheme="minorHAnsi" w:cstheme="minorBidi"/>
        </w:rPr>
        <w:t xml:space="preserve"> in patients with T2D</w:t>
      </w:r>
      <w:r w:rsidR="00936690" w:rsidRPr="00DB760B">
        <w:rPr>
          <w:rFonts w:asciiTheme="minorHAnsi" w:eastAsiaTheme="minorHAnsi" w:hAnsiTheme="minorHAnsi" w:cstheme="minorBidi"/>
        </w:rPr>
        <w:t>M</w:t>
      </w:r>
      <w:r w:rsidR="00B72D7B" w:rsidRPr="00DB760B">
        <w:rPr>
          <w:rFonts w:asciiTheme="minorHAnsi" w:eastAsiaTheme="minorHAnsi" w:hAnsiTheme="minorHAnsi" w:cstheme="minorBidi"/>
        </w:rPr>
        <w:t xml:space="preserve">. </w:t>
      </w:r>
    </w:p>
    <w:p w:rsidR="00F74BF7" w:rsidRPr="00DB760B" w:rsidRDefault="00F74BF7" w:rsidP="00050ADD">
      <w:pPr>
        <w:numPr>
          <w:ilvl w:val="1"/>
          <w:numId w:val="1"/>
        </w:numPr>
        <w:spacing w:after="120"/>
        <w:rPr>
          <w:rFonts w:asciiTheme="minorHAnsi" w:hAnsiTheme="minorHAnsi"/>
          <w:bCs/>
        </w:rPr>
      </w:pPr>
      <w:r w:rsidRPr="00DB760B">
        <w:rPr>
          <w:rFonts w:asciiTheme="minorHAnsi" w:hAnsiTheme="minorHAnsi"/>
          <w:bCs/>
        </w:rPr>
        <w:t xml:space="preserve">The PBAC considered that the comparators presented in the submission, </w:t>
      </w:r>
      <w:proofErr w:type="spellStart"/>
      <w:r w:rsidRPr="00DB760B">
        <w:rPr>
          <w:rFonts w:asciiTheme="minorHAnsi" w:hAnsiTheme="minorHAnsi"/>
          <w:bCs/>
        </w:rPr>
        <w:t>dapagliflozin</w:t>
      </w:r>
      <w:proofErr w:type="spellEnd"/>
      <w:r w:rsidRPr="00DB760B">
        <w:rPr>
          <w:rFonts w:asciiTheme="minorHAnsi" w:hAnsiTheme="minorHAnsi"/>
          <w:bCs/>
        </w:rPr>
        <w:t xml:space="preserve"> with </w:t>
      </w:r>
      <w:proofErr w:type="spellStart"/>
      <w:r w:rsidRPr="00DB760B">
        <w:rPr>
          <w:rFonts w:asciiTheme="minorHAnsi" w:hAnsiTheme="minorHAnsi"/>
          <w:bCs/>
        </w:rPr>
        <w:t>saxagliptin</w:t>
      </w:r>
      <w:proofErr w:type="spellEnd"/>
      <w:r w:rsidRPr="00DB760B">
        <w:rPr>
          <w:rFonts w:asciiTheme="minorHAnsi" w:hAnsiTheme="minorHAnsi"/>
          <w:bCs/>
        </w:rPr>
        <w:t xml:space="preserve"> and </w:t>
      </w:r>
      <w:proofErr w:type="spellStart"/>
      <w:r w:rsidRPr="00DB760B">
        <w:rPr>
          <w:rFonts w:asciiTheme="minorHAnsi" w:hAnsiTheme="minorHAnsi"/>
          <w:bCs/>
        </w:rPr>
        <w:t>empagliflozin</w:t>
      </w:r>
      <w:proofErr w:type="spellEnd"/>
      <w:r w:rsidRPr="00DB760B">
        <w:rPr>
          <w:rFonts w:asciiTheme="minorHAnsi" w:hAnsiTheme="minorHAnsi"/>
          <w:bCs/>
        </w:rPr>
        <w:t xml:space="preserve"> with </w:t>
      </w:r>
      <w:proofErr w:type="spellStart"/>
      <w:r w:rsidRPr="00DB760B">
        <w:rPr>
          <w:rFonts w:asciiTheme="minorHAnsi" w:hAnsiTheme="minorHAnsi"/>
          <w:bCs/>
        </w:rPr>
        <w:t>linagliptin</w:t>
      </w:r>
      <w:proofErr w:type="spellEnd"/>
      <w:r w:rsidRPr="00DB760B">
        <w:rPr>
          <w:rFonts w:asciiTheme="minorHAnsi" w:hAnsiTheme="minorHAnsi"/>
          <w:bCs/>
        </w:rPr>
        <w:t>, were appropriate.</w:t>
      </w:r>
    </w:p>
    <w:p w:rsidR="00E87188" w:rsidRPr="00DB760B" w:rsidRDefault="00E87188" w:rsidP="00050ADD">
      <w:pPr>
        <w:numPr>
          <w:ilvl w:val="1"/>
          <w:numId w:val="1"/>
        </w:numPr>
        <w:spacing w:after="120"/>
        <w:rPr>
          <w:rFonts w:asciiTheme="minorHAnsi" w:hAnsiTheme="minorHAnsi"/>
          <w:bCs/>
        </w:rPr>
      </w:pPr>
      <w:r w:rsidRPr="00DB760B">
        <w:rPr>
          <w:rFonts w:asciiTheme="minorHAnsi" w:hAnsiTheme="minorHAnsi"/>
          <w:bCs/>
        </w:rPr>
        <w:t xml:space="preserve">The PBAC considered that the evidence presented in the submission supported a claim of non-inferior efficacy and safety for </w:t>
      </w:r>
      <w:proofErr w:type="spellStart"/>
      <w:r w:rsidRPr="00DB760B">
        <w:rPr>
          <w:rFonts w:asciiTheme="minorHAnsi" w:hAnsiTheme="minorHAnsi"/>
          <w:bCs/>
        </w:rPr>
        <w:t>ertugliflozin</w:t>
      </w:r>
      <w:proofErr w:type="spellEnd"/>
      <w:r w:rsidRPr="00DB760B">
        <w:rPr>
          <w:rFonts w:asciiTheme="minorHAnsi" w:hAnsiTheme="minorHAnsi"/>
          <w:bCs/>
        </w:rPr>
        <w:t xml:space="preserve"> with </w:t>
      </w:r>
      <w:proofErr w:type="spellStart"/>
      <w:r w:rsidRPr="00DB760B">
        <w:rPr>
          <w:rFonts w:asciiTheme="minorHAnsi" w:hAnsiTheme="minorHAnsi"/>
          <w:bCs/>
        </w:rPr>
        <w:t>sitagliptin</w:t>
      </w:r>
      <w:proofErr w:type="spellEnd"/>
      <w:r w:rsidRPr="00DB760B">
        <w:rPr>
          <w:rFonts w:asciiTheme="minorHAnsi" w:hAnsiTheme="minorHAnsi"/>
          <w:bCs/>
        </w:rPr>
        <w:t xml:space="preserve">, compared to </w:t>
      </w:r>
      <w:proofErr w:type="spellStart"/>
      <w:r w:rsidRPr="00DB760B">
        <w:rPr>
          <w:rFonts w:asciiTheme="minorHAnsi" w:hAnsiTheme="minorHAnsi"/>
          <w:bCs/>
        </w:rPr>
        <w:t>dapagliflozin</w:t>
      </w:r>
      <w:proofErr w:type="spellEnd"/>
      <w:r w:rsidRPr="00DB760B">
        <w:rPr>
          <w:rFonts w:asciiTheme="minorHAnsi" w:hAnsiTheme="minorHAnsi"/>
          <w:bCs/>
        </w:rPr>
        <w:t xml:space="preserve"> with </w:t>
      </w:r>
      <w:proofErr w:type="spellStart"/>
      <w:r w:rsidRPr="00DB760B">
        <w:rPr>
          <w:rFonts w:asciiTheme="minorHAnsi" w:hAnsiTheme="minorHAnsi"/>
          <w:bCs/>
        </w:rPr>
        <w:t>saxagliptin</w:t>
      </w:r>
      <w:proofErr w:type="spellEnd"/>
      <w:r w:rsidRPr="00DB760B">
        <w:rPr>
          <w:rFonts w:asciiTheme="minorHAnsi" w:hAnsiTheme="minorHAnsi"/>
          <w:bCs/>
        </w:rPr>
        <w:t xml:space="preserve"> and </w:t>
      </w:r>
      <w:proofErr w:type="spellStart"/>
      <w:r w:rsidRPr="00DB760B">
        <w:rPr>
          <w:rFonts w:asciiTheme="minorHAnsi" w:hAnsiTheme="minorHAnsi"/>
          <w:bCs/>
        </w:rPr>
        <w:t>empagliflozin</w:t>
      </w:r>
      <w:proofErr w:type="spellEnd"/>
      <w:r w:rsidRPr="00DB760B">
        <w:rPr>
          <w:rFonts w:asciiTheme="minorHAnsi" w:hAnsiTheme="minorHAnsi"/>
          <w:bCs/>
        </w:rPr>
        <w:t xml:space="preserve"> with </w:t>
      </w:r>
      <w:proofErr w:type="spellStart"/>
      <w:r w:rsidRPr="00DB760B">
        <w:rPr>
          <w:rFonts w:asciiTheme="minorHAnsi" w:hAnsiTheme="minorHAnsi"/>
          <w:bCs/>
        </w:rPr>
        <w:t>linagliptin</w:t>
      </w:r>
      <w:proofErr w:type="spellEnd"/>
      <w:r w:rsidRPr="00DB760B">
        <w:rPr>
          <w:rFonts w:asciiTheme="minorHAnsi" w:hAnsiTheme="minorHAnsi"/>
          <w:bCs/>
        </w:rPr>
        <w:t>, all in combination with metformin</w:t>
      </w:r>
      <w:r w:rsidR="00455F87" w:rsidRPr="00DB760B">
        <w:rPr>
          <w:rFonts w:asciiTheme="minorHAnsi" w:hAnsiTheme="minorHAnsi"/>
          <w:bCs/>
        </w:rPr>
        <w:t xml:space="preserve">. </w:t>
      </w:r>
      <w:r w:rsidR="00F74BF7" w:rsidRPr="00DB760B">
        <w:t xml:space="preserve">The PBAC considered that there were no statistically significant differences in terms of efficacy or safety between triple therapy regimens based on </w:t>
      </w:r>
      <w:proofErr w:type="spellStart"/>
      <w:r w:rsidR="00F74BF7" w:rsidRPr="00DB760B">
        <w:t>ertugliflozin</w:t>
      </w:r>
      <w:proofErr w:type="spellEnd"/>
      <w:r w:rsidR="00F74BF7" w:rsidRPr="00DB760B">
        <w:t xml:space="preserve"> 5 mg or </w:t>
      </w:r>
      <w:proofErr w:type="spellStart"/>
      <w:r w:rsidR="00F74BF7" w:rsidRPr="00DB760B">
        <w:t>ertugliflozin</w:t>
      </w:r>
      <w:proofErr w:type="spellEnd"/>
      <w:r w:rsidR="00F74BF7" w:rsidRPr="00DB760B">
        <w:t xml:space="preserve"> 15 mg.</w:t>
      </w:r>
    </w:p>
    <w:p w:rsidR="00146BBB" w:rsidRPr="00DB760B" w:rsidRDefault="00146BBB" w:rsidP="00050ADD">
      <w:pPr>
        <w:numPr>
          <w:ilvl w:val="1"/>
          <w:numId w:val="1"/>
        </w:numPr>
        <w:spacing w:after="120"/>
        <w:rPr>
          <w:rFonts w:asciiTheme="minorHAnsi" w:hAnsiTheme="minorHAnsi"/>
          <w:bCs/>
        </w:rPr>
      </w:pPr>
      <w:r w:rsidRPr="00DB760B">
        <w:t xml:space="preserve">The PBAC considered that the evidence presented in the submission supported a claim of non-inferiority efficacy and safety for </w:t>
      </w:r>
      <w:proofErr w:type="spellStart"/>
      <w:r w:rsidRPr="00DB760B">
        <w:t>ertugliflozin</w:t>
      </w:r>
      <w:proofErr w:type="spellEnd"/>
      <w:r w:rsidRPr="00DB760B">
        <w:t xml:space="preserve"> with </w:t>
      </w:r>
      <w:proofErr w:type="spellStart"/>
      <w:r w:rsidRPr="00DB760B">
        <w:t>sitagliptin</w:t>
      </w:r>
      <w:proofErr w:type="spellEnd"/>
      <w:r w:rsidRPr="00DB760B">
        <w:t xml:space="preserve"> FDC products compared to the individual components. The PBAC considered that the FDC products met the pre-specified bioequivalence margins against the individual components. The </w:t>
      </w:r>
      <w:proofErr w:type="spellStart"/>
      <w:r w:rsidRPr="00DB760B">
        <w:t>equi</w:t>
      </w:r>
      <w:proofErr w:type="spellEnd"/>
      <w:r w:rsidRPr="00DB760B">
        <w:t>-effective doses of the FDC products were considered to be equivalent to the same dose of individual components taken concomitantly.</w:t>
      </w:r>
    </w:p>
    <w:p w:rsidR="004A0114" w:rsidRPr="00DB760B" w:rsidRDefault="004A0114" w:rsidP="00050ADD">
      <w:pPr>
        <w:numPr>
          <w:ilvl w:val="1"/>
          <w:numId w:val="1"/>
        </w:numPr>
        <w:spacing w:after="120"/>
        <w:rPr>
          <w:rFonts w:asciiTheme="minorHAnsi" w:hAnsiTheme="minorHAnsi"/>
          <w:bCs/>
        </w:rPr>
      </w:pPr>
      <w:r w:rsidRPr="00DB760B">
        <w:rPr>
          <w:rFonts w:asciiTheme="minorHAnsi" w:eastAsiaTheme="minorHAnsi" w:hAnsiTheme="minorHAnsi" w:cstheme="minorBidi"/>
        </w:rPr>
        <w:t xml:space="preserve">The PBAC recalled that it recommended the PBS listing of the </w:t>
      </w:r>
      <w:proofErr w:type="spellStart"/>
      <w:r w:rsidRPr="00DB760B">
        <w:rPr>
          <w:rFonts w:asciiTheme="minorHAnsi" w:eastAsiaTheme="minorHAnsi" w:hAnsiTheme="minorHAnsi" w:cstheme="minorBidi"/>
        </w:rPr>
        <w:t>dapagliflozin</w:t>
      </w:r>
      <w:proofErr w:type="spellEnd"/>
      <w:r w:rsidRPr="00DB760B">
        <w:rPr>
          <w:rFonts w:asciiTheme="minorHAnsi" w:eastAsiaTheme="minorHAnsi" w:hAnsiTheme="minorHAnsi" w:cstheme="minorBidi"/>
        </w:rPr>
        <w:t xml:space="preserve"> with </w:t>
      </w:r>
      <w:proofErr w:type="spellStart"/>
      <w:r w:rsidRPr="00DB760B">
        <w:rPr>
          <w:rFonts w:asciiTheme="minorHAnsi" w:eastAsiaTheme="minorHAnsi" w:hAnsiTheme="minorHAnsi" w:cstheme="minorBidi"/>
        </w:rPr>
        <w:t>saxagliptin</w:t>
      </w:r>
      <w:proofErr w:type="spellEnd"/>
      <w:r w:rsidRPr="00DB760B">
        <w:rPr>
          <w:rFonts w:asciiTheme="minorHAnsi" w:eastAsiaTheme="minorHAnsi" w:hAnsiTheme="minorHAnsi" w:cstheme="minorBidi"/>
        </w:rPr>
        <w:t xml:space="preserve"> FDC product and the </w:t>
      </w:r>
      <w:proofErr w:type="spellStart"/>
      <w:r w:rsidRPr="00DB760B">
        <w:rPr>
          <w:rFonts w:asciiTheme="minorHAnsi" w:eastAsiaTheme="minorHAnsi" w:hAnsiTheme="minorHAnsi" w:cstheme="minorBidi"/>
        </w:rPr>
        <w:t>empagliflozin</w:t>
      </w:r>
      <w:proofErr w:type="spellEnd"/>
      <w:r w:rsidRPr="00DB760B">
        <w:rPr>
          <w:rFonts w:asciiTheme="minorHAnsi" w:eastAsiaTheme="minorHAnsi" w:hAnsiTheme="minorHAnsi" w:cstheme="minorBidi"/>
        </w:rPr>
        <w:t xml:space="preserve"> with </w:t>
      </w:r>
      <w:proofErr w:type="spellStart"/>
      <w:r w:rsidRPr="00DB760B">
        <w:rPr>
          <w:rFonts w:asciiTheme="minorHAnsi" w:eastAsiaTheme="minorHAnsi" w:hAnsiTheme="minorHAnsi" w:cstheme="minorBidi"/>
        </w:rPr>
        <w:t>linagliptin</w:t>
      </w:r>
      <w:proofErr w:type="spellEnd"/>
      <w:r w:rsidRPr="00DB760B">
        <w:rPr>
          <w:rFonts w:asciiTheme="minorHAnsi" w:eastAsiaTheme="minorHAnsi" w:hAnsiTheme="minorHAnsi" w:cstheme="minorBidi"/>
        </w:rPr>
        <w:t xml:space="preserve"> FDC products at the </w:t>
      </w:r>
      <w:r w:rsidRPr="00DB760B">
        <w:rPr>
          <w:rFonts w:asciiTheme="minorHAnsi" w:eastAsiaTheme="minorHAnsi" w:hAnsiTheme="minorHAnsi" w:cstheme="minorBidi"/>
        </w:rPr>
        <w:lastRenderedPageBreak/>
        <w:t>November 2017 meeting</w:t>
      </w:r>
      <w:r w:rsidR="00E87188" w:rsidRPr="00DB760B">
        <w:rPr>
          <w:rFonts w:asciiTheme="minorHAnsi" w:eastAsiaTheme="minorHAnsi" w:hAnsiTheme="minorHAnsi" w:cstheme="minorBidi"/>
        </w:rPr>
        <w:t xml:space="preserve"> at the price proposed in the submission. The PBAC noted that the incremental benefit of adding a third oral agent was smaller in magnitude than the benefit observed when adding either agent in the dual therapy setting. However, the PBAC recalled that the price reduction proposed by the sponsors accounted for this decrement of benefit in triple oral therapy as well as the uncertainty inherent in this approach. </w:t>
      </w:r>
      <w:r w:rsidR="00DB760B" w:rsidRPr="00DB760B">
        <w:rPr>
          <w:rFonts w:asciiTheme="minorHAnsi" w:eastAsiaTheme="minorHAnsi" w:hAnsiTheme="minorHAnsi" w:cstheme="minorBidi"/>
        </w:rPr>
        <w:t>Therefore,</w:t>
      </w:r>
      <w:r w:rsidR="00E87188" w:rsidRPr="00DB760B">
        <w:rPr>
          <w:rFonts w:asciiTheme="minorHAnsi" w:eastAsiaTheme="minorHAnsi" w:hAnsiTheme="minorHAnsi" w:cstheme="minorBidi"/>
        </w:rPr>
        <w:t xml:space="preserve"> the PBAC considered that a similar approach would be appropriate for the listing of </w:t>
      </w:r>
      <w:proofErr w:type="spellStart"/>
      <w:r w:rsidR="00E87188" w:rsidRPr="00DB760B">
        <w:rPr>
          <w:rFonts w:asciiTheme="minorHAnsi" w:eastAsiaTheme="minorHAnsi" w:hAnsiTheme="minorHAnsi" w:cstheme="minorBidi"/>
        </w:rPr>
        <w:t>ertugliflozin</w:t>
      </w:r>
      <w:proofErr w:type="spellEnd"/>
      <w:r w:rsidR="00E87188" w:rsidRPr="00DB760B">
        <w:rPr>
          <w:rFonts w:asciiTheme="minorHAnsi" w:eastAsiaTheme="minorHAnsi" w:hAnsiTheme="minorHAnsi" w:cstheme="minorBidi"/>
        </w:rPr>
        <w:t xml:space="preserve"> with </w:t>
      </w:r>
      <w:proofErr w:type="spellStart"/>
      <w:r w:rsidR="00E87188" w:rsidRPr="00DB760B">
        <w:rPr>
          <w:rFonts w:asciiTheme="minorHAnsi" w:eastAsiaTheme="minorHAnsi" w:hAnsiTheme="minorHAnsi" w:cstheme="minorBidi"/>
        </w:rPr>
        <w:t>sitagliptin</w:t>
      </w:r>
      <w:proofErr w:type="spellEnd"/>
      <w:r w:rsidR="00E87188" w:rsidRPr="00DB760B">
        <w:rPr>
          <w:rFonts w:asciiTheme="minorHAnsi" w:eastAsiaTheme="minorHAnsi" w:hAnsiTheme="minorHAnsi" w:cstheme="minorBidi"/>
        </w:rPr>
        <w:t xml:space="preserve"> when used in this setting.</w:t>
      </w:r>
    </w:p>
    <w:p w:rsidR="00F74BF7" w:rsidRPr="00DB760B" w:rsidRDefault="00F74BF7" w:rsidP="00F74BF7">
      <w:pPr>
        <w:numPr>
          <w:ilvl w:val="1"/>
          <w:numId w:val="1"/>
        </w:numPr>
        <w:spacing w:after="120"/>
        <w:rPr>
          <w:rFonts w:asciiTheme="minorHAnsi" w:hAnsiTheme="minorHAnsi"/>
          <w:bCs/>
        </w:rPr>
      </w:pPr>
      <w:r w:rsidRPr="00DB760B">
        <w:rPr>
          <w:rFonts w:asciiTheme="minorHAnsi" w:hAnsiTheme="minorHAnsi"/>
          <w:bCs/>
        </w:rPr>
        <w:t xml:space="preserve">The PBAC noted that the submission presented a cost-minimisation analysis. The PBAC considered that the price proposed for </w:t>
      </w:r>
      <w:proofErr w:type="spellStart"/>
      <w:r w:rsidRPr="00DB760B">
        <w:rPr>
          <w:rFonts w:asciiTheme="minorHAnsi" w:hAnsiTheme="minorHAnsi"/>
          <w:bCs/>
        </w:rPr>
        <w:t>ertugliflozin</w:t>
      </w:r>
      <w:proofErr w:type="spellEnd"/>
      <w:r w:rsidRPr="00DB760B">
        <w:rPr>
          <w:rFonts w:asciiTheme="minorHAnsi" w:hAnsiTheme="minorHAnsi"/>
          <w:bCs/>
        </w:rPr>
        <w:t xml:space="preserve"> with </w:t>
      </w:r>
      <w:proofErr w:type="spellStart"/>
      <w:r w:rsidRPr="00DB760B">
        <w:rPr>
          <w:rFonts w:asciiTheme="minorHAnsi" w:hAnsiTheme="minorHAnsi"/>
          <w:bCs/>
        </w:rPr>
        <w:t>sitagliptin</w:t>
      </w:r>
      <w:proofErr w:type="spellEnd"/>
      <w:r w:rsidRPr="00DB760B">
        <w:rPr>
          <w:rFonts w:asciiTheme="minorHAnsi" w:hAnsiTheme="minorHAnsi"/>
          <w:bCs/>
        </w:rPr>
        <w:t xml:space="preserve"> FDC products was acceptable. The </w:t>
      </w:r>
      <w:proofErr w:type="spellStart"/>
      <w:r w:rsidRPr="00DB760B">
        <w:rPr>
          <w:rFonts w:asciiTheme="minorHAnsi" w:hAnsiTheme="minorHAnsi"/>
          <w:bCs/>
        </w:rPr>
        <w:t>equi</w:t>
      </w:r>
      <w:proofErr w:type="spellEnd"/>
      <w:r w:rsidRPr="00DB760B">
        <w:rPr>
          <w:rFonts w:asciiTheme="minorHAnsi" w:hAnsiTheme="minorHAnsi"/>
          <w:bCs/>
        </w:rPr>
        <w:t xml:space="preserve">-effective doses are </w:t>
      </w:r>
      <w:proofErr w:type="spellStart"/>
      <w:r w:rsidRPr="00DB760B">
        <w:rPr>
          <w:rFonts w:asciiTheme="minorHAnsi" w:hAnsiTheme="minorHAnsi"/>
          <w:bCs/>
        </w:rPr>
        <w:t>ertugliflozin</w:t>
      </w:r>
      <w:proofErr w:type="spellEnd"/>
      <w:r w:rsidRPr="00DB760B">
        <w:rPr>
          <w:rFonts w:asciiTheme="minorHAnsi" w:hAnsiTheme="minorHAnsi"/>
          <w:bCs/>
        </w:rPr>
        <w:t xml:space="preserve"> 5 mg or 15 mg with </w:t>
      </w:r>
      <w:proofErr w:type="spellStart"/>
      <w:r w:rsidRPr="00DB760B">
        <w:rPr>
          <w:rFonts w:asciiTheme="minorHAnsi" w:hAnsiTheme="minorHAnsi"/>
          <w:bCs/>
        </w:rPr>
        <w:t>sitagliptin</w:t>
      </w:r>
      <w:proofErr w:type="spellEnd"/>
      <w:r w:rsidRPr="00DB760B">
        <w:rPr>
          <w:rFonts w:asciiTheme="minorHAnsi" w:hAnsiTheme="minorHAnsi"/>
          <w:bCs/>
        </w:rPr>
        <w:t xml:space="preserve"> 100 mg, </w:t>
      </w:r>
      <w:proofErr w:type="spellStart"/>
      <w:r w:rsidRPr="00DB760B">
        <w:rPr>
          <w:rFonts w:asciiTheme="minorHAnsi" w:hAnsiTheme="minorHAnsi"/>
          <w:bCs/>
        </w:rPr>
        <w:t>dapagliflozin</w:t>
      </w:r>
      <w:proofErr w:type="spellEnd"/>
      <w:r w:rsidRPr="00DB760B">
        <w:rPr>
          <w:rFonts w:asciiTheme="minorHAnsi" w:hAnsiTheme="minorHAnsi"/>
          <w:bCs/>
        </w:rPr>
        <w:t xml:space="preserve"> 10 mg with </w:t>
      </w:r>
      <w:proofErr w:type="spellStart"/>
      <w:r w:rsidRPr="00DB760B">
        <w:rPr>
          <w:rFonts w:asciiTheme="minorHAnsi" w:hAnsiTheme="minorHAnsi"/>
          <w:bCs/>
        </w:rPr>
        <w:t>saxagliptin</w:t>
      </w:r>
      <w:proofErr w:type="spellEnd"/>
      <w:r w:rsidRPr="00DB760B">
        <w:rPr>
          <w:rFonts w:asciiTheme="minorHAnsi" w:hAnsiTheme="minorHAnsi"/>
          <w:bCs/>
        </w:rPr>
        <w:t xml:space="preserve"> 5 mg and </w:t>
      </w:r>
      <w:proofErr w:type="spellStart"/>
      <w:r w:rsidRPr="00DB760B">
        <w:rPr>
          <w:rFonts w:asciiTheme="minorHAnsi" w:hAnsiTheme="minorHAnsi"/>
          <w:bCs/>
        </w:rPr>
        <w:t>empagliflozin</w:t>
      </w:r>
      <w:proofErr w:type="spellEnd"/>
      <w:r w:rsidRPr="00DB760B">
        <w:rPr>
          <w:rFonts w:asciiTheme="minorHAnsi" w:hAnsiTheme="minorHAnsi"/>
          <w:bCs/>
        </w:rPr>
        <w:t xml:space="preserve"> 10 mg or 25 mg with </w:t>
      </w:r>
      <w:proofErr w:type="spellStart"/>
      <w:r w:rsidRPr="00DB760B">
        <w:rPr>
          <w:rFonts w:asciiTheme="minorHAnsi" w:hAnsiTheme="minorHAnsi"/>
          <w:bCs/>
        </w:rPr>
        <w:t>linagliptin</w:t>
      </w:r>
      <w:proofErr w:type="spellEnd"/>
      <w:r w:rsidRPr="00DB760B">
        <w:rPr>
          <w:rFonts w:asciiTheme="minorHAnsi" w:hAnsiTheme="minorHAnsi"/>
          <w:bCs/>
        </w:rPr>
        <w:t xml:space="preserve"> 5 mg.</w:t>
      </w:r>
    </w:p>
    <w:p w:rsidR="00455F87" w:rsidRPr="00DB760B" w:rsidRDefault="00455F87" w:rsidP="00050ADD">
      <w:pPr>
        <w:numPr>
          <w:ilvl w:val="1"/>
          <w:numId w:val="1"/>
        </w:numPr>
        <w:spacing w:after="120"/>
        <w:rPr>
          <w:rFonts w:asciiTheme="minorHAnsi" w:hAnsiTheme="minorHAnsi"/>
          <w:bCs/>
        </w:rPr>
      </w:pPr>
      <w:r w:rsidRPr="00DB760B">
        <w:rPr>
          <w:rFonts w:asciiTheme="minorHAnsi" w:eastAsiaTheme="minorHAnsi" w:hAnsiTheme="minorHAnsi" w:cstheme="minorBidi"/>
        </w:rPr>
        <w:t>The PBAC noted that the restriction was complex, and that the restrictions for the individual components and the respective FDCs with metformin should be consistent. The PBAC also reiterated its recommendation that a general statement for T2DM may be appropriate.</w:t>
      </w:r>
    </w:p>
    <w:p w:rsidR="00F74BF7" w:rsidRPr="00DB760B" w:rsidRDefault="00F74BF7" w:rsidP="00050ADD">
      <w:pPr>
        <w:numPr>
          <w:ilvl w:val="1"/>
          <w:numId w:val="1"/>
        </w:numPr>
        <w:spacing w:after="120"/>
        <w:rPr>
          <w:rFonts w:asciiTheme="minorHAnsi" w:hAnsiTheme="minorHAnsi"/>
          <w:bCs/>
        </w:rPr>
      </w:pPr>
      <w:r w:rsidRPr="00DB760B">
        <w:rPr>
          <w:rFonts w:asciiTheme="minorHAnsi" w:eastAsiaTheme="minorHAnsi" w:hAnsiTheme="minorHAnsi" w:cstheme="minorBidi"/>
        </w:rPr>
        <w:t xml:space="preserve">The PBAC advised that, under subsection 101(3BA) of the </w:t>
      </w:r>
      <w:r w:rsidRPr="00541DB6">
        <w:rPr>
          <w:rFonts w:asciiTheme="minorHAnsi" w:eastAsiaTheme="minorHAnsi" w:hAnsiTheme="minorHAnsi" w:cstheme="minorBidi"/>
          <w:i/>
        </w:rPr>
        <w:t>National Health Act, 1953</w:t>
      </w:r>
      <w:r w:rsidRPr="00DB760B">
        <w:rPr>
          <w:rFonts w:asciiTheme="minorHAnsi" w:eastAsiaTheme="minorHAnsi" w:hAnsiTheme="minorHAnsi" w:cstheme="minorBidi"/>
        </w:rPr>
        <w:t xml:space="preserve">, </w:t>
      </w:r>
      <w:proofErr w:type="spellStart"/>
      <w:r w:rsidRPr="00DB760B">
        <w:rPr>
          <w:rFonts w:asciiTheme="minorHAnsi" w:eastAsiaTheme="minorHAnsi" w:hAnsiTheme="minorHAnsi" w:cstheme="minorBidi"/>
        </w:rPr>
        <w:t>ertugliflozin</w:t>
      </w:r>
      <w:proofErr w:type="spellEnd"/>
      <w:r w:rsidRPr="00DB760B">
        <w:rPr>
          <w:rFonts w:asciiTheme="minorHAnsi" w:eastAsiaTheme="minorHAnsi" w:hAnsiTheme="minorHAnsi" w:cstheme="minorBidi"/>
        </w:rPr>
        <w:t xml:space="preserve"> with </w:t>
      </w:r>
      <w:proofErr w:type="spellStart"/>
      <w:r w:rsidRPr="00DB760B">
        <w:rPr>
          <w:rFonts w:asciiTheme="minorHAnsi" w:eastAsiaTheme="minorHAnsi" w:hAnsiTheme="minorHAnsi" w:cstheme="minorBidi"/>
        </w:rPr>
        <w:t>sitagliptin</w:t>
      </w:r>
      <w:proofErr w:type="spellEnd"/>
      <w:r w:rsidRPr="00DB760B">
        <w:rPr>
          <w:rFonts w:asciiTheme="minorHAnsi" w:eastAsiaTheme="minorHAnsi" w:hAnsiTheme="minorHAnsi" w:cstheme="minorBidi"/>
        </w:rPr>
        <w:t xml:space="preserve"> should be treated as </w:t>
      </w:r>
      <w:r w:rsidR="00DD0DAC" w:rsidRPr="00DB760B">
        <w:rPr>
          <w:rFonts w:asciiTheme="minorHAnsi" w:eastAsiaTheme="minorHAnsi" w:hAnsiTheme="minorHAnsi" w:cstheme="minorBidi"/>
        </w:rPr>
        <w:t xml:space="preserve">interchangeable on an individual patient basis with </w:t>
      </w:r>
      <w:proofErr w:type="spellStart"/>
      <w:r w:rsidR="00DD0DAC" w:rsidRPr="00DB760B">
        <w:rPr>
          <w:rFonts w:asciiTheme="minorHAnsi" w:eastAsiaTheme="minorHAnsi" w:hAnsiTheme="minorHAnsi" w:cstheme="minorBidi"/>
        </w:rPr>
        <w:t>dapagliflozin</w:t>
      </w:r>
      <w:proofErr w:type="spellEnd"/>
      <w:r w:rsidR="00DD0DAC" w:rsidRPr="00DB760B">
        <w:rPr>
          <w:rFonts w:asciiTheme="minorHAnsi" w:eastAsiaTheme="minorHAnsi" w:hAnsiTheme="minorHAnsi" w:cstheme="minorBidi"/>
        </w:rPr>
        <w:t xml:space="preserve"> with </w:t>
      </w:r>
      <w:proofErr w:type="spellStart"/>
      <w:r w:rsidR="00DD0DAC" w:rsidRPr="00DB760B">
        <w:rPr>
          <w:rFonts w:asciiTheme="minorHAnsi" w:eastAsiaTheme="minorHAnsi" w:hAnsiTheme="minorHAnsi" w:cstheme="minorBidi"/>
        </w:rPr>
        <w:t>saxagliptin</w:t>
      </w:r>
      <w:proofErr w:type="spellEnd"/>
      <w:r w:rsidR="00DD0DAC" w:rsidRPr="00DB760B">
        <w:rPr>
          <w:rFonts w:asciiTheme="minorHAnsi" w:eastAsiaTheme="minorHAnsi" w:hAnsiTheme="minorHAnsi" w:cstheme="minorBidi"/>
        </w:rPr>
        <w:t xml:space="preserve"> and </w:t>
      </w:r>
      <w:proofErr w:type="spellStart"/>
      <w:r w:rsidR="00DD0DAC" w:rsidRPr="00DB760B">
        <w:rPr>
          <w:rFonts w:asciiTheme="minorHAnsi" w:eastAsiaTheme="minorHAnsi" w:hAnsiTheme="minorHAnsi" w:cstheme="minorBidi"/>
        </w:rPr>
        <w:t>empagliflozin</w:t>
      </w:r>
      <w:proofErr w:type="spellEnd"/>
      <w:r w:rsidR="00DD0DAC" w:rsidRPr="00DB760B">
        <w:rPr>
          <w:rFonts w:asciiTheme="minorHAnsi" w:eastAsiaTheme="minorHAnsi" w:hAnsiTheme="minorHAnsi" w:cstheme="minorBidi"/>
        </w:rPr>
        <w:t xml:space="preserve"> with </w:t>
      </w:r>
      <w:proofErr w:type="spellStart"/>
      <w:r w:rsidR="00DD0DAC" w:rsidRPr="00DB760B">
        <w:rPr>
          <w:rFonts w:asciiTheme="minorHAnsi" w:eastAsiaTheme="minorHAnsi" w:hAnsiTheme="minorHAnsi" w:cstheme="minorBidi"/>
        </w:rPr>
        <w:t>linagliptin</w:t>
      </w:r>
      <w:proofErr w:type="spellEnd"/>
      <w:r w:rsidR="00DD0DAC" w:rsidRPr="00DB760B">
        <w:rPr>
          <w:rFonts w:asciiTheme="minorHAnsi" w:eastAsiaTheme="minorHAnsi" w:hAnsiTheme="minorHAnsi" w:cstheme="minorBidi"/>
        </w:rPr>
        <w:t xml:space="preserve">. </w:t>
      </w:r>
    </w:p>
    <w:p w:rsidR="00DD0DAC" w:rsidRPr="00DB760B" w:rsidRDefault="00DD0DAC" w:rsidP="00050ADD">
      <w:pPr>
        <w:numPr>
          <w:ilvl w:val="1"/>
          <w:numId w:val="1"/>
        </w:numPr>
        <w:spacing w:after="120"/>
        <w:rPr>
          <w:rFonts w:asciiTheme="minorHAnsi" w:hAnsiTheme="minorHAnsi"/>
          <w:bCs/>
        </w:rPr>
      </w:pPr>
      <w:r w:rsidRPr="00DB760B">
        <w:rPr>
          <w:rFonts w:asciiTheme="minorHAnsi" w:eastAsiaTheme="minorHAnsi" w:hAnsiTheme="minorHAnsi" w:cstheme="minorBidi"/>
        </w:rPr>
        <w:t xml:space="preserve">The PBAC considered that </w:t>
      </w:r>
      <w:proofErr w:type="spellStart"/>
      <w:r w:rsidRPr="00DB760B">
        <w:rPr>
          <w:rFonts w:asciiTheme="minorHAnsi" w:eastAsiaTheme="minorHAnsi" w:hAnsiTheme="minorHAnsi" w:cstheme="minorBidi"/>
        </w:rPr>
        <w:t>ertugliflozin</w:t>
      </w:r>
      <w:proofErr w:type="spellEnd"/>
      <w:r w:rsidRPr="00DB760B">
        <w:rPr>
          <w:rFonts w:asciiTheme="minorHAnsi" w:eastAsiaTheme="minorHAnsi" w:hAnsiTheme="minorHAnsi" w:cstheme="minorBidi"/>
        </w:rPr>
        <w:t xml:space="preserve"> with </w:t>
      </w:r>
      <w:proofErr w:type="spellStart"/>
      <w:r w:rsidRPr="00DB760B">
        <w:rPr>
          <w:rFonts w:asciiTheme="minorHAnsi" w:eastAsiaTheme="minorHAnsi" w:hAnsiTheme="minorHAnsi" w:cstheme="minorBidi"/>
        </w:rPr>
        <w:t>sitagliptin</w:t>
      </w:r>
      <w:proofErr w:type="spellEnd"/>
      <w:r w:rsidRPr="00DB760B">
        <w:rPr>
          <w:rFonts w:asciiTheme="minorHAnsi" w:eastAsiaTheme="minorHAnsi" w:hAnsiTheme="minorHAnsi" w:cstheme="minorBidi"/>
        </w:rPr>
        <w:t xml:space="preserve"> FDC, </w:t>
      </w:r>
      <w:proofErr w:type="spellStart"/>
      <w:r w:rsidRPr="00DB760B">
        <w:rPr>
          <w:rFonts w:asciiTheme="minorHAnsi" w:eastAsiaTheme="minorHAnsi" w:hAnsiTheme="minorHAnsi" w:cstheme="minorBidi"/>
        </w:rPr>
        <w:t>ertugliflozin</w:t>
      </w:r>
      <w:proofErr w:type="spellEnd"/>
      <w:r w:rsidRPr="00DB760B">
        <w:rPr>
          <w:rFonts w:asciiTheme="minorHAnsi" w:eastAsiaTheme="minorHAnsi" w:hAnsiTheme="minorHAnsi" w:cstheme="minorBidi"/>
        </w:rPr>
        <w:t xml:space="preserve">, </w:t>
      </w:r>
      <w:proofErr w:type="spellStart"/>
      <w:r w:rsidRPr="00DB760B">
        <w:rPr>
          <w:rFonts w:asciiTheme="minorHAnsi" w:eastAsiaTheme="minorHAnsi" w:hAnsiTheme="minorHAnsi" w:cstheme="minorBidi"/>
        </w:rPr>
        <w:t>sitagliptin</w:t>
      </w:r>
      <w:proofErr w:type="spellEnd"/>
      <w:r w:rsidRPr="00DB760B">
        <w:rPr>
          <w:rFonts w:asciiTheme="minorHAnsi" w:eastAsiaTheme="minorHAnsi" w:hAnsiTheme="minorHAnsi" w:cstheme="minorBidi"/>
        </w:rPr>
        <w:t xml:space="preserve"> and their respective FDCs with metformin are suitable for prescribing by nurse practitioners for continuing therapy only, where </w:t>
      </w:r>
      <w:r w:rsidR="00DB760B" w:rsidRPr="00DB760B">
        <w:rPr>
          <w:rFonts w:asciiTheme="minorHAnsi" w:eastAsiaTheme="minorHAnsi" w:hAnsiTheme="minorHAnsi" w:cstheme="minorBidi"/>
        </w:rPr>
        <w:t>a medical practitioner has initiated the therapy</w:t>
      </w:r>
      <w:r w:rsidRPr="00DB760B">
        <w:rPr>
          <w:rFonts w:asciiTheme="minorHAnsi" w:eastAsiaTheme="minorHAnsi" w:hAnsiTheme="minorHAnsi" w:cstheme="minorBidi"/>
        </w:rPr>
        <w:t>.</w:t>
      </w:r>
    </w:p>
    <w:p w:rsidR="00DD0DAC" w:rsidRPr="00DB760B" w:rsidRDefault="00DD0DAC" w:rsidP="00050ADD">
      <w:pPr>
        <w:numPr>
          <w:ilvl w:val="1"/>
          <w:numId w:val="1"/>
        </w:numPr>
        <w:spacing w:after="120"/>
        <w:rPr>
          <w:rFonts w:asciiTheme="minorHAnsi" w:hAnsiTheme="minorHAnsi"/>
          <w:bCs/>
        </w:rPr>
      </w:pPr>
      <w:r w:rsidRPr="00DB760B">
        <w:rPr>
          <w:rFonts w:asciiTheme="minorHAnsi" w:eastAsiaTheme="minorHAnsi" w:hAnsiTheme="minorHAnsi" w:cstheme="minorBidi"/>
        </w:rPr>
        <w:t xml:space="preserve">The PBAC </w:t>
      </w:r>
      <w:r w:rsidR="00146BBB" w:rsidRPr="00DB760B">
        <w:rPr>
          <w:rFonts w:asciiTheme="minorHAnsi" w:eastAsiaTheme="minorHAnsi" w:hAnsiTheme="minorHAnsi" w:cstheme="minorBidi"/>
        </w:rPr>
        <w:t>recommended</w:t>
      </w:r>
      <w:r w:rsidRPr="00DB760B">
        <w:rPr>
          <w:rFonts w:asciiTheme="minorHAnsi" w:eastAsiaTheme="minorHAnsi" w:hAnsiTheme="minorHAnsi" w:cstheme="minorBidi"/>
        </w:rPr>
        <w:t xml:space="preserve"> that th</w:t>
      </w:r>
      <w:r w:rsidR="00146BBB" w:rsidRPr="00DB760B">
        <w:rPr>
          <w:rFonts w:asciiTheme="minorHAnsi" w:eastAsiaTheme="minorHAnsi" w:hAnsiTheme="minorHAnsi" w:cstheme="minorBidi"/>
        </w:rPr>
        <w:t xml:space="preserve">e Early Supply Rule should apply to </w:t>
      </w:r>
      <w:proofErr w:type="spellStart"/>
      <w:r w:rsidR="00146BBB" w:rsidRPr="00DB760B">
        <w:rPr>
          <w:rFonts w:asciiTheme="minorHAnsi" w:eastAsiaTheme="minorHAnsi" w:hAnsiTheme="minorHAnsi" w:cstheme="minorBidi"/>
        </w:rPr>
        <w:t>ertugliflozin</w:t>
      </w:r>
      <w:proofErr w:type="spellEnd"/>
      <w:r w:rsidR="00146BBB" w:rsidRPr="00DB760B">
        <w:rPr>
          <w:rFonts w:asciiTheme="minorHAnsi" w:eastAsiaTheme="minorHAnsi" w:hAnsiTheme="minorHAnsi" w:cstheme="minorBidi"/>
        </w:rPr>
        <w:t xml:space="preserve"> with </w:t>
      </w:r>
      <w:proofErr w:type="spellStart"/>
      <w:r w:rsidR="00146BBB" w:rsidRPr="00DB760B">
        <w:rPr>
          <w:rFonts w:asciiTheme="minorHAnsi" w:eastAsiaTheme="minorHAnsi" w:hAnsiTheme="minorHAnsi" w:cstheme="minorBidi"/>
        </w:rPr>
        <w:t>sitagliptin</w:t>
      </w:r>
      <w:proofErr w:type="spellEnd"/>
      <w:r w:rsidR="00146BBB" w:rsidRPr="00DB760B">
        <w:rPr>
          <w:rFonts w:asciiTheme="minorHAnsi" w:eastAsiaTheme="minorHAnsi" w:hAnsiTheme="minorHAnsi" w:cstheme="minorBidi"/>
        </w:rPr>
        <w:t xml:space="preserve"> FDC products as the Early Supply Rule applies to the current PBS listings for other SGLT2 inhibitor with DPP4 inhibitor listings</w:t>
      </w:r>
      <w:r w:rsidRPr="00DB760B">
        <w:rPr>
          <w:rFonts w:asciiTheme="minorHAnsi" w:eastAsiaTheme="minorHAnsi" w:hAnsiTheme="minorHAnsi" w:cstheme="minorBidi"/>
        </w:rPr>
        <w:t>.</w:t>
      </w:r>
    </w:p>
    <w:p w:rsidR="005C3936" w:rsidRPr="001B3286" w:rsidRDefault="00DD0DAC" w:rsidP="001B3286">
      <w:pPr>
        <w:numPr>
          <w:ilvl w:val="1"/>
          <w:numId w:val="1"/>
        </w:numPr>
        <w:spacing w:after="120"/>
        <w:rPr>
          <w:rFonts w:asciiTheme="minorHAnsi" w:hAnsiTheme="minorHAnsi"/>
          <w:bCs/>
        </w:rPr>
      </w:pPr>
      <w:r w:rsidRPr="00DB760B">
        <w:rPr>
          <w:rFonts w:asciiTheme="minorHAnsi" w:eastAsiaTheme="minorHAnsi" w:hAnsiTheme="minorHAnsi" w:cstheme="minorBidi"/>
        </w:rPr>
        <w:t>The PBAC noted that this submission is not eligible for an Independent Review as it has received a positive recommendation.</w:t>
      </w:r>
    </w:p>
    <w:p w:rsidR="00301DD3" w:rsidRPr="00DB760B" w:rsidRDefault="005C3936" w:rsidP="005C3936">
      <w:pPr>
        <w:spacing w:after="120"/>
        <w:rPr>
          <w:rFonts w:asciiTheme="minorHAnsi" w:hAnsiTheme="minorHAnsi"/>
          <w:b/>
          <w:bCs/>
        </w:rPr>
      </w:pPr>
      <w:r w:rsidRPr="00376223">
        <w:rPr>
          <w:rFonts w:asciiTheme="minorHAnsi" w:hAnsiTheme="minorHAnsi"/>
          <w:b/>
          <w:bCs/>
        </w:rPr>
        <w:t>O</w:t>
      </w:r>
      <w:r w:rsidR="00301DD3" w:rsidRPr="00DB760B">
        <w:rPr>
          <w:rFonts w:asciiTheme="minorHAnsi" w:hAnsiTheme="minorHAnsi"/>
          <w:b/>
          <w:bCs/>
        </w:rPr>
        <w:t>utcome:</w:t>
      </w:r>
    </w:p>
    <w:p w:rsidR="00301DD3" w:rsidRPr="00DB760B" w:rsidRDefault="00301DD3" w:rsidP="00301DD3">
      <w:pPr>
        <w:rPr>
          <w:rFonts w:asciiTheme="minorHAnsi" w:hAnsiTheme="minorHAnsi"/>
          <w:bCs/>
        </w:rPr>
      </w:pPr>
      <w:r w:rsidRPr="00DB760B">
        <w:rPr>
          <w:rFonts w:asciiTheme="minorHAnsi" w:hAnsiTheme="minorHAnsi"/>
          <w:bCs/>
        </w:rPr>
        <w:t xml:space="preserve">Recommended </w:t>
      </w:r>
    </w:p>
    <w:p w:rsidR="00301DD3" w:rsidRPr="005F7413" w:rsidRDefault="00301DD3" w:rsidP="005F7413">
      <w:pPr>
        <w:numPr>
          <w:ilvl w:val="0"/>
          <w:numId w:val="1"/>
        </w:numPr>
        <w:spacing w:before="240" w:after="120"/>
        <w:outlineLvl w:val="0"/>
        <w:rPr>
          <w:rFonts w:asciiTheme="minorHAnsi" w:hAnsiTheme="minorHAnsi"/>
          <w:b/>
          <w:bCs/>
          <w:sz w:val="32"/>
        </w:rPr>
      </w:pPr>
      <w:r w:rsidRPr="005F7413">
        <w:rPr>
          <w:rFonts w:asciiTheme="minorHAnsi" w:hAnsiTheme="minorHAnsi"/>
          <w:b/>
          <w:bCs/>
          <w:sz w:val="32"/>
        </w:rPr>
        <w:t>Recommended listing</w:t>
      </w:r>
    </w:p>
    <w:p w:rsidR="001B3286" w:rsidRPr="00DB760B" w:rsidRDefault="005A344A" w:rsidP="00936690">
      <w:pPr>
        <w:rPr>
          <w:rFonts w:asciiTheme="minorHAnsi" w:hAnsiTheme="minorHAnsi"/>
          <w:bCs/>
        </w:rPr>
      </w:pPr>
      <w:r w:rsidRPr="00DB760B">
        <w:rPr>
          <w:rFonts w:asciiTheme="minorHAnsi" w:hAnsiTheme="minorHAnsi"/>
          <w:bCs/>
        </w:rPr>
        <w:t>8.1</w:t>
      </w:r>
      <w:r w:rsidRPr="00DB760B">
        <w:rPr>
          <w:rFonts w:asciiTheme="minorHAnsi" w:hAnsiTheme="minorHAnsi"/>
          <w:bCs/>
        </w:rPr>
        <w:tab/>
      </w:r>
      <w:r w:rsidR="00301DD3" w:rsidRPr="00DB760B">
        <w:rPr>
          <w:rFonts w:asciiTheme="minorHAnsi" w:hAnsiTheme="minorHAnsi"/>
          <w:bCs/>
        </w:rPr>
        <w:t>Add new item:</w:t>
      </w:r>
    </w:p>
    <w:tbl>
      <w:tblPr>
        <w:tblW w:w="4994" w:type="pct"/>
        <w:tblInd w:w="28" w:type="dxa"/>
        <w:tblLayout w:type="fixed"/>
        <w:tblCellMar>
          <w:left w:w="28" w:type="dxa"/>
          <w:right w:w="28" w:type="dxa"/>
        </w:tblCellMar>
        <w:tblLook w:val="0000" w:firstRow="0" w:lastRow="0" w:firstColumn="0" w:lastColumn="0" w:noHBand="0" w:noVBand="0"/>
      </w:tblPr>
      <w:tblGrid>
        <w:gridCol w:w="2191"/>
        <w:gridCol w:w="1637"/>
        <w:gridCol w:w="851"/>
        <w:gridCol w:w="992"/>
        <w:gridCol w:w="1417"/>
        <w:gridCol w:w="1706"/>
        <w:gridCol w:w="278"/>
      </w:tblGrid>
      <w:tr w:rsidR="005A344A" w:rsidRPr="00DB760B" w:rsidTr="005A344A">
        <w:trPr>
          <w:gridAfter w:val="1"/>
          <w:wAfter w:w="153" w:type="pct"/>
          <w:cantSplit/>
          <w:trHeight w:val="463"/>
        </w:trPr>
        <w:tc>
          <w:tcPr>
            <w:tcW w:w="2110" w:type="pct"/>
            <w:gridSpan w:val="2"/>
            <w:tcBorders>
              <w:bottom w:val="single" w:sz="4" w:space="0" w:color="auto"/>
            </w:tcBorders>
            <w:vAlign w:val="center"/>
          </w:tcPr>
          <w:p w:rsidR="00B858BA" w:rsidRPr="00DB760B" w:rsidRDefault="00B858BA" w:rsidP="00111BDF">
            <w:pPr>
              <w:keepNext/>
              <w:jc w:val="left"/>
              <w:rPr>
                <w:rFonts w:ascii="Arial Narrow" w:hAnsi="Arial Narrow"/>
                <w:b/>
                <w:sz w:val="20"/>
              </w:rPr>
            </w:pPr>
            <w:r w:rsidRPr="00DB760B">
              <w:rPr>
                <w:rFonts w:ascii="Arial Narrow" w:hAnsi="Arial Narrow"/>
                <w:b/>
                <w:sz w:val="20"/>
              </w:rPr>
              <w:t>Name, Restriction,</w:t>
            </w:r>
          </w:p>
          <w:p w:rsidR="00B858BA" w:rsidRPr="00DB760B" w:rsidRDefault="00B858BA" w:rsidP="00111BDF">
            <w:pPr>
              <w:keepNext/>
              <w:jc w:val="left"/>
              <w:rPr>
                <w:rFonts w:ascii="Arial Narrow" w:hAnsi="Arial Narrow"/>
                <w:b/>
                <w:sz w:val="20"/>
              </w:rPr>
            </w:pPr>
            <w:r w:rsidRPr="00DB760B">
              <w:rPr>
                <w:rFonts w:ascii="Arial Narrow" w:hAnsi="Arial Narrow"/>
                <w:b/>
                <w:sz w:val="20"/>
              </w:rPr>
              <w:t>Manner of administration and form</w:t>
            </w:r>
          </w:p>
        </w:tc>
        <w:tc>
          <w:tcPr>
            <w:tcW w:w="469" w:type="pct"/>
            <w:tcBorders>
              <w:bottom w:val="single" w:sz="4" w:space="0" w:color="auto"/>
            </w:tcBorders>
            <w:vAlign w:val="center"/>
          </w:tcPr>
          <w:p w:rsidR="00B858BA" w:rsidRPr="00DB760B" w:rsidRDefault="00B858BA" w:rsidP="00855CDC">
            <w:pPr>
              <w:keepNext/>
              <w:jc w:val="center"/>
              <w:rPr>
                <w:rFonts w:ascii="Arial Narrow" w:hAnsi="Arial Narrow"/>
                <w:b/>
                <w:sz w:val="20"/>
              </w:rPr>
            </w:pPr>
            <w:r w:rsidRPr="00DB760B">
              <w:rPr>
                <w:rFonts w:ascii="Arial Narrow" w:hAnsi="Arial Narrow"/>
                <w:b/>
                <w:sz w:val="20"/>
              </w:rPr>
              <w:t xml:space="preserve">Max </w:t>
            </w:r>
            <w:proofErr w:type="spellStart"/>
            <w:r w:rsidRPr="00DB760B">
              <w:rPr>
                <w:rFonts w:ascii="Arial Narrow" w:hAnsi="Arial Narrow"/>
                <w:b/>
                <w:sz w:val="20"/>
              </w:rPr>
              <w:t>qty</w:t>
            </w:r>
            <w:proofErr w:type="spellEnd"/>
            <w:r w:rsidRPr="00DB760B">
              <w:rPr>
                <w:rFonts w:ascii="Arial Narrow" w:hAnsi="Arial Narrow"/>
                <w:b/>
                <w:sz w:val="20"/>
              </w:rPr>
              <w:t xml:space="preserve"> packs </w:t>
            </w:r>
          </w:p>
        </w:tc>
        <w:tc>
          <w:tcPr>
            <w:tcW w:w="547" w:type="pct"/>
            <w:tcBorders>
              <w:bottom w:val="single" w:sz="4" w:space="0" w:color="auto"/>
            </w:tcBorders>
            <w:vAlign w:val="center"/>
          </w:tcPr>
          <w:p w:rsidR="00B858BA" w:rsidRPr="00DB760B" w:rsidRDefault="00B858BA" w:rsidP="00111BDF">
            <w:pPr>
              <w:keepNext/>
              <w:jc w:val="center"/>
              <w:rPr>
                <w:rFonts w:ascii="Arial Narrow" w:hAnsi="Arial Narrow"/>
                <w:b/>
                <w:sz w:val="20"/>
              </w:rPr>
            </w:pPr>
            <w:r w:rsidRPr="00DB760B">
              <w:rPr>
                <w:rFonts w:ascii="Arial Narrow" w:hAnsi="Arial Narrow" w:cs="Times New Roman"/>
                <w:b/>
                <w:sz w:val="20"/>
              </w:rPr>
              <w:t>No</w:t>
            </w:r>
            <w:r w:rsidRPr="00DB760B">
              <w:rPr>
                <w:rFonts w:ascii="Arial Narrow" w:hAnsi="Arial Narrow"/>
                <w:b/>
                <w:sz w:val="20"/>
              </w:rPr>
              <w:t>. of</w:t>
            </w:r>
          </w:p>
          <w:p w:rsidR="00B858BA" w:rsidRPr="00DB760B" w:rsidRDefault="00B858BA" w:rsidP="00936690">
            <w:pPr>
              <w:keepNext/>
              <w:jc w:val="center"/>
              <w:rPr>
                <w:rFonts w:ascii="Arial Narrow" w:hAnsi="Arial Narrow"/>
                <w:b/>
                <w:sz w:val="20"/>
              </w:rPr>
            </w:pPr>
            <w:r w:rsidRPr="00DB760B">
              <w:rPr>
                <w:rFonts w:ascii="Arial Narrow" w:hAnsi="Arial Narrow"/>
                <w:b/>
                <w:sz w:val="20"/>
              </w:rPr>
              <w:t>repeats</w:t>
            </w:r>
          </w:p>
        </w:tc>
        <w:tc>
          <w:tcPr>
            <w:tcW w:w="781" w:type="pct"/>
            <w:tcBorders>
              <w:bottom w:val="single" w:sz="4" w:space="0" w:color="auto"/>
            </w:tcBorders>
            <w:vAlign w:val="center"/>
          </w:tcPr>
          <w:p w:rsidR="00B858BA" w:rsidRPr="00DB760B" w:rsidRDefault="00B858BA" w:rsidP="00855CDC">
            <w:pPr>
              <w:keepNext/>
              <w:jc w:val="left"/>
              <w:rPr>
                <w:rFonts w:ascii="Arial Narrow" w:hAnsi="Arial Narrow"/>
                <w:b/>
                <w:sz w:val="20"/>
              </w:rPr>
            </w:pPr>
            <w:r w:rsidRPr="00DB760B">
              <w:rPr>
                <w:rFonts w:ascii="Arial Narrow" w:hAnsi="Arial Narrow"/>
                <w:b/>
                <w:sz w:val="20"/>
              </w:rPr>
              <w:t xml:space="preserve">Proprietary name </w:t>
            </w:r>
          </w:p>
        </w:tc>
        <w:tc>
          <w:tcPr>
            <w:tcW w:w="940" w:type="pct"/>
            <w:tcBorders>
              <w:bottom w:val="single" w:sz="4" w:space="0" w:color="auto"/>
            </w:tcBorders>
            <w:vAlign w:val="center"/>
          </w:tcPr>
          <w:p w:rsidR="00B858BA" w:rsidRPr="00DB760B" w:rsidRDefault="00B858BA" w:rsidP="00111BDF">
            <w:pPr>
              <w:keepNext/>
              <w:jc w:val="left"/>
              <w:rPr>
                <w:rFonts w:ascii="Arial Narrow" w:hAnsi="Arial Narrow"/>
                <w:b/>
                <w:sz w:val="20"/>
              </w:rPr>
            </w:pPr>
            <w:r w:rsidRPr="00DB760B">
              <w:rPr>
                <w:rFonts w:ascii="Arial Narrow" w:hAnsi="Arial Narrow"/>
                <w:b/>
                <w:sz w:val="20"/>
              </w:rPr>
              <w:t>Manufacturer</w:t>
            </w:r>
          </w:p>
        </w:tc>
      </w:tr>
      <w:tr w:rsidR="005A344A" w:rsidRPr="00DB760B" w:rsidTr="005A344A">
        <w:trPr>
          <w:gridAfter w:val="1"/>
          <w:wAfter w:w="153" w:type="pct"/>
          <w:cantSplit/>
          <w:trHeight w:val="567"/>
        </w:trPr>
        <w:tc>
          <w:tcPr>
            <w:tcW w:w="2110" w:type="pct"/>
            <w:gridSpan w:val="2"/>
            <w:tcBorders>
              <w:top w:val="single" w:sz="4" w:space="0" w:color="auto"/>
            </w:tcBorders>
            <w:vAlign w:val="center"/>
          </w:tcPr>
          <w:p w:rsidR="00B858BA" w:rsidRPr="00DB760B" w:rsidRDefault="00B858BA" w:rsidP="00111BDF">
            <w:pPr>
              <w:keepNext/>
              <w:jc w:val="left"/>
              <w:rPr>
                <w:rFonts w:ascii="Arial Narrow" w:hAnsi="Arial Narrow"/>
                <w:sz w:val="20"/>
              </w:rPr>
            </w:pPr>
            <w:proofErr w:type="spellStart"/>
            <w:r w:rsidRPr="00DB760B">
              <w:rPr>
                <w:rFonts w:ascii="Arial Narrow" w:hAnsi="Arial Narrow"/>
                <w:smallCaps/>
                <w:sz w:val="20"/>
              </w:rPr>
              <w:t>Ertugliflozin</w:t>
            </w:r>
            <w:proofErr w:type="spellEnd"/>
            <w:r w:rsidRPr="00DB760B">
              <w:rPr>
                <w:rFonts w:ascii="Arial Narrow" w:hAnsi="Arial Narrow"/>
                <w:smallCaps/>
                <w:sz w:val="20"/>
              </w:rPr>
              <w:t xml:space="preserve"> with </w:t>
            </w:r>
            <w:proofErr w:type="spellStart"/>
            <w:r w:rsidRPr="00DB760B">
              <w:rPr>
                <w:rFonts w:ascii="Arial Narrow" w:hAnsi="Arial Narrow"/>
                <w:smallCaps/>
                <w:sz w:val="20"/>
              </w:rPr>
              <w:t>Sitagliptin</w:t>
            </w:r>
            <w:proofErr w:type="spellEnd"/>
          </w:p>
          <w:p w:rsidR="00B858BA" w:rsidRPr="00DB760B" w:rsidRDefault="00936690" w:rsidP="00111BDF">
            <w:pPr>
              <w:keepNext/>
              <w:jc w:val="left"/>
              <w:rPr>
                <w:rFonts w:ascii="Arial Narrow" w:hAnsi="Arial Narrow"/>
                <w:i/>
                <w:sz w:val="20"/>
              </w:rPr>
            </w:pPr>
            <w:proofErr w:type="spellStart"/>
            <w:r w:rsidRPr="00DB760B">
              <w:rPr>
                <w:rFonts w:ascii="Arial Narrow" w:hAnsi="Arial Narrow"/>
                <w:i/>
                <w:sz w:val="20"/>
              </w:rPr>
              <w:t>ertugliflozin</w:t>
            </w:r>
            <w:proofErr w:type="spellEnd"/>
            <w:r w:rsidR="00B858BA" w:rsidRPr="00DB760B">
              <w:rPr>
                <w:rFonts w:ascii="Arial Narrow" w:hAnsi="Arial Narrow"/>
                <w:i/>
                <w:sz w:val="20"/>
              </w:rPr>
              <w:t xml:space="preserve"> 5 mg</w:t>
            </w:r>
            <w:r w:rsidRPr="00DB760B">
              <w:rPr>
                <w:rFonts w:ascii="Arial Narrow" w:hAnsi="Arial Narrow"/>
                <w:i/>
                <w:sz w:val="20"/>
              </w:rPr>
              <w:t xml:space="preserve"> + </w:t>
            </w:r>
            <w:proofErr w:type="spellStart"/>
            <w:r w:rsidRPr="00DB760B">
              <w:rPr>
                <w:rFonts w:ascii="Arial Narrow" w:hAnsi="Arial Narrow"/>
                <w:i/>
                <w:sz w:val="20"/>
              </w:rPr>
              <w:t>sitagliptin</w:t>
            </w:r>
            <w:proofErr w:type="spellEnd"/>
            <w:r w:rsidRPr="00DB760B">
              <w:rPr>
                <w:rFonts w:ascii="Arial Narrow" w:hAnsi="Arial Narrow"/>
                <w:i/>
                <w:sz w:val="20"/>
              </w:rPr>
              <w:t xml:space="preserve"> </w:t>
            </w:r>
            <w:r w:rsidR="00B858BA" w:rsidRPr="00DB760B">
              <w:rPr>
                <w:rFonts w:ascii="Arial Narrow" w:hAnsi="Arial Narrow"/>
                <w:i/>
                <w:sz w:val="20"/>
              </w:rPr>
              <w:t>100 mg</w:t>
            </w:r>
            <w:r w:rsidRPr="00DB760B">
              <w:rPr>
                <w:rFonts w:ascii="Arial Narrow" w:hAnsi="Arial Narrow"/>
                <w:i/>
                <w:sz w:val="20"/>
              </w:rPr>
              <w:t xml:space="preserve"> tablet, </w:t>
            </w:r>
            <w:r w:rsidR="00B858BA" w:rsidRPr="00DB760B">
              <w:rPr>
                <w:rFonts w:ascii="Arial Narrow" w:hAnsi="Arial Narrow"/>
                <w:i/>
                <w:sz w:val="20"/>
              </w:rPr>
              <w:t>28</w:t>
            </w:r>
          </w:p>
          <w:p w:rsidR="00B858BA" w:rsidRPr="00DB760B" w:rsidRDefault="00936690" w:rsidP="00936690">
            <w:pPr>
              <w:keepNext/>
              <w:jc w:val="left"/>
              <w:rPr>
                <w:rFonts w:ascii="Arial Narrow" w:hAnsi="Arial Narrow"/>
                <w:i/>
                <w:sz w:val="20"/>
              </w:rPr>
            </w:pPr>
            <w:proofErr w:type="spellStart"/>
            <w:r w:rsidRPr="00DB760B">
              <w:rPr>
                <w:rFonts w:ascii="Arial Narrow" w:hAnsi="Arial Narrow"/>
                <w:i/>
                <w:sz w:val="20"/>
              </w:rPr>
              <w:t>ertugliflozin</w:t>
            </w:r>
            <w:proofErr w:type="spellEnd"/>
            <w:r w:rsidRPr="00DB760B">
              <w:rPr>
                <w:rFonts w:ascii="Arial Narrow" w:hAnsi="Arial Narrow"/>
                <w:i/>
                <w:sz w:val="20"/>
              </w:rPr>
              <w:t xml:space="preserve"> 1</w:t>
            </w:r>
            <w:r w:rsidR="00B858BA" w:rsidRPr="00DB760B">
              <w:rPr>
                <w:rFonts w:ascii="Arial Narrow" w:hAnsi="Arial Narrow"/>
                <w:i/>
                <w:sz w:val="20"/>
              </w:rPr>
              <w:t>5 mg</w:t>
            </w:r>
            <w:r w:rsidRPr="00DB760B">
              <w:rPr>
                <w:rFonts w:ascii="Arial Narrow" w:hAnsi="Arial Narrow"/>
                <w:i/>
                <w:sz w:val="20"/>
              </w:rPr>
              <w:t xml:space="preserve"> + </w:t>
            </w:r>
            <w:proofErr w:type="spellStart"/>
            <w:r w:rsidRPr="00DB760B">
              <w:rPr>
                <w:rFonts w:ascii="Arial Narrow" w:hAnsi="Arial Narrow"/>
                <w:i/>
                <w:sz w:val="20"/>
              </w:rPr>
              <w:t>sitagliptin</w:t>
            </w:r>
            <w:proofErr w:type="spellEnd"/>
            <w:r w:rsidRPr="00DB760B">
              <w:rPr>
                <w:rFonts w:ascii="Arial Narrow" w:hAnsi="Arial Narrow"/>
                <w:i/>
                <w:sz w:val="20"/>
              </w:rPr>
              <w:t xml:space="preserve"> </w:t>
            </w:r>
            <w:r w:rsidR="00B858BA" w:rsidRPr="00DB760B">
              <w:rPr>
                <w:rFonts w:ascii="Arial Narrow" w:hAnsi="Arial Narrow"/>
                <w:i/>
                <w:sz w:val="20"/>
              </w:rPr>
              <w:t>100 mg</w:t>
            </w:r>
            <w:r w:rsidRPr="00DB760B">
              <w:rPr>
                <w:rFonts w:ascii="Arial Narrow" w:hAnsi="Arial Narrow"/>
                <w:i/>
                <w:sz w:val="20"/>
              </w:rPr>
              <w:t xml:space="preserve"> tablet</w:t>
            </w:r>
            <w:r w:rsidR="00B858BA" w:rsidRPr="00DB760B">
              <w:rPr>
                <w:rFonts w:ascii="Arial Narrow" w:hAnsi="Arial Narrow"/>
                <w:i/>
                <w:sz w:val="20"/>
              </w:rPr>
              <w:t>, 28</w:t>
            </w:r>
          </w:p>
          <w:p w:rsidR="005A344A" w:rsidRPr="00DB760B" w:rsidRDefault="005A344A" w:rsidP="00936690">
            <w:pPr>
              <w:keepNext/>
              <w:jc w:val="left"/>
              <w:rPr>
                <w:rFonts w:ascii="Arial Narrow" w:hAnsi="Arial Narrow"/>
                <w:sz w:val="20"/>
              </w:rPr>
            </w:pPr>
          </w:p>
        </w:tc>
        <w:tc>
          <w:tcPr>
            <w:tcW w:w="469" w:type="pct"/>
            <w:tcBorders>
              <w:top w:val="single" w:sz="4" w:space="0" w:color="auto"/>
            </w:tcBorders>
            <w:vAlign w:val="center"/>
          </w:tcPr>
          <w:p w:rsidR="00B858BA" w:rsidRPr="00DB760B" w:rsidRDefault="00B858BA" w:rsidP="00111BDF">
            <w:pPr>
              <w:keepNext/>
              <w:jc w:val="center"/>
              <w:rPr>
                <w:rFonts w:ascii="Arial Narrow" w:hAnsi="Arial Narrow"/>
                <w:sz w:val="20"/>
              </w:rPr>
            </w:pPr>
            <w:r w:rsidRPr="00DB760B">
              <w:rPr>
                <w:rFonts w:ascii="Arial Narrow" w:hAnsi="Arial Narrow"/>
                <w:sz w:val="20"/>
              </w:rPr>
              <w:t>1</w:t>
            </w:r>
          </w:p>
          <w:p w:rsidR="00B858BA" w:rsidRPr="00DB760B" w:rsidRDefault="00B858BA" w:rsidP="00111BDF">
            <w:pPr>
              <w:keepNext/>
              <w:jc w:val="center"/>
              <w:rPr>
                <w:rFonts w:ascii="Arial Narrow" w:hAnsi="Arial Narrow"/>
                <w:sz w:val="20"/>
              </w:rPr>
            </w:pPr>
            <w:r w:rsidRPr="00DB760B">
              <w:rPr>
                <w:rFonts w:ascii="Arial Narrow" w:hAnsi="Arial Narrow"/>
                <w:sz w:val="20"/>
              </w:rPr>
              <w:t>1</w:t>
            </w:r>
          </w:p>
        </w:tc>
        <w:tc>
          <w:tcPr>
            <w:tcW w:w="547" w:type="pct"/>
            <w:tcBorders>
              <w:top w:val="single" w:sz="4" w:space="0" w:color="auto"/>
            </w:tcBorders>
            <w:vAlign w:val="center"/>
          </w:tcPr>
          <w:p w:rsidR="00B858BA" w:rsidRPr="00DB760B" w:rsidRDefault="00B858BA" w:rsidP="00111BDF">
            <w:pPr>
              <w:keepNext/>
              <w:jc w:val="center"/>
              <w:rPr>
                <w:rFonts w:ascii="Arial Narrow" w:hAnsi="Arial Narrow"/>
                <w:sz w:val="20"/>
              </w:rPr>
            </w:pPr>
            <w:r w:rsidRPr="00DB760B">
              <w:rPr>
                <w:rFonts w:ascii="Arial Narrow" w:hAnsi="Arial Narrow"/>
                <w:sz w:val="20"/>
              </w:rPr>
              <w:t>5</w:t>
            </w:r>
          </w:p>
          <w:p w:rsidR="00B858BA" w:rsidRPr="00DB760B" w:rsidRDefault="00B858BA" w:rsidP="00111BDF">
            <w:pPr>
              <w:keepNext/>
              <w:jc w:val="center"/>
              <w:rPr>
                <w:rFonts w:ascii="Arial Narrow" w:hAnsi="Arial Narrow"/>
                <w:sz w:val="20"/>
              </w:rPr>
            </w:pPr>
            <w:r w:rsidRPr="00DB760B">
              <w:rPr>
                <w:rFonts w:ascii="Arial Narrow" w:hAnsi="Arial Narrow"/>
                <w:sz w:val="20"/>
              </w:rPr>
              <w:t>5</w:t>
            </w:r>
          </w:p>
        </w:tc>
        <w:tc>
          <w:tcPr>
            <w:tcW w:w="781" w:type="pct"/>
            <w:tcBorders>
              <w:top w:val="single" w:sz="4" w:space="0" w:color="auto"/>
            </w:tcBorders>
          </w:tcPr>
          <w:p w:rsidR="00B858BA" w:rsidRPr="00DB760B" w:rsidRDefault="00B858BA" w:rsidP="005A344A">
            <w:pPr>
              <w:keepNext/>
              <w:jc w:val="left"/>
              <w:rPr>
                <w:rFonts w:ascii="Arial Narrow" w:hAnsi="Arial Narrow"/>
                <w:sz w:val="20"/>
              </w:rPr>
            </w:pPr>
          </w:p>
          <w:p w:rsidR="00B858BA" w:rsidRPr="00DB760B" w:rsidRDefault="00B858BA" w:rsidP="005A344A">
            <w:pPr>
              <w:keepNext/>
              <w:jc w:val="left"/>
              <w:rPr>
                <w:rFonts w:ascii="Arial Narrow" w:hAnsi="Arial Narrow"/>
                <w:sz w:val="20"/>
              </w:rPr>
            </w:pPr>
            <w:proofErr w:type="spellStart"/>
            <w:r w:rsidRPr="00DB760B">
              <w:rPr>
                <w:rFonts w:ascii="Arial Narrow" w:hAnsi="Arial Narrow"/>
                <w:sz w:val="20"/>
              </w:rPr>
              <w:t>Steglujan</w:t>
            </w:r>
            <w:proofErr w:type="spellEnd"/>
            <w:r w:rsidRPr="00DB760B">
              <w:rPr>
                <w:rFonts w:ascii="Arial Narrow" w:hAnsi="Arial Narrow"/>
                <w:sz w:val="20"/>
              </w:rPr>
              <w:t xml:space="preserve"> </w:t>
            </w:r>
            <w:r w:rsidRPr="00DB760B">
              <w:rPr>
                <w:vertAlign w:val="superscript"/>
              </w:rPr>
              <w:t>®</w:t>
            </w:r>
          </w:p>
        </w:tc>
        <w:tc>
          <w:tcPr>
            <w:tcW w:w="940" w:type="pct"/>
            <w:tcBorders>
              <w:top w:val="single" w:sz="4" w:space="0" w:color="auto"/>
            </w:tcBorders>
          </w:tcPr>
          <w:p w:rsidR="00B858BA" w:rsidRPr="00DB760B" w:rsidRDefault="00B858BA" w:rsidP="005A344A">
            <w:pPr>
              <w:keepNext/>
              <w:jc w:val="left"/>
              <w:rPr>
                <w:rFonts w:ascii="Arial Narrow" w:hAnsi="Arial Narrow"/>
                <w:sz w:val="20"/>
              </w:rPr>
            </w:pPr>
          </w:p>
          <w:p w:rsidR="00B858BA" w:rsidRPr="00DB760B" w:rsidRDefault="00B858BA" w:rsidP="005A344A">
            <w:pPr>
              <w:keepNext/>
              <w:jc w:val="left"/>
              <w:rPr>
                <w:rFonts w:ascii="Arial Narrow" w:hAnsi="Arial Narrow"/>
                <w:sz w:val="20"/>
              </w:rPr>
            </w:pPr>
            <w:r w:rsidRPr="00DB760B">
              <w:rPr>
                <w:rFonts w:ascii="Arial Narrow" w:hAnsi="Arial Narrow"/>
                <w:sz w:val="20"/>
              </w:rPr>
              <w:t>Merck, Sharp &amp; Dohme</w:t>
            </w:r>
          </w:p>
        </w:tc>
      </w:tr>
      <w:tr w:rsidR="00277863" w:rsidRPr="00DB760B" w:rsidTr="00936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8" w:type="pct"/>
            <w:tcBorders>
              <w:top w:val="single" w:sz="4" w:space="0" w:color="auto"/>
              <w:left w:val="single" w:sz="4" w:space="0" w:color="auto"/>
              <w:bottom w:val="single" w:sz="4" w:space="0" w:color="auto"/>
              <w:right w:val="single" w:sz="4" w:space="0" w:color="auto"/>
            </w:tcBorders>
            <w:hideMark/>
          </w:tcPr>
          <w:p w:rsidR="00277863" w:rsidRPr="00DB760B" w:rsidRDefault="00277863" w:rsidP="00111BDF">
            <w:pPr>
              <w:pStyle w:val="Tabletext"/>
              <w:rPr>
                <w:b/>
                <w:lang w:eastAsia="en-AU"/>
              </w:rPr>
            </w:pPr>
            <w:r w:rsidRPr="00DB760B">
              <w:rPr>
                <w:b/>
                <w:lang w:eastAsia="en-AU"/>
              </w:rPr>
              <w:t>Category/Program:</w:t>
            </w:r>
          </w:p>
        </w:tc>
        <w:tc>
          <w:tcPr>
            <w:tcW w:w="3792" w:type="pct"/>
            <w:gridSpan w:val="6"/>
            <w:tcBorders>
              <w:top w:val="single" w:sz="4" w:space="0" w:color="auto"/>
              <w:left w:val="single" w:sz="4" w:space="0" w:color="auto"/>
              <w:bottom w:val="single" w:sz="4" w:space="0" w:color="auto"/>
              <w:right w:val="single" w:sz="4" w:space="0" w:color="auto"/>
            </w:tcBorders>
          </w:tcPr>
          <w:p w:rsidR="00277863" w:rsidRPr="00DB760B" w:rsidRDefault="00A6174F" w:rsidP="00A6174F">
            <w:pPr>
              <w:pStyle w:val="Tabletext"/>
              <w:rPr>
                <w:lang w:eastAsia="en-AU"/>
              </w:rPr>
            </w:pPr>
            <w:r w:rsidRPr="00DB760B">
              <w:rPr>
                <w:lang w:eastAsia="en-AU"/>
              </w:rPr>
              <w:t xml:space="preserve">GENERAL - </w:t>
            </w:r>
            <w:r w:rsidR="00277863" w:rsidRPr="00DB760B">
              <w:rPr>
                <w:lang w:eastAsia="en-AU"/>
              </w:rPr>
              <w:t>General Schedule</w:t>
            </w:r>
            <w:r w:rsidRPr="00DB760B">
              <w:rPr>
                <w:lang w:eastAsia="en-AU"/>
              </w:rPr>
              <w:t xml:space="preserve"> (Code GE)</w:t>
            </w:r>
          </w:p>
        </w:tc>
      </w:tr>
      <w:tr w:rsidR="00A6174F" w:rsidRPr="00DB760B" w:rsidTr="00936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8" w:type="pct"/>
            <w:tcBorders>
              <w:top w:val="single" w:sz="4" w:space="0" w:color="auto"/>
              <w:left w:val="single" w:sz="4" w:space="0" w:color="auto"/>
              <w:bottom w:val="single" w:sz="4" w:space="0" w:color="auto"/>
              <w:right w:val="single" w:sz="4" w:space="0" w:color="auto"/>
            </w:tcBorders>
          </w:tcPr>
          <w:p w:rsidR="00A6174F" w:rsidRPr="00DB760B" w:rsidRDefault="00A6174F" w:rsidP="00A6174F">
            <w:pPr>
              <w:rPr>
                <w:rFonts w:ascii="Arial Narrow" w:hAnsi="Arial Narrow"/>
                <w:b/>
                <w:sz w:val="20"/>
                <w:szCs w:val="20"/>
                <w:lang w:eastAsia="en-AU"/>
              </w:rPr>
            </w:pPr>
            <w:r w:rsidRPr="00DB760B">
              <w:rPr>
                <w:rFonts w:ascii="Arial Narrow" w:hAnsi="Arial Narrow"/>
                <w:b/>
                <w:sz w:val="20"/>
                <w:szCs w:val="20"/>
                <w:lang w:eastAsia="en-AU"/>
              </w:rPr>
              <w:t>Prescriber type:</w:t>
            </w:r>
          </w:p>
        </w:tc>
        <w:tc>
          <w:tcPr>
            <w:tcW w:w="3792" w:type="pct"/>
            <w:gridSpan w:val="6"/>
            <w:tcBorders>
              <w:top w:val="single" w:sz="4" w:space="0" w:color="auto"/>
              <w:left w:val="single" w:sz="4" w:space="0" w:color="auto"/>
              <w:bottom w:val="single" w:sz="4" w:space="0" w:color="auto"/>
              <w:right w:val="single" w:sz="4" w:space="0" w:color="auto"/>
            </w:tcBorders>
          </w:tcPr>
          <w:p w:rsidR="00A6174F" w:rsidRPr="00DB760B" w:rsidRDefault="00A6174F" w:rsidP="00A6174F">
            <w:pPr>
              <w:rPr>
                <w:lang w:eastAsia="en-AU"/>
              </w:rPr>
            </w:pPr>
            <w:r w:rsidRPr="00DB760B">
              <w:rPr>
                <w:rFonts w:ascii="Arial Narrow" w:hAnsi="Arial Narrow"/>
                <w:sz w:val="20"/>
                <w:szCs w:val="20"/>
                <w:lang w:eastAsia="en-AU"/>
              </w:rPr>
              <w:fldChar w:fldCharType="begin">
                <w:ffData>
                  <w:name w:val="Check1"/>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Dental  </w:t>
            </w:r>
            <w:r w:rsidRPr="00DB760B">
              <w:rPr>
                <w:rFonts w:ascii="Arial Narrow" w:hAnsi="Arial Narrow"/>
                <w:sz w:val="20"/>
                <w:szCs w:val="20"/>
                <w:lang w:eastAsia="en-AU"/>
              </w:rPr>
              <w:fldChar w:fldCharType="begin">
                <w:ffData>
                  <w:name w:val=""/>
                  <w:enabled/>
                  <w:calcOnExit w:val="0"/>
                  <w:checkBox>
                    <w:sizeAuto/>
                    <w:default w:val="1"/>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Medical Practitioners  </w:t>
            </w:r>
            <w:r w:rsidRPr="00DB760B">
              <w:rPr>
                <w:rFonts w:ascii="Arial Narrow" w:hAnsi="Arial Narrow"/>
                <w:sz w:val="20"/>
                <w:szCs w:val="20"/>
                <w:lang w:eastAsia="en-AU"/>
              </w:rPr>
              <w:fldChar w:fldCharType="begin">
                <w:ffData>
                  <w:name w:val="Check3"/>
                  <w:enabled/>
                  <w:calcOnExit w:val="0"/>
                  <w:checkBox>
                    <w:sizeAuto/>
                    <w:default w:val="0"/>
                  </w:checkBox>
                </w:ffData>
              </w:fldChar>
            </w:r>
            <w:bookmarkStart w:id="17" w:name="Check3"/>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bookmarkEnd w:id="17"/>
            <w:r w:rsidRPr="00DB760B">
              <w:rPr>
                <w:rFonts w:ascii="Arial Narrow" w:hAnsi="Arial Narrow"/>
                <w:sz w:val="20"/>
                <w:szCs w:val="20"/>
                <w:lang w:eastAsia="en-AU"/>
              </w:rPr>
              <w:t xml:space="preserve">Nurse practitioners  </w:t>
            </w:r>
            <w:r w:rsidRPr="00DB760B">
              <w:rPr>
                <w:rFonts w:ascii="Arial Narrow" w:hAnsi="Arial Narrow"/>
                <w:sz w:val="20"/>
                <w:szCs w:val="20"/>
                <w:lang w:eastAsia="en-AU"/>
              </w:rPr>
              <w:fldChar w:fldCharType="begin">
                <w:ffData>
                  <w:name w:val=""/>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Optometrists </w:t>
            </w:r>
            <w:r w:rsidRPr="00DB760B">
              <w:rPr>
                <w:rFonts w:ascii="Arial Narrow" w:hAnsi="Arial Narrow"/>
                <w:sz w:val="20"/>
                <w:szCs w:val="20"/>
                <w:lang w:eastAsia="en-AU"/>
              </w:rPr>
              <w:fldChar w:fldCharType="begin">
                <w:ffData>
                  <w:name w:val="Check5"/>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Midwives</w:t>
            </w:r>
          </w:p>
        </w:tc>
      </w:tr>
      <w:tr w:rsidR="00A6174F" w:rsidRPr="00DB760B" w:rsidTr="00936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8" w:type="pct"/>
            <w:tcBorders>
              <w:top w:val="single" w:sz="4" w:space="0" w:color="auto"/>
              <w:left w:val="single" w:sz="4" w:space="0" w:color="auto"/>
              <w:bottom w:val="single" w:sz="4" w:space="0" w:color="auto"/>
              <w:right w:val="single" w:sz="4" w:space="0" w:color="auto"/>
            </w:tcBorders>
            <w:hideMark/>
          </w:tcPr>
          <w:p w:rsidR="00A6174F" w:rsidRPr="00DB760B" w:rsidRDefault="00A6174F" w:rsidP="00111BDF">
            <w:pPr>
              <w:pStyle w:val="Tabletext"/>
              <w:rPr>
                <w:b/>
                <w:lang w:eastAsia="en-AU"/>
              </w:rPr>
            </w:pPr>
            <w:r w:rsidRPr="00DB760B">
              <w:rPr>
                <w:b/>
                <w:lang w:eastAsia="en-AU"/>
              </w:rPr>
              <w:t>PBS indication:</w:t>
            </w:r>
          </w:p>
        </w:tc>
        <w:tc>
          <w:tcPr>
            <w:tcW w:w="3792" w:type="pct"/>
            <w:gridSpan w:val="6"/>
            <w:tcBorders>
              <w:top w:val="single" w:sz="4" w:space="0" w:color="auto"/>
              <w:left w:val="single" w:sz="4" w:space="0" w:color="auto"/>
              <w:bottom w:val="single" w:sz="4" w:space="0" w:color="auto"/>
              <w:right w:val="single" w:sz="4" w:space="0" w:color="auto"/>
            </w:tcBorders>
          </w:tcPr>
          <w:p w:rsidR="00A6174F" w:rsidRPr="00DB760B" w:rsidRDefault="00A6174F" w:rsidP="00111BDF">
            <w:pPr>
              <w:pStyle w:val="Tabletext"/>
              <w:rPr>
                <w:lang w:eastAsia="en-AU"/>
              </w:rPr>
            </w:pPr>
            <w:r w:rsidRPr="00DB760B">
              <w:rPr>
                <w:lang w:eastAsia="en-AU"/>
              </w:rPr>
              <w:t>Diabetes mellitus type 2</w:t>
            </w:r>
          </w:p>
        </w:tc>
      </w:tr>
      <w:tr w:rsidR="00A6174F" w:rsidRPr="00DB760B" w:rsidTr="00936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8" w:type="pct"/>
            <w:tcBorders>
              <w:top w:val="single" w:sz="4" w:space="0" w:color="auto"/>
              <w:left w:val="single" w:sz="4" w:space="0" w:color="auto"/>
              <w:bottom w:val="single" w:sz="4" w:space="0" w:color="auto"/>
              <w:right w:val="single" w:sz="4" w:space="0" w:color="auto"/>
            </w:tcBorders>
            <w:hideMark/>
          </w:tcPr>
          <w:p w:rsidR="00A6174F" w:rsidRPr="00DB760B" w:rsidRDefault="00A6174F" w:rsidP="00111BDF">
            <w:pPr>
              <w:pStyle w:val="Tabletext"/>
              <w:rPr>
                <w:b/>
                <w:lang w:eastAsia="en-AU"/>
              </w:rPr>
            </w:pPr>
            <w:r w:rsidRPr="00DB760B">
              <w:rPr>
                <w:b/>
                <w:lang w:eastAsia="en-AU"/>
              </w:rPr>
              <w:t>Restriction:</w:t>
            </w:r>
          </w:p>
        </w:tc>
        <w:tc>
          <w:tcPr>
            <w:tcW w:w="3792" w:type="pct"/>
            <w:gridSpan w:val="6"/>
            <w:tcBorders>
              <w:top w:val="single" w:sz="4" w:space="0" w:color="auto"/>
              <w:left w:val="single" w:sz="4" w:space="0" w:color="auto"/>
              <w:bottom w:val="single" w:sz="4" w:space="0" w:color="auto"/>
              <w:right w:val="single" w:sz="4" w:space="0" w:color="auto"/>
            </w:tcBorders>
          </w:tcPr>
          <w:p w:rsidR="00A6174F" w:rsidRPr="00DB760B" w:rsidRDefault="00A6174F" w:rsidP="00277863">
            <w:pPr>
              <w:pStyle w:val="Tabletext"/>
              <w:rPr>
                <w:lang w:eastAsia="en-AU"/>
              </w:rPr>
            </w:pPr>
            <w:r w:rsidRPr="00DB760B">
              <w:rPr>
                <w:lang w:eastAsia="en-AU"/>
              </w:rPr>
              <w:t>Authority Required (STREAMLINED)</w:t>
            </w:r>
          </w:p>
        </w:tc>
      </w:tr>
      <w:tr w:rsidR="00A6174F" w:rsidRPr="00DB760B" w:rsidTr="00936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8" w:type="pct"/>
            <w:tcBorders>
              <w:top w:val="single" w:sz="4" w:space="0" w:color="auto"/>
              <w:left w:val="single" w:sz="4" w:space="0" w:color="auto"/>
              <w:bottom w:val="single" w:sz="4" w:space="0" w:color="auto"/>
              <w:right w:val="single" w:sz="4" w:space="0" w:color="auto"/>
            </w:tcBorders>
          </w:tcPr>
          <w:p w:rsidR="00A6174F" w:rsidRPr="00DB760B" w:rsidRDefault="00A6174F" w:rsidP="00111BDF">
            <w:pPr>
              <w:pStyle w:val="Tabletext"/>
              <w:rPr>
                <w:b/>
                <w:lang w:eastAsia="en-AU"/>
              </w:rPr>
            </w:pPr>
            <w:r w:rsidRPr="00DB760B">
              <w:rPr>
                <w:b/>
                <w:lang w:eastAsia="en-AU"/>
              </w:rPr>
              <w:t>Treatment phase:</w:t>
            </w:r>
          </w:p>
        </w:tc>
        <w:tc>
          <w:tcPr>
            <w:tcW w:w="3792" w:type="pct"/>
            <w:gridSpan w:val="6"/>
            <w:tcBorders>
              <w:top w:val="single" w:sz="4" w:space="0" w:color="auto"/>
              <w:left w:val="single" w:sz="4" w:space="0" w:color="auto"/>
              <w:bottom w:val="single" w:sz="4" w:space="0" w:color="auto"/>
              <w:right w:val="single" w:sz="4" w:space="0" w:color="auto"/>
            </w:tcBorders>
          </w:tcPr>
          <w:p w:rsidR="00A6174F" w:rsidRPr="00DB760B" w:rsidRDefault="00A6174F" w:rsidP="00111BDF">
            <w:pPr>
              <w:pStyle w:val="Tabletext"/>
              <w:rPr>
                <w:szCs w:val="20"/>
              </w:rPr>
            </w:pPr>
            <w:r w:rsidRPr="00DB760B">
              <w:rPr>
                <w:szCs w:val="20"/>
              </w:rPr>
              <w:t>Initial treatment</w:t>
            </w:r>
          </w:p>
        </w:tc>
      </w:tr>
      <w:tr w:rsidR="00A6174F" w:rsidRPr="00DB760B" w:rsidTr="00936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71"/>
        </w:trPr>
        <w:tc>
          <w:tcPr>
            <w:tcW w:w="1208" w:type="pct"/>
            <w:tcBorders>
              <w:top w:val="single" w:sz="4" w:space="0" w:color="auto"/>
              <w:left w:val="single" w:sz="4" w:space="0" w:color="auto"/>
              <w:bottom w:val="single" w:sz="4" w:space="0" w:color="auto"/>
              <w:right w:val="single" w:sz="4" w:space="0" w:color="auto"/>
            </w:tcBorders>
            <w:hideMark/>
          </w:tcPr>
          <w:p w:rsidR="00A6174F" w:rsidRPr="00DB760B" w:rsidRDefault="00A6174F" w:rsidP="00111BDF">
            <w:pPr>
              <w:pStyle w:val="Tabletext"/>
              <w:rPr>
                <w:b/>
                <w:lang w:eastAsia="en-AU"/>
              </w:rPr>
            </w:pPr>
            <w:r w:rsidRPr="00DB760B">
              <w:rPr>
                <w:b/>
                <w:lang w:eastAsia="en-AU"/>
              </w:rPr>
              <w:t>Clinical criteria:</w:t>
            </w:r>
          </w:p>
        </w:tc>
        <w:tc>
          <w:tcPr>
            <w:tcW w:w="3792" w:type="pct"/>
            <w:gridSpan w:val="6"/>
            <w:tcBorders>
              <w:top w:val="single" w:sz="4" w:space="0" w:color="auto"/>
              <w:left w:val="single" w:sz="4" w:space="0" w:color="auto"/>
              <w:bottom w:val="single" w:sz="4" w:space="0" w:color="auto"/>
              <w:right w:val="single" w:sz="4" w:space="0" w:color="auto"/>
            </w:tcBorders>
          </w:tcPr>
          <w:p w:rsidR="00A6174F" w:rsidRPr="00DB760B" w:rsidRDefault="00A6174F" w:rsidP="00936690">
            <w:pPr>
              <w:pStyle w:val="Tabletext"/>
              <w:rPr>
                <w:szCs w:val="20"/>
              </w:rPr>
            </w:pPr>
            <w:r w:rsidRPr="00DB760B">
              <w:rPr>
                <w:szCs w:val="20"/>
              </w:rPr>
              <w:t xml:space="preserve">The treatment must be in combination with metformin; </w:t>
            </w:r>
          </w:p>
          <w:p w:rsidR="00A6174F" w:rsidRPr="00DB760B" w:rsidRDefault="00A6174F" w:rsidP="00111BDF">
            <w:pPr>
              <w:pStyle w:val="Tabletext"/>
              <w:rPr>
                <w:szCs w:val="20"/>
              </w:rPr>
            </w:pPr>
            <w:r w:rsidRPr="00DB760B">
              <w:rPr>
                <w:szCs w:val="20"/>
              </w:rPr>
              <w:t xml:space="preserve">AND </w:t>
            </w:r>
          </w:p>
          <w:p w:rsidR="00936690" w:rsidRPr="00DB760B" w:rsidRDefault="00A6174F" w:rsidP="00936690">
            <w:pPr>
              <w:pStyle w:val="Tabletext"/>
              <w:rPr>
                <w:szCs w:val="20"/>
              </w:rPr>
            </w:pPr>
            <w:r w:rsidRPr="00DB760B">
              <w:rPr>
                <w:szCs w:val="20"/>
              </w:rPr>
              <w:t xml:space="preserve">Patient must have an HbA1c measurement greater than 7% despite treatment with dual oral combination therapy with metformin and a dipeptidyl peptidase 4 inhibitor (gliptin) or a sodium-glucose co-transporter 2 (SGLT2) inhibitor; </w:t>
            </w:r>
          </w:p>
          <w:p w:rsidR="00A6174F" w:rsidRPr="00DB760B" w:rsidRDefault="00A6174F" w:rsidP="00936690">
            <w:pPr>
              <w:pStyle w:val="Tabletext"/>
              <w:rPr>
                <w:szCs w:val="20"/>
              </w:rPr>
            </w:pPr>
            <w:r w:rsidRPr="00DB760B">
              <w:rPr>
                <w:szCs w:val="20"/>
              </w:rPr>
              <w:t>OR</w:t>
            </w:r>
          </w:p>
          <w:p w:rsidR="00A6174F" w:rsidRPr="00DB760B" w:rsidRDefault="00A6174F" w:rsidP="00111BDF">
            <w:pPr>
              <w:pStyle w:val="Tabletext"/>
              <w:rPr>
                <w:szCs w:val="20"/>
              </w:rPr>
            </w:pPr>
            <w:r w:rsidRPr="00DB760B">
              <w:rPr>
                <w:szCs w:val="20"/>
              </w:rPr>
              <w:t xml:space="preserve">Patient must have, where HbA1c measurement is clinically inappropriate, blood glucose levels greater than 10 </w:t>
            </w:r>
            <w:proofErr w:type="spellStart"/>
            <w:r w:rsidRPr="00DB760B">
              <w:rPr>
                <w:szCs w:val="20"/>
              </w:rPr>
              <w:t>mmol</w:t>
            </w:r>
            <w:proofErr w:type="spellEnd"/>
            <w:r w:rsidRPr="00DB760B">
              <w:rPr>
                <w:szCs w:val="20"/>
              </w:rPr>
              <w:t xml:space="preserve"> per L in more than 20% of tests over a 2 week period prior to initiation of triple oral therapy with a sodium-glucose co-transporter </w:t>
            </w:r>
            <w:proofErr w:type="gramStart"/>
            <w:r w:rsidRPr="00DB760B">
              <w:rPr>
                <w:szCs w:val="20"/>
              </w:rPr>
              <w:t>2 (SGLT2) inhibitor,</w:t>
            </w:r>
            <w:proofErr w:type="gramEnd"/>
            <w:r w:rsidRPr="00DB760B">
              <w:rPr>
                <w:szCs w:val="20"/>
              </w:rPr>
              <w:t xml:space="preserve"> metformin and a gliptin.</w:t>
            </w:r>
          </w:p>
        </w:tc>
      </w:tr>
      <w:tr w:rsidR="00D32D12" w:rsidRPr="00DB760B" w:rsidTr="00936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8" w:type="pct"/>
            <w:tcBorders>
              <w:top w:val="single" w:sz="4" w:space="0" w:color="auto"/>
              <w:left w:val="single" w:sz="4" w:space="0" w:color="auto"/>
              <w:bottom w:val="single" w:sz="4" w:space="0" w:color="auto"/>
              <w:right w:val="single" w:sz="4" w:space="0" w:color="auto"/>
            </w:tcBorders>
          </w:tcPr>
          <w:p w:rsidR="00D32D12" w:rsidRPr="00DB760B" w:rsidRDefault="00D32D12" w:rsidP="00D32D12">
            <w:pPr>
              <w:widowControl/>
              <w:jc w:val="left"/>
              <w:rPr>
                <w:rFonts w:ascii="Arial Narrow" w:hAnsi="Arial Narrow" w:cs="Times New Roman"/>
                <w:b/>
                <w:snapToGrid/>
                <w:sz w:val="20"/>
                <w:lang w:eastAsia="en-AU"/>
              </w:rPr>
            </w:pPr>
            <w:r w:rsidRPr="00DB760B">
              <w:rPr>
                <w:rFonts w:ascii="Arial Narrow" w:hAnsi="Arial Narrow" w:cs="Times New Roman"/>
                <w:b/>
                <w:snapToGrid/>
                <w:sz w:val="20"/>
                <w:lang w:eastAsia="en-AU"/>
              </w:rPr>
              <w:t>Prescriber Instructions:</w:t>
            </w:r>
          </w:p>
          <w:p w:rsidR="00D32D12" w:rsidRPr="00DB760B" w:rsidRDefault="00D32D12" w:rsidP="00111BDF">
            <w:pPr>
              <w:pStyle w:val="Tabletext"/>
              <w:rPr>
                <w:b/>
                <w:lang w:eastAsia="en-AU"/>
              </w:rPr>
            </w:pPr>
          </w:p>
        </w:tc>
        <w:tc>
          <w:tcPr>
            <w:tcW w:w="3792" w:type="pct"/>
            <w:gridSpan w:val="6"/>
            <w:tcBorders>
              <w:top w:val="single" w:sz="4" w:space="0" w:color="auto"/>
              <w:left w:val="single" w:sz="4" w:space="0" w:color="auto"/>
              <w:bottom w:val="single" w:sz="4" w:space="0" w:color="auto"/>
              <w:right w:val="single" w:sz="4" w:space="0" w:color="auto"/>
            </w:tcBorders>
          </w:tcPr>
          <w:p w:rsidR="00D32D12" w:rsidRPr="00DB760B" w:rsidRDefault="00D32D12" w:rsidP="00D32D12">
            <w:pPr>
              <w:pStyle w:val="Tabletext"/>
              <w:rPr>
                <w:szCs w:val="20"/>
              </w:rPr>
            </w:pPr>
            <w:r w:rsidRPr="00DB760B">
              <w:rPr>
                <w:szCs w:val="20"/>
              </w:rPr>
              <w:t>The date and level of the qualifying HbA1c measurement must be documented in the patient’s medical records at the time triple oral therapy with an SGLT2 inhibitor, metformin and a gliptin is initiated.</w:t>
            </w:r>
          </w:p>
          <w:p w:rsidR="00D32D12" w:rsidRPr="00DB760B" w:rsidRDefault="00D32D12" w:rsidP="00D32D12">
            <w:pPr>
              <w:pStyle w:val="Tabletext"/>
              <w:rPr>
                <w:i/>
                <w:szCs w:val="20"/>
              </w:rPr>
            </w:pPr>
          </w:p>
          <w:p w:rsidR="00D32D12" w:rsidRPr="00DB760B" w:rsidRDefault="00D32D12" w:rsidP="00D32D12">
            <w:pPr>
              <w:pStyle w:val="Tabletext"/>
              <w:rPr>
                <w:szCs w:val="20"/>
              </w:rPr>
            </w:pPr>
            <w:r w:rsidRPr="00DB760B">
              <w:rPr>
                <w:szCs w:val="20"/>
              </w:rPr>
              <w:t>The HbA1c must be no more than 4 months old at the time triple oral therapy with an SGLT2 inhibitor, metformin and a gliptin is initiated.</w:t>
            </w:r>
          </w:p>
          <w:p w:rsidR="00D32D12" w:rsidRPr="00DB760B" w:rsidRDefault="00D32D12" w:rsidP="00D32D12">
            <w:pPr>
              <w:pStyle w:val="Tabletext"/>
              <w:rPr>
                <w:szCs w:val="20"/>
              </w:rPr>
            </w:pPr>
          </w:p>
          <w:p w:rsidR="00D32D12" w:rsidRPr="00DB760B" w:rsidRDefault="00D32D12" w:rsidP="00D32D12">
            <w:pPr>
              <w:pStyle w:val="Tabletext"/>
              <w:rPr>
                <w:szCs w:val="20"/>
              </w:rPr>
            </w:pPr>
            <w:r w:rsidRPr="00DB760B">
              <w:rPr>
                <w:szCs w:val="20"/>
              </w:rPr>
              <w:t>Blood glucose monitoring may be used as an alternative assessment to HbA1c levels in the following circumstances:</w:t>
            </w:r>
          </w:p>
          <w:p w:rsidR="00D32D12" w:rsidRPr="00DB760B" w:rsidRDefault="00D32D12" w:rsidP="00936690">
            <w:pPr>
              <w:pStyle w:val="Tabletext"/>
              <w:numPr>
                <w:ilvl w:val="0"/>
                <w:numId w:val="21"/>
              </w:numPr>
              <w:rPr>
                <w:szCs w:val="20"/>
              </w:rPr>
            </w:pPr>
            <w:r w:rsidRPr="00DB760B">
              <w:rPr>
                <w:szCs w:val="20"/>
              </w:rPr>
              <w:t xml:space="preserve">A clinical condition with reduced red blood cell survival, including haemolytic anaemias and </w:t>
            </w:r>
            <w:proofErr w:type="spellStart"/>
            <w:r w:rsidRPr="00DB760B">
              <w:rPr>
                <w:szCs w:val="20"/>
              </w:rPr>
              <w:t>haemoglobinopathies</w:t>
            </w:r>
            <w:proofErr w:type="spellEnd"/>
            <w:r w:rsidRPr="00DB760B">
              <w:rPr>
                <w:szCs w:val="20"/>
              </w:rPr>
              <w:t>; and/or</w:t>
            </w:r>
          </w:p>
          <w:p w:rsidR="00D32D12" w:rsidRPr="00DB760B" w:rsidRDefault="00D32D12" w:rsidP="00936690">
            <w:pPr>
              <w:pStyle w:val="Tabletext"/>
              <w:numPr>
                <w:ilvl w:val="0"/>
                <w:numId w:val="21"/>
              </w:numPr>
              <w:rPr>
                <w:szCs w:val="20"/>
              </w:rPr>
            </w:pPr>
            <w:r w:rsidRPr="00DB760B">
              <w:rPr>
                <w:szCs w:val="20"/>
              </w:rPr>
              <w:t>Had red cell transfusion within the previous 3 months.</w:t>
            </w:r>
          </w:p>
          <w:p w:rsidR="00D32D12" w:rsidRPr="00DB760B" w:rsidRDefault="00D32D12" w:rsidP="00D32D12">
            <w:pPr>
              <w:pStyle w:val="Tabletext"/>
              <w:rPr>
                <w:i/>
                <w:szCs w:val="20"/>
              </w:rPr>
            </w:pPr>
          </w:p>
          <w:p w:rsidR="00D32D12" w:rsidRPr="00DB760B" w:rsidRDefault="00D32D12" w:rsidP="005A344A">
            <w:pPr>
              <w:pStyle w:val="Tabletext"/>
              <w:rPr>
                <w:szCs w:val="20"/>
              </w:rPr>
            </w:pPr>
            <w:r w:rsidRPr="00DB760B">
              <w:rPr>
                <w:szCs w:val="20"/>
              </w:rPr>
              <w:t>The results of the blood glucose monitoring, which must be no more than 4 months old at the time of initiation of triple oral therapy with an SGLT2 inhibitor, metformin and a gliptin, must be documented in the patient’s medical records.</w:t>
            </w:r>
          </w:p>
        </w:tc>
      </w:tr>
    </w:tbl>
    <w:p w:rsidR="00277863" w:rsidRPr="00DB760B" w:rsidRDefault="00277863" w:rsidP="00277863"/>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2"/>
        <w:gridCol w:w="6840"/>
      </w:tblGrid>
      <w:tr w:rsidR="00277863" w:rsidRPr="00DB760B" w:rsidTr="008459F5">
        <w:trPr>
          <w:trHeight w:val="20"/>
        </w:trPr>
        <w:tc>
          <w:tcPr>
            <w:tcW w:w="1230" w:type="pct"/>
            <w:tcBorders>
              <w:top w:val="single" w:sz="4" w:space="0" w:color="auto"/>
              <w:left w:val="single" w:sz="4" w:space="0" w:color="auto"/>
              <w:bottom w:val="single" w:sz="4" w:space="0" w:color="auto"/>
              <w:right w:val="single" w:sz="4" w:space="0" w:color="auto"/>
            </w:tcBorders>
            <w:hideMark/>
          </w:tcPr>
          <w:p w:rsidR="00277863" w:rsidRPr="00DB760B" w:rsidRDefault="00277863" w:rsidP="00111BDF">
            <w:pPr>
              <w:pStyle w:val="Tabletext"/>
              <w:rPr>
                <w:b/>
                <w:lang w:eastAsia="en-AU"/>
              </w:rPr>
            </w:pPr>
            <w:r w:rsidRPr="00DB760B">
              <w:rPr>
                <w:b/>
                <w:lang w:eastAsia="en-AU"/>
              </w:rPr>
              <w:t>Category/Program:</w:t>
            </w:r>
          </w:p>
        </w:tc>
        <w:tc>
          <w:tcPr>
            <w:tcW w:w="3770" w:type="pct"/>
            <w:tcBorders>
              <w:top w:val="single" w:sz="4" w:space="0" w:color="auto"/>
              <w:left w:val="single" w:sz="4" w:space="0" w:color="auto"/>
              <w:bottom w:val="single" w:sz="4" w:space="0" w:color="auto"/>
              <w:right w:val="single" w:sz="4" w:space="0" w:color="auto"/>
            </w:tcBorders>
          </w:tcPr>
          <w:p w:rsidR="00277863" w:rsidRPr="00DB760B" w:rsidRDefault="00300292" w:rsidP="00111BDF">
            <w:pPr>
              <w:pStyle w:val="Tabletext"/>
              <w:rPr>
                <w:lang w:eastAsia="en-AU"/>
              </w:rPr>
            </w:pPr>
            <w:r w:rsidRPr="00DB760B">
              <w:rPr>
                <w:szCs w:val="20"/>
                <w:lang w:eastAsia="en-AU"/>
              </w:rPr>
              <w:t>GENERAL – General Schedule (Code GE)</w:t>
            </w:r>
          </w:p>
        </w:tc>
      </w:tr>
      <w:tr w:rsidR="00A6174F" w:rsidRPr="00DB760B" w:rsidTr="008459F5">
        <w:trPr>
          <w:trHeight w:val="20"/>
        </w:trPr>
        <w:tc>
          <w:tcPr>
            <w:tcW w:w="1230" w:type="pct"/>
            <w:tcBorders>
              <w:top w:val="single" w:sz="4" w:space="0" w:color="auto"/>
              <w:left w:val="single" w:sz="4" w:space="0" w:color="auto"/>
              <w:bottom w:val="single" w:sz="4" w:space="0" w:color="auto"/>
              <w:right w:val="single" w:sz="4" w:space="0" w:color="auto"/>
            </w:tcBorders>
          </w:tcPr>
          <w:p w:rsidR="00A6174F" w:rsidRPr="00DB760B" w:rsidRDefault="00A6174F" w:rsidP="00111BDF">
            <w:pPr>
              <w:rPr>
                <w:rFonts w:ascii="Arial Narrow" w:hAnsi="Arial Narrow"/>
                <w:b/>
                <w:sz w:val="20"/>
                <w:szCs w:val="20"/>
                <w:lang w:eastAsia="en-AU"/>
              </w:rPr>
            </w:pPr>
            <w:r w:rsidRPr="00DB760B">
              <w:rPr>
                <w:rFonts w:ascii="Arial Narrow" w:hAnsi="Arial Narrow"/>
                <w:b/>
                <w:sz w:val="20"/>
                <w:szCs w:val="20"/>
                <w:lang w:eastAsia="en-AU"/>
              </w:rPr>
              <w:t>Prescriber type:</w:t>
            </w:r>
          </w:p>
        </w:tc>
        <w:tc>
          <w:tcPr>
            <w:tcW w:w="3770" w:type="pct"/>
            <w:tcBorders>
              <w:top w:val="single" w:sz="4" w:space="0" w:color="auto"/>
              <w:left w:val="single" w:sz="4" w:space="0" w:color="auto"/>
              <w:bottom w:val="single" w:sz="4" w:space="0" w:color="auto"/>
              <w:right w:val="single" w:sz="4" w:space="0" w:color="auto"/>
            </w:tcBorders>
          </w:tcPr>
          <w:p w:rsidR="00A6174F" w:rsidRPr="00DB760B" w:rsidRDefault="00A6174F" w:rsidP="00A6174F">
            <w:pPr>
              <w:rPr>
                <w:lang w:eastAsia="en-AU"/>
              </w:rPr>
            </w:pPr>
            <w:r w:rsidRPr="00DB760B">
              <w:rPr>
                <w:rFonts w:ascii="Arial Narrow" w:hAnsi="Arial Narrow"/>
                <w:sz w:val="20"/>
                <w:szCs w:val="20"/>
                <w:lang w:eastAsia="en-AU"/>
              </w:rPr>
              <w:fldChar w:fldCharType="begin">
                <w:ffData>
                  <w:name w:val="Check1"/>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Dental  </w:t>
            </w:r>
            <w:r w:rsidRPr="00DB760B">
              <w:rPr>
                <w:rFonts w:ascii="Arial Narrow" w:hAnsi="Arial Narrow"/>
                <w:sz w:val="20"/>
                <w:szCs w:val="20"/>
                <w:lang w:eastAsia="en-AU"/>
              </w:rPr>
              <w:fldChar w:fldCharType="begin">
                <w:ffData>
                  <w:name w:val=""/>
                  <w:enabled/>
                  <w:calcOnExit w:val="0"/>
                  <w:checkBox>
                    <w:sizeAuto/>
                    <w:default w:val="1"/>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Medical Practitioners  </w:t>
            </w:r>
            <w:r w:rsidRPr="00DB760B">
              <w:rPr>
                <w:rFonts w:ascii="Arial Narrow" w:hAnsi="Arial Narrow"/>
                <w:sz w:val="20"/>
                <w:szCs w:val="20"/>
                <w:lang w:eastAsia="en-AU"/>
              </w:rPr>
              <w:fldChar w:fldCharType="begin">
                <w:ffData>
                  <w:name w:val=""/>
                  <w:enabled/>
                  <w:calcOnExit w:val="0"/>
                  <w:checkBox>
                    <w:sizeAuto/>
                    <w:default w:val="1"/>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Nurse practitioners  </w:t>
            </w:r>
            <w:r w:rsidRPr="00DB760B">
              <w:rPr>
                <w:rFonts w:ascii="Arial Narrow" w:hAnsi="Arial Narrow"/>
                <w:sz w:val="20"/>
                <w:szCs w:val="20"/>
                <w:lang w:eastAsia="en-AU"/>
              </w:rPr>
              <w:fldChar w:fldCharType="begin">
                <w:ffData>
                  <w:name w:val=""/>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Optometrists </w:t>
            </w:r>
            <w:r w:rsidRPr="00DB760B">
              <w:rPr>
                <w:rFonts w:ascii="Arial Narrow" w:hAnsi="Arial Narrow"/>
                <w:sz w:val="20"/>
                <w:szCs w:val="20"/>
                <w:lang w:eastAsia="en-AU"/>
              </w:rPr>
              <w:fldChar w:fldCharType="begin">
                <w:ffData>
                  <w:name w:val="Check5"/>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Midwives</w:t>
            </w:r>
          </w:p>
        </w:tc>
      </w:tr>
      <w:tr w:rsidR="00277863" w:rsidRPr="00DB760B" w:rsidTr="008459F5">
        <w:trPr>
          <w:trHeight w:val="20"/>
        </w:trPr>
        <w:tc>
          <w:tcPr>
            <w:tcW w:w="1230" w:type="pct"/>
            <w:tcBorders>
              <w:top w:val="single" w:sz="4" w:space="0" w:color="auto"/>
              <w:left w:val="single" w:sz="4" w:space="0" w:color="auto"/>
              <w:bottom w:val="single" w:sz="4" w:space="0" w:color="auto"/>
              <w:right w:val="single" w:sz="4" w:space="0" w:color="auto"/>
            </w:tcBorders>
            <w:hideMark/>
          </w:tcPr>
          <w:p w:rsidR="00277863" w:rsidRPr="00DB760B" w:rsidRDefault="00277863" w:rsidP="00111BDF">
            <w:pPr>
              <w:pStyle w:val="Tabletext"/>
              <w:rPr>
                <w:b/>
                <w:lang w:eastAsia="en-AU"/>
              </w:rPr>
            </w:pPr>
            <w:r w:rsidRPr="00DB760B">
              <w:rPr>
                <w:b/>
                <w:lang w:eastAsia="en-AU"/>
              </w:rPr>
              <w:t>PBS indication:</w:t>
            </w:r>
          </w:p>
        </w:tc>
        <w:tc>
          <w:tcPr>
            <w:tcW w:w="3770" w:type="pct"/>
            <w:tcBorders>
              <w:top w:val="single" w:sz="4" w:space="0" w:color="auto"/>
              <w:left w:val="single" w:sz="4" w:space="0" w:color="auto"/>
              <w:bottom w:val="single" w:sz="4" w:space="0" w:color="auto"/>
              <w:right w:val="single" w:sz="4" w:space="0" w:color="auto"/>
            </w:tcBorders>
          </w:tcPr>
          <w:p w:rsidR="00277863" w:rsidRPr="00DB760B" w:rsidRDefault="00277863" w:rsidP="00111BDF">
            <w:pPr>
              <w:pStyle w:val="Tabletext"/>
              <w:rPr>
                <w:lang w:eastAsia="en-AU"/>
              </w:rPr>
            </w:pPr>
            <w:r w:rsidRPr="00DB760B">
              <w:rPr>
                <w:lang w:eastAsia="en-AU"/>
              </w:rPr>
              <w:t>Diabetes mellitus type 2</w:t>
            </w:r>
          </w:p>
        </w:tc>
      </w:tr>
      <w:tr w:rsidR="00277863" w:rsidRPr="00DB760B" w:rsidTr="008459F5">
        <w:trPr>
          <w:trHeight w:val="20"/>
        </w:trPr>
        <w:tc>
          <w:tcPr>
            <w:tcW w:w="1230" w:type="pct"/>
            <w:tcBorders>
              <w:top w:val="single" w:sz="4" w:space="0" w:color="auto"/>
              <w:left w:val="single" w:sz="4" w:space="0" w:color="auto"/>
              <w:bottom w:val="single" w:sz="4" w:space="0" w:color="auto"/>
              <w:right w:val="single" w:sz="4" w:space="0" w:color="auto"/>
            </w:tcBorders>
            <w:hideMark/>
          </w:tcPr>
          <w:p w:rsidR="00277863" w:rsidRPr="00DB760B" w:rsidRDefault="00277863" w:rsidP="00111BDF">
            <w:pPr>
              <w:pStyle w:val="Tabletext"/>
              <w:rPr>
                <w:b/>
                <w:lang w:eastAsia="en-AU"/>
              </w:rPr>
            </w:pPr>
            <w:r w:rsidRPr="00DB760B">
              <w:rPr>
                <w:b/>
                <w:lang w:eastAsia="en-AU"/>
              </w:rPr>
              <w:t>Restriction:</w:t>
            </w:r>
          </w:p>
        </w:tc>
        <w:tc>
          <w:tcPr>
            <w:tcW w:w="3770" w:type="pct"/>
            <w:tcBorders>
              <w:top w:val="single" w:sz="4" w:space="0" w:color="auto"/>
              <w:left w:val="single" w:sz="4" w:space="0" w:color="auto"/>
              <w:bottom w:val="single" w:sz="4" w:space="0" w:color="auto"/>
              <w:right w:val="single" w:sz="4" w:space="0" w:color="auto"/>
            </w:tcBorders>
          </w:tcPr>
          <w:p w:rsidR="00277863" w:rsidRPr="00DB760B" w:rsidRDefault="00855CDC" w:rsidP="00855CDC">
            <w:pPr>
              <w:pStyle w:val="Tabletext"/>
              <w:rPr>
                <w:lang w:eastAsia="en-AU"/>
              </w:rPr>
            </w:pPr>
            <w:r w:rsidRPr="00DB760B">
              <w:rPr>
                <w:lang w:eastAsia="en-AU"/>
              </w:rPr>
              <w:t>Authority Required (STREAMLINED)</w:t>
            </w:r>
          </w:p>
        </w:tc>
      </w:tr>
      <w:tr w:rsidR="00277863" w:rsidRPr="00DB760B" w:rsidTr="008459F5">
        <w:trPr>
          <w:trHeight w:val="20"/>
        </w:trPr>
        <w:tc>
          <w:tcPr>
            <w:tcW w:w="1230" w:type="pct"/>
            <w:tcBorders>
              <w:top w:val="single" w:sz="4" w:space="0" w:color="auto"/>
              <w:left w:val="single" w:sz="4" w:space="0" w:color="auto"/>
              <w:bottom w:val="single" w:sz="4" w:space="0" w:color="auto"/>
              <w:right w:val="single" w:sz="4" w:space="0" w:color="auto"/>
            </w:tcBorders>
          </w:tcPr>
          <w:p w:rsidR="00277863" w:rsidRPr="00DB760B" w:rsidRDefault="00277863" w:rsidP="00111BDF">
            <w:pPr>
              <w:pStyle w:val="Tabletext"/>
              <w:rPr>
                <w:b/>
                <w:lang w:eastAsia="en-AU"/>
              </w:rPr>
            </w:pPr>
            <w:r w:rsidRPr="00DB760B">
              <w:rPr>
                <w:b/>
                <w:lang w:eastAsia="en-AU"/>
              </w:rPr>
              <w:t>Treatment phase:</w:t>
            </w:r>
          </w:p>
        </w:tc>
        <w:tc>
          <w:tcPr>
            <w:tcW w:w="3770" w:type="pct"/>
            <w:tcBorders>
              <w:top w:val="single" w:sz="4" w:space="0" w:color="auto"/>
              <w:left w:val="single" w:sz="4" w:space="0" w:color="auto"/>
              <w:bottom w:val="single" w:sz="4" w:space="0" w:color="auto"/>
              <w:right w:val="single" w:sz="4" w:space="0" w:color="auto"/>
            </w:tcBorders>
          </w:tcPr>
          <w:p w:rsidR="00277863" w:rsidRPr="00DB760B" w:rsidRDefault="00277863" w:rsidP="00111BDF">
            <w:pPr>
              <w:pStyle w:val="Tabletext"/>
              <w:rPr>
                <w:szCs w:val="20"/>
              </w:rPr>
            </w:pPr>
            <w:r w:rsidRPr="00DB760B">
              <w:rPr>
                <w:szCs w:val="20"/>
              </w:rPr>
              <w:t>Continuing treatment</w:t>
            </w:r>
          </w:p>
        </w:tc>
      </w:tr>
      <w:tr w:rsidR="00277863" w:rsidRPr="00DB760B" w:rsidTr="008459F5">
        <w:trPr>
          <w:trHeight w:val="20"/>
        </w:trPr>
        <w:tc>
          <w:tcPr>
            <w:tcW w:w="1230" w:type="pct"/>
            <w:tcBorders>
              <w:top w:val="single" w:sz="4" w:space="0" w:color="auto"/>
              <w:left w:val="single" w:sz="4" w:space="0" w:color="auto"/>
              <w:bottom w:val="single" w:sz="4" w:space="0" w:color="auto"/>
              <w:right w:val="single" w:sz="4" w:space="0" w:color="auto"/>
            </w:tcBorders>
            <w:hideMark/>
          </w:tcPr>
          <w:p w:rsidR="00277863" w:rsidRPr="00DB760B" w:rsidRDefault="00277863" w:rsidP="00111BDF">
            <w:pPr>
              <w:pStyle w:val="Tabletext"/>
              <w:rPr>
                <w:b/>
                <w:lang w:eastAsia="en-AU"/>
              </w:rPr>
            </w:pPr>
            <w:r w:rsidRPr="00DB760B">
              <w:rPr>
                <w:b/>
                <w:lang w:eastAsia="en-AU"/>
              </w:rPr>
              <w:t>Clinical criteria:</w:t>
            </w:r>
          </w:p>
        </w:tc>
        <w:tc>
          <w:tcPr>
            <w:tcW w:w="3770" w:type="pct"/>
            <w:tcBorders>
              <w:top w:val="single" w:sz="4" w:space="0" w:color="auto"/>
              <w:left w:val="single" w:sz="4" w:space="0" w:color="auto"/>
              <w:bottom w:val="single" w:sz="4" w:space="0" w:color="auto"/>
              <w:right w:val="single" w:sz="4" w:space="0" w:color="auto"/>
            </w:tcBorders>
          </w:tcPr>
          <w:p w:rsidR="00277863" w:rsidRPr="00DB760B" w:rsidRDefault="00277863" w:rsidP="00936690">
            <w:pPr>
              <w:pStyle w:val="Tabletext"/>
              <w:rPr>
                <w:szCs w:val="20"/>
              </w:rPr>
            </w:pPr>
            <w:r w:rsidRPr="00DB760B">
              <w:rPr>
                <w:szCs w:val="20"/>
              </w:rPr>
              <w:t xml:space="preserve">The treatment must be in combination with metformin; </w:t>
            </w:r>
          </w:p>
          <w:p w:rsidR="00277863" w:rsidRPr="00DB760B" w:rsidRDefault="00277863" w:rsidP="00111BDF">
            <w:pPr>
              <w:pStyle w:val="Tabletext"/>
              <w:rPr>
                <w:szCs w:val="20"/>
              </w:rPr>
            </w:pPr>
            <w:r w:rsidRPr="00DB760B">
              <w:rPr>
                <w:szCs w:val="20"/>
              </w:rPr>
              <w:t xml:space="preserve">AND </w:t>
            </w:r>
          </w:p>
          <w:p w:rsidR="00277863" w:rsidRPr="00DB760B" w:rsidRDefault="00277863" w:rsidP="00936690">
            <w:pPr>
              <w:pStyle w:val="Tabletext"/>
              <w:rPr>
                <w:lang w:eastAsia="en-AU"/>
              </w:rPr>
            </w:pPr>
            <w:r w:rsidRPr="00DB760B">
              <w:rPr>
                <w:lang w:eastAsia="en-AU"/>
              </w:rPr>
              <w:t xml:space="preserve">Patient must have previously received a PBS-subsidised regimen of oral diabetic medicines which included a sodium-glucose co-transporter </w:t>
            </w:r>
            <w:proofErr w:type="gramStart"/>
            <w:r w:rsidRPr="00DB760B">
              <w:rPr>
                <w:lang w:eastAsia="en-AU"/>
              </w:rPr>
              <w:t>2 (SGLT2) inhibitor</w:t>
            </w:r>
            <w:proofErr w:type="gramEnd"/>
            <w:r w:rsidRPr="00DB760B">
              <w:rPr>
                <w:lang w:eastAsia="en-AU"/>
              </w:rPr>
              <w:t>, metformin and a gliptin for this condition.</w:t>
            </w:r>
          </w:p>
        </w:tc>
      </w:tr>
      <w:tr w:rsidR="00D32D12" w:rsidRPr="00DB760B" w:rsidTr="008459F5">
        <w:trPr>
          <w:trHeight w:val="20"/>
        </w:trPr>
        <w:tc>
          <w:tcPr>
            <w:tcW w:w="1230" w:type="pct"/>
            <w:tcBorders>
              <w:top w:val="single" w:sz="4" w:space="0" w:color="auto"/>
              <w:left w:val="single" w:sz="4" w:space="0" w:color="auto"/>
              <w:bottom w:val="single" w:sz="4" w:space="0" w:color="auto"/>
              <w:right w:val="single" w:sz="4" w:space="0" w:color="auto"/>
            </w:tcBorders>
          </w:tcPr>
          <w:p w:rsidR="00D32D12" w:rsidRPr="00DB760B" w:rsidRDefault="00D32D12" w:rsidP="00D32D12">
            <w:pPr>
              <w:widowControl/>
              <w:jc w:val="left"/>
              <w:rPr>
                <w:rFonts w:ascii="Arial Narrow" w:hAnsi="Arial Narrow" w:cs="Times New Roman"/>
                <w:b/>
                <w:snapToGrid/>
                <w:sz w:val="20"/>
                <w:szCs w:val="24"/>
                <w:lang w:eastAsia="en-AU"/>
              </w:rPr>
            </w:pPr>
            <w:r w:rsidRPr="00DB760B">
              <w:rPr>
                <w:rFonts w:ascii="Arial Narrow" w:hAnsi="Arial Narrow" w:cs="Times New Roman"/>
                <w:b/>
                <w:snapToGrid/>
                <w:sz w:val="20"/>
                <w:szCs w:val="24"/>
                <w:lang w:eastAsia="en-AU"/>
              </w:rPr>
              <w:t>Administrative Advice:</w:t>
            </w:r>
          </w:p>
          <w:p w:rsidR="00D32D12" w:rsidRPr="00DB760B" w:rsidRDefault="00D32D12" w:rsidP="00111BDF">
            <w:pPr>
              <w:pStyle w:val="Tabletext"/>
              <w:rPr>
                <w:b/>
                <w:lang w:eastAsia="en-AU"/>
              </w:rPr>
            </w:pPr>
          </w:p>
        </w:tc>
        <w:tc>
          <w:tcPr>
            <w:tcW w:w="3770" w:type="pct"/>
            <w:tcBorders>
              <w:top w:val="single" w:sz="4" w:space="0" w:color="auto"/>
              <w:left w:val="single" w:sz="4" w:space="0" w:color="auto"/>
              <w:bottom w:val="single" w:sz="4" w:space="0" w:color="auto"/>
              <w:right w:val="single" w:sz="4" w:space="0" w:color="auto"/>
            </w:tcBorders>
          </w:tcPr>
          <w:p w:rsidR="00D32D12" w:rsidRPr="00DB760B" w:rsidRDefault="00D32D12" w:rsidP="00D32D12">
            <w:pPr>
              <w:spacing w:before="40" w:after="60"/>
              <w:rPr>
                <w:rFonts w:ascii="Arial Narrow" w:eastAsia="SimSun" w:hAnsi="Arial Narrow" w:cs="Arial Narrow"/>
                <w:sz w:val="20"/>
                <w:szCs w:val="20"/>
              </w:rPr>
            </w:pPr>
            <w:r w:rsidRPr="00DB760B">
              <w:rPr>
                <w:rFonts w:ascii="Arial Narrow" w:eastAsia="SimSun" w:hAnsi="Arial Narrow" w:cs="Arial Narrow"/>
                <w:sz w:val="20"/>
                <w:szCs w:val="20"/>
              </w:rPr>
              <w:t>Note: Continuing Therapy Only:</w:t>
            </w:r>
          </w:p>
          <w:p w:rsidR="00D32D12" w:rsidRPr="00DB760B" w:rsidRDefault="00D32D12" w:rsidP="00936690">
            <w:pPr>
              <w:spacing w:before="40" w:after="60"/>
            </w:pPr>
            <w:r w:rsidRPr="00DB760B">
              <w:rPr>
                <w:rFonts w:ascii="Arial Narrow" w:eastAsia="SimSun" w:hAnsi="Arial Narrow" w:cs="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301DD3" w:rsidRPr="00DB760B" w:rsidRDefault="00301DD3" w:rsidP="00301DD3">
      <w:pPr>
        <w:pStyle w:val="NoSpacing"/>
      </w:pPr>
    </w:p>
    <w:p w:rsidR="00C77BFE" w:rsidRPr="00DB760B" w:rsidRDefault="008459F5" w:rsidP="008459F5">
      <w:pPr>
        <w:pStyle w:val="ListParagraph"/>
        <w:numPr>
          <w:ilvl w:val="1"/>
          <w:numId w:val="22"/>
        </w:numPr>
        <w:spacing w:after="120"/>
        <w:rPr>
          <w:rFonts w:asciiTheme="minorHAnsi" w:hAnsiTheme="minorHAnsi"/>
          <w:bCs/>
        </w:rPr>
      </w:pPr>
      <w:r w:rsidRPr="00DB760B">
        <w:rPr>
          <w:rFonts w:asciiTheme="minorHAnsi" w:hAnsiTheme="minorHAnsi"/>
          <w:bCs/>
        </w:rPr>
        <w:lastRenderedPageBreak/>
        <w:t>Amend existing listings:</w:t>
      </w:r>
    </w:p>
    <w:p w:rsidR="00301DD3" w:rsidRPr="00DB760B" w:rsidRDefault="00301DD3" w:rsidP="00301DD3">
      <w:pPr>
        <w:pStyle w:val="NoSpacing"/>
      </w:pPr>
    </w:p>
    <w:tbl>
      <w:tblPr>
        <w:tblW w:w="500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4"/>
        <w:gridCol w:w="1580"/>
        <w:gridCol w:w="1137"/>
        <w:gridCol w:w="1106"/>
        <w:gridCol w:w="1321"/>
        <w:gridCol w:w="1691"/>
      </w:tblGrid>
      <w:tr w:rsidR="00300292" w:rsidRPr="00DB760B" w:rsidTr="00300292">
        <w:trPr>
          <w:cantSplit/>
          <w:trHeight w:val="471"/>
        </w:trPr>
        <w:tc>
          <w:tcPr>
            <w:tcW w:w="2112" w:type="pct"/>
            <w:gridSpan w:val="2"/>
            <w:tcBorders>
              <w:top w:val="nil"/>
              <w:left w:val="nil"/>
              <w:bottom w:val="single" w:sz="4" w:space="0" w:color="auto"/>
              <w:right w:val="nil"/>
            </w:tcBorders>
            <w:shd w:val="clear" w:color="auto" w:fill="auto"/>
            <w:tcMar>
              <w:left w:w="28" w:type="dxa"/>
              <w:right w:w="28" w:type="dxa"/>
            </w:tcMar>
          </w:tcPr>
          <w:p w:rsidR="00050ADD" w:rsidRPr="00DB760B" w:rsidRDefault="00050ADD" w:rsidP="00050ADD">
            <w:pPr>
              <w:widowControl/>
              <w:jc w:val="left"/>
              <w:rPr>
                <w:rFonts w:ascii="Arial Narrow" w:hAnsi="Arial Narrow" w:cs="Times New Roman"/>
                <w:b/>
                <w:snapToGrid/>
                <w:sz w:val="20"/>
              </w:rPr>
            </w:pPr>
            <w:r w:rsidRPr="00DB760B">
              <w:rPr>
                <w:rFonts w:ascii="Arial Narrow" w:hAnsi="Arial Narrow" w:cs="Times New Roman"/>
                <w:b/>
                <w:snapToGrid/>
                <w:sz w:val="20"/>
              </w:rPr>
              <w:t>Name, Restriction,</w:t>
            </w:r>
          </w:p>
          <w:p w:rsidR="00050ADD" w:rsidRPr="00DB760B" w:rsidRDefault="00050ADD" w:rsidP="00050ADD">
            <w:pPr>
              <w:widowControl/>
              <w:jc w:val="left"/>
              <w:rPr>
                <w:rFonts w:ascii="Arial Narrow" w:hAnsi="Arial Narrow" w:cs="Times New Roman"/>
                <w:b/>
                <w:i/>
                <w:snapToGrid/>
                <w:sz w:val="20"/>
              </w:rPr>
            </w:pPr>
            <w:r w:rsidRPr="00DB760B">
              <w:rPr>
                <w:rFonts w:ascii="Arial Narrow" w:hAnsi="Arial Narrow" w:cs="Times New Roman"/>
                <w:b/>
                <w:snapToGrid/>
                <w:sz w:val="20"/>
              </w:rPr>
              <w:t>Manner of administration and form</w:t>
            </w:r>
          </w:p>
        </w:tc>
        <w:tc>
          <w:tcPr>
            <w:tcW w:w="625" w:type="pct"/>
            <w:tcBorders>
              <w:top w:val="nil"/>
              <w:left w:val="nil"/>
              <w:bottom w:val="single" w:sz="4" w:space="0" w:color="auto"/>
              <w:right w:val="nil"/>
            </w:tcBorders>
            <w:shd w:val="clear" w:color="auto" w:fill="auto"/>
            <w:tcMar>
              <w:left w:w="28" w:type="dxa"/>
              <w:right w:w="28" w:type="dxa"/>
            </w:tcMar>
          </w:tcPr>
          <w:p w:rsidR="00050ADD" w:rsidRPr="00DB760B" w:rsidRDefault="001C6BB4" w:rsidP="001C6BB4">
            <w:pPr>
              <w:widowControl/>
              <w:jc w:val="center"/>
              <w:rPr>
                <w:rFonts w:ascii="Arial Narrow" w:hAnsi="Arial Narrow" w:cs="Times New Roman"/>
                <w:b/>
                <w:snapToGrid/>
                <w:sz w:val="20"/>
              </w:rPr>
            </w:pPr>
            <w:r w:rsidRPr="00DB760B">
              <w:rPr>
                <w:rFonts w:ascii="Arial Narrow" w:hAnsi="Arial Narrow" w:cs="Times New Roman"/>
                <w:b/>
                <w:snapToGrid/>
                <w:sz w:val="20"/>
              </w:rPr>
              <w:t xml:space="preserve">Max </w:t>
            </w:r>
            <w:proofErr w:type="spellStart"/>
            <w:r w:rsidRPr="00DB760B">
              <w:rPr>
                <w:rFonts w:ascii="Arial Narrow" w:hAnsi="Arial Narrow" w:cs="Times New Roman"/>
                <w:b/>
                <w:snapToGrid/>
                <w:sz w:val="20"/>
              </w:rPr>
              <w:t>qty</w:t>
            </w:r>
            <w:proofErr w:type="spellEnd"/>
            <w:r w:rsidRPr="00DB760B">
              <w:rPr>
                <w:rFonts w:ascii="Arial Narrow" w:hAnsi="Arial Narrow" w:cs="Times New Roman"/>
                <w:b/>
                <w:snapToGrid/>
                <w:sz w:val="20"/>
              </w:rPr>
              <w:t xml:space="preserve"> packs</w:t>
            </w:r>
          </w:p>
        </w:tc>
        <w:tc>
          <w:tcPr>
            <w:tcW w:w="608" w:type="pct"/>
            <w:tcBorders>
              <w:top w:val="nil"/>
              <w:left w:val="nil"/>
              <w:bottom w:val="single" w:sz="4" w:space="0" w:color="auto"/>
              <w:right w:val="nil"/>
            </w:tcBorders>
            <w:shd w:val="clear" w:color="auto" w:fill="auto"/>
            <w:tcMar>
              <w:left w:w="28" w:type="dxa"/>
              <w:right w:w="28" w:type="dxa"/>
            </w:tcMar>
          </w:tcPr>
          <w:p w:rsidR="00050ADD" w:rsidRPr="00DB760B" w:rsidRDefault="00050ADD" w:rsidP="001C6BB4">
            <w:pPr>
              <w:widowControl/>
              <w:jc w:val="center"/>
              <w:rPr>
                <w:rFonts w:ascii="Arial Narrow" w:hAnsi="Arial Narrow" w:cs="Times New Roman"/>
                <w:b/>
                <w:snapToGrid/>
                <w:sz w:val="20"/>
              </w:rPr>
            </w:pPr>
            <w:r w:rsidRPr="00DB760B">
              <w:rPr>
                <w:rFonts w:ascii="Arial Narrow" w:hAnsi="Arial Narrow" w:cs="Times New Roman"/>
                <w:b/>
                <w:snapToGrid/>
                <w:sz w:val="20"/>
              </w:rPr>
              <w:t>N</w:t>
            </w:r>
            <w:r w:rsidR="001C6BB4" w:rsidRPr="00DB760B">
              <w:rPr>
                <w:rFonts w:ascii="Arial Narrow" w:hAnsi="Arial Narrow" w:cs="Times New Roman"/>
                <w:b/>
                <w:snapToGrid/>
                <w:sz w:val="20"/>
              </w:rPr>
              <w:t>o.</w:t>
            </w:r>
            <w:r w:rsidRPr="00DB760B">
              <w:rPr>
                <w:rFonts w:ascii="Arial Narrow" w:hAnsi="Arial Narrow" w:cs="Times New Roman"/>
                <w:b/>
                <w:snapToGrid/>
                <w:sz w:val="20"/>
              </w:rPr>
              <w:t xml:space="preserve"> of repeats</w:t>
            </w:r>
          </w:p>
        </w:tc>
        <w:tc>
          <w:tcPr>
            <w:tcW w:w="1655" w:type="pct"/>
            <w:gridSpan w:val="2"/>
            <w:tcBorders>
              <w:top w:val="nil"/>
              <w:left w:val="nil"/>
              <w:bottom w:val="single" w:sz="4" w:space="0" w:color="auto"/>
              <w:right w:val="nil"/>
            </w:tcBorders>
            <w:shd w:val="clear" w:color="auto" w:fill="auto"/>
            <w:tcMar>
              <w:left w:w="28" w:type="dxa"/>
              <w:right w:w="28" w:type="dxa"/>
            </w:tcMar>
          </w:tcPr>
          <w:p w:rsidR="00050ADD" w:rsidRPr="00DB760B" w:rsidRDefault="00050ADD" w:rsidP="00050ADD">
            <w:pPr>
              <w:widowControl/>
              <w:jc w:val="left"/>
              <w:rPr>
                <w:rFonts w:ascii="Arial Narrow" w:hAnsi="Arial Narrow" w:cs="Times New Roman"/>
                <w:b/>
                <w:snapToGrid/>
                <w:sz w:val="20"/>
              </w:rPr>
            </w:pPr>
            <w:r w:rsidRPr="00DB760B">
              <w:rPr>
                <w:rFonts w:ascii="Arial Narrow" w:hAnsi="Arial Narrow" w:cs="Times New Roman"/>
                <w:b/>
                <w:snapToGrid/>
                <w:sz w:val="20"/>
              </w:rPr>
              <w:t>Proprietary Name and Manufacturer</w:t>
            </w:r>
          </w:p>
        </w:tc>
      </w:tr>
      <w:tr w:rsidR="00300292" w:rsidRPr="00DB760B" w:rsidTr="00300292">
        <w:trPr>
          <w:cantSplit/>
          <w:trHeight w:val="335"/>
        </w:trPr>
        <w:tc>
          <w:tcPr>
            <w:tcW w:w="2112" w:type="pct"/>
            <w:gridSpan w:val="2"/>
            <w:tcBorders>
              <w:left w:val="nil"/>
              <w:bottom w:val="nil"/>
              <w:right w:val="nil"/>
            </w:tcBorders>
            <w:shd w:val="clear" w:color="auto" w:fill="auto"/>
            <w:tcMar>
              <w:left w:w="28" w:type="dxa"/>
              <w:right w:w="28" w:type="dxa"/>
            </w:tcMar>
          </w:tcPr>
          <w:p w:rsidR="001C6BB4" w:rsidRPr="00DB760B" w:rsidRDefault="001C6BB4" w:rsidP="00050ADD">
            <w:pPr>
              <w:widowControl/>
              <w:jc w:val="left"/>
              <w:rPr>
                <w:rFonts w:ascii="Arial Narrow" w:hAnsi="Arial Narrow" w:cs="Times New Roman"/>
                <w:snapToGrid/>
                <w:sz w:val="20"/>
              </w:rPr>
            </w:pPr>
            <w:proofErr w:type="spellStart"/>
            <w:r w:rsidRPr="00DB760B">
              <w:rPr>
                <w:rFonts w:ascii="Arial Narrow" w:hAnsi="Arial Narrow" w:cs="Times New Roman"/>
                <w:snapToGrid/>
                <w:sz w:val="20"/>
              </w:rPr>
              <w:t>S</w:t>
            </w:r>
            <w:r w:rsidR="00DD4796" w:rsidRPr="00DB760B">
              <w:rPr>
                <w:rFonts w:ascii="Arial Narrow" w:hAnsi="Arial Narrow" w:cs="Times New Roman"/>
                <w:smallCaps/>
                <w:snapToGrid/>
                <w:sz w:val="20"/>
              </w:rPr>
              <w:t>itagliptin</w:t>
            </w:r>
            <w:proofErr w:type="spellEnd"/>
          </w:p>
          <w:p w:rsidR="001C6BB4" w:rsidRPr="00DB760B" w:rsidRDefault="001C6BB4" w:rsidP="00B858BA">
            <w:pPr>
              <w:widowControl/>
              <w:jc w:val="left"/>
              <w:rPr>
                <w:rFonts w:ascii="Arial Narrow" w:hAnsi="Arial Narrow" w:cs="Times New Roman"/>
                <w:i/>
                <w:snapToGrid/>
                <w:sz w:val="20"/>
              </w:rPr>
            </w:pPr>
            <w:r w:rsidRPr="00DB760B">
              <w:rPr>
                <w:rFonts w:ascii="Arial Narrow" w:hAnsi="Arial Narrow" w:cs="Times New Roman"/>
                <w:i/>
                <w:snapToGrid/>
                <w:sz w:val="20"/>
              </w:rPr>
              <w:t xml:space="preserve">25 mg tablet, 28 </w:t>
            </w:r>
          </w:p>
        </w:tc>
        <w:tc>
          <w:tcPr>
            <w:tcW w:w="625" w:type="pct"/>
            <w:tcBorders>
              <w:left w:val="nil"/>
              <w:bottom w:val="nil"/>
              <w:right w:val="nil"/>
            </w:tcBorders>
            <w:shd w:val="clear" w:color="auto" w:fill="auto"/>
            <w:tcMar>
              <w:left w:w="28" w:type="dxa"/>
              <w:right w:w="28" w:type="dxa"/>
            </w:tcMar>
          </w:tcPr>
          <w:p w:rsidR="001C6BB4" w:rsidRPr="00DB760B" w:rsidRDefault="001C6BB4" w:rsidP="001C6BB4">
            <w:pPr>
              <w:widowControl/>
              <w:jc w:val="center"/>
              <w:rPr>
                <w:rFonts w:ascii="Arial Narrow" w:hAnsi="Arial Narrow" w:cs="Times New Roman"/>
                <w:snapToGrid/>
                <w:sz w:val="20"/>
              </w:rPr>
            </w:pPr>
          </w:p>
          <w:p w:rsidR="001C6BB4" w:rsidRPr="00DB760B" w:rsidRDefault="001C6BB4" w:rsidP="001C6BB4">
            <w:pPr>
              <w:widowControl/>
              <w:jc w:val="center"/>
              <w:rPr>
                <w:rFonts w:ascii="Arial Narrow" w:hAnsi="Arial Narrow" w:cs="Times New Roman"/>
                <w:snapToGrid/>
                <w:sz w:val="20"/>
              </w:rPr>
            </w:pPr>
            <w:r w:rsidRPr="00DB760B">
              <w:rPr>
                <w:rFonts w:ascii="Arial Narrow" w:hAnsi="Arial Narrow" w:cs="Times New Roman"/>
                <w:snapToGrid/>
                <w:sz w:val="20"/>
              </w:rPr>
              <w:t>1</w:t>
            </w:r>
          </w:p>
        </w:tc>
        <w:tc>
          <w:tcPr>
            <w:tcW w:w="608" w:type="pct"/>
            <w:tcBorders>
              <w:left w:val="nil"/>
              <w:bottom w:val="nil"/>
              <w:right w:val="nil"/>
            </w:tcBorders>
            <w:shd w:val="clear" w:color="auto" w:fill="auto"/>
            <w:tcMar>
              <w:left w:w="28" w:type="dxa"/>
              <w:right w:w="28" w:type="dxa"/>
            </w:tcMar>
          </w:tcPr>
          <w:p w:rsidR="001C6BB4" w:rsidRPr="00DB760B" w:rsidRDefault="001C6BB4" w:rsidP="001C6BB4">
            <w:pPr>
              <w:widowControl/>
              <w:jc w:val="center"/>
              <w:rPr>
                <w:rFonts w:ascii="Arial Narrow" w:hAnsi="Arial Narrow" w:cs="Times New Roman"/>
                <w:snapToGrid/>
                <w:sz w:val="20"/>
              </w:rPr>
            </w:pPr>
          </w:p>
          <w:p w:rsidR="001C6BB4" w:rsidRPr="00DB760B" w:rsidRDefault="001C6BB4" w:rsidP="001C6BB4">
            <w:pPr>
              <w:widowControl/>
              <w:jc w:val="center"/>
              <w:rPr>
                <w:rFonts w:ascii="Arial Narrow" w:hAnsi="Arial Narrow" w:cs="Times New Roman"/>
                <w:snapToGrid/>
                <w:sz w:val="20"/>
              </w:rPr>
            </w:pPr>
            <w:r w:rsidRPr="00DB760B">
              <w:rPr>
                <w:rFonts w:ascii="Arial Narrow" w:hAnsi="Arial Narrow" w:cs="Times New Roman"/>
                <w:snapToGrid/>
                <w:sz w:val="20"/>
              </w:rPr>
              <w:t>5</w:t>
            </w:r>
          </w:p>
        </w:tc>
        <w:tc>
          <w:tcPr>
            <w:tcW w:w="726" w:type="pct"/>
            <w:vMerge w:val="restart"/>
            <w:tcBorders>
              <w:left w:val="nil"/>
              <w:right w:val="nil"/>
            </w:tcBorders>
            <w:shd w:val="clear" w:color="auto" w:fill="auto"/>
            <w:tcMar>
              <w:left w:w="28" w:type="dxa"/>
              <w:right w:w="28" w:type="dxa"/>
            </w:tcMar>
          </w:tcPr>
          <w:p w:rsidR="001C6BB4" w:rsidRPr="00DB760B" w:rsidRDefault="001C6BB4" w:rsidP="00050ADD">
            <w:pPr>
              <w:widowControl/>
              <w:jc w:val="left"/>
              <w:rPr>
                <w:rFonts w:ascii="Arial Narrow" w:hAnsi="Arial Narrow" w:cs="Times New Roman"/>
                <w:snapToGrid/>
                <w:sz w:val="20"/>
              </w:rPr>
            </w:pPr>
          </w:p>
          <w:p w:rsidR="001C6BB4" w:rsidRPr="00DB760B" w:rsidRDefault="001C6BB4" w:rsidP="00050ADD">
            <w:pPr>
              <w:widowControl/>
              <w:jc w:val="left"/>
              <w:rPr>
                <w:rFonts w:ascii="Arial Narrow" w:hAnsi="Arial Narrow" w:cs="Times New Roman"/>
                <w:snapToGrid/>
                <w:sz w:val="20"/>
                <w:vertAlign w:val="superscript"/>
              </w:rPr>
            </w:pPr>
            <w:proofErr w:type="spellStart"/>
            <w:r w:rsidRPr="00DB760B">
              <w:rPr>
                <w:rFonts w:ascii="Arial Narrow" w:hAnsi="Arial Narrow" w:cs="Times New Roman"/>
                <w:snapToGrid/>
                <w:sz w:val="20"/>
              </w:rPr>
              <w:t>Januvia</w:t>
            </w:r>
            <w:proofErr w:type="spellEnd"/>
            <w:r w:rsidRPr="00DB760B">
              <w:rPr>
                <w:rFonts w:ascii="Arial Narrow" w:hAnsi="Arial Narrow" w:cs="Times New Roman"/>
                <w:snapToGrid/>
                <w:sz w:val="20"/>
              </w:rPr>
              <w:t xml:space="preserve"> </w:t>
            </w:r>
            <w:r w:rsidRPr="00DB760B">
              <w:rPr>
                <w:rFonts w:ascii="Arial Narrow" w:hAnsi="Arial Narrow" w:cs="Times New Roman"/>
                <w:snapToGrid/>
                <w:sz w:val="20"/>
                <w:vertAlign w:val="superscript"/>
              </w:rPr>
              <w:t>®</w:t>
            </w:r>
          </w:p>
          <w:p w:rsidR="00300292" w:rsidRPr="00DB760B" w:rsidRDefault="00300292" w:rsidP="00050ADD">
            <w:pPr>
              <w:widowControl/>
              <w:jc w:val="left"/>
              <w:rPr>
                <w:rFonts w:ascii="Arial Narrow" w:hAnsi="Arial Narrow" w:cs="Times New Roman"/>
                <w:snapToGrid/>
                <w:sz w:val="20"/>
                <w:vertAlign w:val="superscript"/>
              </w:rPr>
            </w:pPr>
          </w:p>
          <w:p w:rsidR="00300292" w:rsidRPr="00DB760B" w:rsidRDefault="00300292" w:rsidP="00050ADD">
            <w:pPr>
              <w:widowControl/>
              <w:jc w:val="left"/>
              <w:rPr>
                <w:rFonts w:ascii="Arial Narrow" w:hAnsi="Arial Narrow" w:cs="Times New Roman"/>
                <w:snapToGrid/>
                <w:sz w:val="20"/>
              </w:rPr>
            </w:pPr>
          </w:p>
        </w:tc>
        <w:tc>
          <w:tcPr>
            <w:tcW w:w="929" w:type="pct"/>
            <w:vMerge w:val="restart"/>
            <w:tcBorders>
              <w:left w:val="nil"/>
              <w:right w:val="nil"/>
            </w:tcBorders>
            <w:shd w:val="clear" w:color="auto" w:fill="auto"/>
          </w:tcPr>
          <w:p w:rsidR="00300292" w:rsidRPr="00DB760B" w:rsidRDefault="00300292" w:rsidP="00050ADD">
            <w:pPr>
              <w:widowControl/>
              <w:jc w:val="left"/>
              <w:rPr>
                <w:rFonts w:ascii="Arial Narrow" w:hAnsi="Arial Narrow" w:cs="Times New Roman"/>
                <w:snapToGrid/>
                <w:sz w:val="20"/>
              </w:rPr>
            </w:pPr>
          </w:p>
          <w:p w:rsidR="001C6BB4" w:rsidRPr="00DB760B" w:rsidRDefault="001C6BB4" w:rsidP="00050ADD">
            <w:pPr>
              <w:widowControl/>
              <w:jc w:val="left"/>
              <w:rPr>
                <w:rFonts w:ascii="Arial Narrow" w:hAnsi="Arial Narrow" w:cs="Times New Roman"/>
                <w:snapToGrid/>
                <w:sz w:val="20"/>
              </w:rPr>
            </w:pPr>
            <w:r w:rsidRPr="00DB760B">
              <w:rPr>
                <w:rFonts w:ascii="Arial Narrow" w:hAnsi="Arial Narrow" w:cs="Times New Roman"/>
                <w:snapToGrid/>
                <w:sz w:val="20"/>
              </w:rPr>
              <w:t>Merck, Sharp &amp; Dohme</w:t>
            </w:r>
          </w:p>
          <w:p w:rsidR="00300292" w:rsidRPr="00DB760B" w:rsidRDefault="00300292" w:rsidP="00050ADD">
            <w:pPr>
              <w:widowControl/>
              <w:jc w:val="left"/>
              <w:rPr>
                <w:rFonts w:ascii="Arial Narrow" w:hAnsi="Arial Narrow" w:cs="Times New Roman"/>
                <w:snapToGrid/>
                <w:sz w:val="20"/>
              </w:rPr>
            </w:pPr>
          </w:p>
        </w:tc>
      </w:tr>
      <w:tr w:rsidR="001C6BB4" w:rsidRPr="00DB760B" w:rsidTr="00300292">
        <w:trPr>
          <w:cantSplit/>
          <w:trHeight w:val="157"/>
        </w:trPr>
        <w:tc>
          <w:tcPr>
            <w:tcW w:w="2112" w:type="pct"/>
            <w:gridSpan w:val="2"/>
            <w:tcBorders>
              <w:top w:val="nil"/>
              <w:left w:val="nil"/>
              <w:bottom w:val="nil"/>
              <w:right w:val="nil"/>
            </w:tcBorders>
            <w:shd w:val="clear" w:color="auto" w:fill="auto"/>
            <w:tcMar>
              <w:left w:w="28" w:type="dxa"/>
              <w:right w:w="28" w:type="dxa"/>
            </w:tcMar>
          </w:tcPr>
          <w:p w:rsidR="001C6BB4" w:rsidRPr="00DB760B" w:rsidRDefault="001C6BB4" w:rsidP="00B858BA">
            <w:pPr>
              <w:widowControl/>
              <w:jc w:val="left"/>
              <w:rPr>
                <w:rFonts w:ascii="Arial Narrow" w:hAnsi="Arial Narrow" w:cs="Times New Roman"/>
                <w:i/>
                <w:snapToGrid/>
                <w:sz w:val="20"/>
              </w:rPr>
            </w:pPr>
            <w:r w:rsidRPr="00DB760B">
              <w:rPr>
                <w:rFonts w:ascii="Arial Narrow" w:hAnsi="Arial Narrow" w:cs="Times New Roman"/>
                <w:i/>
                <w:snapToGrid/>
                <w:sz w:val="20"/>
              </w:rPr>
              <w:t xml:space="preserve">50 mg tablet, 28  </w:t>
            </w:r>
          </w:p>
        </w:tc>
        <w:tc>
          <w:tcPr>
            <w:tcW w:w="625" w:type="pct"/>
            <w:tcBorders>
              <w:top w:val="nil"/>
              <w:left w:val="nil"/>
              <w:bottom w:val="nil"/>
              <w:right w:val="nil"/>
            </w:tcBorders>
            <w:shd w:val="clear" w:color="auto" w:fill="auto"/>
            <w:tcMar>
              <w:left w:w="28" w:type="dxa"/>
              <w:right w:w="28" w:type="dxa"/>
            </w:tcMar>
          </w:tcPr>
          <w:p w:rsidR="001C6BB4" w:rsidRPr="00DB760B" w:rsidRDefault="001C6BB4" w:rsidP="001C6BB4">
            <w:pPr>
              <w:widowControl/>
              <w:jc w:val="center"/>
              <w:rPr>
                <w:rFonts w:ascii="Arial Narrow" w:hAnsi="Arial Narrow" w:cs="Times New Roman"/>
                <w:snapToGrid/>
                <w:sz w:val="20"/>
              </w:rPr>
            </w:pPr>
            <w:r w:rsidRPr="00DB760B">
              <w:rPr>
                <w:rFonts w:ascii="Arial Narrow" w:hAnsi="Arial Narrow" w:cs="Times New Roman"/>
                <w:snapToGrid/>
                <w:sz w:val="20"/>
              </w:rPr>
              <w:t>1</w:t>
            </w:r>
          </w:p>
        </w:tc>
        <w:tc>
          <w:tcPr>
            <w:tcW w:w="608" w:type="pct"/>
            <w:tcBorders>
              <w:top w:val="nil"/>
              <w:left w:val="nil"/>
              <w:bottom w:val="nil"/>
              <w:right w:val="nil"/>
            </w:tcBorders>
            <w:shd w:val="clear" w:color="auto" w:fill="auto"/>
            <w:tcMar>
              <w:left w:w="28" w:type="dxa"/>
              <w:right w:w="28" w:type="dxa"/>
            </w:tcMar>
          </w:tcPr>
          <w:p w:rsidR="001C6BB4" w:rsidRPr="00DB760B" w:rsidRDefault="001C6BB4" w:rsidP="001C6BB4">
            <w:pPr>
              <w:widowControl/>
              <w:jc w:val="center"/>
              <w:rPr>
                <w:rFonts w:ascii="Arial Narrow" w:hAnsi="Arial Narrow" w:cs="Times New Roman"/>
                <w:snapToGrid/>
                <w:sz w:val="20"/>
              </w:rPr>
            </w:pPr>
            <w:r w:rsidRPr="00DB760B">
              <w:rPr>
                <w:rFonts w:ascii="Arial Narrow" w:hAnsi="Arial Narrow" w:cs="Times New Roman"/>
                <w:snapToGrid/>
                <w:sz w:val="20"/>
              </w:rPr>
              <w:t>5</w:t>
            </w:r>
          </w:p>
        </w:tc>
        <w:tc>
          <w:tcPr>
            <w:tcW w:w="726" w:type="pct"/>
            <w:vMerge/>
            <w:tcBorders>
              <w:top w:val="nil"/>
              <w:left w:val="nil"/>
              <w:right w:val="nil"/>
            </w:tcBorders>
            <w:shd w:val="clear" w:color="auto" w:fill="auto"/>
            <w:tcMar>
              <w:left w:w="28" w:type="dxa"/>
              <w:right w:w="28" w:type="dxa"/>
            </w:tcMar>
          </w:tcPr>
          <w:p w:rsidR="001C6BB4" w:rsidRPr="00DB760B" w:rsidRDefault="001C6BB4" w:rsidP="00050ADD">
            <w:pPr>
              <w:widowControl/>
              <w:jc w:val="left"/>
              <w:rPr>
                <w:rFonts w:ascii="Arial Narrow" w:hAnsi="Arial Narrow" w:cs="Times New Roman"/>
                <w:snapToGrid/>
                <w:sz w:val="20"/>
              </w:rPr>
            </w:pPr>
          </w:p>
        </w:tc>
        <w:tc>
          <w:tcPr>
            <w:tcW w:w="929" w:type="pct"/>
            <w:vMerge/>
            <w:tcBorders>
              <w:top w:val="single" w:sz="4" w:space="0" w:color="auto"/>
              <w:left w:val="nil"/>
              <w:right w:val="nil"/>
            </w:tcBorders>
            <w:shd w:val="clear" w:color="auto" w:fill="auto"/>
          </w:tcPr>
          <w:p w:rsidR="001C6BB4" w:rsidRPr="00DB760B" w:rsidRDefault="001C6BB4" w:rsidP="00050ADD">
            <w:pPr>
              <w:widowControl/>
              <w:jc w:val="left"/>
              <w:rPr>
                <w:rFonts w:ascii="Arial Narrow" w:hAnsi="Arial Narrow" w:cs="Times New Roman"/>
                <w:snapToGrid/>
                <w:sz w:val="20"/>
              </w:rPr>
            </w:pPr>
          </w:p>
        </w:tc>
      </w:tr>
      <w:tr w:rsidR="001C6BB4" w:rsidRPr="00DB760B" w:rsidTr="00300292">
        <w:trPr>
          <w:cantSplit/>
          <w:trHeight w:val="189"/>
        </w:trPr>
        <w:tc>
          <w:tcPr>
            <w:tcW w:w="2112" w:type="pct"/>
            <w:gridSpan w:val="2"/>
            <w:tcBorders>
              <w:top w:val="nil"/>
              <w:left w:val="nil"/>
              <w:right w:val="nil"/>
            </w:tcBorders>
            <w:shd w:val="clear" w:color="auto" w:fill="auto"/>
            <w:tcMar>
              <w:left w:w="28" w:type="dxa"/>
              <w:right w:w="28" w:type="dxa"/>
            </w:tcMar>
          </w:tcPr>
          <w:p w:rsidR="001C6BB4" w:rsidRPr="00DB760B" w:rsidRDefault="001C6BB4" w:rsidP="001C6BB4">
            <w:pPr>
              <w:widowControl/>
              <w:jc w:val="left"/>
              <w:rPr>
                <w:rFonts w:ascii="Arial Narrow" w:hAnsi="Arial Narrow" w:cs="Times New Roman"/>
                <w:i/>
                <w:snapToGrid/>
                <w:sz w:val="20"/>
              </w:rPr>
            </w:pPr>
            <w:r w:rsidRPr="00DB760B">
              <w:rPr>
                <w:rFonts w:ascii="Arial Narrow" w:hAnsi="Arial Narrow" w:cs="Times New Roman"/>
                <w:i/>
                <w:snapToGrid/>
                <w:sz w:val="20"/>
              </w:rPr>
              <w:t xml:space="preserve">100 mg tablet, 28 </w:t>
            </w:r>
          </w:p>
          <w:p w:rsidR="008F059C" w:rsidRPr="00DB760B" w:rsidRDefault="008F059C" w:rsidP="001C6BB4">
            <w:pPr>
              <w:widowControl/>
              <w:jc w:val="left"/>
              <w:rPr>
                <w:rFonts w:ascii="Arial Narrow" w:hAnsi="Arial Narrow" w:cs="Times New Roman"/>
                <w:i/>
                <w:snapToGrid/>
                <w:sz w:val="20"/>
              </w:rPr>
            </w:pPr>
          </w:p>
        </w:tc>
        <w:tc>
          <w:tcPr>
            <w:tcW w:w="625" w:type="pct"/>
            <w:tcBorders>
              <w:top w:val="nil"/>
              <w:left w:val="nil"/>
              <w:right w:val="nil"/>
            </w:tcBorders>
            <w:shd w:val="clear" w:color="auto" w:fill="auto"/>
            <w:tcMar>
              <w:left w:w="28" w:type="dxa"/>
              <w:right w:w="28" w:type="dxa"/>
            </w:tcMar>
          </w:tcPr>
          <w:p w:rsidR="001C6BB4" w:rsidRPr="00DB760B" w:rsidRDefault="001C6BB4" w:rsidP="00300292">
            <w:pPr>
              <w:widowControl/>
              <w:jc w:val="center"/>
              <w:rPr>
                <w:rFonts w:ascii="Arial Narrow" w:hAnsi="Arial Narrow" w:cs="Times New Roman"/>
                <w:snapToGrid/>
                <w:sz w:val="20"/>
              </w:rPr>
            </w:pPr>
            <w:r w:rsidRPr="00DB760B">
              <w:rPr>
                <w:rFonts w:ascii="Arial Narrow" w:hAnsi="Arial Narrow" w:cs="Times New Roman"/>
                <w:snapToGrid/>
                <w:sz w:val="20"/>
              </w:rPr>
              <w:t>1</w:t>
            </w:r>
          </w:p>
        </w:tc>
        <w:tc>
          <w:tcPr>
            <w:tcW w:w="608" w:type="pct"/>
            <w:tcBorders>
              <w:top w:val="nil"/>
              <w:left w:val="nil"/>
              <w:right w:val="nil"/>
            </w:tcBorders>
            <w:shd w:val="clear" w:color="auto" w:fill="auto"/>
            <w:tcMar>
              <w:left w:w="28" w:type="dxa"/>
              <w:right w:w="28" w:type="dxa"/>
            </w:tcMar>
          </w:tcPr>
          <w:p w:rsidR="001C6BB4" w:rsidRPr="00DB760B" w:rsidRDefault="001C6BB4" w:rsidP="00300292">
            <w:pPr>
              <w:widowControl/>
              <w:jc w:val="center"/>
              <w:rPr>
                <w:rFonts w:ascii="Arial Narrow" w:hAnsi="Arial Narrow" w:cs="Times New Roman"/>
                <w:snapToGrid/>
                <w:sz w:val="20"/>
              </w:rPr>
            </w:pPr>
            <w:r w:rsidRPr="00DB760B">
              <w:rPr>
                <w:rFonts w:ascii="Arial Narrow" w:hAnsi="Arial Narrow" w:cs="Times New Roman"/>
                <w:snapToGrid/>
                <w:sz w:val="20"/>
              </w:rPr>
              <w:t>5</w:t>
            </w:r>
          </w:p>
        </w:tc>
        <w:tc>
          <w:tcPr>
            <w:tcW w:w="726" w:type="pct"/>
            <w:vMerge/>
            <w:tcBorders>
              <w:top w:val="nil"/>
              <w:left w:val="nil"/>
              <w:right w:val="nil"/>
            </w:tcBorders>
            <w:shd w:val="clear" w:color="auto" w:fill="auto"/>
            <w:tcMar>
              <w:left w:w="28" w:type="dxa"/>
              <w:right w:w="28" w:type="dxa"/>
            </w:tcMar>
          </w:tcPr>
          <w:p w:rsidR="001C6BB4" w:rsidRPr="00DB760B" w:rsidRDefault="001C6BB4" w:rsidP="00050ADD">
            <w:pPr>
              <w:widowControl/>
              <w:jc w:val="left"/>
              <w:rPr>
                <w:rFonts w:ascii="Arial Narrow" w:hAnsi="Arial Narrow" w:cs="Times New Roman"/>
                <w:snapToGrid/>
                <w:sz w:val="20"/>
              </w:rPr>
            </w:pPr>
          </w:p>
        </w:tc>
        <w:tc>
          <w:tcPr>
            <w:tcW w:w="929" w:type="pct"/>
            <w:vMerge/>
            <w:tcBorders>
              <w:top w:val="single" w:sz="4" w:space="0" w:color="auto"/>
              <w:left w:val="nil"/>
              <w:right w:val="nil"/>
            </w:tcBorders>
            <w:shd w:val="clear" w:color="auto" w:fill="auto"/>
          </w:tcPr>
          <w:p w:rsidR="001C6BB4" w:rsidRPr="00DB760B" w:rsidRDefault="001C6BB4" w:rsidP="00050ADD">
            <w:pPr>
              <w:widowControl/>
              <w:jc w:val="left"/>
              <w:rPr>
                <w:rFonts w:ascii="Arial Narrow" w:hAnsi="Arial Narrow" w:cs="Times New Roman"/>
                <w:snapToGrid/>
                <w:sz w:val="20"/>
              </w:rPr>
            </w:pPr>
          </w:p>
        </w:tc>
      </w:tr>
      <w:tr w:rsidR="00050ADD" w:rsidRPr="00DB760B" w:rsidTr="00300292">
        <w:trPr>
          <w:cantSplit/>
          <w:trHeight w:val="235"/>
        </w:trPr>
        <w:tc>
          <w:tcPr>
            <w:tcW w:w="1244" w:type="pct"/>
            <w:shd w:val="clear" w:color="auto" w:fill="auto"/>
            <w:tcMar>
              <w:left w:w="28" w:type="dxa"/>
              <w:right w:w="28" w:type="dxa"/>
            </w:tcMar>
          </w:tcPr>
          <w:p w:rsidR="00050ADD" w:rsidRPr="00DB760B" w:rsidRDefault="00050ADD" w:rsidP="002B4803">
            <w:pPr>
              <w:widowControl/>
              <w:jc w:val="left"/>
              <w:rPr>
                <w:rFonts w:ascii="Arial Narrow" w:hAnsi="Arial Narrow" w:cs="Times New Roman"/>
                <w:b/>
                <w:snapToGrid/>
                <w:sz w:val="20"/>
              </w:rPr>
            </w:pPr>
            <w:r w:rsidRPr="00DB760B">
              <w:rPr>
                <w:rFonts w:ascii="Arial Narrow" w:hAnsi="Arial Narrow" w:cs="Times New Roman"/>
                <w:b/>
                <w:snapToGrid/>
                <w:sz w:val="20"/>
              </w:rPr>
              <w:t>Category/program:</w:t>
            </w:r>
          </w:p>
        </w:tc>
        <w:tc>
          <w:tcPr>
            <w:tcW w:w="3756" w:type="pct"/>
            <w:gridSpan w:val="5"/>
            <w:shd w:val="clear" w:color="auto" w:fill="auto"/>
            <w:tcMar>
              <w:left w:w="28" w:type="dxa"/>
              <w:right w:w="28" w:type="dxa"/>
            </w:tcMar>
          </w:tcPr>
          <w:p w:rsidR="00050ADD" w:rsidRPr="00DB760B" w:rsidRDefault="00050ADD" w:rsidP="002B4803">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t>GENER</w:t>
            </w:r>
            <w:r w:rsidR="00300292" w:rsidRPr="00DB760B">
              <w:rPr>
                <w:rFonts w:ascii="Arial Narrow" w:hAnsi="Arial Narrow"/>
                <w:snapToGrid/>
                <w:sz w:val="20"/>
                <w:szCs w:val="20"/>
                <w:lang w:eastAsia="en-AU"/>
              </w:rPr>
              <w:t>AL – General Schedule (Code GE)</w:t>
            </w:r>
          </w:p>
        </w:tc>
      </w:tr>
      <w:tr w:rsidR="00300292" w:rsidRPr="00DB760B" w:rsidTr="00300292">
        <w:tblPrEx>
          <w:tblCellMar>
            <w:left w:w="28" w:type="dxa"/>
            <w:right w:w="28" w:type="dxa"/>
          </w:tblCellMar>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tcPr>
          <w:p w:rsidR="00300292" w:rsidRPr="00DB760B" w:rsidRDefault="00300292" w:rsidP="00492B41">
            <w:pPr>
              <w:rPr>
                <w:rFonts w:ascii="Arial Narrow" w:hAnsi="Arial Narrow"/>
                <w:b/>
                <w:sz w:val="20"/>
                <w:szCs w:val="20"/>
                <w:lang w:eastAsia="en-AU"/>
              </w:rPr>
            </w:pPr>
            <w:r w:rsidRPr="00DB760B">
              <w:rPr>
                <w:rFonts w:ascii="Arial Narrow" w:hAnsi="Arial Narrow"/>
                <w:b/>
                <w:sz w:val="20"/>
                <w:szCs w:val="20"/>
                <w:lang w:eastAsia="en-AU"/>
              </w:rPr>
              <w:t>Prescriber type:</w:t>
            </w:r>
          </w:p>
        </w:tc>
        <w:tc>
          <w:tcPr>
            <w:tcW w:w="3756" w:type="pct"/>
            <w:gridSpan w:val="5"/>
            <w:tcBorders>
              <w:top w:val="single" w:sz="4" w:space="0" w:color="auto"/>
              <w:left w:val="single" w:sz="4" w:space="0" w:color="auto"/>
              <w:bottom w:val="single" w:sz="4" w:space="0" w:color="auto"/>
              <w:right w:val="single" w:sz="4" w:space="0" w:color="auto"/>
            </w:tcBorders>
          </w:tcPr>
          <w:p w:rsidR="00300292" w:rsidRPr="00DB760B" w:rsidRDefault="00300292" w:rsidP="00492B41">
            <w:pPr>
              <w:rPr>
                <w:lang w:eastAsia="en-AU"/>
              </w:rPr>
            </w:pPr>
            <w:r w:rsidRPr="00DB760B">
              <w:rPr>
                <w:rFonts w:ascii="Arial Narrow" w:hAnsi="Arial Narrow"/>
                <w:sz w:val="20"/>
                <w:szCs w:val="20"/>
                <w:lang w:eastAsia="en-AU"/>
              </w:rPr>
              <w:fldChar w:fldCharType="begin">
                <w:ffData>
                  <w:name w:val="Check1"/>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Dental  </w:t>
            </w:r>
            <w:r w:rsidRPr="00DB760B">
              <w:rPr>
                <w:rFonts w:ascii="Arial Narrow" w:hAnsi="Arial Narrow"/>
                <w:sz w:val="20"/>
                <w:szCs w:val="20"/>
                <w:lang w:eastAsia="en-AU"/>
              </w:rPr>
              <w:fldChar w:fldCharType="begin">
                <w:ffData>
                  <w:name w:val=""/>
                  <w:enabled/>
                  <w:calcOnExit w:val="0"/>
                  <w:checkBox>
                    <w:sizeAuto/>
                    <w:default w:val="1"/>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Medical Practitioners  </w:t>
            </w:r>
            <w:r w:rsidRPr="00DB760B">
              <w:rPr>
                <w:rFonts w:ascii="Arial Narrow" w:hAnsi="Arial Narrow"/>
                <w:sz w:val="20"/>
                <w:szCs w:val="20"/>
                <w:lang w:eastAsia="en-AU"/>
              </w:rPr>
              <w:fldChar w:fldCharType="begin">
                <w:ffData>
                  <w:name w:val=""/>
                  <w:enabled/>
                  <w:calcOnExit w:val="0"/>
                  <w:checkBox>
                    <w:sizeAuto/>
                    <w:default w:val="1"/>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Nurse practitioners  </w:t>
            </w:r>
            <w:r w:rsidRPr="00DB760B">
              <w:rPr>
                <w:rFonts w:ascii="Arial Narrow" w:hAnsi="Arial Narrow"/>
                <w:sz w:val="20"/>
                <w:szCs w:val="20"/>
                <w:lang w:eastAsia="en-AU"/>
              </w:rPr>
              <w:fldChar w:fldCharType="begin">
                <w:ffData>
                  <w:name w:val=""/>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 xml:space="preserve">Optometrists </w:t>
            </w:r>
            <w:r w:rsidRPr="00DB760B">
              <w:rPr>
                <w:rFonts w:ascii="Arial Narrow" w:hAnsi="Arial Narrow"/>
                <w:sz w:val="20"/>
                <w:szCs w:val="20"/>
                <w:lang w:eastAsia="en-AU"/>
              </w:rPr>
              <w:fldChar w:fldCharType="begin">
                <w:ffData>
                  <w:name w:val="Check5"/>
                  <w:enabled/>
                  <w:calcOnExit w:val="0"/>
                  <w:checkBox>
                    <w:sizeAuto/>
                    <w:default w:val="0"/>
                  </w:checkBox>
                </w:ffData>
              </w:fldChar>
            </w:r>
            <w:r w:rsidRPr="00DB760B">
              <w:rPr>
                <w:rFonts w:ascii="Arial Narrow" w:hAnsi="Arial Narrow"/>
                <w:sz w:val="20"/>
                <w:szCs w:val="20"/>
                <w:lang w:eastAsia="en-AU"/>
              </w:rPr>
              <w:instrText xml:space="preserve"> FORMCHECKBOX </w:instrText>
            </w:r>
            <w:r w:rsidR="001B3286">
              <w:rPr>
                <w:rFonts w:ascii="Arial Narrow" w:hAnsi="Arial Narrow"/>
                <w:sz w:val="20"/>
                <w:szCs w:val="20"/>
                <w:lang w:eastAsia="en-AU"/>
              </w:rPr>
            </w:r>
            <w:r w:rsidR="001B3286">
              <w:rPr>
                <w:rFonts w:ascii="Arial Narrow" w:hAnsi="Arial Narrow"/>
                <w:sz w:val="20"/>
                <w:szCs w:val="20"/>
                <w:lang w:eastAsia="en-AU"/>
              </w:rPr>
              <w:fldChar w:fldCharType="separate"/>
            </w:r>
            <w:r w:rsidRPr="00DB760B">
              <w:rPr>
                <w:rFonts w:ascii="Arial Narrow" w:hAnsi="Arial Narrow"/>
                <w:sz w:val="20"/>
                <w:szCs w:val="20"/>
                <w:lang w:eastAsia="en-AU"/>
              </w:rPr>
              <w:fldChar w:fldCharType="end"/>
            </w:r>
            <w:r w:rsidRPr="00DB760B">
              <w:rPr>
                <w:rFonts w:ascii="Arial Narrow" w:hAnsi="Arial Narrow"/>
                <w:sz w:val="20"/>
                <w:szCs w:val="20"/>
                <w:lang w:eastAsia="en-AU"/>
              </w:rPr>
              <w:t>Midwives</w:t>
            </w:r>
          </w:p>
        </w:tc>
      </w:tr>
      <w:tr w:rsidR="00050ADD" w:rsidRPr="00DB760B" w:rsidTr="00300292">
        <w:trPr>
          <w:cantSplit/>
          <w:trHeight w:val="139"/>
        </w:trPr>
        <w:tc>
          <w:tcPr>
            <w:tcW w:w="1244" w:type="pct"/>
            <w:shd w:val="clear" w:color="auto" w:fill="auto"/>
            <w:tcMar>
              <w:left w:w="28" w:type="dxa"/>
              <w:right w:w="28" w:type="dxa"/>
            </w:tcMar>
          </w:tcPr>
          <w:p w:rsidR="00050ADD" w:rsidRPr="00DB760B" w:rsidRDefault="00050ADD" w:rsidP="00050ADD">
            <w:pPr>
              <w:widowControl/>
              <w:jc w:val="left"/>
              <w:rPr>
                <w:rFonts w:ascii="Arial Narrow" w:hAnsi="Arial Narrow" w:cs="Times New Roman"/>
                <w:b/>
                <w:snapToGrid/>
                <w:sz w:val="20"/>
              </w:rPr>
            </w:pPr>
            <w:r w:rsidRPr="00DB760B">
              <w:rPr>
                <w:rFonts w:ascii="Arial Narrow" w:hAnsi="Arial Narrow" w:cs="Times New Roman"/>
                <w:b/>
                <w:snapToGrid/>
                <w:sz w:val="20"/>
              </w:rPr>
              <w:t>Condition:</w:t>
            </w:r>
          </w:p>
        </w:tc>
        <w:tc>
          <w:tcPr>
            <w:tcW w:w="3756" w:type="pct"/>
            <w:gridSpan w:val="5"/>
            <w:shd w:val="clear" w:color="auto" w:fill="auto"/>
            <w:tcMar>
              <w:left w:w="28" w:type="dxa"/>
              <w:right w:w="28" w:type="dxa"/>
            </w:tcMar>
          </w:tcPr>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Diabetes mellitus type 2</w:t>
            </w:r>
          </w:p>
        </w:tc>
      </w:tr>
      <w:tr w:rsidR="00050ADD" w:rsidRPr="00DB760B" w:rsidTr="00300292">
        <w:trPr>
          <w:cantSplit/>
          <w:trHeight w:val="56"/>
        </w:trPr>
        <w:tc>
          <w:tcPr>
            <w:tcW w:w="1244" w:type="pct"/>
            <w:shd w:val="clear" w:color="auto" w:fill="auto"/>
            <w:tcMar>
              <w:left w:w="28" w:type="dxa"/>
              <w:right w:w="28" w:type="dxa"/>
            </w:tcMar>
          </w:tcPr>
          <w:p w:rsidR="00050ADD" w:rsidRPr="00DB760B" w:rsidRDefault="00050ADD" w:rsidP="00050ADD">
            <w:pPr>
              <w:widowControl/>
              <w:jc w:val="left"/>
              <w:rPr>
                <w:rFonts w:ascii="Arial Narrow" w:hAnsi="Arial Narrow" w:cs="Times New Roman"/>
                <w:b/>
                <w:snapToGrid/>
                <w:sz w:val="20"/>
              </w:rPr>
            </w:pPr>
            <w:r w:rsidRPr="00DB760B">
              <w:rPr>
                <w:rFonts w:ascii="Arial Narrow" w:hAnsi="Arial Narrow" w:cs="Times New Roman"/>
                <w:b/>
                <w:snapToGrid/>
                <w:sz w:val="20"/>
              </w:rPr>
              <w:t>PBS indication:</w:t>
            </w:r>
          </w:p>
        </w:tc>
        <w:tc>
          <w:tcPr>
            <w:tcW w:w="3756" w:type="pct"/>
            <w:gridSpan w:val="5"/>
            <w:shd w:val="clear" w:color="auto" w:fill="auto"/>
            <w:tcMar>
              <w:left w:w="28" w:type="dxa"/>
              <w:right w:w="28" w:type="dxa"/>
            </w:tcMar>
          </w:tcPr>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Diabetes mellitus type 2</w:t>
            </w:r>
          </w:p>
        </w:tc>
      </w:tr>
      <w:tr w:rsidR="00050ADD" w:rsidRPr="00DB760B" w:rsidTr="002B4803">
        <w:trPr>
          <w:cantSplit/>
          <w:trHeight w:val="50"/>
        </w:trPr>
        <w:tc>
          <w:tcPr>
            <w:tcW w:w="1244" w:type="pct"/>
            <w:shd w:val="clear" w:color="auto" w:fill="auto"/>
            <w:tcMar>
              <w:left w:w="28" w:type="dxa"/>
              <w:right w:w="28" w:type="dxa"/>
            </w:tcMar>
          </w:tcPr>
          <w:p w:rsidR="00050ADD" w:rsidRPr="00DB760B" w:rsidRDefault="00050ADD" w:rsidP="00050ADD">
            <w:pPr>
              <w:widowControl/>
              <w:jc w:val="left"/>
              <w:rPr>
                <w:rFonts w:ascii="Arial Narrow" w:hAnsi="Arial Narrow" w:cs="Times New Roman"/>
                <w:b/>
                <w:snapToGrid/>
                <w:sz w:val="20"/>
              </w:rPr>
            </w:pPr>
            <w:r w:rsidRPr="00DB760B">
              <w:rPr>
                <w:rFonts w:ascii="Arial Narrow" w:hAnsi="Arial Narrow"/>
                <w:b/>
                <w:snapToGrid/>
                <w:sz w:val="20"/>
                <w:szCs w:val="20"/>
                <w:lang w:eastAsia="en-AU"/>
              </w:rPr>
              <w:t>Treatment Phase:</w:t>
            </w:r>
          </w:p>
        </w:tc>
        <w:tc>
          <w:tcPr>
            <w:tcW w:w="3756" w:type="pct"/>
            <w:gridSpan w:val="5"/>
            <w:shd w:val="clear" w:color="auto" w:fill="auto"/>
            <w:tcMar>
              <w:left w:w="28" w:type="dxa"/>
              <w:right w:w="28" w:type="dxa"/>
            </w:tcMar>
          </w:tcPr>
          <w:p w:rsidR="00050ADD" w:rsidRPr="00DB760B" w:rsidRDefault="00417B53" w:rsidP="00300292">
            <w:pPr>
              <w:widowControl/>
              <w:jc w:val="left"/>
              <w:rPr>
                <w:rFonts w:ascii="Arial Narrow" w:hAnsi="Arial Narrow" w:cs="Times New Roman"/>
                <w:i/>
                <w:snapToGrid/>
                <w:sz w:val="20"/>
              </w:rPr>
            </w:pPr>
            <w:r w:rsidRPr="00DB760B">
              <w:rPr>
                <w:rFonts w:ascii="Arial Narrow" w:hAnsi="Arial Narrow" w:cs="Times New Roman"/>
                <w:i/>
                <w:snapToGrid/>
                <w:sz w:val="20"/>
              </w:rPr>
              <w:t>Initial t</w:t>
            </w:r>
            <w:r w:rsidR="00050ADD" w:rsidRPr="00DB760B">
              <w:rPr>
                <w:rFonts w:ascii="Arial Narrow" w:hAnsi="Arial Narrow" w:cs="Times New Roman"/>
                <w:i/>
                <w:snapToGrid/>
                <w:sz w:val="20"/>
              </w:rPr>
              <w:t xml:space="preserve">reatment </w:t>
            </w:r>
          </w:p>
        </w:tc>
      </w:tr>
      <w:tr w:rsidR="00050ADD" w:rsidRPr="00DB760B" w:rsidTr="00300292">
        <w:trPr>
          <w:cantSplit/>
          <w:trHeight w:val="133"/>
        </w:trPr>
        <w:tc>
          <w:tcPr>
            <w:tcW w:w="1244" w:type="pct"/>
            <w:shd w:val="clear" w:color="auto" w:fill="auto"/>
            <w:tcMar>
              <w:left w:w="28" w:type="dxa"/>
              <w:right w:w="28" w:type="dxa"/>
            </w:tcMar>
          </w:tcPr>
          <w:p w:rsidR="00050ADD" w:rsidRPr="00DB760B" w:rsidRDefault="00300292" w:rsidP="00050ADD">
            <w:pPr>
              <w:widowControl/>
              <w:jc w:val="left"/>
              <w:rPr>
                <w:rFonts w:ascii="Arial Narrow" w:hAnsi="Arial Narrow" w:cs="Times New Roman"/>
                <w:b/>
                <w:snapToGrid/>
                <w:sz w:val="20"/>
              </w:rPr>
            </w:pPr>
            <w:r w:rsidRPr="00DB760B">
              <w:rPr>
                <w:rFonts w:ascii="Arial Narrow" w:hAnsi="Arial Narrow" w:cs="Times New Roman"/>
                <w:b/>
                <w:snapToGrid/>
                <w:sz w:val="20"/>
              </w:rPr>
              <w:t>Restriction Level/ Method:</w:t>
            </w:r>
          </w:p>
        </w:tc>
        <w:tc>
          <w:tcPr>
            <w:tcW w:w="3756" w:type="pct"/>
            <w:gridSpan w:val="5"/>
            <w:shd w:val="clear" w:color="auto" w:fill="auto"/>
            <w:tcMar>
              <w:left w:w="28" w:type="dxa"/>
              <w:right w:w="28" w:type="dxa"/>
            </w:tcMar>
          </w:tcPr>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 Authority Required (Streamlined)</w:t>
            </w:r>
          </w:p>
        </w:tc>
      </w:tr>
      <w:tr w:rsidR="00050ADD" w:rsidRPr="00DB760B" w:rsidTr="00300292">
        <w:trPr>
          <w:cantSplit/>
          <w:trHeight w:val="360"/>
        </w:trPr>
        <w:tc>
          <w:tcPr>
            <w:tcW w:w="1244" w:type="pct"/>
            <w:shd w:val="clear" w:color="auto" w:fill="auto"/>
            <w:tcMar>
              <w:left w:w="28" w:type="dxa"/>
              <w:right w:w="28" w:type="dxa"/>
            </w:tcMar>
          </w:tcPr>
          <w:p w:rsidR="00050ADD" w:rsidRPr="00DB760B" w:rsidRDefault="00050ADD" w:rsidP="00050ADD">
            <w:pPr>
              <w:widowControl/>
              <w:jc w:val="left"/>
              <w:rPr>
                <w:rFonts w:ascii="Arial Narrow" w:hAnsi="Arial Narrow" w:cs="Times New Roman"/>
                <w:b/>
                <w:snapToGrid/>
                <w:sz w:val="20"/>
              </w:rPr>
            </w:pPr>
            <w:r w:rsidRPr="00DB760B">
              <w:rPr>
                <w:rFonts w:ascii="Arial Narrow" w:hAnsi="Arial Narrow" w:cs="Times New Roman"/>
                <w:b/>
                <w:snapToGrid/>
                <w:sz w:val="20"/>
              </w:rPr>
              <w:t>Clinical criteria:</w:t>
            </w:r>
          </w:p>
          <w:p w:rsidR="00050ADD" w:rsidRPr="00DB760B" w:rsidRDefault="00050ADD" w:rsidP="00050ADD">
            <w:pPr>
              <w:widowControl/>
              <w:jc w:val="left"/>
              <w:rPr>
                <w:rFonts w:ascii="Arial Narrow" w:hAnsi="Arial Narrow" w:cs="Times New Roman"/>
                <w:b/>
                <w:snapToGrid/>
                <w:sz w:val="20"/>
              </w:rPr>
            </w:pPr>
          </w:p>
          <w:p w:rsidR="00050ADD" w:rsidRPr="00DB760B" w:rsidRDefault="00050ADD" w:rsidP="00050ADD">
            <w:pPr>
              <w:widowControl/>
              <w:jc w:val="left"/>
              <w:rPr>
                <w:rFonts w:ascii="Arial Narrow" w:hAnsi="Arial Narrow" w:cs="Times New Roman"/>
                <w:b/>
                <w:snapToGrid/>
                <w:sz w:val="20"/>
              </w:rPr>
            </w:pPr>
          </w:p>
        </w:tc>
        <w:tc>
          <w:tcPr>
            <w:tcW w:w="3756" w:type="pct"/>
            <w:gridSpan w:val="5"/>
            <w:shd w:val="clear" w:color="auto" w:fill="auto"/>
            <w:tcMar>
              <w:left w:w="28" w:type="dxa"/>
              <w:right w:w="28" w:type="dxa"/>
            </w:tcMar>
          </w:tcPr>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 xml:space="preserve">The treatment must be in combination with metformin; </w:t>
            </w:r>
          </w:p>
          <w:p w:rsidR="00050ADD" w:rsidRPr="00DB760B" w:rsidRDefault="00492B41" w:rsidP="00050ADD">
            <w:pPr>
              <w:widowControl/>
              <w:jc w:val="left"/>
              <w:rPr>
                <w:rFonts w:ascii="Arial Narrow" w:hAnsi="Arial Narrow" w:cs="Times New Roman"/>
                <w:snapToGrid/>
                <w:sz w:val="20"/>
              </w:rPr>
            </w:pPr>
            <w:r w:rsidRPr="00DB760B">
              <w:rPr>
                <w:rFonts w:ascii="Arial Narrow" w:hAnsi="Arial Narrow" w:cs="Times New Roman"/>
                <w:snapToGrid/>
                <w:sz w:val="20"/>
              </w:rPr>
              <w:t>AND</w:t>
            </w:r>
            <w:r w:rsidR="00050ADD" w:rsidRPr="00DB760B">
              <w:rPr>
                <w:rFonts w:ascii="Arial Narrow" w:hAnsi="Arial Narrow" w:cs="Times New Roman"/>
                <w:snapToGrid/>
                <w:sz w:val="20"/>
              </w:rPr>
              <w:t xml:space="preserve"> </w:t>
            </w:r>
          </w:p>
          <w:p w:rsidR="00050ADD" w:rsidRPr="00DB760B" w:rsidRDefault="00050ADD" w:rsidP="00050ADD">
            <w:pPr>
              <w:widowControl/>
              <w:jc w:val="left"/>
              <w:rPr>
                <w:rFonts w:ascii="Arial Narrow" w:hAnsi="Arial Narrow" w:cs="Times New Roman"/>
                <w:i/>
                <w:snapToGrid/>
                <w:sz w:val="20"/>
              </w:rPr>
            </w:pPr>
            <w:r w:rsidRPr="00DB760B">
              <w:rPr>
                <w:rFonts w:ascii="Arial Narrow" w:hAnsi="Arial Narrow" w:cs="Times New Roman"/>
                <w:i/>
                <w:snapToGrid/>
                <w:sz w:val="20"/>
              </w:rPr>
              <w:t>The treatment must be in combination with a sodium-glucose co-transporter 2 (SGLT2) inhibitor;</w:t>
            </w: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AND</w:t>
            </w:r>
          </w:p>
          <w:p w:rsidR="00050ADD" w:rsidRPr="00DB760B" w:rsidRDefault="00050ADD" w:rsidP="00050ADD">
            <w:pPr>
              <w:widowControl/>
              <w:jc w:val="left"/>
              <w:rPr>
                <w:rFonts w:ascii="Arial Narrow" w:hAnsi="Arial Narrow" w:cs="Times New Roman"/>
                <w:strike/>
                <w:snapToGrid/>
                <w:sz w:val="20"/>
              </w:rPr>
            </w:pPr>
            <w:r w:rsidRPr="00DB760B">
              <w:rPr>
                <w:rFonts w:ascii="Arial Narrow" w:hAnsi="Arial Narrow" w:cs="Times New Roman"/>
                <w:strike/>
                <w:snapToGrid/>
                <w:sz w:val="20"/>
              </w:rPr>
              <w:t xml:space="preserve">Patient must have been previously stabilised on dual or triple oral therapy which includes a dipeptidyl peptidase 4 inhibitor (gliptin); </w:t>
            </w:r>
          </w:p>
          <w:p w:rsidR="00050ADD" w:rsidRPr="00DB760B" w:rsidRDefault="00050ADD" w:rsidP="00050ADD">
            <w:pPr>
              <w:widowControl/>
              <w:jc w:val="left"/>
              <w:rPr>
                <w:rFonts w:ascii="Arial Narrow" w:hAnsi="Arial Narrow" w:cs="Times New Roman"/>
                <w:strike/>
                <w:snapToGrid/>
                <w:sz w:val="20"/>
              </w:rPr>
            </w:pPr>
            <w:r w:rsidRPr="00DB760B">
              <w:rPr>
                <w:rFonts w:ascii="Arial Narrow" w:hAnsi="Arial Narrow" w:cs="Times New Roman"/>
                <w:strike/>
                <w:snapToGrid/>
                <w:sz w:val="20"/>
              </w:rPr>
              <w:t>OR</w:t>
            </w: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trike/>
                <w:snapToGrid/>
                <w:sz w:val="20"/>
              </w:rPr>
              <w:t>Patient must have been previously stabilised on dual or triple oral therapy which includes a sodium-glucose co-transporter 2 (SGLT2) inhibitor;</w:t>
            </w:r>
            <w:r w:rsidRPr="00DB760B">
              <w:rPr>
                <w:rFonts w:ascii="Arial Narrow" w:hAnsi="Arial Narrow" w:cs="Times New Roman"/>
                <w:snapToGrid/>
                <w:sz w:val="20"/>
              </w:rPr>
              <w:t xml:space="preserve"> </w:t>
            </w: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br/>
              <w:t>Patient must have</w:t>
            </w:r>
            <w:r w:rsidRPr="00DB760B">
              <w:rPr>
                <w:rFonts w:ascii="Arial Narrow" w:hAnsi="Arial Narrow" w:cs="Times New Roman"/>
                <w:strike/>
                <w:snapToGrid/>
                <w:sz w:val="20"/>
              </w:rPr>
              <w:t>, or have had</w:t>
            </w:r>
            <w:r w:rsidRPr="00DB760B">
              <w:rPr>
                <w:rFonts w:ascii="Arial Narrow" w:hAnsi="Arial Narrow" w:cs="Times New Roman"/>
                <w:snapToGrid/>
                <w:sz w:val="20"/>
              </w:rPr>
              <w:t xml:space="preserve">, an HbA1c measurement greater than 7% </w:t>
            </w:r>
            <w:r w:rsidRPr="00DB760B">
              <w:rPr>
                <w:rFonts w:ascii="Arial Narrow" w:hAnsi="Arial Narrow" w:cs="Times New Roman"/>
                <w:i/>
                <w:snapToGrid/>
                <w:sz w:val="20"/>
              </w:rPr>
              <w:t>despite treatment with dual oral combination therapy with metformin and an SGLT2</w:t>
            </w:r>
            <w:r w:rsidRPr="00DB760B">
              <w:rPr>
                <w:rFonts w:ascii="Arial Narrow" w:hAnsi="Arial Narrow" w:cs="Times New Roman"/>
                <w:snapToGrid/>
                <w:sz w:val="20"/>
              </w:rPr>
              <w:t xml:space="preserve"> </w:t>
            </w:r>
            <w:r w:rsidRPr="00DB760B">
              <w:rPr>
                <w:rFonts w:ascii="Arial Narrow" w:hAnsi="Arial Narrow" w:cs="Times New Roman"/>
                <w:i/>
                <w:snapToGrid/>
                <w:sz w:val="20"/>
              </w:rPr>
              <w:t>inhibitor</w:t>
            </w:r>
            <w:r w:rsidR="00492B41" w:rsidRPr="00DB760B">
              <w:rPr>
                <w:rFonts w:ascii="Arial Narrow" w:hAnsi="Arial Narrow" w:cs="Times New Roman"/>
                <w:i/>
                <w:snapToGrid/>
                <w:sz w:val="20"/>
              </w:rPr>
              <w:t>;</w:t>
            </w:r>
            <w:r w:rsidRPr="00DB760B">
              <w:rPr>
                <w:rFonts w:ascii="Arial Narrow" w:hAnsi="Arial Narrow" w:cs="Times New Roman"/>
                <w:snapToGrid/>
                <w:sz w:val="20"/>
              </w:rPr>
              <w:t xml:space="preserve"> </w:t>
            </w:r>
            <w:r w:rsidRPr="00DB760B">
              <w:rPr>
                <w:rFonts w:ascii="Arial Narrow" w:hAnsi="Arial Narrow" w:cs="Times New Roman"/>
                <w:strike/>
                <w:snapToGrid/>
                <w:sz w:val="20"/>
              </w:rPr>
              <w:t>prior to the initiation of the initiation of triple oral therapy with a dipeptidyl peptidase 4 inhibitor (gliptin) and a sodium-glucose co-transporter 2 (SGLT2) inhibitor;</w:t>
            </w:r>
            <w:r w:rsidRPr="00DB760B">
              <w:rPr>
                <w:rFonts w:ascii="Arial Narrow" w:hAnsi="Arial Narrow" w:cs="Times New Roman"/>
                <w:snapToGrid/>
                <w:sz w:val="20"/>
              </w:rPr>
              <w:t xml:space="preserve"> </w:t>
            </w: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 xml:space="preserve">OR </w:t>
            </w:r>
          </w:p>
          <w:p w:rsidR="00050ADD" w:rsidRPr="00DB760B" w:rsidRDefault="00050ADD" w:rsidP="00300292">
            <w:pPr>
              <w:widowControl/>
              <w:jc w:val="left"/>
              <w:rPr>
                <w:rFonts w:ascii="Arial Narrow" w:hAnsi="Arial Narrow" w:cs="Times New Roman"/>
                <w:snapToGrid/>
                <w:sz w:val="20"/>
              </w:rPr>
            </w:pPr>
            <w:r w:rsidRPr="00DB760B">
              <w:rPr>
                <w:rFonts w:ascii="Arial Narrow" w:hAnsi="Arial Narrow" w:cs="Times New Roman"/>
                <w:snapToGrid/>
                <w:sz w:val="20"/>
              </w:rPr>
              <w:t xml:space="preserve">Patient must have, </w:t>
            </w:r>
            <w:r w:rsidRPr="00DB760B">
              <w:rPr>
                <w:rFonts w:ascii="Arial Narrow" w:hAnsi="Arial Narrow" w:cs="Times New Roman"/>
                <w:strike/>
                <w:snapToGrid/>
                <w:sz w:val="20"/>
              </w:rPr>
              <w:t>or have had,</w:t>
            </w:r>
            <w:r w:rsidRPr="00DB760B">
              <w:rPr>
                <w:rFonts w:ascii="Arial Narrow" w:hAnsi="Arial Narrow" w:cs="Times New Roman"/>
                <w:snapToGrid/>
                <w:sz w:val="20"/>
              </w:rPr>
              <w:t xml:space="preserve"> where HbA1c measurement is clinically inappropriate, blood glucose levels greater than 10 </w:t>
            </w:r>
            <w:proofErr w:type="spellStart"/>
            <w:r w:rsidRPr="00DB760B">
              <w:rPr>
                <w:rFonts w:ascii="Arial Narrow" w:hAnsi="Arial Narrow" w:cs="Times New Roman"/>
                <w:snapToGrid/>
                <w:sz w:val="20"/>
              </w:rPr>
              <w:t>mmol</w:t>
            </w:r>
            <w:proofErr w:type="spellEnd"/>
            <w:r w:rsidRPr="00DB760B">
              <w:rPr>
                <w:rFonts w:ascii="Arial Narrow" w:hAnsi="Arial Narrow" w:cs="Times New Roman"/>
                <w:snapToGrid/>
                <w:sz w:val="20"/>
              </w:rPr>
              <w:t xml:space="preserve"> per L in more than 20% of tests over a 2 week period prior to initiation of triple oral therapy with a dipeptidyl peptidase 4 inhibitor (gliptin), </w:t>
            </w:r>
            <w:r w:rsidRPr="00DB760B">
              <w:rPr>
                <w:rFonts w:ascii="Arial Narrow" w:hAnsi="Arial Narrow" w:cs="Times New Roman"/>
                <w:i/>
                <w:snapToGrid/>
                <w:sz w:val="20"/>
              </w:rPr>
              <w:t>metformin</w:t>
            </w:r>
            <w:r w:rsidRPr="00DB760B">
              <w:rPr>
                <w:rFonts w:ascii="Arial Narrow" w:hAnsi="Arial Narrow" w:cs="Times New Roman"/>
                <w:snapToGrid/>
                <w:sz w:val="20"/>
              </w:rPr>
              <w:t xml:space="preserve"> and an SGLT2 inhibitor.</w:t>
            </w:r>
          </w:p>
        </w:tc>
      </w:tr>
      <w:tr w:rsidR="00050ADD" w:rsidRPr="00DB760B" w:rsidTr="00300292">
        <w:trPr>
          <w:cantSplit/>
          <w:trHeight w:val="360"/>
        </w:trPr>
        <w:tc>
          <w:tcPr>
            <w:tcW w:w="1244" w:type="pct"/>
            <w:shd w:val="clear" w:color="auto" w:fill="auto"/>
            <w:tcMar>
              <w:left w:w="28" w:type="dxa"/>
              <w:right w:w="28" w:type="dxa"/>
            </w:tcMar>
          </w:tcPr>
          <w:p w:rsidR="00050ADD" w:rsidRPr="00DB760B" w:rsidRDefault="00050ADD" w:rsidP="00050ADD">
            <w:pPr>
              <w:widowControl/>
              <w:spacing w:before="40" w:after="40"/>
              <w:rPr>
                <w:rFonts w:ascii="Arial Narrow" w:hAnsi="Arial Narrow"/>
                <w:b/>
                <w:snapToGrid/>
                <w:sz w:val="20"/>
                <w:szCs w:val="20"/>
                <w:lang w:eastAsia="en-AU"/>
              </w:rPr>
            </w:pPr>
            <w:r w:rsidRPr="00DB760B">
              <w:rPr>
                <w:rFonts w:ascii="Arial Narrow" w:hAnsi="Arial Narrow"/>
                <w:b/>
                <w:snapToGrid/>
                <w:sz w:val="20"/>
                <w:szCs w:val="20"/>
                <w:lang w:eastAsia="en-AU"/>
              </w:rPr>
              <w:lastRenderedPageBreak/>
              <w:t>Prescriber Instructions:</w:t>
            </w:r>
          </w:p>
          <w:p w:rsidR="00050ADD" w:rsidRPr="00DB760B" w:rsidRDefault="00050ADD" w:rsidP="00050ADD">
            <w:pPr>
              <w:widowControl/>
              <w:jc w:val="left"/>
              <w:rPr>
                <w:rFonts w:ascii="Arial Narrow" w:hAnsi="Arial Narrow" w:cs="Times New Roman"/>
                <w:b/>
                <w:snapToGrid/>
                <w:sz w:val="20"/>
              </w:rPr>
            </w:pPr>
          </w:p>
        </w:tc>
        <w:tc>
          <w:tcPr>
            <w:tcW w:w="3756" w:type="pct"/>
            <w:gridSpan w:val="5"/>
            <w:shd w:val="clear" w:color="auto" w:fill="auto"/>
            <w:tcMar>
              <w:left w:w="28" w:type="dxa"/>
              <w:right w:w="28" w:type="dxa"/>
            </w:tcMar>
          </w:tcPr>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The date and level of the qualifying HbA1c measurement must be</w:t>
            </w:r>
            <w:r w:rsidRPr="00DB760B">
              <w:rPr>
                <w:rFonts w:ascii="Arial Narrow" w:hAnsi="Arial Narrow" w:cs="Times New Roman"/>
                <w:strike/>
                <w:snapToGrid/>
                <w:sz w:val="20"/>
              </w:rPr>
              <w:t>, or must have been,</w:t>
            </w:r>
            <w:r w:rsidRPr="00DB760B">
              <w:rPr>
                <w:rFonts w:ascii="Arial Narrow" w:hAnsi="Arial Narrow" w:cs="Times New Roman"/>
                <w:snapToGrid/>
                <w:sz w:val="20"/>
              </w:rPr>
              <w:t xml:space="preserve"> documented in the patient's medical records at the time triple oral therapy with an SGLT2 inhibitor, </w:t>
            </w:r>
            <w:r w:rsidRPr="00DB760B">
              <w:rPr>
                <w:rFonts w:ascii="Arial Narrow" w:hAnsi="Arial Narrow" w:cs="Times New Roman"/>
                <w:i/>
                <w:snapToGrid/>
                <w:sz w:val="20"/>
              </w:rPr>
              <w:t>metformin</w:t>
            </w:r>
            <w:r w:rsidRPr="00DB760B">
              <w:rPr>
                <w:rFonts w:ascii="Arial Narrow" w:hAnsi="Arial Narrow" w:cs="Times New Roman"/>
                <w:snapToGrid/>
                <w:sz w:val="20"/>
              </w:rPr>
              <w:t xml:space="preserve"> and a gliptin is initiated.</w:t>
            </w:r>
          </w:p>
          <w:p w:rsidR="00050ADD" w:rsidRPr="00DB760B" w:rsidRDefault="00050ADD" w:rsidP="00050ADD">
            <w:pPr>
              <w:widowControl/>
              <w:jc w:val="left"/>
              <w:rPr>
                <w:rFonts w:ascii="Arial Narrow" w:hAnsi="Arial Narrow" w:cs="Times New Roman"/>
                <w:snapToGrid/>
                <w:sz w:val="20"/>
              </w:rPr>
            </w:pP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 xml:space="preserve">The HbA1c must be no more than 4 months old at the time triple oral therapy with an SGLT2 inhibitor, </w:t>
            </w:r>
            <w:r w:rsidRPr="00DB760B">
              <w:rPr>
                <w:rFonts w:ascii="Arial Narrow" w:hAnsi="Arial Narrow" w:cs="Times New Roman"/>
                <w:i/>
                <w:snapToGrid/>
                <w:sz w:val="20"/>
              </w:rPr>
              <w:t>metformin and a gliptin is</w:t>
            </w:r>
            <w:r w:rsidRPr="00DB760B">
              <w:rPr>
                <w:rFonts w:ascii="Arial Narrow" w:hAnsi="Arial Narrow" w:cs="Times New Roman"/>
                <w:snapToGrid/>
                <w:sz w:val="20"/>
              </w:rPr>
              <w:t xml:space="preserve"> </w:t>
            </w:r>
            <w:r w:rsidRPr="00DB760B">
              <w:rPr>
                <w:rFonts w:ascii="Arial Narrow" w:hAnsi="Arial Narrow" w:cs="Times New Roman"/>
                <w:strike/>
                <w:snapToGrid/>
                <w:sz w:val="20"/>
              </w:rPr>
              <w:t>was</w:t>
            </w:r>
            <w:r w:rsidRPr="00DB760B">
              <w:rPr>
                <w:rFonts w:ascii="Arial Narrow" w:hAnsi="Arial Narrow" w:cs="Times New Roman"/>
                <w:snapToGrid/>
                <w:sz w:val="20"/>
              </w:rPr>
              <w:t xml:space="preserve"> initiated.</w:t>
            </w:r>
          </w:p>
          <w:p w:rsidR="00050ADD" w:rsidRPr="00DB760B" w:rsidRDefault="00050ADD" w:rsidP="00050ADD">
            <w:pPr>
              <w:widowControl/>
              <w:jc w:val="left"/>
              <w:rPr>
                <w:rFonts w:ascii="Arial Narrow" w:hAnsi="Arial Narrow" w:cs="Times New Roman"/>
                <w:snapToGrid/>
                <w:sz w:val="20"/>
              </w:rPr>
            </w:pP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Blood glucose monitoring may be used as an alternative assessment to HbA1c levels in the following circumstances:</w:t>
            </w: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 xml:space="preserve">(a) A clinical condition with reduced red blood cell survival, including haemolytic anaemias and </w:t>
            </w:r>
            <w:proofErr w:type="spellStart"/>
            <w:r w:rsidRPr="00DB760B">
              <w:rPr>
                <w:rFonts w:ascii="Arial Narrow" w:hAnsi="Arial Narrow" w:cs="Times New Roman"/>
                <w:snapToGrid/>
                <w:sz w:val="20"/>
              </w:rPr>
              <w:t>haemoglobinopathies</w:t>
            </w:r>
            <w:proofErr w:type="spellEnd"/>
            <w:r w:rsidRPr="00DB760B">
              <w:rPr>
                <w:rFonts w:ascii="Arial Narrow" w:hAnsi="Arial Narrow" w:cs="Times New Roman"/>
                <w:snapToGrid/>
                <w:sz w:val="20"/>
              </w:rPr>
              <w:t>; and/or</w:t>
            </w: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(b) Had red cell transfusion within the previous 3 months.</w:t>
            </w:r>
          </w:p>
          <w:p w:rsidR="00050ADD" w:rsidRPr="00DB760B" w:rsidRDefault="00050ADD" w:rsidP="00050ADD">
            <w:pPr>
              <w:widowControl/>
              <w:jc w:val="left"/>
              <w:rPr>
                <w:rFonts w:ascii="Arial Narrow" w:hAnsi="Arial Narrow" w:cs="Times New Roman"/>
                <w:snapToGrid/>
                <w:sz w:val="20"/>
              </w:rPr>
            </w:pPr>
          </w:p>
          <w:p w:rsidR="00050ADD" w:rsidRPr="00DB760B" w:rsidRDefault="00050ADD" w:rsidP="00050ADD">
            <w:pPr>
              <w:widowControl/>
              <w:jc w:val="left"/>
              <w:rPr>
                <w:rFonts w:ascii="Arial Narrow" w:hAnsi="Arial Narrow" w:cs="Times New Roman"/>
                <w:snapToGrid/>
                <w:sz w:val="20"/>
              </w:rPr>
            </w:pPr>
            <w:r w:rsidRPr="00DB760B">
              <w:rPr>
                <w:rFonts w:ascii="Arial Narrow" w:hAnsi="Arial Narrow" w:cs="Times New Roman"/>
                <w:snapToGrid/>
                <w:sz w:val="20"/>
              </w:rPr>
              <w:t xml:space="preserve">The results of the blood glucose monitoring, which must be no more than 4 months old at the time of initiation of triple oral therapy with an SGLT2 inhibitor, gliptin and </w:t>
            </w:r>
            <w:r w:rsidRPr="00DB760B">
              <w:rPr>
                <w:rFonts w:ascii="Arial Narrow" w:hAnsi="Arial Narrow" w:cs="Times New Roman"/>
                <w:i/>
                <w:snapToGrid/>
                <w:sz w:val="20"/>
              </w:rPr>
              <w:t>metformin</w:t>
            </w:r>
            <w:r w:rsidRPr="00DB760B">
              <w:rPr>
                <w:rFonts w:ascii="Arial Narrow" w:hAnsi="Arial Narrow" w:cs="Times New Roman"/>
                <w:snapToGrid/>
                <w:sz w:val="20"/>
              </w:rPr>
              <w:t xml:space="preserve"> </w:t>
            </w:r>
            <w:r w:rsidRPr="00DB760B">
              <w:rPr>
                <w:rFonts w:ascii="Arial Narrow" w:hAnsi="Arial Narrow" w:cs="Times New Roman"/>
                <w:strike/>
                <w:snapToGrid/>
                <w:sz w:val="20"/>
              </w:rPr>
              <w:t>is initiated</w:t>
            </w:r>
            <w:r w:rsidRPr="00DB760B">
              <w:rPr>
                <w:rFonts w:ascii="Arial Narrow" w:hAnsi="Arial Narrow" w:cs="Times New Roman"/>
                <w:snapToGrid/>
                <w:sz w:val="20"/>
              </w:rPr>
              <w:t>, must be documented in the patient's medical records.</w:t>
            </w:r>
          </w:p>
          <w:p w:rsidR="00050ADD" w:rsidRPr="00DB760B" w:rsidRDefault="00050ADD" w:rsidP="00050ADD">
            <w:pPr>
              <w:widowControl/>
              <w:jc w:val="left"/>
              <w:rPr>
                <w:rFonts w:ascii="Arial Narrow" w:hAnsi="Arial Narrow" w:cs="Times New Roman"/>
                <w:snapToGrid/>
                <w:sz w:val="20"/>
              </w:rPr>
            </w:pPr>
          </w:p>
          <w:p w:rsidR="00050ADD" w:rsidRPr="00DB760B" w:rsidRDefault="00050ADD" w:rsidP="00050ADD">
            <w:pPr>
              <w:widowControl/>
              <w:jc w:val="left"/>
              <w:rPr>
                <w:rFonts w:ascii="Arial Narrow" w:hAnsi="Arial Narrow" w:cs="Times New Roman"/>
                <w:strike/>
                <w:snapToGrid/>
                <w:sz w:val="20"/>
              </w:rPr>
            </w:pPr>
            <w:r w:rsidRPr="00DB760B">
              <w:rPr>
                <w:rFonts w:ascii="Arial Narrow" w:hAnsi="Arial Narrow" w:cs="Times New Roman"/>
                <w:strike/>
                <w:snapToGrid/>
                <w:sz w:val="20"/>
              </w:rPr>
              <w:t>A patient whose diabetes was previously demonstrated unable to be controlled by dual therapy with metformin and a gliptin or an SGLT2 inhibitor does not need to requalify on this criterion before being eligible for PBS-subsidised treatment with this drug.</w:t>
            </w:r>
          </w:p>
        </w:tc>
      </w:tr>
      <w:tr w:rsidR="00050ADD" w:rsidRPr="00DB760B" w:rsidTr="00300292">
        <w:trPr>
          <w:cantSplit/>
          <w:trHeight w:val="360"/>
        </w:trPr>
        <w:tc>
          <w:tcPr>
            <w:tcW w:w="1244" w:type="pct"/>
            <w:shd w:val="clear" w:color="auto" w:fill="auto"/>
            <w:tcMar>
              <w:left w:w="28" w:type="dxa"/>
              <w:right w:w="28" w:type="dxa"/>
            </w:tcMar>
          </w:tcPr>
          <w:p w:rsidR="00050ADD" w:rsidRPr="00DB760B" w:rsidRDefault="00300292" w:rsidP="00050ADD">
            <w:pPr>
              <w:widowControl/>
              <w:jc w:val="left"/>
              <w:rPr>
                <w:rFonts w:ascii="Arial Narrow" w:hAnsi="Arial Narrow" w:cs="Times New Roman"/>
                <w:b/>
                <w:snapToGrid/>
                <w:sz w:val="20"/>
              </w:rPr>
            </w:pPr>
            <w:r w:rsidRPr="00DB760B">
              <w:rPr>
                <w:rFonts w:ascii="Arial Narrow" w:hAnsi="Arial Narrow" w:cs="Times New Roman"/>
                <w:b/>
                <w:snapToGrid/>
                <w:sz w:val="20"/>
              </w:rPr>
              <w:t>Administrative advice</w:t>
            </w:r>
            <w:r w:rsidR="00050ADD" w:rsidRPr="00DB760B">
              <w:rPr>
                <w:rFonts w:ascii="Arial Narrow" w:hAnsi="Arial Narrow" w:cs="Times New Roman"/>
                <w:b/>
                <w:snapToGrid/>
                <w:sz w:val="20"/>
              </w:rPr>
              <w:t>:</w:t>
            </w:r>
          </w:p>
          <w:p w:rsidR="00050ADD" w:rsidRPr="00DB760B" w:rsidRDefault="00050ADD" w:rsidP="00050ADD">
            <w:pPr>
              <w:widowControl/>
              <w:jc w:val="left"/>
              <w:rPr>
                <w:rFonts w:ascii="Arial Narrow" w:hAnsi="Arial Narrow" w:cs="Times New Roman"/>
                <w:b/>
                <w:snapToGrid/>
                <w:sz w:val="20"/>
              </w:rPr>
            </w:pPr>
          </w:p>
        </w:tc>
        <w:tc>
          <w:tcPr>
            <w:tcW w:w="3756" w:type="pct"/>
            <w:gridSpan w:val="5"/>
            <w:shd w:val="clear" w:color="auto" w:fill="auto"/>
            <w:tcMar>
              <w:left w:w="28" w:type="dxa"/>
              <w:right w:w="28" w:type="dxa"/>
            </w:tcMar>
          </w:tcPr>
          <w:p w:rsidR="00050ADD" w:rsidRPr="00DB760B" w:rsidRDefault="00050ADD" w:rsidP="00050ADD">
            <w:pPr>
              <w:widowControl/>
              <w:jc w:val="left"/>
              <w:rPr>
                <w:rFonts w:ascii="Arial Narrow" w:hAnsi="Arial Narrow" w:cs="Times New Roman"/>
                <w:snapToGrid/>
                <w:sz w:val="20"/>
                <w:szCs w:val="24"/>
                <w:lang w:eastAsia="en-AU"/>
              </w:rPr>
            </w:pPr>
            <w:r w:rsidRPr="00DB760B">
              <w:rPr>
                <w:rFonts w:ascii="Arial Narrow" w:hAnsi="Arial Narrow" w:cs="Times New Roman"/>
                <w:snapToGrid/>
                <w:sz w:val="20"/>
                <w:szCs w:val="24"/>
                <w:lang w:eastAsia="en-AU"/>
              </w:rPr>
              <w:t>This drug is not PBS-subsidised for use as monotherapy or in combination with a thiazolidinedione (</w:t>
            </w:r>
            <w:proofErr w:type="spellStart"/>
            <w:r w:rsidRPr="00DB760B">
              <w:rPr>
                <w:rFonts w:ascii="Arial Narrow" w:hAnsi="Arial Narrow" w:cs="Times New Roman"/>
                <w:snapToGrid/>
                <w:sz w:val="20"/>
                <w:szCs w:val="24"/>
                <w:lang w:eastAsia="en-AU"/>
              </w:rPr>
              <w:t>glitazone</w:t>
            </w:r>
            <w:proofErr w:type="spellEnd"/>
            <w:r w:rsidRPr="00DB760B">
              <w:rPr>
                <w:rFonts w:ascii="Arial Narrow" w:hAnsi="Arial Narrow" w:cs="Times New Roman"/>
                <w:snapToGrid/>
                <w:sz w:val="20"/>
                <w:szCs w:val="24"/>
                <w:lang w:eastAsia="en-AU"/>
              </w:rPr>
              <w:t xml:space="preserve">) </w:t>
            </w:r>
            <w:r w:rsidRPr="00DB760B">
              <w:rPr>
                <w:rFonts w:ascii="Arial Narrow" w:hAnsi="Arial Narrow" w:cs="Times New Roman"/>
                <w:i/>
                <w:snapToGrid/>
                <w:sz w:val="20"/>
                <w:szCs w:val="24"/>
                <w:lang w:eastAsia="en-AU"/>
              </w:rPr>
              <w:t>or</w:t>
            </w:r>
            <w:r w:rsidRPr="00DB760B">
              <w:rPr>
                <w:rFonts w:ascii="Arial Narrow" w:hAnsi="Arial Narrow" w:cs="Times New Roman"/>
                <w:snapToGrid/>
                <w:sz w:val="20"/>
                <w:szCs w:val="24"/>
                <w:lang w:eastAsia="en-AU"/>
              </w:rPr>
              <w:t xml:space="preserve"> a glucagon-like peptide-1 analogue</w:t>
            </w:r>
            <w:r w:rsidR="00492B41" w:rsidRPr="00DB760B">
              <w:rPr>
                <w:rFonts w:ascii="Arial Narrow" w:hAnsi="Arial Narrow" w:cs="Times New Roman"/>
                <w:snapToGrid/>
                <w:sz w:val="20"/>
                <w:szCs w:val="24"/>
                <w:lang w:eastAsia="en-AU"/>
              </w:rPr>
              <w:t xml:space="preserve"> </w:t>
            </w:r>
            <w:r w:rsidR="00492B41" w:rsidRPr="00DB760B">
              <w:rPr>
                <w:rFonts w:ascii="Arial Narrow" w:hAnsi="Arial Narrow" w:cs="Times New Roman"/>
                <w:strike/>
                <w:snapToGrid/>
                <w:sz w:val="20"/>
                <w:szCs w:val="24"/>
                <w:lang w:eastAsia="en-AU"/>
              </w:rPr>
              <w:t>or an SGLT2 inhibitor</w:t>
            </w:r>
            <w:r w:rsidRPr="00DB760B">
              <w:rPr>
                <w:rFonts w:ascii="Arial Narrow" w:hAnsi="Arial Narrow" w:cs="Times New Roman"/>
                <w:snapToGrid/>
                <w:sz w:val="20"/>
                <w:szCs w:val="24"/>
                <w:lang w:eastAsia="en-AU"/>
              </w:rPr>
              <w:t>.</w:t>
            </w:r>
          </w:p>
          <w:p w:rsidR="00050ADD" w:rsidRPr="00DB760B" w:rsidRDefault="00050ADD" w:rsidP="00050ADD">
            <w:pPr>
              <w:widowControl/>
              <w:jc w:val="left"/>
              <w:rPr>
                <w:rFonts w:ascii="Arial Narrow" w:hAnsi="Arial Narrow" w:cs="Times New Roman"/>
                <w:i/>
                <w:snapToGrid/>
                <w:sz w:val="20"/>
                <w:szCs w:val="24"/>
                <w:lang w:eastAsia="en-AU"/>
              </w:rPr>
            </w:pPr>
          </w:p>
          <w:p w:rsidR="00300292" w:rsidRPr="00DB760B" w:rsidRDefault="00300292" w:rsidP="00050ADD">
            <w:pPr>
              <w:widowControl/>
              <w:jc w:val="left"/>
              <w:rPr>
                <w:rFonts w:ascii="Arial Narrow" w:hAnsi="Arial Narrow" w:cs="Times New Roman"/>
                <w:i/>
                <w:snapToGrid/>
                <w:sz w:val="20"/>
                <w:szCs w:val="24"/>
                <w:u w:val="single"/>
                <w:lang w:eastAsia="en-AU"/>
              </w:rPr>
            </w:pPr>
            <w:r w:rsidRPr="00DB760B">
              <w:rPr>
                <w:rFonts w:ascii="Arial Narrow" w:hAnsi="Arial Narrow" w:cs="Times New Roman"/>
                <w:i/>
                <w:snapToGrid/>
                <w:sz w:val="20"/>
                <w:szCs w:val="24"/>
                <w:u w:val="single"/>
                <w:lang w:eastAsia="en-AU"/>
              </w:rPr>
              <w:t>Note</w:t>
            </w:r>
          </w:p>
          <w:p w:rsidR="00050ADD" w:rsidRPr="00DB760B" w:rsidRDefault="00050ADD" w:rsidP="00050ADD">
            <w:pPr>
              <w:widowControl/>
              <w:jc w:val="left"/>
              <w:rPr>
                <w:rFonts w:ascii="Arial Narrow" w:hAnsi="Arial Narrow" w:cs="Times New Roman"/>
                <w:i/>
                <w:snapToGrid/>
                <w:sz w:val="20"/>
                <w:szCs w:val="24"/>
                <w:lang w:eastAsia="en-AU"/>
              </w:rPr>
            </w:pPr>
            <w:r w:rsidRPr="00DB760B">
              <w:rPr>
                <w:rFonts w:ascii="Arial Narrow" w:hAnsi="Arial Narrow" w:cs="Times New Roman"/>
                <w:i/>
                <w:snapToGrid/>
                <w:sz w:val="20"/>
                <w:szCs w:val="24"/>
                <w:lang w:eastAsia="en-AU"/>
              </w:rPr>
              <w:t>PBS-subsidised dual oral therapy does</w:t>
            </w:r>
            <w:r w:rsidR="00300292" w:rsidRPr="00DB760B">
              <w:rPr>
                <w:rFonts w:ascii="Arial Narrow" w:hAnsi="Arial Narrow" w:cs="Times New Roman"/>
                <w:i/>
                <w:snapToGrid/>
                <w:sz w:val="20"/>
                <w:szCs w:val="24"/>
                <w:lang w:eastAsia="en-AU"/>
              </w:rPr>
              <w:t xml:space="preserve"> not include combination use of:</w:t>
            </w:r>
          </w:p>
          <w:p w:rsidR="00050ADD" w:rsidRPr="00DB760B" w:rsidRDefault="00050ADD" w:rsidP="00050ADD">
            <w:pPr>
              <w:widowControl/>
              <w:numPr>
                <w:ilvl w:val="0"/>
                <w:numId w:val="19"/>
              </w:numPr>
              <w:spacing w:after="200" w:line="276" w:lineRule="auto"/>
              <w:contextualSpacing/>
              <w:jc w:val="left"/>
              <w:rPr>
                <w:rFonts w:ascii="Arial Narrow" w:hAnsi="Arial Narrow"/>
                <w:i/>
                <w:sz w:val="20"/>
                <w:szCs w:val="20"/>
                <w:lang w:eastAsia="en-AU"/>
              </w:rPr>
            </w:pPr>
            <w:r w:rsidRPr="00DB760B">
              <w:rPr>
                <w:rFonts w:ascii="Arial Narrow" w:hAnsi="Arial Narrow"/>
                <w:i/>
                <w:sz w:val="20"/>
                <w:szCs w:val="20"/>
                <w:lang w:eastAsia="en-AU"/>
              </w:rPr>
              <w:t>a gliptin with an SGLT2 inhibitor; or</w:t>
            </w:r>
          </w:p>
          <w:p w:rsidR="00050ADD" w:rsidRPr="00DB760B" w:rsidRDefault="00050ADD" w:rsidP="00050ADD">
            <w:pPr>
              <w:widowControl/>
              <w:numPr>
                <w:ilvl w:val="0"/>
                <w:numId w:val="19"/>
              </w:numPr>
              <w:spacing w:after="200" w:line="276" w:lineRule="auto"/>
              <w:contextualSpacing/>
              <w:jc w:val="left"/>
              <w:rPr>
                <w:rFonts w:ascii="Arial Narrow" w:hAnsi="Arial Narrow"/>
                <w:i/>
                <w:snapToGrid/>
                <w:sz w:val="20"/>
                <w:szCs w:val="20"/>
                <w:lang w:eastAsia="en-AU"/>
              </w:rPr>
            </w:pPr>
            <w:r w:rsidRPr="00DB760B">
              <w:rPr>
                <w:rFonts w:ascii="Arial Narrow" w:hAnsi="Arial Narrow"/>
                <w:i/>
                <w:sz w:val="20"/>
                <w:szCs w:val="20"/>
                <w:lang w:eastAsia="en-AU"/>
              </w:rPr>
              <w:t xml:space="preserve">a gliptin with a </w:t>
            </w:r>
            <w:proofErr w:type="spellStart"/>
            <w:r w:rsidRPr="00DB760B">
              <w:rPr>
                <w:rFonts w:ascii="Arial Narrow" w:hAnsi="Arial Narrow"/>
                <w:i/>
                <w:sz w:val="20"/>
                <w:szCs w:val="20"/>
                <w:lang w:eastAsia="en-AU"/>
              </w:rPr>
              <w:t>glitazone</w:t>
            </w:r>
            <w:proofErr w:type="spellEnd"/>
            <w:r w:rsidRPr="00DB760B">
              <w:rPr>
                <w:rFonts w:ascii="Arial Narrow" w:hAnsi="Arial Narrow"/>
                <w:i/>
                <w:sz w:val="20"/>
                <w:szCs w:val="20"/>
                <w:lang w:eastAsia="en-AU"/>
              </w:rPr>
              <w:t xml:space="preserve">; or </w:t>
            </w:r>
          </w:p>
          <w:p w:rsidR="00050ADD" w:rsidRPr="00DB760B" w:rsidRDefault="00050ADD" w:rsidP="00050ADD">
            <w:pPr>
              <w:widowControl/>
              <w:numPr>
                <w:ilvl w:val="0"/>
                <w:numId w:val="19"/>
              </w:numPr>
              <w:spacing w:after="200" w:line="276" w:lineRule="auto"/>
              <w:contextualSpacing/>
              <w:jc w:val="left"/>
              <w:rPr>
                <w:rFonts w:ascii="Arial Narrow" w:hAnsi="Arial Narrow"/>
                <w:i/>
                <w:snapToGrid/>
                <w:sz w:val="20"/>
                <w:szCs w:val="20"/>
                <w:lang w:eastAsia="en-AU"/>
              </w:rPr>
            </w:pPr>
            <w:proofErr w:type="gramStart"/>
            <w:r w:rsidRPr="00DB760B">
              <w:rPr>
                <w:rFonts w:ascii="Arial Narrow" w:hAnsi="Arial Narrow"/>
                <w:i/>
                <w:sz w:val="20"/>
                <w:szCs w:val="20"/>
                <w:lang w:eastAsia="en-AU"/>
              </w:rPr>
              <w:t>an</w:t>
            </w:r>
            <w:proofErr w:type="gramEnd"/>
            <w:r w:rsidRPr="00DB760B">
              <w:rPr>
                <w:rFonts w:ascii="Arial Narrow" w:hAnsi="Arial Narrow"/>
                <w:i/>
                <w:sz w:val="20"/>
                <w:szCs w:val="20"/>
                <w:lang w:eastAsia="en-AU"/>
              </w:rPr>
              <w:t xml:space="preserve"> SGLT2 inhibitor with a </w:t>
            </w:r>
            <w:proofErr w:type="spellStart"/>
            <w:r w:rsidRPr="00DB760B">
              <w:rPr>
                <w:rFonts w:ascii="Arial Narrow" w:hAnsi="Arial Narrow"/>
                <w:i/>
                <w:sz w:val="20"/>
                <w:szCs w:val="20"/>
                <w:lang w:eastAsia="en-AU"/>
              </w:rPr>
              <w:t>glitazone</w:t>
            </w:r>
            <w:proofErr w:type="spellEnd"/>
            <w:r w:rsidRPr="00DB760B">
              <w:rPr>
                <w:rFonts w:ascii="Arial Narrow" w:hAnsi="Arial Narrow"/>
                <w:i/>
                <w:sz w:val="20"/>
                <w:szCs w:val="20"/>
                <w:lang w:eastAsia="en-AU"/>
              </w:rPr>
              <w:t>.</w:t>
            </w:r>
          </w:p>
        </w:tc>
      </w:tr>
    </w:tbl>
    <w:p w:rsidR="00050ADD" w:rsidRPr="00DB760B" w:rsidRDefault="00050ADD" w:rsidP="00301DD3">
      <w:pPr>
        <w:pStyle w:val="NoSpacing"/>
      </w:pPr>
    </w:p>
    <w:tbl>
      <w:tblPr>
        <w:tblW w:w="9072" w:type="dxa"/>
        <w:tblInd w:w="28" w:type="dxa"/>
        <w:tblLayout w:type="fixed"/>
        <w:tblLook w:val="0000" w:firstRow="0" w:lastRow="0" w:firstColumn="0" w:lastColumn="0" w:noHBand="0" w:noVBand="0"/>
      </w:tblPr>
      <w:tblGrid>
        <w:gridCol w:w="2348"/>
        <w:gridCol w:w="6724"/>
      </w:tblGrid>
      <w:tr w:rsidR="00050ADD" w:rsidRPr="00DB760B" w:rsidTr="002B4803">
        <w:trPr>
          <w:cantSplit/>
          <w:trHeight w:val="200"/>
        </w:trPr>
        <w:tc>
          <w:tcPr>
            <w:tcW w:w="2348"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Category / Program</w:t>
            </w:r>
          </w:p>
        </w:tc>
        <w:tc>
          <w:tcPr>
            <w:tcW w:w="6724"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GENER</w:t>
            </w:r>
            <w:r w:rsidR="00300292" w:rsidRPr="00DB760B">
              <w:rPr>
                <w:rFonts w:ascii="Arial Narrow" w:hAnsi="Arial Narrow"/>
                <w:snapToGrid/>
                <w:sz w:val="20"/>
                <w:szCs w:val="20"/>
                <w:lang w:eastAsia="en-AU"/>
              </w:rPr>
              <w:t>AL – General Schedule (Code GE)</w:t>
            </w:r>
          </w:p>
        </w:tc>
      </w:tr>
      <w:tr w:rsidR="00050ADD" w:rsidRPr="00DB760B" w:rsidTr="002B4803">
        <w:trPr>
          <w:cantSplit/>
          <w:trHeight w:val="103"/>
        </w:trPr>
        <w:tc>
          <w:tcPr>
            <w:tcW w:w="2348"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Prescriber type:</w:t>
            </w:r>
          </w:p>
        </w:tc>
        <w:tc>
          <w:tcPr>
            <w:tcW w:w="6724"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spacing w:before="40" w:after="40"/>
              <w:jc w:val="left"/>
              <w:rPr>
                <w:rFonts w:ascii="Arial Narrow" w:hAnsi="Arial Narrow" w:cs="Times New Roman"/>
                <w:snapToGrid/>
                <w:sz w:val="20"/>
                <w:szCs w:val="24"/>
                <w:lang w:eastAsia="en-AU"/>
              </w:rPr>
            </w:pPr>
            <w:r w:rsidRPr="00DB760B">
              <w:rPr>
                <w:rFonts w:ascii="Arial Narrow" w:hAnsi="Arial Narrow"/>
                <w:snapToGrid/>
                <w:sz w:val="20"/>
                <w:szCs w:val="20"/>
                <w:lang w:eastAsia="en-AU"/>
              </w:rPr>
              <w:fldChar w:fldCharType="begin">
                <w:ffData>
                  <w:name w:val="Check1"/>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Dental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Medical Practitioners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Nurse practitioners  </w:t>
            </w:r>
            <w:r w:rsidRPr="00DB760B">
              <w:rPr>
                <w:rFonts w:ascii="Arial Narrow" w:hAnsi="Arial Narrow"/>
                <w:snapToGrid/>
                <w:sz w:val="20"/>
                <w:szCs w:val="20"/>
                <w:lang w:eastAsia="en-AU"/>
              </w:rPr>
              <w:fldChar w:fldCharType="begin">
                <w:ffData>
                  <w:name w:val=""/>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Optometrists</w:t>
            </w:r>
            <w:r w:rsidR="00300292" w:rsidRPr="00DB760B">
              <w:rPr>
                <w:rFonts w:ascii="Arial Narrow" w:hAnsi="Arial Narrow"/>
                <w:snapToGrid/>
                <w:sz w:val="20"/>
                <w:szCs w:val="20"/>
                <w:lang w:eastAsia="en-AU"/>
              </w:rPr>
              <w:t xml:space="preserve"> </w:t>
            </w:r>
            <w:r w:rsidRPr="00DB760B">
              <w:rPr>
                <w:rFonts w:ascii="Arial Narrow" w:hAnsi="Arial Narrow"/>
                <w:snapToGrid/>
                <w:sz w:val="20"/>
                <w:szCs w:val="20"/>
                <w:lang w:eastAsia="en-AU"/>
              </w:rPr>
              <w:fldChar w:fldCharType="begin">
                <w:ffData>
                  <w:name w:val="Check5"/>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Midwives</w:t>
            </w:r>
          </w:p>
        </w:tc>
      </w:tr>
      <w:tr w:rsidR="00050ADD" w:rsidRPr="00DB760B" w:rsidTr="002B4803">
        <w:trPr>
          <w:cantSplit/>
          <w:trHeight w:val="66"/>
        </w:trPr>
        <w:tc>
          <w:tcPr>
            <w:tcW w:w="2348"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Condition:</w:t>
            </w:r>
          </w:p>
        </w:tc>
        <w:tc>
          <w:tcPr>
            <w:tcW w:w="6724"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snapToGrid/>
                <w:sz w:val="20"/>
                <w:szCs w:val="24"/>
                <w:lang w:eastAsia="en-AU"/>
              </w:rPr>
            </w:pPr>
            <w:r w:rsidRPr="00DB760B">
              <w:rPr>
                <w:rFonts w:ascii="Arial Narrow" w:hAnsi="Arial Narrow"/>
                <w:snapToGrid/>
                <w:sz w:val="20"/>
                <w:szCs w:val="20"/>
                <w:lang w:eastAsia="en-AU"/>
              </w:rPr>
              <w:t>Diabetes mellitus type 2</w:t>
            </w:r>
          </w:p>
        </w:tc>
      </w:tr>
      <w:tr w:rsidR="00050ADD" w:rsidRPr="00DB760B" w:rsidTr="002B4803">
        <w:trPr>
          <w:cantSplit/>
          <w:trHeight w:val="50"/>
        </w:trPr>
        <w:tc>
          <w:tcPr>
            <w:tcW w:w="2348"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PBS Indication:</w:t>
            </w:r>
          </w:p>
        </w:tc>
        <w:tc>
          <w:tcPr>
            <w:tcW w:w="6724"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snapToGrid/>
                <w:sz w:val="20"/>
                <w:szCs w:val="24"/>
                <w:lang w:eastAsia="en-AU"/>
              </w:rPr>
            </w:pPr>
            <w:r w:rsidRPr="00DB760B">
              <w:rPr>
                <w:rFonts w:ascii="Arial Narrow" w:hAnsi="Arial Narrow"/>
                <w:snapToGrid/>
                <w:sz w:val="20"/>
                <w:szCs w:val="20"/>
                <w:lang w:eastAsia="en-AU"/>
              </w:rPr>
              <w:t>Diabetes mellitus type 2</w:t>
            </w:r>
          </w:p>
        </w:tc>
      </w:tr>
      <w:tr w:rsidR="00050ADD" w:rsidRPr="00DB760B" w:rsidTr="002B4803">
        <w:trPr>
          <w:cantSplit/>
          <w:trHeight w:val="50"/>
        </w:trPr>
        <w:tc>
          <w:tcPr>
            <w:tcW w:w="2348"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b/>
                <w:snapToGrid/>
                <w:sz w:val="20"/>
                <w:szCs w:val="24"/>
                <w:lang w:eastAsia="en-AU"/>
              </w:rPr>
            </w:pPr>
            <w:r w:rsidRPr="00DB760B">
              <w:rPr>
                <w:rFonts w:ascii="Arial Narrow" w:hAnsi="Arial Narrow" w:cs="Times New Roman"/>
                <w:b/>
                <w:snapToGrid/>
                <w:sz w:val="20"/>
                <w:szCs w:val="24"/>
                <w:lang w:eastAsia="en-AU"/>
              </w:rPr>
              <w:t>Treatment Phase</w:t>
            </w:r>
          </w:p>
        </w:tc>
        <w:tc>
          <w:tcPr>
            <w:tcW w:w="6724"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i/>
                <w:snapToGrid/>
                <w:sz w:val="20"/>
                <w:szCs w:val="24"/>
                <w:lang w:eastAsia="en-AU"/>
              </w:rPr>
            </w:pPr>
            <w:r w:rsidRPr="00DB760B">
              <w:rPr>
                <w:rFonts w:ascii="Arial Narrow" w:hAnsi="Arial Narrow" w:cs="Times New Roman"/>
                <w:i/>
                <w:snapToGrid/>
                <w:sz w:val="20"/>
                <w:szCs w:val="24"/>
                <w:lang w:eastAsia="en-AU"/>
              </w:rPr>
              <w:t xml:space="preserve">Continuing treatment </w:t>
            </w:r>
          </w:p>
        </w:tc>
      </w:tr>
      <w:tr w:rsidR="00050ADD" w:rsidRPr="00DB760B" w:rsidTr="002B4803">
        <w:trPr>
          <w:cantSplit/>
          <w:trHeight w:val="50"/>
        </w:trPr>
        <w:tc>
          <w:tcPr>
            <w:tcW w:w="2348"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snapToGrid/>
                <w:sz w:val="20"/>
                <w:szCs w:val="24"/>
                <w:lang w:eastAsia="en-AU"/>
              </w:rPr>
            </w:pPr>
            <w:r w:rsidRPr="00DB760B">
              <w:rPr>
                <w:rFonts w:ascii="Arial Narrow" w:hAnsi="Arial Narrow" w:cs="Times New Roman"/>
                <w:b/>
                <w:snapToGrid/>
                <w:sz w:val="20"/>
                <w:szCs w:val="24"/>
                <w:lang w:eastAsia="en-AU"/>
              </w:rPr>
              <w:t xml:space="preserve">Restriction Level / </w:t>
            </w:r>
            <w:r w:rsidR="00FD2DBC" w:rsidRPr="00DB760B">
              <w:rPr>
                <w:rFonts w:ascii="Arial Narrow" w:hAnsi="Arial Narrow" w:cs="Times New Roman"/>
                <w:b/>
                <w:snapToGrid/>
                <w:sz w:val="20"/>
                <w:szCs w:val="24"/>
                <w:lang w:eastAsia="en-AU"/>
              </w:rPr>
              <w:t>M</w:t>
            </w:r>
            <w:r w:rsidRPr="00DB760B">
              <w:rPr>
                <w:rFonts w:ascii="Arial Narrow" w:hAnsi="Arial Narrow" w:cs="Times New Roman"/>
                <w:b/>
                <w:snapToGrid/>
                <w:sz w:val="20"/>
                <w:szCs w:val="24"/>
                <w:lang w:eastAsia="en-AU"/>
              </w:rPr>
              <w:t>ethod:</w:t>
            </w:r>
          </w:p>
        </w:tc>
        <w:tc>
          <w:tcPr>
            <w:tcW w:w="6724"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snapToGrid/>
                <w:sz w:val="20"/>
                <w:szCs w:val="24"/>
                <w:lang w:eastAsia="en-AU"/>
              </w:rPr>
            </w:pPr>
            <w:r w:rsidRPr="00DB760B">
              <w:rPr>
                <w:rFonts w:ascii="Arial Narrow" w:hAnsi="Arial Narrow" w:cs="Times New Roman"/>
                <w:snapToGrid/>
                <w:sz w:val="20"/>
                <w:szCs w:val="24"/>
                <w:lang w:eastAsia="en-AU"/>
              </w:rPr>
              <w:fldChar w:fldCharType="begin">
                <w:ffData>
                  <w:name w:val="Check5"/>
                  <w:enabled/>
                  <w:calcOnExit w:val="0"/>
                  <w:checkBox>
                    <w:sizeAuto/>
                    <w:default w:val="1"/>
                  </w:checkBox>
                </w:ffData>
              </w:fldChar>
            </w:r>
            <w:r w:rsidRPr="00DB760B">
              <w:rPr>
                <w:rFonts w:ascii="Arial Narrow" w:hAnsi="Arial Narrow" w:cs="Times New Roman"/>
                <w:snapToGrid/>
                <w:sz w:val="20"/>
                <w:szCs w:val="24"/>
                <w:lang w:eastAsia="en-AU"/>
              </w:rPr>
              <w:instrText xml:space="preserve"> FORMCHECKBOX </w:instrText>
            </w:r>
            <w:r w:rsidR="001B3286">
              <w:rPr>
                <w:rFonts w:ascii="Arial Narrow" w:hAnsi="Arial Narrow" w:cs="Times New Roman"/>
                <w:snapToGrid/>
                <w:sz w:val="20"/>
                <w:szCs w:val="24"/>
                <w:lang w:eastAsia="en-AU"/>
              </w:rPr>
            </w:r>
            <w:r w:rsidR="001B3286">
              <w:rPr>
                <w:rFonts w:ascii="Arial Narrow" w:hAnsi="Arial Narrow" w:cs="Times New Roman"/>
                <w:snapToGrid/>
                <w:sz w:val="20"/>
                <w:szCs w:val="24"/>
                <w:lang w:eastAsia="en-AU"/>
              </w:rPr>
              <w:fldChar w:fldCharType="separate"/>
            </w:r>
            <w:r w:rsidRPr="00DB760B">
              <w:rPr>
                <w:rFonts w:ascii="Arial Narrow" w:hAnsi="Arial Narrow" w:cs="Times New Roman"/>
                <w:snapToGrid/>
                <w:sz w:val="20"/>
                <w:szCs w:val="24"/>
                <w:lang w:eastAsia="en-AU"/>
              </w:rPr>
              <w:fldChar w:fldCharType="end"/>
            </w:r>
            <w:r w:rsidRPr="00DB760B">
              <w:rPr>
                <w:rFonts w:ascii="Arial Narrow" w:hAnsi="Arial Narrow" w:cs="Times New Roman"/>
                <w:snapToGrid/>
                <w:sz w:val="20"/>
                <w:szCs w:val="24"/>
                <w:lang w:eastAsia="en-AU"/>
              </w:rPr>
              <w:t>Authority Required (Streamlined)</w:t>
            </w:r>
          </w:p>
        </w:tc>
      </w:tr>
      <w:tr w:rsidR="00050ADD" w:rsidRPr="00DB760B" w:rsidTr="00417B53">
        <w:trPr>
          <w:cantSplit/>
          <w:trHeight w:val="360"/>
        </w:trPr>
        <w:tc>
          <w:tcPr>
            <w:tcW w:w="2348"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jc w:val="left"/>
              <w:rPr>
                <w:rFonts w:ascii="Arial Narrow" w:hAnsi="Arial Narrow" w:cs="Times New Roman"/>
                <w:b/>
                <w:snapToGrid/>
                <w:sz w:val="20"/>
                <w:szCs w:val="24"/>
                <w:lang w:eastAsia="en-AU"/>
              </w:rPr>
            </w:pPr>
            <w:r w:rsidRPr="00DB760B">
              <w:rPr>
                <w:rFonts w:ascii="Arial Narrow" w:hAnsi="Arial Narrow" w:cs="Times New Roman"/>
                <w:b/>
                <w:snapToGrid/>
                <w:sz w:val="20"/>
                <w:szCs w:val="24"/>
                <w:lang w:eastAsia="en-AU"/>
              </w:rPr>
              <w:t>Clinical criteria:</w:t>
            </w:r>
          </w:p>
          <w:p w:rsidR="00050ADD" w:rsidRPr="00DB760B" w:rsidRDefault="00050ADD" w:rsidP="001B3286">
            <w:pPr>
              <w:keepNext/>
              <w:keepLines/>
              <w:widowControl/>
              <w:jc w:val="left"/>
              <w:rPr>
                <w:rFonts w:ascii="Arial Narrow" w:hAnsi="Arial Narrow" w:cs="Times New Roman"/>
                <w:snapToGrid/>
                <w:sz w:val="20"/>
                <w:szCs w:val="24"/>
                <w:lang w:eastAsia="en-AU"/>
              </w:rPr>
            </w:pPr>
          </w:p>
          <w:p w:rsidR="00050ADD" w:rsidRPr="00DB760B" w:rsidRDefault="00050ADD" w:rsidP="001B3286">
            <w:pPr>
              <w:keepNext/>
              <w:keepLines/>
              <w:widowControl/>
              <w:jc w:val="left"/>
              <w:rPr>
                <w:rFonts w:ascii="Arial Narrow" w:hAnsi="Arial Narrow" w:cs="Times New Roman"/>
                <w:snapToGrid/>
                <w:sz w:val="20"/>
                <w:szCs w:val="24"/>
                <w:lang w:eastAsia="en-AU"/>
              </w:rPr>
            </w:pPr>
          </w:p>
        </w:tc>
        <w:tc>
          <w:tcPr>
            <w:tcW w:w="6724"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1B3286">
            <w:pPr>
              <w:keepNext/>
              <w:keepLines/>
              <w:widowControl/>
              <w:spacing w:before="40" w:after="60"/>
              <w:rPr>
                <w:rFonts w:ascii="Arial Narrow" w:eastAsia="SimSun" w:hAnsi="Arial Narrow" w:cs="Arial Narrow"/>
                <w:i/>
                <w:snapToGrid/>
                <w:sz w:val="20"/>
                <w:szCs w:val="20"/>
                <w:lang w:eastAsia="en-AU"/>
              </w:rPr>
            </w:pPr>
            <w:r w:rsidRPr="00DB760B">
              <w:rPr>
                <w:rFonts w:ascii="Arial Narrow" w:eastAsia="SimSun" w:hAnsi="Arial Narrow" w:cs="Arial Narrow"/>
                <w:i/>
                <w:snapToGrid/>
                <w:sz w:val="20"/>
                <w:szCs w:val="20"/>
                <w:lang w:eastAsia="en-AU"/>
              </w:rPr>
              <w:t>The treatment must be in combination with metformin</w:t>
            </w:r>
          </w:p>
          <w:p w:rsidR="00050ADD" w:rsidRPr="00DB760B" w:rsidRDefault="00050ADD" w:rsidP="001B3286">
            <w:pPr>
              <w:keepNext/>
              <w:keepLines/>
              <w:widowControl/>
              <w:spacing w:before="40" w:after="60"/>
              <w:rPr>
                <w:rFonts w:ascii="Arial Narrow" w:eastAsia="SimSun" w:hAnsi="Arial Narrow" w:cs="Arial Narrow"/>
                <w:i/>
                <w:snapToGrid/>
                <w:sz w:val="20"/>
                <w:szCs w:val="20"/>
                <w:lang w:eastAsia="en-AU"/>
              </w:rPr>
            </w:pPr>
            <w:r w:rsidRPr="00DB760B">
              <w:rPr>
                <w:rFonts w:ascii="Arial Narrow" w:eastAsia="SimSun" w:hAnsi="Arial Narrow" w:cs="Arial Narrow"/>
                <w:i/>
                <w:snapToGrid/>
                <w:sz w:val="20"/>
                <w:szCs w:val="20"/>
                <w:lang w:eastAsia="en-AU"/>
              </w:rPr>
              <w:t>AND</w:t>
            </w:r>
          </w:p>
          <w:p w:rsidR="00050ADD" w:rsidRPr="00DB760B" w:rsidRDefault="00050ADD" w:rsidP="001B3286">
            <w:pPr>
              <w:keepNext/>
              <w:keepLines/>
              <w:widowControl/>
              <w:spacing w:before="40" w:after="60"/>
              <w:rPr>
                <w:rFonts w:ascii="Arial Narrow" w:eastAsia="SimSun" w:hAnsi="Arial Narrow" w:cs="Arial Narrow"/>
                <w:i/>
                <w:snapToGrid/>
                <w:sz w:val="20"/>
                <w:szCs w:val="20"/>
                <w:lang w:eastAsia="en-AU"/>
              </w:rPr>
            </w:pPr>
            <w:r w:rsidRPr="00DB760B">
              <w:rPr>
                <w:rFonts w:ascii="Arial Narrow" w:eastAsia="SimSun" w:hAnsi="Arial Narrow" w:cs="Arial Narrow"/>
                <w:i/>
                <w:snapToGrid/>
                <w:sz w:val="20"/>
                <w:szCs w:val="20"/>
                <w:lang w:eastAsia="en-AU"/>
              </w:rPr>
              <w:t>The treatment must be in combination with a sodium-glucose co-transporter 2 (SGLT2) inhibitor</w:t>
            </w:r>
          </w:p>
          <w:p w:rsidR="00050ADD" w:rsidRPr="00DB760B" w:rsidRDefault="00050ADD" w:rsidP="001B3286">
            <w:pPr>
              <w:keepNext/>
              <w:keepLines/>
              <w:widowControl/>
              <w:spacing w:before="40" w:after="60"/>
              <w:rPr>
                <w:rFonts w:ascii="Arial Narrow" w:eastAsia="SimSun" w:hAnsi="Arial Narrow" w:cs="Arial Narrow"/>
                <w:i/>
                <w:snapToGrid/>
                <w:sz w:val="20"/>
                <w:szCs w:val="20"/>
                <w:lang w:eastAsia="en-AU"/>
              </w:rPr>
            </w:pPr>
            <w:r w:rsidRPr="00DB760B">
              <w:rPr>
                <w:rFonts w:ascii="Arial Narrow" w:eastAsia="SimSun" w:hAnsi="Arial Narrow" w:cs="Arial Narrow"/>
                <w:i/>
                <w:snapToGrid/>
                <w:sz w:val="20"/>
                <w:szCs w:val="20"/>
                <w:lang w:eastAsia="en-AU"/>
              </w:rPr>
              <w:t>AND</w:t>
            </w:r>
          </w:p>
          <w:p w:rsidR="00050ADD" w:rsidRPr="00DB760B" w:rsidRDefault="00050ADD" w:rsidP="001B3286">
            <w:pPr>
              <w:keepNext/>
              <w:keepLines/>
              <w:widowControl/>
              <w:jc w:val="left"/>
              <w:rPr>
                <w:rFonts w:ascii="Arial Narrow" w:hAnsi="Arial Narrow" w:cs="Times New Roman"/>
                <w:i/>
                <w:snapToGrid/>
                <w:sz w:val="20"/>
                <w:szCs w:val="24"/>
                <w:lang w:eastAsia="en-AU"/>
              </w:rPr>
            </w:pPr>
            <w:r w:rsidRPr="00DB760B">
              <w:rPr>
                <w:rFonts w:ascii="Arial Narrow" w:hAnsi="Arial Narrow" w:cs="Times New Roman"/>
                <w:i/>
                <w:snapToGrid/>
                <w:sz w:val="20"/>
                <w:szCs w:val="24"/>
                <w:lang w:eastAsia="en-AU"/>
              </w:rPr>
              <w:t xml:space="preserve">Patient must have previously received a PBS-subsidised regimen of oral diabetic medicines which included an SGLT2 inhibitor, metformin and a dipeptidyl peptidase </w:t>
            </w:r>
            <w:proofErr w:type="gramStart"/>
            <w:r w:rsidRPr="00DB760B">
              <w:rPr>
                <w:rFonts w:ascii="Arial Narrow" w:hAnsi="Arial Narrow" w:cs="Times New Roman"/>
                <w:i/>
                <w:snapToGrid/>
                <w:sz w:val="20"/>
                <w:szCs w:val="24"/>
                <w:lang w:eastAsia="en-AU"/>
              </w:rPr>
              <w:t>4 inhibit</w:t>
            </w:r>
            <w:r w:rsidR="00AE4EBF" w:rsidRPr="00DB760B">
              <w:rPr>
                <w:rFonts w:ascii="Arial Narrow" w:hAnsi="Arial Narrow" w:cs="Times New Roman"/>
                <w:i/>
                <w:snapToGrid/>
                <w:sz w:val="20"/>
                <w:szCs w:val="24"/>
                <w:lang w:eastAsia="en-AU"/>
              </w:rPr>
              <w:t>or (gliptin) for this condition</w:t>
            </w:r>
            <w:proofErr w:type="gramEnd"/>
            <w:r w:rsidR="00492B41" w:rsidRPr="00DB760B">
              <w:rPr>
                <w:rFonts w:ascii="Arial Narrow" w:hAnsi="Arial Narrow" w:cs="Times New Roman"/>
                <w:i/>
                <w:snapToGrid/>
                <w:sz w:val="20"/>
                <w:szCs w:val="24"/>
                <w:lang w:eastAsia="en-AU"/>
              </w:rPr>
              <w:t>.</w:t>
            </w:r>
          </w:p>
        </w:tc>
      </w:tr>
      <w:tr w:rsidR="00050ADD" w:rsidRPr="00DB760B" w:rsidTr="00417B53">
        <w:trPr>
          <w:cantSplit/>
          <w:trHeight w:val="360"/>
        </w:trPr>
        <w:tc>
          <w:tcPr>
            <w:tcW w:w="2348"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2B321D" w:rsidP="001B3286">
            <w:pPr>
              <w:keepNext/>
              <w:keepLines/>
              <w:widowControl/>
              <w:jc w:val="left"/>
              <w:rPr>
                <w:rFonts w:ascii="Arial Narrow" w:hAnsi="Arial Narrow" w:cs="Times New Roman"/>
                <w:b/>
                <w:snapToGrid/>
                <w:sz w:val="20"/>
                <w:szCs w:val="24"/>
                <w:lang w:eastAsia="en-AU"/>
              </w:rPr>
            </w:pPr>
            <w:r w:rsidRPr="00DB760B">
              <w:rPr>
                <w:rFonts w:ascii="Arial Narrow" w:hAnsi="Arial Narrow" w:cs="Times New Roman"/>
                <w:b/>
                <w:snapToGrid/>
                <w:sz w:val="20"/>
                <w:szCs w:val="24"/>
                <w:lang w:eastAsia="en-AU"/>
              </w:rPr>
              <w:lastRenderedPageBreak/>
              <w:t>Administrative a</w:t>
            </w:r>
            <w:r w:rsidR="00050ADD" w:rsidRPr="00DB760B">
              <w:rPr>
                <w:rFonts w:ascii="Arial Narrow" w:hAnsi="Arial Narrow" w:cs="Times New Roman"/>
                <w:b/>
                <w:snapToGrid/>
                <w:sz w:val="20"/>
                <w:szCs w:val="24"/>
                <w:lang w:eastAsia="en-AU"/>
              </w:rPr>
              <w:t>dvice</w:t>
            </w:r>
            <w:r w:rsidRPr="00DB760B">
              <w:rPr>
                <w:rFonts w:ascii="Arial Narrow" w:hAnsi="Arial Narrow" w:cs="Times New Roman"/>
                <w:b/>
                <w:snapToGrid/>
                <w:sz w:val="20"/>
                <w:szCs w:val="24"/>
                <w:lang w:eastAsia="en-AU"/>
              </w:rPr>
              <w:t>:</w:t>
            </w:r>
          </w:p>
          <w:p w:rsidR="00050ADD" w:rsidRPr="00DB760B" w:rsidRDefault="00050ADD" w:rsidP="001B3286">
            <w:pPr>
              <w:keepNext/>
              <w:keepLines/>
              <w:widowControl/>
              <w:jc w:val="left"/>
              <w:rPr>
                <w:rFonts w:ascii="Arial Narrow" w:hAnsi="Arial Narrow" w:cs="Times New Roman"/>
                <w:snapToGrid/>
                <w:sz w:val="20"/>
                <w:szCs w:val="24"/>
                <w:lang w:eastAsia="en-AU"/>
              </w:rPr>
            </w:pPr>
          </w:p>
          <w:p w:rsidR="00050ADD" w:rsidRPr="00DB760B" w:rsidRDefault="00050ADD" w:rsidP="001B3286">
            <w:pPr>
              <w:keepNext/>
              <w:keepLines/>
              <w:widowControl/>
              <w:jc w:val="left"/>
              <w:rPr>
                <w:rFonts w:ascii="Arial Narrow" w:hAnsi="Arial Narrow" w:cs="Times New Roman"/>
                <w:snapToGrid/>
                <w:sz w:val="20"/>
                <w:szCs w:val="24"/>
                <w:lang w:eastAsia="en-AU"/>
              </w:rPr>
            </w:pPr>
          </w:p>
        </w:tc>
        <w:tc>
          <w:tcPr>
            <w:tcW w:w="67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50ADD" w:rsidRPr="00DB760B" w:rsidRDefault="00050ADD" w:rsidP="001B3286">
            <w:pPr>
              <w:keepNext/>
              <w:keepLines/>
              <w:widowControl/>
              <w:spacing w:before="40" w:after="60"/>
              <w:rPr>
                <w:rFonts w:ascii="Arial Narrow" w:eastAsia="SimSun" w:hAnsi="Arial Narrow" w:cs="Arial Narrow"/>
                <w:snapToGrid/>
                <w:sz w:val="20"/>
                <w:szCs w:val="20"/>
                <w:lang w:eastAsia="en-AU"/>
              </w:rPr>
            </w:pPr>
            <w:r w:rsidRPr="00DB760B">
              <w:rPr>
                <w:rFonts w:ascii="Arial Narrow" w:eastAsia="SimSun" w:hAnsi="Arial Narrow" w:cs="Arial Narrow"/>
                <w:snapToGrid/>
                <w:sz w:val="20"/>
                <w:szCs w:val="20"/>
                <w:lang w:eastAsia="en-AU"/>
              </w:rPr>
              <w:t>Continuing Therapy Only:</w:t>
            </w:r>
          </w:p>
          <w:p w:rsidR="00050ADD" w:rsidRPr="00DB760B" w:rsidRDefault="00050ADD" w:rsidP="001B3286">
            <w:pPr>
              <w:keepNext/>
              <w:keepLines/>
              <w:widowControl/>
              <w:spacing w:before="40" w:after="60"/>
              <w:rPr>
                <w:rFonts w:ascii="Arial Narrow" w:eastAsia="SimSun" w:hAnsi="Arial Narrow" w:cs="Arial Narrow"/>
                <w:snapToGrid/>
                <w:sz w:val="20"/>
                <w:szCs w:val="20"/>
                <w:lang w:eastAsia="en-AU"/>
              </w:rPr>
            </w:pPr>
            <w:r w:rsidRPr="00DB760B">
              <w:rPr>
                <w:rFonts w:ascii="Arial Narrow" w:eastAsia="SimSun" w:hAnsi="Arial Narrow" w:cs="Arial Narrow"/>
                <w:snapToGrid/>
                <w:sz w:val="20"/>
                <w:szCs w:val="20"/>
                <w:lang w:eastAsia="en-AU"/>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050ADD" w:rsidRPr="00DB760B" w:rsidRDefault="00050ADD" w:rsidP="001B3286">
            <w:pPr>
              <w:keepNext/>
              <w:keepLines/>
              <w:widowControl/>
              <w:spacing w:before="40" w:after="60"/>
              <w:rPr>
                <w:rFonts w:ascii="Arial Narrow" w:eastAsia="SimSun" w:hAnsi="Arial Narrow" w:cs="Arial Narrow"/>
                <w:snapToGrid/>
                <w:sz w:val="20"/>
                <w:szCs w:val="20"/>
                <w:lang w:eastAsia="en-AU"/>
              </w:rPr>
            </w:pPr>
            <w:r w:rsidRPr="00DB760B">
              <w:rPr>
                <w:rFonts w:ascii="Arial Narrow" w:eastAsia="SimSun" w:hAnsi="Arial Narrow" w:cs="Arial Narrow"/>
                <w:snapToGrid/>
                <w:sz w:val="20"/>
                <w:szCs w:val="20"/>
                <w:lang w:eastAsia="en-AU"/>
              </w:rPr>
              <w:t xml:space="preserve">Note: </w:t>
            </w:r>
          </w:p>
          <w:p w:rsidR="00050ADD" w:rsidRPr="00DB760B" w:rsidRDefault="00050ADD" w:rsidP="001B3286">
            <w:pPr>
              <w:keepNext/>
              <w:keepLines/>
              <w:widowControl/>
              <w:jc w:val="left"/>
              <w:rPr>
                <w:rFonts w:ascii="Arial Narrow" w:hAnsi="Arial Narrow" w:cs="Times New Roman"/>
                <w:i/>
                <w:snapToGrid/>
                <w:sz w:val="20"/>
                <w:szCs w:val="24"/>
                <w:lang w:eastAsia="en-AU"/>
              </w:rPr>
            </w:pPr>
            <w:r w:rsidRPr="00DB760B">
              <w:rPr>
                <w:rFonts w:ascii="Arial Narrow" w:hAnsi="Arial Narrow" w:cs="Times New Roman"/>
                <w:snapToGrid/>
                <w:sz w:val="20"/>
                <w:szCs w:val="24"/>
                <w:lang w:eastAsia="en-AU"/>
              </w:rPr>
              <w:t>This drug is not PBS-subsidised for use as monotherapy or in combination with a thiazolidinedione (</w:t>
            </w:r>
            <w:proofErr w:type="spellStart"/>
            <w:r w:rsidRPr="00DB760B">
              <w:rPr>
                <w:rFonts w:ascii="Arial Narrow" w:hAnsi="Arial Narrow" w:cs="Times New Roman"/>
                <w:snapToGrid/>
                <w:sz w:val="20"/>
                <w:szCs w:val="24"/>
                <w:lang w:eastAsia="en-AU"/>
              </w:rPr>
              <w:t>glitazone</w:t>
            </w:r>
            <w:proofErr w:type="spellEnd"/>
            <w:r w:rsidRPr="00DB760B">
              <w:rPr>
                <w:rFonts w:ascii="Arial Narrow" w:hAnsi="Arial Narrow" w:cs="Times New Roman"/>
                <w:snapToGrid/>
                <w:sz w:val="20"/>
                <w:szCs w:val="24"/>
                <w:lang w:eastAsia="en-AU"/>
              </w:rPr>
              <w:t xml:space="preserve">) </w:t>
            </w:r>
            <w:r w:rsidRPr="00DB760B">
              <w:rPr>
                <w:rFonts w:ascii="Arial Narrow" w:hAnsi="Arial Narrow" w:cs="Times New Roman"/>
                <w:i/>
                <w:snapToGrid/>
                <w:sz w:val="20"/>
                <w:szCs w:val="24"/>
                <w:lang w:eastAsia="en-AU"/>
              </w:rPr>
              <w:t>or</w:t>
            </w:r>
            <w:r w:rsidRPr="00DB760B">
              <w:rPr>
                <w:rFonts w:ascii="Arial Narrow" w:hAnsi="Arial Narrow" w:cs="Times New Roman"/>
                <w:snapToGrid/>
                <w:sz w:val="20"/>
                <w:szCs w:val="24"/>
                <w:lang w:eastAsia="en-AU"/>
              </w:rPr>
              <w:t xml:space="preserve"> a glucagon-like peptide-1 analogue</w:t>
            </w:r>
            <w:r w:rsidR="00417B53" w:rsidRPr="00DB760B">
              <w:rPr>
                <w:rFonts w:ascii="Arial Narrow" w:hAnsi="Arial Narrow" w:cs="Times New Roman"/>
                <w:i/>
                <w:snapToGrid/>
                <w:sz w:val="20"/>
                <w:szCs w:val="24"/>
                <w:lang w:eastAsia="en-AU"/>
              </w:rPr>
              <w:t xml:space="preserve"> </w:t>
            </w:r>
            <w:r w:rsidR="00417B53" w:rsidRPr="00DB760B">
              <w:rPr>
                <w:rFonts w:ascii="Arial Narrow" w:hAnsi="Arial Narrow" w:cs="Times New Roman"/>
                <w:strike/>
                <w:snapToGrid/>
                <w:sz w:val="20"/>
                <w:szCs w:val="24"/>
                <w:lang w:eastAsia="en-AU"/>
              </w:rPr>
              <w:t>or an SGLT inhibitor</w:t>
            </w:r>
            <w:r w:rsidRPr="00DB760B">
              <w:rPr>
                <w:rFonts w:ascii="Arial Narrow" w:hAnsi="Arial Narrow" w:cs="Times New Roman"/>
                <w:i/>
                <w:snapToGrid/>
                <w:sz w:val="20"/>
                <w:szCs w:val="24"/>
                <w:lang w:eastAsia="en-AU"/>
              </w:rPr>
              <w:t>.</w:t>
            </w:r>
          </w:p>
          <w:p w:rsidR="00050ADD" w:rsidRPr="00DB760B" w:rsidRDefault="00050ADD" w:rsidP="001B3286">
            <w:pPr>
              <w:keepNext/>
              <w:keepLines/>
              <w:widowControl/>
              <w:jc w:val="left"/>
              <w:rPr>
                <w:rFonts w:ascii="Arial Narrow" w:hAnsi="Arial Narrow" w:cs="Times New Roman"/>
                <w:i/>
                <w:snapToGrid/>
                <w:sz w:val="20"/>
                <w:szCs w:val="24"/>
                <w:lang w:eastAsia="en-AU"/>
              </w:rPr>
            </w:pPr>
          </w:p>
          <w:p w:rsidR="00050ADD" w:rsidRPr="00DB760B" w:rsidRDefault="00050ADD" w:rsidP="001B3286">
            <w:pPr>
              <w:keepNext/>
              <w:keepLines/>
              <w:widowControl/>
              <w:jc w:val="left"/>
              <w:rPr>
                <w:rFonts w:ascii="Arial Narrow" w:hAnsi="Arial Narrow" w:cs="Times New Roman"/>
                <w:i/>
                <w:snapToGrid/>
                <w:sz w:val="20"/>
                <w:szCs w:val="24"/>
                <w:lang w:eastAsia="en-AU"/>
              </w:rPr>
            </w:pPr>
            <w:r w:rsidRPr="00DB760B">
              <w:rPr>
                <w:rFonts w:ascii="Arial Narrow" w:hAnsi="Arial Narrow" w:cs="Times New Roman"/>
                <w:i/>
                <w:snapToGrid/>
                <w:sz w:val="20"/>
                <w:szCs w:val="24"/>
                <w:lang w:eastAsia="en-AU"/>
              </w:rPr>
              <w:t>PBS-subsidised dual oral therapy does</w:t>
            </w:r>
            <w:r w:rsidR="00417B53" w:rsidRPr="00DB760B">
              <w:rPr>
                <w:rFonts w:ascii="Arial Narrow" w:hAnsi="Arial Narrow" w:cs="Times New Roman"/>
                <w:i/>
                <w:snapToGrid/>
                <w:sz w:val="20"/>
                <w:szCs w:val="24"/>
                <w:lang w:eastAsia="en-AU"/>
              </w:rPr>
              <w:t xml:space="preserve"> not include combination use of:</w:t>
            </w:r>
          </w:p>
          <w:p w:rsidR="00050ADD" w:rsidRPr="00DB760B" w:rsidRDefault="00050ADD" w:rsidP="001B3286">
            <w:pPr>
              <w:keepNext/>
              <w:keepLines/>
              <w:widowControl/>
              <w:numPr>
                <w:ilvl w:val="0"/>
                <w:numId w:val="19"/>
              </w:numPr>
              <w:spacing w:after="200" w:line="276" w:lineRule="auto"/>
              <w:contextualSpacing/>
              <w:jc w:val="left"/>
              <w:rPr>
                <w:rFonts w:ascii="Arial Narrow" w:hAnsi="Arial Narrow"/>
                <w:i/>
                <w:sz w:val="20"/>
                <w:szCs w:val="20"/>
                <w:lang w:eastAsia="en-AU"/>
              </w:rPr>
            </w:pPr>
            <w:r w:rsidRPr="00DB760B">
              <w:rPr>
                <w:rFonts w:ascii="Arial Narrow" w:hAnsi="Arial Narrow"/>
                <w:i/>
                <w:sz w:val="20"/>
                <w:szCs w:val="20"/>
                <w:lang w:eastAsia="en-AU"/>
              </w:rPr>
              <w:t>a gliptin with an SGLT2 inhibitor; or</w:t>
            </w:r>
          </w:p>
          <w:p w:rsidR="00050ADD" w:rsidRPr="00DB760B" w:rsidRDefault="00050ADD" w:rsidP="001B3286">
            <w:pPr>
              <w:keepNext/>
              <w:keepLines/>
              <w:widowControl/>
              <w:numPr>
                <w:ilvl w:val="0"/>
                <w:numId w:val="19"/>
              </w:numPr>
              <w:spacing w:after="200" w:line="276" w:lineRule="auto"/>
              <w:contextualSpacing/>
              <w:jc w:val="left"/>
              <w:rPr>
                <w:rFonts w:ascii="Arial Narrow" w:hAnsi="Arial Narrow" w:cs="Times New Roman"/>
                <w:i/>
                <w:snapToGrid/>
                <w:sz w:val="20"/>
                <w:szCs w:val="24"/>
                <w:lang w:eastAsia="en-AU"/>
              </w:rPr>
            </w:pPr>
            <w:r w:rsidRPr="00DB760B">
              <w:rPr>
                <w:rFonts w:ascii="Arial Narrow" w:hAnsi="Arial Narrow"/>
                <w:i/>
                <w:sz w:val="20"/>
                <w:szCs w:val="20"/>
                <w:lang w:eastAsia="en-AU"/>
              </w:rPr>
              <w:t xml:space="preserve">a gliptin with a </w:t>
            </w:r>
            <w:proofErr w:type="spellStart"/>
            <w:r w:rsidRPr="00DB760B">
              <w:rPr>
                <w:rFonts w:ascii="Arial Narrow" w:hAnsi="Arial Narrow"/>
                <w:i/>
                <w:sz w:val="20"/>
                <w:szCs w:val="20"/>
                <w:lang w:eastAsia="en-AU"/>
              </w:rPr>
              <w:t>glitazone</w:t>
            </w:r>
            <w:proofErr w:type="spellEnd"/>
            <w:r w:rsidRPr="00DB760B">
              <w:rPr>
                <w:rFonts w:ascii="Arial Narrow" w:hAnsi="Arial Narrow"/>
                <w:i/>
                <w:sz w:val="20"/>
                <w:szCs w:val="20"/>
                <w:lang w:eastAsia="en-AU"/>
              </w:rPr>
              <w:t xml:space="preserve">; or </w:t>
            </w:r>
          </w:p>
          <w:p w:rsidR="00050ADD" w:rsidRPr="00DB760B" w:rsidRDefault="00050ADD" w:rsidP="001B3286">
            <w:pPr>
              <w:keepNext/>
              <w:keepLines/>
              <w:widowControl/>
              <w:numPr>
                <w:ilvl w:val="0"/>
                <w:numId w:val="19"/>
              </w:numPr>
              <w:spacing w:after="200" w:line="276" w:lineRule="auto"/>
              <w:contextualSpacing/>
              <w:jc w:val="left"/>
              <w:rPr>
                <w:rFonts w:ascii="Arial Narrow" w:hAnsi="Arial Narrow" w:cs="Times New Roman"/>
                <w:i/>
                <w:snapToGrid/>
                <w:sz w:val="20"/>
                <w:szCs w:val="24"/>
                <w:lang w:eastAsia="en-AU"/>
              </w:rPr>
            </w:pPr>
            <w:proofErr w:type="gramStart"/>
            <w:r w:rsidRPr="00DB760B">
              <w:rPr>
                <w:rFonts w:ascii="Arial Narrow" w:hAnsi="Arial Narrow"/>
                <w:i/>
                <w:sz w:val="20"/>
                <w:szCs w:val="20"/>
                <w:lang w:eastAsia="en-AU"/>
              </w:rPr>
              <w:t>an</w:t>
            </w:r>
            <w:proofErr w:type="gramEnd"/>
            <w:r w:rsidRPr="00DB760B">
              <w:rPr>
                <w:rFonts w:ascii="Arial Narrow" w:hAnsi="Arial Narrow"/>
                <w:i/>
                <w:sz w:val="20"/>
                <w:szCs w:val="20"/>
                <w:lang w:eastAsia="en-AU"/>
              </w:rPr>
              <w:t xml:space="preserve"> SGLT2 inhibitor with a </w:t>
            </w:r>
            <w:proofErr w:type="spellStart"/>
            <w:r w:rsidRPr="00DB760B">
              <w:rPr>
                <w:rFonts w:ascii="Arial Narrow" w:hAnsi="Arial Narrow"/>
                <w:i/>
                <w:sz w:val="20"/>
                <w:szCs w:val="20"/>
                <w:lang w:eastAsia="en-AU"/>
              </w:rPr>
              <w:t>glitazone</w:t>
            </w:r>
            <w:proofErr w:type="spellEnd"/>
            <w:r w:rsidRPr="00DB760B">
              <w:rPr>
                <w:rFonts w:ascii="Arial Narrow" w:hAnsi="Arial Narrow"/>
                <w:i/>
                <w:sz w:val="20"/>
                <w:szCs w:val="20"/>
                <w:lang w:eastAsia="en-AU"/>
              </w:rPr>
              <w:t>.</w:t>
            </w:r>
          </w:p>
        </w:tc>
      </w:tr>
    </w:tbl>
    <w:p w:rsidR="00050ADD" w:rsidRPr="00DB760B" w:rsidRDefault="00050ADD" w:rsidP="00301DD3">
      <w:pPr>
        <w:pStyle w:val="NoSpacing"/>
      </w:pPr>
    </w:p>
    <w:tbl>
      <w:tblPr>
        <w:tblW w:w="4993"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6"/>
        <w:gridCol w:w="851"/>
        <w:gridCol w:w="851"/>
        <w:gridCol w:w="1275"/>
        <w:gridCol w:w="1417"/>
      </w:tblGrid>
      <w:tr w:rsidR="00DD4796" w:rsidRPr="00DB760B" w:rsidTr="00DD4796">
        <w:trPr>
          <w:cantSplit/>
          <w:trHeight w:val="471"/>
        </w:trPr>
        <w:tc>
          <w:tcPr>
            <w:tcW w:w="2578" w:type="pct"/>
            <w:gridSpan w:val="2"/>
            <w:tcBorders>
              <w:top w:val="nil"/>
              <w:left w:val="nil"/>
              <w:bottom w:val="single" w:sz="4" w:space="0" w:color="auto"/>
              <w:right w:val="nil"/>
            </w:tcBorders>
            <w:shd w:val="clear" w:color="auto" w:fill="auto"/>
            <w:tcMar>
              <w:left w:w="28" w:type="dxa"/>
              <w:right w:w="28" w:type="dxa"/>
            </w:tcMar>
          </w:tcPr>
          <w:p w:rsidR="00050ADD" w:rsidRPr="00DB760B" w:rsidRDefault="00050ADD"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Name, Restriction,</w:t>
            </w:r>
          </w:p>
          <w:p w:rsidR="00050ADD" w:rsidRPr="00DB760B" w:rsidRDefault="00050ADD"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Manner of administration and form</w:t>
            </w:r>
          </w:p>
        </w:tc>
        <w:tc>
          <w:tcPr>
            <w:tcW w:w="469" w:type="pct"/>
            <w:tcBorders>
              <w:top w:val="nil"/>
              <w:left w:val="nil"/>
              <w:bottom w:val="single" w:sz="4" w:space="0" w:color="auto"/>
              <w:right w:val="nil"/>
            </w:tcBorders>
            <w:shd w:val="clear" w:color="auto" w:fill="auto"/>
            <w:tcMar>
              <w:left w:w="28" w:type="dxa"/>
              <w:right w:w="28" w:type="dxa"/>
            </w:tcMar>
          </w:tcPr>
          <w:p w:rsidR="00050ADD" w:rsidRPr="00DB760B" w:rsidRDefault="00050ADD" w:rsidP="00417B53">
            <w:pPr>
              <w:widowControl/>
              <w:jc w:val="center"/>
              <w:rPr>
                <w:rFonts w:ascii="Arial Narrow" w:hAnsi="Arial Narrow" w:cs="Times New Roman"/>
                <w:b/>
                <w:snapToGrid/>
                <w:sz w:val="20"/>
                <w:szCs w:val="20"/>
              </w:rPr>
            </w:pPr>
            <w:r w:rsidRPr="00DB760B">
              <w:rPr>
                <w:rFonts w:ascii="Arial Narrow" w:hAnsi="Arial Narrow" w:cs="Times New Roman"/>
                <w:b/>
                <w:snapToGrid/>
                <w:sz w:val="20"/>
                <w:szCs w:val="20"/>
              </w:rPr>
              <w:t>Max</w:t>
            </w:r>
            <w:r w:rsidR="00417B53" w:rsidRPr="00DB760B">
              <w:rPr>
                <w:rFonts w:ascii="Arial Narrow" w:hAnsi="Arial Narrow" w:cs="Times New Roman"/>
                <w:b/>
                <w:snapToGrid/>
                <w:sz w:val="20"/>
                <w:szCs w:val="20"/>
              </w:rPr>
              <w:t xml:space="preserve"> </w:t>
            </w:r>
            <w:proofErr w:type="spellStart"/>
            <w:r w:rsidR="00417B53" w:rsidRPr="00DB760B">
              <w:rPr>
                <w:rFonts w:ascii="Arial Narrow" w:hAnsi="Arial Narrow" w:cs="Times New Roman"/>
                <w:b/>
                <w:snapToGrid/>
                <w:sz w:val="20"/>
                <w:szCs w:val="20"/>
              </w:rPr>
              <w:t>qty</w:t>
            </w:r>
            <w:proofErr w:type="spellEnd"/>
            <w:r w:rsidR="00417B53" w:rsidRPr="00DB760B">
              <w:rPr>
                <w:rFonts w:ascii="Arial Narrow" w:hAnsi="Arial Narrow" w:cs="Times New Roman"/>
                <w:b/>
                <w:snapToGrid/>
                <w:sz w:val="20"/>
                <w:szCs w:val="20"/>
              </w:rPr>
              <w:t xml:space="preserve"> packs</w:t>
            </w:r>
          </w:p>
        </w:tc>
        <w:tc>
          <w:tcPr>
            <w:tcW w:w="469" w:type="pct"/>
            <w:tcBorders>
              <w:top w:val="nil"/>
              <w:left w:val="nil"/>
              <w:bottom w:val="single" w:sz="4" w:space="0" w:color="auto"/>
              <w:right w:val="nil"/>
            </w:tcBorders>
            <w:shd w:val="clear" w:color="auto" w:fill="auto"/>
            <w:tcMar>
              <w:left w:w="28" w:type="dxa"/>
              <w:right w:w="28" w:type="dxa"/>
            </w:tcMar>
          </w:tcPr>
          <w:p w:rsidR="00050ADD" w:rsidRPr="00DB760B" w:rsidRDefault="00050ADD" w:rsidP="00417B53">
            <w:pPr>
              <w:widowControl/>
              <w:jc w:val="center"/>
              <w:rPr>
                <w:rFonts w:ascii="Arial Narrow" w:hAnsi="Arial Narrow" w:cs="Times New Roman"/>
                <w:b/>
                <w:snapToGrid/>
                <w:sz w:val="20"/>
                <w:szCs w:val="20"/>
              </w:rPr>
            </w:pPr>
            <w:r w:rsidRPr="00DB760B">
              <w:rPr>
                <w:rFonts w:ascii="Arial Narrow" w:hAnsi="Arial Narrow" w:cs="Times New Roman"/>
                <w:b/>
                <w:snapToGrid/>
                <w:sz w:val="20"/>
                <w:szCs w:val="20"/>
              </w:rPr>
              <w:t>N</w:t>
            </w:r>
            <w:r w:rsidR="00417B53" w:rsidRPr="00DB760B">
              <w:rPr>
                <w:rFonts w:ascii="Arial Narrow" w:hAnsi="Arial Narrow" w:cs="Times New Roman"/>
                <w:b/>
                <w:snapToGrid/>
                <w:sz w:val="20"/>
                <w:szCs w:val="20"/>
              </w:rPr>
              <w:t xml:space="preserve">o. </w:t>
            </w:r>
            <w:r w:rsidRPr="00DB760B">
              <w:rPr>
                <w:rFonts w:ascii="Arial Narrow" w:hAnsi="Arial Narrow" w:cs="Times New Roman"/>
                <w:b/>
                <w:snapToGrid/>
                <w:sz w:val="20"/>
                <w:szCs w:val="20"/>
              </w:rPr>
              <w:t>of repeats</w:t>
            </w:r>
          </w:p>
        </w:tc>
        <w:tc>
          <w:tcPr>
            <w:tcW w:w="1483" w:type="pct"/>
            <w:gridSpan w:val="2"/>
            <w:tcBorders>
              <w:top w:val="nil"/>
              <w:left w:val="nil"/>
              <w:bottom w:val="single" w:sz="4" w:space="0" w:color="auto"/>
              <w:right w:val="nil"/>
            </w:tcBorders>
            <w:shd w:val="clear" w:color="auto" w:fill="auto"/>
            <w:tcMar>
              <w:left w:w="28" w:type="dxa"/>
              <w:right w:w="28" w:type="dxa"/>
            </w:tcMar>
          </w:tcPr>
          <w:p w:rsidR="00050ADD" w:rsidRPr="00DB760B" w:rsidRDefault="00050ADD"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Proprietary Name and Manufacturer</w:t>
            </w:r>
          </w:p>
        </w:tc>
      </w:tr>
      <w:tr w:rsidR="00DD4796" w:rsidRPr="00DB760B" w:rsidTr="00DD4796">
        <w:trPr>
          <w:cantSplit/>
          <w:trHeight w:val="241"/>
        </w:trPr>
        <w:tc>
          <w:tcPr>
            <w:tcW w:w="2578" w:type="pct"/>
            <w:gridSpan w:val="2"/>
            <w:tcBorders>
              <w:left w:val="nil"/>
              <w:bottom w:val="nil"/>
              <w:right w:val="nil"/>
            </w:tcBorders>
            <w:shd w:val="clear" w:color="auto" w:fill="auto"/>
            <w:tcMar>
              <w:left w:w="28" w:type="dxa"/>
              <w:right w:w="28" w:type="dxa"/>
            </w:tcMar>
          </w:tcPr>
          <w:p w:rsidR="00417B53" w:rsidRPr="00DB760B" w:rsidRDefault="00DD4796" w:rsidP="00050ADD">
            <w:pPr>
              <w:widowControl/>
              <w:jc w:val="left"/>
              <w:rPr>
                <w:rFonts w:ascii="Arial Narrow" w:hAnsi="Arial Narrow" w:cs="Times New Roman"/>
                <w:snapToGrid/>
                <w:sz w:val="20"/>
                <w:szCs w:val="20"/>
              </w:rPr>
            </w:pPr>
            <w:proofErr w:type="spellStart"/>
            <w:r w:rsidRPr="00DB760B">
              <w:rPr>
                <w:rFonts w:ascii="Arial Narrow" w:hAnsi="Arial Narrow" w:cs="Times New Roman"/>
                <w:smallCaps/>
                <w:snapToGrid/>
                <w:sz w:val="20"/>
                <w:szCs w:val="20"/>
              </w:rPr>
              <w:t>Sitagliptin</w:t>
            </w:r>
            <w:proofErr w:type="spellEnd"/>
            <w:r w:rsidRPr="00DB760B">
              <w:rPr>
                <w:rFonts w:ascii="Arial Narrow" w:hAnsi="Arial Narrow" w:cs="Times New Roman"/>
                <w:smallCaps/>
                <w:snapToGrid/>
                <w:sz w:val="20"/>
                <w:szCs w:val="20"/>
              </w:rPr>
              <w:t xml:space="preserve"> with</w:t>
            </w:r>
            <w:r w:rsidRPr="00DB760B">
              <w:rPr>
                <w:rFonts w:ascii="Arial Narrow" w:hAnsi="Arial Narrow" w:cs="Times New Roman"/>
                <w:snapToGrid/>
                <w:sz w:val="20"/>
                <w:szCs w:val="20"/>
              </w:rPr>
              <w:t xml:space="preserve"> M</w:t>
            </w:r>
            <w:r w:rsidRPr="00DB760B">
              <w:rPr>
                <w:rFonts w:ascii="Arial Narrow" w:hAnsi="Arial Narrow" w:cs="Times New Roman"/>
                <w:smallCaps/>
                <w:snapToGrid/>
                <w:sz w:val="20"/>
                <w:szCs w:val="20"/>
              </w:rPr>
              <w:t>etformin</w:t>
            </w:r>
          </w:p>
          <w:p w:rsidR="00417B53" w:rsidRPr="00DB760B" w:rsidRDefault="00417B53" w:rsidP="00DD4796">
            <w:pPr>
              <w:widowControl/>
              <w:jc w:val="left"/>
              <w:rPr>
                <w:rFonts w:ascii="Arial Narrow" w:hAnsi="Arial Narrow" w:cs="Times New Roman"/>
                <w:i/>
                <w:snapToGrid/>
                <w:sz w:val="20"/>
                <w:szCs w:val="20"/>
              </w:rPr>
            </w:pPr>
            <w:proofErr w:type="spellStart"/>
            <w:r w:rsidRPr="00DB760B">
              <w:rPr>
                <w:rFonts w:ascii="Arial Narrow" w:hAnsi="Arial Narrow" w:cs="Times New Roman"/>
                <w:i/>
                <w:snapToGrid/>
                <w:sz w:val="20"/>
                <w:szCs w:val="20"/>
              </w:rPr>
              <w:t>sitagliptin</w:t>
            </w:r>
            <w:proofErr w:type="spellEnd"/>
            <w:r w:rsidRPr="00DB760B">
              <w:rPr>
                <w:rFonts w:ascii="Arial Narrow" w:hAnsi="Arial Narrow" w:cs="Times New Roman"/>
                <w:i/>
                <w:snapToGrid/>
                <w:sz w:val="20"/>
                <w:szCs w:val="20"/>
              </w:rPr>
              <w:t xml:space="preserve"> 50 mg + metformin </w:t>
            </w:r>
            <w:r w:rsidRPr="00DB760B">
              <w:rPr>
                <w:rFonts w:ascii="Arial Narrow" w:hAnsi="Arial Narrow"/>
                <w:i/>
                <w:snapToGrid/>
                <w:sz w:val="20"/>
                <w:szCs w:val="20"/>
                <w:lang w:eastAsia="en-AU"/>
              </w:rPr>
              <w:t>500 mg tablet</w:t>
            </w:r>
            <w:r w:rsidRPr="00DB760B">
              <w:rPr>
                <w:rFonts w:ascii="Arial Narrow" w:hAnsi="Arial Narrow" w:cs="Times New Roman"/>
                <w:i/>
                <w:snapToGrid/>
                <w:sz w:val="20"/>
                <w:szCs w:val="20"/>
              </w:rPr>
              <w:t>, 56</w:t>
            </w:r>
          </w:p>
        </w:tc>
        <w:tc>
          <w:tcPr>
            <w:tcW w:w="469" w:type="pct"/>
            <w:tcBorders>
              <w:left w:val="nil"/>
              <w:bottom w:val="nil"/>
              <w:right w:val="nil"/>
            </w:tcBorders>
            <w:shd w:val="clear" w:color="auto" w:fill="auto"/>
            <w:tcMar>
              <w:left w:w="28" w:type="dxa"/>
              <w:right w:w="28" w:type="dxa"/>
            </w:tcMar>
          </w:tcPr>
          <w:p w:rsidR="00417B53" w:rsidRPr="00DB760B" w:rsidRDefault="00417B53" w:rsidP="00417B53">
            <w:pPr>
              <w:widowControl/>
              <w:jc w:val="center"/>
              <w:rPr>
                <w:rFonts w:ascii="Arial Narrow" w:hAnsi="Arial Narrow" w:cs="Times New Roman"/>
                <w:snapToGrid/>
                <w:sz w:val="20"/>
                <w:szCs w:val="20"/>
              </w:rPr>
            </w:pPr>
          </w:p>
          <w:p w:rsidR="00417B53" w:rsidRPr="00DB760B" w:rsidRDefault="00417B53" w:rsidP="00417B53">
            <w:pPr>
              <w:widowControl/>
              <w:jc w:val="center"/>
              <w:rPr>
                <w:rFonts w:ascii="Arial Narrow" w:hAnsi="Arial Narrow" w:cs="Times New Roman"/>
                <w:snapToGrid/>
                <w:sz w:val="20"/>
                <w:szCs w:val="20"/>
              </w:rPr>
            </w:pPr>
            <w:r w:rsidRPr="00DB760B">
              <w:rPr>
                <w:rFonts w:ascii="Arial Narrow" w:hAnsi="Arial Narrow" w:cs="Times New Roman"/>
                <w:snapToGrid/>
                <w:sz w:val="20"/>
                <w:szCs w:val="20"/>
              </w:rPr>
              <w:t>1</w:t>
            </w:r>
          </w:p>
        </w:tc>
        <w:tc>
          <w:tcPr>
            <w:tcW w:w="469" w:type="pct"/>
            <w:tcBorders>
              <w:left w:val="nil"/>
              <w:bottom w:val="nil"/>
              <w:right w:val="nil"/>
            </w:tcBorders>
            <w:shd w:val="clear" w:color="auto" w:fill="auto"/>
            <w:tcMar>
              <w:left w:w="28" w:type="dxa"/>
              <w:right w:w="28" w:type="dxa"/>
            </w:tcMar>
          </w:tcPr>
          <w:p w:rsidR="00417B53" w:rsidRPr="00DB760B" w:rsidRDefault="00417B53" w:rsidP="00417B53">
            <w:pPr>
              <w:widowControl/>
              <w:jc w:val="center"/>
              <w:rPr>
                <w:rFonts w:ascii="Arial Narrow" w:hAnsi="Arial Narrow" w:cs="Times New Roman"/>
                <w:snapToGrid/>
                <w:sz w:val="20"/>
                <w:szCs w:val="20"/>
              </w:rPr>
            </w:pPr>
          </w:p>
          <w:p w:rsidR="00417B53" w:rsidRPr="00DB760B" w:rsidRDefault="00417B53" w:rsidP="00417B53">
            <w:pPr>
              <w:widowControl/>
              <w:jc w:val="center"/>
              <w:rPr>
                <w:rFonts w:ascii="Arial Narrow" w:hAnsi="Arial Narrow" w:cs="Times New Roman"/>
                <w:snapToGrid/>
                <w:sz w:val="20"/>
                <w:szCs w:val="20"/>
              </w:rPr>
            </w:pPr>
            <w:r w:rsidRPr="00DB760B">
              <w:rPr>
                <w:rFonts w:ascii="Arial Narrow" w:hAnsi="Arial Narrow" w:cs="Times New Roman"/>
                <w:snapToGrid/>
                <w:sz w:val="20"/>
                <w:szCs w:val="20"/>
              </w:rPr>
              <w:t>5</w:t>
            </w:r>
          </w:p>
        </w:tc>
        <w:tc>
          <w:tcPr>
            <w:tcW w:w="703" w:type="pct"/>
            <w:vMerge w:val="restart"/>
            <w:tcBorders>
              <w:left w:val="nil"/>
              <w:right w:val="nil"/>
            </w:tcBorders>
            <w:shd w:val="clear" w:color="auto" w:fill="auto"/>
            <w:tcMar>
              <w:left w:w="28" w:type="dxa"/>
              <w:right w:w="28" w:type="dxa"/>
            </w:tcMar>
          </w:tcPr>
          <w:p w:rsidR="00417B53" w:rsidRPr="00DB760B" w:rsidRDefault="00417B53" w:rsidP="00050ADD">
            <w:pPr>
              <w:widowControl/>
              <w:jc w:val="left"/>
              <w:rPr>
                <w:rFonts w:ascii="Arial Narrow" w:hAnsi="Arial Narrow" w:cs="Times New Roman"/>
                <w:snapToGrid/>
                <w:sz w:val="20"/>
                <w:szCs w:val="20"/>
              </w:rPr>
            </w:pPr>
          </w:p>
          <w:p w:rsidR="00417B53" w:rsidRDefault="00417B53" w:rsidP="00050ADD">
            <w:pPr>
              <w:widowControl/>
              <w:jc w:val="left"/>
              <w:rPr>
                <w:rFonts w:ascii="Arial Narrow" w:hAnsi="Arial Narrow" w:cs="Times New Roman"/>
                <w:snapToGrid/>
                <w:sz w:val="20"/>
                <w:szCs w:val="20"/>
                <w:vertAlign w:val="superscript"/>
              </w:rPr>
            </w:pPr>
            <w:proofErr w:type="spellStart"/>
            <w:r w:rsidRPr="00DB760B">
              <w:rPr>
                <w:rFonts w:ascii="Arial Narrow" w:hAnsi="Arial Narrow" w:cs="Times New Roman"/>
                <w:snapToGrid/>
                <w:sz w:val="20"/>
                <w:szCs w:val="20"/>
              </w:rPr>
              <w:t>Janumet</w:t>
            </w:r>
            <w:proofErr w:type="spellEnd"/>
            <w:r w:rsidRPr="00DB760B">
              <w:rPr>
                <w:rFonts w:ascii="Arial Narrow" w:hAnsi="Arial Narrow" w:cs="Times New Roman"/>
                <w:snapToGrid/>
                <w:sz w:val="20"/>
                <w:szCs w:val="20"/>
              </w:rPr>
              <w:t xml:space="preserve"> </w:t>
            </w:r>
            <w:r w:rsidRPr="00DB760B">
              <w:rPr>
                <w:rFonts w:ascii="Arial Narrow" w:hAnsi="Arial Narrow" w:cs="Times New Roman"/>
                <w:snapToGrid/>
                <w:sz w:val="20"/>
                <w:szCs w:val="20"/>
                <w:vertAlign w:val="superscript"/>
              </w:rPr>
              <w:t>®</w:t>
            </w:r>
          </w:p>
          <w:p w:rsidR="001B3286" w:rsidRDefault="001B3286" w:rsidP="00050ADD">
            <w:pPr>
              <w:widowControl/>
              <w:jc w:val="left"/>
              <w:rPr>
                <w:rFonts w:ascii="Arial Narrow" w:hAnsi="Arial Narrow" w:cs="Times New Roman"/>
                <w:snapToGrid/>
                <w:sz w:val="20"/>
                <w:szCs w:val="20"/>
                <w:vertAlign w:val="superscript"/>
              </w:rPr>
            </w:pPr>
          </w:p>
          <w:p w:rsidR="001B3286" w:rsidRDefault="001B3286" w:rsidP="00050ADD">
            <w:pPr>
              <w:widowControl/>
              <w:jc w:val="left"/>
              <w:rPr>
                <w:rFonts w:ascii="Arial Narrow" w:hAnsi="Arial Narrow" w:cs="Times New Roman"/>
                <w:snapToGrid/>
                <w:sz w:val="20"/>
                <w:szCs w:val="20"/>
                <w:vertAlign w:val="superscript"/>
              </w:rPr>
            </w:pPr>
          </w:p>
          <w:p w:rsidR="001B3286" w:rsidRPr="001B3286" w:rsidRDefault="001B3286" w:rsidP="00050ADD">
            <w:pPr>
              <w:widowControl/>
              <w:jc w:val="left"/>
              <w:rPr>
                <w:rFonts w:ascii="Arial Narrow" w:hAnsi="Arial Narrow" w:cs="Times New Roman"/>
                <w:snapToGrid/>
                <w:sz w:val="20"/>
                <w:szCs w:val="20"/>
                <w:vertAlign w:val="superscript"/>
              </w:rPr>
            </w:pPr>
          </w:p>
          <w:p w:rsidR="002B4803" w:rsidRPr="00DB760B" w:rsidRDefault="002B4803" w:rsidP="00050ADD">
            <w:pPr>
              <w:widowControl/>
              <w:jc w:val="left"/>
              <w:rPr>
                <w:rFonts w:ascii="Arial Narrow" w:hAnsi="Arial Narrow" w:cs="Times New Roman"/>
                <w:snapToGrid/>
                <w:sz w:val="20"/>
                <w:szCs w:val="20"/>
              </w:rPr>
            </w:pPr>
            <w:proofErr w:type="spellStart"/>
            <w:r w:rsidRPr="00DB760B">
              <w:rPr>
                <w:rFonts w:ascii="Arial Narrow" w:hAnsi="Arial Narrow" w:cs="Times New Roman"/>
                <w:snapToGrid/>
                <w:sz w:val="20"/>
                <w:szCs w:val="20"/>
              </w:rPr>
              <w:t>Janumet</w:t>
            </w:r>
            <w:proofErr w:type="spellEnd"/>
            <w:r w:rsidRPr="00DB760B">
              <w:rPr>
                <w:rFonts w:ascii="Arial Narrow" w:hAnsi="Arial Narrow" w:cs="Times New Roman"/>
                <w:snapToGrid/>
                <w:sz w:val="20"/>
                <w:szCs w:val="20"/>
              </w:rPr>
              <w:t xml:space="preserve"> XR </w:t>
            </w:r>
            <w:r w:rsidRPr="00DB760B">
              <w:rPr>
                <w:rFonts w:ascii="Arial Narrow" w:hAnsi="Arial Narrow" w:cs="Times New Roman"/>
                <w:snapToGrid/>
                <w:sz w:val="20"/>
                <w:szCs w:val="20"/>
                <w:vertAlign w:val="superscript"/>
              </w:rPr>
              <w:t>®</w:t>
            </w:r>
          </w:p>
        </w:tc>
        <w:tc>
          <w:tcPr>
            <w:tcW w:w="780" w:type="pct"/>
            <w:vMerge w:val="restart"/>
            <w:tcBorders>
              <w:left w:val="nil"/>
              <w:right w:val="nil"/>
            </w:tcBorders>
            <w:shd w:val="clear" w:color="auto" w:fill="auto"/>
            <w:tcMar>
              <w:left w:w="28" w:type="dxa"/>
              <w:right w:w="28" w:type="dxa"/>
            </w:tcMar>
          </w:tcPr>
          <w:p w:rsidR="00417B53" w:rsidRPr="00DB760B" w:rsidRDefault="00417B53" w:rsidP="00050ADD">
            <w:pPr>
              <w:widowControl/>
              <w:jc w:val="left"/>
              <w:rPr>
                <w:rFonts w:ascii="Arial Narrow" w:hAnsi="Arial Narrow" w:cs="Times New Roman"/>
                <w:snapToGrid/>
                <w:sz w:val="20"/>
                <w:szCs w:val="20"/>
              </w:rPr>
            </w:pPr>
          </w:p>
          <w:p w:rsidR="00417B53" w:rsidRPr="00DB760B" w:rsidRDefault="00417B5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Merck, Sharp &amp; Dohme</w:t>
            </w:r>
          </w:p>
          <w:p w:rsidR="002B4803" w:rsidRPr="00DB760B" w:rsidRDefault="002B4803" w:rsidP="00050ADD">
            <w:pPr>
              <w:widowControl/>
              <w:jc w:val="left"/>
              <w:rPr>
                <w:rFonts w:ascii="Arial Narrow" w:hAnsi="Arial Narrow" w:cs="Times New Roman"/>
                <w:snapToGrid/>
                <w:sz w:val="20"/>
                <w:szCs w:val="20"/>
              </w:rPr>
            </w:pPr>
          </w:p>
          <w:p w:rsidR="002B4803" w:rsidRPr="00DB760B" w:rsidRDefault="002B4803" w:rsidP="00050ADD">
            <w:pPr>
              <w:widowControl/>
              <w:jc w:val="left"/>
              <w:rPr>
                <w:rFonts w:ascii="Arial Narrow" w:hAnsi="Arial Narrow" w:cs="Times New Roman"/>
                <w:snapToGrid/>
                <w:sz w:val="20"/>
                <w:szCs w:val="20"/>
              </w:rPr>
            </w:pP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Merck, Sharp &amp; Dohme</w:t>
            </w:r>
          </w:p>
        </w:tc>
      </w:tr>
      <w:tr w:rsidR="00DD4796" w:rsidRPr="00DB760B" w:rsidTr="00DD4796">
        <w:trPr>
          <w:cantSplit/>
          <w:trHeight w:val="63"/>
        </w:trPr>
        <w:tc>
          <w:tcPr>
            <w:tcW w:w="2578" w:type="pct"/>
            <w:gridSpan w:val="2"/>
            <w:tcBorders>
              <w:top w:val="nil"/>
              <w:left w:val="nil"/>
              <w:bottom w:val="nil"/>
              <w:right w:val="nil"/>
            </w:tcBorders>
            <w:shd w:val="clear" w:color="auto" w:fill="auto"/>
            <w:tcMar>
              <w:left w:w="28" w:type="dxa"/>
              <w:right w:w="28" w:type="dxa"/>
            </w:tcMar>
          </w:tcPr>
          <w:p w:rsidR="00417B53" w:rsidRPr="00DB760B" w:rsidRDefault="00417B53" w:rsidP="00DD4796">
            <w:pPr>
              <w:widowControl/>
              <w:jc w:val="left"/>
              <w:rPr>
                <w:rFonts w:ascii="Arial Narrow" w:hAnsi="Arial Narrow" w:cs="Times New Roman"/>
                <w:i/>
                <w:snapToGrid/>
                <w:sz w:val="20"/>
                <w:szCs w:val="20"/>
              </w:rPr>
            </w:pPr>
            <w:proofErr w:type="spellStart"/>
            <w:r w:rsidRPr="00DB760B">
              <w:rPr>
                <w:rFonts w:ascii="Arial Narrow" w:hAnsi="Arial Narrow" w:cs="Times New Roman"/>
                <w:i/>
                <w:snapToGrid/>
                <w:sz w:val="20"/>
                <w:szCs w:val="20"/>
              </w:rPr>
              <w:t>sitagliptin</w:t>
            </w:r>
            <w:proofErr w:type="spellEnd"/>
            <w:r w:rsidRPr="00DB760B">
              <w:rPr>
                <w:rFonts w:ascii="Arial Narrow" w:hAnsi="Arial Narrow" w:cs="Times New Roman"/>
                <w:i/>
                <w:snapToGrid/>
                <w:sz w:val="20"/>
                <w:szCs w:val="20"/>
              </w:rPr>
              <w:t xml:space="preserve"> 50 mg + metformin 850 mg tablet, 56</w:t>
            </w:r>
          </w:p>
        </w:tc>
        <w:tc>
          <w:tcPr>
            <w:tcW w:w="469" w:type="pct"/>
            <w:tcBorders>
              <w:top w:val="nil"/>
              <w:left w:val="nil"/>
              <w:bottom w:val="nil"/>
              <w:right w:val="nil"/>
            </w:tcBorders>
            <w:shd w:val="clear" w:color="auto" w:fill="auto"/>
            <w:tcMar>
              <w:left w:w="28" w:type="dxa"/>
              <w:right w:w="28" w:type="dxa"/>
            </w:tcMar>
          </w:tcPr>
          <w:p w:rsidR="00417B53" w:rsidRPr="00DB760B" w:rsidRDefault="00417B53" w:rsidP="00417B53">
            <w:pPr>
              <w:widowControl/>
              <w:jc w:val="center"/>
              <w:rPr>
                <w:rFonts w:ascii="Arial Narrow" w:hAnsi="Arial Narrow" w:cs="Times New Roman"/>
                <w:snapToGrid/>
                <w:sz w:val="20"/>
                <w:szCs w:val="20"/>
              </w:rPr>
            </w:pPr>
            <w:r w:rsidRPr="00DB760B">
              <w:rPr>
                <w:rFonts w:ascii="Arial Narrow" w:hAnsi="Arial Narrow" w:cs="Times New Roman"/>
                <w:snapToGrid/>
                <w:sz w:val="20"/>
                <w:szCs w:val="20"/>
              </w:rPr>
              <w:t>1</w:t>
            </w:r>
          </w:p>
        </w:tc>
        <w:tc>
          <w:tcPr>
            <w:tcW w:w="469" w:type="pct"/>
            <w:tcBorders>
              <w:top w:val="nil"/>
              <w:left w:val="nil"/>
              <w:bottom w:val="nil"/>
              <w:right w:val="nil"/>
            </w:tcBorders>
            <w:shd w:val="clear" w:color="auto" w:fill="auto"/>
            <w:tcMar>
              <w:left w:w="28" w:type="dxa"/>
              <w:right w:w="28" w:type="dxa"/>
            </w:tcMar>
          </w:tcPr>
          <w:p w:rsidR="00417B53" w:rsidRPr="00DB760B" w:rsidRDefault="00417B53" w:rsidP="00417B53">
            <w:pPr>
              <w:widowControl/>
              <w:jc w:val="center"/>
              <w:rPr>
                <w:rFonts w:ascii="Arial Narrow" w:hAnsi="Arial Narrow" w:cs="Times New Roman"/>
                <w:snapToGrid/>
                <w:sz w:val="20"/>
                <w:szCs w:val="20"/>
              </w:rPr>
            </w:pPr>
            <w:r w:rsidRPr="00DB760B">
              <w:rPr>
                <w:rFonts w:ascii="Arial Narrow" w:hAnsi="Arial Narrow" w:cs="Times New Roman"/>
                <w:snapToGrid/>
                <w:sz w:val="20"/>
                <w:szCs w:val="20"/>
              </w:rPr>
              <w:t>5</w:t>
            </w:r>
          </w:p>
        </w:tc>
        <w:tc>
          <w:tcPr>
            <w:tcW w:w="703" w:type="pct"/>
            <w:vMerge/>
            <w:tcBorders>
              <w:left w:val="nil"/>
              <w:right w:val="nil"/>
            </w:tcBorders>
            <w:shd w:val="clear" w:color="auto" w:fill="auto"/>
            <w:tcMar>
              <w:left w:w="28" w:type="dxa"/>
              <w:right w:w="28" w:type="dxa"/>
            </w:tcMar>
          </w:tcPr>
          <w:p w:rsidR="00417B53" w:rsidRPr="00DB760B" w:rsidRDefault="00417B53" w:rsidP="00050ADD">
            <w:pPr>
              <w:widowControl/>
              <w:jc w:val="left"/>
              <w:rPr>
                <w:rFonts w:ascii="Arial Narrow" w:hAnsi="Arial Narrow" w:cs="Times New Roman"/>
                <w:snapToGrid/>
                <w:sz w:val="20"/>
                <w:szCs w:val="20"/>
              </w:rPr>
            </w:pPr>
          </w:p>
        </w:tc>
        <w:tc>
          <w:tcPr>
            <w:tcW w:w="780" w:type="pct"/>
            <w:vMerge/>
            <w:tcBorders>
              <w:left w:val="nil"/>
              <w:right w:val="nil"/>
            </w:tcBorders>
            <w:shd w:val="clear" w:color="auto" w:fill="auto"/>
          </w:tcPr>
          <w:p w:rsidR="00417B53" w:rsidRPr="00DB760B" w:rsidRDefault="00417B53" w:rsidP="00050ADD">
            <w:pPr>
              <w:widowControl/>
              <w:jc w:val="left"/>
              <w:rPr>
                <w:rFonts w:ascii="Arial Narrow" w:hAnsi="Arial Narrow" w:cs="Times New Roman"/>
                <w:snapToGrid/>
                <w:sz w:val="20"/>
                <w:szCs w:val="20"/>
              </w:rPr>
            </w:pPr>
          </w:p>
        </w:tc>
      </w:tr>
      <w:tr w:rsidR="00DD4796" w:rsidRPr="00DB760B" w:rsidTr="00DD4796">
        <w:trPr>
          <w:cantSplit/>
          <w:trHeight w:val="96"/>
        </w:trPr>
        <w:tc>
          <w:tcPr>
            <w:tcW w:w="2578" w:type="pct"/>
            <w:gridSpan w:val="2"/>
            <w:tcBorders>
              <w:top w:val="nil"/>
              <w:left w:val="nil"/>
              <w:right w:val="nil"/>
            </w:tcBorders>
            <w:shd w:val="clear" w:color="auto" w:fill="auto"/>
            <w:tcMar>
              <w:left w:w="28" w:type="dxa"/>
              <w:right w:w="28" w:type="dxa"/>
            </w:tcMar>
          </w:tcPr>
          <w:p w:rsidR="002B4803" w:rsidRPr="00DB760B" w:rsidRDefault="002B4803" w:rsidP="00654DC0">
            <w:pPr>
              <w:widowControl/>
              <w:jc w:val="left"/>
              <w:rPr>
                <w:rFonts w:ascii="Arial Narrow" w:hAnsi="Arial Narrow" w:cs="Times New Roman"/>
                <w:i/>
                <w:snapToGrid/>
                <w:sz w:val="20"/>
              </w:rPr>
            </w:pPr>
            <w:proofErr w:type="spellStart"/>
            <w:r w:rsidRPr="00DB760B">
              <w:rPr>
                <w:rFonts w:ascii="Arial Narrow" w:hAnsi="Arial Narrow" w:cs="Times New Roman"/>
                <w:i/>
                <w:snapToGrid/>
                <w:sz w:val="20"/>
              </w:rPr>
              <w:t>sitagliptin</w:t>
            </w:r>
            <w:proofErr w:type="spellEnd"/>
            <w:r w:rsidRPr="00DB760B">
              <w:rPr>
                <w:rFonts w:ascii="Arial Narrow" w:hAnsi="Arial Narrow" w:cs="Times New Roman"/>
                <w:i/>
                <w:snapToGrid/>
                <w:sz w:val="20"/>
              </w:rPr>
              <w:t xml:space="preserve"> 50 mg + metformin 1 g tablet, 56</w:t>
            </w:r>
          </w:p>
          <w:p w:rsidR="002B4803" w:rsidRPr="00DB760B" w:rsidRDefault="002B4803" w:rsidP="00654DC0">
            <w:pPr>
              <w:widowControl/>
              <w:jc w:val="left"/>
              <w:rPr>
                <w:rFonts w:ascii="Arial Narrow" w:hAnsi="Arial Narrow" w:cs="Times New Roman"/>
                <w:i/>
                <w:snapToGrid/>
                <w:sz w:val="20"/>
              </w:rPr>
            </w:pPr>
          </w:p>
          <w:p w:rsidR="002B4803" w:rsidRPr="00DB760B" w:rsidRDefault="002B4803" w:rsidP="00654DC0">
            <w:pPr>
              <w:widowControl/>
              <w:jc w:val="left"/>
              <w:rPr>
                <w:rFonts w:ascii="Arial Narrow" w:hAnsi="Arial Narrow" w:cs="Times New Roman"/>
                <w:i/>
                <w:snapToGrid/>
                <w:sz w:val="20"/>
              </w:rPr>
            </w:pPr>
            <w:proofErr w:type="spellStart"/>
            <w:r w:rsidRPr="00DB760B">
              <w:rPr>
                <w:rFonts w:ascii="Arial Narrow" w:hAnsi="Arial Narrow" w:cs="Times New Roman"/>
                <w:i/>
                <w:snapToGrid/>
                <w:sz w:val="20"/>
              </w:rPr>
              <w:t>sitagliptin</w:t>
            </w:r>
            <w:proofErr w:type="spellEnd"/>
            <w:r w:rsidRPr="00DB760B">
              <w:rPr>
                <w:rFonts w:ascii="Arial Narrow" w:hAnsi="Arial Narrow" w:cs="Times New Roman"/>
                <w:i/>
                <w:snapToGrid/>
                <w:sz w:val="20"/>
              </w:rPr>
              <w:t xml:space="preserve"> 50 mg + metformin 1 g modified release tablet, 56</w:t>
            </w:r>
          </w:p>
          <w:p w:rsidR="002B4803" w:rsidRPr="00DB760B" w:rsidRDefault="002B4803" w:rsidP="00654DC0">
            <w:pPr>
              <w:widowControl/>
              <w:jc w:val="left"/>
              <w:rPr>
                <w:rFonts w:ascii="Arial Narrow" w:hAnsi="Arial Narrow" w:cs="Times New Roman"/>
                <w:i/>
                <w:snapToGrid/>
                <w:sz w:val="20"/>
              </w:rPr>
            </w:pPr>
            <w:proofErr w:type="spellStart"/>
            <w:r w:rsidRPr="00DB760B">
              <w:rPr>
                <w:rFonts w:ascii="Arial Narrow" w:hAnsi="Arial Narrow" w:cs="Times New Roman"/>
                <w:i/>
                <w:snapToGrid/>
                <w:sz w:val="20"/>
              </w:rPr>
              <w:t>sitagliptin</w:t>
            </w:r>
            <w:proofErr w:type="spellEnd"/>
            <w:r w:rsidRPr="00DB760B">
              <w:rPr>
                <w:rFonts w:ascii="Arial Narrow" w:hAnsi="Arial Narrow" w:cs="Times New Roman"/>
                <w:i/>
                <w:snapToGrid/>
                <w:sz w:val="20"/>
              </w:rPr>
              <w:t xml:space="preserve"> 100 mg + metformin 1 g modified release tablet, 28</w:t>
            </w:r>
          </w:p>
          <w:p w:rsidR="002B4803" w:rsidRPr="00DB760B" w:rsidRDefault="002B4803" w:rsidP="00417B53">
            <w:pPr>
              <w:widowControl/>
              <w:jc w:val="left"/>
              <w:rPr>
                <w:rFonts w:ascii="Arial Narrow" w:hAnsi="Arial Narrow" w:cs="Times New Roman"/>
                <w:i/>
                <w:snapToGrid/>
                <w:sz w:val="20"/>
                <w:szCs w:val="20"/>
              </w:rPr>
            </w:pPr>
          </w:p>
        </w:tc>
        <w:tc>
          <w:tcPr>
            <w:tcW w:w="469" w:type="pct"/>
            <w:tcBorders>
              <w:top w:val="nil"/>
              <w:left w:val="nil"/>
              <w:right w:val="nil"/>
            </w:tcBorders>
            <w:shd w:val="clear" w:color="auto" w:fill="auto"/>
            <w:tcMar>
              <w:left w:w="28" w:type="dxa"/>
              <w:right w:w="28" w:type="dxa"/>
            </w:tcMar>
          </w:tcPr>
          <w:p w:rsidR="002B4803" w:rsidRPr="00DB760B" w:rsidRDefault="002B4803" w:rsidP="00654DC0">
            <w:pPr>
              <w:widowControl/>
              <w:jc w:val="center"/>
              <w:rPr>
                <w:rFonts w:ascii="Arial Narrow" w:hAnsi="Arial Narrow" w:cs="Times New Roman"/>
                <w:snapToGrid/>
                <w:sz w:val="20"/>
              </w:rPr>
            </w:pPr>
            <w:r w:rsidRPr="00DB760B">
              <w:rPr>
                <w:rFonts w:ascii="Arial Narrow" w:hAnsi="Arial Narrow" w:cs="Times New Roman"/>
                <w:snapToGrid/>
                <w:sz w:val="20"/>
              </w:rPr>
              <w:t>1</w:t>
            </w:r>
          </w:p>
          <w:p w:rsidR="002B4803" w:rsidRPr="00DB760B" w:rsidRDefault="002B4803" w:rsidP="00654DC0">
            <w:pPr>
              <w:widowControl/>
              <w:jc w:val="center"/>
              <w:rPr>
                <w:rFonts w:ascii="Arial Narrow" w:hAnsi="Arial Narrow" w:cs="Times New Roman"/>
                <w:snapToGrid/>
                <w:sz w:val="20"/>
              </w:rPr>
            </w:pPr>
          </w:p>
          <w:p w:rsidR="002B4803" w:rsidRPr="00DB760B" w:rsidRDefault="002B4803" w:rsidP="00417B53">
            <w:pPr>
              <w:widowControl/>
              <w:jc w:val="center"/>
              <w:rPr>
                <w:rFonts w:ascii="Arial Narrow" w:hAnsi="Arial Narrow" w:cs="Times New Roman"/>
                <w:snapToGrid/>
                <w:sz w:val="20"/>
              </w:rPr>
            </w:pPr>
            <w:r w:rsidRPr="00DB760B">
              <w:rPr>
                <w:rFonts w:ascii="Arial Narrow" w:hAnsi="Arial Narrow" w:cs="Times New Roman"/>
                <w:snapToGrid/>
                <w:sz w:val="20"/>
              </w:rPr>
              <w:t>1</w:t>
            </w:r>
          </w:p>
          <w:p w:rsidR="007E5DC2" w:rsidRPr="00DB760B" w:rsidRDefault="007E5DC2" w:rsidP="00417B53">
            <w:pPr>
              <w:widowControl/>
              <w:jc w:val="center"/>
              <w:rPr>
                <w:rFonts w:ascii="Arial Narrow" w:hAnsi="Arial Narrow" w:cs="Times New Roman"/>
                <w:snapToGrid/>
                <w:sz w:val="20"/>
                <w:szCs w:val="20"/>
              </w:rPr>
            </w:pPr>
            <w:r w:rsidRPr="00DB760B">
              <w:rPr>
                <w:rFonts w:ascii="Arial Narrow" w:hAnsi="Arial Narrow" w:cs="Times New Roman"/>
                <w:snapToGrid/>
                <w:sz w:val="20"/>
              </w:rPr>
              <w:t>1</w:t>
            </w:r>
          </w:p>
        </w:tc>
        <w:tc>
          <w:tcPr>
            <w:tcW w:w="469" w:type="pct"/>
            <w:tcBorders>
              <w:top w:val="nil"/>
              <w:left w:val="nil"/>
              <w:right w:val="nil"/>
            </w:tcBorders>
            <w:shd w:val="clear" w:color="auto" w:fill="auto"/>
            <w:tcMar>
              <w:left w:w="28" w:type="dxa"/>
              <w:right w:w="28" w:type="dxa"/>
            </w:tcMar>
          </w:tcPr>
          <w:p w:rsidR="002B4803" w:rsidRPr="00DB760B" w:rsidRDefault="002B4803" w:rsidP="00654DC0">
            <w:pPr>
              <w:widowControl/>
              <w:jc w:val="center"/>
              <w:rPr>
                <w:rFonts w:ascii="Arial Narrow" w:hAnsi="Arial Narrow" w:cs="Times New Roman"/>
                <w:snapToGrid/>
                <w:sz w:val="20"/>
              </w:rPr>
            </w:pPr>
            <w:r w:rsidRPr="00DB760B">
              <w:rPr>
                <w:rFonts w:ascii="Arial Narrow" w:hAnsi="Arial Narrow" w:cs="Times New Roman"/>
                <w:snapToGrid/>
                <w:sz w:val="20"/>
              </w:rPr>
              <w:t>5</w:t>
            </w:r>
          </w:p>
          <w:p w:rsidR="002B4803" w:rsidRPr="00DB760B" w:rsidRDefault="002B4803" w:rsidP="00654DC0">
            <w:pPr>
              <w:widowControl/>
              <w:jc w:val="center"/>
              <w:rPr>
                <w:rFonts w:ascii="Arial Narrow" w:hAnsi="Arial Narrow" w:cs="Times New Roman"/>
                <w:snapToGrid/>
                <w:sz w:val="20"/>
              </w:rPr>
            </w:pPr>
          </w:p>
          <w:p w:rsidR="002B4803" w:rsidRPr="00DB760B" w:rsidRDefault="002B4803" w:rsidP="00417B53">
            <w:pPr>
              <w:widowControl/>
              <w:jc w:val="center"/>
              <w:rPr>
                <w:rFonts w:ascii="Arial Narrow" w:hAnsi="Arial Narrow" w:cs="Times New Roman"/>
                <w:snapToGrid/>
                <w:sz w:val="20"/>
              </w:rPr>
            </w:pPr>
            <w:r w:rsidRPr="00DB760B">
              <w:rPr>
                <w:rFonts w:ascii="Arial Narrow" w:hAnsi="Arial Narrow" w:cs="Times New Roman"/>
                <w:snapToGrid/>
                <w:sz w:val="20"/>
              </w:rPr>
              <w:t>5</w:t>
            </w:r>
          </w:p>
          <w:p w:rsidR="007E5DC2" w:rsidRPr="00DB760B" w:rsidRDefault="007E5DC2" w:rsidP="00417B53">
            <w:pPr>
              <w:widowControl/>
              <w:jc w:val="center"/>
              <w:rPr>
                <w:rFonts w:ascii="Arial Narrow" w:hAnsi="Arial Narrow" w:cs="Times New Roman"/>
                <w:snapToGrid/>
                <w:sz w:val="20"/>
                <w:szCs w:val="20"/>
              </w:rPr>
            </w:pPr>
            <w:r w:rsidRPr="00DB760B">
              <w:rPr>
                <w:rFonts w:ascii="Arial Narrow" w:hAnsi="Arial Narrow" w:cs="Times New Roman"/>
                <w:snapToGrid/>
                <w:sz w:val="20"/>
              </w:rPr>
              <w:t>5</w:t>
            </w:r>
          </w:p>
        </w:tc>
        <w:tc>
          <w:tcPr>
            <w:tcW w:w="703" w:type="pct"/>
            <w:vMerge/>
            <w:tcBorders>
              <w:left w:val="nil"/>
              <w:right w:val="nil"/>
            </w:tcBorders>
            <w:shd w:val="clear" w:color="auto" w:fill="auto"/>
            <w:tcMar>
              <w:left w:w="28" w:type="dxa"/>
              <w:right w:w="28" w:type="dxa"/>
            </w:tcMar>
          </w:tcPr>
          <w:p w:rsidR="002B4803" w:rsidRPr="00DB760B" w:rsidRDefault="002B4803" w:rsidP="00050ADD">
            <w:pPr>
              <w:widowControl/>
              <w:jc w:val="left"/>
              <w:rPr>
                <w:rFonts w:ascii="Arial Narrow" w:hAnsi="Arial Narrow" w:cs="Times New Roman"/>
                <w:snapToGrid/>
                <w:sz w:val="20"/>
                <w:szCs w:val="20"/>
              </w:rPr>
            </w:pPr>
          </w:p>
        </w:tc>
        <w:tc>
          <w:tcPr>
            <w:tcW w:w="780" w:type="pct"/>
            <w:vMerge/>
            <w:tcBorders>
              <w:left w:val="nil"/>
              <w:right w:val="nil"/>
            </w:tcBorders>
            <w:shd w:val="clear" w:color="auto" w:fill="auto"/>
          </w:tcPr>
          <w:p w:rsidR="002B4803" w:rsidRPr="00DB760B" w:rsidRDefault="002B4803" w:rsidP="00050ADD">
            <w:pPr>
              <w:widowControl/>
              <w:jc w:val="left"/>
              <w:rPr>
                <w:rFonts w:ascii="Arial Narrow" w:hAnsi="Arial Narrow" w:cs="Times New Roman"/>
                <w:snapToGrid/>
                <w:sz w:val="20"/>
                <w:szCs w:val="20"/>
              </w:rPr>
            </w:pPr>
          </w:p>
        </w:tc>
      </w:tr>
      <w:tr w:rsidR="002B4803" w:rsidRPr="00DB760B" w:rsidTr="00DD4796">
        <w:trPr>
          <w:cantSplit/>
          <w:trHeight w:val="233"/>
        </w:trPr>
        <w:tc>
          <w:tcPr>
            <w:tcW w:w="1329" w:type="pct"/>
            <w:shd w:val="clear" w:color="auto" w:fill="auto"/>
            <w:tcMar>
              <w:left w:w="28" w:type="dxa"/>
              <w:right w:w="28" w:type="dxa"/>
            </w:tcMar>
          </w:tcPr>
          <w:p w:rsidR="002B4803" w:rsidRPr="00DB760B" w:rsidRDefault="002B4803" w:rsidP="002B321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Category/program:</w:t>
            </w:r>
          </w:p>
        </w:tc>
        <w:tc>
          <w:tcPr>
            <w:tcW w:w="3671" w:type="pct"/>
            <w:gridSpan w:val="5"/>
            <w:shd w:val="clear" w:color="auto" w:fill="auto"/>
            <w:tcMar>
              <w:left w:w="28" w:type="dxa"/>
              <w:right w:w="28" w:type="dxa"/>
            </w:tcMar>
          </w:tcPr>
          <w:p w:rsidR="002B4803" w:rsidRPr="00DB760B" w:rsidRDefault="002B4803" w:rsidP="002B321D">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t>GENERAL – General Schedule (Code GE)</w:t>
            </w:r>
          </w:p>
        </w:tc>
      </w:tr>
      <w:tr w:rsidR="002B4803" w:rsidRPr="00DB760B" w:rsidTr="00DD4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5"/>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2B4803" w:rsidRPr="00DB760B" w:rsidRDefault="002B4803" w:rsidP="00492B41">
            <w:pPr>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Prescriber type:</w:t>
            </w: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2B4803" w:rsidRPr="00DB760B" w:rsidRDefault="002B4803" w:rsidP="00492B41">
            <w:pPr>
              <w:widowControl/>
              <w:spacing w:before="40" w:after="40"/>
              <w:jc w:val="left"/>
              <w:rPr>
                <w:rFonts w:ascii="Arial Narrow" w:hAnsi="Arial Narrow" w:cs="Times New Roman"/>
                <w:snapToGrid/>
                <w:sz w:val="20"/>
                <w:szCs w:val="24"/>
                <w:lang w:eastAsia="en-AU"/>
              </w:rPr>
            </w:pPr>
            <w:r w:rsidRPr="00DB760B">
              <w:rPr>
                <w:rFonts w:ascii="Arial Narrow" w:hAnsi="Arial Narrow"/>
                <w:snapToGrid/>
                <w:sz w:val="20"/>
                <w:szCs w:val="20"/>
                <w:lang w:eastAsia="en-AU"/>
              </w:rPr>
              <w:fldChar w:fldCharType="begin">
                <w:ffData>
                  <w:name w:val="Check1"/>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Dental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Medical Practitioners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Nurse practitioners  </w:t>
            </w:r>
            <w:r w:rsidRPr="00DB760B">
              <w:rPr>
                <w:rFonts w:ascii="Arial Narrow" w:hAnsi="Arial Narrow"/>
                <w:snapToGrid/>
                <w:sz w:val="20"/>
                <w:szCs w:val="20"/>
                <w:lang w:eastAsia="en-AU"/>
              </w:rPr>
              <w:fldChar w:fldCharType="begin">
                <w:ffData>
                  <w:name w:val=""/>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Optometrists </w:t>
            </w:r>
            <w:r w:rsidRPr="00DB760B">
              <w:rPr>
                <w:rFonts w:ascii="Arial Narrow" w:hAnsi="Arial Narrow"/>
                <w:snapToGrid/>
                <w:sz w:val="20"/>
                <w:szCs w:val="20"/>
                <w:lang w:eastAsia="en-AU"/>
              </w:rPr>
              <w:fldChar w:fldCharType="begin">
                <w:ffData>
                  <w:name w:val="Check5"/>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Midwives</w:t>
            </w:r>
          </w:p>
        </w:tc>
      </w:tr>
      <w:tr w:rsidR="002B4803" w:rsidRPr="00DB760B" w:rsidTr="00DD4796">
        <w:trPr>
          <w:cantSplit/>
          <w:trHeight w:val="187"/>
        </w:trPr>
        <w:tc>
          <w:tcPr>
            <w:tcW w:w="1329" w:type="pct"/>
            <w:shd w:val="clear" w:color="auto" w:fill="auto"/>
            <w:tcMar>
              <w:left w:w="28" w:type="dxa"/>
              <w:right w:w="28" w:type="dxa"/>
            </w:tcMar>
          </w:tcPr>
          <w:p w:rsidR="002B4803" w:rsidRPr="00DB760B" w:rsidRDefault="002B4803"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Condition:</w:t>
            </w:r>
          </w:p>
        </w:tc>
        <w:tc>
          <w:tcPr>
            <w:tcW w:w="3671" w:type="pct"/>
            <w:gridSpan w:val="5"/>
            <w:shd w:val="clear" w:color="auto" w:fill="auto"/>
            <w:tcMar>
              <w:left w:w="28" w:type="dxa"/>
              <w:right w:w="28" w:type="dxa"/>
            </w:tcMar>
          </w:tcPr>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Diabetes mellitus type 2</w:t>
            </w:r>
          </w:p>
        </w:tc>
      </w:tr>
      <w:tr w:rsidR="002B4803" w:rsidRPr="00DB760B" w:rsidTr="00DD4796">
        <w:trPr>
          <w:cantSplit/>
          <w:trHeight w:val="91"/>
        </w:trPr>
        <w:tc>
          <w:tcPr>
            <w:tcW w:w="1329" w:type="pct"/>
            <w:shd w:val="clear" w:color="auto" w:fill="auto"/>
            <w:tcMar>
              <w:left w:w="28" w:type="dxa"/>
              <w:right w:w="28" w:type="dxa"/>
            </w:tcMar>
          </w:tcPr>
          <w:p w:rsidR="002B4803" w:rsidRPr="00DB760B" w:rsidRDefault="002B4803"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PBS indication:</w:t>
            </w:r>
          </w:p>
        </w:tc>
        <w:tc>
          <w:tcPr>
            <w:tcW w:w="3671" w:type="pct"/>
            <w:gridSpan w:val="5"/>
            <w:shd w:val="clear" w:color="auto" w:fill="auto"/>
            <w:tcMar>
              <w:left w:w="28" w:type="dxa"/>
              <w:right w:w="28" w:type="dxa"/>
            </w:tcMar>
          </w:tcPr>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Diabetes mellitus type 2</w:t>
            </w:r>
          </w:p>
        </w:tc>
      </w:tr>
      <w:tr w:rsidR="002B4803" w:rsidRPr="00DB760B" w:rsidTr="00DD4796">
        <w:trPr>
          <w:cantSplit/>
          <w:trHeight w:val="91"/>
        </w:trPr>
        <w:tc>
          <w:tcPr>
            <w:tcW w:w="1329" w:type="pct"/>
            <w:shd w:val="clear" w:color="auto" w:fill="auto"/>
            <w:tcMar>
              <w:left w:w="28" w:type="dxa"/>
              <w:right w:w="28" w:type="dxa"/>
            </w:tcMar>
          </w:tcPr>
          <w:p w:rsidR="002B4803" w:rsidRPr="00DB760B" w:rsidRDefault="002B4803"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Treatment Phase:</w:t>
            </w:r>
          </w:p>
        </w:tc>
        <w:tc>
          <w:tcPr>
            <w:tcW w:w="3671" w:type="pct"/>
            <w:gridSpan w:val="5"/>
            <w:shd w:val="clear" w:color="auto" w:fill="auto"/>
            <w:tcMar>
              <w:left w:w="28" w:type="dxa"/>
              <w:right w:w="28" w:type="dxa"/>
            </w:tcMar>
          </w:tcPr>
          <w:p w:rsidR="002B4803" w:rsidRPr="00DB760B" w:rsidRDefault="002B4803" w:rsidP="00050ADD">
            <w:pPr>
              <w:widowControl/>
              <w:jc w:val="left"/>
              <w:rPr>
                <w:rFonts w:ascii="Arial Narrow" w:hAnsi="Arial Narrow" w:cs="Times New Roman"/>
                <w:i/>
                <w:snapToGrid/>
                <w:sz w:val="20"/>
                <w:szCs w:val="20"/>
              </w:rPr>
            </w:pPr>
            <w:r w:rsidRPr="00DB760B">
              <w:rPr>
                <w:rFonts w:ascii="Arial Narrow" w:hAnsi="Arial Narrow" w:cs="Times New Roman"/>
                <w:i/>
                <w:snapToGrid/>
                <w:sz w:val="20"/>
                <w:szCs w:val="20"/>
              </w:rPr>
              <w:t>Initial treatment</w:t>
            </w:r>
          </w:p>
        </w:tc>
      </w:tr>
      <w:tr w:rsidR="002B4803" w:rsidRPr="00DB760B" w:rsidTr="00DD4796">
        <w:trPr>
          <w:cantSplit/>
          <w:trHeight w:val="239"/>
        </w:trPr>
        <w:tc>
          <w:tcPr>
            <w:tcW w:w="1329" w:type="pct"/>
            <w:shd w:val="clear" w:color="auto" w:fill="auto"/>
            <w:tcMar>
              <w:left w:w="28" w:type="dxa"/>
              <w:right w:w="28" w:type="dxa"/>
            </w:tcMar>
          </w:tcPr>
          <w:p w:rsidR="002B4803" w:rsidRPr="00DB760B" w:rsidRDefault="002B4803"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Restriction:</w:t>
            </w:r>
          </w:p>
        </w:tc>
        <w:tc>
          <w:tcPr>
            <w:tcW w:w="3671" w:type="pct"/>
            <w:gridSpan w:val="5"/>
            <w:shd w:val="clear" w:color="auto" w:fill="auto"/>
            <w:tcMar>
              <w:left w:w="28" w:type="dxa"/>
              <w:right w:w="28" w:type="dxa"/>
            </w:tcMar>
          </w:tcPr>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Authority Required (Streamlined)</w:t>
            </w:r>
          </w:p>
        </w:tc>
      </w:tr>
      <w:tr w:rsidR="002B4803" w:rsidRPr="00DB760B" w:rsidTr="00DD4796">
        <w:trPr>
          <w:cantSplit/>
          <w:trHeight w:val="360"/>
        </w:trPr>
        <w:tc>
          <w:tcPr>
            <w:tcW w:w="1329" w:type="pct"/>
            <w:shd w:val="clear" w:color="auto" w:fill="auto"/>
            <w:tcMar>
              <w:left w:w="28" w:type="dxa"/>
              <w:right w:w="28" w:type="dxa"/>
            </w:tcMar>
          </w:tcPr>
          <w:p w:rsidR="002B4803" w:rsidRPr="00DB760B" w:rsidRDefault="002B4803"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Clinical criteria:</w:t>
            </w:r>
          </w:p>
          <w:p w:rsidR="002B4803" w:rsidRPr="00DB760B" w:rsidRDefault="002B4803" w:rsidP="00050ADD">
            <w:pPr>
              <w:widowControl/>
              <w:jc w:val="left"/>
              <w:rPr>
                <w:rFonts w:ascii="Arial Narrow" w:hAnsi="Arial Narrow" w:cs="Times New Roman"/>
                <w:b/>
                <w:snapToGrid/>
                <w:sz w:val="20"/>
                <w:szCs w:val="20"/>
              </w:rPr>
            </w:pPr>
          </w:p>
          <w:p w:rsidR="002B4803" w:rsidRPr="00DB760B" w:rsidRDefault="002B4803" w:rsidP="00050ADD">
            <w:pPr>
              <w:widowControl/>
              <w:jc w:val="left"/>
              <w:rPr>
                <w:rFonts w:ascii="Arial Narrow" w:hAnsi="Arial Narrow" w:cs="Times New Roman"/>
                <w:b/>
                <w:snapToGrid/>
                <w:sz w:val="20"/>
                <w:szCs w:val="20"/>
              </w:rPr>
            </w:pPr>
          </w:p>
        </w:tc>
        <w:tc>
          <w:tcPr>
            <w:tcW w:w="3671" w:type="pct"/>
            <w:gridSpan w:val="5"/>
            <w:shd w:val="clear" w:color="auto" w:fill="auto"/>
            <w:tcMar>
              <w:left w:w="28" w:type="dxa"/>
              <w:right w:w="28" w:type="dxa"/>
            </w:tcMar>
          </w:tcPr>
          <w:p w:rsidR="002B4803" w:rsidRPr="00DB760B" w:rsidRDefault="002B4803" w:rsidP="00050ADD">
            <w:pPr>
              <w:widowControl/>
              <w:jc w:val="left"/>
              <w:rPr>
                <w:rFonts w:ascii="Arial Narrow" w:hAnsi="Arial Narrow" w:cs="Times New Roman"/>
                <w:i/>
                <w:snapToGrid/>
                <w:sz w:val="20"/>
                <w:szCs w:val="20"/>
              </w:rPr>
            </w:pPr>
            <w:r w:rsidRPr="00DB760B">
              <w:rPr>
                <w:rFonts w:ascii="Arial Narrow" w:hAnsi="Arial Narrow" w:cs="Times New Roman"/>
                <w:i/>
                <w:snapToGrid/>
                <w:sz w:val="20"/>
                <w:szCs w:val="20"/>
              </w:rPr>
              <w:t>The treatment must be in combination with a sodium-glucose co-transporter 2 (SGLT2) inhibitor;</w:t>
            </w: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AND</w:t>
            </w:r>
          </w:p>
          <w:p w:rsidR="002B4803" w:rsidRPr="00DB760B" w:rsidRDefault="002B4803" w:rsidP="00050ADD">
            <w:pPr>
              <w:widowControl/>
              <w:jc w:val="left"/>
              <w:rPr>
                <w:rFonts w:ascii="Arial Narrow" w:hAnsi="Arial Narrow" w:cs="Times New Roman"/>
                <w:strike/>
                <w:snapToGrid/>
                <w:sz w:val="20"/>
                <w:szCs w:val="20"/>
              </w:rPr>
            </w:pPr>
            <w:r w:rsidRPr="00DB760B">
              <w:rPr>
                <w:rFonts w:ascii="Arial Narrow" w:hAnsi="Arial Narrow" w:cs="Times New Roman"/>
                <w:strike/>
                <w:snapToGrid/>
                <w:sz w:val="20"/>
                <w:szCs w:val="20"/>
              </w:rPr>
              <w:t>Patient must have been previously stabilised on dual or triple oral therapy which includes a dipeptidyl peptidase 4 inhibitor (gliptin); OR</w:t>
            </w: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trike/>
                <w:snapToGrid/>
                <w:sz w:val="20"/>
                <w:szCs w:val="20"/>
              </w:rPr>
              <w:t>Patient must have been previously stabilised on dual or triple oral therapy which includes a sodium-glucose co-transporter 2 (SGLT2) inhibitor</w:t>
            </w:r>
            <w:r w:rsidRPr="00DB760B">
              <w:rPr>
                <w:rFonts w:ascii="Arial Narrow" w:hAnsi="Arial Narrow" w:cs="Times New Roman"/>
                <w:snapToGrid/>
                <w:sz w:val="20"/>
                <w:szCs w:val="20"/>
              </w:rPr>
              <w:t xml:space="preserve">; </w:t>
            </w: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AND</w:t>
            </w:r>
            <w:r w:rsidRPr="00DB760B">
              <w:rPr>
                <w:rFonts w:ascii="Arial Narrow" w:hAnsi="Arial Narrow" w:cs="Times New Roman"/>
                <w:snapToGrid/>
                <w:sz w:val="20"/>
                <w:szCs w:val="20"/>
              </w:rPr>
              <w:br/>
              <w:t>Patient must have</w:t>
            </w:r>
            <w:r w:rsidRPr="00DB760B">
              <w:rPr>
                <w:rFonts w:ascii="Arial Narrow" w:hAnsi="Arial Narrow" w:cs="Times New Roman"/>
                <w:strike/>
                <w:snapToGrid/>
                <w:sz w:val="20"/>
                <w:szCs w:val="20"/>
              </w:rPr>
              <w:t>, or have had,</w:t>
            </w:r>
            <w:r w:rsidRPr="00DB760B">
              <w:rPr>
                <w:rFonts w:ascii="Arial Narrow" w:hAnsi="Arial Narrow" w:cs="Times New Roman"/>
                <w:snapToGrid/>
                <w:sz w:val="20"/>
                <w:szCs w:val="20"/>
              </w:rPr>
              <w:t xml:space="preserve"> an HbA1c measurement greater than 7% prior to the initiation </w:t>
            </w:r>
            <w:r w:rsidRPr="00DB760B">
              <w:rPr>
                <w:rFonts w:ascii="Arial Narrow" w:hAnsi="Arial Narrow" w:cs="Times New Roman"/>
                <w:i/>
                <w:snapToGrid/>
                <w:sz w:val="20"/>
                <w:szCs w:val="20"/>
              </w:rPr>
              <w:t xml:space="preserve">with a PBS-subsidised regimen or oral diabetic medicines which includes metformin and an SGLT2 inhibitor for this condition; </w:t>
            </w:r>
            <w:r w:rsidRPr="00DB760B">
              <w:rPr>
                <w:rFonts w:ascii="Arial Narrow" w:hAnsi="Arial Narrow" w:cs="Times New Roman"/>
                <w:snapToGrid/>
                <w:sz w:val="20"/>
                <w:szCs w:val="20"/>
              </w:rPr>
              <w:t xml:space="preserve"> </w:t>
            </w:r>
            <w:r w:rsidRPr="00DB760B">
              <w:rPr>
                <w:rFonts w:ascii="Arial Narrow" w:hAnsi="Arial Narrow" w:cs="Times New Roman"/>
                <w:strike/>
                <w:snapToGrid/>
                <w:sz w:val="20"/>
                <w:szCs w:val="20"/>
              </w:rPr>
              <w:t>of the initiation of triple oral therapy with a dipeptidyl peptidase 4 inhibitor (gliptin) and a sodium-glucose co-transporter 2 (SGLT2) inhibitor;</w:t>
            </w:r>
            <w:r w:rsidRPr="00DB760B">
              <w:rPr>
                <w:rFonts w:ascii="Arial Narrow" w:hAnsi="Arial Narrow" w:cs="Times New Roman"/>
                <w:snapToGrid/>
                <w:sz w:val="20"/>
                <w:szCs w:val="20"/>
              </w:rPr>
              <w:t xml:space="preserve"> </w:t>
            </w: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 xml:space="preserve">OR </w:t>
            </w:r>
          </w:p>
          <w:p w:rsidR="002B4803" w:rsidRPr="00DB760B" w:rsidRDefault="002B4803" w:rsidP="002B321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Patient must have</w:t>
            </w:r>
            <w:r w:rsidRPr="00DB760B">
              <w:rPr>
                <w:rFonts w:ascii="Arial Narrow" w:hAnsi="Arial Narrow" w:cs="Times New Roman"/>
                <w:strike/>
                <w:snapToGrid/>
                <w:sz w:val="20"/>
                <w:szCs w:val="20"/>
              </w:rPr>
              <w:t>, or have had,</w:t>
            </w:r>
            <w:r w:rsidRPr="00DB760B">
              <w:rPr>
                <w:rFonts w:ascii="Arial Narrow" w:hAnsi="Arial Narrow" w:cs="Times New Roman"/>
                <w:snapToGrid/>
                <w:sz w:val="20"/>
                <w:szCs w:val="20"/>
              </w:rPr>
              <w:t xml:space="preserve"> where HbA1c measurement is clinically inappropriate, blood glucose levels greater than 10 </w:t>
            </w:r>
            <w:proofErr w:type="spellStart"/>
            <w:r w:rsidRPr="00DB760B">
              <w:rPr>
                <w:rFonts w:ascii="Arial Narrow" w:hAnsi="Arial Narrow" w:cs="Times New Roman"/>
                <w:snapToGrid/>
                <w:sz w:val="20"/>
                <w:szCs w:val="20"/>
              </w:rPr>
              <w:t>mmol</w:t>
            </w:r>
            <w:proofErr w:type="spellEnd"/>
            <w:r w:rsidRPr="00DB760B">
              <w:rPr>
                <w:rFonts w:ascii="Arial Narrow" w:hAnsi="Arial Narrow" w:cs="Times New Roman"/>
                <w:snapToGrid/>
                <w:sz w:val="20"/>
                <w:szCs w:val="20"/>
              </w:rPr>
              <w:t xml:space="preserve"> per L in more than 20% of tests over a 2 week period prior to initiation of triple oral therapy with an </w:t>
            </w:r>
            <w:r w:rsidRPr="00DB760B">
              <w:rPr>
                <w:rFonts w:ascii="Arial Narrow" w:hAnsi="Arial Narrow" w:cs="Times New Roman"/>
                <w:snapToGrid/>
                <w:sz w:val="20"/>
                <w:szCs w:val="24"/>
                <w:lang w:eastAsia="en-AU"/>
              </w:rPr>
              <w:t xml:space="preserve">SGLT2 inhibitor, </w:t>
            </w:r>
            <w:r w:rsidRPr="00DB760B">
              <w:rPr>
                <w:rFonts w:ascii="Arial Narrow" w:hAnsi="Arial Narrow" w:cs="Times New Roman"/>
                <w:i/>
                <w:snapToGrid/>
                <w:sz w:val="20"/>
                <w:szCs w:val="24"/>
                <w:lang w:eastAsia="en-AU"/>
              </w:rPr>
              <w:t>metformin</w:t>
            </w:r>
            <w:r w:rsidRPr="00DB760B">
              <w:rPr>
                <w:rFonts w:ascii="Arial Narrow" w:hAnsi="Arial Narrow" w:cs="Times New Roman"/>
                <w:snapToGrid/>
                <w:sz w:val="20"/>
                <w:szCs w:val="24"/>
                <w:lang w:eastAsia="en-AU"/>
              </w:rPr>
              <w:t xml:space="preserve"> and a gliptin. </w:t>
            </w:r>
            <w:r w:rsidRPr="00DB760B">
              <w:rPr>
                <w:rFonts w:ascii="Arial Narrow" w:hAnsi="Arial Narrow" w:cs="Times New Roman"/>
                <w:snapToGrid/>
                <w:sz w:val="20"/>
                <w:szCs w:val="20"/>
              </w:rPr>
              <w:t xml:space="preserve"> </w:t>
            </w:r>
          </w:p>
        </w:tc>
      </w:tr>
      <w:tr w:rsidR="002B4803" w:rsidRPr="00DB760B" w:rsidTr="00DD4796">
        <w:trPr>
          <w:cantSplit/>
          <w:trHeight w:val="360"/>
        </w:trPr>
        <w:tc>
          <w:tcPr>
            <w:tcW w:w="1329" w:type="pct"/>
            <w:shd w:val="clear" w:color="auto" w:fill="auto"/>
            <w:tcMar>
              <w:left w:w="28" w:type="dxa"/>
              <w:right w:w="28" w:type="dxa"/>
            </w:tcMar>
          </w:tcPr>
          <w:p w:rsidR="002B4803" w:rsidRPr="00DB760B" w:rsidRDefault="002B4803"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lastRenderedPageBreak/>
              <w:t>Prescriber Instructions</w:t>
            </w:r>
          </w:p>
        </w:tc>
        <w:tc>
          <w:tcPr>
            <w:tcW w:w="3671" w:type="pct"/>
            <w:gridSpan w:val="5"/>
            <w:shd w:val="clear" w:color="auto" w:fill="auto"/>
            <w:tcMar>
              <w:left w:w="28" w:type="dxa"/>
              <w:right w:w="28" w:type="dxa"/>
            </w:tcMar>
          </w:tcPr>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 xml:space="preserve">The date and level of the qualifying HbA1c measurement must be, </w:t>
            </w:r>
            <w:r w:rsidRPr="00DB760B">
              <w:rPr>
                <w:rFonts w:ascii="Arial Narrow" w:hAnsi="Arial Narrow" w:cs="Times New Roman"/>
                <w:strike/>
                <w:snapToGrid/>
                <w:sz w:val="20"/>
                <w:szCs w:val="20"/>
              </w:rPr>
              <w:t>or must have been,</w:t>
            </w:r>
            <w:r w:rsidRPr="00DB760B">
              <w:rPr>
                <w:rFonts w:ascii="Arial Narrow" w:hAnsi="Arial Narrow" w:cs="Times New Roman"/>
                <w:snapToGrid/>
                <w:sz w:val="20"/>
                <w:szCs w:val="20"/>
              </w:rPr>
              <w:t xml:space="preserve"> documented in the patient's medical records at the time triple oral therapy with an SGLT2 inhibitor, </w:t>
            </w:r>
            <w:r w:rsidRPr="00DB760B">
              <w:rPr>
                <w:rFonts w:ascii="Arial Narrow" w:hAnsi="Arial Narrow" w:cs="Times New Roman"/>
                <w:i/>
                <w:snapToGrid/>
                <w:sz w:val="20"/>
                <w:szCs w:val="20"/>
              </w:rPr>
              <w:t>metformin</w:t>
            </w:r>
            <w:r w:rsidRPr="00DB760B">
              <w:rPr>
                <w:rFonts w:ascii="Arial Narrow" w:hAnsi="Arial Narrow" w:cs="Times New Roman"/>
                <w:snapToGrid/>
                <w:sz w:val="20"/>
                <w:szCs w:val="20"/>
              </w:rPr>
              <w:t xml:space="preserve"> and a gliptin is initiated.</w:t>
            </w:r>
          </w:p>
          <w:p w:rsidR="002B4803" w:rsidRPr="00DB760B" w:rsidRDefault="002B4803" w:rsidP="00050ADD">
            <w:pPr>
              <w:widowControl/>
              <w:jc w:val="left"/>
              <w:rPr>
                <w:rFonts w:ascii="Arial Narrow" w:hAnsi="Arial Narrow" w:cs="Times New Roman"/>
                <w:snapToGrid/>
                <w:sz w:val="20"/>
                <w:szCs w:val="20"/>
              </w:rPr>
            </w:pP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 xml:space="preserve">The HbA1c must be no more than 4 months old at the time triple oral therapy with an SGLT2 inhibitor, </w:t>
            </w:r>
            <w:r w:rsidRPr="00DB760B">
              <w:rPr>
                <w:rFonts w:ascii="Arial Narrow" w:hAnsi="Arial Narrow" w:cs="Times New Roman"/>
                <w:i/>
                <w:snapToGrid/>
                <w:sz w:val="20"/>
                <w:szCs w:val="20"/>
              </w:rPr>
              <w:t>metformin</w:t>
            </w:r>
            <w:r w:rsidRPr="00DB760B">
              <w:rPr>
                <w:rFonts w:ascii="Arial Narrow" w:hAnsi="Arial Narrow" w:cs="Times New Roman"/>
                <w:snapToGrid/>
                <w:sz w:val="20"/>
                <w:szCs w:val="20"/>
              </w:rPr>
              <w:t xml:space="preserve"> and a gliptin </w:t>
            </w:r>
            <w:r w:rsidRPr="00DB760B">
              <w:rPr>
                <w:rFonts w:ascii="Arial Narrow" w:hAnsi="Arial Narrow" w:cs="Times New Roman"/>
                <w:i/>
                <w:snapToGrid/>
                <w:sz w:val="20"/>
                <w:szCs w:val="20"/>
              </w:rPr>
              <w:t>is</w:t>
            </w:r>
            <w:r w:rsidRPr="00DB760B">
              <w:rPr>
                <w:rFonts w:ascii="Arial Narrow" w:hAnsi="Arial Narrow" w:cs="Times New Roman"/>
                <w:snapToGrid/>
                <w:sz w:val="20"/>
                <w:szCs w:val="20"/>
              </w:rPr>
              <w:t xml:space="preserve"> </w:t>
            </w:r>
            <w:r w:rsidRPr="00DB760B">
              <w:rPr>
                <w:rFonts w:ascii="Arial Narrow" w:hAnsi="Arial Narrow" w:cs="Times New Roman"/>
                <w:strike/>
                <w:snapToGrid/>
                <w:sz w:val="20"/>
                <w:szCs w:val="20"/>
              </w:rPr>
              <w:t>was</w:t>
            </w:r>
            <w:r w:rsidRPr="00DB760B">
              <w:rPr>
                <w:rFonts w:ascii="Arial Narrow" w:hAnsi="Arial Narrow" w:cs="Times New Roman"/>
                <w:snapToGrid/>
                <w:sz w:val="20"/>
                <w:szCs w:val="20"/>
              </w:rPr>
              <w:t xml:space="preserve"> initiated.</w:t>
            </w:r>
          </w:p>
          <w:p w:rsidR="002B4803" w:rsidRPr="00DB760B" w:rsidRDefault="002B4803" w:rsidP="00050ADD">
            <w:pPr>
              <w:widowControl/>
              <w:jc w:val="left"/>
              <w:rPr>
                <w:rFonts w:ascii="Arial Narrow" w:hAnsi="Arial Narrow" w:cs="Times New Roman"/>
                <w:snapToGrid/>
                <w:sz w:val="20"/>
                <w:szCs w:val="20"/>
              </w:rPr>
            </w:pP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Blood glucose monitoring may be used as an alternative assessment to HbA1c levels in the following circumstances:</w:t>
            </w: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 xml:space="preserve">(a) A clinical condition with reduced red blood cell survival, including haemolytic anaemias and </w:t>
            </w:r>
            <w:proofErr w:type="spellStart"/>
            <w:r w:rsidRPr="00DB760B">
              <w:rPr>
                <w:rFonts w:ascii="Arial Narrow" w:hAnsi="Arial Narrow" w:cs="Times New Roman"/>
                <w:snapToGrid/>
                <w:sz w:val="20"/>
                <w:szCs w:val="20"/>
              </w:rPr>
              <w:t>haemoglobinopathies</w:t>
            </w:r>
            <w:proofErr w:type="spellEnd"/>
            <w:r w:rsidRPr="00DB760B">
              <w:rPr>
                <w:rFonts w:ascii="Arial Narrow" w:hAnsi="Arial Narrow" w:cs="Times New Roman"/>
                <w:snapToGrid/>
                <w:sz w:val="20"/>
                <w:szCs w:val="20"/>
              </w:rPr>
              <w:t>; and/or</w:t>
            </w: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(b) Had red cell transfusion within the previous 3 months.</w:t>
            </w:r>
          </w:p>
          <w:p w:rsidR="002B4803" w:rsidRPr="00DB760B" w:rsidRDefault="002B4803" w:rsidP="00050ADD">
            <w:pPr>
              <w:widowControl/>
              <w:jc w:val="left"/>
              <w:rPr>
                <w:rFonts w:ascii="Arial Narrow" w:hAnsi="Arial Narrow" w:cs="Times New Roman"/>
                <w:snapToGrid/>
                <w:sz w:val="20"/>
                <w:szCs w:val="20"/>
              </w:rPr>
            </w:pPr>
          </w:p>
          <w:p w:rsidR="002B4803" w:rsidRPr="00DB760B" w:rsidRDefault="002B4803" w:rsidP="00050ADD">
            <w:pPr>
              <w:widowControl/>
              <w:jc w:val="left"/>
              <w:rPr>
                <w:rFonts w:ascii="Arial Narrow" w:hAnsi="Arial Narrow" w:cs="Times New Roman"/>
                <w:snapToGrid/>
                <w:sz w:val="20"/>
                <w:szCs w:val="20"/>
              </w:rPr>
            </w:pPr>
            <w:r w:rsidRPr="00DB760B">
              <w:rPr>
                <w:rFonts w:ascii="Arial Narrow" w:hAnsi="Arial Narrow" w:cs="Times New Roman"/>
                <w:snapToGrid/>
                <w:sz w:val="20"/>
                <w:szCs w:val="20"/>
              </w:rPr>
              <w:t xml:space="preserve">The results of the blood glucose monitoring, which must be no more than 4 months old at the time of initiation of triple oral therapy with an SGLT2 inhibitor, </w:t>
            </w:r>
            <w:r w:rsidRPr="00DB760B">
              <w:rPr>
                <w:rFonts w:ascii="Arial Narrow" w:hAnsi="Arial Narrow" w:cs="Times New Roman"/>
                <w:i/>
                <w:snapToGrid/>
                <w:sz w:val="20"/>
                <w:szCs w:val="20"/>
              </w:rPr>
              <w:t xml:space="preserve">metformin and </w:t>
            </w:r>
            <w:r w:rsidRPr="00DB760B">
              <w:rPr>
                <w:rFonts w:ascii="Arial Narrow" w:hAnsi="Arial Narrow" w:cs="Times New Roman"/>
                <w:snapToGrid/>
                <w:sz w:val="20"/>
                <w:szCs w:val="20"/>
              </w:rPr>
              <w:t>a gliptin</w:t>
            </w:r>
            <w:r w:rsidRPr="00DB760B">
              <w:rPr>
                <w:rFonts w:ascii="Arial Narrow" w:hAnsi="Arial Narrow" w:cs="Times New Roman"/>
                <w:strike/>
                <w:snapToGrid/>
                <w:sz w:val="20"/>
                <w:szCs w:val="20"/>
              </w:rPr>
              <w:t xml:space="preserve"> is initiated,</w:t>
            </w:r>
            <w:r w:rsidRPr="00DB760B">
              <w:rPr>
                <w:rFonts w:ascii="Arial Narrow" w:hAnsi="Arial Narrow" w:cs="Times New Roman"/>
                <w:snapToGrid/>
                <w:sz w:val="20"/>
                <w:szCs w:val="20"/>
              </w:rPr>
              <w:t xml:space="preserve"> must be documented in the patient's medical records.</w:t>
            </w:r>
          </w:p>
          <w:p w:rsidR="002B4803" w:rsidRPr="00DB760B" w:rsidRDefault="002B4803" w:rsidP="00050ADD">
            <w:pPr>
              <w:widowControl/>
              <w:jc w:val="left"/>
              <w:rPr>
                <w:rFonts w:ascii="Arial Narrow" w:hAnsi="Arial Narrow" w:cs="Times New Roman"/>
                <w:snapToGrid/>
                <w:sz w:val="20"/>
                <w:szCs w:val="20"/>
              </w:rPr>
            </w:pPr>
          </w:p>
          <w:p w:rsidR="002B4803" w:rsidRPr="00DB760B" w:rsidRDefault="002B4803" w:rsidP="00050ADD">
            <w:pPr>
              <w:widowControl/>
              <w:jc w:val="left"/>
              <w:rPr>
                <w:rFonts w:ascii="Arial Narrow" w:hAnsi="Arial Narrow" w:cs="Times New Roman"/>
                <w:i/>
                <w:strike/>
                <w:snapToGrid/>
                <w:sz w:val="20"/>
                <w:szCs w:val="20"/>
              </w:rPr>
            </w:pPr>
            <w:r w:rsidRPr="00DB760B">
              <w:rPr>
                <w:rFonts w:ascii="Arial Narrow" w:hAnsi="Arial Narrow" w:cs="Times New Roman"/>
                <w:i/>
                <w:strike/>
                <w:snapToGrid/>
                <w:sz w:val="20"/>
                <w:szCs w:val="20"/>
              </w:rPr>
              <w:t>A patient whose diabetes was previously demonstrated unable to be controlled by dual therapy with metformin and a gliptin or an SGLT2 inhibitor does not need to requalify on this criterion before being eligible for PBS-subsidised treatment with this drug.</w:t>
            </w:r>
          </w:p>
        </w:tc>
      </w:tr>
      <w:tr w:rsidR="002B4803" w:rsidRPr="00DB760B" w:rsidTr="00DD4796">
        <w:trPr>
          <w:cantSplit/>
          <w:trHeight w:val="360"/>
        </w:trPr>
        <w:tc>
          <w:tcPr>
            <w:tcW w:w="1329" w:type="pct"/>
            <w:shd w:val="clear" w:color="auto" w:fill="auto"/>
            <w:tcMar>
              <w:left w:w="28" w:type="dxa"/>
              <w:right w:w="28" w:type="dxa"/>
            </w:tcMar>
          </w:tcPr>
          <w:p w:rsidR="002B4803" w:rsidRPr="00DB760B" w:rsidRDefault="002B4803" w:rsidP="00050ADD">
            <w:pPr>
              <w:widowControl/>
              <w:jc w:val="left"/>
              <w:rPr>
                <w:rFonts w:ascii="Arial Narrow" w:hAnsi="Arial Narrow" w:cs="Times New Roman"/>
                <w:b/>
                <w:snapToGrid/>
                <w:sz w:val="20"/>
                <w:szCs w:val="20"/>
              </w:rPr>
            </w:pPr>
            <w:r w:rsidRPr="00DB760B">
              <w:rPr>
                <w:rFonts w:ascii="Arial Narrow" w:hAnsi="Arial Narrow" w:cs="Times New Roman"/>
                <w:b/>
                <w:snapToGrid/>
                <w:sz w:val="20"/>
                <w:szCs w:val="20"/>
              </w:rPr>
              <w:t>Administrative advice:</w:t>
            </w:r>
          </w:p>
          <w:p w:rsidR="002B4803" w:rsidRPr="00DB760B" w:rsidRDefault="002B4803" w:rsidP="00050ADD">
            <w:pPr>
              <w:widowControl/>
              <w:jc w:val="left"/>
              <w:rPr>
                <w:rFonts w:ascii="Arial Narrow" w:hAnsi="Arial Narrow" w:cs="Times New Roman"/>
                <w:b/>
                <w:snapToGrid/>
                <w:sz w:val="20"/>
                <w:szCs w:val="20"/>
              </w:rPr>
            </w:pPr>
          </w:p>
        </w:tc>
        <w:tc>
          <w:tcPr>
            <w:tcW w:w="3671" w:type="pct"/>
            <w:gridSpan w:val="5"/>
            <w:shd w:val="clear" w:color="auto" w:fill="auto"/>
            <w:tcMar>
              <w:left w:w="28" w:type="dxa"/>
              <w:right w:w="28" w:type="dxa"/>
            </w:tcMar>
          </w:tcPr>
          <w:p w:rsidR="002B4803" w:rsidRPr="00DB760B" w:rsidRDefault="002B4803" w:rsidP="00050ADD">
            <w:pPr>
              <w:widowControl/>
              <w:jc w:val="left"/>
              <w:rPr>
                <w:rFonts w:ascii="Arial Narrow" w:hAnsi="Arial Narrow" w:cs="Times New Roman"/>
                <w:strike/>
                <w:snapToGrid/>
                <w:sz w:val="20"/>
                <w:szCs w:val="20"/>
              </w:rPr>
            </w:pPr>
            <w:r w:rsidRPr="00DB760B">
              <w:rPr>
                <w:rFonts w:ascii="Arial Narrow" w:hAnsi="Arial Narrow" w:cs="Times New Roman"/>
                <w:strike/>
                <w:snapToGrid/>
                <w:sz w:val="20"/>
                <w:szCs w:val="20"/>
              </w:rPr>
              <w:t xml:space="preserve">PBS subsidised dual oral therapy does not include concomitant use of a combination of: a gliptin, a </w:t>
            </w:r>
            <w:proofErr w:type="spellStart"/>
            <w:r w:rsidRPr="00DB760B">
              <w:rPr>
                <w:rFonts w:ascii="Arial Narrow" w:hAnsi="Arial Narrow" w:cs="Times New Roman"/>
                <w:strike/>
                <w:snapToGrid/>
                <w:sz w:val="20"/>
                <w:szCs w:val="20"/>
              </w:rPr>
              <w:t>glitazone</w:t>
            </w:r>
            <w:proofErr w:type="spellEnd"/>
            <w:r w:rsidRPr="00DB760B">
              <w:rPr>
                <w:rFonts w:ascii="Arial Narrow" w:hAnsi="Arial Narrow" w:cs="Times New Roman"/>
                <w:strike/>
                <w:snapToGrid/>
                <w:sz w:val="20"/>
                <w:szCs w:val="20"/>
              </w:rPr>
              <w:t xml:space="preserve"> or an SGLT2 inhibitor. </w:t>
            </w:r>
          </w:p>
          <w:p w:rsidR="002B4803" w:rsidRPr="00DB760B" w:rsidRDefault="002B4803" w:rsidP="00050ADD">
            <w:pPr>
              <w:widowControl/>
              <w:jc w:val="left"/>
              <w:rPr>
                <w:rFonts w:ascii="Arial Narrow" w:eastAsia="SimSun" w:hAnsi="Arial Narrow" w:cs="Arial Narrow"/>
                <w:i/>
                <w:snapToGrid/>
                <w:sz w:val="20"/>
                <w:szCs w:val="20"/>
                <w:lang w:eastAsia="en-AU"/>
              </w:rPr>
            </w:pPr>
            <w:r w:rsidRPr="00DB760B">
              <w:rPr>
                <w:rFonts w:ascii="Arial Narrow" w:eastAsia="SimSun" w:hAnsi="Arial Narrow" w:cs="Arial Narrow"/>
                <w:snapToGrid/>
                <w:sz w:val="20"/>
                <w:szCs w:val="20"/>
                <w:lang w:eastAsia="en-AU"/>
              </w:rPr>
              <w:t>This fixed dose combination is not PBS-subsidised for initiating dual oral combination treatment or in combination with a thiazolidinedione (</w:t>
            </w:r>
            <w:proofErr w:type="spellStart"/>
            <w:r w:rsidRPr="00DB760B">
              <w:rPr>
                <w:rFonts w:ascii="Arial Narrow" w:eastAsia="SimSun" w:hAnsi="Arial Narrow" w:cs="Arial Narrow"/>
                <w:snapToGrid/>
                <w:sz w:val="20"/>
                <w:szCs w:val="20"/>
                <w:lang w:eastAsia="en-AU"/>
              </w:rPr>
              <w:t>glitazone</w:t>
            </w:r>
            <w:proofErr w:type="spellEnd"/>
            <w:r w:rsidRPr="00DB760B">
              <w:rPr>
                <w:rFonts w:ascii="Arial Narrow" w:eastAsia="SimSun" w:hAnsi="Arial Narrow" w:cs="Arial Narrow"/>
                <w:snapToGrid/>
                <w:sz w:val="20"/>
                <w:szCs w:val="20"/>
                <w:lang w:eastAsia="en-AU"/>
              </w:rPr>
              <w:t xml:space="preserve">), a glucagon-like peptide-1 analogue or </w:t>
            </w:r>
            <w:r w:rsidRPr="00DB760B">
              <w:rPr>
                <w:rFonts w:ascii="Arial Narrow" w:eastAsia="SimSun" w:hAnsi="Arial Narrow" w:cs="Arial Narrow"/>
                <w:strike/>
                <w:snapToGrid/>
                <w:sz w:val="20"/>
                <w:szCs w:val="20"/>
                <w:lang w:eastAsia="en-AU"/>
              </w:rPr>
              <w:t>an SGLT2 inhibitor</w:t>
            </w:r>
            <w:r w:rsidRPr="00DB760B">
              <w:rPr>
                <w:rFonts w:ascii="Arial Narrow" w:eastAsia="SimSun" w:hAnsi="Arial Narrow" w:cs="Arial Narrow"/>
                <w:i/>
                <w:snapToGrid/>
                <w:sz w:val="20"/>
                <w:szCs w:val="20"/>
                <w:lang w:eastAsia="en-AU"/>
              </w:rPr>
              <w:t xml:space="preserve"> another dipeptidyl peptidase 4 inhibitor (gliptin)</w:t>
            </w:r>
          </w:p>
          <w:p w:rsidR="002B4803" w:rsidRPr="00DB760B" w:rsidRDefault="002B4803" w:rsidP="00050ADD">
            <w:pPr>
              <w:widowControl/>
              <w:jc w:val="left"/>
              <w:rPr>
                <w:rFonts w:ascii="Arial Narrow" w:hAnsi="Arial Narrow" w:cs="Times New Roman"/>
                <w:i/>
                <w:strike/>
                <w:snapToGrid/>
                <w:sz w:val="20"/>
                <w:szCs w:val="20"/>
              </w:rPr>
            </w:pPr>
          </w:p>
          <w:p w:rsidR="002B4803" w:rsidRPr="00DB760B" w:rsidRDefault="002B4803" w:rsidP="00050ADD">
            <w:pPr>
              <w:widowControl/>
              <w:jc w:val="left"/>
              <w:rPr>
                <w:rFonts w:ascii="Arial Narrow" w:hAnsi="Arial Narrow" w:cs="Times New Roman"/>
                <w:i/>
                <w:snapToGrid/>
                <w:sz w:val="20"/>
                <w:szCs w:val="24"/>
                <w:lang w:eastAsia="en-AU"/>
              </w:rPr>
            </w:pPr>
            <w:r w:rsidRPr="00DB760B">
              <w:rPr>
                <w:rFonts w:ascii="Arial Narrow" w:hAnsi="Arial Narrow" w:cs="Times New Roman"/>
                <w:i/>
                <w:snapToGrid/>
                <w:sz w:val="20"/>
                <w:szCs w:val="24"/>
                <w:lang w:eastAsia="en-AU"/>
              </w:rPr>
              <w:t>PBS-subsidised dual oral therapy does not include combination use of:</w:t>
            </w:r>
          </w:p>
          <w:p w:rsidR="002B4803" w:rsidRPr="00DB760B" w:rsidRDefault="002B4803" w:rsidP="00050ADD">
            <w:pPr>
              <w:widowControl/>
              <w:numPr>
                <w:ilvl w:val="0"/>
                <w:numId w:val="19"/>
              </w:numPr>
              <w:contextualSpacing/>
              <w:jc w:val="left"/>
              <w:rPr>
                <w:rFonts w:ascii="Arial Narrow" w:hAnsi="Arial Narrow"/>
                <w:i/>
                <w:sz w:val="20"/>
                <w:szCs w:val="20"/>
                <w:lang w:eastAsia="en-AU"/>
              </w:rPr>
            </w:pPr>
            <w:r w:rsidRPr="00DB760B">
              <w:rPr>
                <w:rFonts w:ascii="Arial Narrow" w:hAnsi="Arial Narrow"/>
                <w:i/>
                <w:sz w:val="20"/>
                <w:szCs w:val="20"/>
                <w:lang w:eastAsia="en-AU"/>
              </w:rPr>
              <w:t>a gliptin with an SGLT2 inhibitor; or</w:t>
            </w:r>
          </w:p>
          <w:p w:rsidR="002B4803" w:rsidRPr="00DB760B" w:rsidRDefault="002B4803" w:rsidP="00050ADD">
            <w:pPr>
              <w:widowControl/>
              <w:numPr>
                <w:ilvl w:val="0"/>
                <w:numId w:val="19"/>
              </w:numPr>
              <w:contextualSpacing/>
              <w:jc w:val="left"/>
              <w:rPr>
                <w:rFonts w:ascii="Arial Narrow" w:hAnsi="Arial Narrow"/>
                <w:i/>
                <w:sz w:val="20"/>
                <w:szCs w:val="20"/>
                <w:lang w:eastAsia="en-AU"/>
              </w:rPr>
            </w:pPr>
            <w:r w:rsidRPr="00DB760B">
              <w:rPr>
                <w:rFonts w:ascii="Arial Narrow" w:hAnsi="Arial Narrow"/>
                <w:i/>
                <w:sz w:val="20"/>
                <w:szCs w:val="20"/>
                <w:lang w:eastAsia="en-AU"/>
              </w:rPr>
              <w:t xml:space="preserve">a gliptin with a </w:t>
            </w:r>
            <w:proofErr w:type="spellStart"/>
            <w:r w:rsidRPr="00DB760B">
              <w:rPr>
                <w:rFonts w:ascii="Arial Narrow" w:hAnsi="Arial Narrow"/>
                <w:i/>
                <w:sz w:val="20"/>
                <w:szCs w:val="20"/>
                <w:lang w:eastAsia="en-AU"/>
              </w:rPr>
              <w:t>glitazone</w:t>
            </w:r>
            <w:proofErr w:type="spellEnd"/>
            <w:r w:rsidRPr="00DB760B">
              <w:rPr>
                <w:rFonts w:ascii="Arial Narrow" w:hAnsi="Arial Narrow"/>
                <w:i/>
                <w:sz w:val="20"/>
                <w:szCs w:val="20"/>
                <w:lang w:eastAsia="en-AU"/>
              </w:rPr>
              <w:t xml:space="preserve">; or </w:t>
            </w:r>
          </w:p>
          <w:p w:rsidR="002B4803" w:rsidRPr="00DB760B" w:rsidRDefault="002B4803" w:rsidP="00050ADD">
            <w:pPr>
              <w:widowControl/>
              <w:numPr>
                <w:ilvl w:val="0"/>
                <w:numId w:val="19"/>
              </w:numPr>
              <w:contextualSpacing/>
              <w:jc w:val="left"/>
              <w:rPr>
                <w:rFonts w:ascii="Arial Narrow" w:hAnsi="Arial Narrow"/>
                <w:sz w:val="20"/>
                <w:szCs w:val="20"/>
                <w:lang w:eastAsia="en-AU"/>
              </w:rPr>
            </w:pPr>
            <w:proofErr w:type="gramStart"/>
            <w:r w:rsidRPr="00DB760B">
              <w:rPr>
                <w:rFonts w:ascii="Arial Narrow" w:hAnsi="Arial Narrow"/>
                <w:i/>
                <w:sz w:val="20"/>
                <w:szCs w:val="20"/>
                <w:lang w:eastAsia="en-AU"/>
              </w:rPr>
              <w:t>an</w:t>
            </w:r>
            <w:proofErr w:type="gramEnd"/>
            <w:r w:rsidRPr="00DB760B">
              <w:rPr>
                <w:rFonts w:ascii="Arial Narrow" w:hAnsi="Arial Narrow"/>
                <w:i/>
                <w:sz w:val="20"/>
                <w:szCs w:val="20"/>
                <w:lang w:eastAsia="en-AU"/>
              </w:rPr>
              <w:t xml:space="preserve"> SGLT2 inhibitor with a </w:t>
            </w:r>
            <w:proofErr w:type="spellStart"/>
            <w:r w:rsidRPr="00DB760B">
              <w:rPr>
                <w:rFonts w:ascii="Arial Narrow" w:hAnsi="Arial Narrow"/>
                <w:i/>
                <w:sz w:val="20"/>
                <w:szCs w:val="20"/>
                <w:lang w:eastAsia="en-AU"/>
              </w:rPr>
              <w:t>glitazone</w:t>
            </w:r>
            <w:proofErr w:type="spellEnd"/>
            <w:r w:rsidRPr="00DB760B">
              <w:rPr>
                <w:rFonts w:ascii="Arial Narrow" w:hAnsi="Arial Narrow"/>
                <w:sz w:val="20"/>
                <w:szCs w:val="20"/>
                <w:lang w:eastAsia="en-AU"/>
              </w:rPr>
              <w:t>.</w:t>
            </w:r>
          </w:p>
        </w:tc>
      </w:tr>
    </w:tbl>
    <w:p w:rsidR="00050ADD" w:rsidRPr="00DB760B" w:rsidRDefault="00050ADD" w:rsidP="00301DD3">
      <w:pPr>
        <w:pStyle w:val="NoSpacing"/>
      </w:pPr>
    </w:p>
    <w:tbl>
      <w:tblPr>
        <w:tblW w:w="9072" w:type="dxa"/>
        <w:tblInd w:w="28" w:type="dxa"/>
        <w:tblLayout w:type="fixed"/>
        <w:tblLook w:val="0000" w:firstRow="0" w:lastRow="0" w:firstColumn="0" w:lastColumn="0" w:noHBand="0" w:noVBand="0"/>
      </w:tblPr>
      <w:tblGrid>
        <w:gridCol w:w="2410"/>
        <w:gridCol w:w="6662"/>
      </w:tblGrid>
      <w:tr w:rsidR="00050ADD" w:rsidRPr="00DB760B" w:rsidTr="00DD4796">
        <w:trPr>
          <w:cantSplit/>
          <w:trHeight w:val="119"/>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2B4803">
            <w:pPr>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Category / Program</w:t>
            </w:r>
          </w:p>
        </w:tc>
        <w:tc>
          <w:tcPr>
            <w:tcW w:w="6662"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2B4803">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t>GENER</w:t>
            </w:r>
            <w:r w:rsidR="002B321D" w:rsidRPr="00DB760B">
              <w:rPr>
                <w:rFonts w:ascii="Arial Narrow" w:hAnsi="Arial Narrow"/>
                <w:snapToGrid/>
                <w:sz w:val="20"/>
                <w:szCs w:val="20"/>
                <w:lang w:eastAsia="en-AU"/>
              </w:rPr>
              <w:t>AL – General Schedule (Code GE)</w:t>
            </w:r>
          </w:p>
        </w:tc>
      </w:tr>
      <w:tr w:rsidR="00050ADD" w:rsidRPr="00DB760B" w:rsidTr="00DD4796">
        <w:trPr>
          <w:cantSplit/>
          <w:trHeight w:val="50"/>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Prescriber type:</w:t>
            </w:r>
          </w:p>
        </w:tc>
        <w:tc>
          <w:tcPr>
            <w:tcW w:w="6662"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417B53">
            <w:pPr>
              <w:widowControl/>
              <w:spacing w:before="40" w:after="40"/>
              <w:jc w:val="left"/>
              <w:rPr>
                <w:rFonts w:ascii="Arial Narrow" w:hAnsi="Arial Narrow" w:cs="Times New Roman"/>
                <w:snapToGrid/>
                <w:sz w:val="20"/>
                <w:szCs w:val="24"/>
                <w:lang w:eastAsia="en-AU"/>
              </w:rPr>
            </w:pPr>
            <w:r w:rsidRPr="00DB760B">
              <w:rPr>
                <w:rFonts w:ascii="Arial Narrow" w:hAnsi="Arial Narrow"/>
                <w:snapToGrid/>
                <w:sz w:val="20"/>
                <w:szCs w:val="20"/>
                <w:lang w:eastAsia="en-AU"/>
              </w:rPr>
              <w:fldChar w:fldCharType="begin">
                <w:ffData>
                  <w:name w:val="Check1"/>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Dental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Medical Practitioners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Nurse practitioners  </w:t>
            </w:r>
            <w:r w:rsidRPr="00DB760B">
              <w:rPr>
                <w:rFonts w:ascii="Arial Narrow" w:hAnsi="Arial Narrow"/>
                <w:snapToGrid/>
                <w:sz w:val="20"/>
                <w:szCs w:val="20"/>
                <w:lang w:eastAsia="en-AU"/>
              </w:rPr>
              <w:fldChar w:fldCharType="begin">
                <w:ffData>
                  <w:name w:val=""/>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Optometrists</w:t>
            </w:r>
            <w:r w:rsidR="00417B53" w:rsidRPr="00DB760B">
              <w:rPr>
                <w:rFonts w:ascii="Arial Narrow" w:hAnsi="Arial Narrow"/>
                <w:snapToGrid/>
                <w:sz w:val="20"/>
                <w:szCs w:val="20"/>
                <w:lang w:eastAsia="en-AU"/>
              </w:rPr>
              <w:t xml:space="preserve"> </w:t>
            </w:r>
            <w:r w:rsidRPr="00DB760B">
              <w:rPr>
                <w:rFonts w:ascii="Arial Narrow" w:hAnsi="Arial Narrow"/>
                <w:snapToGrid/>
                <w:sz w:val="20"/>
                <w:szCs w:val="20"/>
                <w:lang w:eastAsia="en-AU"/>
              </w:rPr>
              <w:fldChar w:fldCharType="begin">
                <w:ffData>
                  <w:name w:val="Check5"/>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Midwives</w:t>
            </w:r>
          </w:p>
        </w:tc>
      </w:tr>
      <w:tr w:rsidR="00050ADD" w:rsidRPr="00DB760B" w:rsidTr="00DD4796">
        <w:trPr>
          <w:cantSplit/>
          <w:trHeight w:val="185"/>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Condition:</w:t>
            </w:r>
          </w:p>
        </w:tc>
        <w:tc>
          <w:tcPr>
            <w:tcW w:w="6662"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snapToGrid/>
                <w:sz w:val="20"/>
                <w:szCs w:val="24"/>
                <w:lang w:eastAsia="en-AU"/>
              </w:rPr>
            </w:pPr>
            <w:r w:rsidRPr="00DB760B">
              <w:rPr>
                <w:rFonts w:ascii="Arial Narrow" w:hAnsi="Arial Narrow"/>
                <w:snapToGrid/>
                <w:sz w:val="20"/>
                <w:szCs w:val="20"/>
                <w:lang w:eastAsia="en-AU"/>
              </w:rPr>
              <w:t>Diabetes mellitus type 2</w:t>
            </w:r>
          </w:p>
        </w:tc>
      </w:tr>
      <w:tr w:rsidR="00050ADD" w:rsidRPr="00DB760B" w:rsidTr="00DD4796">
        <w:trPr>
          <w:cantSplit/>
          <w:trHeight w:val="90"/>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b/>
                <w:snapToGrid/>
                <w:sz w:val="20"/>
                <w:szCs w:val="24"/>
                <w:lang w:eastAsia="en-AU"/>
              </w:rPr>
            </w:pPr>
            <w:r w:rsidRPr="00DB760B">
              <w:rPr>
                <w:rFonts w:ascii="Arial Narrow" w:hAnsi="Arial Narrow"/>
                <w:b/>
                <w:snapToGrid/>
                <w:sz w:val="20"/>
                <w:szCs w:val="20"/>
                <w:lang w:eastAsia="en-AU"/>
              </w:rPr>
              <w:t>PBS Indication:</w:t>
            </w:r>
          </w:p>
        </w:tc>
        <w:tc>
          <w:tcPr>
            <w:tcW w:w="6662"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snapToGrid/>
                <w:sz w:val="20"/>
                <w:szCs w:val="24"/>
                <w:lang w:eastAsia="en-AU"/>
              </w:rPr>
            </w:pPr>
            <w:r w:rsidRPr="00DB760B">
              <w:rPr>
                <w:rFonts w:ascii="Arial Narrow" w:hAnsi="Arial Narrow"/>
                <w:snapToGrid/>
                <w:sz w:val="20"/>
                <w:szCs w:val="20"/>
                <w:lang w:eastAsia="en-AU"/>
              </w:rPr>
              <w:t>Diabetes mellitus type 2</w:t>
            </w:r>
          </w:p>
        </w:tc>
      </w:tr>
      <w:tr w:rsidR="00050ADD" w:rsidRPr="00DB760B" w:rsidTr="00DD4796">
        <w:trPr>
          <w:cantSplit/>
          <w:trHeight w:val="135"/>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b/>
                <w:snapToGrid/>
                <w:sz w:val="20"/>
                <w:szCs w:val="24"/>
                <w:lang w:eastAsia="en-AU"/>
              </w:rPr>
            </w:pPr>
            <w:r w:rsidRPr="00DB760B">
              <w:rPr>
                <w:rFonts w:ascii="Arial Narrow" w:hAnsi="Arial Narrow" w:cs="Times New Roman"/>
                <w:b/>
                <w:snapToGrid/>
                <w:sz w:val="20"/>
                <w:szCs w:val="24"/>
                <w:lang w:eastAsia="en-AU"/>
              </w:rPr>
              <w:t>Treatment Phase</w:t>
            </w:r>
          </w:p>
        </w:tc>
        <w:tc>
          <w:tcPr>
            <w:tcW w:w="6662"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i/>
                <w:snapToGrid/>
                <w:sz w:val="20"/>
                <w:szCs w:val="24"/>
                <w:lang w:eastAsia="en-AU"/>
              </w:rPr>
            </w:pPr>
            <w:r w:rsidRPr="00DB760B">
              <w:rPr>
                <w:rFonts w:ascii="Arial Narrow" w:hAnsi="Arial Narrow" w:cs="Times New Roman"/>
                <w:i/>
                <w:snapToGrid/>
                <w:sz w:val="20"/>
                <w:szCs w:val="24"/>
                <w:lang w:eastAsia="en-AU"/>
              </w:rPr>
              <w:t>Continuing treatment</w:t>
            </w:r>
          </w:p>
        </w:tc>
      </w:tr>
      <w:tr w:rsidR="00050ADD" w:rsidRPr="00DB760B" w:rsidTr="00DD4796">
        <w:trPr>
          <w:cantSplit/>
          <w:trHeight w:val="50"/>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snapToGrid/>
                <w:sz w:val="20"/>
                <w:szCs w:val="24"/>
                <w:lang w:eastAsia="en-AU"/>
              </w:rPr>
            </w:pPr>
            <w:r w:rsidRPr="00DB760B">
              <w:rPr>
                <w:rFonts w:ascii="Arial Narrow" w:hAnsi="Arial Narrow" w:cs="Times New Roman"/>
                <w:b/>
                <w:snapToGrid/>
                <w:sz w:val="20"/>
                <w:szCs w:val="24"/>
                <w:lang w:eastAsia="en-AU"/>
              </w:rPr>
              <w:t>Restriction Level / Method:</w:t>
            </w:r>
          </w:p>
        </w:tc>
        <w:tc>
          <w:tcPr>
            <w:tcW w:w="6662"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snapToGrid/>
                <w:sz w:val="20"/>
                <w:szCs w:val="24"/>
                <w:lang w:eastAsia="en-AU"/>
              </w:rPr>
            </w:pPr>
            <w:r w:rsidRPr="00DB760B">
              <w:rPr>
                <w:rFonts w:ascii="Arial Narrow" w:hAnsi="Arial Narrow" w:cs="Times New Roman"/>
                <w:snapToGrid/>
                <w:sz w:val="20"/>
                <w:szCs w:val="24"/>
                <w:lang w:eastAsia="en-AU"/>
              </w:rPr>
              <w:fldChar w:fldCharType="begin">
                <w:ffData>
                  <w:name w:val="Check5"/>
                  <w:enabled/>
                  <w:calcOnExit w:val="0"/>
                  <w:checkBox>
                    <w:sizeAuto/>
                    <w:default w:val="1"/>
                  </w:checkBox>
                </w:ffData>
              </w:fldChar>
            </w:r>
            <w:r w:rsidRPr="00DB760B">
              <w:rPr>
                <w:rFonts w:ascii="Arial Narrow" w:hAnsi="Arial Narrow" w:cs="Times New Roman"/>
                <w:snapToGrid/>
                <w:sz w:val="20"/>
                <w:szCs w:val="24"/>
                <w:lang w:eastAsia="en-AU"/>
              </w:rPr>
              <w:instrText xml:space="preserve"> FORMCHECKBOX </w:instrText>
            </w:r>
            <w:r w:rsidR="001B3286">
              <w:rPr>
                <w:rFonts w:ascii="Arial Narrow" w:hAnsi="Arial Narrow" w:cs="Times New Roman"/>
                <w:snapToGrid/>
                <w:sz w:val="20"/>
                <w:szCs w:val="24"/>
                <w:lang w:eastAsia="en-AU"/>
              </w:rPr>
            </w:r>
            <w:r w:rsidR="001B3286">
              <w:rPr>
                <w:rFonts w:ascii="Arial Narrow" w:hAnsi="Arial Narrow" w:cs="Times New Roman"/>
                <w:snapToGrid/>
                <w:sz w:val="20"/>
                <w:szCs w:val="24"/>
                <w:lang w:eastAsia="en-AU"/>
              </w:rPr>
              <w:fldChar w:fldCharType="separate"/>
            </w:r>
            <w:r w:rsidRPr="00DB760B">
              <w:rPr>
                <w:rFonts w:ascii="Arial Narrow" w:hAnsi="Arial Narrow" w:cs="Times New Roman"/>
                <w:snapToGrid/>
                <w:sz w:val="20"/>
                <w:szCs w:val="24"/>
                <w:lang w:eastAsia="en-AU"/>
              </w:rPr>
              <w:fldChar w:fldCharType="end"/>
            </w:r>
            <w:r w:rsidRPr="00DB760B">
              <w:rPr>
                <w:rFonts w:ascii="Arial Narrow" w:hAnsi="Arial Narrow" w:cs="Times New Roman"/>
                <w:snapToGrid/>
                <w:sz w:val="20"/>
                <w:szCs w:val="24"/>
                <w:lang w:eastAsia="en-AU"/>
              </w:rPr>
              <w:t>Authority Required (Streamlined)</w:t>
            </w:r>
          </w:p>
        </w:tc>
      </w:tr>
      <w:tr w:rsidR="00050ADD" w:rsidRPr="00DB760B" w:rsidTr="00DD4796">
        <w:trPr>
          <w:cantSplit/>
          <w:trHeight w:val="360"/>
        </w:trPr>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jc w:val="left"/>
              <w:rPr>
                <w:rFonts w:ascii="Arial Narrow" w:hAnsi="Arial Narrow" w:cs="Times New Roman"/>
                <w:b/>
                <w:snapToGrid/>
                <w:sz w:val="20"/>
                <w:szCs w:val="24"/>
                <w:lang w:eastAsia="en-AU"/>
              </w:rPr>
            </w:pPr>
            <w:r w:rsidRPr="00DB760B">
              <w:rPr>
                <w:rFonts w:ascii="Arial Narrow" w:hAnsi="Arial Narrow" w:cs="Times New Roman"/>
                <w:b/>
                <w:snapToGrid/>
                <w:sz w:val="20"/>
                <w:szCs w:val="24"/>
                <w:lang w:eastAsia="en-AU"/>
              </w:rPr>
              <w:t>Clinical criteria:</w:t>
            </w:r>
          </w:p>
          <w:p w:rsidR="00050ADD" w:rsidRPr="00DB760B" w:rsidRDefault="00050ADD" w:rsidP="00050ADD">
            <w:pPr>
              <w:widowControl/>
              <w:jc w:val="left"/>
              <w:rPr>
                <w:rFonts w:ascii="Arial Narrow" w:hAnsi="Arial Narrow" w:cs="Times New Roman"/>
                <w:snapToGrid/>
                <w:sz w:val="20"/>
                <w:szCs w:val="24"/>
                <w:lang w:eastAsia="en-AU"/>
              </w:rPr>
            </w:pPr>
          </w:p>
          <w:p w:rsidR="00050ADD" w:rsidRPr="00DB760B" w:rsidRDefault="00050ADD" w:rsidP="00050ADD">
            <w:pPr>
              <w:widowControl/>
              <w:jc w:val="left"/>
              <w:rPr>
                <w:rFonts w:ascii="Arial Narrow" w:hAnsi="Arial Narrow" w:cs="Times New Roman"/>
                <w:snapToGrid/>
                <w:sz w:val="20"/>
                <w:szCs w:val="24"/>
                <w:lang w:eastAsia="en-AU"/>
              </w:rPr>
            </w:pPr>
          </w:p>
        </w:tc>
        <w:tc>
          <w:tcPr>
            <w:tcW w:w="6662" w:type="dxa"/>
            <w:tcBorders>
              <w:top w:val="single" w:sz="4" w:space="0" w:color="auto"/>
              <w:left w:val="single" w:sz="4" w:space="0" w:color="auto"/>
              <w:bottom w:val="single" w:sz="4" w:space="0" w:color="auto"/>
              <w:right w:val="single" w:sz="4" w:space="0" w:color="auto"/>
            </w:tcBorders>
            <w:tcMar>
              <w:left w:w="28" w:type="dxa"/>
              <w:right w:w="28" w:type="dxa"/>
            </w:tcMar>
          </w:tcPr>
          <w:p w:rsidR="00050ADD" w:rsidRPr="00DB760B" w:rsidRDefault="00050ADD" w:rsidP="00050ADD">
            <w:pPr>
              <w:widowControl/>
              <w:spacing w:before="40" w:after="60"/>
              <w:rPr>
                <w:rFonts w:ascii="Arial Narrow" w:eastAsia="SimSun" w:hAnsi="Arial Narrow" w:cs="Arial Narrow"/>
                <w:i/>
                <w:snapToGrid/>
                <w:sz w:val="20"/>
                <w:szCs w:val="20"/>
                <w:lang w:eastAsia="en-AU"/>
              </w:rPr>
            </w:pPr>
            <w:r w:rsidRPr="00DB760B">
              <w:rPr>
                <w:rFonts w:ascii="Arial Narrow" w:eastAsia="SimSun" w:hAnsi="Arial Narrow" w:cs="Arial Narrow"/>
                <w:i/>
                <w:snapToGrid/>
                <w:sz w:val="20"/>
                <w:szCs w:val="20"/>
                <w:lang w:eastAsia="en-AU"/>
              </w:rPr>
              <w:t>The treatment must be in combination with a sodium-glucose co-transporter 2 (SGLT2) inhibitor</w:t>
            </w:r>
            <w:r w:rsidR="002B321D" w:rsidRPr="00DB760B">
              <w:rPr>
                <w:rFonts w:ascii="Arial Narrow" w:eastAsia="SimSun" w:hAnsi="Arial Narrow" w:cs="Arial Narrow"/>
                <w:i/>
                <w:snapToGrid/>
                <w:sz w:val="20"/>
                <w:szCs w:val="20"/>
                <w:lang w:eastAsia="en-AU"/>
              </w:rPr>
              <w:t>,</w:t>
            </w:r>
          </w:p>
          <w:p w:rsidR="00050ADD" w:rsidRPr="00DB760B" w:rsidRDefault="00050ADD" w:rsidP="00050ADD">
            <w:pPr>
              <w:widowControl/>
              <w:spacing w:before="40" w:after="60"/>
              <w:rPr>
                <w:rFonts w:ascii="Arial Narrow" w:eastAsia="SimSun" w:hAnsi="Arial Narrow" w:cs="Arial Narrow"/>
                <w:i/>
                <w:snapToGrid/>
                <w:sz w:val="20"/>
                <w:szCs w:val="20"/>
                <w:lang w:eastAsia="en-AU"/>
              </w:rPr>
            </w:pPr>
            <w:r w:rsidRPr="00DB760B">
              <w:rPr>
                <w:rFonts w:ascii="Arial Narrow" w:eastAsia="SimSun" w:hAnsi="Arial Narrow" w:cs="Arial Narrow"/>
                <w:i/>
                <w:snapToGrid/>
                <w:sz w:val="20"/>
                <w:szCs w:val="20"/>
                <w:lang w:eastAsia="en-AU"/>
              </w:rPr>
              <w:t>AND</w:t>
            </w:r>
          </w:p>
          <w:p w:rsidR="00050ADD" w:rsidRPr="00DB760B" w:rsidRDefault="00050ADD" w:rsidP="00050ADD">
            <w:pPr>
              <w:widowControl/>
              <w:jc w:val="left"/>
              <w:rPr>
                <w:rFonts w:ascii="Arial Narrow" w:hAnsi="Arial Narrow" w:cs="Times New Roman"/>
                <w:snapToGrid/>
                <w:sz w:val="20"/>
                <w:szCs w:val="24"/>
                <w:lang w:eastAsia="en-AU"/>
              </w:rPr>
            </w:pPr>
            <w:r w:rsidRPr="00DB760B">
              <w:rPr>
                <w:rFonts w:ascii="Arial Narrow" w:hAnsi="Arial Narrow" w:cs="Times New Roman"/>
                <w:i/>
                <w:snapToGrid/>
                <w:sz w:val="20"/>
                <w:szCs w:val="24"/>
                <w:lang w:eastAsia="en-AU"/>
              </w:rPr>
              <w:t>Patient must have previously received a PBS-subsidised regimen of oral diabetic medicines which included an SGLT2 inhibitor, metformin and a dipeptidyl peptidase 4 inhibit</w:t>
            </w:r>
            <w:r w:rsidR="00417B53" w:rsidRPr="00DB760B">
              <w:rPr>
                <w:rFonts w:ascii="Arial Narrow" w:hAnsi="Arial Narrow" w:cs="Times New Roman"/>
                <w:i/>
                <w:snapToGrid/>
                <w:sz w:val="20"/>
                <w:szCs w:val="24"/>
                <w:lang w:eastAsia="en-AU"/>
              </w:rPr>
              <w:t>or (gliptin) for this condition</w:t>
            </w:r>
          </w:p>
        </w:tc>
      </w:tr>
      <w:tr w:rsidR="00050ADD" w:rsidRPr="00DB760B" w:rsidTr="00DD4796">
        <w:trPr>
          <w:cantSplit/>
          <w:trHeight w:val="360"/>
        </w:trPr>
        <w:tc>
          <w:tcPr>
            <w:tcW w:w="2410" w:type="dxa"/>
            <w:tcBorders>
              <w:top w:val="single" w:sz="4" w:space="0" w:color="auto"/>
              <w:left w:val="single" w:sz="4" w:space="0" w:color="auto"/>
              <w:bottom w:val="single" w:sz="4" w:space="0" w:color="auto"/>
              <w:right w:val="single" w:sz="4" w:space="0" w:color="auto"/>
            </w:tcBorders>
          </w:tcPr>
          <w:p w:rsidR="00050ADD" w:rsidRPr="00DB760B" w:rsidRDefault="00050ADD" w:rsidP="00050ADD">
            <w:pPr>
              <w:widowControl/>
              <w:jc w:val="left"/>
              <w:rPr>
                <w:rFonts w:ascii="Arial Narrow" w:hAnsi="Arial Narrow" w:cs="Times New Roman"/>
                <w:b/>
                <w:snapToGrid/>
                <w:sz w:val="20"/>
                <w:szCs w:val="24"/>
                <w:lang w:eastAsia="en-AU"/>
              </w:rPr>
            </w:pPr>
            <w:r w:rsidRPr="00DB760B">
              <w:rPr>
                <w:rFonts w:ascii="Arial Narrow" w:hAnsi="Arial Narrow" w:cs="Times New Roman"/>
                <w:b/>
                <w:snapToGrid/>
                <w:sz w:val="20"/>
                <w:szCs w:val="24"/>
                <w:lang w:eastAsia="en-AU"/>
              </w:rPr>
              <w:lastRenderedPageBreak/>
              <w:t>Administrative Advice</w:t>
            </w:r>
          </w:p>
          <w:p w:rsidR="00050ADD" w:rsidRPr="00DB760B" w:rsidRDefault="00050ADD" w:rsidP="00050ADD">
            <w:pPr>
              <w:widowControl/>
              <w:jc w:val="left"/>
              <w:rPr>
                <w:rFonts w:ascii="Arial Narrow" w:hAnsi="Arial Narrow" w:cs="Times New Roman"/>
                <w:snapToGrid/>
                <w:sz w:val="20"/>
                <w:szCs w:val="24"/>
                <w:lang w:eastAsia="en-AU"/>
              </w:rPr>
            </w:pPr>
          </w:p>
          <w:p w:rsidR="00050ADD" w:rsidRPr="00DB760B" w:rsidRDefault="00050ADD" w:rsidP="00050ADD">
            <w:pPr>
              <w:widowControl/>
              <w:jc w:val="left"/>
              <w:rPr>
                <w:rFonts w:ascii="Arial Narrow" w:hAnsi="Arial Narrow" w:cs="Times New Roman"/>
                <w:snapToGrid/>
                <w:sz w:val="20"/>
                <w:szCs w:val="24"/>
                <w:lang w:eastAsia="en-AU"/>
              </w:rPr>
            </w:pPr>
          </w:p>
        </w:tc>
        <w:tc>
          <w:tcPr>
            <w:tcW w:w="666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50ADD" w:rsidRPr="00DB760B" w:rsidRDefault="00050ADD" w:rsidP="00050ADD">
            <w:pPr>
              <w:widowControl/>
              <w:spacing w:before="40" w:after="60"/>
              <w:rPr>
                <w:rFonts w:ascii="Arial Narrow" w:eastAsia="SimSun" w:hAnsi="Arial Narrow" w:cs="Arial Narrow"/>
                <w:snapToGrid/>
                <w:sz w:val="20"/>
                <w:szCs w:val="20"/>
                <w:lang w:eastAsia="en-AU"/>
              </w:rPr>
            </w:pPr>
            <w:r w:rsidRPr="00DB760B">
              <w:rPr>
                <w:rFonts w:ascii="Arial Narrow" w:eastAsia="SimSun" w:hAnsi="Arial Narrow" w:cs="Arial Narrow"/>
                <w:snapToGrid/>
                <w:sz w:val="20"/>
                <w:szCs w:val="20"/>
                <w:lang w:eastAsia="en-AU"/>
              </w:rPr>
              <w:t>Note: Continuing Therapy Only:</w:t>
            </w:r>
          </w:p>
          <w:p w:rsidR="00050ADD" w:rsidRPr="00DB760B" w:rsidRDefault="00050ADD" w:rsidP="00050ADD">
            <w:pPr>
              <w:widowControl/>
              <w:spacing w:before="40" w:after="60"/>
              <w:rPr>
                <w:rFonts w:ascii="Arial Narrow" w:eastAsia="SimSun" w:hAnsi="Arial Narrow" w:cs="Arial Narrow"/>
                <w:snapToGrid/>
                <w:sz w:val="20"/>
                <w:szCs w:val="20"/>
                <w:lang w:eastAsia="en-AU"/>
              </w:rPr>
            </w:pPr>
            <w:r w:rsidRPr="00DB760B">
              <w:rPr>
                <w:rFonts w:ascii="Arial Narrow" w:eastAsia="SimSun" w:hAnsi="Arial Narrow" w:cs="Arial Narrow"/>
                <w:snapToGrid/>
                <w:sz w:val="20"/>
                <w:szCs w:val="20"/>
                <w:lang w:eastAsia="en-AU"/>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050ADD" w:rsidRPr="00DB760B" w:rsidRDefault="00050ADD" w:rsidP="00050ADD">
            <w:pPr>
              <w:widowControl/>
              <w:spacing w:before="40" w:after="60"/>
              <w:rPr>
                <w:rFonts w:ascii="Arial Narrow" w:eastAsia="SimSun" w:hAnsi="Arial Narrow" w:cs="Arial Narrow"/>
                <w:i/>
                <w:snapToGrid/>
                <w:sz w:val="20"/>
                <w:szCs w:val="20"/>
                <w:lang w:eastAsia="en-AU"/>
              </w:rPr>
            </w:pPr>
            <w:r w:rsidRPr="00DB760B">
              <w:rPr>
                <w:rFonts w:ascii="Arial Narrow" w:eastAsia="SimSun" w:hAnsi="Arial Narrow" w:cs="Arial Narrow"/>
                <w:i/>
                <w:snapToGrid/>
                <w:sz w:val="20"/>
                <w:szCs w:val="20"/>
                <w:lang w:eastAsia="en-AU"/>
              </w:rPr>
              <w:t xml:space="preserve">Note: </w:t>
            </w:r>
          </w:p>
          <w:p w:rsidR="00050ADD" w:rsidRPr="00DB760B" w:rsidRDefault="00050ADD" w:rsidP="00050ADD">
            <w:pPr>
              <w:widowControl/>
              <w:jc w:val="left"/>
              <w:rPr>
                <w:rFonts w:ascii="Arial Narrow" w:eastAsia="SimSun" w:hAnsi="Arial Narrow" w:cs="Arial Narrow"/>
                <w:i/>
                <w:snapToGrid/>
                <w:sz w:val="20"/>
                <w:szCs w:val="20"/>
                <w:lang w:eastAsia="en-AU"/>
              </w:rPr>
            </w:pPr>
            <w:r w:rsidRPr="00DB760B">
              <w:rPr>
                <w:rFonts w:ascii="Arial Narrow" w:eastAsia="SimSun" w:hAnsi="Arial Narrow" w:cs="Arial Narrow"/>
                <w:i/>
                <w:snapToGrid/>
                <w:sz w:val="20"/>
                <w:szCs w:val="20"/>
                <w:lang w:eastAsia="en-AU"/>
              </w:rPr>
              <w:t>This fixed dose combination is not PBS-subsidised for initiating dual oral combination treatment or in combination with a thiazolidinedione (</w:t>
            </w:r>
            <w:proofErr w:type="spellStart"/>
            <w:r w:rsidRPr="00DB760B">
              <w:rPr>
                <w:rFonts w:ascii="Arial Narrow" w:eastAsia="SimSun" w:hAnsi="Arial Narrow" w:cs="Arial Narrow"/>
                <w:i/>
                <w:snapToGrid/>
                <w:sz w:val="20"/>
                <w:szCs w:val="20"/>
                <w:lang w:eastAsia="en-AU"/>
              </w:rPr>
              <w:t>glitazone</w:t>
            </w:r>
            <w:proofErr w:type="spellEnd"/>
            <w:r w:rsidRPr="00DB760B">
              <w:rPr>
                <w:rFonts w:ascii="Arial Narrow" w:eastAsia="SimSun" w:hAnsi="Arial Narrow" w:cs="Arial Narrow"/>
                <w:i/>
                <w:snapToGrid/>
                <w:sz w:val="20"/>
                <w:szCs w:val="20"/>
                <w:lang w:eastAsia="en-AU"/>
              </w:rPr>
              <w:t xml:space="preserve">), a glucagon-like peptide-1 analogue or another dipeptidyl peptidase </w:t>
            </w:r>
            <w:proofErr w:type="gramStart"/>
            <w:r w:rsidRPr="00DB760B">
              <w:rPr>
                <w:rFonts w:ascii="Arial Narrow" w:eastAsia="SimSun" w:hAnsi="Arial Narrow" w:cs="Arial Narrow"/>
                <w:i/>
                <w:snapToGrid/>
                <w:sz w:val="20"/>
                <w:szCs w:val="20"/>
                <w:lang w:eastAsia="en-AU"/>
              </w:rPr>
              <w:t>4 inhibitor (gliptin)</w:t>
            </w:r>
            <w:proofErr w:type="gramEnd"/>
            <w:r w:rsidRPr="00DB760B">
              <w:rPr>
                <w:rFonts w:ascii="Arial Narrow" w:eastAsia="SimSun" w:hAnsi="Arial Narrow" w:cs="Arial Narrow"/>
                <w:i/>
                <w:snapToGrid/>
                <w:sz w:val="20"/>
                <w:szCs w:val="20"/>
                <w:lang w:eastAsia="en-AU"/>
              </w:rPr>
              <w:t>.</w:t>
            </w:r>
          </w:p>
          <w:p w:rsidR="00050ADD" w:rsidRPr="00DB760B" w:rsidRDefault="00050ADD" w:rsidP="00050ADD">
            <w:pPr>
              <w:widowControl/>
              <w:jc w:val="left"/>
              <w:rPr>
                <w:rFonts w:ascii="Arial Narrow" w:eastAsia="SimSun" w:hAnsi="Arial Narrow" w:cs="Arial Narrow"/>
                <w:snapToGrid/>
                <w:sz w:val="20"/>
                <w:szCs w:val="20"/>
                <w:lang w:eastAsia="en-AU"/>
              </w:rPr>
            </w:pPr>
          </w:p>
          <w:p w:rsidR="00050ADD" w:rsidRPr="00DB760B" w:rsidRDefault="00050ADD" w:rsidP="00050ADD">
            <w:pPr>
              <w:widowControl/>
              <w:jc w:val="left"/>
              <w:rPr>
                <w:rFonts w:ascii="Arial Narrow" w:hAnsi="Arial Narrow" w:cs="Times New Roman"/>
                <w:i/>
                <w:snapToGrid/>
                <w:sz w:val="20"/>
                <w:szCs w:val="24"/>
                <w:lang w:eastAsia="en-AU"/>
              </w:rPr>
            </w:pPr>
            <w:r w:rsidRPr="00DB760B">
              <w:rPr>
                <w:rFonts w:ascii="Arial Narrow" w:hAnsi="Arial Narrow" w:cs="Times New Roman"/>
                <w:i/>
                <w:snapToGrid/>
                <w:sz w:val="20"/>
                <w:szCs w:val="24"/>
                <w:lang w:eastAsia="en-AU"/>
              </w:rPr>
              <w:t>PBS-subsidised dual oral therapy does not include combination use of</w:t>
            </w:r>
            <w:r w:rsidR="002B4803" w:rsidRPr="00DB760B">
              <w:rPr>
                <w:rFonts w:ascii="Arial Narrow" w:hAnsi="Arial Narrow" w:cs="Times New Roman"/>
                <w:i/>
                <w:snapToGrid/>
                <w:sz w:val="20"/>
                <w:szCs w:val="24"/>
                <w:lang w:eastAsia="en-AU"/>
              </w:rPr>
              <w:t>:</w:t>
            </w:r>
          </w:p>
          <w:p w:rsidR="00050ADD" w:rsidRPr="00DB760B" w:rsidRDefault="00050ADD" w:rsidP="00050ADD">
            <w:pPr>
              <w:widowControl/>
              <w:numPr>
                <w:ilvl w:val="0"/>
                <w:numId w:val="19"/>
              </w:numPr>
              <w:spacing w:after="200" w:line="276" w:lineRule="auto"/>
              <w:contextualSpacing/>
              <w:jc w:val="left"/>
              <w:rPr>
                <w:rFonts w:ascii="Arial Narrow" w:hAnsi="Arial Narrow"/>
                <w:i/>
                <w:sz w:val="20"/>
                <w:szCs w:val="20"/>
                <w:lang w:eastAsia="en-AU"/>
              </w:rPr>
            </w:pPr>
            <w:r w:rsidRPr="00DB760B">
              <w:rPr>
                <w:rFonts w:ascii="Arial Narrow" w:hAnsi="Arial Narrow"/>
                <w:i/>
                <w:sz w:val="20"/>
                <w:szCs w:val="20"/>
                <w:lang w:eastAsia="en-AU"/>
              </w:rPr>
              <w:t>a gliptin with an SGLT2 inhibitor; or</w:t>
            </w:r>
          </w:p>
          <w:p w:rsidR="00050ADD" w:rsidRPr="00DB760B" w:rsidRDefault="00050ADD" w:rsidP="00050ADD">
            <w:pPr>
              <w:widowControl/>
              <w:numPr>
                <w:ilvl w:val="0"/>
                <w:numId w:val="19"/>
              </w:numPr>
              <w:spacing w:after="200" w:line="276" w:lineRule="auto"/>
              <w:contextualSpacing/>
              <w:jc w:val="left"/>
              <w:rPr>
                <w:rFonts w:ascii="Arial Narrow" w:hAnsi="Arial Narrow"/>
                <w:i/>
                <w:sz w:val="20"/>
                <w:szCs w:val="20"/>
                <w:lang w:eastAsia="en-AU"/>
              </w:rPr>
            </w:pPr>
            <w:r w:rsidRPr="00DB760B">
              <w:rPr>
                <w:rFonts w:ascii="Arial Narrow" w:hAnsi="Arial Narrow"/>
                <w:i/>
                <w:sz w:val="20"/>
                <w:szCs w:val="20"/>
                <w:lang w:eastAsia="en-AU"/>
              </w:rPr>
              <w:t xml:space="preserve">a gliptin with a </w:t>
            </w:r>
            <w:proofErr w:type="spellStart"/>
            <w:r w:rsidRPr="00DB760B">
              <w:rPr>
                <w:rFonts w:ascii="Arial Narrow" w:hAnsi="Arial Narrow"/>
                <w:i/>
                <w:sz w:val="20"/>
                <w:szCs w:val="20"/>
                <w:lang w:eastAsia="en-AU"/>
              </w:rPr>
              <w:t>glitazone</w:t>
            </w:r>
            <w:proofErr w:type="spellEnd"/>
            <w:r w:rsidRPr="00DB760B">
              <w:rPr>
                <w:rFonts w:ascii="Arial Narrow" w:hAnsi="Arial Narrow"/>
                <w:i/>
                <w:sz w:val="20"/>
                <w:szCs w:val="20"/>
                <w:lang w:eastAsia="en-AU"/>
              </w:rPr>
              <w:t xml:space="preserve">; or </w:t>
            </w:r>
          </w:p>
          <w:p w:rsidR="00050ADD" w:rsidRPr="00DB760B" w:rsidRDefault="00050ADD" w:rsidP="00050ADD">
            <w:pPr>
              <w:widowControl/>
              <w:numPr>
                <w:ilvl w:val="0"/>
                <w:numId w:val="19"/>
              </w:numPr>
              <w:spacing w:after="200" w:line="276" w:lineRule="auto"/>
              <w:contextualSpacing/>
              <w:jc w:val="left"/>
              <w:rPr>
                <w:rFonts w:ascii="Arial Narrow" w:hAnsi="Arial Narrow"/>
                <w:sz w:val="20"/>
                <w:szCs w:val="20"/>
                <w:lang w:eastAsia="en-AU"/>
              </w:rPr>
            </w:pPr>
            <w:proofErr w:type="gramStart"/>
            <w:r w:rsidRPr="00DB760B">
              <w:rPr>
                <w:rFonts w:ascii="Arial Narrow" w:hAnsi="Arial Narrow"/>
                <w:i/>
                <w:sz w:val="20"/>
                <w:szCs w:val="20"/>
                <w:lang w:eastAsia="en-AU"/>
              </w:rPr>
              <w:t>an</w:t>
            </w:r>
            <w:proofErr w:type="gramEnd"/>
            <w:r w:rsidRPr="00DB760B">
              <w:rPr>
                <w:rFonts w:ascii="Arial Narrow" w:hAnsi="Arial Narrow"/>
                <w:i/>
                <w:sz w:val="20"/>
                <w:szCs w:val="20"/>
                <w:lang w:eastAsia="en-AU"/>
              </w:rPr>
              <w:t xml:space="preserve"> SGLT2 inhibitor with a </w:t>
            </w:r>
            <w:proofErr w:type="spellStart"/>
            <w:r w:rsidRPr="00DB760B">
              <w:rPr>
                <w:rFonts w:ascii="Arial Narrow" w:hAnsi="Arial Narrow"/>
                <w:i/>
                <w:sz w:val="20"/>
                <w:szCs w:val="20"/>
                <w:lang w:eastAsia="en-AU"/>
              </w:rPr>
              <w:t>glitazone</w:t>
            </w:r>
            <w:proofErr w:type="spellEnd"/>
            <w:r w:rsidRPr="00DB760B">
              <w:rPr>
                <w:rFonts w:ascii="Arial Narrow" w:hAnsi="Arial Narrow"/>
                <w:i/>
                <w:sz w:val="20"/>
                <w:szCs w:val="20"/>
                <w:lang w:eastAsia="en-AU"/>
              </w:rPr>
              <w:t>.</w:t>
            </w:r>
          </w:p>
        </w:tc>
      </w:tr>
    </w:tbl>
    <w:p w:rsidR="00050ADD" w:rsidRPr="00DB760B" w:rsidRDefault="00050ADD" w:rsidP="00301DD3">
      <w:pPr>
        <w:pStyle w:val="NoSpacing"/>
      </w:pPr>
    </w:p>
    <w:p w:rsidR="00050ADD" w:rsidRPr="00DB760B" w:rsidRDefault="007E5DC2" w:rsidP="007E5DC2">
      <w:pPr>
        <w:pStyle w:val="NoSpacing"/>
        <w:numPr>
          <w:ilvl w:val="1"/>
          <w:numId w:val="22"/>
        </w:numPr>
        <w:rPr>
          <w:rFonts w:asciiTheme="minorHAnsi" w:hAnsiTheme="minorHAnsi" w:cstheme="minorHAnsi"/>
          <w:sz w:val="24"/>
          <w:szCs w:val="24"/>
        </w:rPr>
      </w:pPr>
      <w:r w:rsidRPr="00DB760B">
        <w:rPr>
          <w:rFonts w:asciiTheme="minorHAnsi" w:hAnsiTheme="minorHAnsi" w:cstheme="minorHAnsi"/>
          <w:sz w:val="24"/>
          <w:szCs w:val="24"/>
        </w:rPr>
        <w:t>Amend proposed listings:</w:t>
      </w:r>
    </w:p>
    <w:p w:rsidR="007E5DC2" w:rsidRPr="00DB760B" w:rsidRDefault="007E5DC2" w:rsidP="007E5DC2">
      <w:pPr>
        <w:pStyle w:val="NoSpacing"/>
        <w:ind w:left="142"/>
        <w:rPr>
          <w:rFonts w:asciiTheme="minorHAnsi" w:hAnsiTheme="minorHAnsi" w:cstheme="minorHAnsi"/>
          <w:sz w:val="24"/>
          <w:szCs w:val="24"/>
        </w:rPr>
      </w:pPr>
    </w:p>
    <w:tbl>
      <w:tblPr>
        <w:tblW w:w="5000" w:type="pct"/>
        <w:tblLayout w:type="fixed"/>
        <w:tblLook w:val="0000" w:firstRow="0" w:lastRow="0" w:firstColumn="0" w:lastColumn="0" w:noHBand="0" w:noVBand="0"/>
      </w:tblPr>
      <w:tblGrid>
        <w:gridCol w:w="2517"/>
        <w:gridCol w:w="988"/>
        <w:gridCol w:w="849"/>
        <w:gridCol w:w="847"/>
        <w:gridCol w:w="1276"/>
        <w:gridCol w:w="2692"/>
        <w:gridCol w:w="74"/>
      </w:tblGrid>
      <w:tr w:rsidR="007E5DC2" w:rsidRPr="00DB760B" w:rsidTr="00654DC0">
        <w:trPr>
          <w:gridAfter w:val="1"/>
          <w:wAfter w:w="39" w:type="pct"/>
          <w:cantSplit/>
          <w:trHeight w:val="471"/>
        </w:trPr>
        <w:tc>
          <w:tcPr>
            <w:tcW w:w="1897" w:type="pct"/>
            <w:gridSpan w:val="2"/>
            <w:tcBorders>
              <w:bottom w:val="single" w:sz="4" w:space="0" w:color="auto"/>
            </w:tcBorders>
          </w:tcPr>
          <w:p w:rsidR="007E5DC2" w:rsidRPr="00DB760B" w:rsidRDefault="007E5DC2" w:rsidP="001B3286">
            <w:pPr>
              <w:keepNext/>
              <w:keepLines/>
              <w:widowControl/>
              <w:ind w:left="-108"/>
              <w:rPr>
                <w:rFonts w:ascii="Arial Narrow" w:hAnsi="Arial Narrow"/>
                <w:b/>
                <w:snapToGrid/>
                <w:sz w:val="20"/>
                <w:szCs w:val="20"/>
                <w:lang w:eastAsia="en-AU"/>
              </w:rPr>
            </w:pPr>
            <w:r w:rsidRPr="00DB760B">
              <w:rPr>
                <w:rFonts w:ascii="Arial Narrow" w:hAnsi="Arial Narrow"/>
                <w:b/>
                <w:snapToGrid/>
                <w:sz w:val="20"/>
                <w:szCs w:val="20"/>
                <w:lang w:eastAsia="en-AU"/>
              </w:rPr>
              <w:t>Name, Restriction,</w:t>
            </w:r>
          </w:p>
          <w:p w:rsidR="007E5DC2" w:rsidRPr="00DB760B" w:rsidRDefault="007E5DC2" w:rsidP="001B3286">
            <w:pPr>
              <w:keepNext/>
              <w:keepLines/>
              <w:widowControl/>
              <w:ind w:left="-108"/>
              <w:rPr>
                <w:rFonts w:ascii="Arial Narrow" w:hAnsi="Arial Narrow"/>
                <w:b/>
                <w:snapToGrid/>
                <w:sz w:val="20"/>
                <w:szCs w:val="20"/>
                <w:lang w:eastAsia="en-AU"/>
              </w:rPr>
            </w:pPr>
            <w:r w:rsidRPr="00DB760B">
              <w:rPr>
                <w:rFonts w:ascii="Arial Narrow" w:hAnsi="Arial Narrow"/>
                <w:b/>
                <w:snapToGrid/>
                <w:sz w:val="20"/>
                <w:szCs w:val="20"/>
                <w:lang w:eastAsia="en-AU"/>
              </w:rPr>
              <w:t>Manner of administration and Form</w:t>
            </w:r>
          </w:p>
        </w:tc>
        <w:tc>
          <w:tcPr>
            <w:tcW w:w="459" w:type="pct"/>
            <w:tcBorders>
              <w:bottom w:val="single" w:sz="4" w:space="0" w:color="auto"/>
            </w:tcBorders>
          </w:tcPr>
          <w:p w:rsidR="007E5DC2" w:rsidRPr="00DB760B" w:rsidRDefault="007E5DC2" w:rsidP="001B3286">
            <w:pPr>
              <w:keepNext/>
              <w:keepLines/>
              <w:widowControl/>
              <w:ind w:left="-108"/>
              <w:jc w:val="center"/>
              <w:rPr>
                <w:rFonts w:ascii="Arial Narrow" w:hAnsi="Arial Narrow"/>
                <w:b/>
                <w:snapToGrid/>
                <w:sz w:val="20"/>
                <w:szCs w:val="20"/>
                <w:lang w:eastAsia="en-AU"/>
              </w:rPr>
            </w:pPr>
            <w:r w:rsidRPr="00DB760B">
              <w:rPr>
                <w:rFonts w:ascii="Arial Narrow" w:hAnsi="Arial Narrow"/>
                <w:b/>
                <w:snapToGrid/>
                <w:sz w:val="20"/>
                <w:szCs w:val="20"/>
                <w:lang w:eastAsia="en-AU"/>
              </w:rPr>
              <w:t xml:space="preserve">Max </w:t>
            </w:r>
            <w:proofErr w:type="spellStart"/>
            <w:r w:rsidRPr="00DB760B">
              <w:rPr>
                <w:rFonts w:ascii="Arial Narrow" w:hAnsi="Arial Narrow"/>
                <w:b/>
                <w:snapToGrid/>
                <w:sz w:val="20"/>
                <w:szCs w:val="20"/>
                <w:lang w:eastAsia="en-AU"/>
              </w:rPr>
              <w:t>qty</w:t>
            </w:r>
            <w:proofErr w:type="spellEnd"/>
            <w:r w:rsidRPr="00DB760B">
              <w:rPr>
                <w:rFonts w:ascii="Arial Narrow" w:hAnsi="Arial Narrow"/>
                <w:b/>
                <w:snapToGrid/>
                <w:sz w:val="20"/>
                <w:szCs w:val="20"/>
                <w:lang w:eastAsia="en-AU"/>
              </w:rPr>
              <w:t xml:space="preserve"> packs</w:t>
            </w:r>
          </w:p>
        </w:tc>
        <w:tc>
          <w:tcPr>
            <w:tcW w:w="458" w:type="pct"/>
            <w:tcBorders>
              <w:bottom w:val="single" w:sz="4" w:space="0" w:color="auto"/>
            </w:tcBorders>
          </w:tcPr>
          <w:p w:rsidR="007E5DC2" w:rsidRPr="00DB760B" w:rsidRDefault="007E5DC2" w:rsidP="001B3286">
            <w:pPr>
              <w:keepNext/>
              <w:keepLines/>
              <w:widowControl/>
              <w:ind w:left="-108"/>
              <w:jc w:val="center"/>
              <w:rPr>
                <w:rFonts w:ascii="Arial Narrow" w:hAnsi="Arial Narrow"/>
                <w:b/>
                <w:snapToGrid/>
                <w:sz w:val="20"/>
                <w:szCs w:val="20"/>
                <w:lang w:eastAsia="en-AU"/>
              </w:rPr>
            </w:pPr>
            <w:r w:rsidRPr="00DB760B">
              <w:rPr>
                <w:rFonts w:ascii="Arial Narrow" w:hAnsi="Arial Narrow"/>
                <w:b/>
                <w:snapToGrid/>
                <w:sz w:val="20"/>
                <w:szCs w:val="20"/>
                <w:lang w:eastAsia="en-AU"/>
              </w:rPr>
              <w:t>No. of</w:t>
            </w:r>
          </w:p>
          <w:p w:rsidR="007E5DC2" w:rsidRPr="00DB760B" w:rsidRDefault="007E5DC2" w:rsidP="001B3286">
            <w:pPr>
              <w:keepNext/>
              <w:keepLines/>
              <w:widowControl/>
              <w:ind w:left="-108"/>
              <w:jc w:val="center"/>
              <w:rPr>
                <w:rFonts w:ascii="Arial Narrow" w:hAnsi="Arial Narrow"/>
                <w:b/>
                <w:snapToGrid/>
                <w:sz w:val="20"/>
                <w:szCs w:val="20"/>
                <w:lang w:eastAsia="en-AU"/>
              </w:rPr>
            </w:pPr>
            <w:r w:rsidRPr="00DB760B">
              <w:rPr>
                <w:rFonts w:ascii="Arial Narrow" w:hAnsi="Arial Narrow"/>
                <w:b/>
                <w:snapToGrid/>
                <w:sz w:val="20"/>
                <w:szCs w:val="20"/>
                <w:lang w:eastAsia="en-AU"/>
              </w:rPr>
              <w:t>repeats</w:t>
            </w:r>
          </w:p>
        </w:tc>
        <w:tc>
          <w:tcPr>
            <w:tcW w:w="2146" w:type="pct"/>
            <w:gridSpan w:val="2"/>
            <w:tcBorders>
              <w:bottom w:val="single" w:sz="4" w:space="0" w:color="auto"/>
            </w:tcBorders>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Proprietary Name and Manufacturer</w:t>
            </w:r>
          </w:p>
        </w:tc>
      </w:tr>
      <w:tr w:rsidR="007E5DC2" w:rsidRPr="00DB760B" w:rsidTr="00654DC0">
        <w:trPr>
          <w:gridAfter w:val="1"/>
          <w:wAfter w:w="39" w:type="pct"/>
          <w:cantSplit/>
          <w:trHeight w:val="577"/>
        </w:trPr>
        <w:tc>
          <w:tcPr>
            <w:tcW w:w="1897" w:type="pct"/>
            <w:gridSpan w:val="2"/>
          </w:tcPr>
          <w:p w:rsidR="007E5DC2" w:rsidRPr="00DB760B" w:rsidRDefault="007E5DC2" w:rsidP="001B3286">
            <w:pPr>
              <w:keepNext/>
              <w:keepLines/>
              <w:widowControl/>
              <w:ind w:left="-108"/>
              <w:rPr>
                <w:rFonts w:ascii="Arial Narrow" w:hAnsi="Arial Narrow"/>
                <w:smallCaps/>
                <w:snapToGrid/>
                <w:sz w:val="20"/>
                <w:szCs w:val="20"/>
                <w:lang w:eastAsia="en-AU"/>
              </w:rPr>
            </w:pPr>
            <w:proofErr w:type="spellStart"/>
            <w:r w:rsidRPr="00DB760B">
              <w:rPr>
                <w:rFonts w:ascii="Arial Narrow" w:hAnsi="Arial Narrow"/>
                <w:smallCaps/>
                <w:snapToGrid/>
                <w:sz w:val="20"/>
                <w:szCs w:val="20"/>
                <w:lang w:eastAsia="en-AU"/>
              </w:rPr>
              <w:t>Ertugliflozin</w:t>
            </w:r>
            <w:proofErr w:type="spellEnd"/>
          </w:p>
          <w:p w:rsidR="007E5DC2" w:rsidRPr="00DB760B" w:rsidRDefault="007E5DC2" w:rsidP="001B3286">
            <w:pPr>
              <w:keepNext/>
              <w:keepLines/>
              <w:widowControl/>
              <w:ind w:left="-108"/>
              <w:rPr>
                <w:rFonts w:ascii="Arial Narrow" w:hAnsi="Arial Narrow"/>
                <w:i/>
                <w:snapToGrid/>
                <w:sz w:val="20"/>
                <w:szCs w:val="20"/>
                <w:lang w:eastAsia="en-AU"/>
              </w:rPr>
            </w:pPr>
            <w:proofErr w:type="spellStart"/>
            <w:r w:rsidRPr="00DB760B">
              <w:rPr>
                <w:rFonts w:ascii="Arial Narrow" w:hAnsi="Arial Narrow"/>
                <w:i/>
                <w:snapToGrid/>
                <w:sz w:val="20"/>
                <w:szCs w:val="20"/>
                <w:lang w:eastAsia="en-AU"/>
              </w:rPr>
              <w:t>ertugliflozin</w:t>
            </w:r>
            <w:proofErr w:type="spellEnd"/>
            <w:r w:rsidRPr="00DB760B">
              <w:rPr>
                <w:rFonts w:ascii="Arial Narrow" w:hAnsi="Arial Narrow"/>
                <w:i/>
                <w:snapToGrid/>
                <w:sz w:val="20"/>
                <w:szCs w:val="20"/>
                <w:lang w:eastAsia="en-AU"/>
              </w:rPr>
              <w:t xml:space="preserve"> 5 mg tablet, 28</w:t>
            </w:r>
          </w:p>
          <w:p w:rsidR="007E5DC2" w:rsidRPr="00DB760B" w:rsidRDefault="007E5DC2" w:rsidP="001B3286">
            <w:pPr>
              <w:keepNext/>
              <w:keepLines/>
              <w:widowControl/>
              <w:ind w:left="-108"/>
              <w:rPr>
                <w:rFonts w:ascii="Arial Narrow" w:hAnsi="Arial Narrow"/>
                <w:i/>
                <w:snapToGrid/>
                <w:sz w:val="20"/>
                <w:szCs w:val="20"/>
                <w:lang w:eastAsia="en-AU"/>
              </w:rPr>
            </w:pPr>
            <w:proofErr w:type="spellStart"/>
            <w:r w:rsidRPr="00DB760B">
              <w:rPr>
                <w:rFonts w:ascii="Arial Narrow" w:hAnsi="Arial Narrow"/>
                <w:i/>
                <w:snapToGrid/>
                <w:sz w:val="20"/>
                <w:szCs w:val="20"/>
                <w:lang w:eastAsia="en-AU"/>
              </w:rPr>
              <w:t>ertugliflozin</w:t>
            </w:r>
            <w:proofErr w:type="spellEnd"/>
            <w:r w:rsidRPr="00DB760B">
              <w:rPr>
                <w:rFonts w:ascii="Arial Narrow" w:hAnsi="Arial Narrow"/>
                <w:i/>
                <w:snapToGrid/>
                <w:sz w:val="20"/>
                <w:szCs w:val="20"/>
                <w:lang w:eastAsia="en-AU"/>
              </w:rPr>
              <w:t xml:space="preserve"> 15 mg tablet, 28</w:t>
            </w:r>
          </w:p>
          <w:p w:rsidR="007E5DC2" w:rsidRPr="00DB760B" w:rsidRDefault="007E5DC2" w:rsidP="001B3286">
            <w:pPr>
              <w:keepNext/>
              <w:keepLines/>
              <w:widowControl/>
              <w:rPr>
                <w:rFonts w:ascii="Arial Narrow" w:hAnsi="Arial Narrow"/>
                <w:i/>
                <w:snapToGrid/>
                <w:sz w:val="20"/>
                <w:szCs w:val="20"/>
                <w:lang w:eastAsia="en-AU"/>
              </w:rPr>
            </w:pPr>
          </w:p>
        </w:tc>
        <w:tc>
          <w:tcPr>
            <w:tcW w:w="459" w:type="pct"/>
          </w:tcPr>
          <w:p w:rsidR="007E5DC2" w:rsidRPr="00DB760B" w:rsidRDefault="007E5DC2" w:rsidP="001B3286">
            <w:pPr>
              <w:keepNext/>
              <w:keepLines/>
              <w:widowControl/>
              <w:jc w:val="center"/>
              <w:rPr>
                <w:rFonts w:ascii="Arial Narrow" w:hAnsi="Arial Narrow"/>
                <w:snapToGrid/>
                <w:sz w:val="20"/>
                <w:szCs w:val="20"/>
                <w:lang w:eastAsia="en-AU"/>
              </w:rPr>
            </w:pPr>
          </w:p>
          <w:p w:rsidR="007E5DC2" w:rsidRPr="00DB760B" w:rsidRDefault="007E5DC2" w:rsidP="001B3286">
            <w:pPr>
              <w:keepNext/>
              <w:keepLines/>
              <w:widowControl/>
              <w:jc w:val="center"/>
              <w:rPr>
                <w:rFonts w:ascii="Arial Narrow" w:hAnsi="Arial Narrow"/>
                <w:snapToGrid/>
                <w:sz w:val="20"/>
                <w:szCs w:val="20"/>
                <w:lang w:eastAsia="en-AU"/>
              </w:rPr>
            </w:pPr>
            <w:r w:rsidRPr="00DB760B">
              <w:rPr>
                <w:rFonts w:ascii="Arial Narrow" w:hAnsi="Arial Narrow"/>
                <w:snapToGrid/>
                <w:sz w:val="20"/>
                <w:szCs w:val="20"/>
                <w:lang w:eastAsia="en-AU"/>
              </w:rPr>
              <w:t>1</w:t>
            </w:r>
          </w:p>
          <w:p w:rsidR="00DD4796" w:rsidRPr="00DB760B" w:rsidRDefault="00DD4796" w:rsidP="001B3286">
            <w:pPr>
              <w:keepNext/>
              <w:keepLines/>
              <w:widowControl/>
              <w:jc w:val="center"/>
              <w:rPr>
                <w:rFonts w:ascii="Arial Narrow" w:hAnsi="Arial Narrow"/>
                <w:snapToGrid/>
                <w:sz w:val="20"/>
                <w:szCs w:val="20"/>
                <w:lang w:eastAsia="en-AU"/>
              </w:rPr>
            </w:pPr>
            <w:r w:rsidRPr="00DB760B">
              <w:rPr>
                <w:rFonts w:ascii="Arial Narrow" w:hAnsi="Arial Narrow"/>
                <w:snapToGrid/>
                <w:sz w:val="20"/>
                <w:szCs w:val="20"/>
                <w:lang w:eastAsia="en-AU"/>
              </w:rPr>
              <w:t>1</w:t>
            </w:r>
          </w:p>
        </w:tc>
        <w:tc>
          <w:tcPr>
            <w:tcW w:w="458" w:type="pct"/>
          </w:tcPr>
          <w:p w:rsidR="007E5DC2" w:rsidRPr="00DB760B" w:rsidRDefault="007E5DC2" w:rsidP="001B3286">
            <w:pPr>
              <w:keepNext/>
              <w:keepLines/>
              <w:widowControl/>
              <w:ind w:left="-108"/>
              <w:jc w:val="center"/>
              <w:rPr>
                <w:rFonts w:ascii="Arial Narrow" w:hAnsi="Arial Narrow"/>
                <w:snapToGrid/>
                <w:sz w:val="20"/>
                <w:szCs w:val="20"/>
                <w:lang w:eastAsia="en-AU"/>
              </w:rPr>
            </w:pPr>
          </w:p>
          <w:p w:rsidR="007E5DC2" w:rsidRPr="00DB760B" w:rsidRDefault="007E5DC2" w:rsidP="001B3286">
            <w:pPr>
              <w:keepNext/>
              <w:keepLines/>
              <w:widowControl/>
              <w:ind w:left="-108"/>
              <w:jc w:val="center"/>
              <w:rPr>
                <w:rFonts w:ascii="Arial Narrow" w:hAnsi="Arial Narrow"/>
                <w:snapToGrid/>
                <w:sz w:val="20"/>
                <w:szCs w:val="20"/>
                <w:lang w:eastAsia="en-AU"/>
              </w:rPr>
            </w:pPr>
            <w:r w:rsidRPr="00DB760B">
              <w:rPr>
                <w:rFonts w:ascii="Arial Narrow" w:hAnsi="Arial Narrow"/>
                <w:snapToGrid/>
                <w:sz w:val="20"/>
                <w:szCs w:val="20"/>
                <w:lang w:eastAsia="en-AU"/>
              </w:rPr>
              <w:t>5</w:t>
            </w:r>
          </w:p>
          <w:p w:rsidR="00DD4796" w:rsidRPr="00DB760B" w:rsidRDefault="00DD4796" w:rsidP="001B3286">
            <w:pPr>
              <w:keepNext/>
              <w:keepLines/>
              <w:widowControl/>
              <w:ind w:left="-108"/>
              <w:jc w:val="center"/>
              <w:rPr>
                <w:rFonts w:ascii="Arial Narrow" w:hAnsi="Arial Narrow"/>
                <w:snapToGrid/>
                <w:sz w:val="20"/>
                <w:szCs w:val="20"/>
                <w:lang w:eastAsia="en-AU"/>
              </w:rPr>
            </w:pPr>
            <w:r w:rsidRPr="00DB760B">
              <w:rPr>
                <w:rFonts w:ascii="Arial Narrow" w:hAnsi="Arial Narrow"/>
                <w:snapToGrid/>
                <w:sz w:val="20"/>
                <w:szCs w:val="20"/>
                <w:lang w:eastAsia="en-AU"/>
              </w:rPr>
              <w:t>5</w:t>
            </w:r>
          </w:p>
          <w:p w:rsidR="007E5DC2" w:rsidRPr="00DB760B" w:rsidRDefault="007E5DC2" w:rsidP="001B3286">
            <w:pPr>
              <w:keepNext/>
              <w:keepLines/>
              <w:widowControl/>
              <w:rPr>
                <w:rFonts w:ascii="Arial Narrow" w:hAnsi="Arial Narrow"/>
                <w:snapToGrid/>
                <w:sz w:val="20"/>
                <w:szCs w:val="20"/>
                <w:lang w:eastAsia="en-AU"/>
              </w:rPr>
            </w:pPr>
          </w:p>
        </w:tc>
        <w:tc>
          <w:tcPr>
            <w:tcW w:w="690" w:type="pct"/>
          </w:tcPr>
          <w:p w:rsidR="007E5DC2" w:rsidRPr="00DB760B" w:rsidRDefault="007E5DC2" w:rsidP="001B3286">
            <w:pPr>
              <w:keepNext/>
              <w:keepLines/>
              <w:widowControl/>
              <w:jc w:val="left"/>
              <w:rPr>
                <w:rFonts w:ascii="Arial Narrow" w:hAnsi="Arial Narrow"/>
                <w:snapToGrid/>
                <w:sz w:val="20"/>
                <w:szCs w:val="20"/>
                <w:lang w:eastAsia="en-AU"/>
              </w:rPr>
            </w:pPr>
          </w:p>
          <w:p w:rsidR="007E5DC2" w:rsidRPr="00DB760B" w:rsidRDefault="007E5DC2" w:rsidP="001B3286">
            <w:pPr>
              <w:keepNext/>
              <w:keepLines/>
              <w:widowControl/>
              <w:jc w:val="left"/>
              <w:rPr>
                <w:rFonts w:ascii="Arial Narrow" w:hAnsi="Arial Narrow"/>
                <w:snapToGrid/>
                <w:sz w:val="20"/>
                <w:szCs w:val="20"/>
                <w:lang w:eastAsia="en-AU"/>
              </w:rPr>
            </w:pPr>
            <w:proofErr w:type="spellStart"/>
            <w:r w:rsidRPr="00DB760B">
              <w:rPr>
                <w:rFonts w:ascii="Arial Narrow" w:hAnsi="Arial Narrow"/>
                <w:snapToGrid/>
                <w:sz w:val="20"/>
                <w:szCs w:val="20"/>
                <w:lang w:eastAsia="en-AU"/>
              </w:rPr>
              <w:t>Steglatro</w:t>
            </w:r>
            <w:proofErr w:type="spellEnd"/>
            <w:r w:rsidRPr="00DB760B">
              <w:rPr>
                <w:rFonts w:ascii="Arial Narrow" w:hAnsi="Arial Narrow"/>
                <w:snapToGrid/>
                <w:sz w:val="20"/>
                <w:szCs w:val="20"/>
                <w:vertAlign w:val="superscript"/>
                <w:lang w:eastAsia="en-AU"/>
              </w:rPr>
              <w:t>®</w:t>
            </w:r>
            <w:r w:rsidRPr="00DB760B">
              <w:rPr>
                <w:rFonts w:ascii="Arial Narrow" w:hAnsi="Arial Narrow"/>
                <w:snapToGrid/>
                <w:sz w:val="20"/>
                <w:szCs w:val="20"/>
                <w:lang w:eastAsia="en-AU"/>
              </w:rPr>
              <w:t xml:space="preserve">  </w:t>
            </w:r>
          </w:p>
        </w:tc>
        <w:tc>
          <w:tcPr>
            <w:tcW w:w="1456" w:type="pct"/>
          </w:tcPr>
          <w:p w:rsidR="007E5DC2" w:rsidRPr="00DB760B" w:rsidRDefault="007E5DC2" w:rsidP="001B3286">
            <w:pPr>
              <w:keepNext/>
              <w:keepLines/>
              <w:widowControl/>
              <w:jc w:val="left"/>
              <w:rPr>
                <w:rFonts w:ascii="Arial Narrow" w:hAnsi="Arial Narrow"/>
                <w:snapToGrid/>
                <w:sz w:val="20"/>
                <w:szCs w:val="20"/>
                <w:lang w:eastAsia="en-AU"/>
              </w:rPr>
            </w:pPr>
          </w:p>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Merck Sharp &amp; Dohme</w:t>
            </w:r>
            <w:r w:rsidRPr="00DB760B" w:rsidDel="0092057C">
              <w:rPr>
                <w:rFonts w:ascii="Arial Narrow" w:hAnsi="Arial Narrow"/>
                <w:snapToGrid/>
                <w:sz w:val="20"/>
                <w:szCs w:val="20"/>
                <w:lang w:eastAsia="en-AU"/>
              </w:rPr>
              <w:t xml:space="preserve"> </w:t>
            </w:r>
          </w:p>
        </w:tc>
      </w:tr>
      <w:tr w:rsidR="007E5DC2" w:rsidRPr="00DB760B" w:rsidTr="007E5DC2">
        <w:trPr>
          <w:cantSplit/>
          <w:trHeight w:val="155"/>
        </w:trPr>
        <w:tc>
          <w:tcPr>
            <w:tcW w:w="136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Category / Program:</w:t>
            </w:r>
          </w:p>
        </w:tc>
        <w:tc>
          <w:tcPr>
            <w:tcW w:w="3638"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GENERAL – General Schedule (Code GE)</w:t>
            </w:r>
          </w:p>
        </w:tc>
      </w:tr>
      <w:tr w:rsidR="007E5DC2" w:rsidRPr="00DB760B" w:rsidTr="007E5DC2">
        <w:trPr>
          <w:cantSplit/>
          <w:trHeight w:val="59"/>
        </w:trPr>
        <w:tc>
          <w:tcPr>
            <w:tcW w:w="136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Prescriber type:</w:t>
            </w:r>
          </w:p>
        </w:tc>
        <w:tc>
          <w:tcPr>
            <w:tcW w:w="3638"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fldChar w:fldCharType="begin">
                <w:ffData>
                  <w:name w:val="Check1"/>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Dental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Medical Practitioners  </w:t>
            </w:r>
            <w:r w:rsidRPr="00DB760B">
              <w:rPr>
                <w:rFonts w:ascii="Arial Narrow" w:hAnsi="Arial Narrow"/>
                <w:snapToGrid/>
                <w:sz w:val="20"/>
                <w:szCs w:val="20"/>
                <w:lang w:eastAsia="en-AU"/>
              </w:rPr>
              <w:fldChar w:fldCharType="begin">
                <w:ffData>
                  <w:name w:val="Check3"/>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Nurse practitioners  </w:t>
            </w:r>
            <w:r w:rsidRPr="00DB760B">
              <w:rPr>
                <w:rFonts w:ascii="Arial Narrow" w:hAnsi="Arial Narrow"/>
                <w:snapToGrid/>
                <w:sz w:val="20"/>
                <w:szCs w:val="20"/>
                <w:lang w:eastAsia="en-AU"/>
              </w:rPr>
              <w:fldChar w:fldCharType="begin">
                <w:ffData>
                  <w:name w:val=""/>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Optometrists </w:t>
            </w:r>
            <w:r w:rsidRPr="00DB760B">
              <w:rPr>
                <w:rFonts w:ascii="Arial Narrow" w:hAnsi="Arial Narrow"/>
                <w:snapToGrid/>
                <w:sz w:val="20"/>
                <w:szCs w:val="20"/>
                <w:lang w:eastAsia="en-AU"/>
              </w:rPr>
              <w:fldChar w:fldCharType="begin">
                <w:ffData>
                  <w:name w:val="Check5"/>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Midwives</w:t>
            </w:r>
          </w:p>
        </w:tc>
      </w:tr>
      <w:tr w:rsidR="007E5DC2" w:rsidRPr="00DB760B" w:rsidTr="007E5DC2">
        <w:trPr>
          <w:cantSplit/>
          <w:trHeight w:val="106"/>
        </w:trPr>
        <w:tc>
          <w:tcPr>
            <w:tcW w:w="136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Condition:</w:t>
            </w:r>
          </w:p>
        </w:tc>
        <w:tc>
          <w:tcPr>
            <w:tcW w:w="3638"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Diabetes mellitus type 2</w:t>
            </w:r>
          </w:p>
        </w:tc>
      </w:tr>
      <w:tr w:rsidR="007E5DC2" w:rsidRPr="00DB760B" w:rsidTr="007E5DC2">
        <w:trPr>
          <w:cantSplit/>
          <w:trHeight w:val="137"/>
        </w:trPr>
        <w:tc>
          <w:tcPr>
            <w:tcW w:w="136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PBS indication:</w:t>
            </w:r>
          </w:p>
        </w:tc>
        <w:tc>
          <w:tcPr>
            <w:tcW w:w="3638"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Diabetes mellitus type 2</w:t>
            </w:r>
          </w:p>
        </w:tc>
      </w:tr>
      <w:tr w:rsidR="007E5DC2" w:rsidRPr="00DB760B" w:rsidTr="007E5DC2">
        <w:trPr>
          <w:cantSplit/>
          <w:trHeight w:val="50"/>
        </w:trPr>
        <w:tc>
          <w:tcPr>
            <w:tcW w:w="136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i/>
                <w:snapToGrid/>
                <w:sz w:val="20"/>
                <w:szCs w:val="20"/>
                <w:lang w:eastAsia="en-AU"/>
              </w:rPr>
            </w:pPr>
            <w:r w:rsidRPr="00DB760B">
              <w:rPr>
                <w:rFonts w:ascii="Arial Narrow" w:hAnsi="Arial Narrow"/>
                <w:b/>
                <w:snapToGrid/>
                <w:sz w:val="20"/>
                <w:szCs w:val="20"/>
                <w:lang w:eastAsia="en-AU"/>
              </w:rPr>
              <w:t>Restriction Level / Method:</w:t>
            </w:r>
          </w:p>
        </w:tc>
        <w:tc>
          <w:tcPr>
            <w:tcW w:w="3638"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fldChar w:fldCharType="begin">
                <w:ffData>
                  <w:name w:val="Check5"/>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Streamlined</w:t>
            </w:r>
          </w:p>
        </w:tc>
      </w:tr>
      <w:tr w:rsidR="007E5DC2" w:rsidRPr="00DB760B" w:rsidTr="007E5DC2">
        <w:trPr>
          <w:cantSplit/>
          <w:trHeight w:val="360"/>
        </w:trPr>
        <w:tc>
          <w:tcPr>
            <w:tcW w:w="136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Clinical criteria:</w:t>
            </w:r>
          </w:p>
          <w:p w:rsidR="007E5DC2" w:rsidRPr="00DB760B" w:rsidRDefault="007E5DC2" w:rsidP="001B3286">
            <w:pPr>
              <w:keepNext/>
              <w:keepLines/>
              <w:widowControl/>
              <w:rPr>
                <w:rFonts w:ascii="Arial Narrow" w:hAnsi="Arial Narrow"/>
                <w:i/>
                <w:snapToGrid/>
                <w:sz w:val="20"/>
                <w:szCs w:val="20"/>
                <w:lang w:eastAsia="en-AU"/>
              </w:rPr>
            </w:pPr>
          </w:p>
          <w:p w:rsidR="007E5DC2" w:rsidRPr="00DB760B" w:rsidRDefault="007E5DC2" w:rsidP="001B3286">
            <w:pPr>
              <w:keepNext/>
              <w:keepLines/>
              <w:widowControl/>
              <w:rPr>
                <w:rFonts w:ascii="Arial Narrow" w:hAnsi="Arial Narrow"/>
                <w:snapToGrid/>
                <w:sz w:val="20"/>
                <w:szCs w:val="20"/>
                <w:lang w:eastAsia="en-AU"/>
              </w:rPr>
            </w:pPr>
          </w:p>
        </w:tc>
        <w:tc>
          <w:tcPr>
            <w:tcW w:w="3638"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 xml:space="preserve">The treatment must be in combination with metformin; </w:t>
            </w:r>
          </w:p>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OR</w:t>
            </w:r>
          </w:p>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The treatment must be in combination with a sulfonylurea,</w:t>
            </w:r>
          </w:p>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AND</w:t>
            </w:r>
          </w:p>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 xml:space="preserve">Patient must have, or have had, a HbA1c measurement greater than 7% despite treatment with either metformin or a sulfonylurea; </w:t>
            </w:r>
          </w:p>
          <w:p w:rsidR="007E5DC2" w:rsidRPr="00DB760B" w:rsidRDefault="007E5DC2" w:rsidP="001B3286">
            <w:pPr>
              <w:keepNext/>
              <w:keepLines/>
              <w:widowControl/>
              <w:spacing w:before="40" w:after="60"/>
              <w:jc w:val="left"/>
              <w:rPr>
                <w:rFonts w:ascii="Arial Narrow" w:hAnsi="Arial Narrow"/>
                <w:i/>
                <w:snapToGrid/>
                <w:sz w:val="20"/>
                <w:szCs w:val="20"/>
                <w:lang w:eastAsia="en-AU"/>
              </w:rPr>
            </w:pPr>
            <w:r w:rsidRPr="00DB760B">
              <w:rPr>
                <w:rFonts w:ascii="Arial Narrow" w:hAnsi="Arial Narrow"/>
                <w:snapToGrid/>
                <w:sz w:val="20"/>
                <w:szCs w:val="20"/>
                <w:lang w:eastAsia="en-AU"/>
              </w:rPr>
              <w:t>OR</w:t>
            </w:r>
          </w:p>
          <w:p w:rsidR="007E5DC2" w:rsidRPr="00DB760B" w:rsidRDefault="007E5DC2" w:rsidP="001B3286">
            <w:pPr>
              <w:keepNext/>
              <w:keepLines/>
              <w:widowControl/>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 xml:space="preserve">Patient must have, or have had, where HbA1c measurement is clinically inappropriate, blood glucose levels greater than 10 </w:t>
            </w:r>
            <w:proofErr w:type="spellStart"/>
            <w:r w:rsidRPr="00DB760B">
              <w:rPr>
                <w:rFonts w:ascii="Arial Narrow" w:hAnsi="Arial Narrow"/>
                <w:snapToGrid/>
                <w:color w:val="333333"/>
                <w:sz w:val="20"/>
                <w:szCs w:val="20"/>
                <w:lang w:eastAsia="en-AU"/>
              </w:rPr>
              <w:t>mmol</w:t>
            </w:r>
            <w:proofErr w:type="spellEnd"/>
            <w:r w:rsidRPr="00DB760B">
              <w:rPr>
                <w:rFonts w:ascii="Arial Narrow" w:hAnsi="Arial Narrow"/>
                <w:snapToGrid/>
                <w:color w:val="333333"/>
                <w:sz w:val="20"/>
                <w:szCs w:val="20"/>
                <w:lang w:eastAsia="en-AU"/>
              </w:rPr>
              <w:t xml:space="preserve"> per L in more than 20% of tests over a 2 week period despite treatment with either metformin or a sulfonylurea.</w:t>
            </w:r>
          </w:p>
        </w:tc>
      </w:tr>
      <w:tr w:rsidR="007E5DC2" w:rsidRPr="00DB760B" w:rsidTr="007E5DC2">
        <w:trPr>
          <w:cantSplit/>
          <w:trHeight w:val="4213"/>
        </w:trPr>
        <w:tc>
          <w:tcPr>
            <w:tcW w:w="136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lastRenderedPageBreak/>
              <w:t>Prescriber instructions:</w:t>
            </w:r>
          </w:p>
          <w:p w:rsidR="007E5DC2" w:rsidRPr="00DB760B" w:rsidRDefault="007E5DC2" w:rsidP="001B3286">
            <w:pPr>
              <w:keepNext/>
              <w:keepLines/>
              <w:widowControl/>
              <w:rPr>
                <w:rFonts w:ascii="Arial Narrow" w:hAnsi="Arial Narrow"/>
                <w:snapToGrid/>
                <w:sz w:val="20"/>
                <w:szCs w:val="20"/>
                <w:lang w:eastAsia="en-AU"/>
              </w:rPr>
            </w:pPr>
          </w:p>
        </w:tc>
        <w:tc>
          <w:tcPr>
            <w:tcW w:w="3638"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DB760B">
              <w:rPr>
                <w:rFonts w:ascii="Arial Narrow" w:hAnsi="Arial Narrow"/>
                <w:snapToGrid/>
                <w:color w:val="333333"/>
                <w:sz w:val="20"/>
                <w:szCs w:val="20"/>
                <w:lang w:eastAsia="en-AU"/>
              </w:rPr>
              <w:t>glitazone</w:t>
            </w:r>
            <w:proofErr w:type="spellEnd"/>
            <w:r w:rsidRPr="00DB760B">
              <w:rPr>
                <w:rFonts w:ascii="Arial Narrow" w:hAnsi="Arial Narrow"/>
                <w:snapToGrid/>
                <w:color w:val="333333"/>
                <w:sz w:val="20"/>
                <w:szCs w:val="20"/>
                <w:lang w:eastAsia="en-AU"/>
              </w:rPr>
              <w:t>), a glucagon-like peptide-1 or a sodium-glucose co-transporter 2 (SGLT2) inhibitor is initiated.</w:t>
            </w:r>
          </w:p>
          <w:p w:rsidR="007E5DC2" w:rsidRPr="00DB760B" w:rsidRDefault="007E5DC2" w:rsidP="001B3286">
            <w:pPr>
              <w:keepNext/>
              <w:keepLines/>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 xml:space="preserve">The HbA1c must be no more than 4 months old at the time treatment with a gliptin, a </w:t>
            </w:r>
            <w:proofErr w:type="spellStart"/>
            <w:r w:rsidRPr="00DB760B">
              <w:rPr>
                <w:rFonts w:ascii="Arial Narrow" w:hAnsi="Arial Narrow"/>
                <w:snapToGrid/>
                <w:color w:val="333333"/>
                <w:sz w:val="20"/>
                <w:szCs w:val="20"/>
                <w:lang w:eastAsia="en-AU"/>
              </w:rPr>
              <w:t>glitazone</w:t>
            </w:r>
            <w:proofErr w:type="spellEnd"/>
            <w:r w:rsidRPr="00DB760B">
              <w:rPr>
                <w:rFonts w:ascii="Arial Narrow" w:hAnsi="Arial Narrow"/>
                <w:snapToGrid/>
                <w:color w:val="333333"/>
                <w:sz w:val="20"/>
                <w:szCs w:val="20"/>
                <w:lang w:eastAsia="en-AU"/>
              </w:rPr>
              <w:t>, a glucagon-like peptide-1 or an SGLT2 inhibitor is initiated.</w:t>
            </w:r>
          </w:p>
          <w:p w:rsidR="007E5DC2" w:rsidRPr="00DB760B" w:rsidRDefault="007E5DC2" w:rsidP="001B3286">
            <w:pPr>
              <w:keepNext/>
              <w:keepLines/>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Blood glucose monitoring may be used as an alternative assessment to HbA1c levels in the following circumstances:</w:t>
            </w:r>
          </w:p>
          <w:p w:rsidR="007E5DC2" w:rsidRPr="00DB760B" w:rsidRDefault="007E5DC2" w:rsidP="001B3286">
            <w:pPr>
              <w:keepNext/>
              <w:keepLines/>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 xml:space="preserve">(a) A clinical condition with reduced red blood cell survival, including haemolytic anaemias and </w:t>
            </w:r>
            <w:proofErr w:type="spellStart"/>
            <w:r w:rsidRPr="00DB760B">
              <w:rPr>
                <w:rFonts w:ascii="Arial Narrow" w:hAnsi="Arial Narrow"/>
                <w:snapToGrid/>
                <w:color w:val="333333"/>
                <w:sz w:val="20"/>
                <w:szCs w:val="20"/>
                <w:lang w:eastAsia="en-AU"/>
              </w:rPr>
              <w:t>haemoglobinopathies</w:t>
            </w:r>
            <w:proofErr w:type="spellEnd"/>
            <w:r w:rsidRPr="00DB760B">
              <w:rPr>
                <w:rFonts w:ascii="Arial Narrow" w:hAnsi="Arial Narrow"/>
                <w:snapToGrid/>
                <w:color w:val="333333"/>
                <w:sz w:val="20"/>
                <w:szCs w:val="20"/>
                <w:lang w:eastAsia="en-AU"/>
              </w:rPr>
              <w:t>; and/or</w:t>
            </w:r>
          </w:p>
          <w:p w:rsidR="007E5DC2" w:rsidRPr="00DB760B" w:rsidRDefault="007E5DC2" w:rsidP="001B3286">
            <w:pPr>
              <w:keepNext/>
              <w:keepLines/>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(b) Had red cell transfusion within the previous 3 months.</w:t>
            </w:r>
          </w:p>
          <w:p w:rsidR="007E5DC2" w:rsidRPr="00DB760B" w:rsidRDefault="007E5DC2" w:rsidP="001B3286">
            <w:pPr>
              <w:keepNext/>
              <w:keepLines/>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 xml:space="preserve">The results of the blood glucose monitoring, which must be no more than 4 months old at the time of initiation of treatment with a gliptin, a </w:t>
            </w:r>
            <w:proofErr w:type="spellStart"/>
            <w:r w:rsidRPr="00DB760B">
              <w:rPr>
                <w:rFonts w:ascii="Arial Narrow" w:hAnsi="Arial Narrow"/>
                <w:snapToGrid/>
                <w:color w:val="333333"/>
                <w:sz w:val="20"/>
                <w:szCs w:val="20"/>
                <w:lang w:eastAsia="en-AU"/>
              </w:rPr>
              <w:t>glitazone</w:t>
            </w:r>
            <w:proofErr w:type="spellEnd"/>
            <w:r w:rsidRPr="00DB760B">
              <w:rPr>
                <w:rFonts w:ascii="Arial Narrow" w:hAnsi="Arial Narrow"/>
                <w:snapToGrid/>
                <w:color w:val="333333"/>
                <w:sz w:val="20"/>
                <w:szCs w:val="20"/>
                <w:lang w:eastAsia="en-AU"/>
              </w:rPr>
              <w:t>, a glucagon-like peptide-1 or an SGLT2 inhibitor, must be documented in the patient's medical records.</w:t>
            </w:r>
          </w:p>
          <w:p w:rsidR="007E5DC2" w:rsidRPr="00DB760B" w:rsidRDefault="007E5DC2" w:rsidP="001B3286">
            <w:pPr>
              <w:keepNext/>
              <w:keepLines/>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A patient whose diabetes was previously demonstrated unable to be controlled with metformin or a sulfonylurea does not need to requalify on this criterion before being eligible for PBS-subsidised treatment with this drug.</w:t>
            </w:r>
          </w:p>
        </w:tc>
      </w:tr>
      <w:tr w:rsidR="007E5DC2" w:rsidRPr="00DB760B" w:rsidTr="007E5DC2">
        <w:trPr>
          <w:cantSplit/>
          <w:trHeight w:val="932"/>
        </w:trPr>
        <w:tc>
          <w:tcPr>
            <w:tcW w:w="136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spacing w:before="40" w:after="60"/>
              <w:rPr>
                <w:rFonts w:ascii="Arial Narrow" w:hAnsi="Arial Narrow"/>
                <w:b/>
                <w:snapToGrid/>
                <w:sz w:val="20"/>
                <w:szCs w:val="20"/>
                <w:lang w:eastAsia="en-AU"/>
              </w:rPr>
            </w:pPr>
            <w:r w:rsidRPr="00DB760B">
              <w:rPr>
                <w:rFonts w:ascii="Arial Narrow" w:hAnsi="Arial Narrow"/>
                <w:b/>
                <w:snapToGrid/>
                <w:sz w:val="20"/>
                <w:szCs w:val="20"/>
                <w:lang w:eastAsia="en-AU"/>
              </w:rPr>
              <w:t>Administrative advice:</w:t>
            </w:r>
          </w:p>
          <w:p w:rsidR="007E5DC2" w:rsidRPr="00DB760B" w:rsidRDefault="007E5DC2" w:rsidP="001B3286">
            <w:pPr>
              <w:keepNext/>
              <w:keepLines/>
              <w:widowControl/>
              <w:spacing w:before="40" w:after="60"/>
              <w:rPr>
                <w:rFonts w:ascii="Arial Narrow" w:hAnsi="Arial Narrow"/>
                <w:i/>
                <w:snapToGrid/>
                <w:sz w:val="20"/>
                <w:szCs w:val="20"/>
                <w:lang w:eastAsia="en-AU"/>
              </w:rPr>
            </w:pPr>
          </w:p>
        </w:tc>
        <w:tc>
          <w:tcPr>
            <w:tcW w:w="3638"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7E5DC2" w:rsidRPr="00DB760B" w:rsidRDefault="007E5DC2" w:rsidP="001B3286">
            <w:pPr>
              <w:keepNext/>
              <w:keepLines/>
              <w:widowControl/>
              <w:spacing w:before="40" w:after="60"/>
              <w:jc w:val="left"/>
              <w:rPr>
                <w:rFonts w:ascii="Arial Narrow" w:hAnsi="Arial Narrow"/>
                <w:sz w:val="20"/>
                <w:szCs w:val="20"/>
                <w:lang w:eastAsia="en-AU"/>
              </w:rPr>
            </w:pPr>
            <w:r w:rsidRPr="00DB760B">
              <w:rPr>
                <w:rFonts w:ascii="Arial Narrow" w:hAnsi="Arial Narrow"/>
                <w:snapToGrid/>
                <w:sz w:val="20"/>
                <w:szCs w:val="20"/>
                <w:lang w:eastAsia="en-AU"/>
              </w:rPr>
              <w:t>This drug is not PBS subsidised for use as monotherapy or in combination with a thiazolidinedione (</w:t>
            </w:r>
            <w:proofErr w:type="spellStart"/>
            <w:r w:rsidRPr="00DB760B">
              <w:rPr>
                <w:rFonts w:ascii="Arial Narrow" w:hAnsi="Arial Narrow"/>
                <w:snapToGrid/>
                <w:sz w:val="20"/>
                <w:szCs w:val="20"/>
                <w:lang w:eastAsia="en-AU"/>
              </w:rPr>
              <w:t>glitazone</w:t>
            </w:r>
            <w:proofErr w:type="spellEnd"/>
            <w:r w:rsidRPr="00DB760B">
              <w:rPr>
                <w:rFonts w:ascii="Arial Narrow" w:hAnsi="Arial Narrow"/>
                <w:snapToGrid/>
                <w:sz w:val="20"/>
                <w:szCs w:val="20"/>
                <w:lang w:eastAsia="en-AU"/>
              </w:rPr>
              <w:t xml:space="preserve">), </w:t>
            </w:r>
            <w:r w:rsidRPr="00DB760B">
              <w:rPr>
                <w:rFonts w:ascii="Arial Narrow" w:hAnsi="Arial Narrow"/>
                <w:strike/>
                <w:sz w:val="20"/>
                <w:szCs w:val="20"/>
              </w:rPr>
              <w:t xml:space="preserve">a dipeptidyl peptidase </w:t>
            </w:r>
            <w:proofErr w:type="gramStart"/>
            <w:r w:rsidRPr="00DB760B">
              <w:rPr>
                <w:rFonts w:ascii="Arial Narrow" w:hAnsi="Arial Narrow"/>
                <w:strike/>
                <w:sz w:val="20"/>
                <w:szCs w:val="20"/>
              </w:rPr>
              <w:t>4 inhibitor (gliptin),</w:t>
            </w:r>
            <w:r w:rsidRPr="00DB760B">
              <w:rPr>
                <w:rFonts w:ascii="Arial Narrow" w:hAnsi="Arial Narrow"/>
                <w:sz w:val="20"/>
                <w:szCs w:val="20"/>
              </w:rPr>
              <w:t xml:space="preserve"> </w:t>
            </w:r>
            <w:r w:rsidRPr="00DB760B">
              <w:rPr>
                <w:rFonts w:ascii="Arial Narrow" w:hAnsi="Arial Narrow"/>
                <w:snapToGrid/>
                <w:sz w:val="20"/>
                <w:szCs w:val="20"/>
                <w:lang w:eastAsia="en-AU"/>
              </w:rPr>
              <w:t>insulin or a glucagon-like peptide-1</w:t>
            </w:r>
            <w:proofErr w:type="gramEnd"/>
            <w:r w:rsidRPr="00DB760B">
              <w:rPr>
                <w:rFonts w:ascii="Arial Narrow" w:hAnsi="Arial Narrow"/>
                <w:snapToGrid/>
                <w:sz w:val="20"/>
                <w:szCs w:val="20"/>
                <w:lang w:eastAsia="en-AU"/>
              </w:rPr>
              <w:t>.</w:t>
            </w:r>
          </w:p>
        </w:tc>
      </w:tr>
    </w:tbl>
    <w:p w:rsidR="007E5DC2" w:rsidRPr="00DB760B" w:rsidRDefault="007E5DC2" w:rsidP="007E5DC2">
      <w:pPr>
        <w:widowControl/>
        <w:jc w:val="left"/>
        <w:rPr>
          <w:rFonts w:ascii="Arial" w:hAnsi="Arial"/>
          <w:snapToGrid/>
          <w:sz w:val="22"/>
          <w:lang w:eastAsia="en-AU"/>
        </w:rPr>
      </w:pPr>
    </w:p>
    <w:tbl>
      <w:tblPr>
        <w:tblW w:w="5000" w:type="pct"/>
        <w:tblBorders>
          <w:bottom w:val="single" w:sz="4" w:space="0" w:color="auto"/>
        </w:tblBorders>
        <w:tblLook w:val="0000" w:firstRow="0" w:lastRow="0" w:firstColumn="0" w:lastColumn="0" w:noHBand="0" w:noVBand="0"/>
      </w:tblPr>
      <w:tblGrid>
        <w:gridCol w:w="2149"/>
        <w:gridCol w:w="1423"/>
        <w:gridCol w:w="574"/>
        <w:gridCol w:w="692"/>
        <w:gridCol w:w="2838"/>
        <w:gridCol w:w="1567"/>
      </w:tblGrid>
      <w:tr w:rsidR="00DD4796" w:rsidRPr="00DB760B" w:rsidTr="001B3286">
        <w:trPr>
          <w:cantSplit/>
          <w:trHeight w:val="471"/>
        </w:trPr>
        <w:tc>
          <w:tcPr>
            <w:tcW w:w="2265" w:type="pct"/>
            <w:gridSpan w:val="2"/>
            <w:tcBorders>
              <w:bottom w:val="single" w:sz="4" w:space="0" w:color="auto"/>
              <w:right w:val="nil"/>
            </w:tcBorders>
          </w:tcPr>
          <w:p w:rsidR="007E5DC2" w:rsidRPr="00DB760B" w:rsidRDefault="007E5DC2" w:rsidP="00654DC0">
            <w:pPr>
              <w:keepNext/>
              <w:widowControl/>
              <w:ind w:left="-108"/>
              <w:jc w:val="left"/>
              <w:rPr>
                <w:rFonts w:ascii="Arial Narrow" w:hAnsi="Arial Narrow"/>
                <w:b/>
                <w:snapToGrid/>
                <w:sz w:val="20"/>
                <w:szCs w:val="20"/>
                <w:lang w:eastAsia="en-AU"/>
              </w:rPr>
            </w:pPr>
            <w:r w:rsidRPr="00DB760B">
              <w:rPr>
                <w:rFonts w:ascii="Arial Narrow" w:hAnsi="Arial Narrow"/>
                <w:b/>
                <w:snapToGrid/>
                <w:sz w:val="20"/>
                <w:szCs w:val="20"/>
                <w:lang w:eastAsia="en-AU"/>
              </w:rPr>
              <w:t>Name, Restriction,</w:t>
            </w:r>
          </w:p>
          <w:p w:rsidR="007E5DC2" w:rsidRPr="00DB760B" w:rsidRDefault="007E5DC2" w:rsidP="00654DC0">
            <w:pPr>
              <w:keepNext/>
              <w:widowControl/>
              <w:ind w:left="-108"/>
              <w:jc w:val="left"/>
              <w:rPr>
                <w:rFonts w:ascii="Arial Narrow" w:hAnsi="Arial Narrow"/>
                <w:b/>
                <w:snapToGrid/>
                <w:sz w:val="20"/>
                <w:szCs w:val="20"/>
                <w:lang w:eastAsia="en-AU"/>
              </w:rPr>
            </w:pPr>
            <w:r w:rsidRPr="00DB760B">
              <w:rPr>
                <w:rFonts w:ascii="Arial Narrow" w:hAnsi="Arial Narrow"/>
                <w:b/>
                <w:snapToGrid/>
                <w:sz w:val="20"/>
                <w:szCs w:val="20"/>
                <w:lang w:eastAsia="en-AU"/>
              </w:rPr>
              <w:t>Manner of administration and Form</w:t>
            </w:r>
          </w:p>
        </w:tc>
        <w:tc>
          <w:tcPr>
            <w:tcW w:w="469" w:type="pct"/>
            <w:tcBorders>
              <w:left w:val="nil"/>
              <w:bottom w:val="single" w:sz="4" w:space="0" w:color="auto"/>
              <w:right w:val="nil"/>
            </w:tcBorders>
          </w:tcPr>
          <w:p w:rsidR="007E5DC2" w:rsidRPr="00DB760B" w:rsidRDefault="007E5DC2" w:rsidP="00654DC0">
            <w:pPr>
              <w:keepNext/>
              <w:widowControl/>
              <w:ind w:left="-108"/>
              <w:jc w:val="center"/>
              <w:rPr>
                <w:rFonts w:ascii="Arial Narrow" w:hAnsi="Arial Narrow"/>
                <w:b/>
                <w:snapToGrid/>
                <w:sz w:val="20"/>
                <w:szCs w:val="20"/>
                <w:lang w:eastAsia="en-AU"/>
              </w:rPr>
            </w:pPr>
            <w:r w:rsidRPr="00DB760B">
              <w:rPr>
                <w:rFonts w:ascii="Arial Narrow" w:hAnsi="Arial Narrow"/>
                <w:b/>
                <w:snapToGrid/>
                <w:sz w:val="20"/>
                <w:szCs w:val="20"/>
                <w:lang w:eastAsia="en-AU"/>
              </w:rPr>
              <w:t xml:space="preserve">Max </w:t>
            </w:r>
            <w:proofErr w:type="spellStart"/>
            <w:r w:rsidRPr="00DB760B">
              <w:rPr>
                <w:rFonts w:ascii="Arial Narrow" w:hAnsi="Arial Narrow"/>
                <w:b/>
                <w:snapToGrid/>
                <w:sz w:val="20"/>
                <w:szCs w:val="20"/>
                <w:lang w:eastAsia="en-AU"/>
              </w:rPr>
              <w:t>qty</w:t>
            </w:r>
            <w:proofErr w:type="spellEnd"/>
            <w:r w:rsidRPr="00DB760B">
              <w:rPr>
                <w:rFonts w:ascii="Arial Narrow" w:hAnsi="Arial Narrow"/>
                <w:b/>
                <w:snapToGrid/>
                <w:sz w:val="20"/>
                <w:szCs w:val="20"/>
                <w:lang w:eastAsia="en-AU"/>
              </w:rPr>
              <w:t xml:space="preserve"> packs</w:t>
            </w:r>
          </w:p>
        </w:tc>
        <w:tc>
          <w:tcPr>
            <w:tcW w:w="546" w:type="pct"/>
            <w:tcBorders>
              <w:left w:val="nil"/>
              <w:bottom w:val="single" w:sz="4" w:space="0" w:color="auto"/>
              <w:right w:val="nil"/>
            </w:tcBorders>
          </w:tcPr>
          <w:p w:rsidR="007E5DC2" w:rsidRPr="00DB760B" w:rsidRDefault="007E5DC2" w:rsidP="00654DC0">
            <w:pPr>
              <w:keepNext/>
              <w:widowControl/>
              <w:ind w:left="-108"/>
              <w:jc w:val="center"/>
              <w:rPr>
                <w:rFonts w:ascii="Arial Narrow" w:hAnsi="Arial Narrow"/>
                <w:b/>
                <w:snapToGrid/>
                <w:sz w:val="20"/>
                <w:szCs w:val="20"/>
                <w:lang w:eastAsia="en-AU"/>
              </w:rPr>
            </w:pPr>
            <w:r w:rsidRPr="00DB760B">
              <w:rPr>
                <w:rFonts w:ascii="Arial Narrow" w:hAnsi="Arial Narrow"/>
                <w:b/>
                <w:snapToGrid/>
                <w:sz w:val="20"/>
                <w:szCs w:val="20"/>
                <w:lang w:eastAsia="en-AU"/>
              </w:rPr>
              <w:t>No. of</w:t>
            </w:r>
          </w:p>
          <w:p w:rsidR="007E5DC2" w:rsidRPr="00DB760B" w:rsidRDefault="007E5DC2" w:rsidP="00654DC0">
            <w:pPr>
              <w:keepNext/>
              <w:widowControl/>
              <w:ind w:left="-108"/>
              <w:jc w:val="center"/>
              <w:rPr>
                <w:rFonts w:ascii="Arial Narrow" w:hAnsi="Arial Narrow"/>
                <w:b/>
                <w:snapToGrid/>
                <w:sz w:val="20"/>
                <w:szCs w:val="20"/>
                <w:lang w:eastAsia="en-AU"/>
              </w:rPr>
            </w:pPr>
            <w:r w:rsidRPr="00DB760B">
              <w:rPr>
                <w:rFonts w:ascii="Arial Narrow" w:hAnsi="Arial Narrow"/>
                <w:b/>
                <w:snapToGrid/>
                <w:sz w:val="20"/>
                <w:szCs w:val="20"/>
                <w:lang w:eastAsia="en-AU"/>
              </w:rPr>
              <w:t>repeats</w:t>
            </w:r>
          </w:p>
        </w:tc>
        <w:tc>
          <w:tcPr>
            <w:tcW w:w="1720" w:type="pct"/>
            <w:gridSpan w:val="2"/>
            <w:tcBorders>
              <w:left w:val="nil"/>
              <w:bottom w:val="single" w:sz="4" w:space="0" w:color="auto"/>
            </w:tcBorders>
          </w:tcPr>
          <w:p w:rsidR="007E5DC2" w:rsidRPr="00DB760B" w:rsidRDefault="007E5DC2" w:rsidP="00654DC0">
            <w:pPr>
              <w:keepNext/>
              <w:widowControl/>
              <w:jc w:val="left"/>
              <w:rPr>
                <w:rFonts w:ascii="Arial Narrow" w:hAnsi="Arial Narrow"/>
                <w:b/>
                <w:snapToGrid/>
                <w:sz w:val="20"/>
                <w:szCs w:val="20"/>
                <w:lang w:eastAsia="en-AU"/>
              </w:rPr>
            </w:pPr>
            <w:r w:rsidRPr="00DB760B">
              <w:rPr>
                <w:rFonts w:ascii="Arial Narrow" w:hAnsi="Arial Narrow"/>
                <w:b/>
                <w:snapToGrid/>
                <w:sz w:val="20"/>
                <w:szCs w:val="20"/>
                <w:lang w:eastAsia="en-AU"/>
              </w:rPr>
              <w:t>Proprietary Name and Manufacturer</w:t>
            </w:r>
          </w:p>
        </w:tc>
      </w:tr>
      <w:tr w:rsidR="00DD4796" w:rsidRPr="00DB760B" w:rsidTr="001B3286">
        <w:trPr>
          <w:cantSplit/>
          <w:trHeight w:val="577"/>
        </w:trPr>
        <w:tc>
          <w:tcPr>
            <w:tcW w:w="2265" w:type="pct"/>
            <w:gridSpan w:val="2"/>
            <w:tcBorders>
              <w:top w:val="single" w:sz="4" w:space="0" w:color="auto"/>
              <w:bottom w:val="nil"/>
              <w:right w:val="nil"/>
            </w:tcBorders>
          </w:tcPr>
          <w:p w:rsidR="007E5DC2" w:rsidRPr="00DB760B" w:rsidRDefault="00DD4796" w:rsidP="007E5DC2">
            <w:pPr>
              <w:widowControl/>
              <w:ind w:left="-108"/>
              <w:jc w:val="left"/>
              <w:rPr>
                <w:rFonts w:ascii="Arial Narrow" w:hAnsi="Arial Narrow"/>
                <w:smallCaps/>
                <w:snapToGrid/>
                <w:sz w:val="20"/>
                <w:szCs w:val="20"/>
                <w:lang w:eastAsia="en-AU"/>
              </w:rPr>
            </w:pPr>
            <w:proofErr w:type="spellStart"/>
            <w:r w:rsidRPr="00DB760B">
              <w:rPr>
                <w:rFonts w:ascii="Arial Narrow" w:hAnsi="Arial Narrow"/>
                <w:smallCaps/>
                <w:snapToGrid/>
                <w:sz w:val="20"/>
                <w:szCs w:val="20"/>
                <w:lang w:eastAsia="en-AU"/>
              </w:rPr>
              <w:t>Ertugliflozin</w:t>
            </w:r>
            <w:proofErr w:type="spellEnd"/>
            <w:r w:rsidRPr="00DB760B">
              <w:rPr>
                <w:rFonts w:ascii="Arial Narrow" w:hAnsi="Arial Narrow"/>
                <w:smallCaps/>
                <w:snapToGrid/>
                <w:sz w:val="20"/>
                <w:szCs w:val="20"/>
                <w:lang w:eastAsia="en-AU"/>
              </w:rPr>
              <w:t xml:space="preserve"> with</w:t>
            </w:r>
            <w:r w:rsidR="007E5DC2" w:rsidRPr="00DB760B">
              <w:rPr>
                <w:rFonts w:ascii="Arial Narrow" w:hAnsi="Arial Narrow"/>
                <w:smallCaps/>
                <w:snapToGrid/>
                <w:sz w:val="20"/>
                <w:szCs w:val="20"/>
                <w:lang w:eastAsia="en-AU"/>
              </w:rPr>
              <w:t xml:space="preserve"> Metformin</w:t>
            </w:r>
          </w:p>
          <w:p w:rsidR="007E5DC2" w:rsidRPr="00DB760B" w:rsidRDefault="007E5DC2" w:rsidP="007E5DC2">
            <w:pPr>
              <w:widowControl/>
              <w:ind w:left="-108"/>
              <w:jc w:val="left"/>
              <w:rPr>
                <w:rFonts w:ascii="Arial Narrow" w:hAnsi="Arial Narrow"/>
                <w:i/>
                <w:snapToGrid/>
                <w:sz w:val="20"/>
                <w:szCs w:val="20"/>
                <w:lang w:eastAsia="en-AU"/>
              </w:rPr>
            </w:pPr>
            <w:proofErr w:type="spellStart"/>
            <w:r w:rsidRPr="00DB760B">
              <w:rPr>
                <w:rFonts w:ascii="Arial Narrow" w:hAnsi="Arial Narrow"/>
                <w:i/>
                <w:snapToGrid/>
                <w:sz w:val="20"/>
                <w:szCs w:val="20"/>
                <w:lang w:eastAsia="en-AU"/>
              </w:rPr>
              <w:t>ertugliflozin</w:t>
            </w:r>
            <w:proofErr w:type="spellEnd"/>
            <w:r w:rsidRPr="00DB760B">
              <w:rPr>
                <w:rFonts w:ascii="Arial Narrow" w:hAnsi="Arial Narrow"/>
                <w:i/>
                <w:snapToGrid/>
                <w:sz w:val="20"/>
                <w:szCs w:val="20"/>
                <w:lang w:eastAsia="en-AU"/>
              </w:rPr>
              <w:t xml:space="preserve"> 2.5 mg + metformin 500 mg tablet, 56</w:t>
            </w:r>
          </w:p>
          <w:p w:rsidR="007E5DC2" w:rsidRPr="00DB760B" w:rsidRDefault="007E5DC2" w:rsidP="007E5DC2">
            <w:pPr>
              <w:widowControl/>
              <w:ind w:left="-108"/>
              <w:jc w:val="left"/>
              <w:rPr>
                <w:rFonts w:ascii="Arial Narrow" w:hAnsi="Arial Narrow"/>
                <w:i/>
                <w:snapToGrid/>
                <w:sz w:val="20"/>
                <w:szCs w:val="20"/>
                <w:lang w:eastAsia="en-AU"/>
              </w:rPr>
            </w:pPr>
            <w:proofErr w:type="spellStart"/>
            <w:r w:rsidRPr="00DB760B">
              <w:rPr>
                <w:rFonts w:ascii="Arial Narrow" w:hAnsi="Arial Narrow"/>
                <w:i/>
                <w:snapToGrid/>
                <w:sz w:val="20"/>
                <w:szCs w:val="20"/>
                <w:lang w:eastAsia="en-AU"/>
              </w:rPr>
              <w:t>ertugliflozin</w:t>
            </w:r>
            <w:proofErr w:type="spellEnd"/>
            <w:r w:rsidRPr="00DB760B">
              <w:rPr>
                <w:rFonts w:ascii="Arial Narrow" w:hAnsi="Arial Narrow"/>
                <w:i/>
                <w:snapToGrid/>
                <w:sz w:val="20"/>
                <w:szCs w:val="20"/>
                <w:lang w:eastAsia="en-AU"/>
              </w:rPr>
              <w:t xml:space="preserve"> 2.5 mg + metformin 1 g tablet, 56</w:t>
            </w:r>
          </w:p>
          <w:p w:rsidR="007E5DC2" w:rsidRPr="00DB760B" w:rsidRDefault="007E5DC2" w:rsidP="007E5DC2">
            <w:pPr>
              <w:widowControl/>
              <w:ind w:left="-108"/>
              <w:jc w:val="left"/>
              <w:rPr>
                <w:rFonts w:ascii="Arial Narrow" w:hAnsi="Arial Narrow"/>
                <w:i/>
                <w:snapToGrid/>
                <w:sz w:val="20"/>
                <w:szCs w:val="20"/>
                <w:lang w:eastAsia="en-AU"/>
              </w:rPr>
            </w:pPr>
            <w:proofErr w:type="spellStart"/>
            <w:r w:rsidRPr="00DB760B">
              <w:rPr>
                <w:rFonts w:ascii="Arial Narrow" w:hAnsi="Arial Narrow"/>
                <w:i/>
                <w:snapToGrid/>
                <w:sz w:val="20"/>
                <w:szCs w:val="20"/>
                <w:lang w:eastAsia="en-AU"/>
              </w:rPr>
              <w:t>ertugliflozin</w:t>
            </w:r>
            <w:proofErr w:type="spellEnd"/>
            <w:r w:rsidRPr="00DB760B">
              <w:rPr>
                <w:rFonts w:ascii="Arial Narrow" w:hAnsi="Arial Narrow"/>
                <w:i/>
                <w:snapToGrid/>
                <w:sz w:val="20"/>
                <w:szCs w:val="20"/>
                <w:lang w:eastAsia="en-AU"/>
              </w:rPr>
              <w:t xml:space="preserve"> 7.5 mg + metformin 500 mg tablet, 56</w:t>
            </w:r>
          </w:p>
          <w:p w:rsidR="007E5DC2" w:rsidRPr="00DB760B" w:rsidRDefault="007E5DC2" w:rsidP="007E5DC2">
            <w:pPr>
              <w:widowControl/>
              <w:ind w:left="-108"/>
              <w:jc w:val="left"/>
              <w:rPr>
                <w:rFonts w:ascii="Arial Narrow" w:hAnsi="Arial Narrow"/>
                <w:i/>
                <w:snapToGrid/>
                <w:sz w:val="20"/>
                <w:szCs w:val="20"/>
                <w:lang w:eastAsia="en-AU"/>
              </w:rPr>
            </w:pPr>
            <w:proofErr w:type="spellStart"/>
            <w:r w:rsidRPr="00DB760B">
              <w:rPr>
                <w:rFonts w:ascii="Arial Narrow" w:hAnsi="Arial Narrow"/>
                <w:i/>
                <w:snapToGrid/>
                <w:sz w:val="20"/>
                <w:szCs w:val="20"/>
                <w:lang w:eastAsia="en-AU"/>
              </w:rPr>
              <w:t>ertugliflozin</w:t>
            </w:r>
            <w:proofErr w:type="spellEnd"/>
            <w:r w:rsidRPr="00DB760B">
              <w:rPr>
                <w:rFonts w:ascii="Arial Narrow" w:hAnsi="Arial Narrow"/>
                <w:i/>
                <w:snapToGrid/>
                <w:sz w:val="20"/>
                <w:szCs w:val="20"/>
                <w:lang w:eastAsia="en-AU"/>
              </w:rPr>
              <w:t xml:space="preserve"> 7.5 mg + metformin 1 g tablet, 56</w:t>
            </w:r>
          </w:p>
        </w:tc>
        <w:tc>
          <w:tcPr>
            <w:tcW w:w="469" w:type="pct"/>
            <w:tcBorders>
              <w:top w:val="single" w:sz="4" w:space="0" w:color="auto"/>
              <w:left w:val="nil"/>
              <w:bottom w:val="nil"/>
              <w:right w:val="nil"/>
            </w:tcBorders>
          </w:tcPr>
          <w:p w:rsidR="007E5DC2" w:rsidRPr="00DB760B" w:rsidRDefault="007E5DC2" w:rsidP="007E5DC2">
            <w:pPr>
              <w:keepNext/>
              <w:widowControl/>
              <w:jc w:val="center"/>
              <w:rPr>
                <w:rFonts w:ascii="Arial Narrow" w:hAnsi="Arial Narrow"/>
                <w:snapToGrid/>
                <w:sz w:val="20"/>
                <w:szCs w:val="20"/>
                <w:lang w:eastAsia="en-AU"/>
              </w:rPr>
            </w:pPr>
          </w:p>
          <w:p w:rsidR="007E5DC2" w:rsidRPr="00DB760B" w:rsidRDefault="007E5DC2" w:rsidP="007E5DC2">
            <w:pPr>
              <w:keepNext/>
              <w:widowControl/>
              <w:jc w:val="center"/>
              <w:rPr>
                <w:rFonts w:ascii="Arial Narrow" w:hAnsi="Arial Narrow"/>
                <w:snapToGrid/>
                <w:sz w:val="20"/>
                <w:szCs w:val="20"/>
                <w:lang w:eastAsia="en-AU"/>
              </w:rPr>
            </w:pPr>
            <w:r w:rsidRPr="00DB760B">
              <w:rPr>
                <w:rFonts w:ascii="Arial Narrow" w:hAnsi="Arial Narrow"/>
                <w:snapToGrid/>
                <w:sz w:val="20"/>
                <w:szCs w:val="20"/>
                <w:lang w:eastAsia="en-AU"/>
              </w:rPr>
              <w:t>1</w:t>
            </w:r>
          </w:p>
          <w:p w:rsidR="007E5DC2" w:rsidRPr="00DB760B" w:rsidRDefault="007E5DC2" w:rsidP="007E5DC2">
            <w:pPr>
              <w:keepNext/>
              <w:widowControl/>
              <w:jc w:val="center"/>
              <w:rPr>
                <w:rFonts w:ascii="Arial Narrow" w:hAnsi="Arial Narrow"/>
                <w:snapToGrid/>
                <w:sz w:val="20"/>
                <w:szCs w:val="20"/>
                <w:lang w:eastAsia="en-AU"/>
              </w:rPr>
            </w:pPr>
            <w:r w:rsidRPr="00DB760B">
              <w:rPr>
                <w:rFonts w:ascii="Arial Narrow" w:hAnsi="Arial Narrow"/>
                <w:snapToGrid/>
                <w:sz w:val="20"/>
                <w:szCs w:val="20"/>
                <w:lang w:eastAsia="en-AU"/>
              </w:rPr>
              <w:t>1</w:t>
            </w:r>
          </w:p>
          <w:p w:rsidR="007E5DC2" w:rsidRPr="00DB760B" w:rsidRDefault="007E5DC2" w:rsidP="007E5DC2">
            <w:pPr>
              <w:keepNext/>
              <w:widowControl/>
              <w:jc w:val="center"/>
              <w:rPr>
                <w:rFonts w:ascii="Arial Narrow" w:hAnsi="Arial Narrow"/>
                <w:snapToGrid/>
                <w:sz w:val="20"/>
                <w:szCs w:val="20"/>
                <w:lang w:eastAsia="en-AU"/>
              </w:rPr>
            </w:pPr>
            <w:r w:rsidRPr="00DB760B">
              <w:rPr>
                <w:rFonts w:ascii="Arial Narrow" w:hAnsi="Arial Narrow"/>
                <w:snapToGrid/>
                <w:sz w:val="20"/>
                <w:szCs w:val="20"/>
                <w:lang w:eastAsia="en-AU"/>
              </w:rPr>
              <w:t>1</w:t>
            </w:r>
          </w:p>
          <w:p w:rsidR="007E5DC2" w:rsidRPr="00DB760B" w:rsidRDefault="007E5DC2" w:rsidP="007E5DC2">
            <w:pPr>
              <w:keepNext/>
              <w:widowControl/>
              <w:jc w:val="center"/>
              <w:rPr>
                <w:rFonts w:ascii="Arial Narrow" w:hAnsi="Arial Narrow"/>
                <w:snapToGrid/>
                <w:sz w:val="20"/>
                <w:szCs w:val="20"/>
                <w:lang w:eastAsia="en-AU"/>
              </w:rPr>
            </w:pPr>
            <w:r w:rsidRPr="00DB760B">
              <w:rPr>
                <w:rFonts w:ascii="Arial Narrow" w:hAnsi="Arial Narrow"/>
                <w:snapToGrid/>
                <w:sz w:val="20"/>
                <w:szCs w:val="20"/>
                <w:lang w:eastAsia="en-AU"/>
              </w:rPr>
              <w:t>1</w:t>
            </w:r>
          </w:p>
          <w:p w:rsidR="007E5DC2" w:rsidRPr="00DB760B" w:rsidRDefault="007E5DC2" w:rsidP="007E5DC2">
            <w:pPr>
              <w:keepNext/>
              <w:widowControl/>
              <w:jc w:val="center"/>
              <w:rPr>
                <w:rFonts w:ascii="Arial Narrow" w:hAnsi="Arial Narrow"/>
                <w:snapToGrid/>
                <w:sz w:val="20"/>
                <w:szCs w:val="20"/>
                <w:lang w:eastAsia="en-AU"/>
              </w:rPr>
            </w:pPr>
          </w:p>
        </w:tc>
        <w:tc>
          <w:tcPr>
            <w:tcW w:w="546" w:type="pct"/>
            <w:tcBorders>
              <w:top w:val="single" w:sz="4" w:space="0" w:color="auto"/>
              <w:left w:val="nil"/>
              <w:bottom w:val="nil"/>
              <w:right w:val="nil"/>
            </w:tcBorders>
          </w:tcPr>
          <w:p w:rsidR="007E5DC2" w:rsidRPr="00DB760B" w:rsidRDefault="007E5DC2" w:rsidP="007E5DC2">
            <w:pPr>
              <w:keepNext/>
              <w:widowControl/>
              <w:ind w:left="-108"/>
              <w:jc w:val="center"/>
              <w:rPr>
                <w:rFonts w:ascii="Arial Narrow" w:hAnsi="Arial Narrow"/>
                <w:snapToGrid/>
                <w:sz w:val="20"/>
                <w:szCs w:val="20"/>
                <w:lang w:eastAsia="en-AU"/>
              </w:rPr>
            </w:pPr>
          </w:p>
          <w:p w:rsidR="007E5DC2" w:rsidRPr="00DB760B" w:rsidRDefault="007E5DC2" w:rsidP="007E5DC2">
            <w:pPr>
              <w:keepNext/>
              <w:widowControl/>
              <w:ind w:left="-108"/>
              <w:jc w:val="center"/>
              <w:rPr>
                <w:rFonts w:ascii="Arial Narrow" w:hAnsi="Arial Narrow"/>
                <w:snapToGrid/>
                <w:sz w:val="20"/>
                <w:szCs w:val="20"/>
                <w:lang w:eastAsia="en-AU"/>
              </w:rPr>
            </w:pPr>
            <w:r w:rsidRPr="00DB760B">
              <w:rPr>
                <w:rFonts w:ascii="Arial Narrow" w:hAnsi="Arial Narrow"/>
                <w:snapToGrid/>
                <w:sz w:val="20"/>
                <w:szCs w:val="20"/>
                <w:lang w:eastAsia="en-AU"/>
              </w:rPr>
              <w:t>5</w:t>
            </w:r>
          </w:p>
          <w:p w:rsidR="007E5DC2" w:rsidRPr="00DB760B" w:rsidRDefault="007E5DC2" w:rsidP="007E5DC2">
            <w:pPr>
              <w:keepNext/>
              <w:widowControl/>
              <w:ind w:left="-108"/>
              <w:jc w:val="center"/>
              <w:rPr>
                <w:rFonts w:ascii="Arial Narrow" w:hAnsi="Arial Narrow"/>
                <w:snapToGrid/>
                <w:sz w:val="20"/>
                <w:szCs w:val="20"/>
                <w:lang w:eastAsia="en-AU"/>
              </w:rPr>
            </w:pPr>
            <w:r w:rsidRPr="00DB760B">
              <w:rPr>
                <w:rFonts w:ascii="Arial Narrow" w:hAnsi="Arial Narrow"/>
                <w:snapToGrid/>
                <w:sz w:val="20"/>
                <w:szCs w:val="20"/>
                <w:lang w:eastAsia="en-AU"/>
              </w:rPr>
              <w:t>5</w:t>
            </w:r>
          </w:p>
          <w:p w:rsidR="007E5DC2" w:rsidRPr="00DB760B" w:rsidRDefault="007E5DC2" w:rsidP="007E5DC2">
            <w:pPr>
              <w:keepNext/>
              <w:widowControl/>
              <w:ind w:left="-108"/>
              <w:jc w:val="center"/>
              <w:rPr>
                <w:rFonts w:ascii="Arial Narrow" w:hAnsi="Arial Narrow"/>
                <w:snapToGrid/>
                <w:sz w:val="20"/>
                <w:szCs w:val="20"/>
                <w:lang w:eastAsia="en-AU"/>
              </w:rPr>
            </w:pPr>
            <w:r w:rsidRPr="00DB760B">
              <w:rPr>
                <w:rFonts w:ascii="Arial Narrow" w:hAnsi="Arial Narrow"/>
                <w:snapToGrid/>
                <w:sz w:val="20"/>
                <w:szCs w:val="20"/>
                <w:lang w:eastAsia="en-AU"/>
              </w:rPr>
              <w:t>5</w:t>
            </w:r>
          </w:p>
          <w:p w:rsidR="007E5DC2" w:rsidRPr="00DB760B" w:rsidRDefault="007E5DC2" w:rsidP="007E5DC2">
            <w:pPr>
              <w:keepNext/>
              <w:widowControl/>
              <w:ind w:left="-108"/>
              <w:jc w:val="center"/>
              <w:rPr>
                <w:rFonts w:ascii="Arial Narrow" w:hAnsi="Arial Narrow"/>
                <w:snapToGrid/>
                <w:sz w:val="20"/>
                <w:szCs w:val="20"/>
                <w:lang w:eastAsia="en-AU"/>
              </w:rPr>
            </w:pPr>
            <w:r w:rsidRPr="00DB760B">
              <w:rPr>
                <w:rFonts w:ascii="Arial Narrow" w:hAnsi="Arial Narrow"/>
                <w:snapToGrid/>
                <w:sz w:val="20"/>
                <w:szCs w:val="20"/>
                <w:lang w:eastAsia="en-AU"/>
              </w:rPr>
              <w:t>5</w:t>
            </w:r>
          </w:p>
          <w:p w:rsidR="007E5DC2" w:rsidRPr="00DB760B" w:rsidRDefault="007E5DC2" w:rsidP="007E5DC2">
            <w:pPr>
              <w:keepNext/>
              <w:widowControl/>
              <w:jc w:val="center"/>
              <w:rPr>
                <w:rFonts w:ascii="Arial Narrow" w:hAnsi="Arial Narrow"/>
                <w:snapToGrid/>
                <w:sz w:val="20"/>
                <w:szCs w:val="20"/>
                <w:lang w:eastAsia="en-AU"/>
              </w:rPr>
            </w:pPr>
          </w:p>
        </w:tc>
        <w:tc>
          <w:tcPr>
            <w:tcW w:w="704" w:type="pct"/>
            <w:tcBorders>
              <w:top w:val="single" w:sz="4" w:space="0" w:color="auto"/>
              <w:left w:val="nil"/>
              <w:bottom w:val="nil"/>
              <w:right w:val="nil"/>
            </w:tcBorders>
          </w:tcPr>
          <w:tbl>
            <w:tblPr>
              <w:tblW w:w="2622" w:type="dxa"/>
              <w:tblLook w:val="0000" w:firstRow="0" w:lastRow="0" w:firstColumn="0" w:lastColumn="0" w:noHBand="0" w:noVBand="0"/>
            </w:tblPr>
            <w:tblGrid>
              <w:gridCol w:w="1267"/>
              <w:gridCol w:w="1355"/>
            </w:tblGrid>
            <w:tr w:rsidR="007E5DC2" w:rsidRPr="00DB760B" w:rsidTr="001B3286">
              <w:trPr>
                <w:cantSplit/>
                <w:trHeight w:val="649"/>
              </w:trPr>
              <w:tc>
                <w:tcPr>
                  <w:tcW w:w="2416" w:type="pct"/>
                  <w:vAlign w:val="center"/>
                </w:tcPr>
                <w:p w:rsidR="007E5DC2" w:rsidRPr="00DB760B" w:rsidRDefault="007E5DC2" w:rsidP="007E5DC2">
                  <w:pPr>
                    <w:keepNext/>
                    <w:widowControl/>
                    <w:jc w:val="left"/>
                    <w:rPr>
                      <w:rFonts w:ascii="Arial Narrow" w:hAnsi="Arial Narrow"/>
                      <w:snapToGrid/>
                      <w:sz w:val="20"/>
                      <w:szCs w:val="20"/>
                      <w:lang w:eastAsia="en-AU"/>
                    </w:rPr>
                  </w:pPr>
                  <w:proofErr w:type="spellStart"/>
                  <w:r w:rsidRPr="00DB760B">
                    <w:rPr>
                      <w:rFonts w:ascii="Arial Narrow" w:hAnsi="Arial Narrow"/>
                      <w:snapToGrid/>
                      <w:sz w:val="20"/>
                      <w:szCs w:val="20"/>
                      <w:lang w:eastAsia="en-AU"/>
                    </w:rPr>
                    <w:t>Segluromet</w:t>
                  </w:r>
                  <w:proofErr w:type="spellEnd"/>
                  <w:r w:rsidRPr="00DB760B">
                    <w:rPr>
                      <w:rFonts w:ascii="Arial Narrow" w:hAnsi="Arial Narrow"/>
                      <w:snapToGrid/>
                      <w:sz w:val="20"/>
                      <w:szCs w:val="20"/>
                      <w:lang w:eastAsia="en-AU"/>
                    </w:rPr>
                    <w:t xml:space="preserve"> </w:t>
                  </w:r>
                  <w:r w:rsidRPr="00DB760B">
                    <w:rPr>
                      <w:rFonts w:ascii="Arial Narrow" w:hAnsi="Arial Narrow"/>
                      <w:snapToGrid/>
                      <w:sz w:val="20"/>
                      <w:szCs w:val="20"/>
                      <w:vertAlign w:val="superscript"/>
                      <w:lang w:eastAsia="en-AU"/>
                    </w:rPr>
                    <w:t>®</w:t>
                  </w:r>
                </w:p>
              </w:tc>
              <w:tc>
                <w:tcPr>
                  <w:tcW w:w="2584" w:type="pct"/>
                </w:tcPr>
                <w:p w:rsidR="007E5DC2" w:rsidRPr="00DB760B" w:rsidRDefault="007E5DC2" w:rsidP="007E5DC2">
                  <w:pPr>
                    <w:keepNext/>
                    <w:widowControl/>
                    <w:jc w:val="left"/>
                    <w:rPr>
                      <w:rFonts w:ascii="Arial Narrow" w:hAnsi="Arial Narrow"/>
                      <w:snapToGrid/>
                      <w:sz w:val="20"/>
                      <w:szCs w:val="20"/>
                      <w:lang w:eastAsia="en-AU"/>
                    </w:rPr>
                  </w:pPr>
                </w:p>
              </w:tc>
            </w:tr>
          </w:tbl>
          <w:p w:rsidR="007E5DC2" w:rsidRPr="00DB760B" w:rsidRDefault="007E5DC2" w:rsidP="007E5DC2">
            <w:pPr>
              <w:keepNext/>
              <w:widowControl/>
              <w:jc w:val="left"/>
              <w:rPr>
                <w:rFonts w:ascii="Arial Narrow" w:hAnsi="Arial Narrow"/>
                <w:snapToGrid/>
                <w:sz w:val="20"/>
                <w:szCs w:val="20"/>
                <w:lang w:eastAsia="en-AU"/>
              </w:rPr>
            </w:pPr>
          </w:p>
        </w:tc>
        <w:tc>
          <w:tcPr>
            <w:tcW w:w="1016" w:type="pct"/>
            <w:tcBorders>
              <w:top w:val="single" w:sz="4" w:space="0" w:color="auto"/>
              <w:left w:val="nil"/>
              <w:bottom w:val="nil"/>
            </w:tcBorders>
          </w:tcPr>
          <w:p w:rsidR="007E5DC2" w:rsidRPr="00DB760B" w:rsidRDefault="007E5DC2" w:rsidP="007E5DC2">
            <w:pPr>
              <w:keepNext/>
              <w:widowControl/>
              <w:jc w:val="left"/>
              <w:rPr>
                <w:rFonts w:ascii="Arial Narrow" w:hAnsi="Arial Narrow"/>
                <w:snapToGrid/>
                <w:sz w:val="20"/>
                <w:szCs w:val="20"/>
                <w:lang w:eastAsia="en-AU"/>
              </w:rPr>
            </w:pPr>
          </w:p>
          <w:p w:rsidR="007E5DC2" w:rsidRPr="00DB760B" w:rsidRDefault="007E5DC2" w:rsidP="00DD4796">
            <w:pPr>
              <w:keepNext/>
              <w:widowControl/>
              <w:jc w:val="left"/>
              <w:rPr>
                <w:rFonts w:ascii="Arial Narrow" w:hAnsi="Arial Narrow"/>
                <w:snapToGrid/>
                <w:sz w:val="20"/>
                <w:szCs w:val="20"/>
                <w:lang w:eastAsia="en-AU"/>
              </w:rPr>
            </w:pPr>
            <w:r w:rsidRPr="00DB760B">
              <w:rPr>
                <w:rFonts w:ascii="Arial Narrow" w:hAnsi="Arial Narrow"/>
                <w:snapToGrid/>
                <w:sz w:val="20"/>
                <w:szCs w:val="20"/>
                <w:lang w:eastAsia="en-AU"/>
              </w:rPr>
              <w:t xml:space="preserve">Merck Sharp &amp; Dohme </w:t>
            </w:r>
          </w:p>
        </w:tc>
      </w:tr>
      <w:tr w:rsidR="007E5DC2" w:rsidRPr="00DB760B" w:rsidTr="001B3286">
        <w:trPr>
          <w:cantSplit/>
          <w:trHeight w:val="151"/>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rPr>
                <w:rFonts w:ascii="Arial Narrow" w:hAnsi="Arial Narrow"/>
                <w:b/>
                <w:snapToGrid/>
                <w:sz w:val="20"/>
                <w:szCs w:val="20"/>
                <w:lang w:eastAsia="en-AU"/>
              </w:rPr>
            </w:pPr>
            <w:r w:rsidRPr="00DB760B">
              <w:rPr>
                <w:rFonts w:ascii="Arial Narrow" w:hAnsi="Arial Narrow"/>
                <w:b/>
                <w:snapToGrid/>
                <w:sz w:val="20"/>
                <w:szCs w:val="20"/>
                <w:lang w:eastAsia="en-AU"/>
              </w:rPr>
              <w:t>Category / Program:</w:t>
            </w: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t>GENERAL – General Schedule (Code GE)</w:t>
            </w:r>
          </w:p>
        </w:tc>
      </w:tr>
      <w:tr w:rsidR="007E5DC2" w:rsidRPr="00DB760B" w:rsidTr="001B3286">
        <w:trPr>
          <w:cantSplit/>
          <w:trHeight w:val="50"/>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rPr>
                <w:rFonts w:ascii="Arial Narrow" w:hAnsi="Arial Narrow"/>
                <w:b/>
                <w:snapToGrid/>
                <w:sz w:val="20"/>
                <w:szCs w:val="20"/>
                <w:lang w:eastAsia="en-AU"/>
              </w:rPr>
            </w:pPr>
            <w:r w:rsidRPr="00DB760B">
              <w:rPr>
                <w:rFonts w:ascii="Arial Narrow" w:hAnsi="Arial Narrow"/>
                <w:b/>
                <w:snapToGrid/>
                <w:sz w:val="20"/>
                <w:szCs w:val="20"/>
                <w:lang w:eastAsia="en-AU"/>
              </w:rPr>
              <w:t>Prescriber type:</w:t>
            </w: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fldChar w:fldCharType="begin">
                <w:ffData>
                  <w:name w:val="Check1"/>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Dental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Medical Practitioners  </w:t>
            </w:r>
            <w:r w:rsidRPr="00DB760B">
              <w:rPr>
                <w:rFonts w:ascii="Arial Narrow" w:hAnsi="Arial Narrow"/>
                <w:snapToGrid/>
                <w:sz w:val="20"/>
                <w:szCs w:val="20"/>
                <w:lang w:eastAsia="en-AU"/>
              </w:rPr>
              <w:fldChar w:fldCharType="begin">
                <w:ffData>
                  <w:name w:val="Check3"/>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Nurse practitioners  </w:t>
            </w:r>
            <w:r w:rsidRPr="00DB760B">
              <w:rPr>
                <w:rFonts w:ascii="Arial Narrow" w:hAnsi="Arial Narrow"/>
                <w:snapToGrid/>
                <w:sz w:val="20"/>
                <w:szCs w:val="20"/>
                <w:lang w:eastAsia="en-AU"/>
              </w:rPr>
              <w:fldChar w:fldCharType="begin">
                <w:ffData>
                  <w:name w:val=""/>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Optometrists </w:t>
            </w:r>
            <w:r w:rsidRPr="00DB760B">
              <w:rPr>
                <w:rFonts w:ascii="Arial Narrow" w:hAnsi="Arial Narrow"/>
                <w:snapToGrid/>
                <w:sz w:val="20"/>
                <w:szCs w:val="20"/>
                <w:lang w:eastAsia="en-AU"/>
              </w:rPr>
              <w:fldChar w:fldCharType="begin">
                <w:ffData>
                  <w:name w:val="Check5"/>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Midwives</w:t>
            </w:r>
          </w:p>
        </w:tc>
      </w:tr>
      <w:tr w:rsidR="007E5DC2" w:rsidRPr="00DB760B" w:rsidTr="001B3286">
        <w:trPr>
          <w:cantSplit/>
          <w:trHeight w:val="101"/>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rPr>
                <w:rFonts w:ascii="Arial Narrow" w:hAnsi="Arial Narrow"/>
                <w:b/>
                <w:snapToGrid/>
                <w:sz w:val="20"/>
                <w:szCs w:val="20"/>
                <w:lang w:eastAsia="en-AU"/>
              </w:rPr>
            </w:pPr>
            <w:r w:rsidRPr="00DB760B">
              <w:rPr>
                <w:rFonts w:ascii="Arial Narrow" w:hAnsi="Arial Narrow"/>
                <w:b/>
                <w:snapToGrid/>
                <w:sz w:val="20"/>
                <w:szCs w:val="20"/>
                <w:lang w:eastAsia="en-AU"/>
              </w:rPr>
              <w:t>Condition:</w:t>
            </w: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t>Diabetes mellitus type 2</w:t>
            </w:r>
          </w:p>
        </w:tc>
      </w:tr>
      <w:tr w:rsidR="007E5DC2" w:rsidRPr="00DB760B" w:rsidTr="001B3286">
        <w:trPr>
          <w:cantSplit/>
          <w:trHeight w:val="50"/>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rPr>
                <w:rFonts w:ascii="Arial Narrow" w:hAnsi="Arial Narrow"/>
                <w:b/>
                <w:snapToGrid/>
                <w:sz w:val="20"/>
                <w:szCs w:val="20"/>
                <w:lang w:eastAsia="en-AU"/>
              </w:rPr>
            </w:pPr>
            <w:r w:rsidRPr="00DB760B">
              <w:rPr>
                <w:rFonts w:ascii="Arial Narrow" w:hAnsi="Arial Narrow"/>
                <w:b/>
                <w:snapToGrid/>
                <w:sz w:val="20"/>
                <w:szCs w:val="20"/>
                <w:lang w:eastAsia="en-AU"/>
              </w:rPr>
              <w:t>PBS indication:</w:t>
            </w: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t>Diabetes mellitus type 2</w:t>
            </w:r>
          </w:p>
        </w:tc>
      </w:tr>
      <w:tr w:rsidR="007E5DC2" w:rsidRPr="00DB760B" w:rsidTr="001B3286">
        <w:trPr>
          <w:cantSplit/>
          <w:trHeight w:val="51"/>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rPr>
                <w:rFonts w:ascii="Arial Narrow" w:hAnsi="Arial Narrow"/>
                <w:b/>
                <w:snapToGrid/>
                <w:sz w:val="20"/>
                <w:szCs w:val="20"/>
                <w:lang w:eastAsia="en-AU"/>
              </w:rPr>
            </w:pPr>
            <w:r w:rsidRPr="00DB760B">
              <w:rPr>
                <w:rFonts w:ascii="Arial Narrow" w:hAnsi="Arial Narrow"/>
                <w:b/>
                <w:snapToGrid/>
                <w:sz w:val="20"/>
                <w:szCs w:val="20"/>
                <w:lang w:eastAsia="en-AU"/>
              </w:rPr>
              <w:t>Treatment phase:</w:t>
            </w: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t>Initial treatment</w:t>
            </w:r>
          </w:p>
        </w:tc>
      </w:tr>
      <w:tr w:rsidR="007E5DC2" w:rsidRPr="00DB760B" w:rsidTr="001B3286">
        <w:trPr>
          <w:cantSplit/>
          <w:trHeight w:val="98"/>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rPr>
                <w:rFonts w:ascii="Arial Narrow" w:hAnsi="Arial Narrow"/>
                <w:i/>
                <w:snapToGrid/>
                <w:sz w:val="20"/>
                <w:szCs w:val="20"/>
                <w:lang w:eastAsia="en-AU"/>
              </w:rPr>
            </w:pPr>
            <w:r w:rsidRPr="00DB760B">
              <w:rPr>
                <w:rFonts w:ascii="Arial Narrow" w:hAnsi="Arial Narrow"/>
                <w:b/>
                <w:snapToGrid/>
                <w:sz w:val="20"/>
                <w:szCs w:val="20"/>
                <w:lang w:eastAsia="en-AU"/>
              </w:rPr>
              <w:t>Restriction Level / Method:</w:t>
            </w: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jc w:val="left"/>
              <w:rPr>
                <w:rFonts w:ascii="Arial Narrow" w:hAnsi="Arial Narrow"/>
                <w:snapToGrid/>
                <w:sz w:val="20"/>
                <w:szCs w:val="20"/>
                <w:lang w:eastAsia="en-AU"/>
              </w:rPr>
            </w:pPr>
            <w:r w:rsidRPr="00DB760B">
              <w:rPr>
                <w:rFonts w:ascii="Arial Narrow" w:hAnsi="Arial Narrow"/>
                <w:snapToGrid/>
                <w:sz w:val="20"/>
                <w:szCs w:val="20"/>
                <w:lang w:eastAsia="en-AU"/>
              </w:rPr>
              <w:fldChar w:fldCharType="begin">
                <w:ffData>
                  <w:name w:val="Check5"/>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Streamlined</w:t>
            </w:r>
          </w:p>
        </w:tc>
      </w:tr>
      <w:tr w:rsidR="007E5DC2" w:rsidRPr="00DB760B" w:rsidTr="001B3286">
        <w:trPr>
          <w:cantSplit/>
          <w:trHeight w:val="360"/>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spacing w:before="40" w:after="60"/>
              <w:rPr>
                <w:rFonts w:ascii="Arial Narrow" w:hAnsi="Arial Narrow"/>
                <w:b/>
                <w:snapToGrid/>
                <w:sz w:val="20"/>
                <w:szCs w:val="20"/>
                <w:lang w:eastAsia="en-AU"/>
              </w:rPr>
            </w:pPr>
            <w:r w:rsidRPr="00DB760B">
              <w:rPr>
                <w:rFonts w:ascii="Arial Narrow" w:hAnsi="Arial Narrow"/>
                <w:b/>
                <w:snapToGrid/>
                <w:sz w:val="20"/>
                <w:szCs w:val="20"/>
                <w:lang w:eastAsia="en-AU"/>
              </w:rPr>
              <w:t>Clinical criteria:</w:t>
            </w:r>
          </w:p>
          <w:p w:rsidR="007E5DC2" w:rsidRPr="00DB760B" w:rsidRDefault="007E5DC2" w:rsidP="00654DC0">
            <w:pPr>
              <w:widowControl/>
              <w:spacing w:before="40" w:after="60"/>
              <w:rPr>
                <w:rFonts w:ascii="Arial Narrow" w:hAnsi="Arial Narrow"/>
                <w:i/>
                <w:snapToGrid/>
                <w:sz w:val="20"/>
                <w:szCs w:val="20"/>
                <w:lang w:eastAsia="en-AU"/>
              </w:rPr>
            </w:pPr>
          </w:p>
          <w:p w:rsidR="007E5DC2" w:rsidRPr="00DB760B" w:rsidRDefault="007E5DC2" w:rsidP="00654DC0">
            <w:pPr>
              <w:widowControl/>
              <w:spacing w:before="40" w:after="60"/>
              <w:rPr>
                <w:rFonts w:ascii="Arial Narrow" w:hAnsi="Arial Narrow"/>
                <w:snapToGrid/>
                <w:sz w:val="20"/>
                <w:szCs w:val="20"/>
                <w:lang w:eastAsia="en-AU"/>
              </w:rPr>
            </w:pP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 xml:space="preserve">Patient must have, or have had, a HbA1c measurement greater than 7% despite treatment with metformin; </w:t>
            </w:r>
          </w:p>
          <w:p w:rsidR="007E5DC2" w:rsidRPr="00DB760B" w:rsidRDefault="007E5DC2" w:rsidP="00654DC0">
            <w:pPr>
              <w:widowControl/>
              <w:spacing w:before="40" w:after="60"/>
              <w:jc w:val="left"/>
              <w:rPr>
                <w:rFonts w:ascii="Arial Narrow" w:hAnsi="Arial Narrow"/>
                <w:i/>
                <w:snapToGrid/>
                <w:sz w:val="20"/>
                <w:szCs w:val="20"/>
                <w:lang w:eastAsia="en-AU"/>
              </w:rPr>
            </w:pPr>
            <w:r w:rsidRPr="00DB760B">
              <w:rPr>
                <w:rFonts w:ascii="Arial Narrow" w:hAnsi="Arial Narrow"/>
                <w:snapToGrid/>
                <w:sz w:val="20"/>
                <w:szCs w:val="20"/>
                <w:lang w:eastAsia="en-AU"/>
              </w:rPr>
              <w:t>OR</w:t>
            </w:r>
          </w:p>
          <w:p w:rsidR="007E5DC2" w:rsidRPr="00DB760B" w:rsidRDefault="007E5DC2" w:rsidP="00654DC0">
            <w:pPr>
              <w:widowControl/>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 xml:space="preserve">Patient must have, or have had, where HbA1c measurement is clinically inappropriate, blood glucose levels greater than 10 </w:t>
            </w:r>
            <w:proofErr w:type="spellStart"/>
            <w:r w:rsidRPr="00DB760B">
              <w:rPr>
                <w:rFonts w:ascii="Arial Narrow" w:hAnsi="Arial Narrow"/>
                <w:snapToGrid/>
                <w:color w:val="333333"/>
                <w:sz w:val="20"/>
                <w:szCs w:val="20"/>
                <w:lang w:eastAsia="en-AU"/>
              </w:rPr>
              <w:t>mmol</w:t>
            </w:r>
            <w:proofErr w:type="spellEnd"/>
            <w:r w:rsidRPr="00DB760B">
              <w:rPr>
                <w:rFonts w:ascii="Arial Narrow" w:hAnsi="Arial Narrow"/>
                <w:snapToGrid/>
                <w:color w:val="333333"/>
                <w:sz w:val="20"/>
                <w:szCs w:val="20"/>
                <w:lang w:eastAsia="en-AU"/>
              </w:rPr>
              <w:t xml:space="preserve"> per L in more than 20% of tests over a 2 week period despite treatment with metformin.</w:t>
            </w:r>
          </w:p>
        </w:tc>
      </w:tr>
      <w:tr w:rsidR="007E5DC2" w:rsidRPr="00DB760B" w:rsidTr="001B3286">
        <w:trPr>
          <w:cantSplit/>
          <w:trHeight w:val="360"/>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spacing w:before="40" w:after="60"/>
              <w:rPr>
                <w:rFonts w:ascii="Arial Narrow" w:hAnsi="Arial Narrow"/>
                <w:b/>
                <w:snapToGrid/>
                <w:sz w:val="20"/>
                <w:szCs w:val="20"/>
                <w:lang w:eastAsia="en-AU"/>
              </w:rPr>
            </w:pPr>
            <w:r w:rsidRPr="00DB760B">
              <w:rPr>
                <w:rFonts w:ascii="Arial Narrow" w:hAnsi="Arial Narrow"/>
                <w:b/>
                <w:snapToGrid/>
                <w:sz w:val="20"/>
                <w:szCs w:val="20"/>
                <w:lang w:eastAsia="en-AU"/>
              </w:rPr>
              <w:lastRenderedPageBreak/>
              <w:t>Prescriber instructions:</w:t>
            </w:r>
          </w:p>
          <w:p w:rsidR="007E5DC2" w:rsidRPr="00DB760B" w:rsidRDefault="007E5DC2" w:rsidP="00654DC0">
            <w:pPr>
              <w:widowControl/>
              <w:spacing w:before="40" w:after="60"/>
              <w:rPr>
                <w:rFonts w:ascii="Arial Narrow" w:hAnsi="Arial Narrow"/>
                <w:snapToGrid/>
                <w:sz w:val="20"/>
                <w:szCs w:val="20"/>
                <w:lang w:eastAsia="en-AU"/>
              </w:rPr>
            </w:pP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DB760B">
              <w:rPr>
                <w:rFonts w:ascii="Arial Narrow" w:hAnsi="Arial Narrow"/>
                <w:snapToGrid/>
                <w:color w:val="333333"/>
                <w:sz w:val="20"/>
                <w:szCs w:val="20"/>
                <w:lang w:eastAsia="en-AU"/>
              </w:rPr>
              <w:t>glitazone</w:t>
            </w:r>
            <w:proofErr w:type="spellEnd"/>
            <w:r w:rsidRPr="00DB760B">
              <w:rPr>
                <w:rFonts w:ascii="Arial Narrow" w:hAnsi="Arial Narrow"/>
                <w:snapToGrid/>
                <w:color w:val="333333"/>
                <w:sz w:val="20"/>
                <w:szCs w:val="20"/>
                <w:lang w:eastAsia="en-AU"/>
              </w:rPr>
              <w:t>), a glucagon-like peptide-1 or a sodium-glucose co-transporter 2 (SGLT2) inhibitor is initiated.</w:t>
            </w:r>
          </w:p>
          <w:p w:rsidR="007E5DC2" w:rsidRPr="00DB760B" w:rsidRDefault="007E5DC2" w:rsidP="00654DC0">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 xml:space="preserve">The HbA1c must be no more than 4 months old at the time treatment with a gliptin, a </w:t>
            </w:r>
            <w:proofErr w:type="spellStart"/>
            <w:r w:rsidRPr="00DB760B">
              <w:rPr>
                <w:rFonts w:ascii="Arial Narrow" w:hAnsi="Arial Narrow"/>
                <w:snapToGrid/>
                <w:color w:val="333333"/>
                <w:sz w:val="20"/>
                <w:szCs w:val="20"/>
                <w:lang w:eastAsia="en-AU"/>
              </w:rPr>
              <w:t>glitazone</w:t>
            </w:r>
            <w:proofErr w:type="spellEnd"/>
            <w:r w:rsidRPr="00DB760B">
              <w:rPr>
                <w:rFonts w:ascii="Arial Narrow" w:hAnsi="Arial Narrow"/>
                <w:snapToGrid/>
                <w:color w:val="333333"/>
                <w:sz w:val="20"/>
                <w:szCs w:val="20"/>
                <w:lang w:eastAsia="en-AU"/>
              </w:rPr>
              <w:t>, a glucagon-like peptide-1 or an SGLT2 inhibitor is initiated.</w:t>
            </w:r>
          </w:p>
          <w:p w:rsidR="007E5DC2" w:rsidRPr="00DB760B" w:rsidRDefault="007E5DC2" w:rsidP="00654DC0">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Blood glucose monitoring may be used as an alternative assessment to HbA1c levels in the following circumstances:</w:t>
            </w:r>
          </w:p>
          <w:p w:rsidR="007E5DC2" w:rsidRPr="00DB760B" w:rsidRDefault="007E5DC2" w:rsidP="00654DC0">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 xml:space="preserve">(a) A clinical condition with reduced red blood cell survival, including haemolytic anaemias and </w:t>
            </w:r>
            <w:proofErr w:type="spellStart"/>
            <w:r w:rsidRPr="00DB760B">
              <w:rPr>
                <w:rFonts w:ascii="Arial Narrow" w:hAnsi="Arial Narrow"/>
                <w:snapToGrid/>
                <w:color w:val="333333"/>
                <w:sz w:val="20"/>
                <w:szCs w:val="20"/>
                <w:lang w:eastAsia="en-AU"/>
              </w:rPr>
              <w:t>haemoglobinopathies</w:t>
            </w:r>
            <w:proofErr w:type="spellEnd"/>
            <w:r w:rsidRPr="00DB760B">
              <w:rPr>
                <w:rFonts w:ascii="Arial Narrow" w:hAnsi="Arial Narrow"/>
                <w:snapToGrid/>
                <w:color w:val="333333"/>
                <w:sz w:val="20"/>
                <w:szCs w:val="20"/>
                <w:lang w:eastAsia="en-AU"/>
              </w:rPr>
              <w:t>; and/or</w:t>
            </w:r>
          </w:p>
          <w:p w:rsidR="007E5DC2" w:rsidRPr="00DB760B" w:rsidRDefault="007E5DC2" w:rsidP="00654DC0">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(b) Had red cell transfusion within the previous 3 months.</w:t>
            </w:r>
          </w:p>
          <w:p w:rsidR="007E5DC2" w:rsidRPr="00DB760B" w:rsidRDefault="007E5DC2" w:rsidP="00654DC0">
            <w:pPr>
              <w:widowControl/>
              <w:spacing w:before="40" w:after="60"/>
              <w:jc w:val="left"/>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 xml:space="preserve">The results of the blood glucose monitoring, which must be no more than 4 months old at the time of initiation of treatment with a gliptin, a </w:t>
            </w:r>
            <w:proofErr w:type="spellStart"/>
            <w:r w:rsidRPr="00DB760B">
              <w:rPr>
                <w:rFonts w:ascii="Arial Narrow" w:hAnsi="Arial Narrow"/>
                <w:snapToGrid/>
                <w:color w:val="333333"/>
                <w:sz w:val="20"/>
                <w:szCs w:val="20"/>
                <w:lang w:eastAsia="en-AU"/>
              </w:rPr>
              <w:t>glitazone</w:t>
            </w:r>
            <w:proofErr w:type="spellEnd"/>
            <w:r w:rsidRPr="00DB760B">
              <w:rPr>
                <w:rFonts w:ascii="Arial Narrow" w:hAnsi="Arial Narrow"/>
                <w:snapToGrid/>
                <w:color w:val="333333"/>
                <w:sz w:val="20"/>
                <w:szCs w:val="20"/>
                <w:lang w:eastAsia="en-AU"/>
              </w:rPr>
              <w:t>, a glucagon-like peptide-1 or an SGLT2 inhibitor, must be documented in the patient's medical records.</w:t>
            </w:r>
          </w:p>
          <w:p w:rsidR="007E5DC2" w:rsidRPr="00DB760B" w:rsidRDefault="007E5DC2" w:rsidP="00654DC0">
            <w:pPr>
              <w:widowControl/>
              <w:spacing w:before="40" w:after="60"/>
              <w:jc w:val="left"/>
              <w:rPr>
                <w:rFonts w:ascii="Arial Narrow" w:hAnsi="Arial Narrow"/>
                <w:snapToGrid/>
                <w:color w:val="333333"/>
                <w:sz w:val="20"/>
                <w:szCs w:val="20"/>
                <w:lang w:eastAsia="en-AU"/>
              </w:rPr>
            </w:pPr>
            <w:r w:rsidRPr="00DB760B">
              <w:rPr>
                <w:rFonts w:ascii="Arial Narrow" w:hAnsi="Arial Narrow"/>
                <w:snapToGrid/>
                <w:color w:val="333333"/>
                <w:sz w:val="20"/>
                <w:szCs w:val="20"/>
                <w:lang w:eastAsia="en-AU"/>
              </w:rPr>
              <w:t>A patient whose diabetes was previously demonstrated unable to be controlled with metformin does not need to requalify on this criterion before being eligible for PBS-subsidised treatment with this fixed dose combination.</w:t>
            </w:r>
          </w:p>
        </w:tc>
      </w:tr>
      <w:tr w:rsidR="007E5DC2" w:rsidRPr="00DB760B" w:rsidTr="001B3286">
        <w:trPr>
          <w:cantSplit/>
          <w:trHeight w:val="360"/>
        </w:trPr>
        <w:tc>
          <w:tcPr>
            <w:tcW w:w="1329"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spacing w:before="40" w:after="60"/>
              <w:rPr>
                <w:rFonts w:ascii="Arial Narrow" w:hAnsi="Arial Narrow"/>
                <w:b/>
                <w:snapToGrid/>
                <w:sz w:val="20"/>
                <w:szCs w:val="20"/>
                <w:lang w:eastAsia="en-AU"/>
              </w:rPr>
            </w:pPr>
            <w:r w:rsidRPr="00DB760B">
              <w:rPr>
                <w:rFonts w:ascii="Arial Narrow" w:hAnsi="Arial Narrow"/>
                <w:b/>
                <w:snapToGrid/>
                <w:sz w:val="20"/>
                <w:szCs w:val="20"/>
                <w:lang w:eastAsia="en-AU"/>
              </w:rPr>
              <w:t>Administrative advice:</w:t>
            </w:r>
          </w:p>
          <w:p w:rsidR="007E5DC2" w:rsidRPr="00DB760B" w:rsidRDefault="007E5DC2" w:rsidP="00654DC0">
            <w:pPr>
              <w:widowControl/>
              <w:spacing w:before="40" w:after="60"/>
              <w:rPr>
                <w:rFonts w:ascii="Arial Narrow" w:hAnsi="Arial Narrow"/>
                <w:i/>
                <w:snapToGrid/>
                <w:sz w:val="20"/>
                <w:szCs w:val="20"/>
                <w:lang w:eastAsia="en-AU"/>
              </w:rPr>
            </w:pPr>
          </w:p>
        </w:tc>
        <w:tc>
          <w:tcPr>
            <w:tcW w:w="367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654DC0">
            <w:pPr>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This fixed dose combination is not PBS subsidised for use as initial therapy or in combination with a thiazolidinedione (</w:t>
            </w:r>
            <w:proofErr w:type="spellStart"/>
            <w:r w:rsidRPr="00DB760B">
              <w:rPr>
                <w:rFonts w:ascii="Arial Narrow" w:hAnsi="Arial Narrow"/>
                <w:snapToGrid/>
                <w:sz w:val="20"/>
                <w:szCs w:val="20"/>
                <w:lang w:eastAsia="en-AU"/>
              </w:rPr>
              <w:t>glitazone</w:t>
            </w:r>
            <w:proofErr w:type="spellEnd"/>
            <w:r w:rsidRPr="00DB760B">
              <w:rPr>
                <w:rFonts w:ascii="Arial Narrow" w:hAnsi="Arial Narrow"/>
                <w:snapToGrid/>
                <w:sz w:val="20"/>
                <w:szCs w:val="20"/>
                <w:lang w:eastAsia="en-AU"/>
              </w:rPr>
              <w:t xml:space="preserve">), </w:t>
            </w:r>
            <w:r w:rsidRPr="00DB760B">
              <w:rPr>
                <w:rFonts w:ascii="Arial Narrow" w:hAnsi="Arial Narrow"/>
                <w:strike/>
                <w:sz w:val="20"/>
                <w:szCs w:val="20"/>
              </w:rPr>
              <w:t xml:space="preserve">a dipeptidyl peptidase </w:t>
            </w:r>
            <w:proofErr w:type="gramStart"/>
            <w:r w:rsidRPr="00DB760B">
              <w:rPr>
                <w:rFonts w:ascii="Arial Narrow" w:hAnsi="Arial Narrow"/>
                <w:strike/>
                <w:sz w:val="20"/>
                <w:szCs w:val="20"/>
              </w:rPr>
              <w:t>4 inhibitor (gliptin),</w:t>
            </w:r>
            <w:r w:rsidRPr="00DB760B">
              <w:rPr>
                <w:rFonts w:ascii="Arial Narrow" w:hAnsi="Arial Narrow"/>
                <w:sz w:val="20"/>
                <w:szCs w:val="20"/>
              </w:rPr>
              <w:t xml:space="preserve"> </w:t>
            </w:r>
            <w:r w:rsidRPr="00DB760B">
              <w:rPr>
                <w:rFonts w:ascii="Arial Narrow" w:hAnsi="Arial Narrow"/>
                <w:snapToGrid/>
                <w:sz w:val="20"/>
                <w:szCs w:val="20"/>
                <w:lang w:eastAsia="en-AU"/>
              </w:rPr>
              <w:t>insulin or a glucagon-like peptide-1</w:t>
            </w:r>
            <w:proofErr w:type="gramEnd"/>
            <w:r w:rsidRPr="00DB760B">
              <w:rPr>
                <w:rFonts w:ascii="Arial Narrow" w:hAnsi="Arial Narrow"/>
                <w:snapToGrid/>
                <w:sz w:val="20"/>
                <w:szCs w:val="20"/>
                <w:lang w:eastAsia="en-AU"/>
              </w:rPr>
              <w:t>.</w:t>
            </w:r>
          </w:p>
        </w:tc>
      </w:tr>
    </w:tbl>
    <w:p w:rsidR="007E5DC2" w:rsidRPr="00DB760B" w:rsidRDefault="007E5DC2" w:rsidP="007E5DC2">
      <w:pPr>
        <w:widowControl/>
        <w:jc w:val="left"/>
        <w:rPr>
          <w:rFonts w:ascii="Arial" w:hAnsi="Arial"/>
          <w:snapToGrid/>
          <w:sz w:val="22"/>
          <w:lang w:eastAsia="en-AU"/>
        </w:rPr>
      </w:pPr>
    </w:p>
    <w:tbl>
      <w:tblPr>
        <w:tblW w:w="5000" w:type="pct"/>
        <w:tblLook w:val="0000" w:firstRow="0" w:lastRow="0" w:firstColumn="0" w:lastColumn="0" w:noHBand="0" w:noVBand="0"/>
      </w:tblPr>
      <w:tblGrid>
        <w:gridCol w:w="2438"/>
        <w:gridCol w:w="6645"/>
      </w:tblGrid>
      <w:tr w:rsidR="007E5DC2" w:rsidRPr="00DB760B" w:rsidTr="001B3286">
        <w:trPr>
          <w:cantSplit/>
          <w:trHeight w:val="223"/>
        </w:trPr>
        <w:tc>
          <w:tcPr>
            <w:tcW w:w="134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Category / Program:</w:t>
            </w:r>
          </w:p>
        </w:tc>
        <w:tc>
          <w:tcPr>
            <w:tcW w:w="3658"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GENERAL – General Schedule (Code GE)</w:t>
            </w:r>
          </w:p>
        </w:tc>
      </w:tr>
      <w:tr w:rsidR="007E5DC2" w:rsidRPr="00DB760B" w:rsidTr="001B3286">
        <w:trPr>
          <w:cantSplit/>
          <w:trHeight w:val="269"/>
        </w:trPr>
        <w:tc>
          <w:tcPr>
            <w:tcW w:w="134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Prescriber type:</w:t>
            </w:r>
          </w:p>
        </w:tc>
        <w:tc>
          <w:tcPr>
            <w:tcW w:w="3658"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fldChar w:fldCharType="begin">
                <w:ffData>
                  <w:name w:val="Check1"/>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Dental  </w:t>
            </w:r>
            <w:r w:rsidRPr="00DB760B">
              <w:rPr>
                <w:rFonts w:ascii="Arial Narrow" w:hAnsi="Arial Narrow"/>
                <w:snapToGrid/>
                <w:sz w:val="20"/>
                <w:szCs w:val="20"/>
                <w:lang w:eastAsia="en-AU"/>
              </w:rPr>
              <w:fldChar w:fldCharType="begin">
                <w:ffData>
                  <w:name w:val=""/>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Medical Practitioners  </w:t>
            </w:r>
            <w:r w:rsidRPr="00DB760B">
              <w:rPr>
                <w:rFonts w:ascii="Arial Narrow" w:hAnsi="Arial Narrow"/>
                <w:snapToGrid/>
                <w:sz w:val="20"/>
                <w:szCs w:val="20"/>
                <w:lang w:eastAsia="en-AU"/>
              </w:rPr>
              <w:fldChar w:fldCharType="begin">
                <w:ffData>
                  <w:name w:val="Check3"/>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Nurse practitioners  </w:t>
            </w:r>
            <w:r w:rsidRPr="00DB760B">
              <w:rPr>
                <w:rFonts w:ascii="Arial Narrow" w:hAnsi="Arial Narrow"/>
                <w:snapToGrid/>
                <w:sz w:val="20"/>
                <w:szCs w:val="20"/>
                <w:lang w:eastAsia="en-AU"/>
              </w:rPr>
              <w:fldChar w:fldCharType="begin">
                <w:ffData>
                  <w:name w:val=""/>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 xml:space="preserve">Optometrists </w:t>
            </w:r>
            <w:r w:rsidRPr="00DB760B">
              <w:rPr>
                <w:rFonts w:ascii="Arial Narrow" w:hAnsi="Arial Narrow"/>
                <w:snapToGrid/>
                <w:sz w:val="20"/>
                <w:szCs w:val="20"/>
                <w:lang w:eastAsia="en-AU"/>
              </w:rPr>
              <w:fldChar w:fldCharType="begin">
                <w:ffData>
                  <w:name w:val="Check5"/>
                  <w:enabled/>
                  <w:calcOnExit w:val="0"/>
                  <w:checkBox>
                    <w:sizeAuto/>
                    <w:default w:val="0"/>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Midwives</w:t>
            </w:r>
          </w:p>
        </w:tc>
      </w:tr>
      <w:tr w:rsidR="007E5DC2" w:rsidRPr="00DB760B" w:rsidTr="001B3286">
        <w:trPr>
          <w:cantSplit/>
          <w:trHeight w:val="131"/>
        </w:trPr>
        <w:tc>
          <w:tcPr>
            <w:tcW w:w="134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Condition:</w:t>
            </w:r>
          </w:p>
        </w:tc>
        <w:tc>
          <w:tcPr>
            <w:tcW w:w="3658"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Diabetes mellitus type 2</w:t>
            </w:r>
          </w:p>
        </w:tc>
      </w:tr>
      <w:tr w:rsidR="007E5DC2" w:rsidRPr="00DB760B" w:rsidTr="001B3286">
        <w:trPr>
          <w:cantSplit/>
          <w:trHeight w:val="178"/>
        </w:trPr>
        <w:tc>
          <w:tcPr>
            <w:tcW w:w="134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PBS Indication:</w:t>
            </w:r>
          </w:p>
        </w:tc>
        <w:tc>
          <w:tcPr>
            <w:tcW w:w="3658"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Diabetes mellitus type 2</w:t>
            </w:r>
          </w:p>
        </w:tc>
      </w:tr>
      <w:tr w:rsidR="007E5DC2" w:rsidRPr="00DB760B" w:rsidTr="001B3286">
        <w:trPr>
          <w:cantSplit/>
          <w:trHeight w:val="81"/>
        </w:trPr>
        <w:tc>
          <w:tcPr>
            <w:tcW w:w="134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b/>
                <w:snapToGrid/>
                <w:sz w:val="20"/>
                <w:szCs w:val="20"/>
                <w:lang w:eastAsia="en-AU"/>
              </w:rPr>
            </w:pPr>
            <w:r w:rsidRPr="00DB760B">
              <w:rPr>
                <w:rFonts w:ascii="Arial Narrow" w:hAnsi="Arial Narrow"/>
                <w:b/>
                <w:snapToGrid/>
                <w:sz w:val="20"/>
                <w:szCs w:val="20"/>
                <w:lang w:eastAsia="en-AU"/>
              </w:rPr>
              <w:t>Treatment phase:</w:t>
            </w:r>
          </w:p>
        </w:tc>
        <w:tc>
          <w:tcPr>
            <w:tcW w:w="3658"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t>Continuing treatment</w:t>
            </w:r>
          </w:p>
        </w:tc>
      </w:tr>
      <w:tr w:rsidR="007E5DC2" w:rsidRPr="00DB760B" w:rsidTr="001B3286">
        <w:trPr>
          <w:cantSplit/>
          <w:trHeight w:val="127"/>
        </w:trPr>
        <w:tc>
          <w:tcPr>
            <w:tcW w:w="134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rPr>
                <w:rFonts w:ascii="Arial Narrow" w:hAnsi="Arial Narrow"/>
                <w:i/>
                <w:snapToGrid/>
                <w:sz w:val="20"/>
                <w:szCs w:val="20"/>
                <w:lang w:eastAsia="en-AU"/>
              </w:rPr>
            </w:pPr>
            <w:r w:rsidRPr="00DB760B">
              <w:rPr>
                <w:rFonts w:ascii="Arial Narrow" w:hAnsi="Arial Narrow"/>
                <w:b/>
                <w:snapToGrid/>
                <w:sz w:val="20"/>
                <w:szCs w:val="20"/>
                <w:lang w:eastAsia="en-AU"/>
              </w:rPr>
              <w:t>Restriction Level / Method:</w:t>
            </w:r>
          </w:p>
        </w:tc>
        <w:tc>
          <w:tcPr>
            <w:tcW w:w="3658"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jc w:val="left"/>
              <w:rPr>
                <w:rFonts w:ascii="Arial Narrow" w:hAnsi="Arial Narrow"/>
                <w:snapToGrid/>
                <w:sz w:val="20"/>
                <w:szCs w:val="20"/>
                <w:lang w:eastAsia="en-AU"/>
              </w:rPr>
            </w:pPr>
            <w:r w:rsidRPr="00DB760B">
              <w:rPr>
                <w:rFonts w:ascii="Arial Narrow" w:hAnsi="Arial Narrow"/>
                <w:snapToGrid/>
                <w:sz w:val="20"/>
                <w:szCs w:val="20"/>
                <w:lang w:eastAsia="en-AU"/>
              </w:rPr>
              <w:fldChar w:fldCharType="begin">
                <w:ffData>
                  <w:name w:val="Check5"/>
                  <w:enabled/>
                  <w:calcOnExit w:val="0"/>
                  <w:checkBox>
                    <w:sizeAuto/>
                    <w:default w:val="1"/>
                  </w:checkBox>
                </w:ffData>
              </w:fldChar>
            </w:r>
            <w:r w:rsidRPr="00DB760B">
              <w:rPr>
                <w:rFonts w:ascii="Arial Narrow" w:hAnsi="Arial Narrow"/>
                <w:snapToGrid/>
                <w:sz w:val="20"/>
                <w:szCs w:val="20"/>
                <w:lang w:eastAsia="en-AU"/>
              </w:rPr>
              <w:instrText xml:space="preserve"> FORMCHECKBOX </w:instrText>
            </w:r>
            <w:r w:rsidR="001B3286">
              <w:rPr>
                <w:rFonts w:ascii="Arial Narrow" w:hAnsi="Arial Narrow"/>
                <w:snapToGrid/>
                <w:sz w:val="20"/>
                <w:szCs w:val="20"/>
                <w:lang w:eastAsia="en-AU"/>
              </w:rPr>
            </w:r>
            <w:r w:rsidR="001B3286">
              <w:rPr>
                <w:rFonts w:ascii="Arial Narrow" w:hAnsi="Arial Narrow"/>
                <w:snapToGrid/>
                <w:sz w:val="20"/>
                <w:szCs w:val="20"/>
                <w:lang w:eastAsia="en-AU"/>
              </w:rPr>
              <w:fldChar w:fldCharType="separate"/>
            </w:r>
            <w:r w:rsidRPr="00DB760B">
              <w:rPr>
                <w:rFonts w:ascii="Arial Narrow" w:hAnsi="Arial Narrow"/>
                <w:snapToGrid/>
                <w:sz w:val="20"/>
                <w:szCs w:val="20"/>
                <w:lang w:eastAsia="en-AU"/>
              </w:rPr>
              <w:fldChar w:fldCharType="end"/>
            </w:r>
            <w:r w:rsidRPr="00DB760B">
              <w:rPr>
                <w:rFonts w:ascii="Arial Narrow" w:hAnsi="Arial Narrow"/>
                <w:snapToGrid/>
                <w:sz w:val="20"/>
                <w:szCs w:val="20"/>
                <w:lang w:eastAsia="en-AU"/>
              </w:rPr>
              <w:t>Streamlined</w:t>
            </w:r>
          </w:p>
        </w:tc>
      </w:tr>
      <w:tr w:rsidR="007E5DC2" w:rsidRPr="00DB760B" w:rsidTr="001B3286">
        <w:trPr>
          <w:cantSplit/>
          <w:trHeight w:val="457"/>
        </w:trPr>
        <w:tc>
          <w:tcPr>
            <w:tcW w:w="134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spacing w:before="40" w:after="60"/>
              <w:rPr>
                <w:rFonts w:ascii="Arial Narrow" w:hAnsi="Arial Narrow"/>
                <w:b/>
                <w:snapToGrid/>
                <w:sz w:val="20"/>
                <w:szCs w:val="20"/>
                <w:lang w:eastAsia="en-AU"/>
              </w:rPr>
            </w:pPr>
            <w:r w:rsidRPr="00DB760B">
              <w:rPr>
                <w:rFonts w:ascii="Arial Narrow" w:hAnsi="Arial Narrow"/>
                <w:b/>
                <w:snapToGrid/>
                <w:sz w:val="20"/>
                <w:szCs w:val="20"/>
                <w:lang w:eastAsia="en-AU"/>
              </w:rPr>
              <w:t>Clinical criteria:</w:t>
            </w:r>
          </w:p>
          <w:p w:rsidR="007E5DC2" w:rsidRPr="00DB760B" w:rsidRDefault="007E5DC2" w:rsidP="001B3286">
            <w:pPr>
              <w:keepNext/>
              <w:keepLines/>
              <w:widowControl/>
              <w:spacing w:before="40" w:after="60"/>
              <w:rPr>
                <w:rFonts w:ascii="Arial Narrow" w:hAnsi="Arial Narrow"/>
                <w:snapToGrid/>
                <w:sz w:val="20"/>
                <w:szCs w:val="20"/>
                <w:lang w:eastAsia="en-AU"/>
              </w:rPr>
            </w:pPr>
          </w:p>
        </w:tc>
        <w:tc>
          <w:tcPr>
            <w:tcW w:w="3658"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 xml:space="preserve">Patient must have previously received and been stabilised on a PBS-subsidised regimen of oral diabetic medicines which includes metformin and </w:t>
            </w:r>
            <w:proofErr w:type="spellStart"/>
            <w:r w:rsidRPr="00DB760B">
              <w:rPr>
                <w:rFonts w:ascii="Arial Narrow" w:hAnsi="Arial Narrow"/>
                <w:snapToGrid/>
                <w:sz w:val="20"/>
                <w:szCs w:val="20"/>
                <w:lang w:eastAsia="en-AU"/>
              </w:rPr>
              <w:t>ertugliflozin</w:t>
            </w:r>
            <w:proofErr w:type="spellEnd"/>
            <w:r w:rsidRPr="00DB760B">
              <w:rPr>
                <w:rFonts w:ascii="Arial Narrow" w:hAnsi="Arial Narrow"/>
                <w:snapToGrid/>
                <w:sz w:val="20"/>
                <w:szCs w:val="20"/>
                <w:lang w:eastAsia="en-AU"/>
              </w:rPr>
              <w:t>.</w:t>
            </w:r>
          </w:p>
        </w:tc>
      </w:tr>
      <w:tr w:rsidR="007E5DC2" w:rsidRPr="00DB760B" w:rsidTr="001B3286">
        <w:trPr>
          <w:cantSplit/>
          <w:trHeight w:val="360"/>
        </w:trPr>
        <w:tc>
          <w:tcPr>
            <w:tcW w:w="1342"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spacing w:before="40" w:after="60"/>
              <w:rPr>
                <w:rFonts w:ascii="Arial Narrow" w:hAnsi="Arial Narrow"/>
                <w:b/>
                <w:snapToGrid/>
                <w:sz w:val="20"/>
                <w:szCs w:val="20"/>
                <w:lang w:eastAsia="en-AU"/>
              </w:rPr>
            </w:pPr>
            <w:r w:rsidRPr="00DB760B">
              <w:rPr>
                <w:rFonts w:ascii="Arial Narrow" w:hAnsi="Arial Narrow"/>
                <w:b/>
                <w:snapToGrid/>
                <w:sz w:val="20"/>
                <w:szCs w:val="20"/>
                <w:lang w:eastAsia="en-AU"/>
              </w:rPr>
              <w:t>Administrative advice:</w:t>
            </w:r>
          </w:p>
          <w:p w:rsidR="007E5DC2" w:rsidRPr="00DB760B" w:rsidRDefault="007E5DC2" w:rsidP="001B3286">
            <w:pPr>
              <w:keepNext/>
              <w:keepLines/>
              <w:widowControl/>
              <w:spacing w:before="40" w:after="60"/>
              <w:rPr>
                <w:rFonts w:ascii="Arial Narrow" w:hAnsi="Arial Narrow"/>
                <w:i/>
                <w:snapToGrid/>
                <w:sz w:val="20"/>
                <w:szCs w:val="20"/>
                <w:lang w:eastAsia="en-AU"/>
              </w:rPr>
            </w:pPr>
          </w:p>
        </w:tc>
        <w:tc>
          <w:tcPr>
            <w:tcW w:w="3658" w:type="pct"/>
            <w:tcBorders>
              <w:top w:val="single" w:sz="4" w:space="0" w:color="auto"/>
              <w:left w:val="single" w:sz="4" w:space="0" w:color="auto"/>
              <w:bottom w:val="single" w:sz="4" w:space="0" w:color="auto"/>
              <w:right w:val="single" w:sz="4" w:space="0" w:color="auto"/>
            </w:tcBorders>
            <w:tcMar>
              <w:left w:w="28" w:type="dxa"/>
              <w:right w:w="28" w:type="dxa"/>
            </w:tcMar>
          </w:tcPr>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7E5DC2" w:rsidRPr="00DB760B" w:rsidRDefault="007E5DC2" w:rsidP="001B3286">
            <w:pPr>
              <w:keepNext/>
              <w:keepLines/>
              <w:widowControl/>
              <w:spacing w:before="40" w:after="60"/>
              <w:jc w:val="left"/>
              <w:rPr>
                <w:rFonts w:ascii="Arial Narrow" w:hAnsi="Arial Narrow"/>
                <w:snapToGrid/>
                <w:sz w:val="20"/>
                <w:szCs w:val="20"/>
                <w:lang w:eastAsia="en-AU"/>
              </w:rPr>
            </w:pPr>
            <w:r w:rsidRPr="00DB760B">
              <w:rPr>
                <w:rFonts w:ascii="Arial Narrow" w:hAnsi="Arial Narrow"/>
                <w:snapToGrid/>
                <w:sz w:val="20"/>
                <w:szCs w:val="20"/>
                <w:lang w:eastAsia="en-AU"/>
              </w:rPr>
              <w:t>This fixed dose combination is not PBS subsidised for use as initial therapy or in combination with a thiazolidinedione (</w:t>
            </w:r>
            <w:proofErr w:type="spellStart"/>
            <w:r w:rsidRPr="00DB760B">
              <w:rPr>
                <w:rFonts w:ascii="Arial Narrow" w:hAnsi="Arial Narrow"/>
                <w:snapToGrid/>
                <w:sz w:val="20"/>
                <w:szCs w:val="20"/>
                <w:lang w:eastAsia="en-AU"/>
              </w:rPr>
              <w:t>glitazone</w:t>
            </w:r>
            <w:proofErr w:type="spellEnd"/>
            <w:r w:rsidRPr="00DB760B">
              <w:rPr>
                <w:rFonts w:ascii="Arial Narrow" w:hAnsi="Arial Narrow"/>
                <w:snapToGrid/>
                <w:sz w:val="20"/>
                <w:szCs w:val="20"/>
                <w:lang w:eastAsia="en-AU"/>
              </w:rPr>
              <w:t xml:space="preserve">), </w:t>
            </w:r>
            <w:r w:rsidRPr="00DB760B">
              <w:rPr>
                <w:rFonts w:ascii="Arial Narrow" w:hAnsi="Arial Narrow"/>
                <w:strike/>
                <w:sz w:val="20"/>
                <w:szCs w:val="20"/>
              </w:rPr>
              <w:t xml:space="preserve">a dipeptidyl peptidase </w:t>
            </w:r>
            <w:proofErr w:type="gramStart"/>
            <w:r w:rsidRPr="00DB760B">
              <w:rPr>
                <w:rFonts w:ascii="Arial Narrow" w:hAnsi="Arial Narrow"/>
                <w:strike/>
                <w:sz w:val="20"/>
                <w:szCs w:val="20"/>
              </w:rPr>
              <w:t>4 inhibitor (gliptin),</w:t>
            </w:r>
            <w:r w:rsidRPr="00DB760B">
              <w:rPr>
                <w:rFonts w:ascii="Arial Narrow" w:hAnsi="Arial Narrow"/>
                <w:sz w:val="20"/>
                <w:szCs w:val="20"/>
              </w:rPr>
              <w:t xml:space="preserve"> </w:t>
            </w:r>
            <w:r w:rsidRPr="00DB760B">
              <w:rPr>
                <w:rFonts w:ascii="Arial Narrow" w:hAnsi="Arial Narrow"/>
                <w:snapToGrid/>
                <w:sz w:val="20"/>
                <w:szCs w:val="20"/>
                <w:lang w:eastAsia="en-AU"/>
              </w:rPr>
              <w:t>insulin or a glucagon-like peptide-1</w:t>
            </w:r>
            <w:proofErr w:type="gramEnd"/>
            <w:r w:rsidRPr="00DB760B">
              <w:rPr>
                <w:rFonts w:ascii="Arial Narrow" w:hAnsi="Arial Narrow"/>
                <w:snapToGrid/>
                <w:sz w:val="20"/>
                <w:szCs w:val="20"/>
                <w:lang w:eastAsia="en-AU"/>
              </w:rPr>
              <w:t>.</w:t>
            </w:r>
          </w:p>
        </w:tc>
      </w:tr>
    </w:tbl>
    <w:p w:rsidR="00301DD3" w:rsidRPr="00DB760B" w:rsidRDefault="00301DD3" w:rsidP="001B3286">
      <w:pPr>
        <w:pStyle w:val="PBACHeading1"/>
        <w:numPr>
          <w:ilvl w:val="0"/>
          <w:numId w:val="0"/>
        </w:numPr>
        <w:rPr>
          <w:rFonts w:asciiTheme="minorHAnsi" w:hAnsiTheme="minorHAnsi"/>
          <w:b w:val="0"/>
          <w:i/>
          <w:sz w:val="24"/>
          <w:szCs w:val="24"/>
        </w:rPr>
      </w:pPr>
    </w:p>
    <w:p w:rsidR="00974574" w:rsidRDefault="00974574" w:rsidP="001B3286">
      <w:pPr>
        <w:numPr>
          <w:ilvl w:val="0"/>
          <w:numId w:val="1"/>
        </w:numPr>
        <w:spacing w:before="240" w:after="120"/>
        <w:outlineLvl w:val="0"/>
        <w:rPr>
          <w:rFonts w:asciiTheme="minorHAnsi" w:hAnsiTheme="minorHAnsi"/>
          <w:b/>
          <w:bCs/>
          <w:sz w:val="32"/>
        </w:rPr>
      </w:pPr>
      <w:r>
        <w:rPr>
          <w:rFonts w:asciiTheme="minorHAnsi" w:hAnsiTheme="minorHAnsi"/>
          <w:b/>
          <w:bCs/>
          <w:sz w:val="32"/>
        </w:rPr>
        <w:t>Context for Decision</w:t>
      </w:r>
    </w:p>
    <w:p w:rsidR="00974574" w:rsidRPr="001B3286" w:rsidRDefault="00974574" w:rsidP="00D65851">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74574" w:rsidRPr="00974574" w:rsidRDefault="00974574" w:rsidP="00974574">
      <w:pPr>
        <w:numPr>
          <w:ilvl w:val="0"/>
          <w:numId w:val="1"/>
        </w:numPr>
        <w:spacing w:before="240" w:after="120"/>
        <w:outlineLvl w:val="0"/>
        <w:rPr>
          <w:rFonts w:asciiTheme="minorHAnsi" w:hAnsiTheme="minorHAnsi"/>
          <w:b/>
          <w:bCs/>
          <w:sz w:val="32"/>
        </w:rPr>
      </w:pPr>
      <w:r>
        <w:rPr>
          <w:rFonts w:asciiTheme="minorHAnsi" w:hAnsiTheme="minorHAnsi"/>
          <w:b/>
          <w:bCs/>
          <w:sz w:val="32"/>
        </w:rPr>
        <w:lastRenderedPageBreak/>
        <w:t xml:space="preserve">Sponsor’s Comment </w:t>
      </w:r>
    </w:p>
    <w:p w:rsidR="00F24837" w:rsidRPr="001B3286" w:rsidRDefault="00974574" w:rsidP="001B3286">
      <w:pPr>
        <w:spacing w:after="120"/>
        <w:rPr>
          <w:rFonts w:asciiTheme="minorHAnsi" w:hAnsiTheme="minorHAnsi"/>
          <w:bCs/>
        </w:rPr>
      </w:pPr>
      <w:r w:rsidRPr="00C07617">
        <w:rPr>
          <w:rFonts w:asciiTheme="minorHAnsi" w:hAnsiTheme="minorHAnsi"/>
          <w:bCs/>
        </w:rPr>
        <w:t>The sponsor had no comment.</w:t>
      </w:r>
      <w:bookmarkStart w:id="18" w:name="_GoBack"/>
      <w:bookmarkEnd w:id="18"/>
    </w:p>
    <w:sectPr w:rsidR="00F24837" w:rsidRPr="001B3286" w:rsidSect="00123ABD">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C7E00" w15:done="0"/>
  <w15:commentEx w15:paraId="30415D07" w15:done="0"/>
  <w15:commentEx w15:paraId="7964BF5B" w15:paraIdParent="30415D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C7E00" w16cid:durableId="1EA4A1D0"/>
  <w16cid:commentId w16cid:paraId="30415D07" w16cid:durableId="1EA4A1D1"/>
  <w16cid:commentId w16cid:paraId="7964BF5B" w16cid:durableId="1EA4A1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1D" w:rsidRDefault="007C551D" w:rsidP="00124A51">
      <w:r>
        <w:separator/>
      </w:r>
    </w:p>
    <w:p w:rsidR="007C551D" w:rsidRDefault="007C551D"/>
  </w:endnote>
  <w:endnote w:type="continuationSeparator" w:id="0">
    <w:p w:rsidR="007C551D" w:rsidRDefault="007C551D" w:rsidP="00124A51">
      <w:r>
        <w:continuationSeparator/>
      </w:r>
    </w:p>
    <w:p w:rsidR="007C551D" w:rsidRDefault="007C5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856388"/>
      <w:docPartObj>
        <w:docPartGallery w:val="Page Numbers (Bottom of Page)"/>
        <w:docPartUnique/>
      </w:docPartObj>
    </w:sdtPr>
    <w:sdtEndPr>
      <w:rPr>
        <w:noProof/>
      </w:rPr>
    </w:sdtEndPr>
    <w:sdtContent>
      <w:p w:rsidR="00962E78" w:rsidRDefault="00962E78">
        <w:pPr>
          <w:pStyle w:val="Footer"/>
          <w:jc w:val="center"/>
        </w:pPr>
        <w:r>
          <w:fldChar w:fldCharType="begin"/>
        </w:r>
        <w:r>
          <w:instrText xml:space="preserve"> PAGE   \* MERGEFORMAT </w:instrText>
        </w:r>
        <w:r>
          <w:fldChar w:fldCharType="separate"/>
        </w:r>
        <w:r w:rsidR="001B3286">
          <w:rPr>
            <w:noProof/>
          </w:rPr>
          <w:t>1</w:t>
        </w:r>
        <w:r>
          <w:rPr>
            <w:noProof/>
          </w:rPr>
          <w:fldChar w:fldCharType="end"/>
        </w:r>
      </w:p>
    </w:sdtContent>
  </w:sdt>
  <w:p w:rsidR="00962E78" w:rsidRDefault="00962E78" w:rsidP="00B350B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1D" w:rsidRDefault="007C551D" w:rsidP="00124A51">
      <w:r>
        <w:separator/>
      </w:r>
    </w:p>
    <w:p w:rsidR="007C551D" w:rsidRDefault="007C551D"/>
  </w:footnote>
  <w:footnote w:type="continuationSeparator" w:id="0">
    <w:p w:rsidR="007C551D" w:rsidRDefault="007C551D" w:rsidP="00124A51">
      <w:r>
        <w:continuationSeparator/>
      </w:r>
    </w:p>
    <w:p w:rsidR="007C551D" w:rsidRDefault="007C55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E78" w:rsidRPr="00DD7F71" w:rsidRDefault="00962E78" w:rsidP="00DD7F71">
    <w:pPr>
      <w:widowControl/>
      <w:tabs>
        <w:tab w:val="center" w:pos="4513"/>
        <w:tab w:val="right" w:pos="9026"/>
      </w:tabs>
      <w:jc w:val="center"/>
      <w:rPr>
        <w:rFonts w:asciiTheme="minorHAnsi" w:eastAsiaTheme="minorHAnsi" w:hAnsiTheme="minorHAnsi" w:cstheme="minorHAnsi"/>
        <w:i/>
        <w:snapToGrid/>
        <w:color w:val="808080"/>
        <w:sz w:val="22"/>
      </w:rPr>
    </w:pPr>
    <w:r w:rsidRPr="00DD7F71">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DD7F71">
      <w:rPr>
        <w:rFonts w:asciiTheme="minorHAnsi" w:eastAsiaTheme="minorHAnsi" w:hAnsiTheme="minorHAnsi" w:cstheme="minorHAnsi"/>
        <w:i/>
        <w:snapToGrid/>
        <w:color w:val="808080"/>
        <w:sz w:val="22"/>
      </w:rPr>
      <w:t xml:space="preserve"> PBAC Meeting</w:t>
    </w:r>
  </w:p>
  <w:p w:rsidR="00962E78" w:rsidRPr="00076208" w:rsidRDefault="00962E78" w:rsidP="00076208">
    <w:pP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98053C"/>
    <w:multiLevelType w:val="hybridMultilevel"/>
    <w:tmpl w:val="9DF06AC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625A2C"/>
    <w:multiLevelType w:val="hybridMultilevel"/>
    <w:tmpl w:val="28EE8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8777F1E"/>
    <w:multiLevelType w:val="hybridMultilevel"/>
    <w:tmpl w:val="11983B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FEB6556"/>
    <w:multiLevelType w:val="hybridMultilevel"/>
    <w:tmpl w:val="C5BE85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84C471D"/>
    <w:multiLevelType w:val="multilevel"/>
    <w:tmpl w:val="DD30151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E3520E3"/>
    <w:multiLevelType w:val="hybridMultilevel"/>
    <w:tmpl w:val="A19204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0F21BCA"/>
    <w:multiLevelType w:val="hybridMultilevel"/>
    <w:tmpl w:val="248A12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57D6731"/>
    <w:multiLevelType w:val="hybridMultilevel"/>
    <w:tmpl w:val="21A05704"/>
    <w:lvl w:ilvl="0" w:tplc="C5B673A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B5C144E"/>
    <w:multiLevelType w:val="hybridMultilevel"/>
    <w:tmpl w:val="617C28A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CFF7903"/>
    <w:multiLevelType w:val="hybridMultilevel"/>
    <w:tmpl w:val="7D64E1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2D247828"/>
    <w:multiLevelType w:val="hybridMultilevel"/>
    <w:tmpl w:val="BCD49E92"/>
    <w:lvl w:ilvl="0" w:tplc="69CE96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E360428"/>
    <w:multiLevelType w:val="hybridMultilevel"/>
    <w:tmpl w:val="D6EC9E88"/>
    <w:lvl w:ilvl="0" w:tplc="C5B673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03D0F"/>
    <w:multiLevelType w:val="hybridMultilevel"/>
    <w:tmpl w:val="5D74AB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496276BE"/>
    <w:multiLevelType w:val="hybridMultilevel"/>
    <w:tmpl w:val="5A5A9E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62935C58"/>
    <w:multiLevelType w:val="hybridMultilevel"/>
    <w:tmpl w:val="C32CE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6550BD6"/>
    <w:multiLevelType w:val="hybridMultilevel"/>
    <w:tmpl w:val="99B086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313554"/>
    <w:multiLevelType w:val="multilevel"/>
    <w:tmpl w:val="0D48D65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4815862"/>
    <w:multiLevelType w:val="hybridMultilevel"/>
    <w:tmpl w:val="63D69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4D033C"/>
    <w:multiLevelType w:val="multilevel"/>
    <w:tmpl w:val="2BD4F020"/>
    <w:lvl w:ilvl="0">
      <w:start w:val="1"/>
      <w:numFmt w:val="decimal"/>
      <w:pStyle w:val="PBACHeading1"/>
      <w:lvlText w:val="%1"/>
      <w:lvlJc w:val="left"/>
      <w:pPr>
        <w:ind w:left="720" w:hanging="720"/>
      </w:pPr>
      <w:rPr>
        <w:rFonts w:hint="default"/>
        <w:b/>
      </w:rPr>
    </w:lvl>
    <w:lvl w:ilvl="1">
      <w:start w:val="1"/>
      <w:numFmt w:val="decimal"/>
      <w:lvlText w:val="%1.%2"/>
      <w:lvlJc w:val="left"/>
      <w:pPr>
        <w:ind w:left="862"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3"/>
  </w:num>
  <w:num w:numId="3">
    <w:abstractNumId w:val="4"/>
  </w:num>
  <w:num w:numId="4">
    <w:abstractNumId w:val="14"/>
  </w:num>
  <w:num w:numId="5">
    <w:abstractNumId w:val="9"/>
  </w:num>
  <w:num w:numId="6">
    <w:abstractNumId w:val="2"/>
  </w:num>
  <w:num w:numId="7">
    <w:abstractNumId w:val="6"/>
  </w:num>
  <w:num w:numId="8">
    <w:abstractNumId w:val="15"/>
  </w:num>
  <w:num w:numId="9">
    <w:abstractNumId w:val="3"/>
  </w:num>
  <w:num w:numId="10">
    <w:abstractNumId w:val="10"/>
  </w:num>
  <w:num w:numId="11">
    <w:abstractNumId w:val="1"/>
  </w:num>
  <w:num w:numId="12">
    <w:abstractNumId w:val="18"/>
  </w:num>
  <w:num w:numId="13">
    <w:abstractNumId w:val="17"/>
  </w:num>
  <w:num w:numId="14">
    <w:abstractNumId w:val="12"/>
  </w:num>
  <w:num w:numId="15">
    <w:abstractNumId w:val="0"/>
  </w:num>
  <w:num w:numId="16">
    <w:abstractNumId w:val="8"/>
  </w:num>
  <w:num w:numId="17">
    <w:abstractNumId w:val="7"/>
  </w:num>
  <w:num w:numId="18">
    <w:abstractNumId w:val="16"/>
  </w:num>
  <w:num w:numId="19">
    <w:abstractNumId w:val="19"/>
  </w:num>
  <w:num w:numId="20">
    <w:abstractNumId w:val="5"/>
  </w:num>
  <w:num w:numId="21">
    <w:abstractNumId w:val="11"/>
  </w:num>
  <w:num w:numId="22">
    <w:abstractNumId w:val="20"/>
    <w:lvlOverride w:ilvl="0">
      <w:startOverride w:val="8"/>
    </w:lvlOverride>
    <w:lvlOverride w:ilvl="1">
      <w:startOverride w:val="2"/>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Downes [2]">
    <w15:presenceInfo w15:providerId="Windows Live" w15:userId="3b1692e3e3fb1998"/>
  </w15:person>
  <w15:person w15:author="Martin Downes">
    <w15:presenceInfo w15:providerId="None" w15:userId="Martin Downes"/>
  </w15:person>
  <w15:person w15:author="Emilie Bettington">
    <w15:presenceInfo w15:providerId="Windows Live" w15:userId="330331721064e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D7"/>
    <w:rsid w:val="00000790"/>
    <w:rsid w:val="0000110B"/>
    <w:rsid w:val="00003499"/>
    <w:rsid w:val="000039B7"/>
    <w:rsid w:val="00006E30"/>
    <w:rsid w:val="000114CC"/>
    <w:rsid w:val="00013247"/>
    <w:rsid w:val="0001462E"/>
    <w:rsid w:val="00015886"/>
    <w:rsid w:val="000162BC"/>
    <w:rsid w:val="000162EF"/>
    <w:rsid w:val="0001723C"/>
    <w:rsid w:val="0002225F"/>
    <w:rsid w:val="00023763"/>
    <w:rsid w:val="00026309"/>
    <w:rsid w:val="00027B06"/>
    <w:rsid w:val="000300FA"/>
    <w:rsid w:val="00033863"/>
    <w:rsid w:val="00034463"/>
    <w:rsid w:val="00034A1B"/>
    <w:rsid w:val="00035DC0"/>
    <w:rsid w:val="00036829"/>
    <w:rsid w:val="0003794A"/>
    <w:rsid w:val="0004037F"/>
    <w:rsid w:val="00040895"/>
    <w:rsid w:val="00043C37"/>
    <w:rsid w:val="00045017"/>
    <w:rsid w:val="00045A2B"/>
    <w:rsid w:val="0004698F"/>
    <w:rsid w:val="0005014F"/>
    <w:rsid w:val="00050352"/>
    <w:rsid w:val="000503BD"/>
    <w:rsid w:val="00050ADD"/>
    <w:rsid w:val="000526F3"/>
    <w:rsid w:val="000539D0"/>
    <w:rsid w:val="00054621"/>
    <w:rsid w:val="000546D7"/>
    <w:rsid w:val="00055D91"/>
    <w:rsid w:val="00060D75"/>
    <w:rsid w:val="00062979"/>
    <w:rsid w:val="00066360"/>
    <w:rsid w:val="00070CD3"/>
    <w:rsid w:val="00071248"/>
    <w:rsid w:val="000720B9"/>
    <w:rsid w:val="00072B1F"/>
    <w:rsid w:val="000737F7"/>
    <w:rsid w:val="00076208"/>
    <w:rsid w:val="0007672F"/>
    <w:rsid w:val="000774F0"/>
    <w:rsid w:val="00077FB2"/>
    <w:rsid w:val="00080909"/>
    <w:rsid w:val="00080D99"/>
    <w:rsid w:val="000812CA"/>
    <w:rsid w:val="0008258D"/>
    <w:rsid w:val="00083E99"/>
    <w:rsid w:val="0008553A"/>
    <w:rsid w:val="000856C5"/>
    <w:rsid w:val="0008787B"/>
    <w:rsid w:val="00090C7E"/>
    <w:rsid w:val="000911C2"/>
    <w:rsid w:val="00092600"/>
    <w:rsid w:val="0009262B"/>
    <w:rsid w:val="00092806"/>
    <w:rsid w:val="00093310"/>
    <w:rsid w:val="00093C37"/>
    <w:rsid w:val="0009445C"/>
    <w:rsid w:val="00094556"/>
    <w:rsid w:val="00095FE5"/>
    <w:rsid w:val="00096284"/>
    <w:rsid w:val="00096788"/>
    <w:rsid w:val="000A3BD5"/>
    <w:rsid w:val="000A5A03"/>
    <w:rsid w:val="000A6FAA"/>
    <w:rsid w:val="000A7D08"/>
    <w:rsid w:val="000B0670"/>
    <w:rsid w:val="000B0E75"/>
    <w:rsid w:val="000B2C32"/>
    <w:rsid w:val="000B6CAC"/>
    <w:rsid w:val="000B7612"/>
    <w:rsid w:val="000C3480"/>
    <w:rsid w:val="000C3DF9"/>
    <w:rsid w:val="000C5B8E"/>
    <w:rsid w:val="000C6713"/>
    <w:rsid w:val="000D1258"/>
    <w:rsid w:val="000D1BFC"/>
    <w:rsid w:val="000D1DFF"/>
    <w:rsid w:val="000D281A"/>
    <w:rsid w:val="000D326A"/>
    <w:rsid w:val="000D4963"/>
    <w:rsid w:val="000D51FB"/>
    <w:rsid w:val="000E135D"/>
    <w:rsid w:val="000E20CC"/>
    <w:rsid w:val="000E54DE"/>
    <w:rsid w:val="000E7360"/>
    <w:rsid w:val="000F00BA"/>
    <w:rsid w:val="000F316A"/>
    <w:rsid w:val="000F387D"/>
    <w:rsid w:val="000F3C74"/>
    <w:rsid w:val="000F48C0"/>
    <w:rsid w:val="000F4BB8"/>
    <w:rsid w:val="000F7127"/>
    <w:rsid w:val="00100F8A"/>
    <w:rsid w:val="00102582"/>
    <w:rsid w:val="00104342"/>
    <w:rsid w:val="001045DC"/>
    <w:rsid w:val="00105AE2"/>
    <w:rsid w:val="0010649C"/>
    <w:rsid w:val="00106B80"/>
    <w:rsid w:val="00107687"/>
    <w:rsid w:val="0011032E"/>
    <w:rsid w:val="00111182"/>
    <w:rsid w:val="00111BDF"/>
    <w:rsid w:val="00111C0B"/>
    <w:rsid w:val="0011348B"/>
    <w:rsid w:val="00114048"/>
    <w:rsid w:val="00114105"/>
    <w:rsid w:val="00114C07"/>
    <w:rsid w:val="00115982"/>
    <w:rsid w:val="00116C53"/>
    <w:rsid w:val="00117290"/>
    <w:rsid w:val="00121799"/>
    <w:rsid w:val="001222FC"/>
    <w:rsid w:val="00123ABD"/>
    <w:rsid w:val="00124A51"/>
    <w:rsid w:val="001253F4"/>
    <w:rsid w:val="00126621"/>
    <w:rsid w:val="001301E9"/>
    <w:rsid w:val="00131D82"/>
    <w:rsid w:val="00133822"/>
    <w:rsid w:val="00133D36"/>
    <w:rsid w:val="001345E0"/>
    <w:rsid w:val="00137279"/>
    <w:rsid w:val="00137645"/>
    <w:rsid w:val="0014015A"/>
    <w:rsid w:val="001409F3"/>
    <w:rsid w:val="00140E99"/>
    <w:rsid w:val="00143FAD"/>
    <w:rsid w:val="001443DC"/>
    <w:rsid w:val="00145540"/>
    <w:rsid w:val="001456B0"/>
    <w:rsid w:val="00145A30"/>
    <w:rsid w:val="00146BBB"/>
    <w:rsid w:val="00146D47"/>
    <w:rsid w:val="00150DB9"/>
    <w:rsid w:val="00152E27"/>
    <w:rsid w:val="00153D88"/>
    <w:rsid w:val="00154893"/>
    <w:rsid w:val="00157130"/>
    <w:rsid w:val="001576B1"/>
    <w:rsid w:val="00160A4C"/>
    <w:rsid w:val="00161D00"/>
    <w:rsid w:val="00162913"/>
    <w:rsid w:val="00163EFF"/>
    <w:rsid w:val="001661FB"/>
    <w:rsid w:val="00166BF9"/>
    <w:rsid w:val="00171102"/>
    <w:rsid w:val="00171442"/>
    <w:rsid w:val="00171619"/>
    <w:rsid w:val="00173565"/>
    <w:rsid w:val="00173B07"/>
    <w:rsid w:val="00174234"/>
    <w:rsid w:val="001768B7"/>
    <w:rsid w:val="00180E0B"/>
    <w:rsid w:val="0018137B"/>
    <w:rsid w:val="00181D9C"/>
    <w:rsid w:val="00183A8B"/>
    <w:rsid w:val="0018514D"/>
    <w:rsid w:val="0018578F"/>
    <w:rsid w:val="0018752F"/>
    <w:rsid w:val="00187958"/>
    <w:rsid w:val="00190614"/>
    <w:rsid w:val="00190F25"/>
    <w:rsid w:val="00191620"/>
    <w:rsid w:val="00195222"/>
    <w:rsid w:val="00197234"/>
    <w:rsid w:val="001975D8"/>
    <w:rsid w:val="00197EFD"/>
    <w:rsid w:val="001A2607"/>
    <w:rsid w:val="001A278F"/>
    <w:rsid w:val="001A43FA"/>
    <w:rsid w:val="001A59FB"/>
    <w:rsid w:val="001A5F34"/>
    <w:rsid w:val="001A6354"/>
    <w:rsid w:val="001A7AE8"/>
    <w:rsid w:val="001B1FAE"/>
    <w:rsid w:val="001B204E"/>
    <w:rsid w:val="001B2062"/>
    <w:rsid w:val="001B23E6"/>
    <w:rsid w:val="001B3286"/>
    <w:rsid w:val="001B3443"/>
    <w:rsid w:val="001B4D20"/>
    <w:rsid w:val="001B62FF"/>
    <w:rsid w:val="001B7B48"/>
    <w:rsid w:val="001C2A9B"/>
    <w:rsid w:val="001C4299"/>
    <w:rsid w:val="001C4E27"/>
    <w:rsid w:val="001C5F94"/>
    <w:rsid w:val="001C60DB"/>
    <w:rsid w:val="001C6BB4"/>
    <w:rsid w:val="001C6E66"/>
    <w:rsid w:val="001D4003"/>
    <w:rsid w:val="001D7267"/>
    <w:rsid w:val="001E0336"/>
    <w:rsid w:val="001E238E"/>
    <w:rsid w:val="001E2483"/>
    <w:rsid w:val="001E2B1E"/>
    <w:rsid w:val="001E30D4"/>
    <w:rsid w:val="001E505C"/>
    <w:rsid w:val="001E52EB"/>
    <w:rsid w:val="001E5AF8"/>
    <w:rsid w:val="001E61D2"/>
    <w:rsid w:val="001E71EB"/>
    <w:rsid w:val="001E739A"/>
    <w:rsid w:val="001E740C"/>
    <w:rsid w:val="001E7D0D"/>
    <w:rsid w:val="001E7EBD"/>
    <w:rsid w:val="001F0D71"/>
    <w:rsid w:val="001F1235"/>
    <w:rsid w:val="001F1CB3"/>
    <w:rsid w:val="001F274E"/>
    <w:rsid w:val="001F38B5"/>
    <w:rsid w:val="001F5882"/>
    <w:rsid w:val="001F5C08"/>
    <w:rsid w:val="001F7361"/>
    <w:rsid w:val="00201069"/>
    <w:rsid w:val="002011B0"/>
    <w:rsid w:val="00201538"/>
    <w:rsid w:val="00202AA2"/>
    <w:rsid w:val="00203181"/>
    <w:rsid w:val="00203783"/>
    <w:rsid w:val="0020385F"/>
    <w:rsid w:val="0020516B"/>
    <w:rsid w:val="002055D2"/>
    <w:rsid w:val="00207021"/>
    <w:rsid w:val="0020732F"/>
    <w:rsid w:val="00207D00"/>
    <w:rsid w:val="002105C1"/>
    <w:rsid w:val="00210E0A"/>
    <w:rsid w:val="00214154"/>
    <w:rsid w:val="002161EC"/>
    <w:rsid w:val="00216BB5"/>
    <w:rsid w:val="00217C0E"/>
    <w:rsid w:val="00220B5F"/>
    <w:rsid w:val="00221D6C"/>
    <w:rsid w:val="0022336C"/>
    <w:rsid w:val="00223B49"/>
    <w:rsid w:val="00224DD4"/>
    <w:rsid w:val="00227579"/>
    <w:rsid w:val="00230051"/>
    <w:rsid w:val="002303E8"/>
    <w:rsid w:val="002308B4"/>
    <w:rsid w:val="002309CC"/>
    <w:rsid w:val="0023209F"/>
    <w:rsid w:val="00234845"/>
    <w:rsid w:val="0023629D"/>
    <w:rsid w:val="00237255"/>
    <w:rsid w:val="00240C95"/>
    <w:rsid w:val="002424AF"/>
    <w:rsid w:val="00243005"/>
    <w:rsid w:val="002439DC"/>
    <w:rsid w:val="00244DC8"/>
    <w:rsid w:val="002458BA"/>
    <w:rsid w:val="0024636C"/>
    <w:rsid w:val="00246AF2"/>
    <w:rsid w:val="00247925"/>
    <w:rsid w:val="002531A0"/>
    <w:rsid w:val="00253CA2"/>
    <w:rsid w:val="00254DCF"/>
    <w:rsid w:val="0025534B"/>
    <w:rsid w:val="00255638"/>
    <w:rsid w:val="00255AB6"/>
    <w:rsid w:val="00255BB7"/>
    <w:rsid w:val="002573FF"/>
    <w:rsid w:val="00257541"/>
    <w:rsid w:val="00257E77"/>
    <w:rsid w:val="00257F70"/>
    <w:rsid w:val="002623BD"/>
    <w:rsid w:val="00262A1A"/>
    <w:rsid w:val="00262A87"/>
    <w:rsid w:val="00264474"/>
    <w:rsid w:val="00264D26"/>
    <w:rsid w:val="00267642"/>
    <w:rsid w:val="00267AEA"/>
    <w:rsid w:val="002700E6"/>
    <w:rsid w:val="0027294B"/>
    <w:rsid w:val="00273803"/>
    <w:rsid w:val="00273997"/>
    <w:rsid w:val="00275C5A"/>
    <w:rsid w:val="00277863"/>
    <w:rsid w:val="00281014"/>
    <w:rsid w:val="002826CD"/>
    <w:rsid w:val="00286108"/>
    <w:rsid w:val="00290554"/>
    <w:rsid w:val="0029458B"/>
    <w:rsid w:val="00297426"/>
    <w:rsid w:val="002A14AB"/>
    <w:rsid w:val="002A29F9"/>
    <w:rsid w:val="002A2F50"/>
    <w:rsid w:val="002A31AF"/>
    <w:rsid w:val="002A31BD"/>
    <w:rsid w:val="002B09A4"/>
    <w:rsid w:val="002B1B7B"/>
    <w:rsid w:val="002B1C1F"/>
    <w:rsid w:val="002B2EFF"/>
    <w:rsid w:val="002B321D"/>
    <w:rsid w:val="002B432F"/>
    <w:rsid w:val="002B4803"/>
    <w:rsid w:val="002B50D0"/>
    <w:rsid w:val="002B62B3"/>
    <w:rsid w:val="002B6754"/>
    <w:rsid w:val="002B6CCE"/>
    <w:rsid w:val="002B7E2C"/>
    <w:rsid w:val="002C062F"/>
    <w:rsid w:val="002C0D5D"/>
    <w:rsid w:val="002C1A9F"/>
    <w:rsid w:val="002C2510"/>
    <w:rsid w:val="002C2775"/>
    <w:rsid w:val="002C27C1"/>
    <w:rsid w:val="002C2CDE"/>
    <w:rsid w:val="002C5099"/>
    <w:rsid w:val="002C5889"/>
    <w:rsid w:val="002C5D0D"/>
    <w:rsid w:val="002C71CE"/>
    <w:rsid w:val="002D3F2D"/>
    <w:rsid w:val="002D577C"/>
    <w:rsid w:val="002E0A73"/>
    <w:rsid w:val="002E15B9"/>
    <w:rsid w:val="002E2158"/>
    <w:rsid w:val="002E242D"/>
    <w:rsid w:val="002E374E"/>
    <w:rsid w:val="002E455D"/>
    <w:rsid w:val="002E466D"/>
    <w:rsid w:val="002E470F"/>
    <w:rsid w:val="002E5966"/>
    <w:rsid w:val="002E5F7D"/>
    <w:rsid w:val="002E6163"/>
    <w:rsid w:val="002E7722"/>
    <w:rsid w:val="002F07BA"/>
    <w:rsid w:val="002F0DA9"/>
    <w:rsid w:val="002F36DB"/>
    <w:rsid w:val="002F4A9A"/>
    <w:rsid w:val="002F5323"/>
    <w:rsid w:val="002F643C"/>
    <w:rsid w:val="002F67EC"/>
    <w:rsid w:val="002F71C0"/>
    <w:rsid w:val="002F73BC"/>
    <w:rsid w:val="00300292"/>
    <w:rsid w:val="00301017"/>
    <w:rsid w:val="0030155F"/>
    <w:rsid w:val="00301DD3"/>
    <w:rsid w:val="003038CF"/>
    <w:rsid w:val="0030587B"/>
    <w:rsid w:val="00305CAD"/>
    <w:rsid w:val="00306D98"/>
    <w:rsid w:val="0030786C"/>
    <w:rsid w:val="0031031A"/>
    <w:rsid w:val="0031092C"/>
    <w:rsid w:val="00310981"/>
    <w:rsid w:val="00310CC6"/>
    <w:rsid w:val="003111B8"/>
    <w:rsid w:val="00313350"/>
    <w:rsid w:val="00315498"/>
    <w:rsid w:val="00322107"/>
    <w:rsid w:val="00322846"/>
    <w:rsid w:val="00323B3A"/>
    <w:rsid w:val="00326DA7"/>
    <w:rsid w:val="003270E4"/>
    <w:rsid w:val="00330F5C"/>
    <w:rsid w:val="003366C9"/>
    <w:rsid w:val="003371B0"/>
    <w:rsid w:val="00340DF1"/>
    <w:rsid w:val="00340EA3"/>
    <w:rsid w:val="003428CF"/>
    <w:rsid w:val="00345AD3"/>
    <w:rsid w:val="00345FB5"/>
    <w:rsid w:val="0034674F"/>
    <w:rsid w:val="00347570"/>
    <w:rsid w:val="003517F9"/>
    <w:rsid w:val="003551FC"/>
    <w:rsid w:val="0035620E"/>
    <w:rsid w:val="003617FD"/>
    <w:rsid w:val="00361DC6"/>
    <w:rsid w:val="003624C4"/>
    <w:rsid w:val="00362847"/>
    <w:rsid w:val="00364DEE"/>
    <w:rsid w:val="003654AC"/>
    <w:rsid w:val="0036552F"/>
    <w:rsid w:val="003710CF"/>
    <w:rsid w:val="00371175"/>
    <w:rsid w:val="00372490"/>
    <w:rsid w:val="0037358A"/>
    <w:rsid w:val="003750F6"/>
    <w:rsid w:val="003760FC"/>
    <w:rsid w:val="00376223"/>
    <w:rsid w:val="00376FE8"/>
    <w:rsid w:val="0038365C"/>
    <w:rsid w:val="0038369B"/>
    <w:rsid w:val="00383B78"/>
    <w:rsid w:val="00385A9D"/>
    <w:rsid w:val="00385F93"/>
    <w:rsid w:val="00387BE1"/>
    <w:rsid w:val="003902B1"/>
    <w:rsid w:val="00390CB0"/>
    <w:rsid w:val="003964C3"/>
    <w:rsid w:val="00396896"/>
    <w:rsid w:val="00396FD0"/>
    <w:rsid w:val="003A1A7A"/>
    <w:rsid w:val="003A2392"/>
    <w:rsid w:val="003A2831"/>
    <w:rsid w:val="003A3ED1"/>
    <w:rsid w:val="003A4C25"/>
    <w:rsid w:val="003A6B03"/>
    <w:rsid w:val="003A6C74"/>
    <w:rsid w:val="003B14FF"/>
    <w:rsid w:val="003B217F"/>
    <w:rsid w:val="003B4B3E"/>
    <w:rsid w:val="003B5B61"/>
    <w:rsid w:val="003B66A1"/>
    <w:rsid w:val="003B721C"/>
    <w:rsid w:val="003C1654"/>
    <w:rsid w:val="003C32C0"/>
    <w:rsid w:val="003C5CA8"/>
    <w:rsid w:val="003C6F86"/>
    <w:rsid w:val="003C7D19"/>
    <w:rsid w:val="003D1828"/>
    <w:rsid w:val="003D1DE4"/>
    <w:rsid w:val="003D2422"/>
    <w:rsid w:val="003D3707"/>
    <w:rsid w:val="003D39A1"/>
    <w:rsid w:val="003D3FBF"/>
    <w:rsid w:val="003D4A30"/>
    <w:rsid w:val="003D79BB"/>
    <w:rsid w:val="003D7C98"/>
    <w:rsid w:val="003E0543"/>
    <w:rsid w:val="003E3985"/>
    <w:rsid w:val="003E51E9"/>
    <w:rsid w:val="003E5A0E"/>
    <w:rsid w:val="003F2824"/>
    <w:rsid w:val="003F4156"/>
    <w:rsid w:val="003F4623"/>
    <w:rsid w:val="00400B29"/>
    <w:rsid w:val="0040504B"/>
    <w:rsid w:val="00410708"/>
    <w:rsid w:val="00410B67"/>
    <w:rsid w:val="00410EC7"/>
    <w:rsid w:val="0041158B"/>
    <w:rsid w:val="00411B39"/>
    <w:rsid w:val="00412409"/>
    <w:rsid w:val="00412C77"/>
    <w:rsid w:val="00413A1E"/>
    <w:rsid w:val="00414476"/>
    <w:rsid w:val="00414529"/>
    <w:rsid w:val="00414C2E"/>
    <w:rsid w:val="004151CF"/>
    <w:rsid w:val="00416364"/>
    <w:rsid w:val="00417B53"/>
    <w:rsid w:val="00420AA6"/>
    <w:rsid w:val="00420B9F"/>
    <w:rsid w:val="00422260"/>
    <w:rsid w:val="004237F2"/>
    <w:rsid w:val="0042413F"/>
    <w:rsid w:val="0042491F"/>
    <w:rsid w:val="00425336"/>
    <w:rsid w:val="00426300"/>
    <w:rsid w:val="004279BB"/>
    <w:rsid w:val="004319F8"/>
    <w:rsid w:val="00431E55"/>
    <w:rsid w:val="004321F6"/>
    <w:rsid w:val="00433044"/>
    <w:rsid w:val="00435BFE"/>
    <w:rsid w:val="004362B2"/>
    <w:rsid w:val="004375B9"/>
    <w:rsid w:val="004410E8"/>
    <w:rsid w:val="004428D0"/>
    <w:rsid w:val="004443A7"/>
    <w:rsid w:val="0044442C"/>
    <w:rsid w:val="00445941"/>
    <w:rsid w:val="004464EB"/>
    <w:rsid w:val="0044691D"/>
    <w:rsid w:val="00447D26"/>
    <w:rsid w:val="00452200"/>
    <w:rsid w:val="00454E89"/>
    <w:rsid w:val="00455D45"/>
    <w:rsid w:val="00455F87"/>
    <w:rsid w:val="00464595"/>
    <w:rsid w:val="00464679"/>
    <w:rsid w:val="00465B8B"/>
    <w:rsid w:val="004703D2"/>
    <w:rsid w:val="00471318"/>
    <w:rsid w:val="00472A79"/>
    <w:rsid w:val="00473F19"/>
    <w:rsid w:val="00475E22"/>
    <w:rsid w:val="004767D0"/>
    <w:rsid w:val="00477438"/>
    <w:rsid w:val="004804A2"/>
    <w:rsid w:val="0048088E"/>
    <w:rsid w:val="004816D3"/>
    <w:rsid w:val="00482720"/>
    <w:rsid w:val="004835E7"/>
    <w:rsid w:val="00483FC7"/>
    <w:rsid w:val="00484DFC"/>
    <w:rsid w:val="0048673D"/>
    <w:rsid w:val="004867E2"/>
    <w:rsid w:val="004912AE"/>
    <w:rsid w:val="00491B3A"/>
    <w:rsid w:val="00492B41"/>
    <w:rsid w:val="00492CFD"/>
    <w:rsid w:val="00494DD5"/>
    <w:rsid w:val="0049579F"/>
    <w:rsid w:val="00495C73"/>
    <w:rsid w:val="004962D2"/>
    <w:rsid w:val="004A0114"/>
    <w:rsid w:val="004A0C6C"/>
    <w:rsid w:val="004A0DA1"/>
    <w:rsid w:val="004A1B43"/>
    <w:rsid w:val="004A3CC5"/>
    <w:rsid w:val="004A4111"/>
    <w:rsid w:val="004A49AD"/>
    <w:rsid w:val="004A52CE"/>
    <w:rsid w:val="004A52E9"/>
    <w:rsid w:val="004A63D5"/>
    <w:rsid w:val="004A6597"/>
    <w:rsid w:val="004A7848"/>
    <w:rsid w:val="004B1ACE"/>
    <w:rsid w:val="004B1CB4"/>
    <w:rsid w:val="004B2F18"/>
    <w:rsid w:val="004B3DDB"/>
    <w:rsid w:val="004B44FD"/>
    <w:rsid w:val="004B5051"/>
    <w:rsid w:val="004B5CFC"/>
    <w:rsid w:val="004B774D"/>
    <w:rsid w:val="004C024C"/>
    <w:rsid w:val="004C1F4B"/>
    <w:rsid w:val="004C4AED"/>
    <w:rsid w:val="004C7276"/>
    <w:rsid w:val="004D0424"/>
    <w:rsid w:val="004D2C2D"/>
    <w:rsid w:val="004D3B97"/>
    <w:rsid w:val="004D6CF4"/>
    <w:rsid w:val="004D6E6D"/>
    <w:rsid w:val="004D7227"/>
    <w:rsid w:val="004E0E7F"/>
    <w:rsid w:val="004E0EB8"/>
    <w:rsid w:val="004E1307"/>
    <w:rsid w:val="004E224C"/>
    <w:rsid w:val="004E2ADC"/>
    <w:rsid w:val="004E3CDF"/>
    <w:rsid w:val="004E43B2"/>
    <w:rsid w:val="004E46EB"/>
    <w:rsid w:val="004E4A83"/>
    <w:rsid w:val="004F19D0"/>
    <w:rsid w:val="004F1D02"/>
    <w:rsid w:val="004F2679"/>
    <w:rsid w:val="004F2F21"/>
    <w:rsid w:val="004F4CEB"/>
    <w:rsid w:val="004F6913"/>
    <w:rsid w:val="004F7865"/>
    <w:rsid w:val="004F7BC9"/>
    <w:rsid w:val="0050219B"/>
    <w:rsid w:val="00502BCB"/>
    <w:rsid w:val="00503F17"/>
    <w:rsid w:val="00504B93"/>
    <w:rsid w:val="00506928"/>
    <w:rsid w:val="00506FEF"/>
    <w:rsid w:val="005079B0"/>
    <w:rsid w:val="00510175"/>
    <w:rsid w:val="005152B5"/>
    <w:rsid w:val="00515C2F"/>
    <w:rsid w:val="00521319"/>
    <w:rsid w:val="00522BC8"/>
    <w:rsid w:val="00522DE6"/>
    <w:rsid w:val="00523C28"/>
    <w:rsid w:val="00524596"/>
    <w:rsid w:val="00525E42"/>
    <w:rsid w:val="00530375"/>
    <w:rsid w:val="00530923"/>
    <w:rsid w:val="00536679"/>
    <w:rsid w:val="00536F42"/>
    <w:rsid w:val="00537182"/>
    <w:rsid w:val="00541DB6"/>
    <w:rsid w:val="00542743"/>
    <w:rsid w:val="00542C2D"/>
    <w:rsid w:val="00545883"/>
    <w:rsid w:val="00547BD2"/>
    <w:rsid w:val="00551438"/>
    <w:rsid w:val="00551985"/>
    <w:rsid w:val="00552657"/>
    <w:rsid w:val="00552BD3"/>
    <w:rsid w:val="00555109"/>
    <w:rsid w:val="0055660F"/>
    <w:rsid w:val="00562BA7"/>
    <w:rsid w:val="005647A0"/>
    <w:rsid w:val="0056637E"/>
    <w:rsid w:val="0056696F"/>
    <w:rsid w:val="00571DCB"/>
    <w:rsid w:val="00572269"/>
    <w:rsid w:val="0057244A"/>
    <w:rsid w:val="00573957"/>
    <w:rsid w:val="00575D8D"/>
    <w:rsid w:val="00576972"/>
    <w:rsid w:val="00577091"/>
    <w:rsid w:val="00583699"/>
    <w:rsid w:val="00583DD9"/>
    <w:rsid w:val="0058481A"/>
    <w:rsid w:val="005848F1"/>
    <w:rsid w:val="00585380"/>
    <w:rsid w:val="00585CDD"/>
    <w:rsid w:val="00587058"/>
    <w:rsid w:val="00587941"/>
    <w:rsid w:val="00591957"/>
    <w:rsid w:val="00592ED1"/>
    <w:rsid w:val="00593DF6"/>
    <w:rsid w:val="005942C8"/>
    <w:rsid w:val="00596B45"/>
    <w:rsid w:val="005974C4"/>
    <w:rsid w:val="00597BF9"/>
    <w:rsid w:val="005A0AEC"/>
    <w:rsid w:val="005A1073"/>
    <w:rsid w:val="005A344A"/>
    <w:rsid w:val="005A373D"/>
    <w:rsid w:val="005A6C68"/>
    <w:rsid w:val="005A79A2"/>
    <w:rsid w:val="005B119F"/>
    <w:rsid w:val="005B1411"/>
    <w:rsid w:val="005B14C3"/>
    <w:rsid w:val="005B3044"/>
    <w:rsid w:val="005B417C"/>
    <w:rsid w:val="005B4559"/>
    <w:rsid w:val="005B5346"/>
    <w:rsid w:val="005B5857"/>
    <w:rsid w:val="005C0CD0"/>
    <w:rsid w:val="005C1B83"/>
    <w:rsid w:val="005C2D55"/>
    <w:rsid w:val="005C3302"/>
    <w:rsid w:val="005C346B"/>
    <w:rsid w:val="005C3936"/>
    <w:rsid w:val="005C5BE9"/>
    <w:rsid w:val="005C7AC7"/>
    <w:rsid w:val="005D044D"/>
    <w:rsid w:val="005D0ABD"/>
    <w:rsid w:val="005D18AD"/>
    <w:rsid w:val="005D26B4"/>
    <w:rsid w:val="005D289E"/>
    <w:rsid w:val="005D320D"/>
    <w:rsid w:val="005D560D"/>
    <w:rsid w:val="005D6CD2"/>
    <w:rsid w:val="005E0FD2"/>
    <w:rsid w:val="005E224B"/>
    <w:rsid w:val="005E43F8"/>
    <w:rsid w:val="005E5F84"/>
    <w:rsid w:val="005E628C"/>
    <w:rsid w:val="005E6CBC"/>
    <w:rsid w:val="005E73C0"/>
    <w:rsid w:val="005F1E68"/>
    <w:rsid w:val="005F2706"/>
    <w:rsid w:val="005F56FC"/>
    <w:rsid w:val="005F6A8F"/>
    <w:rsid w:val="005F7413"/>
    <w:rsid w:val="0060059A"/>
    <w:rsid w:val="006008B4"/>
    <w:rsid w:val="0060142D"/>
    <w:rsid w:val="00602DCC"/>
    <w:rsid w:val="00603DB9"/>
    <w:rsid w:val="00606008"/>
    <w:rsid w:val="00607669"/>
    <w:rsid w:val="00607AFD"/>
    <w:rsid w:val="00612314"/>
    <w:rsid w:val="00612F97"/>
    <w:rsid w:val="0061345D"/>
    <w:rsid w:val="006144C0"/>
    <w:rsid w:val="00615AF0"/>
    <w:rsid w:val="00616802"/>
    <w:rsid w:val="00617AFE"/>
    <w:rsid w:val="00617E12"/>
    <w:rsid w:val="00621477"/>
    <w:rsid w:val="0062157E"/>
    <w:rsid w:val="0063158F"/>
    <w:rsid w:val="00631D6B"/>
    <w:rsid w:val="00632FBA"/>
    <w:rsid w:val="006330A1"/>
    <w:rsid w:val="0063479F"/>
    <w:rsid w:val="006353F0"/>
    <w:rsid w:val="006364A1"/>
    <w:rsid w:val="00637BFD"/>
    <w:rsid w:val="0064119B"/>
    <w:rsid w:val="00641C4E"/>
    <w:rsid w:val="00643987"/>
    <w:rsid w:val="0064484F"/>
    <w:rsid w:val="006471CC"/>
    <w:rsid w:val="00647F2E"/>
    <w:rsid w:val="006504C3"/>
    <w:rsid w:val="0065079F"/>
    <w:rsid w:val="00650927"/>
    <w:rsid w:val="0065256C"/>
    <w:rsid w:val="0065321A"/>
    <w:rsid w:val="0065379F"/>
    <w:rsid w:val="00654DC0"/>
    <w:rsid w:val="006565F9"/>
    <w:rsid w:val="0065678B"/>
    <w:rsid w:val="0065780A"/>
    <w:rsid w:val="00661C6B"/>
    <w:rsid w:val="00662920"/>
    <w:rsid w:val="006737DB"/>
    <w:rsid w:val="00674E42"/>
    <w:rsid w:val="0068139E"/>
    <w:rsid w:val="00681531"/>
    <w:rsid w:val="00682112"/>
    <w:rsid w:val="0068261B"/>
    <w:rsid w:val="00686760"/>
    <w:rsid w:val="00686957"/>
    <w:rsid w:val="006872BA"/>
    <w:rsid w:val="00687329"/>
    <w:rsid w:val="00690AE0"/>
    <w:rsid w:val="00691648"/>
    <w:rsid w:val="006917D7"/>
    <w:rsid w:val="00692E4A"/>
    <w:rsid w:val="00694F44"/>
    <w:rsid w:val="006953A3"/>
    <w:rsid w:val="006A103E"/>
    <w:rsid w:val="006A1933"/>
    <w:rsid w:val="006A2EA8"/>
    <w:rsid w:val="006A61A9"/>
    <w:rsid w:val="006A6EF0"/>
    <w:rsid w:val="006A76DD"/>
    <w:rsid w:val="006A7E5F"/>
    <w:rsid w:val="006B0730"/>
    <w:rsid w:val="006B261B"/>
    <w:rsid w:val="006B2C90"/>
    <w:rsid w:val="006B3A35"/>
    <w:rsid w:val="006B4448"/>
    <w:rsid w:val="006B6DD0"/>
    <w:rsid w:val="006C011D"/>
    <w:rsid w:val="006C1AB7"/>
    <w:rsid w:val="006C2A8E"/>
    <w:rsid w:val="006C3D67"/>
    <w:rsid w:val="006D3B6C"/>
    <w:rsid w:val="006D3C7D"/>
    <w:rsid w:val="006D5D5F"/>
    <w:rsid w:val="006D7C35"/>
    <w:rsid w:val="006D7E5D"/>
    <w:rsid w:val="006E07BF"/>
    <w:rsid w:val="006E0A0C"/>
    <w:rsid w:val="006E18A2"/>
    <w:rsid w:val="006E24A8"/>
    <w:rsid w:val="006F1EC7"/>
    <w:rsid w:val="006F306C"/>
    <w:rsid w:val="006F55CF"/>
    <w:rsid w:val="006F63A5"/>
    <w:rsid w:val="006F70FB"/>
    <w:rsid w:val="0070129A"/>
    <w:rsid w:val="0070142B"/>
    <w:rsid w:val="0070276E"/>
    <w:rsid w:val="00702F8F"/>
    <w:rsid w:val="00706ECE"/>
    <w:rsid w:val="007102BA"/>
    <w:rsid w:val="00711A36"/>
    <w:rsid w:val="0071529C"/>
    <w:rsid w:val="007172AD"/>
    <w:rsid w:val="00717BAD"/>
    <w:rsid w:val="00722B1B"/>
    <w:rsid w:val="00723928"/>
    <w:rsid w:val="0072416F"/>
    <w:rsid w:val="00727C94"/>
    <w:rsid w:val="00730244"/>
    <w:rsid w:val="0073197E"/>
    <w:rsid w:val="00731EAE"/>
    <w:rsid w:val="00735033"/>
    <w:rsid w:val="00735328"/>
    <w:rsid w:val="00736366"/>
    <w:rsid w:val="0073685B"/>
    <w:rsid w:val="00737BDB"/>
    <w:rsid w:val="0074034B"/>
    <w:rsid w:val="00746FFC"/>
    <w:rsid w:val="00750887"/>
    <w:rsid w:val="00751723"/>
    <w:rsid w:val="00751FAD"/>
    <w:rsid w:val="00752142"/>
    <w:rsid w:val="007523F9"/>
    <w:rsid w:val="00756C35"/>
    <w:rsid w:val="007573E8"/>
    <w:rsid w:val="00760C4E"/>
    <w:rsid w:val="007645FF"/>
    <w:rsid w:val="00765B1A"/>
    <w:rsid w:val="00765C6B"/>
    <w:rsid w:val="00766F18"/>
    <w:rsid w:val="00772908"/>
    <w:rsid w:val="007737DC"/>
    <w:rsid w:val="00774487"/>
    <w:rsid w:val="00774901"/>
    <w:rsid w:val="00776515"/>
    <w:rsid w:val="007815C6"/>
    <w:rsid w:val="00781FE8"/>
    <w:rsid w:val="007843F2"/>
    <w:rsid w:val="007915E4"/>
    <w:rsid w:val="007916DC"/>
    <w:rsid w:val="00795CBA"/>
    <w:rsid w:val="007A0A12"/>
    <w:rsid w:val="007A132D"/>
    <w:rsid w:val="007A5380"/>
    <w:rsid w:val="007A63D1"/>
    <w:rsid w:val="007B0D68"/>
    <w:rsid w:val="007B2213"/>
    <w:rsid w:val="007B251D"/>
    <w:rsid w:val="007B2D24"/>
    <w:rsid w:val="007B3E37"/>
    <w:rsid w:val="007B4F58"/>
    <w:rsid w:val="007B528D"/>
    <w:rsid w:val="007B654A"/>
    <w:rsid w:val="007B6658"/>
    <w:rsid w:val="007B7220"/>
    <w:rsid w:val="007B7489"/>
    <w:rsid w:val="007B77D1"/>
    <w:rsid w:val="007C162C"/>
    <w:rsid w:val="007C1CD9"/>
    <w:rsid w:val="007C28A0"/>
    <w:rsid w:val="007C361D"/>
    <w:rsid w:val="007C3F0A"/>
    <w:rsid w:val="007C4B84"/>
    <w:rsid w:val="007C551D"/>
    <w:rsid w:val="007C5662"/>
    <w:rsid w:val="007D004F"/>
    <w:rsid w:val="007D0B38"/>
    <w:rsid w:val="007D4026"/>
    <w:rsid w:val="007D493A"/>
    <w:rsid w:val="007D5440"/>
    <w:rsid w:val="007E1DC4"/>
    <w:rsid w:val="007E4BA5"/>
    <w:rsid w:val="007E4D48"/>
    <w:rsid w:val="007E5DC2"/>
    <w:rsid w:val="007E6CA7"/>
    <w:rsid w:val="007E75F2"/>
    <w:rsid w:val="007F1017"/>
    <w:rsid w:val="007F17A7"/>
    <w:rsid w:val="007F1EA8"/>
    <w:rsid w:val="007F228A"/>
    <w:rsid w:val="007F25C8"/>
    <w:rsid w:val="007F2F0C"/>
    <w:rsid w:val="007F321F"/>
    <w:rsid w:val="007F4A3F"/>
    <w:rsid w:val="007F4A61"/>
    <w:rsid w:val="007F61C2"/>
    <w:rsid w:val="0080011D"/>
    <w:rsid w:val="0080038B"/>
    <w:rsid w:val="008038B3"/>
    <w:rsid w:val="00805142"/>
    <w:rsid w:val="00806FA3"/>
    <w:rsid w:val="00807A8B"/>
    <w:rsid w:val="00807AFB"/>
    <w:rsid w:val="00811383"/>
    <w:rsid w:val="00811F11"/>
    <w:rsid w:val="00812149"/>
    <w:rsid w:val="00812CAC"/>
    <w:rsid w:val="00812D58"/>
    <w:rsid w:val="00813076"/>
    <w:rsid w:val="008144A0"/>
    <w:rsid w:val="008166EF"/>
    <w:rsid w:val="0082251E"/>
    <w:rsid w:val="00823AB9"/>
    <w:rsid w:val="00824A2A"/>
    <w:rsid w:val="00825751"/>
    <w:rsid w:val="008264EB"/>
    <w:rsid w:val="00826679"/>
    <w:rsid w:val="00830C22"/>
    <w:rsid w:val="008327B8"/>
    <w:rsid w:val="00833B05"/>
    <w:rsid w:val="00834D24"/>
    <w:rsid w:val="008362B4"/>
    <w:rsid w:val="00840036"/>
    <w:rsid w:val="00840961"/>
    <w:rsid w:val="00840CA2"/>
    <w:rsid w:val="0084374F"/>
    <w:rsid w:val="008459F5"/>
    <w:rsid w:val="00847A71"/>
    <w:rsid w:val="00847DE5"/>
    <w:rsid w:val="00847DF5"/>
    <w:rsid w:val="0085309D"/>
    <w:rsid w:val="00855CDC"/>
    <w:rsid w:val="00856897"/>
    <w:rsid w:val="00856E9A"/>
    <w:rsid w:val="0086075D"/>
    <w:rsid w:val="00862502"/>
    <w:rsid w:val="00864E90"/>
    <w:rsid w:val="008660D4"/>
    <w:rsid w:val="00866434"/>
    <w:rsid w:val="00866999"/>
    <w:rsid w:val="00871FA9"/>
    <w:rsid w:val="008728E9"/>
    <w:rsid w:val="00873C58"/>
    <w:rsid w:val="00875DD8"/>
    <w:rsid w:val="008765DB"/>
    <w:rsid w:val="00882874"/>
    <w:rsid w:val="008833A8"/>
    <w:rsid w:val="00883517"/>
    <w:rsid w:val="0088376D"/>
    <w:rsid w:val="00883787"/>
    <w:rsid w:val="00886CD2"/>
    <w:rsid w:val="00887AEF"/>
    <w:rsid w:val="00890E6C"/>
    <w:rsid w:val="00892A36"/>
    <w:rsid w:val="00893239"/>
    <w:rsid w:val="00894489"/>
    <w:rsid w:val="008963A5"/>
    <w:rsid w:val="008A1F46"/>
    <w:rsid w:val="008A3322"/>
    <w:rsid w:val="008A3363"/>
    <w:rsid w:val="008A3371"/>
    <w:rsid w:val="008A3C3E"/>
    <w:rsid w:val="008A4EC3"/>
    <w:rsid w:val="008A79DE"/>
    <w:rsid w:val="008B08AC"/>
    <w:rsid w:val="008B1757"/>
    <w:rsid w:val="008B5E7B"/>
    <w:rsid w:val="008B745E"/>
    <w:rsid w:val="008B7D7E"/>
    <w:rsid w:val="008C09B4"/>
    <w:rsid w:val="008C5B95"/>
    <w:rsid w:val="008C7ECB"/>
    <w:rsid w:val="008D4209"/>
    <w:rsid w:val="008D4755"/>
    <w:rsid w:val="008D4C3D"/>
    <w:rsid w:val="008D5435"/>
    <w:rsid w:val="008D5D36"/>
    <w:rsid w:val="008D65A6"/>
    <w:rsid w:val="008E0D3C"/>
    <w:rsid w:val="008E1B9E"/>
    <w:rsid w:val="008E55AB"/>
    <w:rsid w:val="008E642F"/>
    <w:rsid w:val="008F059C"/>
    <w:rsid w:val="008F120A"/>
    <w:rsid w:val="008F27E0"/>
    <w:rsid w:val="008F44C6"/>
    <w:rsid w:val="008F483A"/>
    <w:rsid w:val="008F48EB"/>
    <w:rsid w:val="008F4F0B"/>
    <w:rsid w:val="008F5AF9"/>
    <w:rsid w:val="00900834"/>
    <w:rsid w:val="009011DA"/>
    <w:rsid w:val="0090223E"/>
    <w:rsid w:val="009038F6"/>
    <w:rsid w:val="009046C4"/>
    <w:rsid w:val="009062A5"/>
    <w:rsid w:val="00911272"/>
    <w:rsid w:val="009135D6"/>
    <w:rsid w:val="00913EA8"/>
    <w:rsid w:val="00914C77"/>
    <w:rsid w:val="00920562"/>
    <w:rsid w:val="00922298"/>
    <w:rsid w:val="0092369B"/>
    <w:rsid w:val="00923CD4"/>
    <w:rsid w:val="00925409"/>
    <w:rsid w:val="0093095E"/>
    <w:rsid w:val="00931D70"/>
    <w:rsid w:val="00934AD0"/>
    <w:rsid w:val="00936690"/>
    <w:rsid w:val="009371E8"/>
    <w:rsid w:val="009510A2"/>
    <w:rsid w:val="00951780"/>
    <w:rsid w:val="0095300E"/>
    <w:rsid w:val="00953257"/>
    <w:rsid w:val="009565C9"/>
    <w:rsid w:val="00960CE3"/>
    <w:rsid w:val="00961F13"/>
    <w:rsid w:val="00962CB9"/>
    <w:rsid w:val="00962E78"/>
    <w:rsid w:val="009632D4"/>
    <w:rsid w:val="00964312"/>
    <w:rsid w:val="00965B8A"/>
    <w:rsid w:val="00965D18"/>
    <w:rsid w:val="00966570"/>
    <w:rsid w:val="00966C75"/>
    <w:rsid w:val="0096779B"/>
    <w:rsid w:val="009717AC"/>
    <w:rsid w:val="00974574"/>
    <w:rsid w:val="00983E57"/>
    <w:rsid w:val="00984B71"/>
    <w:rsid w:val="0098515D"/>
    <w:rsid w:val="009856E6"/>
    <w:rsid w:val="00985DE6"/>
    <w:rsid w:val="009862D1"/>
    <w:rsid w:val="0098675D"/>
    <w:rsid w:val="00990445"/>
    <w:rsid w:val="00995DBC"/>
    <w:rsid w:val="00996B1A"/>
    <w:rsid w:val="0099766F"/>
    <w:rsid w:val="009A4E59"/>
    <w:rsid w:val="009A7F10"/>
    <w:rsid w:val="009B375D"/>
    <w:rsid w:val="009B3B12"/>
    <w:rsid w:val="009B3E26"/>
    <w:rsid w:val="009B432F"/>
    <w:rsid w:val="009B568C"/>
    <w:rsid w:val="009B6B3E"/>
    <w:rsid w:val="009C0ED4"/>
    <w:rsid w:val="009C10C1"/>
    <w:rsid w:val="009C26F0"/>
    <w:rsid w:val="009C3E1B"/>
    <w:rsid w:val="009C6CEA"/>
    <w:rsid w:val="009C7B85"/>
    <w:rsid w:val="009D060C"/>
    <w:rsid w:val="009D4B54"/>
    <w:rsid w:val="009D5B91"/>
    <w:rsid w:val="009D7652"/>
    <w:rsid w:val="009D792E"/>
    <w:rsid w:val="009E0DAA"/>
    <w:rsid w:val="009E0DFE"/>
    <w:rsid w:val="009E3AFB"/>
    <w:rsid w:val="009E4C07"/>
    <w:rsid w:val="009F0EB3"/>
    <w:rsid w:val="009F3F27"/>
    <w:rsid w:val="009F470D"/>
    <w:rsid w:val="009F6B4E"/>
    <w:rsid w:val="009F6B69"/>
    <w:rsid w:val="00A01184"/>
    <w:rsid w:val="00A021B2"/>
    <w:rsid w:val="00A030C6"/>
    <w:rsid w:val="00A03D43"/>
    <w:rsid w:val="00A04380"/>
    <w:rsid w:val="00A04A27"/>
    <w:rsid w:val="00A06B02"/>
    <w:rsid w:val="00A075E0"/>
    <w:rsid w:val="00A100BE"/>
    <w:rsid w:val="00A11CD0"/>
    <w:rsid w:val="00A13434"/>
    <w:rsid w:val="00A13948"/>
    <w:rsid w:val="00A14EA0"/>
    <w:rsid w:val="00A1555B"/>
    <w:rsid w:val="00A155C5"/>
    <w:rsid w:val="00A16AD8"/>
    <w:rsid w:val="00A16D77"/>
    <w:rsid w:val="00A208AD"/>
    <w:rsid w:val="00A210A2"/>
    <w:rsid w:val="00A21CF3"/>
    <w:rsid w:val="00A274B9"/>
    <w:rsid w:val="00A27AEC"/>
    <w:rsid w:val="00A30E26"/>
    <w:rsid w:val="00A320DB"/>
    <w:rsid w:val="00A35D16"/>
    <w:rsid w:val="00A36348"/>
    <w:rsid w:val="00A37BCD"/>
    <w:rsid w:val="00A408A3"/>
    <w:rsid w:val="00A41ACA"/>
    <w:rsid w:val="00A41D58"/>
    <w:rsid w:val="00A4331F"/>
    <w:rsid w:val="00A43643"/>
    <w:rsid w:val="00A43C59"/>
    <w:rsid w:val="00A50ECD"/>
    <w:rsid w:val="00A5174C"/>
    <w:rsid w:val="00A518F3"/>
    <w:rsid w:val="00A52729"/>
    <w:rsid w:val="00A53675"/>
    <w:rsid w:val="00A53D0D"/>
    <w:rsid w:val="00A564D7"/>
    <w:rsid w:val="00A56B6A"/>
    <w:rsid w:val="00A57778"/>
    <w:rsid w:val="00A578DC"/>
    <w:rsid w:val="00A60E92"/>
    <w:rsid w:val="00A6174F"/>
    <w:rsid w:val="00A6386E"/>
    <w:rsid w:val="00A63E97"/>
    <w:rsid w:val="00A6461C"/>
    <w:rsid w:val="00A660F4"/>
    <w:rsid w:val="00A67109"/>
    <w:rsid w:val="00A6725B"/>
    <w:rsid w:val="00A704F0"/>
    <w:rsid w:val="00A70605"/>
    <w:rsid w:val="00A71A47"/>
    <w:rsid w:val="00A73134"/>
    <w:rsid w:val="00A7482B"/>
    <w:rsid w:val="00A75B5C"/>
    <w:rsid w:val="00A76775"/>
    <w:rsid w:val="00A76D82"/>
    <w:rsid w:val="00A7724C"/>
    <w:rsid w:val="00A777B2"/>
    <w:rsid w:val="00A85841"/>
    <w:rsid w:val="00A85D00"/>
    <w:rsid w:val="00A86E8B"/>
    <w:rsid w:val="00A87164"/>
    <w:rsid w:val="00A93072"/>
    <w:rsid w:val="00A93953"/>
    <w:rsid w:val="00A95077"/>
    <w:rsid w:val="00A959D8"/>
    <w:rsid w:val="00A96454"/>
    <w:rsid w:val="00A975FB"/>
    <w:rsid w:val="00A97B69"/>
    <w:rsid w:val="00AA113D"/>
    <w:rsid w:val="00AA41F5"/>
    <w:rsid w:val="00AA63DD"/>
    <w:rsid w:val="00AA6C7D"/>
    <w:rsid w:val="00AA73D8"/>
    <w:rsid w:val="00AA79CC"/>
    <w:rsid w:val="00AA7FD6"/>
    <w:rsid w:val="00AB042A"/>
    <w:rsid w:val="00AB14B2"/>
    <w:rsid w:val="00AB23A1"/>
    <w:rsid w:val="00AB2D34"/>
    <w:rsid w:val="00AB3430"/>
    <w:rsid w:val="00AB4AD1"/>
    <w:rsid w:val="00AB5A20"/>
    <w:rsid w:val="00AB5A45"/>
    <w:rsid w:val="00AB684D"/>
    <w:rsid w:val="00AB7AAF"/>
    <w:rsid w:val="00AB7CFA"/>
    <w:rsid w:val="00AC0350"/>
    <w:rsid w:val="00AC2901"/>
    <w:rsid w:val="00AC5B48"/>
    <w:rsid w:val="00AD2F82"/>
    <w:rsid w:val="00AD6502"/>
    <w:rsid w:val="00AD7966"/>
    <w:rsid w:val="00AE1F2F"/>
    <w:rsid w:val="00AE40F6"/>
    <w:rsid w:val="00AE4485"/>
    <w:rsid w:val="00AE46B2"/>
    <w:rsid w:val="00AE4EBF"/>
    <w:rsid w:val="00AE592F"/>
    <w:rsid w:val="00AE6D8B"/>
    <w:rsid w:val="00AE7D34"/>
    <w:rsid w:val="00AF1315"/>
    <w:rsid w:val="00AF19BF"/>
    <w:rsid w:val="00AF2DC3"/>
    <w:rsid w:val="00AF33D6"/>
    <w:rsid w:val="00AF7080"/>
    <w:rsid w:val="00AF7193"/>
    <w:rsid w:val="00B00FCF"/>
    <w:rsid w:val="00B033E5"/>
    <w:rsid w:val="00B03A63"/>
    <w:rsid w:val="00B04341"/>
    <w:rsid w:val="00B075BC"/>
    <w:rsid w:val="00B102CF"/>
    <w:rsid w:val="00B10AE9"/>
    <w:rsid w:val="00B120FF"/>
    <w:rsid w:val="00B126F7"/>
    <w:rsid w:val="00B17905"/>
    <w:rsid w:val="00B17E74"/>
    <w:rsid w:val="00B201A4"/>
    <w:rsid w:val="00B213A6"/>
    <w:rsid w:val="00B24DF6"/>
    <w:rsid w:val="00B302F9"/>
    <w:rsid w:val="00B33FA5"/>
    <w:rsid w:val="00B34FE2"/>
    <w:rsid w:val="00B350BB"/>
    <w:rsid w:val="00B357D8"/>
    <w:rsid w:val="00B371C4"/>
    <w:rsid w:val="00B37303"/>
    <w:rsid w:val="00B37BFC"/>
    <w:rsid w:val="00B40358"/>
    <w:rsid w:val="00B41614"/>
    <w:rsid w:val="00B42851"/>
    <w:rsid w:val="00B42F80"/>
    <w:rsid w:val="00B435CB"/>
    <w:rsid w:val="00B45FEB"/>
    <w:rsid w:val="00B50CAE"/>
    <w:rsid w:val="00B50DB8"/>
    <w:rsid w:val="00B515FE"/>
    <w:rsid w:val="00B521C8"/>
    <w:rsid w:val="00B53654"/>
    <w:rsid w:val="00B53905"/>
    <w:rsid w:val="00B53DD5"/>
    <w:rsid w:val="00B54B5B"/>
    <w:rsid w:val="00B54F14"/>
    <w:rsid w:val="00B5562E"/>
    <w:rsid w:val="00B57000"/>
    <w:rsid w:val="00B60939"/>
    <w:rsid w:val="00B60AFD"/>
    <w:rsid w:val="00B62715"/>
    <w:rsid w:val="00B62D07"/>
    <w:rsid w:val="00B63880"/>
    <w:rsid w:val="00B647D1"/>
    <w:rsid w:val="00B64D50"/>
    <w:rsid w:val="00B72D7B"/>
    <w:rsid w:val="00B75B13"/>
    <w:rsid w:val="00B763FE"/>
    <w:rsid w:val="00B80954"/>
    <w:rsid w:val="00B818A4"/>
    <w:rsid w:val="00B82E03"/>
    <w:rsid w:val="00B84117"/>
    <w:rsid w:val="00B84D43"/>
    <w:rsid w:val="00B84E7F"/>
    <w:rsid w:val="00B858BA"/>
    <w:rsid w:val="00B85AA2"/>
    <w:rsid w:val="00B8649C"/>
    <w:rsid w:val="00B8714D"/>
    <w:rsid w:val="00B87F0A"/>
    <w:rsid w:val="00B92D0B"/>
    <w:rsid w:val="00B93B4F"/>
    <w:rsid w:val="00B940DD"/>
    <w:rsid w:val="00B94945"/>
    <w:rsid w:val="00B950B5"/>
    <w:rsid w:val="00B95301"/>
    <w:rsid w:val="00BA2322"/>
    <w:rsid w:val="00BA322D"/>
    <w:rsid w:val="00BA5481"/>
    <w:rsid w:val="00BA6638"/>
    <w:rsid w:val="00BA79CE"/>
    <w:rsid w:val="00BA7DC3"/>
    <w:rsid w:val="00BB0188"/>
    <w:rsid w:val="00BB0BDD"/>
    <w:rsid w:val="00BB10C4"/>
    <w:rsid w:val="00BB2A73"/>
    <w:rsid w:val="00BB4ACC"/>
    <w:rsid w:val="00BB703E"/>
    <w:rsid w:val="00BB7405"/>
    <w:rsid w:val="00BC0643"/>
    <w:rsid w:val="00BC2F8F"/>
    <w:rsid w:val="00BC3631"/>
    <w:rsid w:val="00BC5141"/>
    <w:rsid w:val="00BC6B47"/>
    <w:rsid w:val="00BD1BC5"/>
    <w:rsid w:val="00BD68A3"/>
    <w:rsid w:val="00BD6938"/>
    <w:rsid w:val="00BD6CF3"/>
    <w:rsid w:val="00BD7A77"/>
    <w:rsid w:val="00BE1928"/>
    <w:rsid w:val="00BE1A42"/>
    <w:rsid w:val="00BE2180"/>
    <w:rsid w:val="00BE21F2"/>
    <w:rsid w:val="00BE4275"/>
    <w:rsid w:val="00BE489F"/>
    <w:rsid w:val="00BE54EC"/>
    <w:rsid w:val="00BE5930"/>
    <w:rsid w:val="00BE7860"/>
    <w:rsid w:val="00BF0F0D"/>
    <w:rsid w:val="00BF0F95"/>
    <w:rsid w:val="00BF1F54"/>
    <w:rsid w:val="00BF2433"/>
    <w:rsid w:val="00BF61C9"/>
    <w:rsid w:val="00BF6C94"/>
    <w:rsid w:val="00C00424"/>
    <w:rsid w:val="00C010D9"/>
    <w:rsid w:val="00C038E4"/>
    <w:rsid w:val="00C11489"/>
    <w:rsid w:val="00C11E90"/>
    <w:rsid w:val="00C12C14"/>
    <w:rsid w:val="00C137C0"/>
    <w:rsid w:val="00C137D9"/>
    <w:rsid w:val="00C13843"/>
    <w:rsid w:val="00C168AA"/>
    <w:rsid w:val="00C17F5C"/>
    <w:rsid w:val="00C200AA"/>
    <w:rsid w:val="00C21710"/>
    <w:rsid w:val="00C237ED"/>
    <w:rsid w:val="00C24632"/>
    <w:rsid w:val="00C24719"/>
    <w:rsid w:val="00C25418"/>
    <w:rsid w:val="00C258FF"/>
    <w:rsid w:val="00C25D9C"/>
    <w:rsid w:val="00C2778B"/>
    <w:rsid w:val="00C3131B"/>
    <w:rsid w:val="00C31649"/>
    <w:rsid w:val="00C332A2"/>
    <w:rsid w:val="00C34DC2"/>
    <w:rsid w:val="00C40385"/>
    <w:rsid w:val="00C41902"/>
    <w:rsid w:val="00C4317C"/>
    <w:rsid w:val="00C475AA"/>
    <w:rsid w:val="00C478E3"/>
    <w:rsid w:val="00C479D9"/>
    <w:rsid w:val="00C503F5"/>
    <w:rsid w:val="00C51B03"/>
    <w:rsid w:val="00C526F0"/>
    <w:rsid w:val="00C53D46"/>
    <w:rsid w:val="00C54ADB"/>
    <w:rsid w:val="00C55518"/>
    <w:rsid w:val="00C579E2"/>
    <w:rsid w:val="00C628CC"/>
    <w:rsid w:val="00C63135"/>
    <w:rsid w:val="00C65576"/>
    <w:rsid w:val="00C66165"/>
    <w:rsid w:val="00C7151A"/>
    <w:rsid w:val="00C71F60"/>
    <w:rsid w:val="00C72241"/>
    <w:rsid w:val="00C74379"/>
    <w:rsid w:val="00C750C8"/>
    <w:rsid w:val="00C7560F"/>
    <w:rsid w:val="00C77BFE"/>
    <w:rsid w:val="00C80A0E"/>
    <w:rsid w:val="00C80CD7"/>
    <w:rsid w:val="00C8213F"/>
    <w:rsid w:val="00C8454E"/>
    <w:rsid w:val="00C85C32"/>
    <w:rsid w:val="00C8797A"/>
    <w:rsid w:val="00C900B8"/>
    <w:rsid w:val="00C90C71"/>
    <w:rsid w:val="00C90D2B"/>
    <w:rsid w:val="00C92111"/>
    <w:rsid w:val="00C931CF"/>
    <w:rsid w:val="00C938CF"/>
    <w:rsid w:val="00C9624D"/>
    <w:rsid w:val="00C969DA"/>
    <w:rsid w:val="00CA0E36"/>
    <w:rsid w:val="00CA2C77"/>
    <w:rsid w:val="00CA31AA"/>
    <w:rsid w:val="00CA3EAF"/>
    <w:rsid w:val="00CA444F"/>
    <w:rsid w:val="00CA5245"/>
    <w:rsid w:val="00CA71F4"/>
    <w:rsid w:val="00CA7B09"/>
    <w:rsid w:val="00CB0E2A"/>
    <w:rsid w:val="00CB10C7"/>
    <w:rsid w:val="00CB2F2A"/>
    <w:rsid w:val="00CB566A"/>
    <w:rsid w:val="00CB5B1A"/>
    <w:rsid w:val="00CB5DD8"/>
    <w:rsid w:val="00CB6B22"/>
    <w:rsid w:val="00CB7796"/>
    <w:rsid w:val="00CB7A1A"/>
    <w:rsid w:val="00CB7F5F"/>
    <w:rsid w:val="00CC1B39"/>
    <w:rsid w:val="00CC5EEE"/>
    <w:rsid w:val="00CC6056"/>
    <w:rsid w:val="00CC71DA"/>
    <w:rsid w:val="00CD2D5B"/>
    <w:rsid w:val="00CD4545"/>
    <w:rsid w:val="00CD6ADC"/>
    <w:rsid w:val="00CD709E"/>
    <w:rsid w:val="00CD757B"/>
    <w:rsid w:val="00CD76B5"/>
    <w:rsid w:val="00CD7A09"/>
    <w:rsid w:val="00CE1C24"/>
    <w:rsid w:val="00CE4720"/>
    <w:rsid w:val="00CE4B84"/>
    <w:rsid w:val="00CE5A71"/>
    <w:rsid w:val="00CE6274"/>
    <w:rsid w:val="00CE6289"/>
    <w:rsid w:val="00CE6DAA"/>
    <w:rsid w:val="00CE7E23"/>
    <w:rsid w:val="00CF127D"/>
    <w:rsid w:val="00CF1802"/>
    <w:rsid w:val="00CF29D7"/>
    <w:rsid w:val="00CF2B8D"/>
    <w:rsid w:val="00CF456B"/>
    <w:rsid w:val="00CF4B95"/>
    <w:rsid w:val="00CF55BB"/>
    <w:rsid w:val="00CF5A22"/>
    <w:rsid w:val="00CF6AAE"/>
    <w:rsid w:val="00D01BDE"/>
    <w:rsid w:val="00D02323"/>
    <w:rsid w:val="00D0262E"/>
    <w:rsid w:val="00D02F0F"/>
    <w:rsid w:val="00D04A5B"/>
    <w:rsid w:val="00D0637C"/>
    <w:rsid w:val="00D10810"/>
    <w:rsid w:val="00D110BD"/>
    <w:rsid w:val="00D13675"/>
    <w:rsid w:val="00D141E1"/>
    <w:rsid w:val="00D144B5"/>
    <w:rsid w:val="00D17D6C"/>
    <w:rsid w:val="00D22B2E"/>
    <w:rsid w:val="00D23FBC"/>
    <w:rsid w:val="00D26482"/>
    <w:rsid w:val="00D272EA"/>
    <w:rsid w:val="00D2754D"/>
    <w:rsid w:val="00D2772A"/>
    <w:rsid w:val="00D27B27"/>
    <w:rsid w:val="00D30ABB"/>
    <w:rsid w:val="00D32D12"/>
    <w:rsid w:val="00D33BE9"/>
    <w:rsid w:val="00D34B17"/>
    <w:rsid w:val="00D357FF"/>
    <w:rsid w:val="00D3730B"/>
    <w:rsid w:val="00D424C7"/>
    <w:rsid w:val="00D4263F"/>
    <w:rsid w:val="00D4359D"/>
    <w:rsid w:val="00D43B2A"/>
    <w:rsid w:val="00D47575"/>
    <w:rsid w:val="00D47A82"/>
    <w:rsid w:val="00D5487A"/>
    <w:rsid w:val="00D54A36"/>
    <w:rsid w:val="00D552AD"/>
    <w:rsid w:val="00D5579E"/>
    <w:rsid w:val="00D56236"/>
    <w:rsid w:val="00D63351"/>
    <w:rsid w:val="00D63CE4"/>
    <w:rsid w:val="00D65851"/>
    <w:rsid w:val="00D6728D"/>
    <w:rsid w:val="00D67489"/>
    <w:rsid w:val="00D70F16"/>
    <w:rsid w:val="00D73639"/>
    <w:rsid w:val="00D75F30"/>
    <w:rsid w:val="00D75F3F"/>
    <w:rsid w:val="00D76A44"/>
    <w:rsid w:val="00D777AB"/>
    <w:rsid w:val="00D815EF"/>
    <w:rsid w:val="00D81BD2"/>
    <w:rsid w:val="00D8695D"/>
    <w:rsid w:val="00D86DC3"/>
    <w:rsid w:val="00D90B93"/>
    <w:rsid w:val="00D90EB8"/>
    <w:rsid w:val="00D914D7"/>
    <w:rsid w:val="00D9152D"/>
    <w:rsid w:val="00D91923"/>
    <w:rsid w:val="00D91ACB"/>
    <w:rsid w:val="00D93753"/>
    <w:rsid w:val="00D93EB2"/>
    <w:rsid w:val="00DA3167"/>
    <w:rsid w:val="00DA4A3E"/>
    <w:rsid w:val="00DA4DC3"/>
    <w:rsid w:val="00DA77A5"/>
    <w:rsid w:val="00DA7A09"/>
    <w:rsid w:val="00DA7A1A"/>
    <w:rsid w:val="00DB484F"/>
    <w:rsid w:val="00DB4F61"/>
    <w:rsid w:val="00DB6360"/>
    <w:rsid w:val="00DB760B"/>
    <w:rsid w:val="00DC04F6"/>
    <w:rsid w:val="00DC3337"/>
    <w:rsid w:val="00DC3C57"/>
    <w:rsid w:val="00DC3D59"/>
    <w:rsid w:val="00DC5501"/>
    <w:rsid w:val="00DC7E79"/>
    <w:rsid w:val="00DD0190"/>
    <w:rsid w:val="00DD0DAC"/>
    <w:rsid w:val="00DD1795"/>
    <w:rsid w:val="00DD273C"/>
    <w:rsid w:val="00DD3F28"/>
    <w:rsid w:val="00DD4317"/>
    <w:rsid w:val="00DD4537"/>
    <w:rsid w:val="00DD4796"/>
    <w:rsid w:val="00DD4E15"/>
    <w:rsid w:val="00DD7F71"/>
    <w:rsid w:val="00DE2595"/>
    <w:rsid w:val="00DE3138"/>
    <w:rsid w:val="00DE37F8"/>
    <w:rsid w:val="00DE4FCB"/>
    <w:rsid w:val="00DE6E05"/>
    <w:rsid w:val="00DE7832"/>
    <w:rsid w:val="00DF18FC"/>
    <w:rsid w:val="00DF1E11"/>
    <w:rsid w:val="00DF2EB1"/>
    <w:rsid w:val="00DF3344"/>
    <w:rsid w:val="00DF4376"/>
    <w:rsid w:val="00DF5D2B"/>
    <w:rsid w:val="00E007F3"/>
    <w:rsid w:val="00E00E8E"/>
    <w:rsid w:val="00E01425"/>
    <w:rsid w:val="00E017DC"/>
    <w:rsid w:val="00E0543E"/>
    <w:rsid w:val="00E05630"/>
    <w:rsid w:val="00E06DBB"/>
    <w:rsid w:val="00E10149"/>
    <w:rsid w:val="00E11638"/>
    <w:rsid w:val="00E1183A"/>
    <w:rsid w:val="00E121D8"/>
    <w:rsid w:val="00E16372"/>
    <w:rsid w:val="00E20E4D"/>
    <w:rsid w:val="00E20ED6"/>
    <w:rsid w:val="00E21358"/>
    <w:rsid w:val="00E21934"/>
    <w:rsid w:val="00E2249B"/>
    <w:rsid w:val="00E227CF"/>
    <w:rsid w:val="00E22A0D"/>
    <w:rsid w:val="00E24A2B"/>
    <w:rsid w:val="00E270CE"/>
    <w:rsid w:val="00E2771E"/>
    <w:rsid w:val="00E27880"/>
    <w:rsid w:val="00E27971"/>
    <w:rsid w:val="00E33651"/>
    <w:rsid w:val="00E34948"/>
    <w:rsid w:val="00E35EC6"/>
    <w:rsid w:val="00E37569"/>
    <w:rsid w:val="00E41E30"/>
    <w:rsid w:val="00E4399C"/>
    <w:rsid w:val="00E43D70"/>
    <w:rsid w:val="00E45276"/>
    <w:rsid w:val="00E464AC"/>
    <w:rsid w:val="00E466F3"/>
    <w:rsid w:val="00E47B2C"/>
    <w:rsid w:val="00E5152F"/>
    <w:rsid w:val="00E51560"/>
    <w:rsid w:val="00E519AB"/>
    <w:rsid w:val="00E54347"/>
    <w:rsid w:val="00E55424"/>
    <w:rsid w:val="00E55BB5"/>
    <w:rsid w:val="00E568A5"/>
    <w:rsid w:val="00E63E3C"/>
    <w:rsid w:val="00E65722"/>
    <w:rsid w:val="00E65E79"/>
    <w:rsid w:val="00E66BA2"/>
    <w:rsid w:val="00E67416"/>
    <w:rsid w:val="00E710F0"/>
    <w:rsid w:val="00E718B6"/>
    <w:rsid w:val="00E723BA"/>
    <w:rsid w:val="00E73581"/>
    <w:rsid w:val="00E75221"/>
    <w:rsid w:val="00E833F7"/>
    <w:rsid w:val="00E83BDF"/>
    <w:rsid w:val="00E87188"/>
    <w:rsid w:val="00E87A1D"/>
    <w:rsid w:val="00E926A5"/>
    <w:rsid w:val="00E969B9"/>
    <w:rsid w:val="00E970C3"/>
    <w:rsid w:val="00E97351"/>
    <w:rsid w:val="00E97705"/>
    <w:rsid w:val="00EA02F4"/>
    <w:rsid w:val="00EA17C3"/>
    <w:rsid w:val="00EA2CAA"/>
    <w:rsid w:val="00EA33DF"/>
    <w:rsid w:val="00EA34DC"/>
    <w:rsid w:val="00EA3864"/>
    <w:rsid w:val="00EA6937"/>
    <w:rsid w:val="00EA6E17"/>
    <w:rsid w:val="00EB15B6"/>
    <w:rsid w:val="00EB4916"/>
    <w:rsid w:val="00EC00C9"/>
    <w:rsid w:val="00EC2649"/>
    <w:rsid w:val="00EC28B3"/>
    <w:rsid w:val="00EC2930"/>
    <w:rsid w:val="00EC46B9"/>
    <w:rsid w:val="00EC6025"/>
    <w:rsid w:val="00EC64D5"/>
    <w:rsid w:val="00EC7A35"/>
    <w:rsid w:val="00ED25DA"/>
    <w:rsid w:val="00ED2BDB"/>
    <w:rsid w:val="00ED43B2"/>
    <w:rsid w:val="00ED458D"/>
    <w:rsid w:val="00ED57EA"/>
    <w:rsid w:val="00EE039A"/>
    <w:rsid w:val="00EE07D3"/>
    <w:rsid w:val="00EE0830"/>
    <w:rsid w:val="00EE22AF"/>
    <w:rsid w:val="00EE5002"/>
    <w:rsid w:val="00EE5363"/>
    <w:rsid w:val="00EF0171"/>
    <w:rsid w:val="00EF1625"/>
    <w:rsid w:val="00EF1B25"/>
    <w:rsid w:val="00EF3833"/>
    <w:rsid w:val="00EF4596"/>
    <w:rsid w:val="00EF4747"/>
    <w:rsid w:val="00EF4BF8"/>
    <w:rsid w:val="00EF601A"/>
    <w:rsid w:val="00F02253"/>
    <w:rsid w:val="00F03C2E"/>
    <w:rsid w:val="00F045DA"/>
    <w:rsid w:val="00F04A66"/>
    <w:rsid w:val="00F0516C"/>
    <w:rsid w:val="00F067A2"/>
    <w:rsid w:val="00F06E8D"/>
    <w:rsid w:val="00F105F2"/>
    <w:rsid w:val="00F1263A"/>
    <w:rsid w:val="00F137EE"/>
    <w:rsid w:val="00F13F88"/>
    <w:rsid w:val="00F14057"/>
    <w:rsid w:val="00F14612"/>
    <w:rsid w:val="00F1794A"/>
    <w:rsid w:val="00F17955"/>
    <w:rsid w:val="00F207C1"/>
    <w:rsid w:val="00F22EBC"/>
    <w:rsid w:val="00F241E2"/>
    <w:rsid w:val="00F24837"/>
    <w:rsid w:val="00F2575F"/>
    <w:rsid w:val="00F26255"/>
    <w:rsid w:val="00F271A7"/>
    <w:rsid w:val="00F27565"/>
    <w:rsid w:val="00F310D4"/>
    <w:rsid w:val="00F31908"/>
    <w:rsid w:val="00F31D5A"/>
    <w:rsid w:val="00F33DE9"/>
    <w:rsid w:val="00F3619A"/>
    <w:rsid w:val="00F40AAA"/>
    <w:rsid w:val="00F40BA7"/>
    <w:rsid w:val="00F41043"/>
    <w:rsid w:val="00F46CB6"/>
    <w:rsid w:val="00F47DE8"/>
    <w:rsid w:val="00F542C1"/>
    <w:rsid w:val="00F545C2"/>
    <w:rsid w:val="00F55154"/>
    <w:rsid w:val="00F55A33"/>
    <w:rsid w:val="00F55E73"/>
    <w:rsid w:val="00F55EDA"/>
    <w:rsid w:val="00F5690B"/>
    <w:rsid w:val="00F57FA2"/>
    <w:rsid w:val="00F60092"/>
    <w:rsid w:val="00F61E36"/>
    <w:rsid w:val="00F62D45"/>
    <w:rsid w:val="00F65F4B"/>
    <w:rsid w:val="00F666BC"/>
    <w:rsid w:val="00F66AC7"/>
    <w:rsid w:val="00F67B15"/>
    <w:rsid w:val="00F70C9D"/>
    <w:rsid w:val="00F733E5"/>
    <w:rsid w:val="00F73E46"/>
    <w:rsid w:val="00F74BF7"/>
    <w:rsid w:val="00F74CD9"/>
    <w:rsid w:val="00F7662C"/>
    <w:rsid w:val="00F77165"/>
    <w:rsid w:val="00F80A7B"/>
    <w:rsid w:val="00F80E5D"/>
    <w:rsid w:val="00F8353B"/>
    <w:rsid w:val="00F84721"/>
    <w:rsid w:val="00F851CE"/>
    <w:rsid w:val="00F87DF4"/>
    <w:rsid w:val="00F91219"/>
    <w:rsid w:val="00F9166C"/>
    <w:rsid w:val="00F93056"/>
    <w:rsid w:val="00F962A4"/>
    <w:rsid w:val="00F974FC"/>
    <w:rsid w:val="00F97A78"/>
    <w:rsid w:val="00FA0697"/>
    <w:rsid w:val="00FA0B20"/>
    <w:rsid w:val="00FA24E7"/>
    <w:rsid w:val="00FA57E8"/>
    <w:rsid w:val="00FB2FCB"/>
    <w:rsid w:val="00FB4E77"/>
    <w:rsid w:val="00FB5C56"/>
    <w:rsid w:val="00FB7212"/>
    <w:rsid w:val="00FC1074"/>
    <w:rsid w:val="00FC1884"/>
    <w:rsid w:val="00FC2FD7"/>
    <w:rsid w:val="00FC371D"/>
    <w:rsid w:val="00FC5F0B"/>
    <w:rsid w:val="00FD2100"/>
    <w:rsid w:val="00FD2AB8"/>
    <w:rsid w:val="00FD2DBC"/>
    <w:rsid w:val="00FD3272"/>
    <w:rsid w:val="00FD436C"/>
    <w:rsid w:val="00FD446D"/>
    <w:rsid w:val="00FD5DDC"/>
    <w:rsid w:val="00FD6394"/>
    <w:rsid w:val="00FD781C"/>
    <w:rsid w:val="00FE0E6C"/>
    <w:rsid w:val="00FE38F0"/>
    <w:rsid w:val="00FE61D1"/>
    <w:rsid w:val="00FE635B"/>
    <w:rsid w:val="00FE6523"/>
    <w:rsid w:val="00FE70C3"/>
    <w:rsid w:val="00FE7892"/>
    <w:rsid w:val="00FF1457"/>
    <w:rsid w:val="00FF2DBB"/>
    <w:rsid w:val="00FF34FF"/>
    <w:rsid w:val="00FF3DCF"/>
    <w:rsid w:val="00FF492C"/>
    <w:rsid w:val="00FF4A21"/>
    <w:rsid w:val="00FF4FE0"/>
    <w:rsid w:val="00FF5AA3"/>
    <w:rsid w:val="00FF5AD8"/>
    <w:rsid w:val="00FF653A"/>
    <w:rsid w:val="00FF67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annotation reference" w:uiPriority="99" w:qFormat="1"/>
    <w:lsdException w:name="List Number" w:semiHidden="0" w:uiPriority="16" w:unhideWhenUsed="0" w:qFormat="1"/>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Source">
    <w:name w:val="Source"/>
    <w:basedOn w:val="Normal"/>
    <w:uiPriority w:val="35"/>
    <w:qFormat/>
    <w:rsid w:val="00214154"/>
    <w:pPr>
      <w:keepLines/>
      <w:widowControl/>
      <w:tabs>
        <w:tab w:val="left" w:pos="284"/>
      </w:tabs>
      <w:spacing w:before="60" w:after="360" w:line="360" w:lineRule="auto"/>
      <w:contextualSpacing/>
      <w:jc w:val="left"/>
    </w:pPr>
    <w:rPr>
      <w:rFonts w:ascii="Arial" w:eastAsiaTheme="minorHAnsi" w:hAnsi="Arial" w:cstheme="minorBidi"/>
      <w:snapToGrid/>
      <w:sz w:val="18"/>
      <w:szCs w:val="20"/>
    </w:rPr>
  </w:style>
  <w:style w:type="paragraph" w:styleId="ListNumber">
    <w:name w:val="List Number"/>
    <w:basedOn w:val="Normal"/>
    <w:uiPriority w:val="16"/>
    <w:qFormat/>
    <w:rsid w:val="00774487"/>
    <w:pPr>
      <w:keepLines/>
      <w:widowControl/>
      <w:numPr>
        <w:ilvl w:val="1"/>
      </w:numPr>
      <w:spacing w:after="360" w:line="360" w:lineRule="auto"/>
      <w:jc w:val="left"/>
    </w:pPr>
    <w:rPr>
      <w:rFonts w:ascii="Arial" w:eastAsiaTheme="minorHAnsi" w:hAnsi="Arial" w:cstheme="minorBidi"/>
      <w:snapToGrid/>
      <w:sz w:val="20"/>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F470D"/>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uiPriority w:val="99"/>
    <w:unhideWhenUsed/>
    <w:rsid w:val="00A6174F"/>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A6174F"/>
    <w:rPr>
      <w:rFonts w:asciiTheme="minorHAnsi" w:eastAsiaTheme="minorHAnsi" w:hAnsi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annotation reference" w:uiPriority="99" w:qFormat="1"/>
    <w:lsdException w:name="List Number" w:semiHidden="0" w:uiPriority="16" w:unhideWhenUsed="0" w:qFormat="1"/>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Source">
    <w:name w:val="Source"/>
    <w:basedOn w:val="Normal"/>
    <w:uiPriority w:val="35"/>
    <w:qFormat/>
    <w:rsid w:val="00214154"/>
    <w:pPr>
      <w:keepLines/>
      <w:widowControl/>
      <w:tabs>
        <w:tab w:val="left" w:pos="284"/>
      </w:tabs>
      <w:spacing w:before="60" w:after="360" w:line="360" w:lineRule="auto"/>
      <w:contextualSpacing/>
      <w:jc w:val="left"/>
    </w:pPr>
    <w:rPr>
      <w:rFonts w:ascii="Arial" w:eastAsiaTheme="minorHAnsi" w:hAnsi="Arial" w:cstheme="minorBidi"/>
      <w:snapToGrid/>
      <w:sz w:val="18"/>
      <w:szCs w:val="20"/>
    </w:rPr>
  </w:style>
  <w:style w:type="paragraph" w:styleId="ListNumber">
    <w:name w:val="List Number"/>
    <w:basedOn w:val="Normal"/>
    <w:uiPriority w:val="16"/>
    <w:qFormat/>
    <w:rsid w:val="00774487"/>
    <w:pPr>
      <w:keepLines/>
      <w:widowControl/>
      <w:numPr>
        <w:ilvl w:val="1"/>
      </w:numPr>
      <w:spacing w:after="360" w:line="360" w:lineRule="auto"/>
      <w:jc w:val="left"/>
    </w:pPr>
    <w:rPr>
      <w:rFonts w:ascii="Arial" w:eastAsiaTheme="minorHAnsi" w:hAnsi="Arial" w:cstheme="minorBidi"/>
      <w:snapToGrid/>
      <w:sz w:val="20"/>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F470D"/>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uiPriority w:val="99"/>
    <w:unhideWhenUsed/>
    <w:rsid w:val="00A6174F"/>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A6174F"/>
    <w:rPr>
      <w:rFonts w:asciiTheme="minorHAnsi" w:eastAsiaTheme="minorHAnsi" w:hAnsi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6582">
      <w:bodyDiv w:val="1"/>
      <w:marLeft w:val="0"/>
      <w:marRight w:val="0"/>
      <w:marTop w:val="0"/>
      <w:marBottom w:val="0"/>
      <w:divBdr>
        <w:top w:val="none" w:sz="0" w:space="0" w:color="auto"/>
        <w:left w:val="none" w:sz="0" w:space="0" w:color="auto"/>
        <w:bottom w:val="none" w:sz="0" w:space="0" w:color="auto"/>
        <w:right w:val="none" w:sz="0" w:space="0" w:color="auto"/>
      </w:divBdr>
    </w:div>
    <w:div w:id="71632131">
      <w:bodyDiv w:val="1"/>
      <w:marLeft w:val="0"/>
      <w:marRight w:val="0"/>
      <w:marTop w:val="0"/>
      <w:marBottom w:val="0"/>
      <w:divBdr>
        <w:top w:val="none" w:sz="0" w:space="0" w:color="auto"/>
        <w:left w:val="none" w:sz="0" w:space="0" w:color="auto"/>
        <w:bottom w:val="none" w:sz="0" w:space="0" w:color="auto"/>
        <w:right w:val="none" w:sz="0" w:space="0" w:color="auto"/>
      </w:divBdr>
    </w:div>
    <w:div w:id="88309728">
      <w:bodyDiv w:val="1"/>
      <w:marLeft w:val="0"/>
      <w:marRight w:val="0"/>
      <w:marTop w:val="0"/>
      <w:marBottom w:val="0"/>
      <w:divBdr>
        <w:top w:val="none" w:sz="0" w:space="0" w:color="auto"/>
        <w:left w:val="none" w:sz="0" w:space="0" w:color="auto"/>
        <w:bottom w:val="none" w:sz="0" w:space="0" w:color="auto"/>
        <w:right w:val="none" w:sz="0" w:space="0" w:color="auto"/>
      </w:divBdr>
    </w:div>
    <w:div w:id="235943214">
      <w:bodyDiv w:val="1"/>
      <w:marLeft w:val="0"/>
      <w:marRight w:val="0"/>
      <w:marTop w:val="0"/>
      <w:marBottom w:val="0"/>
      <w:divBdr>
        <w:top w:val="none" w:sz="0" w:space="0" w:color="auto"/>
        <w:left w:val="none" w:sz="0" w:space="0" w:color="auto"/>
        <w:bottom w:val="none" w:sz="0" w:space="0" w:color="auto"/>
        <w:right w:val="none" w:sz="0" w:space="0" w:color="auto"/>
      </w:divBdr>
    </w:div>
    <w:div w:id="322782845">
      <w:bodyDiv w:val="1"/>
      <w:marLeft w:val="0"/>
      <w:marRight w:val="0"/>
      <w:marTop w:val="0"/>
      <w:marBottom w:val="0"/>
      <w:divBdr>
        <w:top w:val="none" w:sz="0" w:space="0" w:color="auto"/>
        <w:left w:val="none" w:sz="0" w:space="0" w:color="auto"/>
        <w:bottom w:val="none" w:sz="0" w:space="0" w:color="auto"/>
        <w:right w:val="none" w:sz="0" w:space="0" w:color="auto"/>
      </w:divBdr>
    </w:div>
    <w:div w:id="488637747">
      <w:bodyDiv w:val="1"/>
      <w:marLeft w:val="0"/>
      <w:marRight w:val="0"/>
      <w:marTop w:val="0"/>
      <w:marBottom w:val="0"/>
      <w:divBdr>
        <w:top w:val="none" w:sz="0" w:space="0" w:color="auto"/>
        <w:left w:val="none" w:sz="0" w:space="0" w:color="auto"/>
        <w:bottom w:val="none" w:sz="0" w:space="0" w:color="auto"/>
        <w:right w:val="none" w:sz="0" w:space="0" w:color="auto"/>
      </w:divBdr>
    </w:div>
    <w:div w:id="678894612">
      <w:bodyDiv w:val="1"/>
      <w:marLeft w:val="0"/>
      <w:marRight w:val="0"/>
      <w:marTop w:val="0"/>
      <w:marBottom w:val="0"/>
      <w:divBdr>
        <w:top w:val="none" w:sz="0" w:space="0" w:color="auto"/>
        <w:left w:val="none" w:sz="0" w:space="0" w:color="auto"/>
        <w:bottom w:val="none" w:sz="0" w:space="0" w:color="auto"/>
        <w:right w:val="none" w:sz="0" w:space="0" w:color="auto"/>
      </w:divBdr>
    </w:div>
    <w:div w:id="815953578">
      <w:bodyDiv w:val="1"/>
      <w:marLeft w:val="0"/>
      <w:marRight w:val="0"/>
      <w:marTop w:val="0"/>
      <w:marBottom w:val="0"/>
      <w:divBdr>
        <w:top w:val="none" w:sz="0" w:space="0" w:color="auto"/>
        <w:left w:val="none" w:sz="0" w:space="0" w:color="auto"/>
        <w:bottom w:val="none" w:sz="0" w:space="0" w:color="auto"/>
        <w:right w:val="none" w:sz="0" w:space="0" w:color="auto"/>
      </w:divBdr>
    </w:div>
    <w:div w:id="957490377">
      <w:bodyDiv w:val="1"/>
      <w:marLeft w:val="0"/>
      <w:marRight w:val="0"/>
      <w:marTop w:val="0"/>
      <w:marBottom w:val="0"/>
      <w:divBdr>
        <w:top w:val="none" w:sz="0" w:space="0" w:color="auto"/>
        <w:left w:val="none" w:sz="0" w:space="0" w:color="auto"/>
        <w:bottom w:val="none" w:sz="0" w:space="0" w:color="auto"/>
        <w:right w:val="none" w:sz="0" w:space="0" w:color="auto"/>
      </w:divBdr>
    </w:div>
    <w:div w:id="961568880">
      <w:bodyDiv w:val="1"/>
      <w:marLeft w:val="0"/>
      <w:marRight w:val="0"/>
      <w:marTop w:val="0"/>
      <w:marBottom w:val="0"/>
      <w:divBdr>
        <w:top w:val="none" w:sz="0" w:space="0" w:color="auto"/>
        <w:left w:val="none" w:sz="0" w:space="0" w:color="auto"/>
        <w:bottom w:val="none" w:sz="0" w:space="0" w:color="auto"/>
        <w:right w:val="none" w:sz="0" w:space="0" w:color="auto"/>
      </w:divBdr>
    </w:div>
    <w:div w:id="1052577432">
      <w:bodyDiv w:val="1"/>
      <w:marLeft w:val="0"/>
      <w:marRight w:val="0"/>
      <w:marTop w:val="0"/>
      <w:marBottom w:val="0"/>
      <w:divBdr>
        <w:top w:val="none" w:sz="0" w:space="0" w:color="auto"/>
        <w:left w:val="none" w:sz="0" w:space="0" w:color="auto"/>
        <w:bottom w:val="none" w:sz="0" w:space="0" w:color="auto"/>
        <w:right w:val="none" w:sz="0" w:space="0" w:color="auto"/>
      </w:divBdr>
    </w:div>
    <w:div w:id="1083601143">
      <w:bodyDiv w:val="1"/>
      <w:marLeft w:val="0"/>
      <w:marRight w:val="0"/>
      <w:marTop w:val="0"/>
      <w:marBottom w:val="0"/>
      <w:divBdr>
        <w:top w:val="none" w:sz="0" w:space="0" w:color="auto"/>
        <w:left w:val="none" w:sz="0" w:space="0" w:color="auto"/>
        <w:bottom w:val="none" w:sz="0" w:space="0" w:color="auto"/>
        <w:right w:val="none" w:sz="0" w:space="0" w:color="auto"/>
      </w:divBdr>
    </w:div>
    <w:div w:id="1113482610">
      <w:bodyDiv w:val="1"/>
      <w:marLeft w:val="0"/>
      <w:marRight w:val="0"/>
      <w:marTop w:val="0"/>
      <w:marBottom w:val="0"/>
      <w:divBdr>
        <w:top w:val="none" w:sz="0" w:space="0" w:color="auto"/>
        <w:left w:val="none" w:sz="0" w:space="0" w:color="auto"/>
        <w:bottom w:val="none" w:sz="0" w:space="0" w:color="auto"/>
        <w:right w:val="none" w:sz="0" w:space="0" w:color="auto"/>
      </w:divBdr>
    </w:div>
    <w:div w:id="1400979023">
      <w:bodyDiv w:val="1"/>
      <w:marLeft w:val="0"/>
      <w:marRight w:val="0"/>
      <w:marTop w:val="0"/>
      <w:marBottom w:val="0"/>
      <w:divBdr>
        <w:top w:val="none" w:sz="0" w:space="0" w:color="auto"/>
        <w:left w:val="none" w:sz="0" w:space="0" w:color="auto"/>
        <w:bottom w:val="none" w:sz="0" w:space="0" w:color="auto"/>
        <w:right w:val="none" w:sz="0" w:space="0" w:color="auto"/>
      </w:divBdr>
    </w:div>
    <w:div w:id="1472599653">
      <w:bodyDiv w:val="1"/>
      <w:marLeft w:val="0"/>
      <w:marRight w:val="0"/>
      <w:marTop w:val="0"/>
      <w:marBottom w:val="0"/>
      <w:divBdr>
        <w:top w:val="none" w:sz="0" w:space="0" w:color="auto"/>
        <w:left w:val="none" w:sz="0" w:space="0" w:color="auto"/>
        <w:bottom w:val="none" w:sz="0" w:space="0" w:color="auto"/>
        <w:right w:val="none" w:sz="0" w:space="0" w:color="auto"/>
      </w:divBdr>
    </w:div>
    <w:div w:id="1679844298">
      <w:bodyDiv w:val="1"/>
      <w:marLeft w:val="0"/>
      <w:marRight w:val="0"/>
      <w:marTop w:val="0"/>
      <w:marBottom w:val="0"/>
      <w:divBdr>
        <w:top w:val="none" w:sz="0" w:space="0" w:color="auto"/>
        <w:left w:val="none" w:sz="0" w:space="0" w:color="auto"/>
        <w:bottom w:val="none" w:sz="0" w:space="0" w:color="auto"/>
        <w:right w:val="none" w:sz="0" w:space="0" w:color="auto"/>
      </w:divBdr>
    </w:div>
    <w:div w:id="1691712715">
      <w:bodyDiv w:val="1"/>
      <w:marLeft w:val="0"/>
      <w:marRight w:val="0"/>
      <w:marTop w:val="0"/>
      <w:marBottom w:val="0"/>
      <w:divBdr>
        <w:top w:val="none" w:sz="0" w:space="0" w:color="auto"/>
        <w:left w:val="none" w:sz="0" w:space="0" w:color="auto"/>
        <w:bottom w:val="none" w:sz="0" w:space="0" w:color="auto"/>
        <w:right w:val="none" w:sz="0" w:space="0" w:color="auto"/>
      </w:divBdr>
    </w:div>
    <w:div w:id="1844853809">
      <w:bodyDiv w:val="1"/>
      <w:marLeft w:val="0"/>
      <w:marRight w:val="0"/>
      <w:marTop w:val="0"/>
      <w:marBottom w:val="0"/>
      <w:divBdr>
        <w:top w:val="none" w:sz="0" w:space="0" w:color="auto"/>
        <w:left w:val="none" w:sz="0" w:space="0" w:color="auto"/>
        <w:bottom w:val="none" w:sz="0" w:space="0" w:color="auto"/>
        <w:right w:val="none" w:sz="0" w:space="0" w:color="auto"/>
      </w:divBdr>
    </w:div>
    <w:div w:id="18849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settings" Target="settings.xml"/><Relationship Id="rId10" Type="http://schemas.openxmlformats.org/officeDocument/2006/relationships/footer" Target="footer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E048F-F118-4850-8DD5-7D3D51FE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9646</Words>
  <Characters>54455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2018-10-08T07:02:00Z</dcterms:created>
  <dcterms:modified xsi:type="dcterms:W3CDTF">2018-10-18T04:42:00Z</dcterms:modified>
</cp:coreProperties>
</file>