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91" w:rsidRDefault="00CF3C0A" w:rsidP="00630491">
      <w:pPr>
        <w:pStyle w:val="Title"/>
        <w:spacing w:before="120" w:after="0"/>
        <w:ind w:left="720" w:hanging="720"/>
        <w:rPr>
          <w:rFonts w:asciiTheme="minorHAnsi" w:hAnsiTheme="minorHAnsi"/>
          <w:sz w:val="36"/>
          <w:szCs w:val="36"/>
        </w:rPr>
      </w:pPr>
      <w:r w:rsidRPr="00E766DF">
        <w:rPr>
          <w:rFonts w:asciiTheme="minorHAnsi" w:hAnsiTheme="minorHAnsi"/>
          <w:sz w:val="36"/>
          <w:szCs w:val="36"/>
        </w:rPr>
        <w:t>5</w:t>
      </w:r>
      <w:r w:rsidR="006D6493" w:rsidRPr="00E766DF">
        <w:rPr>
          <w:rFonts w:asciiTheme="minorHAnsi" w:hAnsiTheme="minorHAnsi"/>
          <w:sz w:val="36"/>
          <w:szCs w:val="36"/>
        </w:rPr>
        <w:t>.</w:t>
      </w:r>
      <w:r w:rsidRPr="00E766DF">
        <w:rPr>
          <w:rFonts w:asciiTheme="minorHAnsi" w:hAnsiTheme="minorHAnsi"/>
          <w:sz w:val="36"/>
          <w:szCs w:val="36"/>
        </w:rPr>
        <w:t>18</w:t>
      </w:r>
      <w:r w:rsidR="006D6493" w:rsidRPr="00E766DF">
        <w:rPr>
          <w:rFonts w:asciiTheme="minorHAnsi" w:hAnsiTheme="minorHAnsi"/>
          <w:sz w:val="36"/>
          <w:szCs w:val="36"/>
        </w:rPr>
        <w:tab/>
        <w:t>D</w:t>
      </w:r>
      <w:r w:rsidR="00B5005B" w:rsidRPr="00E766DF">
        <w:rPr>
          <w:rFonts w:asciiTheme="minorHAnsi" w:hAnsiTheme="minorHAnsi"/>
          <w:sz w:val="36"/>
          <w:szCs w:val="36"/>
        </w:rPr>
        <w:t>EFERASIROX</w:t>
      </w:r>
      <w:r w:rsidR="006D6493" w:rsidRPr="00E766DF">
        <w:rPr>
          <w:rFonts w:asciiTheme="minorHAnsi" w:hAnsiTheme="minorHAnsi"/>
          <w:sz w:val="36"/>
          <w:szCs w:val="36"/>
        </w:rPr>
        <w:t xml:space="preserve"> </w:t>
      </w:r>
      <w:r w:rsidR="006D6493" w:rsidRPr="00E766DF">
        <w:rPr>
          <w:rFonts w:asciiTheme="minorHAnsi" w:hAnsiTheme="minorHAnsi"/>
          <w:sz w:val="36"/>
          <w:szCs w:val="36"/>
        </w:rPr>
        <w:br/>
      </w:r>
      <w:r w:rsidR="00225DC7" w:rsidRPr="00E766DF">
        <w:rPr>
          <w:rFonts w:asciiTheme="minorHAnsi" w:hAnsiTheme="minorHAnsi"/>
          <w:sz w:val="36"/>
          <w:szCs w:val="36"/>
        </w:rPr>
        <w:t xml:space="preserve">Tablet, film coated, </w:t>
      </w:r>
      <w:r w:rsidR="00B5005B" w:rsidRPr="00E766DF">
        <w:rPr>
          <w:rFonts w:asciiTheme="minorHAnsi" w:hAnsiTheme="minorHAnsi"/>
          <w:sz w:val="36"/>
          <w:szCs w:val="36"/>
        </w:rPr>
        <w:t>90 mg,</w:t>
      </w:r>
      <w:r w:rsidR="00225DC7" w:rsidRPr="00E766DF">
        <w:rPr>
          <w:rFonts w:asciiTheme="minorHAnsi" w:hAnsiTheme="minorHAnsi"/>
          <w:sz w:val="36"/>
          <w:szCs w:val="36"/>
        </w:rPr>
        <w:t xml:space="preserve"> tablet, film coated, </w:t>
      </w:r>
      <w:r w:rsidR="00B5005B" w:rsidRPr="00E766DF">
        <w:rPr>
          <w:rFonts w:asciiTheme="minorHAnsi" w:hAnsiTheme="minorHAnsi"/>
          <w:sz w:val="36"/>
          <w:szCs w:val="36"/>
        </w:rPr>
        <w:t>180 mg,</w:t>
      </w:r>
      <w:r w:rsidR="00225DC7" w:rsidRPr="00E766DF">
        <w:rPr>
          <w:rFonts w:asciiTheme="minorHAnsi" w:hAnsiTheme="minorHAnsi"/>
          <w:sz w:val="36"/>
          <w:szCs w:val="36"/>
        </w:rPr>
        <w:t xml:space="preserve"> tablet, film coated, </w:t>
      </w:r>
      <w:r w:rsidR="00B5005B" w:rsidRPr="00E766DF">
        <w:rPr>
          <w:rFonts w:asciiTheme="minorHAnsi" w:hAnsiTheme="minorHAnsi"/>
          <w:sz w:val="36"/>
          <w:szCs w:val="36"/>
        </w:rPr>
        <w:t>360 mg</w:t>
      </w:r>
      <w:r w:rsidR="006D6493" w:rsidRPr="00E766DF">
        <w:rPr>
          <w:rFonts w:asciiTheme="minorHAnsi" w:hAnsiTheme="minorHAnsi"/>
          <w:sz w:val="36"/>
          <w:szCs w:val="36"/>
        </w:rPr>
        <w:t xml:space="preserve"> </w:t>
      </w:r>
      <w:r w:rsidR="006D6493" w:rsidRPr="00E766DF">
        <w:rPr>
          <w:rFonts w:asciiTheme="minorHAnsi" w:hAnsiTheme="minorHAnsi"/>
          <w:sz w:val="36"/>
          <w:szCs w:val="36"/>
        </w:rPr>
        <w:br/>
      </w:r>
      <w:r w:rsidR="00B5005B" w:rsidRPr="00E766DF">
        <w:rPr>
          <w:rFonts w:asciiTheme="minorHAnsi" w:hAnsiTheme="minorHAnsi"/>
          <w:sz w:val="36"/>
          <w:szCs w:val="36"/>
        </w:rPr>
        <w:t>Jadenu</w:t>
      </w:r>
      <w:r w:rsidR="006D6493" w:rsidRPr="00E766DF">
        <w:rPr>
          <w:rFonts w:asciiTheme="minorHAnsi" w:hAnsiTheme="minorHAnsi"/>
          <w:sz w:val="36"/>
          <w:szCs w:val="36"/>
          <w:vertAlign w:val="superscript"/>
        </w:rPr>
        <w:t>®</w:t>
      </w:r>
      <w:r w:rsidR="006D6493" w:rsidRPr="00E766DF">
        <w:rPr>
          <w:rFonts w:asciiTheme="minorHAnsi" w:hAnsiTheme="minorHAnsi"/>
          <w:sz w:val="36"/>
          <w:szCs w:val="36"/>
        </w:rPr>
        <w:t xml:space="preserve">, </w:t>
      </w:r>
    </w:p>
    <w:p w:rsidR="006D6493" w:rsidRPr="00630491" w:rsidRDefault="00B5005B" w:rsidP="00630491">
      <w:pPr>
        <w:pStyle w:val="BodyText2"/>
        <w:ind w:firstLine="709"/>
        <w:rPr>
          <w:rFonts w:asciiTheme="minorHAnsi" w:hAnsiTheme="minorHAnsi" w:cstheme="minorHAnsi"/>
          <w:b/>
          <w:sz w:val="36"/>
        </w:rPr>
      </w:pPr>
      <w:r w:rsidRPr="00630491">
        <w:rPr>
          <w:rFonts w:asciiTheme="minorHAnsi" w:hAnsiTheme="minorHAnsi" w:cstheme="minorHAnsi"/>
          <w:b/>
          <w:sz w:val="36"/>
        </w:rPr>
        <w:t>Novartis</w:t>
      </w:r>
    </w:p>
    <w:p w:rsidR="008A50F1" w:rsidRPr="00E766DF" w:rsidRDefault="00CE10C4" w:rsidP="00EB0B63">
      <w:pPr>
        <w:pStyle w:val="PBACHeading1"/>
        <w:spacing w:before="240" w:after="120"/>
        <w:ind w:left="709" w:hanging="709"/>
        <w:rPr>
          <w:rFonts w:asciiTheme="minorHAnsi" w:hAnsiTheme="minorHAnsi"/>
          <w:sz w:val="32"/>
          <w:szCs w:val="32"/>
        </w:rPr>
      </w:pPr>
      <w:r w:rsidRPr="00E766DF">
        <w:rPr>
          <w:rFonts w:asciiTheme="minorHAnsi" w:hAnsiTheme="minorHAnsi"/>
          <w:sz w:val="32"/>
          <w:szCs w:val="32"/>
        </w:rPr>
        <w:t xml:space="preserve">Purpose of </w:t>
      </w:r>
      <w:r w:rsidR="0004240E" w:rsidRPr="00E766DF">
        <w:rPr>
          <w:rFonts w:asciiTheme="minorHAnsi" w:hAnsiTheme="minorHAnsi"/>
          <w:sz w:val="32"/>
          <w:szCs w:val="32"/>
        </w:rPr>
        <w:t>Application</w:t>
      </w:r>
    </w:p>
    <w:p w:rsidR="006A12A5" w:rsidRPr="00E766DF" w:rsidRDefault="00EF44A0" w:rsidP="005065EF">
      <w:pPr>
        <w:pStyle w:val="ListParagraph"/>
        <w:widowControl/>
        <w:numPr>
          <w:ilvl w:val="1"/>
          <w:numId w:val="5"/>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mi</w:t>
      </w:r>
      <w:r w:rsidR="00FF2801" w:rsidRPr="00E766DF">
        <w:rPr>
          <w:rFonts w:asciiTheme="minorHAnsi" w:eastAsiaTheme="minorHAnsi" w:hAnsiTheme="minorHAnsi" w:cstheme="minorBidi"/>
          <w:snapToGrid/>
          <w:sz w:val="24"/>
          <w:szCs w:val="22"/>
        </w:rPr>
        <w:t>nor submission requested</w:t>
      </w:r>
      <w:r w:rsidR="00B5005B" w:rsidRPr="00E766DF">
        <w:rPr>
          <w:rFonts w:asciiTheme="minorHAnsi" w:eastAsiaTheme="minorHAnsi" w:hAnsiTheme="minorHAnsi" w:cstheme="minorBidi"/>
          <w:snapToGrid/>
          <w:sz w:val="24"/>
          <w:szCs w:val="22"/>
        </w:rPr>
        <w:t xml:space="preserve"> t</w:t>
      </w:r>
      <w:r w:rsidR="00CF3C0A" w:rsidRPr="00E766DF">
        <w:rPr>
          <w:rFonts w:asciiTheme="minorHAnsi" w:eastAsiaTheme="minorHAnsi" w:hAnsiTheme="minorHAnsi" w:cstheme="minorBidi"/>
          <w:snapToGrid/>
          <w:sz w:val="24"/>
          <w:szCs w:val="22"/>
        </w:rPr>
        <w:t>he</w:t>
      </w:r>
      <w:r w:rsidR="00B5005B" w:rsidRPr="00E766DF">
        <w:rPr>
          <w:rFonts w:asciiTheme="minorHAnsi" w:eastAsiaTheme="minorHAnsi" w:hAnsiTheme="minorHAnsi" w:cstheme="minorBidi"/>
          <w:snapToGrid/>
          <w:sz w:val="24"/>
          <w:szCs w:val="22"/>
        </w:rPr>
        <w:t xml:space="preserve"> </w:t>
      </w:r>
      <w:r w:rsidR="00B445A8" w:rsidRPr="00E766DF">
        <w:rPr>
          <w:rFonts w:asciiTheme="minorHAnsi" w:eastAsiaTheme="minorHAnsi" w:hAnsiTheme="minorHAnsi" w:cstheme="minorBidi"/>
          <w:snapToGrid/>
          <w:sz w:val="24"/>
          <w:szCs w:val="22"/>
        </w:rPr>
        <w:t xml:space="preserve">Section 100 – Highly Specialised Drugs Program </w:t>
      </w:r>
      <w:r w:rsidR="00B5005B" w:rsidRPr="00E766DF">
        <w:rPr>
          <w:rFonts w:asciiTheme="minorHAnsi" w:eastAsiaTheme="minorHAnsi" w:hAnsiTheme="minorHAnsi" w:cstheme="minorBidi"/>
          <w:snapToGrid/>
          <w:sz w:val="24"/>
          <w:szCs w:val="22"/>
        </w:rPr>
        <w:t>PBS list</w:t>
      </w:r>
      <w:r w:rsidR="00CF3C0A" w:rsidRPr="00E766DF">
        <w:rPr>
          <w:rFonts w:asciiTheme="minorHAnsi" w:eastAsiaTheme="minorHAnsi" w:hAnsiTheme="minorHAnsi" w:cstheme="minorBidi"/>
          <w:snapToGrid/>
          <w:sz w:val="24"/>
          <w:szCs w:val="22"/>
        </w:rPr>
        <w:t>ing of</w:t>
      </w:r>
      <w:r w:rsidR="00E5243B" w:rsidRPr="00E766DF">
        <w:rPr>
          <w:rFonts w:asciiTheme="minorHAnsi" w:eastAsiaTheme="minorHAnsi" w:hAnsiTheme="minorHAnsi" w:cstheme="minorBidi"/>
          <w:snapToGrid/>
          <w:sz w:val="24"/>
          <w:szCs w:val="22"/>
        </w:rPr>
        <w:t xml:space="preserve"> </w:t>
      </w:r>
      <w:r w:rsidR="00B5005B" w:rsidRPr="00E766DF">
        <w:rPr>
          <w:rFonts w:asciiTheme="minorHAnsi" w:eastAsiaTheme="minorHAnsi" w:hAnsiTheme="minorHAnsi" w:cstheme="minorBidi"/>
          <w:snapToGrid/>
          <w:sz w:val="24"/>
          <w:szCs w:val="22"/>
        </w:rPr>
        <w:t>a new</w:t>
      </w:r>
      <w:r w:rsidR="00CF3C0A" w:rsidRPr="00E766DF">
        <w:rPr>
          <w:rFonts w:asciiTheme="minorHAnsi" w:eastAsiaTheme="minorHAnsi" w:hAnsiTheme="minorHAnsi" w:cstheme="minorBidi"/>
          <w:snapToGrid/>
          <w:sz w:val="24"/>
          <w:szCs w:val="22"/>
        </w:rPr>
        <w:t xml:space="preserve"> film coated tablet</w:t>
      </w:r>
      <w:r w:rsidR="00B5005B" w:rsidRPr="00E766DF">
        <w:rPr>
          <w:rFonts w:asciiTheme="minorHAnsi" w:eastAsiaTheme="minorHAnsi" w:hAnsiTheme="minorHAnsi" w:cstheme="minorBidi"/>
          <w:snapToGrid/>
          <w:sz w:val="24"/>
          <w:szCs w:val="22"/>
        </w:rPr>
        <w:t xml:space="preserve"> formulation of deferasirox </w:t>
      </w:r>
      <w:r w:rsidR="00A86F91" w:rsidRPr="00E766DF">
        <w:rPr>
          <w:rFonts w:asciiTheme="minorHAnsi" w:eastAsiaTheme="minorHAnsi" w:hAnsiTheme="minorHAnsi" w:cstheme="minorBidi"/>
          <w:snapToGrid/>
          <w:sz w:val="24"/>
          <w:szCs w:val="22"/>
        </w:rPr>
        <w:t xml:space="preserve">(90 mg, 180 mg, </w:t>
      </w:r>
      <w:proofErr w:type="gramStart"/>
      <w:r w:rsidR="00A86F91" w:rsidRPr="00E766DF">
        <w:rPr>
          <w:rFonts w:asciiTheme="minorHAnsi" w:eastAsiaTheme="minorHAnsi" w:hAnsiTheme="minorHAnsi" w:cstheme="minorBidi"/>
          <w:snapToGrid/>
          <w:sz w:val="24"/>
          <w:szCs w:val="22"/>
        </w:rPr>
        <w:t>360</w:t>
      </w:r>
      <w:proofErr w:type="gramEnd"/>
      <w:r w:rsidR="00A86F91" w:rsidRPr="00E766DF">
        <w:rPr>
          <w:rFonts w:asciiTheme="minorHAnsi" w:eastAsiaTheme="minorHAnsi" w:hAnsiTheme="minorHAnsi" w:cstheme="minorBidi"/>
          <w:snapToGrid/>
          <w:sz w:val="24"/>
          <w:szCs w:val="22"/>
        </w:rPr>
        <w:t xml:space="preserve"> mg) </w:t>
      </w:r>
      <w:r w:rsidR="00E5243B" w:rsidRPr="00E766DF">
        <w:rPr>
          <w:rFonts w:asciiTheme="minorHAnsi" w:eastAsiaTheme="minorHAnsi" w:hAnsiTheme="minorHAnsi" w:cstheme="minorBidi"/>
          <w:snapToGrid/>
          <w:sz w:val="24"/>
          <w:szCs w:val="22"/>
        </w:rPr>
        <w:t xml:space="preserve">for patients with chronic iron overload due to disorders of </w:t>
      </w:r>
      <w:proofErr w:type="spellStart"/>
      <w:r w:rsidR="00E5243B" w:rsidRPr="00E766DF">
        <w:rPr>
          <w:rFonts w:asciiTheme="minorHAnsi" w:eastAsiaTheme="minorHAnsi" w:hAnsiTheme="minorHAnsi" w:cstheme="minorBidi"/>
          <w:snapToGrid/>
          <w:sz w:val="24"/>
          <w:szCs w:val="22"/>
        </w:rPr>
        <w:t>haemopoiesis</w:t>
      </w:r>
      <w:proofErr w:type="spellEnd"/>
      <w:r w:rsidR="00E5243B" w:rsidRPr="00E766DF">
        <w:rPr>
          <w:rFonts w:asciiTheme="minorHAnsi" w:eastAsiaTheme="minorHAnsi" w:hAnsiTheme="minorHAnsi" w:cstheme="minorBidi"/>
          <w:snapToGrid/>
          <w:sz w:val="24"/>
          <w:szCs w:val="22"/>
        </w:rPr>
        <w:t>.</w:t>
      </w:r>
    </w:p>
    <w:p w:rsidR="006A12A5" w:rsidRPr="00E766DF" w:rsidRDefault="006A12A5" w:rsidP="00EB0B63">
      <w:pPr>
        <w:pStyle w:val="PBACHeading1"/>
        <w:spacing w:before="240" w:after="120"/>
        <w:ind w:left="709" w:hanging="709"/>
        <w:rPr>
          <w:rFonts w:asciiTheme="minorHAnsi" w:hAnsiTheme="minorHAnsi"/>
          <w:sz w:val="32"/>
          <w:szCs w:val="32"/>
        </w:rPr>
      </w:pPr>
      <w:r w:rsidRPr="00E766DF">
        <w:rPr>
          <w:rFonts w:asciiTheme="minorHAnsi" w:hAnsiTheme="minorHAnsi"/>
          <w:sz w:val="32"/>
          <w:szCs w:val="32"/>
        </w:rPr>
        <w:t>Requested listing</w:t>
      </w:r>
    </w:p>
    <w:p w:rsidR="00874525" w:rsidRPr="00E766DF" w:rsidRDefault="00874525"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submission </w:t>
      </w:r>
      <w:r w:rsidR="00B2183C" w:rsidRPr="00E766DF">
        <w:rPr>
          <w:rFonts w:asciiTheme="minorHAnsi" w:eastAsiaTheme="minorHAnsi" w:hAnsiTheme="minorHAnsi" w:cstheme="minorBidi"/>
          <w:snapToGrid/>
          <w:sz w:val="24"/>
          <w:szCs w:val="22"/>
        </w:rPr>
        <w:t>requested</w:t>
      </w:r>
      <w:r w:rsidRPr="00E766DF">
        <w:rPr>
          <w:rFonts w:asciiTheme="minorHAnsi" w:eastAsiaTheme="minorHAnsi" w:hAnsiTheme="minorHAnsi" w:cstheme="minorBidi"/>
          <w:snapToGrid/>
          <w:sz w:val="24"/>
          <w:szCs w:val="22"/>
        </w:rPr>
        <w:t xml:space="preserve"> that deferasirox film coated tablets be listed under the same </w:t>
      </w:r>
      <w:r w:rsidR="00CF3C0A" w:rsidRPr="00E766DF">
        <w:rPr>
          <w:rFonts w:asciiTheme="minorHAnsi" w:eastAsiaTheme="minorHAnsi" w:hAnsiTheme="minorHAnsi" w:cstheme="minorBidi"/>
          <w:snapToGrid/>
          <w:sz w:val="24"/>
          <w:szCs w:val="22"/>
        </w:rPr>
        <w:t xml:space="preserve">restriction </w:t>
      </w:r>
      <w:r w:rsidRPr="00E766DF">
        <w:rPr>
          <w:rFonts w:asciiTheme="minorHAnsi" w:eastAsiaTheme="minorHAnsi" w:hAnsiTheme="minorHAnsi" w:cstheme="minorBidi"/>
          <w:snapToGrid/>
          <w:sz w:val="24"/>
          <w:szCs w:val="22"/>
        </w:rPr>
        <w:t>criteria as d</w:t>
      </w:r>
      <w:r w:rsidR="00E66CAB" w:rsidRPr="00E766DF">
        <w:rPr>
          <w:rFonts w:asciiTheme="minorHAnsi" w:eastAsiaTheme="minorHAnsi" w:hAnsiTheme="minorHAnsi" w:cstheme="minorBidi"/>
          <w:snapToGrid/>
          <w:sz w:val="24"/>
          <w:szCs w:val="22"/>
        </w:rPr>
        <w:t>eferasirox dispersible tablets</w:t>
      </w:r>
      <w:r w:rsidR="00B2183C" w:rsidRPr="00E766DF">
        <w:rPr>
          <w:rFonts w:asciiTheme="minorHAnsi" w:eastAsiaTheme="minorHAnsi" w:hAnsiTheme="minorHAnsi" w:cstheme="minorBidi"/>
          <w:snapToGrid/>
          <w:sz w:val="24"/>
          <w:szCs w:val="22"/>
        </w:rPr>
        <w:t>.</w:t>
      </w:r>
      <w:r w:rsidR="00E66CAB" w:rsidRPr="00E766DF">
        <w:rPr>
          <w:rFonts w:asciiTheme="minorHAnsi" w:eastAsiaTheme="minorHAnsi" w:hAnsiTheme="minorHAnsi" w:cstheme="minorBidi"/>
          <w:snapToGrid/>
          <w:sz w:val="24"/>
          <w:szCs w:val="22"/>
        </w:rPr>
        <w:t xml:space="preserve"> </w:t>
      </w:r>
    </w:p>
    <w:p w:rsidR="00E66CAB" w:rsidRPr="00E766DF" w:rsidRDefault="00874525"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Deferasirox dispersible tablets </w:t>
      </w:r>
      <w:r w:rsidR="00E66CAB" w:rsidRPr="00E766DF">
        <w:rPr>
          <w:rFonts w:asciiTheme="minorHAnsi" w:eastAsiaTheme="minorHAnsi" w:hAnsiTheme="minorHAnsi" w:cstheme="minorBidi"/>
          <w:snapToGrid/>
          <w:sz w:val="24"/>
          <w:szCs w:val="22"/>
        </w:rPr>
        <w:t>are PBS listed for initial and continuing treatment for patients with chronic iron overload who:</w:t>
      </w:r>
    </w:p>
    <w:p w:rsidR="00E66CAB" w:rsidRPr="00E766DF" w:rsidRDefault="00B2183C" w:rsidP="00EA184F">
      <w:pPr>
        <w:pStyle w:val="ListParagraph"/>
        <w:widowControl/>
        <w:numPr>
          <w:ilvl w:val="0"/>
          <w:numId w:val="15"/>
        </w:numPr>
        <w:spacing w:after="120"/>
        <w:ind w:left="1219" w:hanging="357"/>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a</w:t>
      </w:r>
      <w:r w:rsidR="00E66CAB" w:rsidRPr="00E766DF">
        <w:rPr>
          <w:rFonts w:asciiTheme="minorHAnsi" w:eastAsiaTheme="minorHAnsi" w:hAnsiTheme="minorHAnsi" w:cstheme="minorBidi"/>
          <w:snapToGrid/>
          <w:sz w:val="24"/>
          <w:szCs w:val="22"/>
        </w:rPr>
        <w:t>re transfusion dependent and do not have a malignant disorder of erythropoiesis, OR</w:t>
      </w:r>
    </w:p>
    <w:p w:rsidR="00E66CAB" w:rsidRPr="00E766DF" w:rsidRDefault="00B2183C" w:rsidP="00EA184F">
      <w:pPr>
        <w:pStyle w:val="ListParagraph"/>
        <w:widowControl/>
        <w:numPr>
          <w:ilvl w:val="0"/>
          <w:numId w:val="15"/>
        </w:numPr>
        <w:spacing w:after="120"/>
        <w:ind w:left="1219" w:hanging="357"/>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a</w:t>
      </w:r>
      <w:r w:rsidR="00E66CAB" w:rsidRPr="00E766DF">
        <w:rPr>
          <w:rFonts w:asciiTheme="minorHAnsi" w:eastAsiaTheme="minorHAnsi" w:hAnsiTheme="minorHAnsi" w:cstheme="minorBidi"/>
          <w:snapToGrid/>
          <w:sz w:val="24"/>
          <w:szCs w:val="22"/>
        </w:rPr>
        <w:t>re not transfusion dependent and have thalassemia, OR</w:t>
      </w:r>
    </w:p>
    <w:p w:rsidR="00E66CAB" w:rsidRPr="00E766DF" w:rsidRDefault="00B2183C" w:rsidP="00EA184F">
      <w:pPr>
        <w:pStyle w:val="ListParagraph"/>
        <w:widowControl/>
        <w:numPr>
          <w:ilvl w:val="0"/>
          <w:numId w:val="15"/>
        </w:numPr>
        <w:spacing w:after="120"/>
        <w:ind w:left="1219" w:hanging="357"/>
        <w:contextualSpacing w:val="0"/>
        <w:rPr>
          <w:rFonts w:asciiTheme="minorHAnsi" w:eastAsiaTheme="minorHAnsi" w:hAnsiTheme="minorHAnsi" w:cstheme="minorBidi"/>
          <w:snapToGrid/>
          <w:sz w:val="24"/>
          <w:szCs w:val="22"/>
        </w:rPr>
      </w:pPr>
      <w:proofErr w:type="gramStart"/>
      <w:r w:rsidRPr="00E766DF">
        <w:rPr>
          <w:rFonts w:asciiTheme="minorHAnsi" w:eastAsiaTheme="minorHAnsi" w:hAnsiTheme="minorHAnsi" w:cstheme="minorBidi"/>
          <w:snapToGrid/>
          <w:sz w:val="24"/>
          <w:szCs w:val="22"/>
        </w:rPr>
        <w:t>a</w:t>
      </w:r>
      <w:r w:rsidR="00E66CAB" w:rsidRPr="00E766DF">
        <w:rPr>
          <w:rFonts w:asciiTheme="minorHAnsi" w:eastAsiaTheme="minorHAnsi" w:hAnsiTheme="minorHAnsi" w:cstheme="minorBidi"/>
          <w:snapToGrid/>
          <w:sz w:val="24"/>
          <w:szCs w:val="22"/>
        </w:rPr>
        <w:t>re</w:t>
      </w:r>
      <w:proofErr w:type="gramEnd"/>
      <w:r w:rsidR="00E66CAB" w:rsidRPr="00E766DF">
        <w:rPr>
          <w:rFonts w:asciiTheme="minorHAnsi" w:eastAsiaTheme="minorHAnsi" w:hAnsiTheme="minorHAnsi" w:cstheme="minorBidi"/>
          <w:snapToGrid/>
          <w:sz w:val="24"/>
          <w:szCs w:val="22"/>
        </w:rPr>
        <w:t xml:space="preserve"> red blood cell transfusion dependent and have a serum ferritin level of greater than 1</w:t>
      </w:r>
      <w:r w:rsidR="00A86F91" w:rsidRPr="00E766DF">
        <w:rPr>
          <w:rFonts w:asciiTheme="minorHAnsi" w:eastAsiaTheme="minorHAnsi" w:hAnsiTheme="minorHAnsi" w:cstheme="minorBidi"/>
          <w:snapToGrid/>
          <w:sz w:val="24"/>
          <w:szCs w:val="22"/>
        </w:rPr>
        <w:t>,</w:t>
      </w:r>
      <w:r w:rsidR="00E66CAB" w:rsidRPr="00E766DF">
        <w:rPr>
          <w:rFonts w:asciiTheme="minorHAnsi" w:eastAsiaTheme="minorHAnsi" w:hAnsiTheme="minorHAnsi" w:cstheme="minorBidi"/>
          <w:snapToGrid/>
          <w:sz w:val="24"/>
          <w:szCs w:val="22"/>
        </w:rPr>
        <w:t>000 micrograms/L</w:t>
      </w:r>
      <w:r w:rsidR="004F456B" w:rsidRPr="00E766DF">
        <w:rPr>
          <w:rFonts w:asciiTheme="minorHAnsi" w:eastAsiaTheme="minorHAnsi" w:hAnsiTheme="minorHAnsi" w:cstheme="minorBidi"/>
          <w:snapToGrid/>
          <w:sz w:val="24"/>
          <w:szCs w:val="22"/>
        </w:rPr>
        <w:t>;</w:t>
      </w:r>
      <w:r w:rsidR="00E66CAB" w:rsidRPr="00E766DF">
        <w:rPr>
          <w:rFonts w:asciiTheme="minorHAnsi" w:eastAsiaTheme="minorHAnsi" w:hAnsiTheme="minorHAnsi" w:cstheme="minorBidi"/>
          <w:snapToGrid/>
          <w:sz w:val="24"/>
          <w:szCs w:val="22"/>
        </w:rPr>
        <w:t xml:space="preserve"> have a malignant disorder of </w:t>
      </w:r>
      <w:proofErr w:type="spellStart"/>
      <w:r w:rsidR="00E66CAB" w:rsidRPr="00E766DF">
        <w:rPr>
          <w:rFonts w:asciiTheme="minorHAnsi" w:eastAsiaTheme="minorHAnsi" w:hAnsiTheme="minorHAnsi" w:cstheme="minorBidi"/>
          <w:snapToGrid/>
          <w:sz w:val="24"/>
          <w:szCs w:val="22"/>
        </w:rPr>
        <w:t>haemopoiesis</w:t>
      </w:r>
      <w:proofErr w:type="spellEnd"/>
      <w:r w:rsidR="004F456B" w:rsidRPr="00E766DF">
        <w:rPr>
          <w:rFonts w:asciiTheme="minorHAnsi" w:eastAsiaTheme="minorHAnsi" w:hAnsiTheme="minorHAnsi" w:cstheme="minorBidi"/>
          <w:snapToGrid/>
          <w:sz w:val="24"/>
          <w:szCs w:val="22"/>
        </w:rPr>
        <w:t>;</w:t>
      </w:r>
      <w:r w:rsidR="00E66CAB" w:rsidRPr="00E766DF">
        <w:rPr>
          <w:rFonts w:asciiTheme="minorHAnsi" w:eastAsiaTheme="minorHAnsi" w:hAnsiTheme="minorHAnsi" w:cstheme="minorBidi"/>
          <w:snapToGrid/>
          <w:sz w:val="24"/>
          <w:szCs w:val="22"/>
        </w:rPr>
        <w:t xml:space="preserve"> and have a median life expectancy exceeding 5 years.</w:t>
      </w:r>
    </w:p>
    <w:p w:rsidR="00E66CAB" w:rsidRPr="0053060D" w:rsidRDefault="00874525"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53060D">
        <w:rPr>
          <w:rFonts w:asciiTheme="minorHAnsi" w:eastAsiaTheme="minorHAnsi" w:hAnsiTheme="minorHAnsi" w:cstheme="minorBidi"/>
          <w:snapToGrid/>
          <w:sz w:val="24"/>
          <w:szCs w:val="22"/>
        </w:rPr>
        <w:t xml:space="preserve">All </w:t>
      </w:r>
      <w:r w:rsidR="00840D55" w:rsidRPr="0053060D">
        <w:rPr>
          <w:rFonts w:asciiTheme="minorHAnsi" w:eastAsiaTheme="minorHAnsi" w:hAnsiTheme="minorHAnsi" w:cstheme="minorBidi"/>
          <w:snapToGrid/>
          <w:sz w:val="24"/>
          <w:szCs w:val="22"/>
        </w:rPr>
        <w:t xml:space="preserve">initial </w:t>
      </w:r>
      <w:r w:rsidRPr="0053060D">
        <w:rPr>
          <w:rFonts w:asciiTheme="minorHAnsi" w:eastAsiaTheme="minorHAnsi" w:hAnsiTheme="minorHAnsi" w:cstheme="minorBidi"/>
          <w:snapToGrid/>
          <w:sz w:val="24"/>
          <w:szCs w:val="22"/>
        </w:rPr>
        <w:t xml:space="preserve">listings are Authority </w:t>
      </w:r>
      <w:proofErr w:type="gramStart"/>
      <w:r w:rsidRPr="0053060D">
        <w:rPr>
          <w:rFonts w:asciiTheme="minorHAnsi" w:eastAsiaTheme="minorHAnsi" w:hAnsiTheme="minorHAnsi" w:cstheme="minorBidi"/>
          <w:snapToGrid/>
          <w:sz w:val="24"/>
          <w:szCs w:val="22"/>
        </w:rPr>
        <w:t>Required</w:t>
      </w:r>
      <w:proofErr w:type="gramEnd"/>
      <w:r w:rsidRPr="0053060D">
        <w:rPr>
          <w:rFonts w:asciiTheme="minorHAnsi" w:eastAsiaTheme="minorHAnsi" w:hAnsiTheme="minorHAnsi" w:cstheme="minorBidi"/>
          <w:snapToGrid/>
          <w:sz w:val="24"/>
          <w:szCs w:val="22"/>
        </w:rPr>
        <w:t xml:space="preserve"> (telephone)</w:t>
      </w:r>
      <w:r w:rsidR="00840D55" w:rsidRPr="0053060D">
        <w:rPr>
          <w:rFonts w:asciiTheme="minorHAnsi" w:eastAsiaTheme="minorHAnsi" w:hAnsiTheme="minorHAnsi" w:cstheme="minorBidi"/>
          <w:snapToGrid/>
          <w:sz w:val="24"/>
          <w:szCs w:val="22"/>
        </w:rPr>
        <w:t xml:space="preserve"> and</w:t>
      </w:r>
      <w:r w:rsidRPr="0053060D">
        <w:rPr>
          <w:rFonts w:asciiTheme="minorHAnsi" w:eastAsiaTheme="minorHAnsi" w:hAnsiTheme="minorHAnsi" w:cstheme="minorBidi"/>
          <w:snapToGrid/>
          <w:sz w:val="24"/>
          <w:szCs w:val="22"/>
        </w:rPr>
        <w:t xml:space="preserve"> the </w:t>
      </w:r>
      <w:r w:rsidR="00B2183C" w:rsidRPr="0053060D">
        <w:rPr>
          <w:rFonts w:asciiTheme="minorHAnsi" w:eastAsiaTheme="minorHAnsi" w:hAnsiTheme="minorHAnsi" w:cstheme="minorBidi"/>
          <w:snapToGrid/>
          <w:sz w:val="24"/>
          <w:szCs w:val="22"/>
        </w:rPr>
        <w:t>continuing</w:t>
      </w:r>
      <w:r w:rsidR="008512B9" w:rsidRPr="0053060D">
        <w:rPr>
          <w:rFonts w:asciiTheme="minorHAnsi" w:eastAsiaTheme="minorHAnsi" w:hAnsiTheme="minorHAnsi" w:cstheme="minorBidi"/>
          <w:snapToGrid/>
          <w:sz w:val="24"/>
          <w:szCs w:val="22"/>
        </w:rPr>
        <w:t xml:space="preserve"> </w:t>
      </w:r>
      <w:r w:rsidR="00840D55" w:rsidRPr="0053060D">
        <w:rPr>
          <w:rFonts w:asciiTheme="minorHAnsi" w:eastAsiaTheme="minorHAnsi" w:hAnsiTheme="minorHAnsi" w:cstheme="minorBidi"/>
          <w:snapToGrid/>
          <w:sz w:val="24"/>
          <w:szCs w:val="22"/>
        </w:rPr>
        <w:t xml:space="preserve">listings are </w:t>
      </w:r>
      <w:r w:rsidRPr="0053060D">
        <w:rPr>
          <w:rFonts w:asciiTheme="minorHAnsi" w:eastAsiaTheme="minorHAnsi" w:hAnsiTheme="minorHAnsi" w:cstheme="minorBidi"/>
          <w:snapToGrid/>
          <w:sz w:val="24"/>
          <w:szCs w:val="22"/>
        </w:rPr>
        <w:t>Authority Required (Streamlined).</w:t>
      </w:r>
    </w:p>
    <w:p w:rsidR="004117E9" w:rsidRPr="00E766DF" w:rsidRDefault="00874525"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Initial prescriptions for malignant disorders of </w:t>
      </w:r>
      <w:proofErr w:type="spellStart"/>
      <w:r w:rsidRPr="00E766DF">
        <w:rPr>
          <w:rFonts w:asciiTheme="minorHAnsi" w:eastAsiaTheme="minorHAnsi" w:hAnsiTheme="minorHAnsi" w:cstheme="minorBidi"/>
          <w:snapToGrid/>
          <w:sz w:val="24"/>
          <w:szCs w:val="22"/>
        </w:rPr>
        <w:t>haemopoiesis</w:t>
      </w:r>
      <w:proofErr w:type="spellEnd"/>
      <w:r w:rsidRPr="00E766DF">
        <w:rPr>
          <w:rFonts w:asciiTheme="minorHAnsi" w:eastAsiaTheme="minorHAnsi" w:hAnsiTheme="minorHAnsi" w:cstheme="minorBidi"/>
          <w:snapToGrid/>
          <w:sz w:val="24"/>
          <w:szCs w:val="22"/>
        </w:rPr>
        <w:t xml:space="preserve"> and all continuing prescriptions have a maximum of two repeats. Initial prescriptions for transfusion dependent iron overload and thalassemia have a maximum of five repeats.</w:t>
      </w:r>
    </w:p>
    <w:tbl>
      <w:tblPr>
        <w:tblW w:w="4916" w:type="pct"/>
        <w:tblLook w:val="0000" w:firstRow="0" w:lastRow="0" w:firstColumn="0" w:lastColumn="0" w:noHBand="0" w:noVBand="0"/>
      </w:tblPr>
      <w:tblGrid>
        <w:gridCol w:w="3510"/>
        <w:gridCol w:w="709"/>
        <w:gridCol w:w="851"/>
        <w:gridCol w:w="2134"/>
        <w:gridCol w:w="878"/>
        <w:gridCol w:w="1005"/>
      </w:tblGrid>
      <w:tr w:rsidR="00C8612A" w:rsidRPr="00E766DF" w:rsidTr="005065EF">
        <w:trPr>
          <w:cantSplit/>
          <w:trHeight w:val="465"/>
        </w:trPr>
        <w:tc>
          <w:tcPr>
            <w:tcW w:w="1932" w:type="pct"/>
            <w:tcBorders>
              <w:bottom w:val="single" w:sz="4" w:space="0" w:color="auto"/>
            </w:tcBorders>
          </w:tcPr>
          <w:p w:rsidR="00826F6D" w:rsidRPr="00E766DF" w:rsidRDefault="00826F6D"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826F6D" w:rsidRPr="00E766DF" w:rsidRDefault="00826F6D" w:rsidP="00D56F81">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390" w:type="pct"/>
            <w:tcBorders>
              <w:bottom w:val="single" w:sz="4" w:space="0" w:color="auto"/>
            </w:tcBorders>
          </w:tcPr>
          <w:p w:rsidR="00826F6D" w:rsidRPr="00E766DF" w:rsidRDefault="00826F6D"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Max.</w:t>
            </w:r>
          </w:p>
          <w:p w:rsidR="00826F6D" w:rsidRPr="00E766DF" w:rsidRDefault="00826F6D"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Qty</w:t>
            </w:r>
          </w:p>
        </w:tc>
        <w:tc>
          <w:tcPr>
            <w:tcW w:w="468" w:type="pct"/>
            <w:tcBorders>
              <w:bottom w:val="single" w:sz="4" w:space="0" w:color="auto"/>
            </w:tcBorders>
          </w:tcPr>
          <w:p w:rsidR="00826F6D" w:rsidRPr="00E766DF" w:rsidRDefault="00826F6D"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№.of</w:t>
            </w:r>
          </w:p>
          <w:p w:rsidR="00826F6D" w:rsidRPr="00E766DF" w:rsidRDefault="00826F6D"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Rpts</w:t>
            </w:r>
          </w:p>
        </w:tc>
        <w:tc>
          <w:tcPr>
            <w:tcW w:w="1174" w:type="pct"/>
            <w:tcBorders>
              <w:bottom w:val="single" w:sz="4" w:space="0" w:color="auto"/>
            </w:tcBorders>
          </w:tcPr>
          <w:p w:rsidR="00826F6D" w:rsidRPr="00E766DF" w:rsidRDefault="00826F6D"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D</w:t>
            </w:r>
            <w:r w:rsidR="0052641C" w:rsidRPr="00E766DF">
              <w:rPr>
                <w:rFonts w:ascii="Arial Narrow" w:hAnsi="Arial Narrow" w:cs="Arial"/>
                <w:b/>
                <w:sz w:val="20"/>
                <w:szCs w:val="20"/>
              </w:rPr>
              <w:t>PMQ</w:t>
            </w:r>
          </w:p>
          <w:p w:rsidR="0052641C" w:rsidRPr="00E766DF" w:rsidRDefault="0052641C" w:rsidP="00D56F81">
            <w:pPr>
              <w:keepNext/>
              <w:spacing w:before="40" w:after="40"/>
              <w:jc w:val="both"/>
              <w:rPr>
                <w:rFonts w:ascii="Arial Narrow" w:hAnsi="Arial Narrow" w:cs="Arial"/>
                <w:b/>
                <w:sz w:val="20"/>
                <w:szCs w:val="20"/>
              </w:rPr>
            </w:pPr>
            <w:r w:rsidRPr="00E766DF">
              <w:rPr>
                <w:rFonts w:ascii="Arial Narrow" w:hAnsi="Arial Narrow" w:cs="Arial"/>
                <w:b/>
                <w:sz w:val="20"/>
                <w:szCs w:val="20"/>
              </w:rPr>
              <w:t>Public/Private</w:t>
            </w:r>
          </w:p>
        </w:tc>
        <w:tc>
          <w:tcPr>
            <w:tcW w:w="1036" w:type="pct"/>
            <w:gridSpan w:val="2"/>
            <w:tcBorders>
              <w:bottom w:val="single" w:sz="4" w:space="0" w:color="auto"/>
            </w:tcBorders>
          </w:tcPr>
          <w:p w:rsidR="00826F6D" w:rsidRPr="00E766DF" w:rsidRDefault="00826F6D" w:rsidP="00D56F81">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C8612A" w:rsidRPr="00E766DF" w:rsidTr="005065EF">
        <w:trPr>
          <w:cantSplit/>
          <w:trHeight w:val="567"/>
        </w:trPr>
        <w:tc>
          <w:tcPr>
            <w:tcW w:w="1932" w:type="pct"/>
            <w:tcBorders>
              <w:top w:val="single" w:sz="4" w:space="0" w:color="auto"/>
              <w:bottom w:val="single" w:sz="4" w:space="0" w:color="auto"/>
            </w:tcBorders>
          </w:tcPr>
          <w:p w:rsidR="00826F6D" w:rsidRPr="00E766DF" w:rsidRDefault="0052641C" w:rsidP="00D56F81">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826F6D" w:rsidRPr="00E766DF" w:rsidRDefault="0052641C" w:rsidP="00D56F81">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w:t>
            </w:r>
            <w:r w:rsidR="00CF3C0A" w:rsidRPr="00E766DF">
              <w:rPr>
                <w:rFonts w:ascii="Arial Narrow" w:hAnsi="Arial Narrow" w:cs="Arial"/>
                <w:sz w:val="20"/>
                <w:szCs w:val="20"/>
              </w:rPr>
              <w:t>, 30</w:t>
            </w:r>
          </w:p>
          <w:p w:rsidR="0052641C" w:rsidRPr="00E766DF" w:rsidRDefault="0052641C" w:rsidP="00D56F81">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w:t>
            </w:r>
            <w:r w:rsidR="00CF3C0A" w:rsidRPr="00E766DF">
              <w:rPr>
                <w:rFonts w:ascii="Arial Narrow" w:hAnsi="Arial Narrow" w:cs="Arial"/>
                <w:sz w:val="20"/>
                <w:szCs w:val="20"/>
              </w:rPr>
              <w:t>, 30</w:t>
            </w:r>
          </w:p>
          <w:p w:rsidR="0052641C" w:rsidRPr="00E766DF" w:rsidRDefault="0052641C" w:rsidP="00EA184F">
            <w:pPr>
              <w:keepNext/>
              <w:spacing w:before="40" w:after="120"/>
              <w:rPr>
                <w:rFonts w:ascii="Arial Narrow" w:hAnsi="Arial Narrow" w:cs="Arial"/>
                <w:sz w:val="20"/>
                <w:szCs w:val="20"/>
              </w:rPr>
            </w:pPr>
            <w:r w:rsidRPr="00E766DF">
              <w:rPr>
                <w:rFonts w:ascii="Arial Narrow" w:hAnsi="Arial Narrow" w:cs="Arial"/>
                <w:sz w:val="20"/>
                <w:szCs w:val="20"/>
              </w:rPr>
              <w:t>Film coated tablet 360 mg</w:t>
            </w:r>
            <w:r w:rsidR="00CF3C0A" w:rsidRPr="00E766DF">
              <w:rPr>
                <w:rFonts w:ascii="Arial Narrow" w:hAnsi="Arial Narrow" w:cs="Arial"/>
                <w:sz w:val="20"/>
                <w:szCs w:val="20"/>
              </w:rPr>
              <w:t>, 30</w:t>
            </w:r>
          </w:p>
        </w:tc>
        <w:tc>
          <w:tcPr>
            <w:tcW w:w="390" w:type="pct"/>
            <w:tcBorders>
              <w:top w:val="single" w:sz="4" w:space="0" w:color="auto"/>
              <w:bottom w:val="single" w:sz="4" w:space="0" w:color="auto"/>
            </w:tcBorders>
          </w:tcPr>
          <w:p w:rsidR="00826F6D" w:rsidRPr="00E766DF" w:rsidRDefault="00826F6D" w:rsidP="00D56F81">
            <w:pPr>
              <w:keepNext/>
              <w:spacing w:before="40" w:after="40"/>
              <w:jc w:val="both"/>
              <w:rPr>
                <w:rFonts w:ascii="Arial Narrow" w:hAnsi="Arial Narrow" w:cs="Arial"/>
                <w:sz w:val="20"/>
                <w:szCs w:val="20"/>
              </w:rPr>
            </w:pPr>
          </w:p>
          <w:p w:rsidR="0052641C" w:rsidRPr="00E766DF" w:rsidRDefault="00CF3C0A" w:rsidP="00D56F81">
            <w:pPr>
              <w:keepNext/>
              <w:spacing w:before="40" w:after="40"/>
              <w:jc w:val="both"/>
              <w:rPr>
                <w:rFonts w:ascii="Arial Narrow" w:hAnsi="Arial Narrow" w:cs="Arial"/>
                <w:sz w:val="20"/>
                <w:szCs w:val="20"/>
              </w:rPr>
            </w:pPr>
            <w:r w:rsidRPr="00E766DF">
              <w:rPr>
                <w:rFonts w:ascii="Arial Narrow" w:hAnsi="Arial Narrow" w:cs="Arial"/>
                <w:sz w:val="20"/>
                <w:szCs w:val="20"/>
              </w:rPr>
              <w:t>180</w:t>
            </w:r>
          </w:p>
          <w:p w:rsidR="0052641C" w:rsidRPr="00E766DF" w:rsidRDefault="00CF3C0A" w:rsidP="00D56F81">
            <w:pPr>
              <w:keepNext/>
              <w:spacing w:before="40" w:after="40"/>
              <w:jc w:val="both"/>
              <w:rPr>
                <w:rFonts w:ascii="Arial Narrow" w:hAnsi="Arial Narrow" w:cs="Arial"/>
                <w:sz w:val="20"/>
                <w:szCs w:val="20"/>
              </w:rPr>
            </w:pPr>
            <w:r w:rsidRPr="00E766DF">
              <w:rPr>
                <w:rFonts w:ascii="Arial Narrow" w:hAnsi="Arial Narrow" w:cs="Arial"/>
                <w:sz w:val="20"/>
                <w:szCs w:val="20"/>
              </w:rPr>
              <w:t>180</w:t>
            </w:r>
          </w:p>
          <w:p w:rsidR="0052641C" w:rsidRPr="00E766DF" w:rsidRDefault="00CF3C0A" w:rsidP="00D56F81">
            <w:pPr>
              <w:keepNext/>
              <w:spacing w:before="40" w:after="40"/>
              <w:jc w:val="both"/>
              <w:rPr>
                <w:rFonts w:ascii="Arial Narrow" w:hAnsi="Arial Narrow" w:cs="Arial"/>
                <w:sz w:val="20"/>
                <w:szCs w:val="20"/>
              </w:rPr>
            </w:pPr>
            <w:r w:rsidRPr="00E766DF">
              <w:rPr>
                <w:rFonts w:ascii="Arial Narrow" w:hAnsi="Arial Narrow" w:cs="Arial"/>
                <w:sz w:val="20"/>
                <w:szCs w:val="20"/>
              </w:rPr>
              <w:t>180</w:t>
            </w:r>
          </w:p>
        </w:tc>
        <w:tc>
          <w:tcPr>
            <w:tcW w:w="468" w:type="pct"/>
            <w:tcBorders>
              <w:top w:val="single" w:sz="4" w:space="0" w:color="auto"/>
              <w:bottom w:val="single" w:sz="4" w:space="0" w:color="auto"/>
            </w:tcBorders>
          </w:tcPr>
          <w:p w:rsidR="00826F6D" w:rsidRPr="00E766DF" w:rsidRDefault="00826F6D" w:rsidP="00D56F81">
            <w:pPr>
              <w:keepNext/>
              <w:spacing w:before="40" w:after="40"/>
              <w:jc w:val="both"/>
              <w:rPr>
                <w:rFonts w:ascii="Arial Narrow" w:hAnsi="Arial Narrow" w:cs="Arial"/>
                <w:sz w:val="20"/>
                <w:szCs w:val="20"/>
              </w:rPr>
            </w:pPr>
          </w:p>
          <w:p w:rsidR="00826F6D" w:rsidRPr="00E766DF" w:rsidRDefault="00B445A8" w:rsidP="00D56F81">
            <w:pPr>
              <w:keepNext/>
              <w:spacing w:before="40" w:after="40"/>
              <w:jc w:val="both"/>
              <w:rPr>
                <w:rFonts w:ascii="Arial Narrow" w:hAnsi="Arial Narrow" w:cs="Arial"/>
                <w:sz w:val="20"/>
                <w:szCs w:val="20"/>
              </w:rPr>
            </w:pPr>
            <w:r w:rsidRPr="00E766DF">
              <w:rPr>
                <w:rFonts w:ascii="Arial Narrow" w:hAnsi="Arial Narrow" w:cs="Arial"/>
                <w:sz w:val="20"/>
                <w:szCs w:val="20"/>
              </w:rPr>
              <w:t>2</w:t>
            </w:r>
            <w:r w:rsidR="008172A6" w:rsidRPr="00E766DF">
              <w:rPr>
                <w:rFonts w:ascii="Arial Narrow" w:hAnsi="Arial Narrow" w:cs="Arial"/>
                <w:sz w:val="20"/>
                <w:szCs w:val="20"/>
              </w:rPr>
              <w:t xml:space="preserve"> </w:t>
            </w:r>
            <w:r w:rsidRPr="00E766DF">
              <w:rPr>
                <w:rFonts w:ascii="Arial Narrow" w:hAnsi="Arial Narrow" w:cs="Arial"/>
                <w:sz w:val="20"/>
                <w:szCs w:val="20"/>
              </w:rPr>
              <w:t>/</w:t>
            </w:r>
            <w:r w:rsidR="008172A6" w:rsidRPr="00E766DF">
              <w:rPr>
                <w:rFonts w:ascii="Arial Narrow" w:hAnsi="Arial Narrow" w:cs="Arial"/>
                <w:sz w:val="20"/>
                <w:szCs w:val="20"/>
              </w:rPr>
              <w:t xml:space="preserve"> </w:t>
            </w:r>
            <w:r w:rsidR="0052641C" w:rsidRPr="00E766DF">
              <w:rPr>
                <w:rFonts w:ascii="Arial Narrow" w:hAnsi="Arial Narrow" w:cs="Arial"/>
                <w:sz w:val="20"/>
                <w:szCs w:val="20"/>
              </w:rPr>
              <w:t>5</w:t>
            </w:r>
          </w:p>
          <w:p w:rsidR="0052641C" w:rsidRPr="00E766DF" w:rsidRDefault="00B445A8" w:rsidP="00D56F81">
            <w:pPr>
              <w:keepNext/>
              <w:spacing w:before="40" w:after="40"/>
              <w:jc w:val="both"/>
              <w:rPr>
                <w:rFonts w:ascii="Arial Narrow" w:hAnsi="Arial Narrow" w:cs="Arial"/>
                <w:sz w:val="20"/>
                <w:szCs w:val="20"/>
              </w:rPr>
            </w:pPr>
            <w:r w:rsidRPr="00E766DF">
              <w:rPr>
                <w:rFonts w:ascii="Arial Narrow" w:hAnsi="Arial Narrow" w:cs="Arial"/>
                <w:sz w:val="20"/>
                <w:szCs w:val="20"/>
              </w:rPr>
              <w:t>2</w:t>
            </w:r>
            <w:r w:rsidR="008172A6" w:rsidRPr="00E766DF">
              <w:rPr>
                <w:rFonts w:ascii="Arial Narrow" w:hAnsi="Arial Narrow" w:cs="Arial"/>
                <w:sz w:val="20"/>
                <w:szCs w:val="20"/>
              </w:rPr>
              <w:t xml:space="preserve"> </w:t>
            </w:r>
            <w:r w:rsidRPr="00E766DF">
              <w:rPr>
                <w:rFonts w:ascii="Arial Narrow" w:hAnsi="Arial Narrow" w:cs="Arial"/>
                <w:sz w:val="20"/>
                <w:szCs w:val="20"/>
              </w:rPr>
              <w:t>/</w:t>
            </w:r>
            <w:r w:rsidR="008172A6" w:rsidRPr="00E766DF">
              <w:rPr>
                <w:rFonts w:ascii="Arial Narrow" w:hAnsi="Arial Narrow" w:cs="Arial"/>
                <w:sz w:val="20"/>
                <w:szCs w:val="20"/>
              </w:rPr>
              <w:t xml:space="preserve"> </w:t>
            </w:r>
            <w:r w:rsidR="0052641C" w:rsidRPr="00E766DF">
              <w:rPr>
                <w:rFonts w:ascii="Arial Narrow" w:hAnsi="Arial Narrow" w:cs="Arial"/>
                <w:sz w:val="20"/>
                <w:szCs w:val="20"/>
              </w:rPr>
              <w:t>5</w:t>
            </w:r>
          </w:p>
          <w:p w:rsidR="0052641C" w:rsidRPr="00E766DF" w:rsidRDefault="00B445A8" w:rsidP="00B445A8">
            <w:pPr>
              <w:keepNext/>
              <w:spacing w:before="40" w:after="40"/>
              <w:jc w:val="both"/>
              <w:rPr>
                <w:rFonts w:ascii="Arial Narrow" w:hAnsi="Arial Narrow" w:cs="Arial"/>
                <w:sz w:val="20"/>
                <w:szCs w:val="20"/>
              </w:rPr>
            </w:pPr>
            <w:r w:rsidRPr="00E766DF">
              <w:rPr>
                <w:rFonts w:ascii="Arial Narrow" w:hAnsi="Arial Narrow" w:cs="Arial"/>
                <w:sz w:val="20"/>
                <w:szCs w:val="20"/>
              </w:rPr>
              <w:t>2</w:t>
            </w:r>
            <w:r w:rsidR="008172A6" w:rsidRPr="00E766DF">
              <w:rPr>
                <w:rFonts w:ascii="Arial Narrow" w:hAnsi="Arial Narrow" w:cs="Arial"/>
                <w:sz w:val="20"/>
                <w:szCs w:val="20"/>
              </w:rPr>
              <w:t xml:space="preserve"> </w:t>
            </w:r>
            <w:r w:rsidRPr="00E766DF">
              <w:rPr>
                <w:rFonts w:ascii="Arial Narrow" w:hAnsi="Arial Narrow" w:cs="Arial"/>
                <w:sz w:val="20"/>
                <w:szCs w:val="20"/>
              </w:rPr>
              <w:t>/</w:t>
            </w:r>
            <w:r w:rsidR="008172A6" w:rsidRPr="00E766DF">
              <w:rPr>
                <w:rFonts w:ascii="Arial Narrow" w:hAnsi="Arial Narrow" w:cs="Arial"/>
                <w:sz w:val="20"/>
                <w:szCs w:val="20"/>
              </w:rPr>
              <w:t xml:space="preserve"> </w:t>
            </w:r>
            <w:r w:rsidR="0052641C" w:rsidRPr="00E766DF">
              <w:rPr>
                <w:rFonts w:ascii="Arial Narrow" w:hAnsi="Arial Narrow" w:cs="Arial"/>
                <w:sz w:val="20"/>
                <w:szCs w:val="20"/>
              </w:rPr>
              <w:t>5</w:t>
            </w:r>
          </w:p>
        </w:tc>
        <w:tc>
          <w:tcPr>
            <w:tcW w:w="1174" w:type="pct"/>
            <w:tcBorders>
              <w:top w:val="single" w:sz="4" w:space="0" w:color="auto"/>
              <w:bottom w:val="single" w:sz="4" w:space="0" w:color="auto"/>
            </w:tcBorders>
          </w:tcPr>
          <w:p w:rsidR="00826F6D" w:rsidRPr="00E766DF" w:rsidRDefault="00826F6D" w:rsidP="00D56F81">
            <w:pPr>
              <w:keepNext/>
              <w:spacing w:before="40" w:after="40"/>
              <w:jc w:val="both"/>
              <w:rPr>
                <w:rFonts w:ascii="Arial Narrow" w:hAnsi="Arial Narrow" w:cs="Arial"/>
                <w:sz w:val="20"/>
                <w:szCs w:val="20"/>
              </w:rPr>
            </w:pPr>
          </w:p>
          <w:p w:rsidR="00826F6D" w:rsidRPr="00C159B7" w:rsidRDefault="00826F6D" w:rsidP="00D56F81">
            <w:pPr>
              <w:keepNext/>
              <w:spacing w:before="40" w:after="40"/>
              <w:jc w:val="both"/>
              <w:rPr>
                <w:rFonts w:ascii="Arial Narrow" w:hAnsi="Arial Narrow" w:cs="Arial"/>
                <w:sz w:val="20"/>
                <w:szCs w:val="20"/>
              </w:rPr>
            </w:pPr>
            <w:r w:rsidRPr="00C159B7">
              <w:rPr>
                <w:rFonts w:ascii="Arial Narrow" w:hAnsi="Arial Narrow" w:cs="Arial"/>
                <w:sz w:val="20"/>
                <w:szCs w:val="20"/>
              </w:rPr>
              <w:t>$</w:t>
            </w:r>
            <w:r w:rsidR="00886AED">
              <w:rPr>
                <w:rFonts w:ascii="Arial Narrow" w:hAnsi="Arial Narrow" w:cs="Arial"/>
                <w:noProof/>
                <w:color w:val="000000"/>
                <w:sz w:val="20"/>
                <w:szCs w:val="20"/>
                <w:highlight w:val="black"/>
              </w:rPr>
              <w:t>''''''''''''''''''''</w:t>
            </w:r>
            <w:r w:rsidR="00F83148" w:rsidRPr="00C159B7">
              <w:rPr>
                <w:rFonts w:ascii="Arial Narrow" w:hAnsi="Arial Narrow" w:cs="Arial"/>
                <w:sz w:val="20"/>
                <w:szCs w:val="20"/>
              </w:rPr>
              <w:t xml:space="preserve"> </w:t>
            </w:r>
            <w:r w:rsidR="0052641C" w:rsidRPr="00C159B7">
              <w:rPr>
                <w:rFonts w:ascii="Arial Narrow" w:hAnsi="Arial Narrow" w:cs="Arial"/>
                <w:sz w:val="20"/>
                <w:szCs w:val="20"/>
              </w:rPr>
              <w:t>/</w:t>
            </w:r>
            <w:r w:rsidR="00F83148" w:rsidRPr="00C159B7">
              <w:rPr>
                <w:rFonts w:ascii="Arial Narrow" w:hAnsi="Arial Narrow" w:cs="Arial"/>
                <w:sz w:val="20"/>
                <w:szCs w:val="20"/>
              </w:rPr>
              <w:t xml:space="preserve"> </w:t>
            </w:r>
            <w:r w:rsidR="0052641C" w:rsidRPr="00C159B7">
              <w:rPr>
                <w:rFonts w:ascii="Arial Narrow" w:hAnsi="Arial Narrow" w:cs="Arial"/>
                <w:sz w:val="20"/>
                <w:szCs w:val="20"/>
              </w:rPr>
              <w:t>$</w:t>
            </w:r>
            <w:r w:rsidR="00886AED">
              <w:rPr>
                <w:rFonts w:ascii="Arial Narrow" w:hAnsi="Arial Narrow" w:cs="Arial"/>
                <w:noProof/>
                <w:color w:val="000000"/>
                <w:sz w:val="20"/>
                <w:szCs w:val="20"/>
                <w:highlight w:val="black"/>
              </w:rPr>
              <w:t>''''''''''''''''''''</w:t>
            </w:r>
          </w:p>
          <w:p w:rsidR="0052641C" w:rsidRPr="00C159B7" w:rsidRDefault="0052641C" w:rsidP="00D56F81">
            <w:pPr>
              <w:keepNext/>
              <w:spacing w:before="40" w:after="40"/>
              <w:jc w:val="both"/>
              <w:rPr>
                <w:rFonts w:ascii="Arial Narrow" w:hAnsi="Arial Narrow" w:cs="Arial"/>
                <w:sz w:val="20"/>
                <w:szCs w:val="20"/>
              </w:rPr>
            </w:pPr>
            <w:r w:rsidRPr="00C159B7">
              <w:rPr>
                <w:rFonts w:ascii="Arial Narrow" w:hAnsi="Arial Narrow" w:cs="Arial"/>
                <w:sz w:val="20"/>
                <w:szCs w:val="20"/>
              </w:rPr>
              <w:t>$</w:t>
            </w:r>
            <w:r w:rsidR="00886AED">
              <w:rPr>
                <w:rFonts w:ascii="Arial Narrow" w:hAnsi="Arial Narrow" w:cs="Arial"/>
                <w:noProof/>
                <w:color w:val="000000"/>
                <w:sz w:val="20"/>
                <w:szCs w:val="20"/>
                <w:highlight w:val="black"/>
              </w:rPr>
              <w:t>''''''''''''''''''''''</w:t>
            </w:r>
            <w:r w:rsidR="00F83148" w:rsidRPr="00C159B7">
              <w:rPr>
                <w:rFonts w:ascii="Arial Narrow" w:hAnsi="Arial Narrow" w:cs="Arial"/>
                <w:sz w:val="20"/>
                <w:szCs w:val="20"/>
              </w:rPr>
              <w:t xml:space="preserve"> </w:t>
            </w:r>
            <w:r w:rsidRPr="00C159B7">
              <w:rPr>
                <w:rFonts w:ascii="Arial Narrow" w:hAnsi="Arial Narrow" w:cs="Arial"/>
                <w:sz w:val="20"/>
                <w:szCs w:val="20"/>
              </w:rPr>
              <w:t>/</w:t>
            </w:r>
            <w:r w:rsidR="00F83148" w:rsidRPr="00C159B7">
              <w:rPr>
                <w:rFonts w:ascii="Arial Narrow" w:hAnsi="Arial Narrow" w:cs="Arial"/>
                <w:sz w:val="20"/>
                <w:szCs w:val="20"/>
              </w:rPr>
              <w:t xml:space="preserve"> </w:t>
            </w:r>
            <w:r w:rsidRPr="00C159B7">
              <w:rPr>
                <w:rFonts w:ascii="Arial Narrow" w:hAnsi="Arial Narrow" w:cs="Arial"/>
                <w:sz w:val="20"/>
                <w:szCs w:val="20"/>
              </w:rPr>
              <w:t>$</w:t>
            </w:r>
            <w:r w:rsidR="00886AED">
              <w:rPr>
                <w:rFonts w:ascii="Arial Narrow" w:hAnsi="Arial Narrow" w:cs="Arial"/>
                <w:noProof/>
                <w:color w:val="000000"/>
                <w:sz w:val="20"/>
                <w:szCs w:val="20"/>
                <w:highlight w:val="black"/>
              </w:rPr>
              <w:t>'''''''''''''''''''</w:t>
            </w:r>
          </w:p>
          <w:p w:rsidR="00EA184F" w:rsidRPr="00E766DF" w:rsidRDefault="0052641C" w:rsidP="00D56F81">
            <w:pPr>
              <w:keepNext/>
              <w:spacing w:before="40" w:after="40"/>
              <w:jc w:val="both"/>
              <w:rPr>
                <w:rFonts w:ascii="Arial Narrow" w:hAnsi="Arial Narrow" w:cs="Arial"/>
                <w:sz w:val="20"/>
                <w:szCs w:val="20"/>
              </w:rPr>
            </w:pPr>
            <w:r w:rsidRPr="00C159B7">
              <w:rPr>
                <w:rFonts w:ascii="Arial Narrow" w:hAnsi="Arial Narrow" w:cs="Arial"/>
                <w:sz w:val="20"/>
                <w:szCs w:val="20"/>
              </w:rPr>
              <w:t>$</w:t>
            </w:r>
            <w:r w:rsidR="00886AED">
              <w:rPr>
                <w:rFonts w:ascii="Arial Narrow" w:hAnsi="Arial Narrow" w:cs="Arial"/>
                <w:noProof/>
                <w:color w:val="000000"/>
                <w:sz w:val="20"/>
                <w:szCs w:val="20"/>
                <w:highlight w:val="black"/>
              </w:rPr>
              <w:t>'''''''''''''''''''''</w:t>
            </w:r>
            <w:r w:rsidR="00F83148" w:rsidRPr="00C159B7">
              <w:rPr>
                <w:rFonts w:ascii="Arial Narrow" w:hAnsi="Arial Narrow" w:cs="Arial"/>
                <w:sz w:val="20"/>
                <w:szCs w:val="20"/>
              </w:rPr>
              <w:t xml:space="preserve"> </w:t>
            </w:r>
            <w:r w:rsidRPr="00C159B7">
              <w:rPr>
                <w:rFonts w:ascii="Arial Narrow" w:hAnsi="Arial Narrow" w:cs="Arial"/>
                <w:sz w:val="20"/>
                <w:szCs w:val="20"/>
              </w:rPr>
              <w:t>/</w:t>
            </w:r>
            <w:r w:rsidR="00F83148" w:rsidRPr="00C159B7">
              <w:rPr>
                <w:rFonts w:ascii="Arial Narrow" w:hAnsi="Arial Narrow" w:cs="Arial"/>
                <w:sz w:val="20"/>
                <w:szCs w:val="20"/>
              </w:rPr>
              <w:t xml:space="preserve"> </w:t>
            </w:r>
            <w:r w:rsidRPr="00C159B7">
              <w:rPr>
                <w:rFonts w:ascii="Arial Narrow" w:hAnsi="Arial Narrow" w:cs="Arial"/>
                <w:sz w:val="20"/>
                <w:szCs w:val="20"/>
              </w:rPr>
              <w:t>$</w:t>
            </w:r>
            <w:r w:rsidR="00886AED">
              <w:rPr>
                <w:rFonts w:ascii="Arial Narrow" w:hAnsi="Arial Narrow" w:cs="Arial"/>
                <w:noProof/>
                <w:color w:val="000000"/>
                <w:sz w:val="20"/>
                <w:szCs w:val="20"/>
                <w:highlight w:val="black"/>
              </w:rPr>
              <w:t>'''''''''''''''''''</w:t>
            </w:r>
          </w:p>
        </w:tc>
        <w:tc>
          <w:tcPr>
            <w:tcW w:w="483" w:type="pct"/>
            <w:tcBorders>
              <w:top w:val="single" w:sz="4" w:space="0" w:color="auto"/>
              <w:bottom w:val="single" w:sz="4" w:space="0" w:color="auto"/>
            </w:tcBorders>
          </w:tcPr>
          <w:p w:rsidR="00C27B58" w:rsidRPr="00E766DF" w:rsidRDefault="00C27B58" w:rsidP="00D56F81">
            <w:pPr>
              <w:keepNext/>
              <w:spacing w:before="40" w:after="40"/>
              <w:jc w:val="both"/>
              <w:rPr>
                <w:rFonts w:ascii="Arial Narrow" w:hAnsi="Arial Narrow" w:cs="Arial"/>
                <w:sz w:val="20"/>
                <w:szCs w:val="20"/>
              </w:rPr>
            </w:pPr>
          </w:p>
          <w:p w:rsidR="00826F6D" w:rsidRPr="00E766DF" w:rsidRDefault="0052641C" w:rsidP="00D56F81">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 Novartis</w:t>
            </w:r>
          </w:p>
        </w:tc>
        <w:tc>
          <w:tcPr>
            <w:tcW w:w="554" w:type="pct"/>
            <w:tcBorders>
              <w:top w:val="single" w:sz="4" w:space="0" w:color="auto"/>
              <w:bottom w:val="single" w:sz="4" w:space="0" w:color="auto"/>
            </w:tcBorders>
          </w:tcPr>
          <w:p w:rsidR="00826F6D" w:rsidRPr="00E766DF" w:rsidRDefault="00826F6D" w:rsidP="00D56F81">
            <w:pPr>
              <w:keepNext/>
              <w:spacing w:before="40" w:after="40"/>
              <w:jc w:val="both"/>
              <w:rPr>
                <w:rFonts w:ascii="Arial Narrow" w:hAnsi="Arial Narrow" w:cs="Arial"/>
                <w:sz w:val="20"/>
                <w:szCs w:val="20"/>
              </w:rPr>
            </w:pPr>
          </w:p>
        </w:tc>
      </w:tr>
    </w:tbl>
    <w:p w:rsidR="004936BE" w:rsidRPr="00E766DF" w:rsidRDefault="004936BE" w:rsidP="005B7011">
      <w:pPr>
        <w:spacing w:after="120"/>
        <w:rPr>
          <w:rFonts w:asciiTheme="minorHAnsi" w:eastAsiaTheme="minorHAnsi" w:hAnsiTheme="minorHAnsi" w:cstheme="minorBidi"/>
          <w:szCs w:val="22"/>
        </w:rPr>
      </w:pPr>
    </w:p>
    <w:p w:rsidR="006B4C03" w:rsidRPr="00E766DF" w:rsidRDefault="006455FD"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A Special Pricing Arrangement, in the form of a rebate, is applied to deferasirox dispersible tablets. It was proposed that the same arrangements would apply to the film coated tablets.</w:t>
      </w:r>
    </w:p>
    <w:p w:rsidR="00462281" w:rsidRPr="00E766DF" w:rsidRDefault="00462281"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lastRenderedPageBreak/>
        <w:t xml:space="preserve">The </w:t>
      </w:r>
      <w:r w:rsidR="008512B9" w:rsidRPr="00E766DF">
        <w:rPr>
          <w:rFonts w:asciiTheme="minorHAnsi" w:eastAsiaTheme="minorHAnsi" w:hAnsiTheme="minorHAnsi" w:cstheme="minorBidi"/>
          <w:snapToGrid/>
          <w:sz w:val="24"/>
          <w:szCs w:val="22"/>
        </w:rPr>
        <w:t>p</w:t>
      </w:r>
      <w:r w:rsidR="005B42DF">
        <w:rPr>
          <w:rFonts w:asciiTheme="minorHAnsi" w:eastAsiaTheme="minorHAnsi" w:hAnsiTheme="minorHAnsi" w:cstheme="minorBidi"/>
          <w:snapToGrid/>
          <w:sz w:val="24"/>
          <w:szCs w:val="22"/>
        </w:rPr>
        <w:t xml:space="preserve">re-PBAC response </w:t>
      </w:r>
      <w:r w:rsidRPr="00E766DF">
        <w:rPr>
          <w:rFonts w:asciiTheme="minorHAnsi" w:eastAsiaTheme="minorHAnsi" w:hAnsiTheme="minorHAnsi" w:cstheme="minorBidi"/>
          <w:snapToGrid/>
          <w:sz w:val="24"/>
          <w:szCs w:val="22"/>
        </w:rPr>
        <w:t>requested that patients currently treated with deferasirox dispersible tablets be eligible for continuing treatment with deferasirox film coated tablets.</w:t>
      </w:r>
    </w:p>
    <w:p w:rsidR="006B4C03" w:rsidRPr="00E766DF" w:rsidRDefault="006B4C03" w:rsidP="005065EF">
      <w:pPr>
        <w:pStyle w:val="ListParagraph"/>
        <w:widowControl/>
        <w:spacing w:after="120"/>
        <w:contextualSpacing w:val="0"/>
        <w:rPr>
          <w:rFonts w:asciiTheme="minorHAnsi" w:eastAsiaTheme="minorHAnsi" w:hAnsiTheme="minorHAnsi" w:cstheme="minorBidi"/>
          <w:i/>
          <w:snapToGrid/>
          <w:sz w:val="24"/>
          <w:szCs w:val="22"/>
        </w:rPr>
      </w:pPr>
      <w:r w:rsidRPr="00E766DF">
        <w:rPr>
          <w:rFonts w:asciiTheme="minorHAnsi" w:eastAsiaTheme="minorHAnsi" w:hAnsiTheme="minorHAnsi" w:cstheme="minorBidi"/>
          <w:i/>
          <w:snapToGrid/>
          <w:sz w:val="24"/>
          <w:szCs w:val="22"/>
        </w:rPr>
        <w:t>For more detail on PBAC’s view, see section 6 PBAC outcome.</w:t>
      </w:r>
    </w:p>
    <w:p w:rsidR="00C603D4" w:rsidRPr="00E766DF" w:rsidRDefault="00CE10C4" w:rsidP="00696129">
      <w:pPr>
        <w:pStyle w:val="PBACHeading1"/>
        <w:spacing w:before="240" w:after="120"/>
        <w:ind w:left="709" w:hanging="709"/>
        <w:rPr>
          <w:rFonts w:asciiTheme="minorHAnsi" w:hAnsiTheme="minorHAnsi"/>
          <w:sz w:val="32"/>
          <w:szCs w:val="32"/>
        </w:rPr>
      </w:pPr>
      <w:r w:rsidRPr="00E766DF">
        <w:rPr>
          <w:rFonts w:asciiTheme="minorHAnsi" w:hAnsiTheme="minorHAnsi"/>
          <w:sz w:val="32"/>
          <w:szCs w:val="32"/>
        </w:rPr>
        <w:t>Background</w:t>
      </w:r>
    </w:p>
    <w:p w:rsidR="00CF3C0A" w:rsidRPr="00E766DF" w:rsidRDefault="002672A0"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This wa</w:t>
      </w:r>
      <w:r w:rsidR="00CF3C0A" w:rsidRPr="00E766DF">
        <w:rPr>
          <w:rFonts w:asciiTheme="minorHAnsi" w:eastAsiaTheme="minorHAnsi" w:hAnsiTheme="minorHAnsi" w:cstheme="minorBidi"/>
          <w:snapToGrid/>
          <w:sz w:val="24"/>
          <w:szCs w:val="22"/>
        </w:rPr>
        <w:t>s the first submission for deferasirox film coated tablets.</w:t>
      </w:r>
    </w:p>
    <w:p w:rsidR="00CF3C0A" w:rsidRPr="00E766DF" w:rsidRDefault="00CF3C0A"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Deferasirox dispersible tablets were recommended for PBS listing in July 2006 for the treatment of chronic iron overload secondary to transfusion dependent anaemias.  </w:t>
      </w:r>
    </w:p>
    <w:p w:rsidR="00222AAA" w:rsidRPr="00E766DF" w:rsidRDefault="00222AAA"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the July 2015 meeting the PBAC recommended </w:t>
      </w:r>
      <w:r w:rsidR="00283566">
        <w:rPr>
          <w:rFonts w:asciiTheme="minorHAnsi" w:eastAsiaTheme="minorHAnsi" w:hAnsiTheme="minorHAnsi" w:cstheme="minorBidi"/>
          <w:snapToGrid/>
          <w:sz w:val="24"/>
          <w:szCs w:val="22"/>
        </w:rPr>
        <w:t>revising</w:t>
      </w:r>
      <w:r>
        <w:rPr>
          <w:rFonts w:asciiTheme="minorHAnsi" w:eastAsiaTheme="minorHAnsi" w:hAnsiTheme="minorHAnsi" w:cstheme="minorBidi"/>
          <w:snapToGrid/>
          <w:sz w:val="24"/>
          <w:szCs w:val="22"/>
        </w:rPr>
        <w:t xml:space="preserve"> the PBS listing for deferasirox dispersible tablets to include</w:t>
      </w:r>
      <w:r w:rsidR="00283566">
        <w:rPr>
          <w:rFonts w:asciiTheme="minorHAnsi" w:eastAsiaTheme="minorHAnsi" w:hAnsiTheme="minorHAnsi" w:cstheme="minorBidi"/>
          <w:snapToGrid/>
          <w:sz w:val="24"/>
          <w:szCs w:val="22"/>
        </w:rPr>
        <w:t xml:space="preserve"> the following populations: patients with transfusion dependent non-malignant disorders of erythropoiesis; patients with </w:t>
      </w:r>
      <w:r w:rsidR="006E107A" w:rsidRPr="006E107A">
        <w:rPr>
          <w:rFonts w:asciiTheme="minorHAnsi" w:eastAsiaTheme="minorHAnsi" w:hAnsiTheme="minorHAnsi" w:cstheme="minorBidi"/>
          <w:snapToGrid/>
          <w:sz w:val="24"/>
          <w:szCs w:val="22"/>
        </w:rPr>
        <w:t>non-transfusion dependent thalassaemia</w:t>
      </w:r>
      <w:r w:rsidR="00283566">
        <w:rPr>
          <w:rFonts w:asciiTheme="minorHAnsi" w:eastAsiaTheme="minorHAnsi" w:hAnsiTheme="minorHAnsi" w:cstheme="minorBidi"/>
          <w:snapToGrid/>
          <w:sz w:val="24"/>
          <w:szCs w:val="22"/>
        </w:rPr>
        <w:t xml:space="preserve">; and patients with </w:t>
      </w:r>
      <w:r w:rsidR="00283566" w:rsidRPr="006E107A">
        <w:rPr>
          <w:rFonts w:asciiTheme="minorHAnsi" w:eastAsiaTheme="minorHAnsi" w:hAnsiTheme="minorHAnsi" w:cstheme="minorBidi"/>
          <w:snapToGrid/>
          <w:sz w:val="24"/>
          <w:szCs w:val="22"/>
        </w:rPr>
        <w:t xml:space="preserve">transfusion dependent malignant disorders of </w:t>
      </w:r>
      <w:proofErr w:type="spellStart"/>
      <w:r w:rsidR="00283566" w:rsidRPr="006E107A">
        <w:rPr>
          <w:rFonts w:asciiTheme="minorHAnsi" w:eastAsiaTheme="minorHAnsi" w:hAnsiTheme="minorHAnsi" w:cstheme="minorBidi"/>
          <w:snapToGrid/>
          <w:sz w:val="24"/>
          <w:szCs w:val="22"/>
        </w:rPr>
        <w:t>haemopoiesis</w:t>
      </w:r>
      <w:proofErr w:type="spellEnd"/>
      <w:r w:rsidR="00283566">
        <w:rPr>
          <w:rFonts w:asciiTheme="minorHAnsi" w:eastAsiaTheme="minorHAnsi" w:hAnsiTheme="minorHAnsi" w:cstheme="minorBidi"/>
          <w:snapToGrid/>
          <w:sz w:val="24"/>
          <w:szCs w:val="22"/>
        </w:rPr>
        <w:t xml:space="preserve"> with a median life expectancy greater than five years</w:t>
      </w:r>
      <w:r w:rsidR="006E107A">
        <w:t>.</w:t>
      </w:r>
    </w:p>
    <w:p w:rsidR="00CF3C0A" w:rsidRPr="00E766DF" w:rsidRDefault="00CF3C0A" w:rsidP="00E86562">
      <w:pPr>
        <w:pStyle w:val="Heading2"/>
        <w:keepLines/>
        <w:spacing w:before="240" w:after="120"/>
        <w:rPr>
          <w:rFonts w:asciiTheme="minorHAnsi" w:eastAsiaTheme="majorEastAsia" w:hAnsiTheme="minorHAnsi" w:cstheme="majorBidi"/>
          <w:sz w:val="28"/>
          <w:szCs w:val="28"/>
        </w:rPr>
      </w:pPr>
      <w:r w:rsidRPr="00E766DF">
        <w:rPr>
          <w:rFonts w:asciiTheme="minorHAnsi" w:eastAsiaTheme="majorEastAsia" w:hAnsiTheme="minorHAnsi" w:cstheme="majorBidi"/>
          <w:sz w:val="28"/>
          <w:szCs w:val="28"/>
          <w:lang w:eastAsia="en-US"/>
        </w:rPr>
        <w:t>TGA status</w:t>
      </w:r>
    </w:p>
    <w:p w:rsidR="0093634C" w:rsidRPr="00E766DF" w:rsidRDefault="00874525"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Deferasirox </w:t>
      </w:r>
      <w:r w:rsidR="0093634C" w:rsidRPr="00E766DF">
        <w:rPr>
          <w:rFonts w:asciiTheme="minorHAnsi" w:eastAsiaTheme="minorHAnsi" w:hAnsiTheme="minorHAnsi" w:cstheme="minorBidi"/>
          <w:snapToGrid/>
          <w:sz w:val="24"/>
          <w:szCs w:val="22"/>
        </w:rPr>
        <w:t xml:space="preserve">film coated tablets were registered </w:t>
      </w:r>
      <w:r w:rsidR="0070387C" w:rsidRPr="00E766DF">
        <w:rPr>
          <w:rFonts w:asciiTheme="minorHAnsi" w:eastAsiaTheme="minorHAnsi" w:hAnsiTheme="minorHAnsi" w:cstheme="minorBidi"/>
          <w:snapToGrid/>
          <w:sz w:val="24"/>
          <w:szCs w:val="22"/>
        </w:rPr>
        <w:t>by</w:t>
      </w:r>
      <w:r w:rsidR="0093634C" w:rsidRPr="00E766DF">
        <w:rPr>
          <w:rFonts w:asciiTheme="minorHAnsi" w:eastAsiaTheme="minorHAnsi" w:hAnsiTheme="minorHAnsi" w:cstheme="minorBidi"/>
          <w:snapToGrid/>
          <w:sz w:val="24"/>
          <w:szCs w:val="22"/>
        </w:rPr>
        <w:t xml:space="preserve"> the TGA in </w:t>
      </w:r>
      <w:r w:rsidR="00B223B4" w:rsidRPr="00E766DF">
        <w:rPr>
          <w:rFonts w:asciiTheme="minorHAnsi" w:eastAsiaTheme="minorHAnsi" w:hAnsiTheme="minorHAnsi" w:cstheme="minorBidi"/>
          <w:snapToGrid/>
          <w:sz w:val="24"/>
          <w:szCs w:val="22"/>
        </w:rPr>
        <w:t>March 2018</w:t>
      </w:r>
      <w:r w:rsidR="0093634C" w:rsidRPr="00E766DF">
        <w:rPr>
          <w:rFonts w:asciiTheme="minorHAnsi" w:eastAsiaTheme="minorHAnsi" w:hAnsiTheme="minorHAnsi" w:cstheme="minorBidi"/>
          <w:snapToGrid/>
          <w:sz w:val="24"/>
          <w:szCs w:val="22"/>
        </w:rPr>
        <w:t xml:space="preserve"> for:</w:t>
      </w:r>
    </w:p>
    <w:p w:rsidR="00B223B4" w:rsidRPr="00E766DF" w:rsidRDefault="00B2183C" w:rsidP="005065EF">
      <w:pPr>
        <w:pStyle w:val="ListParagraph"/>
        <w:widowControl/>
        <w:spacing w:after="1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w:t>
      </w:r>
      <w:r w:rsidR="0093634C" w:rsidRPr="00E766DF">
        <w:rPr>
          <w:rFonts w:asciiTheme="minorHAnsi" w:eastAsiaTheme="minorHAnsi" w:hAnsiTheme="minorHAnsi" w:cstheme="minorBidi"/>
          <w:snapToGrid/>
          <w:sz w:val="24"/>
          <w:szCs w:val="22"/>
        </w:rPr>
        <w:t>The treatment of chronic iron overload due to blood transfusions (</w:t>
      </w:r>
      <w:proofErr w:type="spellStart"/>
      <w:r w:rsidR="0093634C" w:rsidRPr="00E766DF">
        <w:rPr>
          <w:rFonts w:asciiTheme="minorHAnsi" w:eastAsiaTheme="minorHAnsi" w:hAnsiTheme="minorHAnsi" w:cstheme="minorBidi"/>
          <w:snapToGrid/>
          <w:sz w:val="24"/>
          <w:szCs w:val="22"/>
        </w:rPr>
        <w:t>transfusional</w:t>
      </w:r>
      <w:proofErr w:type="spellEnd"/>
      <w:r w:rsidR="0093634C" w:rsidRPr="00E766DF">
        <w:rPr>
          <w:rFonts w:asciiTheme="minorHAnsi" w:eastAsiaTheme="minorHAnsi" w:hAnsiTheme="minorHAnsi" w:cstheme="minorBidi"/>
          <w:snapToGrid/>
          <w:sz w:val="24"/>
          <w:szCs w:val="22"/>
        </w:rPr>
        <w:t xml:space="preserve"> </w:t>
      </w:r>
      <w:proofErr w:type="spellStart"/>
      <w:r w:rsidR="0093634C" w:rsidRPr="00E766DF">
        <w:rPr>
          <w:rFonts w:asciiTheme="minorHAnsi" w:eastAsiaTheme="minorHAnsi" w:hAnsiTheme="minorHAnsi" w:cstheme="minorBidi"/>
          <w:snapToGrid/>
          <w:sz w:val="24"/>
          <w:szCs w:val="22"/>
        </w:rPr>
        <w:t>haemosiderosis</w:t>
      </w:r>
      <w:proofErr w:type="spellEnd"/>
      <w:r w:rsidR="0093634C" w:rsidRPr="00E766DF">
        <w:rPr>
          <w:rFonts w:asciiTheme="minorHAnsi" w:eastAsiaTheme="minorHAnsi" w:hAnsiTheme="minorHAnsi" w:cstheme="minorBidi"/>
          <w:snapToGrid/>
          <w:sz w:val="24"/>
          <w:szCs w:val="22"/>
        </w:rPr>
        <w:t xml:space="preserve">) in adults and paediatric patients 6 years and older. </w:t>
      </w:r>
      <w:proofErr w:type="spellStart"/>
      <w:r w:rsidR="0093634C" w:rsidRPr="00E766DF">
        <w:rPr>
          <w:rFonts w:asciiTheme="minorHAnsi" w:eastAsiaTheme="minorHAnsi" w:hAnsiTheme="minorHAnsi" w:cstheme="minorBidi"/>
          <w:snapToGrid/>
          <w:sz w:val="24"/>
          <w:szCs w:val="22"/>
        </w:rPr>
        <w:t>Jadenu</w:t>
      </w:r>
      <w:proofErr w:type="spellEnd"/>
      <w:r w:rsidR="0093634C" w:rsidRPr="00E766DF">
        <w:rPr>
          <w:rFonts w:asciiTheme="minorHAnsi" w:eastAsiaTheme="minorHAnsi" w:hAnsiTheme="minorHAnsi" w:cstheme="minorBidi"/>
          <w:snapToGrid/>
          <w:sz w:val="24"/>
          <w:szCs w:val="22"/>
        </w:rPr>
        <w:t xml:space="preserve">® is also indicated for the treatment of chronic iron overload in paediatric patients aged 2 to 5 years who are unable to take </w:t>
      </w:r>
      <w:proofErr w:type="spellStart"/>
      <w:r w:rsidR="0093634C" w:rsidRPr="00E766DF">
        <w:rPr>
          <w:rFonts w:asciiTheme="minorHAnsi" w:eastAsiaTheme="minorHAnsi" w:hAnsiTheme="minorHAnsi" w:cstheme="minorBidi"/>
          <w:snapToGrid/>
          <w:sz w:val="24"/>
          <w:szCs w:val="22"/>
        </w:rPr>
        <w:t>desfe</w:t>
      </w:r>
      <w:r w:rsidR="00B223B4" w:rsidRPr="00E766DF">
        <w:rPr>
          <w:rFonts w:asciiTheme="minorHAnsi" w:eastAsiaTheme="minorHAnsi" w:hAnsiTheme="minorHAnsi" w:cstheme="minorBidi"/>
          <w:snapToGrid/>
          <w:sz w:val="24"/>
          <w:szCs w:val="22"/>
        </w:rPr>
        <w:t>rriox</w:t>
      </w:r>
      <w:r w:rsidR="0093634C" w:rsidRPr="00E766DF">
        <w:rPr>
          <w:rFonts w:asciiTheme="minorHAnsi" w:eastAsiaTheme="minorHAnsi" w:hAnsiTheme="minorHAnsi" w:cstheme="minorBidi"/>
          <w:snapToGrid/>
          <w:sz w:val="24"/>
          <w:szCs w:val="22"/>
        </w:rPr>
        <w:t>amine</w:t>
      </w:r>
      <w:proofErr w:type="spellEnd"/>
      <w:r w:rsidR="0093634C" w:rsidRPr="00E766DF">
        <w:rPr>
          <w:rFonts w:asciiTheme="minorHAnsi" w:eastAsiaTheme="minorHAnsi" w:hAnsiTheme="minorHAnsi" w:cstheme="minorBidi"/>
          <w:snapToGrid/>
          <w:sz w:val="24"/>
          <w:szCs w:val="22"/>
        </w:rPr>
        <w:t xml:space="preserve"> therapy or in whom </w:t>
      </w:r>
      <w:proofErr w:type="spellStart"/>
      <w:r w:rsidR="0093634C" w:rsidRPr="00E766DF">
        <w:rPr>
          <w:rFonts w:asciiTheme="minorHAnsi" w:eastAsiaTheme="minorHAnsi" w:hAnsiTheme="minorHAnsi" w:cstheme="minorBidi"/>
          <w:snapToGrid/>
          <w:sz w:val="24"/>
          <w:szCs w:val="22"/>
        </w:rPr>
        <w:t>desferrioxamine</w:t>
      </w:r>
      <w:proofErr w:type="spellEnd"/>
      <w:r w:rsidR="0093634C" w:rsidRPr="00E766DF">
        <w:rPr>
          <w:rFonts w:asciiTheme="minorHAnsi" w:eastAsiaTheme="minorHAnsi" w:hAnsiTheme="minorHAnsi" w:cstheme="minorBidi"/>
          <w:snapToGrid/>
          <w:sz w:val="24"/>
          <w:szCs w:val="22"/>
        </w:rPr>
        <w:t xml:space="preserve"> has proven ineffective</w:t>
      </w:r>
      <w:r w:rsidR="00B223B4" w:rsidRPr="00E766DF">
        <w:rPr>
          <w:rFonts w:asciiTheme="minorHAnsi" w:eastAsiaTheme="minorHAnsi" w:hAnsiTheme="minorHAnsi" w:cstheme="minorBidi"/>
          <w:snapToGrid/>
          <w:sz w:val="24"/>
          <w:szCs w:val="22"/>
        </w:rPr>
        <w:t xml:space="preserve">. </w:t>
      </w:r>
      <w:proofErr w:type="spellStart"/>
      <w:r w:rsidR="00B223B4" w:rsidRPr="00E766DF">
        <w:rPr>
          <w:rFonts w:asciiTheme="minorHAnsi" w:eastAsiaTheme="minorHAnsi" w:hAnsiTheme="minorHAnsi" w:cstheme="minorBidi"/>
          <w:snapToGrid/>
          <w:sz w:val="24"/>
          <w:szCs w:val="22"/>
        </w:rPr>
        <w:t>Jadenu</w:t>
      </w:r>
      <w:proofErr w:type="spellEnd"/>
      <w:r w:rsidR="00B223B4" w:rsidRPr="00E766DF">
        <w:rPr>
          <w:rFonts w:asciiTheme="minorHAnsi" w:eastAsiaTheme="minorHAnsi" w:hAnsiTheme="minorHAnsi" w:cstheme="minorBidi"/>
          <w:snapToGrid/>
          <w:sz w:val="24"/>
          <w:szCs w:val="22"/>
        </w:rPr>
        <w:t>® is also indicated for the treatment of chronic iron overload in patients with non-transfusion-dependent thalassemia syn</w:t>
      </w:r>
      <w:r w:rsidRPr="00E766DF">
        <w:rPr>
          <w:rFonts w:asciiTheme="minorHAnsi" w:eastAsiaTheme="minorHAnsi" w:hAnsiTheme="minorHAnsi" w:cstheme="minorBidi"/>
          <w:snapToGrid/>
          <w:sz w:val="24"/>
          <w:szCs w:val="22"/>
        </w:rPr>
        <w:t>dromes aged 10 years and older.”</w:t>
      </w:r>
    </w:p>
    <w:p w:rsidR="00752E97" w:rsidRPr="00E766DF" w:rsidRDefault="00B223B4"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TGA indication </w:t>
      </w:r>
      <w:r w:rsidR="00B2183C" w:rsidRPr="00E766DF">
        <w:rPr>
          <w:rFonts w:asciiTheme="minorHAnsi" w:eastAsiaTheme="minorHAnsi" w:hAnsiTheme="minorHAnsi" w:cstheme="minorBidi"/>
          <w:snapToGrid/>
          <w:sz w:val="24"/>
          <w:szCs w:val="22"/>
        </w:rPr>
        <w:t xml:space="preserve">for the film coated tablets </w:t>
      </w:r>
      <w:r w:rsidRPr="00E766DF">
        <w:rPr>
          <w:rFonts w:asciiTheme="minorHAnsi" w:eastAsiaTheme="minorHAnsi" w:hAnsiTheme="minorHAnsi" w:cstheme="minorBidi"/>
          <w:snapToGrid/>
          <w:sz w:val="24"/>
          <w:szCs w:val="22"/>
        </w:rPr>
        <w:t xml:space="preserve">is </w:t>
      </w:r>
      <w:r w:rsidR="004F456B" w:rsidRPr="00E766DF">
        <w:rPr>
          <w:rFonts w:asciiTheme="minorHAnsi" w:eastAsiaTheme="minorHAnsi" w:hAnsiTheme="minorHAnsi" w:cstheme="minorBidi"/>
          <w:snapToGrid/>
          <w:sz w:val="24"/>
          <w:szCs w:val="22"/>
        </w:rPr>
        <w:t>the same as</w:t>
      </w:r>
      <w:r w:rsidRPr="00E766DF">
        <w:rPr>
          <w:rFonts w:asciiTheme="minorHAnsi" w:eastAsiaTheme="minorHAnsi" w:hAnsiTheme="minorHAnsi" w:cstheme="minorBidi"/>
          <w:snapToGrid/>
          <w:sz w:val="24"/>
          <w:szCs w:val="22"/>
        </w:rPr>
        <w:t xml:space="preserve"> deferasirox dispersible tablets.</w:t>
      </w:r>
    </w:p>
    <w:p w:rsidR="00681A52" w:rsidRPr="00E766DF" w:rsidRDefault="002819E2"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w:t>
      </w:r>
      <w:r w:rsidR="004F456B" w:rsidRPr="00E766DF">
        <w:rPr>
          <w:rFonts w:asciiTheme="minorHAnsi" w:eastAsiaTheme="minorHAnsi" w:hAnsiTheme="minorHAnsi" w:cstheme="minorBidi"/>
          <w:snapToGrid/>
          <w:sz w:val="24"/>
          <w:szCs w:val="22"/>
        </w:rPr>
        <w:t xml:space="preserve"> their consideration of the TGA application for the film coated tablets the TGA Delegate considered that t</w:t>
      </w:r>
      <w:r w:rsidR="00681A52" w:rsidRPr="00E766DF">
        <w:rPr>
          <w:rFonts w:asciiTheme="minorHAnsi" w:eastAsiaTheme="minorHAnsi" w:hAnsiTheme="minorHAnsi" w:cstheme="minorBidi"/>
          <w:snapToGrid/>
          <w:sz w:val="24"/>
          <w:szCs w:val="22"/>
        </w:rPr>
        <w:t xml:space="preserve">he film coated tablet formulation </w:t>
      </w:r>
      <w:r w:rsidR="004F456B" w:rsidRPr="00E766DF">
        <w:rPr>
          <w:rFonts w:asciiTheme="minorHAnsi" w:eastAsiaTheme="minorHAnsi" w:hAnsiTheme="minorHAnsi" w:cstheme="minorBidi"/>
          <w:snapToGrid/>
          <w:sz w:val="24"/>
          <w:szCs w:val="22"/>
        </w:rPr>
        <w:t>was</w:t>
      </w:r>
      <w:r w:rsidR="00BB0B3A" w:rsidRPr="00E766DF">
        <w:rPr>
          <w:rFonts w:asciiTheme="minorHAnsi" w:eastAsiaTheme="minorHAnsi" w:hAnsiTheme="minorHAnsi" w:cstheme="minorBidi"/>
          <w:snapToGrid/>
          <w:sz w:val="24"/>
          <w:szCs w:val="22"/>
        </w:rPr>
        <w:t xml:space="preserve"> </w:t>
      </w:r>
      <w:proofErr w:type="spellStart"/>
      <w:r w:rsidR="00BB0B3A" w:rsidRPr="00E766DF">
        <w:rPr>
          <w:rFonts w:asciiTheme="minorHAnsi" w:eastAsiaTheme="minorHAnsi" w:hAnsiTheme="minorHAnsi" w:cstheme="minorBidi"/>
          <w:snapToGrid/>
          <w:sz w:val="24"/>
          <w:szCs w:val="22"/>
        </w:rPr>
        <w:t>biocomparable</w:t>
      </w:r>
      <w:proofErr w:type="spellEnd"/>
      <w:r w:rsidR="00BB0B3A" w:rsidRPr="00E766DF">
        <w:rPr>
          <w:rFonts w:asciiTheme="minorHAnsi" w:eastAsiaTheme="minorHAnsi" w:hAnsiTheme="minorHAnsi" w:cstheme="minorBidi"/>
          <w:snapToGrid/>
          <w:sz w:val="24"/>
          <w:szCs w:val="22"/>
        </w:rPr>
        <w:t xml:space="preserve"> to the dispersible tablet formulation. The </w:t>
      </w:r>
      <w:r w:rsidR="004F456B" w:rsidRPr="00E766DF">
        <w:rPr>
          <w:rFonts w:asciiTheme="minorHAnsi" w:eastAsiaTheme="minorHAnsi" w:hAnsiTheme="minorHAnsi" w:cstheme="minorBidi"/>
          <w:snapToGrid/>
          <w:sz w:val="24"/>
          <w:szCs w:val="22"/>
        </w:rPr>
        <w:t xml:space="preserve">Delegate noted that the </w:t>
      </w:r>
      <w:r w:rsidR="00BB0B3A" w:rsidRPr="00E766DF">
        <w:rPr>
          <w:rFonts w:asciiTheme="minorHAnsi" w:eastAsiaTheme="minorHAnsi" w:hAnsiTheme="minorHAnsi" w:cstheme="minorBidi"/>
          <w:snapToGrid/>
          <w:sz w:val="24"/>
          <w:szCs w:val="22"/>
        </w:rPr>
        <w:t>film coated tablets had a higher bioavailability than the dispersible tablets; therefore, the formulations could not</w:t>
      </w:r>
      <w:r w:rsidR="00681A52" w:rsidRPr="00E766DF">
        <w:rPr>
          <w:rFonts w:asciiTheme="minorHAnsi" w:eastAsiaTheme="minorHAnsi" w:hAnsiTheme="minorHAnsi" w:cstheme="minorBidi"/>
          <w:snapToGrid/>
          <w:sz w:val="24"/>
          <w:szCs w:val="22"/>
        </w:rPr>
        <w:t xml:space="preserve"> be considered bioequivalent</w:t>
      </w:r>
      <w:r w:rsidR="00BB0B3A" w:rsidRPr="00E766DF">
        <w:rPr>
          <w:rFonts w:asciiTheme="minorHAnsi" w:eastAsiaTheme="minorHAnsi" w:hAnsiTheme="minorHAnsi" w:cstheme="minorBidi"/>
          <w:snapToGrid/>
          <w:sz w:val="24"/>
          <w:szCs w:val="22"/>
        </w:rPr>
        <w:t xml:space="preserve">. </w:t>
      </w:r>
      <w:r w:rsidR="00681A52" w:rsidRPr="00E766DF">
        <w:rPr>
          <w:rFonts w:asciiTheme="minorHAnsi" w:eastAsiaTheme="minorHAnsi" w:hAnsiTheme="minorHAnsi" w:cstheme="minorBidi"/>
          <w:snapToGrid/>
          <w:sz w:val="24"/>
          <w:szCs w:val="22"/>
        </w:rPr>
        <w:t xml:space="preserve"> </w:t>
      </w:r>
      <w:r w:rsidR="00A53F79" w:rsidRPr="00E766DF">
        <w:rPr>
          <w:rFonts w:asciiTheme="minorHAnsi" w:eastAsiaTheme="minorHAnsi" w:hAnsiTheme="minorHAnsi" w:cstheme="minorBidi"/>
          <w:snapToGrid/>
          <w:sz w:val="24"/>
          <w:szCs w:val="22"/>
        </w:rPr>
        <w:t>Although the area under the curve (AUC) of the film coated tablet was equivalent to that of the dispersible tablet using the reference bioequivalence criteria of 80% to 125%, the peak concentration (</w:t>
      </w:r>
      <w:proofErr w:type="spellStart"/>
      <w:r w:rsidR="00A53F79" w:rsidRPr="00E766DF">
        <w:rPr>
          <w:rFonts w:asciiTheme="minorHAnsi" w:eastAsiaTheme="minorHAnsi" w:hAnsiTheme="minorHAnsi" w:cstheme="minorBidi"/>
          <w:snapToGrid/>
          <w:sz w:val="24"/>
          <w:szCs w:val="22"/>
        </w:rPr>
        <w:t>C</w:t>
      </w:r>
      <w:r w:rsidR="00A53F79" w:rsidRPr="00E766DF">
        <w:rPr>
          <w:rFonts w:asciiTheme="minorHAnsi" w:eastAsiaTheme="minorHAnsi" w:hAnsiTheme="minorHAnsi" w:cstheme="minorBidi"/>
          <w:snapToGrid/>
          <w:sz w:val="24"/>
          <w:szCs w:val="22"/>
          <w:vertAlign w:val="subscript"/>
        </w:rPr>
        <w:t>max</w:t>
      </w:r>
      <w:proofErr w:type="spellEnd"/>
      <w:r w:rsidR="00A53F79" w:rsidRPr="00E766DF">
        <w:rPr>
          <w:rFonts w:asciiTheme="minorHAnsi" w:eastAsiaTheme="minorHAnsi" w:hAnsiTheme="minorHAnsi" w:cstheme="minorBidi"/>
          <w:snapToGrid/>
          <w:sz w:val="24"/>
          <w:szCs w:val="22"/>
        </w:rPr>
        <w:t xml:space="preserve">) of the film coated tablet was 30% higher than that of the dispersible tablet, with the 90% </w:t>
      </w:r>
      <w:r w:rsidR="00F31965" w:rsidRPr="00E766DF">
        <w:rPr>
          <w:rFonts w:asciiTheme="minorHAnsi" w:eastAsiaTheme="minorHAnsi" w:hAnsiTheme="minorHAnsi" w:cstheme="minorBidi"/>
          <w:snapToGrid/>
          <w:sz w:val="24"/>
          <w:szCs w:val="22"/>
        </w:rPr>
        <w:t>c</w:t>
      </w:r>
      <w:r w:rsidR="00A53F79" w:rsidRPr="00E766DF">
        <w:rPr>
          <w:rFonts w:asciiTheme="minorHAnsi" w:eastAsiaTheme="minorHAnsi" w:hAnsiTheme="minorHAnsi" w:cstheme="minorBidi"/>
          <w:snapToGrid/>
          <w:sz w:val="24"/>
          <w:szCs w:val="22"/>
        </w:rPr>
        <w:t>onfidence interval (CI) being out of the reference range.</w:t>
      </w:r>
      <w:r w:rsidR="00DD261C" w:rsidRPr="00E766DF">
        <w:rPr>
          <w:rFonts w:asciiTheme="minorHAnsi" w:eastAsiaTheme="minorHAnsi" w:hAnsiTheme="minorHAnsi" w:cstheme="minorBidi"/>
          <w:snapToGrid/>
          <w:sz w:val="24"/>
          <w:szCs w:val="22"/>
        </w:rPr>
        <w:t xml:space="preserve"> The PBAC considered that the film coated tablets were </w:t>
      </w:r>
      <w:proofErr w:type="spellStart"/>
      <w:r w:rsidR="00DD261C" w:rsidRPr="00E766DF">
        <w:rPr>
          <w:rFonts w:asciiTheme="minorHAnsi" w:eastAsiaTheme="minorHAnsi" w:hAnsiTheme="minorHAnsi" w:cstheme="minorBidi"/>
          <w:snapToGrid/>
          <w:sz w:val="24"/>
          <w:szCs w:val="22"/>
        </w:rPr>
        <w:t>biocomparable</w:t>
      </w:r>
      <w:proofErr w:type="spellEnd"/>
      <w:r w:rsidR="00DD261C" w:rsidRPr="00E766DF">
        <w:rPr>
          <w:rFonts w:asciiTheme="minorHAnsi" w:eastAsiaTheme="minorHAnsi" w:hAnsiTheme="minorHAnsi" w:cstheme="minorBidi"/>
          <w:snapToGrid/>
          <w:sz w:val="24"/>
          <w:szCs w:val="22"/>
        </w:rPr>
        <w:t xml:space="preserve"> to the dispersible tablet formulation. </w:t>
      </w:r>
    </w:p>
    <w:p w:rsidR="00F31965" w:rsidRPr="00E766DF" w:rsidRDefault="00F31965"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w:t>
      </w:r>
      <w:r w:rsidR="00B71C6C" w:rsidRPr="00E766DF">
        <w:rPr>
          <w:rFonts w:asciiTheme="minorHAnsi" w:eastAsiaTheme="minorHAnsi" w:hAnsiTheme="minorHAnsi" w:cstheme="minorBidi"/>
          <w:snapToGrid/>
          <w:sz w:val="24"/>
          <w:szCs w:val="22"/>
        </w:rPr>
        <w:t xml:space="preserve">TGA </w:t>
      </w:r>
      <w:r w:rsidR="004F456B" w:rsidRPr="00E766DF">
        <w:rPr>
          <w:rFonts w:asciiTheme="minorHAnsi" w:eastAsiaTheme="minorHAnsi" w:hAnsiTheme="minorHAnsi" w:cstheme="minorBidi"/>
          <w:snapToGrid/>
          <w:sz w:val="24"/>
          <w:szCs w:val="22"/>
        </w:rPr>
        <w:t xml:space="preserve">Delegate was of the view that the </w:t>
      </w:r>
      <w:r w:rsidRPr="00E766DF">
        <w:rPr>
          <w:rFonts w:asciiTheme="minorHAnsi" w:eastAsiaTheme="minorHAnsi" w:hAnsiTheme="minorHAnsi" w:cstheme="minorBidi"/>
          <w:snapToGrid/>
          <w:sz w:val="24"/>
          <w:szCs w:val="22"/>
        </w:rPr>
        <w:t xml:space="preserve">overall benefit/risk balance for the film coated tablet formulation of deferasirox was positive. </w:t>
      </w:r>
    </w:p>
    <w:p w:rsidR="00BE78B1" w:rsidRPr="00E766DF" w:rsidRDefault="0038339A"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lastRenderedPageBreak/>
        <w:t>T</w:t>
      </w:r>
      <w:r w:rsidR="00CF3C0A" w:rsidRPr="00E766DF">
        <w:rPr>
          <w:rFonts w:asciiTheme="minorHAnsi" w:eastAsiaTheme="minorHAnsi" w:hAnsiTheme="minorHAnsi" w:cstheme="minorBidi"/>
          <w:snapToGrid/>
          <w:sz w:val="24"/>
          <w:szCs w:val="22"/>
        </w:rPr>
        <w:t xml:space="preserve">he </w:t>
      </w:r>
      <w:r w:rsidR="004F456B" w:rsidRPr="00E766DF">
        <w:rPr>
          <w:rFonts w:asciiTheme="minorHAnsi" w:eastAsiaTheme="minorHAnsi" w:hAnsiTheme="minorHAnsi" w:cstheme="minorBidi"/>
          <w:snapToGrid/>
          <w:sz w:val="24"/>
          <w:szCs w:val="22"/>
        </w:rPr>
        <w:t>table below summarises the differences between the current dispersible tablet and the new film coated tablet.</w:t>
      </w:r>
    </w:p>
    <w:p w:rsidR="00BE78B1" w:rsidRPr="00AD55C5" w:rsidRDefault="00C33442" w:rsidP="00AD55C5">
      <w:pPr>
        <w:pStyle w:val="BodyText2"/>
        <w:spacing w:after="60"/>
        <w:rPr>
          <w:rStyle w:val="CommentReference"/>
          <w:rFonts w:ascii="Arial Narrow" w:eastAsiaTheme="minorHAnsi" w:hAnsi="Arial Narrow"/>
          <w:b/>
          <w:snapToGrid/>
          <w:sz w:val="20"/>
          <w:szCs w:val="20"/>
          <w:lang w:eastAsia="en-AU"/>
        </w:rPr>
      </w:pPr>
      <w:r w:rsidRPr="00AD55C5">
        <w:rPr>
          <w:rStyle w:val="CommentReference"/>
          <w:rFonts w:ascii="Arial Narrow" w:eastAsiaTheme="minorHAnsi" w:hAnsi="Arial Narrow"/>
          <w:b/>
          <w:snapToGrid/>
          <w:sz w:val="20"/>
          <w:szCs w:val="20"/>
          <w:lang w:eastAsia="en-AU"/>
        </w:rPr>
        <w:t xml:space="preserve">Table 1: </w:t>
      </w:r>
      <w:r w:rsidR="00C8612A" w:rsidRPr="00AD55C5">
        <w:rPr>
          <w:rStyle w:val="CommentReference"/>
          <w:rFonts w:ascii="Arial Narrow" w:eastAsiaTheme="minorHAnsi" w:hAnsi="Arial Narrow"/>
          <w:b/>
          <w:snapToGrid/>
          <w:sz w:val="20"/>
          <w:szCs w:val="20"/>
          <w:lang w:eastAsia="en-AU"/>
        </w:rPr>
        <w:t>Key differences between the deferasirox dispersible tablets and the film coated tablets</w:t>
      </w:r>
    </w:p>
    <w:tbl>
      <w:tblPr>
        <w:tblStyle w:val="TableGrid"/>
        <w:tblW w:w="0" w:type="auto"/>
        <w:tblInd w:w="108" w:type="dxa"/>
        <w:tblLook w:val="04A0" w:firstRow="1" w:lastRow="0" w:firstColumn="1" w:lastColumn="0" w:noHBand="0" w:noVBand="1"/>
        <w:tblCaption w:val="Table 1: Key differences between the deferasirox dispersible tablets and the film coated tablets"/>
      </w:tblPr>
      <w:tblGrid>
        <w:gridCol w:w="1701"/>
        <w:gridCol w:w="3544"/>
        <w:gridCol w:w="3889"/>
      </w:tblGrid>
      <w:tr w:rsidR="00BE78B1" w:rsidRPr="00E766DF" w:rsidTr="00B2183C">
        <w:trPr>
          <w:cantSplit/>
          <w:tblHeader/>
        </w:trPr>
        <w:tc>
          <w:tcPr>
            <w:tcW w:w="1701" w:type="dxa"/>
          </w:tcPr>
          <w:p w:rsidR="00BE78B1" w:rsidRPr="00E766DF" w:rsidRDefault="00BE78B1" w:rsidP="00FD6C09">
            <w:pPr>
              <w:pStyle w:val="PBACHeading1"/>
              <w:keepNext/>
              <w:numPr>
                <w:ilvl w:val="0"/>
                <w:numId w:val="0"/>
              </w:numPr>
              <w:rPr>
                <w:rFonts w:ascii="Arial Narrow" w:eastAsiaTheme="minorHAnsi" w:hAnsi="Arial Narrow"/>
                <w:snapToGrid/>
                <w:sz w:val="20"/>
                <w:szCs w:val="20"/>
              </w:rPr>
            </w:pPr>
          </w:p>
        </w:tc>
        <w:tc>
          <w:tcPr>
            <w:tcW w:w="3544" w:type="dxa"/>
          </w:tcPr>
          <w:p w:rsidR="00BE78B1" w:rsidRPr="00E766DF" w:rsidRDefault="00BE78B1" w:rsidP="00FD6C09">
            <w:pPr>
              <w:pStyle w:val="PBACHeading1"/>
              <w:keepNext/>
              <w:numPr>
                <w:ilvl w:val="0"/>
                <w:numId w:val="0"/>
              </w:numPr>
              <w:rPr>
                <w:rFonts w:ascii="Arial Narrow" w:eastAsiaTheme="minorHAnsi" w:hAnsi="Arial Narrow"/>
                <w:snapToGrid/>
                <w:sz w:val="20"/>
                <w:szCs w:val="20"/>
              </w:rPr>
            </w:pPr>
            <w:r w:rsidRPr="00E766DF">
              <w:rPr>
                <w:rFonts w:ascii="Arial Narrow" w:eastAsiaTheme="minorHAnsi" w:hAnsi="Arial Narrow"/>
                <w:snapToGrid/>
                <w:sz w:val="20"/>
                <w:szCs w:val="20"/>
              </w:rPr>
              <w:t>Dispersible tablets</w:t>
            </w:r>
          </w:p>
        </w:tc>
        <w:tc>
          <w:tcPr>
            <w:tcW w:w="3889" w:type="dxa"/>
          </w:tcPr>
          <w:p w:rsidR="00BE78B1" w:rsidRPr="00E766DF" w:rsidRDefault="00BE78B1" w:rsidP="00FD6C09">
            <w:pPr>
              <w:pStyle w:val="PBACHeading1"/>
              <w:keepNext/>
              <w:numPr>
                <w:ilvl w:val="0"/>
                <w:numId w:val="0"/>
              </w:numPr>
              <w:rPr>
                <w:rFonts w:ascii="Arial Narrow" w:eastAsiaTheme="minorHAnsi" w:hAnsi="Arial Narrow"/>
                <w:snapToGrid/>
                <w:sz w:val="20"/>
                <w:szCs w:val="20"/>
              </w:rPr>
            </w:pPr>
            <w:r w:rsidRPr="00E766DF">
              <w:rPr>
                <w:rFonts w:ascii="Arial Narrow" w:eastAsiaTheme="minorHAnsi" w:hAnsi="Arial Narrow"/>
                <w:snapToGrid/>
                <w:sz w:val="20"/>
                <w:szCs w:val="20"/>
              </w:rPr>
              <w:t>Film coated tablets</w:t>
            </w:r>
          </w:p>
        </w:tc>
      </w:tr>
      <w:tr w:rsidR="00BE78B1" w:rsidRPr="00E766DF" w:rsidTr="00B2183C">
        <w:trPr>
          <w:cantSplit/>
        </w:trPr>
        <w:tc>
          <w:tcPr>
            <w:tcW w:w="1701"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Strength</w:t>
            </w:r>
          </w:p>
        </w:tc>
        <w:tc>
          <w:tcPr>
            <w:tcW w:w="3544" w:type="dxa"/>
          </w:tcPr>
          <w:p w:rsidR="00BE78B1" w:rsidRPr="00E766DF" w:rsidRDefault="00BE78B1" w:rsidP="009F49B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125 mg</w:t>
            </w:r>
            <w:r w:rsidR="009F49B9" w:rsidRPr="00E766DF">
              <w:rPr>
                <w:rFonts w:ascii="Arial Narrow" w:eastAsiaTheme="minorHAnsi" w:hAnsi="Arial Narrow"/>
                <w:b w:val="0"/>
                <w:snapToGrid/>
                <w:sz w:val="20"/>
                <w:szCs w:val="20"/>
              </w:rPr>
              <w:t xml:space="preserve">; </w:t>
            </w:r>
            <w:r w:rsidRPr="00E766DF">
              <w:rPr>
                <w:rFonts w:ascii="Arial Narrow" w:eastAsiaTheme="minorHAnsi" w:hAnsi="Arial Narrow"/>
                <w:b w:val="0"/>
                <w:snapToGrid/>
                <w:sz w:val="20"/>
                <w:szCs w:val="20"/>
              </w:rPr>
              <w:t>250 mg</w:t>
            </w:r>
            <w:r w:rsidR="009F49B9" w:rsidRPr="00E766DF">
              <w:rPr>
                <w:rFonts w:ascii="Arial Narrow" w:eastAsiaTheme="minorHAnsi" w:hAnsi="Arial Narrow"/>
                <w:b w:val="0"/>
                <w:snapToGrid/>
                <w:sz w:val="20"/>
                <w:szCs w:val="20"/>
              </w:rPr>
              <w:t xml:space="preserve">; </w:t>
            </w:r>
            <w:r w:rsidRPr="00E766DF">
              <w:rPr>
                <w:rFonts w:ascii="Arial Narrow" w:eastAsiaTheme="minorHAnsi" w:hAnsi="Arial Narrow"/>
                <w:b w:val="0"/>
                <w:snapToGrid/>
                <w:sz w:val="20"/>
                <w:szCs w:val="20"/>
              </w:rPr>
              <w:t>500mg</w:t>
            </w:r>
          </w:p>
        </w:tc>
        <w:tc>
          <w:tcPr>
            <w:tcW w:w="3889" w:type="dxa"/>
          </w:tcPr>
          <w:p w:rsidR="00BE78B1" w:rsidRPr="00E766DF" w:rsidRDefault="00BE78B1" w:rsidP="009F49B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90 mg</w:t>
            </w:r>
            <w:r w:rsidR="009F49B9" w:rsidRPr="00E766DF">
              <w:rPr>
                <w:rFonts w:ascii="Arial Narrow" w:eastAsiaTheme="minorHAnsi" w:hAnsi="Arial Narrow"/>
                <w:b w:val="0"/>
                <w:snapToGrid/>
                <w:sz w:val="20"/>
                <w:szCs w:val="20"/>
              </w:rPr>
              <w:t xml:space="preserve">; </w:t>
            </w:r>
            <w:r w:rsidRPr="00E766DF">
              <w:rPr>
                <w:rFonts w:ascii="Arial Narrow" w:eastAsiaTheme="minorHAnsi" w:hAnsi="Arial Narrow"/>
                <w:b w:val="0"/>
                <w:snapToGrid/>
                <w:sz w:val="20"/>
                <w:szCs w:val="20"/>
              </w:rPr>
              <w:t>180 mg</w:t>
            </w:r>
            <w:r w:rsidR="009F49B9" w:rsidRPr="00E766DF">
              <w:rPr>
                <w:rFonts w:ascii="Arial Narrow" w:eastAsiaTheme="minorHAnsi" w:hAnsi="Arial Narrow"/>
                <w:b w:val="0"/>
                <w:snapToGrid/>
                <w:sz w:val="20"/>
                <w:szCs w:val="20"/>
              </w:rPr>
              <w:t xml:space="preserve">; </w:t>
            </w:r>
            <w:r w:rsidRPr="00E766DF">
              <w:rPr>
                <w:rFonts w:ascii="Arial Narrow" w:eastAsiaTheme="minorHAnsi" w:hAnsi="Arial Narrow"/>
                <w:b w:val="0"/>
                <w:snapToGrid/>
                <w:sz w:val="20"/>
                <w:szCs w:val="20"/>
              </w:rPr>
              <w:t>360 mg</w:t>
            </w:r>
          </w:p>
        </w:tc>
      </w:tr>
      <w:tr w:rsidR="00BE78B1" w:rsidRPr="00E766DF" w:rsidTr="00B2183C">
        <w:trPr>
          <w:cantSplit/>
        </w:trPr>
        <w:tc>
          <w:tcPr>
            <w:tcW w:w="1701"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Administration</w:t>
            </w:r>
          </w:p>
        </w:tc>
        <w:tc>
          <w:tcPr>
            <w:tcW w:w="3544" w:type="dxa"/>
          </w:tcPr>
          <w:p w:rsidR="00BE78B1" w:rsidRPr="00E766DF" w:rsidRDefault="00BE78B1" w:rsidP="00B2183C">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Once daily on an empty stomach, ≥ 30 minutes before a meal;</w:t>
            </w:r>
          </w:p>
          <w:p w:rsidR="00BE78B1" w:rsidRPr="00E766DF" w:rsidRDefault="00B2183C"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 xml:space="preserve">Dispersed in water or </w:t>
            </w:r>
            <w:r w:rsidR="00BE78B1" w:rsidRPr="00E766DF">
              <w:rPr>
                <w:rFonts w:ascii="Arial Narrow" w:eastAsiaTheme="minorHAnsi" w:hAnsi="Arial Narrow"/>
                <w:b w:val="0"/>
                <w:snapToGrid/>
                <w:sz w:val="20"/>
                <w:szCs w:val="20"/>
              </w:rPr>
              <w:t>orange or apple juice;</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Consume suspension</w:t>
            </w:r>
            <w:r w:rsidR="00B2183C" w:rsidRPr="00E766DF">
              <w:rPr>
                <w:rFonts w:ascii="Arial Narrow" w:eastAsiaTheme="minorHAnsi" w:hAnsi="Arial Narrow"/>
                <w:b w:val="0"/>
                <w:snapToGrid/>
                <w:sz w:val="20"/>
                <w:szCs w:val="20"/>
              </w:rPr>
              <w:t>,</w:t>
            </w:r>
            <w:r w:rsidRPr="00E766DF">
              <w:rPr>
                <w:rFonts w:ascii="Arial Narrow" w:eastAsiaTheme="minorHAnsi" w:hAnsi="Arial Narrow"/>
                <w:b w:val="0"/>
                <w:snapToGrid/>
                <w:sz w:val="20"/>
                <w:szCs w:val="20"/>
              </w:rPr>
              <w:t xml:space="preserve"> resuspend residue and consume;</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Do not chew or swallow whole.</w:t>
            </w:r>
          </w:p>
        </w:tc>
        <w:tc>
          <w:tcPr>
            <w:tcW w:w="3889"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Once daily on an empty stomach or with a  light meal (&lt; 7% fat; approx. 250 calories);</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Swallow whole or crush and m</w:t>
            </w:r>
            <w:r w:rsidR="00B2183C" w:rsidRPr="00E766DF">
              <w:rPr>
                <w:rFonts w:ascii="Arial Narrow" w:eastAsiaTheme="minorHAnsi" w:hAnsi="Arial Narrow"/>
                <w:b w:val="0"/>
                <w:snapToGrid/>
                <w:sz w:val="20"/>
                <w:szCs w:val="20"/>
              </w:rPr>
              <w:t>ix with soft food, e.g. yoghurt or</w:t>
            </w:r>
            <w:r w:rsidRPr="00E766DF">
              <w:rPr>
                <w:rFonts w:ascii="Arial Narrow" w:eastAsiaTheme="minorHAnsi" w:hAnsi="Arial Narrow"/>
                <w:b w:val="0"/>
                <w:snapToGrid/>
                <w:sz w:val="20"/>
                <w:szCs w:val="20"/>
              </w:rPr>
              <w:t xml:space="preserve"> apple sauce.</w:t>
            </w:r>
          </w:p>
        </w:tc>
      </w:tr>
      <w:tr w:rsidR="00BE78B1" w:rsidRPr="00E766DF" w:rsidTr="00B2183C">
        <w:trPr>
          <w:cantSplit/>
        </w:trPr>
        <w:tc>
          <w:tcPr>
            <w:tcW w:w="1701"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Starting dose</w:t>
            </w:r>
          </w:p>
        </w:tc>
        <w:tc>
          <w:tcPr>
            <w:tcW w:w="3544"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TDIO: 20 mg/kg/day</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NTDT: 10 mg/kg/day</w:t>
            </w:r>
          </w:p>
        </w:tc>
        <w:tc>
          <w:tcPr>
            <w:tcW w:w="3889"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TDIO: 14 mg/kg/day</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NTDT: 7 mg/kg/day</w:t>
            </w:r>
          </w:p>
        </w:tc>
      </w:tr>
      <w:tr w:rsidR="00BE78B1" w:rsidRPr="00E766DF" w:rsidTr="00B2183C">
        <w:trPr>
          <w:cantSplit/>
        </w:trPr>
        <w:tc>
          <w:tcPr>
            <w:tcW w:w="1701"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Titration increments</w:t>
            </w:r>
          </w:p>
        </w:tc>
        <w:tc>
          <w:tcPr>
            <w:tcW w:w="3544"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TDIO: 5-10 mg/kg/day</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NTDT: 5-10 mg/kg/day</w:t>
            </w:r>
          </w:p>
        </w:tc>
        <w:tc>
          <w:tcPr>
            <w:tcW w:w="3889"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TDIO: 3.5-7 mg/kg/day</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NTDT: 3.5-7 mg/kg/day</w:t>
            </w:r>
          </w:p>
        </w:tc>
      </w:tr>
      <w:tr w:rsidR="00BE78B1" w:rsidRPr="00E766DF" w:rsidTr="00B2183C">
        <w:trPr>
          <w:cantSplit/>
        </w:trPr>
        <w:tc>
          <w:tcPr>
            <w:tcW w:w="1701"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Maximum dose</w:t>
            </w:r>
          </w:p>
        </w:tc>
        <w:tc>
          <w:tcPr>
            <w:tcW w:w="3544"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TDIO: 40 mg/kg/day</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NTDT: 20 mg/kg/day</w:t>
            </w:r>
          </w:p>
        </w:tc>
        <w:tc>
          <w:tcPr>
            <w:tcW w:w="3889" w:type="dxa"/>
          </w:tcPr>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TDIO: 28 mg/kg/day</w:t>
            </w:r>
          </w:p>
          <w:p w:rsidR="00BE78B1" w:rsidRPr="00E766DF" w:rsidRDefault="00BE78B1" w:rsidP="00FD6C09">
            <w:pPr>
              <w:pStyle w:val="PBACHeading1"/>
              <w:keepNext/>
              <w:numPr>
                <w:ilvl w:val="0"/>
                <w:numId w:val="0"/>
              </w:numPr>
              <w:rPr>
                <w:rFonts w:ascii="Arial Narrow" w:eastAsiaTheme="minorHAnsi" w:hAnsi="Arial Narrow"/>
                <w:b w:val="0"/>
                <w:snapToGrid/>
                <w:sz w:val="20"/>
                <w:szCs w:val="20"/>
              </w:rPr>
            </w:pPr>
            <w:r w:rsidRPr="00E766DF">
              <w:rPr>
                <w:rFonts w:ascii="Arial Narrow" w:eastAsiaTheme="minorHAnsi" w:hAnsi="Arial Narrow"/>
                <w:b w:val="0"/>
                <w:snapToGrid/>
                <w:sz w:val="20"/>
                <w:szCs w:val="20"/>
              </w:rPr>
              <w:t>NTDT: 14 mg/kg/day</w:t>
            </w:r>
          </w:p>
        </w:tc>
      </w:tr>
    </w:tbl>
    <w:p w:rsidR="00C8612A" w:rsidRPr="00E766DF" w:rsidRDefault="00C8612A" w:rsidP="00274034">
      <w:pPr>
        <w:pStyle w:val="tablenotes"/>
        <w:rPr>
          <w:rFonts w:ascii="Arial Narrow" w:eastAsiaTheme="minorHAnsi" w:hAnsi="Arial Narrow"/>
          <w:snapToGrid/>
          <w:sz w:val="18"/>
          <w:szCs w:val="18"/>
        </w:rPr>
      </w:pPr>
      <w:r w:rsidRPr="00E766DF">
        <w:rPr>
          <w:rFonts w:ascii="Arial Narrow" w:eastAsiaTheme="minorHAnsi" w:hAnsi="Arial Narrow"/>
          <w:snapToGrid/>
          <w:sz w:val="18"/>
          <w:szCs w:val="18"/>
        </w:rPr>
        <w:t>Source: Table 1, p6 of the submission</w:t>
      </w:r>
      <w:r w:rsidR="00BE78B1" w:rsidRPr="00E766DF">
        <w:rPr>
          <w:rFonts w:ascii="Arial Narrow" w:eastAsiaTheme="minorHAnsi" w:hAnsi="Arial Narrow"/>
          <w:snapToGrid/>
          <w:sz w:val="18"/>
          <w:szCs w:val="18"/>
        </w:rPr>
        <w:tab/>
      </w:r>
    </w:p>
    <w:p w:rsidR="00B71C6C" w:rsidRPr="00E766DF" w:rsidRDefault="00BE78B1" w:rsidP="00274034">
      <w:pPr>
        <w:pStyle w:val="tablenotes"/>
        <w:rPr>
          <w:rFonts w:ascii="Arial Narrow" w:eastAsiaTheme="minorHAnsi" w:hAnsi="Arial Narrow"/>
          <w:snapToGrid/>
          <w:sz w:val="18"/>
          <w:szCs w:val="18"/>
        </w:rPr>
      </w:pPr>
      <w:r w:rsidRPr="00E766DF">
        <w:rPr>
          <w:rFonts w:ascii="Arial Narrow" w:eastAsiaTheme="minorHAnsi" w:hAnsi="Arial Narrow"/>
          <w:snapToGrid/>
          <w:sz w:val="18"/>
          <w:szCs w:val="18"/>
        </w:rPr>
        <w:t>NTDT = non-transfusion-dependent thalassemia; TDIO = transfusion-dependent iron overload</w:t>
      </w:r>
    </w:p>
    <w:p w:rsidR="00B71C6C" w:rsidRPr="00E766DF" w:rsidRDefault="00B71C6C" w:rsidP="005065EF">
      <w:pPr>
        <w:pStyle w:val="tablenotes"/>
      </w:pPr>
    </w:p>
    <w:p w:rsidR="006B4C03" w:rsidRPr="00E766DF" w:rsidRDefault="006B4C03" w:rsidP="005065EF">
      <w:pPr>
        <w:pStyle w:val="ListParagraph"/>
        <w:widowControl/>
        <w:spacing w:after="120"/>
        <w:contextualSpacing w:val="0"/>
        <w:rPr>
          <w:rFonts w:asciiTheme="minorHAnsi" w:hAnsiTheme="minorHAnsi"/>
          <w:b/>
          <w:i/>
          <w:sz w:val="24"/>
          <w:szCs w:val="24"/>
        </w:rPr>
      </w:pPr>
      <w:r w:rsidRPr="00E766DF">
        <w:rPr>
          <w:rFonts w:asciiTheme="minorHAnsi" w:eastAsiaTheme="minorHAnsi" w:hAnsiTheme="minorHAnsi" w:cstheme="minorBidi"/>
          <w:i/>
          <w:snapToGrid/>
          <w:sz w:val="24"/>
          <w:szCs w:val="22"/>
        </w:rPr>
        <w:t>For more detail on PBAC’s view, see section 6 PBAC outcome.</w:t>
      </w:r>
    </w:p>
    <w:p w:rsidR="005A3173" w:rsidRPr="00E766DF" w:rsidRDefault="005A3173" w:rsidP="00D31150">
      <w:pPr>
        <w:pStyle w:val="PBACHeading1"/>
        <w:spacing w:before="240" w:after="120"/>
        <w:ind w:left="709" w:hanging="709"/>
        <w:rPr>
          <w:rFonts w:asciiTheme="minorHAnsi" w:hAnsiTheme="minorHAnsi"/>
          <w:sz w:val="32"/>
          <w:szCs w:val="32"/>
        </w:rPr>
      </w:pPr>
      <w:r w:rsidRPr="00E766DF">
        <w:rPr>
          <w:rFonts w:asciiTheme="minorHAnsi" w:hAnsiTheme="minorHAnsi"/>
          <w:sz w:val="32"/>
          <w:szCs w:val="32"/>
        </w:rPr>
        <w:t>Comparator</w:t>
      </w:r>
    </w:p>
    <w:p w:rsidR="00C35996" w:rsidRPr="00E766DF" w:rsidRDefault="00FF2801"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minor submission nominated</w:t>
      </w:r>
      <w:r w:rsidR="009556EB" w:rsidRPr="00E766DF">
        <w:rPr>
          <w:rFonts w:asciiTheme="minorHAnsi" w:eastAsiaTheme="minorHAnsi" w:hAnsiTheme="minorHAnsi" w:cstheme="minorBidi"/>
          <w:snapToGrid/>
          <w:sz w:val="24"/>
          <w:szCs w:val="22"/>
        </w:rPr>
        <w:t xml:space="preserve"> deferasirox dispersible tablets as the comparator.</w:t>
      </w:r>
      <w:r w:rsidR="00DD261C" w:rsidRPr="00E766DF">
        <w:rPr>
          <w:rFonts w:asciiTheme="minorHAnsi" w:eastAsiaTheme="minorHAnsi" w:hAnsiTheme="minorHAnsi" w:cstheme="minorBidi"/>
          <w:snapToGrid/>
          <w:sz w:val="24"/>
          <w:szCs w:val="22"/>
        </w:rPr>
        <w:t xml:space="preserve"> The PBAC considered that the comparator was appropriate.</w:t>
      </w:r>
      <w:r w:rsidR="009556EB" w:rsidRPr="00E766DF">
        <w:rPr>
          <w:rFonts w:asciiTheme="minorHAnsi" w:eastAsiaTheme="minorHAnsi" w:hAnsiTheme="minorHAnsi" w:cstheme="minorBidi"/>
          <w:snapToGrid/>
          <w:sz w:val="24"/>
          <w:szCs w:val="22"/>
        </w:rPr>
        <w:t xml:space="preserve"> </w:t>
      </w:r>
    </w:p>
    <w:p w:rsidR="006B4C03" w:rsidRPr="00E766DF" w:rsidRDefault="006B4C03" w:rsidP="005065EF">
      <w:pPr>
        <w:pStyle w:val="ListParagraph"/>
        <w:widowControl/>
        <w:spacing w:after="120"/>
        <w:contextualSpacing w:val="0"/>
        <w:rPr>
          <w:rFonts w:asciiTheme="minorHAnsi" w:eastAsiaTheme="minorHAnsi" w:hAnsiTheme="minorHAnsi" w:cstheme="minorBidi"/>
          <w:i/>
          <w:szCs w:val="22"/>
        </w:rPr>
      </w:pPr>
      <w:r w:rsidRPr="00E766DF">
        <w:rPr>
          <w:rFonts w:asciiTheme="minorHAnsi" w:eastAsiaTheme="minorHAnsi" w:hAnsiTheme="minorHAnsi" w:cstheme="minorBidi"/>
          <w:i/>
          <w:snapToGrid/>
          <w:sz w:val="24"/>
          <w:szCs w:val="22"/>
        </w:rPr>
        <w:t>For more detail on PBAC’s view, see section 6 PBAC outcome.</w:t>
      </w:r>
    </w:p>
    <w:p w:rsidR="000B558D" w:rsidRPr="00E766DF"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E766DF">
        <w:rPr>
          <w:rFonts w:asciiTheme="minorHAnsi" w:hAnsiTheme="minorHAnsi"/>
          <w:sz w:val="32"/>
          <w:szCs w:val="32"/>
        </w:rPr>
        <w:t>C</w:t>
      </w:r>
      <w:r w:rsidR="00D84934" w:rsidRPr="00E766DF">
        <w:rPr>
          <w:rFonts w:asciiTheme="minorHAnsi" w:hAnsiTheme="minorHAnsi"/>
          <w:sz w:val="32"/>
          <w:szCs w:val="32"/>
        </w:rPr>
        <w:t>onsideration of the evidence</w:t>
      </w:r>
    </w:p>
    <w:p w:rsidR="006B4C03" w:rsidRPr="00AD55C5" w:rsidRDefault="006B4C03" w:rsidP="00AD55C5">
      <w:pPr>
        <w:pStyle w:val="Heading2"/>
        <w:spacing w:before="240" w:after="120"/>
        <w:rPr>
          <w:rFonts w:asciiTheme="minorHAnsi" w:hAnsiTheme="minorHAnsi"/>
          <w:sz w:val="28"/>
          <w:szCs w:val="28"/>
        </w:rPr>
      </w:pPr>
      <w:r w:rsidRPr="00AD55C5">
        <w:rPr>
          <w:rFonts w:asciiTheme="minorHAnsi" w:hAnsiTheme="minorHAnsi"/>
          <w:sz w:val="28"/>
          <w:szCs w:val="28"/>
        </w:rPr>
        <w:t>Sponsor hearing</w:t>
      </w:r>
    </w:p>
    <w:p w:rsidR="006B4C03" w:rsidRPr="00E766DF" w:rsidRDefault="006B4C03" w:rsidP="005065EF">
      <w:pPr>
        <w:pStyle w:val="ListParagraph"/>
        <w:widowControl/>
        <w:numPr>
          <w:ilvl w:val="1"/>
          <w:numId w:val="14"/>
        </w:numPr>
        <w:spacing w:after="120"/>
        <w:ind w:left="720"/>
        <w:contextualSpacing w:val="0"/>
        <w:rPr>
          <w:rFonts w:asciiTheme="minorHAnsi" w:eastAsiaTheme="minorHAnsi" w:hAnsiTheme="minorHAnsi" w:cstheme="minorBidi"/>
          <w:snapToGrid/>
          <w:szCs w:val="22"/>
        </w:rPr>
      </w:pPr>
      <w:r w:rsidRPr="00E766DF">
        <w:rPr>
          <w:rFonts w:asciiTheme="minorHAnsi" w:eastAsiaTheme="minorHAnsi" w:hAnsiTheme="minorHAnsi" w:cstheme="minorBidi"/>
          <w:snapToGrid/>
          <w:sz w:val="24"/>
          <w:szCs w:val="22"/>
        </w:rPr>
        <w:t>There was no hearing for this item as it was a minor submission.</w:t>
      </w:r>
    </w:p>
    <w:p w:rsidR="006B4C03" w:rsidRPr="00AD55C5" w:rsidRDefault="006B4C03" w:rsidP="00AD55C5">
      <w:pPr>
        <w:pStyle w:val="Heading2"/>
        <w:spacing w:before="240" w:after="120"/>
        <w:rPr>
          <w:rFonts w:asciiTheme="minorHAnsi" w:hAnsiTheme="minorHAnsi"/>
          <w:sz w:val="28"/>
          <w:szCs w:val="28"/>
        </w:rPr>
      </w:pPr>
      <w:r w:rsidRPr="00AD55C5">
        <w:rPr>
          <w:rFonts w:asciiTheme="minorHAnsi" w:hAnsiTheme="minorHAnsi"/>
          <w:sz w:val="28"/>
          <w:szCs w:val="28"/>
        </w:rPr>
        <w:t>Consumer comments</w:t>
      </w:r>
    </w:p>
    <w:p w:rsidR="006B4C03" w:rsidRPr="00E766DF" w:rsidRDefault="006B4C03" w:rsidP="005065EF">
      <w:pPr>
        <w:pStyle w:val="ListParagraph"/>
        <w:widowControl/>
        <w:numPr>
          <w:ilvl w:val="1"/>
          <w:numId w:val="14"/>
        </w:numPr>
        <w:spacing w:after="120"/>
        <w:ind w:left="720"/>
        <w:contextualSpacing w:val="0"/>
        <w:rPr>
          <w:rFonts w:asciiTheme="minorHAnsi" w:eastAsiaTheme="minorHAnsi" w:hAnsiTheme="minorHAnsi" w:cstheme="minorBidi"/>
          <w:snapToGrid/>
          <w:szCs w:val="22"/>
        </w:rPr>
      </w:pPr>
      <w:r w:rsidRPr="00E766DF">
        <w:rPr>
          <w:rFonts w:asciiTheme="minorHAnsi" w:eastAsiaTheme="minorHAnsi" w:hAnsiTheme="minorHAnsi" w:cstheme="minorBidi"/>
          <w:snapToGrid/>
          <w:sz w:val="24"/>
          <w:szCs w:val="22"/>
        </w:rPr>
        <w:t>The PBAC noted and welcom</w:t>
      </w:r>
      <w:r w:rsidR="005B7011" w:rsidRPr="00E766DF">
        <w:rPr>
          <w:rFonts w:asciiTheme="minorHAnsi" w:eastAsiaTheme="minorHAnsi" w:hAnsiTheme="minorHAnsi" w:cstheme="minorBidi"/>
          <w:snapToGrid/>
          <w:sz w:val="24"/>
          <w:szCs w:val="22"/>
        </w:rPr>
        <w:t>ed the input from individuals (6) and health care professionals (2</w:t>
      </w:r>
      <w:r w:rsidRPr="00E766DF">
        <w:rPr>
          <w:rFonts w:asciiTheme="minorHAnsi" w:eastAsiaTheme="minorHAnsi" w:hAnsiTheme="minorHAnsi" w:cstheme="minorBidi"/>
          <w:snapToGrid/>
          <w:sz w:val="24"/>
          <w:szCs w:val="22"/>
        </w:rPr>
        <w:t xml:space="preserve">) via the Consumer Comments facility on the PBS website.  The comments described a range of benefits of treatment with </w:t>
      </w:r>
      <w:r w:rsidR="005B7011" w:rsidRPr="00E766DF">
        <w:rPr>
          <w:rFonts w:asciiTheme="minorHAnsi" w:eastAsiaTheme="minorHAnsi" w:hAnsiTheme="minorHAnsi" w:cstheme="minorBidi"/>
          <w:snapToGrid/>
          <w:sz w:val="24"/>
          <w:szCs w:val="22"/>
        </w:rPr>
        <w:t>deferasirox</w:t>
      </w:r>
      <w:r w:rsidRPr="00E766DF">
        <w:rPr>
          <w:rFonts w:asciiTheme="minorHAnsi" w:eastAsiaTheme="minorHAnsi" w:hAnsiTheme="minorHAnsi" w:cstheme="minorBidi"/>
          <w:snapToGrid/>
          <w:sz w:val="24"/>
          <w:szCs w:val="22"/>
        </w:rPr>
        <w:t xml:space="preserve"> </w:t>
      </w:r>
      <w:r w:rsidR="00AF2501" w:rsidRPr="00E766DF">
        <w:rPr>
          <w:rFonts w:asciiTheme="minorHAnsi" w:eastAsiaTheme="minorHAnsi" w:hAnsiTheme="minorHAnsi" w:cstheme="minorBidi"/>
          <w:snapToGrid/>
          <w:sz w:val="24"/>
          <w:szCs w:val="22"/>
        </w:rPr>
        <w:t xml:space="preserve">film coated tablets </w:t>
      </w:r>
      <w:r w:rsidRPr="00E766DF">
        <w:rPr>
          <w:rFonts w:asciiTheme="minorHAnsi" w:eastAsiaTheme="minorHAnsi" w:hAnsiTheme="minorHAnsi" w:cstheme="minorBidi"/>
          <w:snapToGrid/>
          <w:sz w:val="24"/>
          <w:szCs w:val="22"/>
        </w:rPr>
        <w:t xml:space="preserve">including </w:t>
      </w:r>
      <w:r w:rsidR="005B7011" w:rsidRPr="00E766DF">
        <w:rPr>
          <w:rFonts w:asciiTheme="minorHAnsi" w:eastAsiaTheme="minorHAnsi" w:hAnsiTheme="minorHAnsi" w:cstheme="minorBidi"/>
          <w:snapToGrid/>
          <w:sz w:val="24"/>
          <w:szCs w:val="22"/>
        </w:rPr>
        <w:t xml:space="preserve">improved compliance, </w:t>
      </w:r>
      <w:r w:rsidRPr="00E766DF">
        <w:rPr>
          <w:rFonts w:asciiTheme="minorHAnsi" w:eastAsiaTheme="minorHAnsi" w:hAnsiTheme="minorHAnsi" w:cstheme="minorBidi"/>
          <w:snapToGrid/>
          <w:sz w:val="24"/>
          <w:szCs w:val="22"/>
        </w:rPr>
        <w:t>fewer side effects</w:t>
      </w:r>
      <w:r w:rsidR="005B7011" w:rsidRPr="00E766DF">
        <w:rPr>
          <w:rFonts w:asciiTheme="minorHAnsi" w:eastAsiaTheme="minorHAnsi" w:hAnsiTheme="minorHAnsi" w:cstheme="minorBidi"/>
          <w:snapToGrid/>
          <w:sz w:val="24"/>
          <w:szCs w:val="22"/>
        </w:rPr>
        <w:t xml:space="preserve"> and increased treatment options.</w:t>
      </w:r>
    </w:p>
    <w:p w:rsidR="006A25A1" w:rsidRPr="00E766DF" w:rsidRDefault="006A25A1" w:rsidP="006A25A1">
      <w:pPr>
        <w:pStyle w:val="Heading2"/>
        <w:spacing w:before="240" w:after="120"/>
        <w:rPr>
          <w:rFonts w:asciiTheme="minorHAnsi" w:hAnsiTheme="minorHAnsi"/>
          <w:sz w:val="28"/>
          <w:szCs w:val="28"/>
        </w:rPr>
      </w:pPr>
      <w:r w:rsidRPr="00E766DF">
        <w:rPr>
          <w:rFonts w:asciiTheme="minorHAnsi" w:hAnsiTheme="minorHAnsi"/>
          <w:sz w:val="28"/>
          <w:szCs w:val="28"/>
        </w:rPr>
        <w:t>Pharmacokinetic data</w:t>
      </w:r>
    </w:p>
    <w:p w:rsidR="006A25A1" w:rsidRPr="00E766DF" w:rsidRDefault="006A25A1"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Pharmacokinetic data </w:t>
      </w:r>
      <w:r w:rsidR="009B6D11" w:rsidRPr="00E766DF">
        <w:rPr>
          <w:rFonts w:asciiTheme="minorHAnsi" w:eastAsiaTheme="minorHAnsi" w:hAnsiTheme="minorHAnsi" w:cstheme="minorBidi"/>
          <w:snapToGrid/>
          <w:sz w:val="24"/>
          <w:szCs w:val="22"/>
        </w:rPr>
        <w:t>was presented from three Phase I</w:t>
      </w:r>
      <w:r w:rsidRPr="00E766DF">
        <w:rPr>
          <w:rFonts w:asciiTheme="minorHAnsi" w:eastAsiaTheme="minorHAnsi" w:hAnsiTheme="minorHAnsi" w:cstheme="minorBidi"/>
          <w:snapToGrid/>
          <w:sz w:val="24"/>
          <w:szCs w:val="22"/>
        </w:rPr>
        <w:t xml:space="preserve"> studies, for which references were not provided. They are described in the table below.</w:t>
      </w:r>
    </w:p>
    <w:p w:rsidR="006A25A1" w:rsidRPr="00E766DF" w:rsidRDefault="00C33442" w:rsidP="00C33442">
      <w:pPr>
        <w:keepNext/>
        <w:spacing w:after="60"/>
        <w:rPr>
          <w:rStyle w:val="CommentReference"/>
          <w:rFonts w:ascii="Arial Narrow" w:eastAsiaTheme="minorHAnsi" w:hAnsi="Arial Narrow" w:cs="Arial"/>
          <w:b/>
          <w:sz w:val="20"/>
          <w:szCs w:val="20"/>
        </w:rPr>
      </w:pPr>
      <w:r w:rsidRPr="00E766DF">
        <w:rPr>
          <w:rStyle w:val="CommentReference"/>
          <w:rFonts w:ascii="Arial Narrow" w:eastAsiaTheme="minorHAnsi" w:hAnsi="Arial Narrow" w:cs="Arial"/>
          <w:b/>
          <w:sz w:val="20"/>
          <w:szCs w:val="20"/>
        </w:rPr>
        <w:lastRenderedPageBreak/>
        <w:t xml:space="preserve">Table 2: </w:t>
      </w:r>
      <w:r w:rsidR="009B6D11" w:rsidRPr="00E766DF">
        <w:rPr>
          <w:rStyle w:val="CommentReference"/>
          <w:rFonts w:ascii="Arial Narrow" w:eastAsiaTheme="minorHAnsi" w:hAnsi="Arial Narrow" w:cs="Arial"/>
          <w:b/>
          <w:sz w:val="20"/>
          <w:szCs w:val="20"/>
        </w:rPr>
        <w:t>Description of the Phase I</w:t>
      </w:r>
      <w:r w:rsidR="006A25A1" w:rsidRPr="00E766DF">
        <w:rPr>
          <w:rStyle w:val="CommentReference"/>
          <w:rFonts w:ascii="Arial Narrow" w:eastAsiaTheme="minorHAnsi" w:hAnsi="Arial Narrow" w:cs="Arial"/>
          <w:b/>
          <w:sz w:val="20"/>
          <w:szCs w:val="20"/>
        </w:rPr>
        <w:t xml:space="preserve"> pharmacokinetic studies </w:t>
      </w:r>
    </w:p>
    <w:tbl>
      <w:tblPr>
        <w:tblStyle w:val="TableGrid"/>
        <w:tblW w:w="0" w:type="auto"/>
        <w:tblInd w:w="108" w:type="dxa"/>
        <w:tblLook w:val="04A0" w:firstRow="1" w:lastRow="0" w:firstColumn="1" w:lastColumn="0" w:noHBand="0" w:noVBand="1"/>
        <w:tblCaption w:val="Table 2: Description of the Phase I pharmacokinetic studies "/>
      </w:tblPr>
      <w:tblGrid>
        <w:gridCol w:w="993"/>
        <w:gridCol w:w="2126"/>
        <w:gridCol w:w="4943"/>
        <w:gridCol w:w="1010"/>
      </w:tblGrid>
      <w:tr w:rsidR="006A25A1" w:rsidRPr="00E766DF" w:rsidTr="00A65B8D">
        <w:trPr>
          <w:tblHeader/>
        </w:trPr>
        <w:tc>
          <w:tcPr>
            <w:tcW w:w="993"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b/>
                <w:snapToGrid/>
                <w:sz w:val="20"/>
              </w:rPr>
            </w:pPr>
            <w:r w:rsidRPr="00E766DF">
              <w:rPr>
                <w:rFonts w:ascii="Arial Narrow" w:eastAsiaTheme="minorHAnsi" w:hAnsi="Arial Narrow" w:cstheme="minorBidi"/>
                <w:b/>
                <w:snapToGrid/>
                <w:sz w:val="20"/>
              </w:rPr>
              <w:t>Study ID</w:t>
            </w:r>
          </w:p>
        </w:tc>
        <w:tc>
          <w:tcPr>
            <w:tcW w:w="2126"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b/>
                <w:snapToGrid/>
                <w:sz w:val="20"/>
              </w:rPr>
            </w:pPr>
            <w:r w:rsidRPr="00E766DF">
              <w:rPr>
                <w:rFonts w:ascii="Arial Narrow" w:eastAsiaTheme="minorHAnsi" w:hAnsi="Arial Narrow" w:cstheme="minorBidi"/>
                <w:b/>
                <w:snapToGrid/>
                <w:sz w:val="20"/>
              </w:rPr>
              <w:t>Study description</w:t>
            </w:r>
          </w:p>
        </w:tc>
        <w:tc>
          <w:tcPr>
            <w:tcW w:w="4943"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b/>
                <w:snapToGrid/>
                <w:sz w:val="20"/>
              </w:rPr>
            </w:pPr>
            <w:r w:rsidRPr="00E766DF">
              <w:rPr>
                <w:rFonts w:ascii="Arial Narrow" w:eastAsiaTheme="minorHAnsi" w:hAnsi="Arial Narrow" w:cstheme="minorBidi"/>
                <w:b/>
                <w:snapToGrid/>
                <w:sz w:val="20"/>
              </w:rPr>
              <w:t>Study design</w:t>
            </w:r>
          </w:p>
        </w:tc>
        <w:tc>
          <w:tcPr>
            <w:tcW w:w="1010"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b/>
                <w:snapToGrid/>
                <w:sz w:val="20"/>
              </w:rPr>
            </w:pPr>
            <w:r w:rsidRPr="00E766DF">
              <w:rPr>
                <w:rFonts w:ascii="Arial Narrow" w:eastAsiaTheme="minorHAnsi" w:hAnsi="Arial Narrow" w:cstheme="minorBidi"/>
                <w:b/>
                <w:snapToGrid/>
                <w:sz w:val="20"/>
              </w:rPr>
              <w:t>Status</w:t>
            </w:r>
          </w:p>
        </w:tc>
      </w:tr>
      <w:tr w:rsidR="006A25A1" w:rsidRPr="00E766DF" w:rsidTr="00D4614B">
        <w:tc>
          <w:tcPr>
            <w:tcW w:w="993"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F2101</w:t>
            </w:r>
          </w:p>
        </w:tc>
        <w:tc>
          <w:tcPr>
            <w:tcW w:w="2126"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 xml:space="preserve">Pilot bioavailability </w:t>
            </w:r>
          </w:p>
        </w:tc>
        <w:tc>
          <w:tcPr>
            <w:tcW w:w="4943"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3 tablet formulations;</w:t>
            </w:r>
          </w:p>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1,500 mg dose for dispersible and film coated tablets;</w:t>
            </w:r>
          </w:p>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N = 20</w:t>
            </w:r>
          </w:p>
        </w:tc>
        <w:tc>
          <w:tcPr>
            <w:tcW w:w="1010"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Completed</w:t>
            </w:r>
          </w:p>
        </w:tc>
      </w:tr>
      <w:tr w:rsidR="006A25A1" w:rsidRPr="00E766DF" w:rsidTr="00D4614B">
        <w:tc>
          <w:tcPr>
            <w:tcW w:w="993"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F2102</w:t>
            </w:r>
          </w:p>
        </w:tc>
        <w:tc>
          <w:tcPr>
            <w:tcW w:w="2126"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Pivotal pharmacokinetic comparability study with film coated tablets</w:t>
            </w:r>
          </w:p>
        </w:tc>
        <w:tc>
          <w:tcPr>
            <w:tcW w:w="4943"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1,500 mg dispersible tablet versus 1,080 mg film coated tablet, using BE criteria;</w:t>
            </w:r>
          </w:p>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N = 32</w:t>
            </w:r>
          </w:p>
        </w:tc>
        <w:tc>
          <w:tcPr>
            <w:tcW w:w="1010" w:type="dxa"/>
          </w:tcPr>
          <w:p w:rsidR="006A25A1" w:rsidRPr="00E766DF" w:rsidRDefault="006A25A1" w:rsidP="00BA3507">
            <w:pPr>
              <w:pStyle w:val="ListParagraph"/>
              <w:keepNext/>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Completed</w:t>
            </w:r>
          </w:p>
        </w:tc>
      </w:tr>
      <w:tr w:rsidR="006A25A1" w:rsidRPr="00E766DF" w:rsidTr="00D4614B">
        <w:tc>
          <w:tcPr>
            <w:tcW w:w="993" w:type="dxa"/>
          </w:tcPr>
          <w:p w:rsidR="006A25A1" w:rsidRPr="00E766DF" w:rsidRDefault="006A25A1" w:rsidP="00D4614B">
            <w:pPr>
              <w:pStyle w:val="ListParagraph"/>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F2103</w:t>
            </w:r>
          </w:p>
        </w:tc>
        <w:tc>
          <w:tcPr>
            <w:tcW w:w="2126" w:type="dxa"/>
          </w:tcPr>
          <w:p w:rsidR="006A25A1" w:rsidRPr="00E766DF" w:rsidRDefault="006A25A1" w:rsidP="00D4614B">
            <w:pPr>
              <w:pStyle w:val="ListParagraph"/>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Food effect with film coated tablet</w:t>
            </w:r>
          </w:p>
        </w:tc>
        <w:tc>
          <w:tcPr>
            <w:tcW w:w="4943" w:type="dxa"/>
          </w:tcPr>
          <w:p w:rsidR="006A25A1" w:rsidRPr="00E766DF" w:rsidRDefault="006A25A1" w:rsidP="00D4614B">
            <w:pPr>
              <w:pStyle w:val="ListParagraph"/>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Fasting versus low-fat diet versus high-fat diet at 1,200 mg dose;</w:t>
            </w:r>
          </w:p>
          <w:p w:rsidR="006A25A1" w:rsidRPr="00E766DF" w:rsidRDefault="006A25A1" w:rsidP="00D4614B">
            <w:pPr>
              <w:pStyle w:val="ListParagraph"/>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N = 25</w:t>
            </w:r>
          </w:p>
        </w:tc>
        <w:tc>
          <w:tcPr>
            <w:tcW w:w="1010" w:type="dxa"/>
          </w:tcPr>
          <w:p w:rsidR="006A25A1" w:rsidRPr="00E766DF" w:rsidRDefault="006A25A1" w:rsidP="00D4614B">
            <w:pPr>
              <w:pStyle w:val="ListParagraph"/>
              <w:widowControl/>
              <w:ind w:left="0"/>
              <w:contextualSpacing w:val="0"/>
              <w:jc w:val="left"/>
              <w:rPr>
                <w:rFonts w:ascii="Arial Narrow" w:eastAsiaTheme="minorHAnsi" w:hAnsi="Arial Narrow" w:cstheme="minorBidi"/>
                <w:snapToGrid/>
                <w:sz w:val="20"/>
              </w:rPr>
            </w:pPr>
            <w:r w:rsidRPr="00E766DF">
              <w:rPr>
                <w:rFonts w:ascii="Arial Narrow" w:eastAsiaTheme="minorHAnsi" w:hAnsi="Arial Narrow" w:cstheme="minorBidi"/>
                <w:snapToGrid/>
                <w:sz w:val="20"/>
              </w:rPr>
              <w:t>Completed</w:t>
            </w:r>
          </w:p>
        </w:tc>
      </w:tr>
    </w:tbl>
    <w:p w:rsidR="006A25A1" w:rsidRPr="00E766DF" w:rsidRDefault="006A25A1" w:rsidP="006A25A1">
      <w:pPr>
        <w:pStyle w:val="tablenotes"/>
        <w:rPr>
          <w:rFonts w:ascii="Arial Narrow" w:eastAsiaTheme="minorHAnsi" w:hAnsi="Arial Narrow"/>
          <w:sz w:val="18"/>
          <w:szCs w:val="18"/>
        </w:rPr>
      </w:pPr>
      <w:r w:rsidRPr="00E766DF">
        <w:rPr>
          <w:rFonts w:ascii="Arial Narrow" w:eastAsiaTheme="minorHAnsi" w:hAnsi="Arial Narrow"/>
          <w:sz w:val="18"/>
          <w:szCs w:val="18"/>
        </w:rPr>
        <w:t>Source: Table 5, p12 of the submission</w:t>
      </w:r>
    </w:p>
    <w:p w:rsidR="006A25A1" w:rsidRPr="00E766DF" w:rsidRDefault="006A25A1" w:rsidP="006A25A1">
      <w:pPr>
        <w:pStyle w:val="tablenotes"/>
        <w:rPr>
          <w:rFonts w:ascii="Arial Narrow" w:eastAsiaTheme="minorHAnsi" w:hAnsi="Arial Narrow"/>
          <w:sz w:val="18"/>
          <w:szCs w:val="18"/>
        </w:rPr>
      </w:pPr>
      <w:r w:rsidRPr="00E766DF">
        <w:rPr>
          <w:rFonts w:ascii="Arial Narrow" w:eastAsiaTheme="minorHAnsi" w:hAnsi="Arial Narrow"/>
          <w:sz w:val="18"/>
          <w:szCs w:val="18"/>
        </w:rPr>
        <w:t>BE = bioequivalence</w:t>
      </w:r>
    </w:p>
    <w:p w:rsidR="006A25A1" w:rsidRPr="00E766DF" w:rsidRDefault="006A25A1" w:rsidP="006A25A1">
      <w:pPr>
        <w:rPr>
          <w:rFonts w:eastAsiaTheme="minorHAnsi"/>
        </w:rPr>
      </w:pPr>
    </w:p>
    <w:p w:rsidR="006A25A1" w:rsidRPr="00E766DF" w:rsidRDefault="00906BEC"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submission claimed that </w:t>
      </w:r>
      <w:r w:rsidR="006A25A1" w:rsidRPr="00E766DF">
        <w:rPr>
          <w:rFonts w:asciiTheme="minorHAnsi" w:eastAsiaTheme="minorHAnsi" w:hAnsiTheme="minorHAnsi" w:cstheme="minorBidi"/>
          <w:snapToGrid/>
          <w:sz w:val="24"/>
          <w:szCs w:val="22"/>
        </w:rPr>
        <w:t xml:space="preserve">Study F2101 demonstrated that a single </w:t>
      </w:r>
      <w:r w:rsidR="00AA7633" w:rsidRPr="00E766DF">
        <w:rPr>
          <w:rFonts w:asciiTheme="minorHAnsi" w:eastAsiaTheme="minorHAnsi" w:hAnsiTheme="minorHAnsi" w:cstheme="minorBidi"/>
          <w:snapToGrid/>
          <w:sz w:val="24"/>
          <w:szCs w:val="22"/>
        </w:rPr>
        <w:t xml:space="preserve">film coated </w:t>
      </w:r>
      <w:r w:rsidR="006A25A1" w:rsidRPr="00E766DF">
        <w:rPr>
          <w:rFonts w:asciiTheme="minorHAnsi" w:eastAsiaTheme="minorHAnsi" w:hAnsiTheme="minorHAnsi" w:cstheme="minorBidi"/>
          <w:snapToGrid/>
          <w:sz w:val="24"/>
          <w:szCs w:val="22"/>
        </w:rPr>
        <w:t xml:space="preserve">1,500 mg dose of deferasirox </w:t>
      </w:r>
      <w:r w:rsidR="00AA7633" w:rsidRPr="00E766DF">
        <w:rPr>
          <w:rFonts w:asciiTheme="minorHAnsi" w:eastAsiaTheme="minorHAnsi" w:hAnsiTheme="minorHAnsi" w:cstheme="minorBidi"/>
          <w:snapToGrid/>
          <w:sz w:val="24"/>
          <w:szCs w:val="22"/>
        </w:rPr>
        <w:t>had 36</w:t>
      </w:r>
      <w:r w:rsidR="009B6D11" w:rsidRPr="00E766DF">
        <w:rPr>
          <w:rFonts w:asciiTheme="minorHAnsi" w:eastAsiaTheme="minorHAnsi" w:hAnsiTheme="minorHAnsi" w:cstheme="minorBidi"/>
          <w:snapToGrid/>
          <w:sz w:val="24"/>
          <w:szCs w:val="22"/>
        </w:rPr>
        <w:t xml:space="preserve">% to </w:t>
      </w:r>
      <w:r w:rsidR="00AA7633" w:rsidRPr="00E766DF">
        <w:rPr>
          <w:rFonts w:asciiTheme="minorHAnsi" w:eastAsiaTheme="minorHAnsi" w:hAnsiTheme="minorHAnsi" w:cstheme="minorBidi"/>
          <w:snapToGrid/>
          <w:sz w:val="24"/>
          <w:szCs w:val="22"/>
        </w:rPr>
        <w:t>38% greater bioavailability than a single dispersible 1,500 mg dose. Subsequent studies adopted strength-adjusted formulations (e.g. 360 mg film coated tablets to match 500 mg dispersible tablets).</w:t>
      </w:r>
    </w:p>
    <w:p w:rsidR="00AA7633" w:rsidRPr="00E766DF" w:rsidRDefault="00906BEC"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submission claimed that </w:t>
      </w:r>
      <w:r w:rsidR="00AA7633" w:rsidRPr="00E766DF">
        <w:rPr>
          <w:rFonts w:asciiTheme="minorHAnsi" w:eastAsiaTheme="minorHAnsi" w:hAnsiTheme="minorHAnsi" w:cstheme="minorBidi"/>
          <w:snapToGrid/>
          <w:sz w:val="24"/>
          <w:szCs w:val="22"/>
        </w:rPr>
        <w:t>Study F2102 demonstrated comparable bioavailability in terms of AUC when comparing a single film coated 1,080 mg (3 x 360 mg) dose with a single dispersible 1,500 mg (3</w:t>
      </w:r>
      <w:r w:rsidR="009B6D11" w:rsidRPr="00E766DF">
        <w:rPr>
          <w:rFonts w:asciiTheme="minorHAnsi" w:eastAsiaTheme="minorHAnsi" w:hAnsiTheme="minorHAnsi" w:cstheme="minorBidi"/>
          <w:snapToGrid/>
          <w:sz w:val="24"/>
          <w:szCs w:val="22"/>
        </w:rPr>
        <w:t xml:space="preserve"> </w:t>
      </w:r>
      <w:r w:rsidR="00AA7633" w:rsidRPr="00E766DF">
        <w:rPr>
          <w:rFonts w:asciiTheme="minorHAnsi" w:eastAsiaTheme="minorHAnsi" w:hAnsiTheme="minorHAnsi" w:cstheme="minorBidi"/>
          <w:snapToGrid/>
          <w:sz w:val="24"/>
          <w:szCs w:val="22"/>
        </w:rPr>
        <w:t xml:space="preserve">x 500 mg) dose. </w:t>
      </w:r>
      <w:proofErr w:type="spellStart"/>
      <w:r w:rsidR="002952A9" w:rsidRPr="00E766DF">
        <w:rPr>
          <w:rFonts w:asciiTheme="minorHAnsi" w:eastAsiaTheme="minorHAnsi" w:hAnsiTheme="minorHAnsi" w:cstheme="minorBidi"/>
          <w:snapToGrid/>
          <w:sz w:val="24"/>
          <w:szCs w:val="22"/>
        </w:rPr>
        <w:t>AUC</w:t>
      </w:r>
      <w:r w:rsidR="002952A9" w:rsidRPr="00E766DF">
        <w:rPr>
          <w:rFonts w:asciiTheme="minorHAnsi" w:eastAsiaTheme="minorHAnsi" w:hAnsiTheme="minorHAnsi" w:cstheme="minorBidi"/>
          <w:snapToGrid/>
          <w:sz w:val="24"/>
          <w:szCs w:val="22"/>
          <w:vertAlign w:val="subscript"/>
        </w:rPr>
        <w:t>last</w:t>
      </w:r>
      <w:proofErr w:type="spellEnd"/>
      <w:r w:rsidR="002952A9" w:rsidRPr="00E766DF">
        <w:rPr>
          <w:rFonts w:asciiTheme="minorHAnsi" w:eastAsiaTheme="minorHAnsi" w:hAnsiTheme="minorHAnsi" w:cstheme="minorBidi"/>
          <w:snapToGrid/>
          <w:sz w:val="24"/>
          <w:szCs w:val="22"/>
        </w:rPr>
        <w:t xml:space="preserve"> and </w:t>
      </w:r>
      <w:proofErr w:type="spellStart"/>
      <w:r w:rsidR="002952A9" w:rsidRPr="00E766DF">
        <w:rPr>
          <w:rFonts w:asciiTheme="minorHAnsi" w:eastAsiaTheme="minorHAnsi" w:hAnsiTheme="minorHAnsi" w:cstheme="minorBidi"/>
          <w:snapToGrid/>
          <w:sz w:val="24"/>
          <w:szCs w:val="22"/>
        </w:rPr>
        <w:t>AUC</w:t>
      </w:r>
      <w:r w:rsidR="002952A9" w:rsidRPr="00E766DF">
        <w:rPr>
          <w:rFonts w:asciiTheme="minorHAnsi" w:eastAsiaTheme="minorHAnsi" w:hAnsiTheme="minorHAnsi" w:cstheme="minorBidi"/>
          <w:snapToGrid/>
          <w:sz w:val="24"/>
          <w:szCs w:val="22"/>
          <w:vertAlign w:val="subscript"/>
        </w:rPr>
        <w:t>inf</w:t>
      </w:r>
      <w:proofErr w:type="spellEnd"/>
      <w:r w:rsidR="002952A9" w:rsidRPr="00E766DF">
        <w:rPr>
          <w:rFonts w:asciiTheme="minorHAnsi" w:eastAsiaTheme="minorHAnsi" w:hAnsiTheme="minorHAnsi" w:cstheme="minorBidi"/>
          <w:snapToGrid/>
          <w:sz w:val="24"/>
          <w:szCs w:val="22"/>
        </w:rPr>
        <w:t xml:space="preserve"> had geometric mean ratios of 1.00 (90% CI: 0.93, 1.08) and 0.98 (90% CI: 0.92, 1.06) respectively. </w:t>
      </w:r>
      <w:r w:rsidR="00E8404E" w:rsidRPr="00E766DF">
        <w:rPr>
          <w:rFonts w:asciiTheme="minorHAnsi" w:eastAsiaTheme="minorHAnsi" w:hAnsiTheme="minorHAnsi" w:cstheme="minorBidi"/>
          <w:snapToGrid/>
          <w:sz w:val="24"/>
          <w:szCs w:val="22"/>
        </w:rPr>
        <w:t xml:space="preserve">AUC data </w:t>
      </w:r>
      <w:r w:rsidR="00AA7633" w:rsidRPr="00E766DF">
        <w:rPr>
          <w:rFonts w:asciiTheme="minorHAnsi" w:eastAsiaTheme="minorHAnsi" w:hAnsiTheme="minorHAnsi" w:cstheme="minorBidi"/>
          <w:snapToGrid/>
          <w:sz w:val="24"/>
          <w:szCs w:val="22"/>
        </w:rPr>
        <w:t>met the prospectively defined bioequivalence criteria, with the 90% CIs lying within 80% and 125%. Single film coated 1,080 mg dose</w:t>
      </w:r>
      <w:r w:rsidR="002952A9" w:rsidRPr="00E766DF">
        <w:rPr>
          <w:rFonts w:asciiTheme="minorHAnsi" w:eastAsiaTheme="minorHAnsi" w:hAnsiTheme="minorHAnsi" w:cstheme="minorBidi"/>
          <w:snapToGrid/>
          <w:sz w:val="24"/>
          <w:szCs w:val="22"/>
        </w:rPr>
        <w:t>s</w:t>
      </w:r>
      <w:r w:rsidR="00AA7633" w:rsidRPr="00E766DF">
        <w:rPr>
          <w:rFonts w:asciiTheme="minorHAnsi" w:eastAsiaTheme="minorHAnsi" w:hAnsiTheme="minorHAnsi" w:cstheme="minorBidi"/>
          <w:snapToGrid/>
          <w:sz w:val="24"/>
          <w:szCs w:val="22"/>
        </w:rPr>
        <w:t xml:space="preserve"> yielded peak deferasirox concentrations (</w:t>
      </w:r>
      <w:proofErr w:type="spellStart"/>
      <w:r w:rsidR="00AA7633" w:rsidRPr="00E766DF">
        <w:rPr>
          <w:rFonts w:asciiTheme="minorHAnsi" w:eastAsiaTheme="minorHAnsi" w:hAnsiTheme="minorHAnsi" w:cstheme="minorBidi"/>
          <w:snapToGrid/>
          <w:sz w:val="24"/>
          <w:szCs w:val="22"/>
        </w:rPr>
        <w:t>C</w:t>
      </w:r>
      <w:r w:rsidR="00AA7633" w:rsidRPr="00E766DF">
        <w:rPr>
          <w:rFonts w:asciiTheme="minorHAnsi" w:eastAsiaTheme="minorHAnsi" w:hAnsiTheme="minorHAnsi" w:cstheme="minorBidi"/>
          <w:snapToGrid/>
          <w:sz w:val="24"/>
          <w:szCs w:val="22"/>
          <w:vertAlign w:val="subscript"/>
        </w:rPr>
        <w:t>max</w:t>
      </w:r>
      <w:proofErr w:type="spellEnd"/>
      <w:r w:rsidR="00AA7633" w:rsidRPr="00E766DF">
        <w:rPr>
          <w:rFonts w:asciiTheme="minorHAnsi" w:eastAsiaTheme="minorHAnsi" w:hAnsiTheme="minorHAnsi" w:cstheme="minorBidi"/>
          <w:snapToGrid/>
          <w:sz w:val="24"/>
          <w:szCs w:val="22"/>
        </w:rPr>
        <w:t xml:space="preserve">) that were 30% higher than </w:t>
      </w:r>
      <w:r w:rsidR="002952A9" w:rsidRPr="00E766DF">
        <w:rPr>
          <w:rFonts w:asciiTheme="minorHAnsi" w:eastAsiaTheme="minorHAnsi" w:hAnsiTheme="minorHAnsi" w:cstheme="minorBidi"/>
          <w:snapToGrid/>
          <w:sz w:val="24"/>
          <w:szCs w:val="22"/>
        </w:rPr>
        <w:t xml:space="preserve">single dispersible 1,500 mg doses. The geometric mean ratio was 1.30 (90% CI: 1.20, 1.40). This did not meet the bioequivalence criteria. </w:t>
      </w:r>
    </w:p>
    <w:p w:rsidR="00836F78" w:rsidRPr="00E766DF" w:rsidRDefault="00836F78"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TGA </w:t>
      </w:r>
      <w:r w:rsidR="0018669E" w:rsidRPr="00E766DF">
        <w:rPr>
          <w:rFonts w:asciiTheme="minorHAnsi" w:eastAsiaTheme="minorHAnsi" w:hAnsiTheme="minorHAnsi" w:cstheme="minorBidi"/>
          <w:snapToGrid/>
          <w:sz w:val="24"/>
          <w:szCs w:val="22"/>
        </w:rPr>
        <w:t>Delegate’s Overview</w:t>
      </w:r>
      <w:r w:rsidRPr="00E766DF">
        <w:rPr>
          <w:rFonts w:asciiTheme="minorHAnsi" w:eastAsiaTheme="minorHAnsi" w:hAnsiTheme="minorHAnsi" w:cstheme="minorBidi"/>
          <w:snapToGrid/>
          <w:sz w:val="24"/>
          <w:szCs w:val="22"/>
        </w:rPr>
        <w:t xml:space="preserve"> agreed that the film coated tablets had a higher bioavailability than the dispersible tablets and that the 360 mg film coated tablet formulation was equivalent to the 500 mg dispersible tablet formulation</w:t>
      </w:r>
      <w:r w:rsidR="009B6D11" w:rsidRPr="00E766DF">
        <w:rPr>
          <w:rFonts w:asciiTheme="minorHAnsi" w:eastAsiaTheme="minorHAnsi" w:hAnsiTheme="minorHAnsi" w:cstheme="minorBidi"/>
          <w:snapToGrid/>
          <w:sz w:val="24"/>
          <w:szCs w:val="22"/>
        </w:rPr>
        <w:t xml:space="preserve"> with respect to the mean AUC</w:t>
      </w:r>
      <w:r w:rsidRPr="00E766DF">
        <w:rPr>
          <w:rFonts w:asciiTheme="minorHAnsi" w:eastAsiaTheme="minorHAnsi" w:hAnsiTheme="minorHAnsi" w:cstheme="minorBidi"/>
          <w:snapToGrid/>
          <w:sz w:val="24"/>
          <w:szCs w:val="22"/>
        </w:rPr>
        <w:t>.</w:t>
      </w:r>
    </w:p>
    <w:p w:rsidR="00E8404E" w:rsidRPr="00E766DF" w:rsidRDefault="00836F78"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TGA evaluator noted that </w:t>
      </w:r>
      <w:r w:rsidR="00CB0B29" w:rsidRPr="00E766DF">
        <w:rPr>
          <w:rFonts w:asciiTheme="minorHAnsi" w:eastAsiaTheme="minorHAnsi" w:hAnsiTheme="minorHAnsi" w:cstheme="minorBidi"/>
          <w:snapToGrid/>
          <w:sz w:val="24"/>
          <w:szCs w:val="22"/>
        </w:rPr>
        <w:t xml:space="preserve">the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Pr="00E766DF">
        <w:rPr>
          <w:rFonts w:asciiTheme="minorHAnsi" w:eastAsiaTheme="minorHAnsi" w:hAnsiTheme="minorHAnsi" w:cstheme="minorBidi"/>
          <w:snapToGrid/>
          <w:sz w:val="24"/>
          <w:szCs w:val="22"/>
        </w:rPr>
        <w:t xml:space="preserve"> </w:t>
      </w:r>
      <w:r w:rsidR="00CB0B29" w:rsidRPr="00E766DF">
        <w:rPr>
          <w:rFonts w:asciiTheme="minorHAnsi" w:eastAsiaTheme="minorHAnsi" w:hAnsiTheme="minorHAnsi" w:cstheme="minorBidi"/>
          <w:snapToGrid/>
          <w:sz w:val="24"/>
          <w:szCs w:val="22"/>
        </w:rPr>
        <w:t xml:space="preserve">values of the film coated tablet were within the range of historical </w:t>
      </w:r>
      <w:proofErr w:type="spellStart"/>
      <w:r w:rsidR="00CB0B29" w:rsidRPr="00E766DF">
        <w:rPr>
          <w:rFonts w:asciiTheme="minorHAnsi" w:eastAsiaTheme="minorHAnsi" w:hAnsiTheme="minorHAnsi" w:cstheme="minorBidi"/>
          <w:snapToGrid/>
          <w:sz w:val="24"/>
          <w:szCs w:val="22"/>
        </w:rPr>
        <w:t>C</w:t>
      </w:r>
      <w:r w:rsidR="00CB0B29" w:rsidRPr="00E766DF">
        <w:rPr>
          <w:rFonts w:asciiTheme="minorHAnsi" w:eastAsiaTheme="minorHAnsi" w:hAnsiTheme="minorHAnsi" w:cstheme="minorBidi"/>
          <w:snapToGrid/>
          <w:sz w:val="24"/>
          <w:szCs w:val="22"/>
          <w:vertAlign w:val="subscript"/>
        </w:rPr>
        <w:t>max</w:t>
      </w:r>
      <w:proofErr w:type="spellEnd"/>
      <w:r w:rsidR="00CB0B29" w:rsidRPr="00E766DF">
        <w:rPr>
          <w:rFonts w:asciiTheme="minorHAnsi" w:eastAsiaTheme="minorHAnsi" w:hAnsiTheme="minorHAnsi" w:cstheme="minorBidi"/>
          <w:snapToGrid/>
          <w:sz w:val="24"/>
          <w:szCs w:val="22"/>
        </w:rPr>
        <w:t xml:space="preserve"> values observed with the dispersible tablet formulation</w:t>
      </w:r>
      <w:r w:rsidRPr="00E766DF">
        <w:rPr>
          <w:rFonts w:asciiTheme="minorHAnsi" w:eastAsiaTheme="minorHAnsi" w:hAnsiTheme="minorHAnsi" w:cstheme="minorBidi"/>
          <w:snapToGrid/>
          <w:sz w:val="24"/>
          <w:szCs w:val="22"/>
        </w:rPr>
        <w:t>.</w:t>
      </w:r>
      <w:r w:rsidR="00E8404E" w:rsidRPr="00E766DF">
        <w:rPr>
          <w:rFonts w:asciiTheme="minorHAnsi" w:eastAsiaTheme="minorHAnsi" w:hAnsiTheme="minorHAnsi" w:cstheme="minorBidi"/>
          <w:snapToGrid/>
          <w:sz w:val="24"/>
          <w:szCs w:val="22"/>
        </w:rPr>
        <w:t xml:space="preserve"> </w:t>
      </w:r>
      <w:r w:rsidR="00681A52" w:rsidRPr="00E766DF">
        <w:rPr>
          <w:rFonts w:asciiTheme="minorHAnsi" w:eastAsiaTheme="minorHAnsi" w:hAnsiTheme="minorHAnsi" w:cstheme="minorBidi"/>
          <w:snapToGrid/>
          <w:sz w:val="24"/>
          <w:szCs w:val="22"/>
        </w:rPr>
        <w:t>The submission stated that although</w:t>
      </w:r>
      <w:r w:rsidR="00E8404E" w:rsidRPr="00E766DF">
        <w:rPr>
          <w:rFonts w:asciiTheme="minorHAnsi" w:eastAsiaTheme="minorHAnsi" w:hAnsiTheme="minorHAnsi" w:cstheme="minorBidi"/>
          <w:snapToGrid/>
          <w:sz w:val="24"/>
          <w:szCs w:val="22"/>
        </w:rPr>
        <w:t xml:space="preserve"> the film coated tablets could not be considered bioequivalent to the dispersible tablets </w:t>
      </w:r>
      <w:r w:rsidR="00681A52" w:rsidRPr="00E766DF">
        <w:rPr>
          <w:rFonts w:asciiTheme="minorHAnsi" w:eastAsiaTheme="minorHAnsi" w:hAnsiTheme="minorHAnsi" w:cstheme="minorBidi"/>
          <w:snapToGrid/>
          <w:sz w:val="24"/>
          <w:szCs w:val="22"/>
        </w:rPr>
        <w:t xml:space="preserve">as they did not meet the pre-specified </w:t>
      </w:r>
      <w:proofErr w:type="spellStart"/>
      <w:r w:rsidR="00E8404E" w:rsidRPr="00E766DF">
        <w:rPr>
          <w:rFonts w:asciiTheme="minorHAnsi" w:eastAsiaTheme="minorHAnsi" w:hAnsiTheme="minorHAnsi" w:cstheme="minorBidi"/>
          <w:snapToGrid/>
          <w:sz w:val="24"/>
          <w:szCs w:val="22"/>
        </w:rPr>
        <w:t>C</w:t>
      </w:r>
      <w:r w:rsidR="00E8404E" w:rsidRPr="00E766DF">
        <w:rPr>
          <w:rFonts w:asciiTheme="minorHAnsi" w:eastAsiaTheme="minorHAnsi" w:hAnsiTheme="minorHAnsi" w:cstheme="minorBidi"/>
          <w:snapToGrid/>
          <w:sz w:val="24"/>
          <w:szCs w:val="22"/>
          <w:vertAlign w:val="subscript"/>
        </w:rPr>
        <w:t>max</w:t>
      </w:r>
      <w:proofErr w:type="spellEnd"/>
      <w:r w:rsidR="00681A52" w:rsidRPr="00E766DF">
        <w:rPr>
          <w:rFonts w:asciiTheme="minorHAnsi" w:eastAsiaTheme="minorHAnsi" w:hAnsiTheme="minorHAnsi" w:cstheme="minorBidi"/>
          <w:snapToGrid/>
          <w:sz w:val="24"/>
          <w:szCs w:val="22"/>
        </w:rPr>
        <w:t xml:space="preserve"> limits,</w:t>
      </w:r>
      <w:r w:rsidR="00E8404E" w:rsidRPr="00E766DF">
        <w:rPr>
          <w:rFonts w:asciiTheme="minorHAnsi" w:eastAsiaTheme="minorHAnsi" w:hAnsiTheme="minorHAnsi" w:cstheme="minorBidi"/>
          <w:snapToGrid/>
          <w:sz w:val="24"/>
          <w:szCs w:val="22"/>
        </w:rPr>
        <w:t xml:space="preserve"> no evidence of clinically relevant effects of an increase in </w:t>
      </w:r>
      <w:proofErr w:type="spellStart"/>
      <w:r w:rsidR="00E8404E" w:rsidRPr="00E766DF">
        <w:rPr>
          <w:rFonts w:asciiTheme="minorHAnsi" w:eastAsiaTheme="minorHAnsi" w:hAnsiTheme="minorHAnsi" w:cstheme="minorBidi"/>
          <w:snapToGrid/>
          <w:sz w:val="24"/>
          <w:szCs w:val="22"/>
        </w:rPr>
        <w:t>C</w:t>
      </w:r>
      <w:r w:rsidR="00E8404E" w:rsidRPr="00E766DF">
        <w:rPr>
          <w:rFonts w:asciiTheme="minorHAnsi" w:eastAsiaTheme="minorHAnsi" w:hAnsiTheme="minorHAnsi" w:cstheme="minorBidi"/>
          <w:snapToGrid/>
          <w:sz w:val="24"/>
          <w:szCs w:val="22"/>
          <w:vertAlign w:val="subscript"/>
        </w:rPr>
        <w:t>max</w:t>
      </w:r>
      <w:proofErr w:type="spellEnd"/>
      <w:r w:rsidR="00E8404E" w:rsidRPr="00E766DF">
        <w:rPr>
          <w:rFonts w:asciiTheme="minorHAnsi" w:eastAsiaTheme="minorHAnsi" w:hAnsiTheme="minorHAnsi" w:cstheme="minorBidi"/>
          <w:snapToGrid/>
          <w:sz w:val="24"/>
          <w:szCs w:val="22"/>
        </w:rPr>
        <w:t xml:space="preserve"> were found in a large exposure-response analysis.</w:t>
      </w:r>
      <w:r w:rsidR="00DD261C" w:rsidRPr="00E766DF">
        <w:rPr>
          <w:rFonts w:asciiTheme="minorHAnsi" w:eastAsiaTheme="minorHAnsi" w:hAnsiTheme="minorHAnsi" w:cstheme="minorBidi"/>
          <w:snapToGrid/>
          <w:sz w:val="24"/>
          <w:szCs w:val="22"/>
        </w:rPr>
        <w:t xml:space="preserve"> This was noted by the PBAC.</w:t>
      </w:r>
    </w:p>
    <w:p w:rsidR="006A25A1" w:rsidRPr="00E766DF" w:rsidRDefault="006A25A1" w:rsidP="006A25A1">
      <w:pPr>
        <w:pStyle w:val="Heading2"/>
        <w:keepLines/>
        <w:spacing w:before="240" w:after="120"/>
        <w:rPr>
          <w:rFonts w:asciiTheme="minorHAnsi" w:eastAsiaTheme="majorEastAsia" w:hAnsiTheme="minorHAnsi" w:cstheme="majorBidi"/>
          <w:sz w:val="28"/>
          <w:szCs w:val="28"/>
          <w:lang w:eastAsia="en-US"/>
        </w:rPr>
      </w:pPr>
      <w:r w:rsidRPr="00E766DF">
        <w:rPr>
          <w:rFonts w:asciiTheme="minorHAnsi" w:eastAsiaTheme="majorEastAsia" w:hAnsiTheme="minorHAnsi" w:cstheme="majorBidi"/>
          <w:sz w:val="28"/>
          <w:szCs w:val="28"/>
          <w:lang w:eastAsia="en-US"/>
        </w:rPr>
        <w:t>Clinical trials</w:t>
      </w:r>
    </w:p>
    <w:p w:rsidR="005F2754" w:rsidRPr="00E766DF" w:rsidRDefault="005F2754"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TGA Delegate noted that “There are no efficacy studies conducted specifically with the </w:t>
      </w:r>
      <w:r w:rsidR="002672A0" w:rsidRPr="00E766DF">
        <w:rPr>
          <w:rFonts w:asciiTheme="minorHAnsi" w:eastAsiaTheme="minorHAnsi" w:hAnsiTheme="minorHAnsi" w:cstheme="minorBidi"/>
          <w:snapToGrid/>
          <w:sz w:val="24"/>
          <w:szCs w:val="22"/>
        </w:rPr>
        <w:t>film coated tablet</w:t>
      </w:r>
      <w:r w:rsidRPr="00E766DF">
        <w:rPr>
          <w:rFonts w:asciiTheme="minorHAnsi" w:eastAsiaTheme="minorHAnsi" w:hAnsiTheme="minorHAnsi" w:cstheme="minorBidi"/>
          <w:snapToGrid/>
          <w:sz w:val="24"/>
          <w:szCs w:val="22"/>
        </w:rPr>
        <w:t xml:space="preserve"> formulation. This application cross-refers to the existing efficacy data generated with the </w:t>
      </w:r>
      <w:r w:rsidR="002672A0" w:rsidRPr="00E766DF">
        <w:rPr>
          <w:rFonts w:asciiTheme="minorHAnsi" w:eastAsiaTheme="minorHAnsi" w:hAnsiTheme="minorHAnsi" w:cstheme="minorBidi"/>
          <w:snapToGrid/>
          <w:sz w:val="24"/>
          <w:szCs w:val="22"/>
        </w:rPr>
        <w:t xml:space="preserve">dispersible tablet </w:t>
      </w:r>
      <w:r w:rsidRPr="00E766DF">
        <w:rPr>
          <w:rFonts w:asciiTheme="minorHAnsi" w:eastAsiaTheme="minorHAnsi" w:hAnsiTheme="minorHAnsi" w:cstheme="minorBidi"/>
          <w:snapToGrid/>
          <w:sz w:val="24"/>
          <w:szCs w:val="22"/>
        </w:rPr>
        <w:t xml:space="preserve">formulation for which </w:t>
      </w:r>
      <w:r w:rsidR="002672A0" w:rsidRPr="00E766DF">
        <w:rPr>
          <w:rFonts w:asciiTheme="minorHAnsi" w:eastAsiaTheme="minorHAnsi" w:hAnsiTheme="minorHAnsi" w:cstheme="minorBidi"/>
          <w:snapToGrid/>
          <w:sz w:val="24"/>
          <w:szCs w:val="22"/>
        </w:rPr>
        <w:t xml:space="preserve">the film coated tablet </w:t>
      </w:r>
      <w:r w:rsidRPr="00E766DF">
        <w:rPr>
          <w:rFonts w:asciiTheme="minorHAnsi" w:eastAsiaTheme="minorHAnsi" w:hAnsiTheme="minorHAnsi" w:cstheme="minorBidi"/>
          <w:snapToGrid/>
          <w:sz w:val="24"/>
          <w:szCs w:val="22"/>
        </w:rPr>
        <w:t xml:space="preserve">has been demonstrated to be </w:t>
      </w:r>
      <w:proofErr w:type="spellStart"/>
      <w:r w:rsidRPr="00E766DF">
        <w:rPr>
          <w:rFonts w:asciiTheme="minorHAnsi" w:eastAsiaTheme="minorHAnsi" w:hAnsiTheme="minorHAnsi" w:cstheme="minorBidi"/>
          <w:snapToGrid/>
          <w:sz w:val="24"/>
          <w:szCs w:val="22"/>
        </w:rPr>
        <w:t>biocomparable</w:t>
      </w:r>
      <w:proofErr w:type="spellEnd"/>
      <w:r w:rsidRPr="00E766DF">
        <w:rPr>
          <w:rFonts w:asciiTheme="minorHAnsi" w:eastAsiaTheme="minorHAnsi" w:hAnsiTheme="minorHAnsi" w:cstheme="minorBidi"/>
          <w:snapToGrid/>
          <w:sz w:val="24"/>
          <w:szCs w:val="22"/>
        </w:rPr>
        <w:t>”.</w:t>
      </w:r>
    </w:p>
    <w:p w:rsidR="0076420C" w:rsidRPr="00E766DF" w:rsidRDefault="009F4E46"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minor sub</w:t>
      </w:r>
      <w:r w:rsidR="00274034" w:rsidRPr="00E766DF">
        <w:rPr>
          <w:rFonts w:asciiTheme="minorHAnsi" w:eastAsiaTheme="minorHAnsi" w:hAnsiTheme="minorHAnsi" w:cstheme="minorBidi"/>
          <w:snapToGrid/>
          <w:sz w:val="24"/>
          <w:szCs w:val="22"/>
        </w:rPr>
        <w:t>mission presented data from the following randomised</w:t>
      </w:r>
      <w:r w:rsidRPr="00E766DF">
        <w:rPr>
          <w:rFonts w:asciiTheme="minorHAnsi" w:eastAsiaTheme="minorHAnsi" w:hAnsiTheme="minorHAnsi" w:cstheme="minorBidi"/>
          <w:snapToGrid/>
          <w:sz w:val="24"/>
          <w:szCs w:val="22"/>
        </w:rPr>
        <w:t xml:space="preserve"> </w:t>
      </w:r>
      <w:r w:rsidR="00274034" w:rsidRPr="00E766DF">
        <w:rPr>
          <w:rFonts w:asciiTheme="minorHAnsi" w:eastAsiaTheme="minorHAnsi" w:hAnsiTheme="minorHAnsi" w:cstheme="minorBidi"/>
          <w:snapToGrid/>
          <w:sz w:val="24"/>
          <w:szCs w:val="22"/>
        </w:rPr>
        <w:t xml:space="preserve">safety </w:t>
      </w:r>
      <w:r w:rsidRPr="00E766DF">
        <w:rPr>
          <w:rFonts w:asciiTheme="minorHAnsi" w:eastAsiaTheme="minorHAnsi" w:hAnsiTheme="minorHAnsi" w:cstheme="minorBidi"/>
          <w:snapToGrid/>
          <w:sz w:val="24"/>
          <w:szCs w:val="22"/>
        </w:rPr>
        <w:t>trial</w:t>
      </w:r>
      <w:r w:rsidR="00274034" w:rsidRPr="00E766DF">
        <w:rPr>
          <w:rFonts w:asciiTheme="minorHAnsi" w:eastAsiaTheme="minorHAnsi" w:hAnsiTheme="minorHAnsi" w:cstheme="minorBidi"/>
          <w:snapToGrid/>
          <w:sz w:val="24"/>
          <w:szCs w:val="22"/>
        </w:rPr>
        <w:t>.</w:t>
      </w:r>
      <w:r w:rsidR="00E8404E" w:rsidRPr="00E766DF">
        <w:rPr>
          <w:rFonts w:asciiTheme="minorHAnsi" w:eastAsiaTheme="minorHAnsi" w:hAnsiTheme="minorHAnsi" w:cstheme="minorBidi"/>
          <w:snapToGrid/>
          <w:sz w:val="24"/>
          <w:szCs w:val="22"/>
        </w:rPr>
        <w:t xml:space="preserve"> </w:t>
      </w:r>
    </w:p>
    <w:p w:rsidR="0076420C" w:rsidRPr="00E766DF" w:rsidRDefault="00C33442" w:rsidP="00C33442">
      <w:pPr>
        <w:pStyle w:val="NoSpacing"/>
        <w:keepNext/>
        <w:spacing w:after="60"/>
        <w:rPr>
          <w:rFonts w:ascii="Arial Narrow" w:hAnsi="Arial Narrow"/>
          <w:b/>
          <w:sz w:val="20"/>
        </w:rPr>
      </w:pPr>
      <w:r w:rsidRPr="00E766DF">
        <w:rPr>
          <w:rFonts w:ascii="Arial Narrow" w:hAnsi="Arial Narrow"/>
          <w:b/>
          <w:sz w:val="20"/>
        </w:rPr>
        <w:lastRenderedPageBreak/>
        <w:t xml:space="preserve">Table 3: </w:t>
      </w:r>
      <w:r w:rsidR="008172A6" w:rsidRPr="00E766DF">
        <w:rPr>
          <w:rFonts w:ascii="Arial Narrow" w:hAnsi="Arial Narrow"/>
          <w:b/>
          <w:sz w:val="20"/>
        </w:rPr>
        <w:t>Randomised t</w:t>
      </w:r>
      <w:r w:rsidR="0076420C" w:rsidRPr="00E766DF">
        <w:rPr>
          <w:rFonts w:ascii="Arial Narrow" w:hAnsi="Arial Narrow"/>
          <w:b/>
          <w:sz w:val="20"/>
        </w:rPr>
        <w:t>rial presented in the re-submission</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238"/>
        <w:gridCol w:w="1842"/>
      </w:tblGrid>
      <w:tr w:rsidR="0076420C" w:rsidRPr="00E766DF" w:rsidTr="00FD6C09">
        <w:trPr>
          <w:cantSplit/>
          <w:trHeight w:val="279"/>
          <w:tblHeader/>
        </w:trPr>
        <w:tc>
          <w:tcPr>
            <w:tcW w:w="547" w:type="pct"/>
          </w:tcPr>
          <w:p w:rsidR="0076420C" w:rsidRPr="00E766DF" w:rsidRDefault="0076420C" w:rsidP="00FD6C09">
            <w:pPr>
              <w:pStyle w:val="NoSpacing"/>
              <w:keepNext/>
              <w:spacing w:before="40" w:after="40"/>
              <w:jc w:val="left"/>
              <w:rPr>
                <w:rFonts w:ascii="Arial Narrow" w:hAnsi="Arial Narrow"/>
                <w:b/>
                <w:sz w:val="20"/>
              </w:rPr>
            </w:pPr>
            <w:r w:rsidRPr="00E766DF">
              <w:rPr>
                <w:rFonts w:ascii="Arial Narrow" w:hAnsi="Arial Narrow"/>
                <w:b/>
                <w:sz w:val="20"/>
              </w:rPr>
              <w:t>Trial ID</w:t>
            </w:r>
          </w:p>
        </w:tc>
        <w:tc>
          <w:tcPr>
            <w:tcW w:w="3438" w:type="pct"/>
          </w:tcPr>
          <w:p w:rsidR="0076420C" w:rsidRPr="00E766DF" w:rsidRDefault="009B6D11" w:rsidP="00FD6C09">
            <w:pPr>
              <w:keepNext/>
              <w:spacing w:before="40" w:after="40"/>
              <w:rPr>
                <w:rFonts w:ascii="Arial Narrow" w:hAnsi="Arial Narrow"/>
                <w:b/>
                <w:sz w:val="20"/>
              </w:rPr>
            </w:pPr>
            <w:r w:rsidRPr="00E766DF">
              <w:rPr>
                <w:rFonts w:ascii="Arial Narrow" w:hAnsi="Arial Narrow"/>
                <w:b/>
                <w:sz w:val="20"/>
              </w:rPr>
              <w:t>Protocol title/</w:t>
            </w:r>
            <w:r w:rsidR="0076420C" w:rsidRPr="00E766DF">
              <w:rPr>
                <w:rFonts w:ascii="Arial Narrow" w:hAnsi="Arial Narrow"/>
                <w:b/>
                <w:sz w:val="20"/>
              </w:rPr>
              <w:t>Publication title</w:t>
            </w:r>
          </w:p>
        </w:tc>
        <w:tc>
          <w:tcPr>
            <w:tcW w:w="1015" w:type="pct"/>
          </w:tcPr>
          <w:p w:rsidR="0076420C" w:rsidRPr="00E766DF" w:rsidRDefault="0076420C" w:rsidP="00FD6C09">
            <w:pPr>
              <w:keepNext/>
              <w:spacing w:before="40" w:after="40"/>
              <w:rPr>
                <w:rFonts w:ascii="Arial Narrow" w:hAnsi="Arial Narrow"/>
                <w:b/>
                <w:sz w:val="20"/>
              </w:rPr>
            </w:pPr>
            <w:r w:rsidRPr="00E766DF">
              <w:rPr>
                <w:rFonts w:ascii="Arial Narrow" w:hAnsi="Arial Narrow"/>
                <w:b/>
                <w:sz w:val="20"/>
              </w:rPr>
              <w:t>Publication citation</w:t>
            </w:r>
          </w:p>
        </w:tc>
      </w:tr>
      <w:tr w:rsidR="0076420C" w:rsidRPr="00E766DF" w:rsidTr="00274034">
        <w:trPr>
          <w:cantSplit/>
          <w:trHeight w:val="317"/>
        </w:trPr>
        <w:tc>
          <w:tcPr>
            <w:tcW w:w="5000" w:type="pct"/>
            <w:gridSpan w:val="3"/>
          </w:tcPr>
          <w:p w:rsidR="0076420C" w:rsidRPr="00E766DF" w:rsidRDefault="0076420C" w:rsidP="00FD6C09">
            <w:pPr>
              <w:pStyle w:val="NoSpacing"/>
              <w:keepNext/>
              <w:spacing w:before="40" w:after="40"/>
              <w:rPr>
                <w:rFonts w:ascii="Arial Narrow" w:hAnsi="Arial Narrow"/>
                <w:b/>
                <w:sz w:val="20"/>
              </w:rPr>
            </w:pPr>
            <w:r w:rsidRPr="00E766DF">
              <w:rPr>
                <w:rFonts w:ascii="Arial Narrow" w:hAnsi="Arial Narrow"/>
                <w:b/>
                <w:sz w:val="20"/>
              </w:rPr>
              <w:t>Direct randomised trial</w:t>
            </w:r>
          </w:p>
        </w:tc>
      </w:tr>
      <w:tr w:rsidR="0076420C" w:rsidRPr="00E766DF" w:rsidTr="00FD6C09">
        <w:trPr>
          <w:cantSplit/>
          <w:trHeight w:val="317"/>
        </w:trPr>
        <w:tc>
          <w:tcPr>
            <w:tcW w:w="547" w:type="pct"/>
          </w:tcPr>
          <w:p w:rsidR="0076420C" w:rsidRPr="00E766DF" w:rsidRDefault="00A9326A" w:rsidP="00FD6C09">
            <w:pPr>
              <w:pStyle w:val="NoSpacing"/>
              <w:keepNext/>
              <w:rPr>
                <w:rFonts w:ascii="Arial Narrow" w:hAnsi="Arial Narrow"/>
                <w:sz w:val="20"/>
              </w:rPr>
            </w:pPr>
            <w:r w:rsidRPr="00E766DF">
              <w:rPr>
                <w:rFonts w:ascii="Arial Narrow" w:hAnsi="Arial Narrow"/>
                <w:sz w:val="20"/>
              </w:rPr>
              <w:t>ECLIPSE</w:t>
            </w:r>
          </w:p>
        </w:tc>
        <w:tc>
          <w:tcPr>
            <w:tcW w:w="3438" w:type="pct"/>
          </w:tcPr>
          <w:p w:rsidR="0076420C" w:rsidRPr="00E766DF" w:rsidRDefault="00A9326A" w:rsidP="00FD6C09">
            <w:pPr>
              <w:keepNext/>
              <w:rPr>
                <w:rFonts w:ascii="Arial Narrow" w:hAnsi="Arial Narrow"/>
                <w:sz w:val="20"/>
              </w:rPr>
            </w:pPr>
            <w:r w:rsidRPr="00E766DF">
              <w:rPr>
                <w:rFonts w:ascii="Arial Narrow" w:hAnsi="Arial Narrow"/>
                <w:sz w:val="20"/>
              </w:rPr>
              <w:t>A randomized, open-label, multicentre, two-arm, phase II study to investigate the benefits of an improved deferasirox formulation (film-coated tablet)</w:t>
            </w:r>
          </w:p>
          <w:p w:rsidR="00A9326A" w:rsidRPr="00E766DF" w:rsidRDefault="00A9326A" w:rsidP="00FD6C09">
            <w:pPr>
              <w:keepNext/>
              <w:rPr>
                <w:rFonts w:ascii="Arial Narrow" w:hAnsi="Arial Narrow"/>
                <w:sz w:val="20"/>
              </w:rPr>
            </w:pPr>
          </w:p>
          <w:p w:rsidR="00A9326A" w:rsidRPr="00E766DF" w:rsidRDefault="00274034" w:rsidP="00FD6C09">
            <w:pPr>
              <w:keepNext/>
              <w:rPr>
                <w:rFonts w:ascii="Arial Narrow" w:hAnsi="Arial Narrow"/>
                <w:sz w:val="20"/>
              </w:rPr>
            </w:pPr>
            <w:proofErr w:type="spellStart"/>
            <w:r w:rsidRPr="00E766DF">
              <w:rPr>
                <w:rFonts w:ascii="Arial Narrow" w:hAnsi="Arial Narrow"/>
                <w:sz w:val="20"/>
              </w:rPr>
              <w:t>Taher</w:t>
            </w:r>
            <w:proofErr w:type="spellEnd"/>
            <w:r w:rsidRPr="00E766DF">
              <w:rPr>
                <w:rFonts w:ascii="Arial Narrow" w:hAnsi="Arial Narrow"/>
                <w:sz w:val="20"/>
              </w:rPr>
              <w:t xml:space="preserve"> AT, </w:t>
            </w:r>
            <w:proofErr w:type="spellStart"/>
            <w:r w:rsidRPr="00E766DF">
              <w:rPr>
                <w:rFonts w:ascii="Arial Narrow" w:hAnsi="Arial Narrow"/>
                <w:sz w:val="20"/>
              </w:rPr>
              <w:t>Origa</w:t>
            </w:r>
            <w:proofErr w:type="spellEnd"/>
            <w:r w:rsidRPr="00E766DF">
              <w:rPr>
                <w:rFonts w:ascii="Arial Narrow" w:hAnsi="Arial Narrow"/>
                <w:sz w:val="20"/>
              </w:rPr>
              <w:t xml:space="preserve"> R, </w:t>
            </w:r>
            <w:proofErr w:type="spellStart"/>
            <w:r w:rsidRPr="00E766DF">
              <w:rPr>
                <w:rFonts w:ascii="Arial Narrow" w:hAnsi="Arial Narrow"/>
                <w:sz w:val="20"/>
              </w:rPr>
              <w:t>Perrotta</w:t>
            </w:r>
            <w:proofErr w:type="spellEnd"/>
            <w:r w:rsidRPr="00E766DF">
              <w:rPr>
                <w:rFonts w:ascii="Arial Narrow" w:hAnsi="Arial Narrow"/>
                <w:sz w:val="20"/>
              </w:rPr>
              <w:t xml:space="preserve"> S</w:t>
            </w:r>
            <w:r w:rsidRPr="00E766DF">
              <w:rPr>
                <w:rFonts w:ascii="Arial Narrow" w:hAnsi="Arial Narrow"/>
                <w:i/>
                <w:sz w:val="20"/>
              </w:rPr>
              <w:t>, et al</w:t>
            </w:r>
            <w:r w:rsidRPr="00E766DF">
              <w:rPr>
                <w:rFonts w:ascii="Arial Narrow" w:hAnsi="Arial Narrow"/>
                <w:sz w:val="20"/>
              </w:rPr>
              <w:t>. New film-coated tablet formulation of deferasirox is well tolerated in patients with thalassemia or lower-risk MDS: Results of the randomized, phase II ECLIPSE study.</w:t>
            </w:r>
          </w:p>
        </w:tc>
        <w:tc>
          <w:tcPr>
            <w:tcW w:w="1015" w:type="pct"/>
          </w:tcPr>
          <w:p w:rsidR="0076420C" w:rsidRPr="00E766DF" w:rsidRDefault="00A9326A" w:rsidP="00FD6C09">
            <w:pPr>
              <w:keepNext/>
              <w:rPr>
                <w:rFonts w:ascii="Arial Narrow" w:hAnsi="Arial Narrow"/>
                <w:sz w:val="20"/>
              </w:rPr>
            </w:pPr>
            <w:r w:rsidRPr="00E766DF">
              <w:rPr>
                <w:rFonts w:ascii="Arial Narrow" w:hAnsi="Arial Narrow"/>
                <w:sz w:val="20"/>
              </w:rPr>
              <w:t>7 July 2016</w:t>
            </w:r>
          </w:p>
          <w:p w:rsidR="00274034" w:rsidRPr="00E766DF" w:rsidRDefault="00274034" w:rsidP="00FD6C09">
            <w:pPr>
              <w:keepNext/>
              <w:rPr>
                <w:rFonts w:ascii="Arial Narrow" w:hAnsi="Arial Narrow"/>
                <w:sz w:val="20"/>
              </w:rPr>
            </w:pPr>
          </w:p>
          <w:p w:rsidR="00274034" w:rsidRPr="00E766DF" w:rsidRDefault="00274034" w:rsidP="00FD6C09">
            <w:pPr>
              <w:keepNext/>
              <w:rPr>
                <w:rFonts w:ascii="Arial Narrow" w:hAnsi="Arial Narrow"/>
                <w:sz w:val="20"/>
              </w:rPr>
            </w:pPr>
          </w:p>
          <w:p w:rsidR="00274034" w:rsidRPr="00E766DF" w:rsidRDefault="00274034" w:rsidP="00FD6C09">
            <w:pPr>
              <w:keepNext/>
              <w:rPr>
                <w:rFonts w:ascii="Arial Narrow" w:hAnsi="Arial Narrow"/>
                <w:sz w:val="20"/>
              </w:rPr>
            </w:pPr>
            <w:r w:rsidRPr="00E766DF">
              <w:rPr>
                <w:rFonts w:ascii="Arial Narrow" w:hAnsi="Arial Narrow"/>
                <w:i/>
                <w:sz w:val="20"/>
              </w:rPr>
              <w:t xml:space="preserve">Am J </w:t>
            </w:r>
            <w:proofErr w:type="spellStart"/>
            <w:r w:rsidRPr="00E766DF">
              <w:rPr>
                <w:rFonts w:ascii="Arial Narrow" w:hAnsi="Arial Narrow"/>
                <w:i/>
                <w:sz w:val="20"/>
              </w:rPr>
              <w:t>Hematol</w:t>
            </w:r>
            <w:proofErr w:type="spellEnd"/>
            <w:r w:rsidRPr="00E766DF">
              <w:rPr>
                <w:rFonts w:ascii="Arial Narrow" w:hAnsi="Arial Narrow"/>
                <w:sz w:val="20"/>
              </w:rPr>
              <w:t>. 2017; 92: 420-428.</w:t>
            </w:r>
          </w:p>
        </w:tc>
      </w:tr>
    </w:tbl>
    <w:p w:rsidR="0076420C" w:rsidRPr="00E766DF" w:rsidRDefault="0076420C" w:rsidP="00274034">
      <w:pPr>
        <w:pStyle w:val="tablenotes"/>
        <w:rPr>
          <w:rFonts w:ascii="Arial Narrow" w:hAnsi="Arial Narrow"/>
          <w:sz w:val="18"/>
          <w:szCs w:val="18"/>
        </w:rPr>
      </w:pPr>
      <w:r w:rsidRPr="00E766DF">
        <w:rPr>
          <w:rFonts w:ascii="Arial Narrow" w:hAnsi="Arial Narrow"/>
          <w:sz w:val="18"/>
          <w:szCs w:val="18"/>
        </w:rPr>
        <w:t xml:space="preserve">Source: </w:t>
      </w:r>
      <w:r w:rsidR="00274034" w:rsidRPr="00E766DF">
        <w:rPr>
          <w:rFonts w:ascii="Arial Narrow" w:hAnsi="Arial Narrow"/>
          <w:sz w:val="18"/>
          <w:szCs w:val="18"/>
        </w:rPr>
        <w:t>Table 5, p12 of the submission</w:t>
      </w:r>
    </w:p>
    <w:p w:rsidR="00274034" w:rsidRPr="00E766DF" w:rsidRDefault="00274034" w:rsidP="00274034">
      <w:pPr>
        <w:pStyle w:val="tablenotes"/>
        <w:rPr>
          <w:rFonts w:ascii="Arial Narrow" w:hAnsi="Arial Narrow"/>
          <w:sz w:val="18"/>
          <w:szCs w:val="18"/>
        </w:rPr>
      </w:pPr>
      <w:r w:rsidRPr="00E766DF">
        <w:rPr>
          <w:rFonts w:ascii="Arial Narrow" w:hAnsi="Arial Narrow"/>
          <w:sz w:val="18"/>
          <w:szCs w:val="18"/>
        </w:rPr>
        <w:t>MDS = myelodysplastic syndrome</w:t>
      </w:r>
    </w:p>
    <w:p w:rsidR="0076420C" w:rsidRPr="00E766DF" w:rsidRDefault="0076420C" w:rsidP="0076420C">
      <w:pPr>
        <w:pStyle w:val="ListParagraph"/>
        <w:ind w:left="709"/>
        <w:rPr>
          <w:rFonts w:asciiTheme="minorHAnsi" w:hAnsiTheme="minorHAnsi"/>
          <w:szCs w:val="22"/>
        </w:rPr>
      </w:pPr>
    </w:p>
    <w:p w:rsidR="00F21666" w:rsidRPr="00E766DF" w:rsidRDefault="005C0831"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ECLIPSE trial was a randomised, open-label, Phase II study that evaluated the safety of the film coated and dispersible </w:t>
      </w:r>
      <w:r w:rsidR="009B6D11" w:rsidRPr="00E766DF">
        <w:rPr>
          <w:rFonts w:asciiTheme="minorHAnsi" w:eastAsiaTheme="minorHAnsi" w:hAnsiTheme="minorHAnsi" w:cstheme="minorBidi"/>
          <w:snapToGrid/>
          <w:sz w:val="24"/>
          <w:szCs w:val="22"/>
        </w:rPr>
        <w:t xml:space="preserve">tablet </w:t>
      </w:r>
      <w:r w:rsidRPr="00E766DF">
        <w:rPr>
          <w:rFonts w:asciiTheme="minorHAnsi" w:eastAsiaTheme="minorHAnsi" w:hAnsiTheme="minorHAnsi" w:cstheme="minorBidi"/>
          <w:snapToGrid/>
          <w:sz w:val="24"/>
          <w:szCs w:val="22"/>
        </w:rPr>
        <w:t xml:space="preserve">formulations in patients with </w:t>
      </w:r>
      <w:r w:rsidR="009B6D11" w:rsidRPr="00E766DF">
        <w:rPr>
          <w:rFonts w:asciiTheme="minorHAnsi" w:eastAsiaTheme="minorHAnsi" w:hAnsiTheme="minorHAnsi" w:cstheme="minorBidi"/>
          <w:snapToGrid/>
          <w:sz w:val="24"/>
          <w:szCs w:val="22"/>
        </w:rPr>
        <w:t xml:space="preserve">either </w:t>
      </w:r>
      <w:r w:rsidRPr="00E766DF">
        <w:rPr>
          <w:rFonts w:asciiTheme="minorHAnsi" w:eastAsiaTheme="minorHAnsi" w:hAnsiTheme="minorHAnsi" w:cstheme="minorBidi"/>
          <w:snapToGrid/>
          <w:sz w:val="24"/>
          <w:szCs w:val="22"/>
        </w:rPr>
        <w:t>transfusion-dependent thalassemia</w:t>
      </w:r>
      <w:r w:rsidR="00F21666" w:rsidRPr="00E766DF">
        <w:rPr>
          <w:rFonts w:asciiTheme="minorHAnsi" w:eastAsiaTheme="minorHAnsi" w:hAnsiTheme="minorHAnsi" w:cstheme="minorBidi"/>
          <w:snapToGrid/>
          <w:sz w:val="24"/>
          <w:szCs w:val="22"/>
        </w:rPr>
        <w:t xml:space="preserve"> (TDT)</w:t>
      </w:r>
      <w:r w:rsidRPr="00E766DF">
        <w:rPr>
          <w:rFonts w:asciiTheme="minorHAnsi" w:eastAsiaTheme="minorHAnsi" w:hAnsiTheme="minorHAnsi" w:cstheme="minorBidi"/>
          <w:snapToGrid/>
          <w:sz w:val="24"/>
          <w:szCs w:val="22"/>
        </w:rPr>
        <w:t xml:space="preserve"> or Revised International Prognostic Scoring System (IPSS-R) very low-, low-</w:t>
      </w:r>
      <w:r w:rsidR="00E8404E" w:rsidRPr="00E766DF">
        <w:rPr>
          <w:rFonts w:asciiTheme="minorHAnsi" w:eastAsiaTheme="minorHAnsi" w:hAnsiTheme="minorHAnsi" w:cstheme="minorBidi"/>
          <w:snapToGrid/>
          <w:sz w:val="24"/>
          <w:szCs w:val="22"/>
        </w:rPr>
        <w:t>,</w:t>
      </w:r>
      <w:r w:rsidRPr="00E766DF">
        <w:rPr>
          <w:rFonts w:asciiTheme="minorHAnsi" w:eastAsiaTheme="minorHAnsi" w:hAnsiTheme="minorHAnsi" w:cstheme="minorBidi"/>
          <w:snapToGrid/>
          <w:sz w:val="24"/>
          <w:szCs w:val="22"/>
        </w:rPr>
        <w:t xml:space="preserve"> or intermediate-risk myelodysplastic syndrome</w:t>
      </w:r>
      <w:r w:rsidR="000F0BEF" w:rsidRPr="00E766DF">
        <w:rPr>
          <w:rFonts w:asciiTheme="minorHAnsi" w:eastAsiaTheme="minorHAnsi" w:hAnsiTheme="minorHAnsi" w:cstheme="minorBidi"/>
          <w:snapToGrid/>
          <w:sz w:val="24"/>
          <w:szCs w:val="22"/>
        </w:rPr>
        <w:t xml:space="preserve"> (MDS).</w:t>
      </w:r>
      <w:r w:rsidR="00F21666" w:rsidRPr="00E766DF">
        <w:rPr>
          <w:rFonts w:asciiTheme="minorHAnsi" w:eastAsiaTheme="minorHAnsi" w:hAnsiTheme="minorHAnsi" w:cstheme="minorBidi"/>
          <w:snapToGrid/>
          <w:sz w:val="24"/>
          <w:szCs w:val="22"/>
        </w:rPr>
        <w:t xml:space="preserve"> </w:t>
      </w:r>
    </w:p>
    <w:p w:rsidR="00F21666" w:rsidRPr="00E766DF" w:rsidRDefault="00F21666"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Iron chelation therapy naïve or pre-treated patients were included in the trial if they were aged 10 years or older, required treatment with deferasirox dispersible tablet doses of ≥ 30 mg/kg/day (TDT) or ≥</w:t>
      </w:r>
      <w:r w:rsidR="000F0BEF" w:rsidRPr="00E766DF">
        <w:rPr>
          <w:rFonts w:asciiTheme="minorHAnsi" w:eastAsiaTheme="minorHAnsi" w:hAnsiTheme="minorHAnsi" w:cstheme="minorBidi"/>
          <w:snapToGrid/>
          <w:sz w:val="24"/>
          <w:szCs w:val="22"/>
        </w:rPr>
        <w:t xml:space="preserve"> 20 mg/kg/day (MDS), had a transfusion history of ≥ 20 mg packed red blood cell units, anticipated transfusion requirements of ≥ 8 units/year during the study and serum ferritin &gt; 1,000 n</w:t>
      </w:r>
      <w:r w:rsidR="006A25A1" w:rsidRPr="00E766DF">
        <w:rPr>
          <w:rFonts w:asciiTheme="minorHAnsi" w:eastAsiaTheme="minorHAnsi" w:hAnsiTheme="minorHAnsi" w:cstheme="minorBidi"/>
          <w:snapToGrid/>
          <w:sz w:val="24"/>
          <w:szCs w:val="22"/>
        </w:rPr>
        <w:t>g</w:t>
      </w:r>
      <w:r w:rsidR="000F0BEF" w:rsidRPr="00E766DF">
        <w:rPr>
          <w:rFonts w:asciiTheme="minorHAnsi" w:eastAsiaTheme="minorHAnsi" w:hAnsiTheme="minorHAnsi" w:cstheme="minorBidi"/>
          <w:snapToGrid/>
          <w:sz w:val="24"/>
          <w:szCs w:val="22"/>
        </w:rPr>
        <w:t>/mL at screening.</w:t>
      </w:r>
    </w:p>
    <w:p w:rsidR="005C0831" w:rsidRPr="00E766DF" w:rsidRDefault="00F21666"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primary outcome was overall safety, measured by frequency and severity of adverse events and changes in laboratory values from baseline to 24 weeks. Secondary endpoints included gastrointestinal adverse events, treatment compliance, patient satisfaction, palatability, patient reported gastrointestinal outcomes and pharmacokinetics.</w:t>
      </w:r>
    </w:p>
    <w:p w:rsidR="000F0BEF" w:rsidRPr="00E766DF" w:rsidRDefault="000F0BEF"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baseline demographics of the 173 trial patients are presented below.</w:t>
      </w:r>
    </w:p>
    <w:p w:rsidR="000F0BEF" w:rsidRPr="00E766DF" w:rsidRDefault="00C33442" w:rsidP="00C33442">
      <w:pPr>
        <w:keepNext/>
        <w:spacing w:after="60"/>
        <w:rPr>
          <w:rStyle w:val="CommentReference"/>
          <w:rFonts w:ascii="Arial Narrow" w:eastAsiaTheme="minorHAnsi" w:hAnsi="Arial Narrow"/>
          <w:b/>
          <w:sz w:val="20"/>
          <w:szCs w:val="20"/>
        </w:rPr>
      </w:pPr>
      <w:r w:rsidRPr="00E766DF">
        <w:rPr>
          <w:rStyle w:val="CommentReference"/>
          <w:rFonts w:ascii="Arial Narrow" w:eastAsiaTheme="minorHAnsi" w:hAnsi="Arial Narrow"/>
          <w:b/>
          <w:sz w:val="20"/>
          <w:szCs w:val="20"/>
        </w:rPr>
        <w:t xml:space="preserve">Table 4: </w:t>
      </w:r>
      <w:r w:rsidR="00ED7B98" w:rsidRPr="00E766DF">
        <w:rPr>
          <w:rStyle w:val="CommentReference"/>
          <w:rFonts w:ascii="Arial Narrow" w:eastAsiaTheme="minorHAnsi" w:hAnsi="Arial Narrow"/>
          <w:b/>
          <w:sz w:val="20"/>
          <w:szCs w:val="20"/>
        </w:rPr>
        <w:t xml:space="preserve">Baseline characteristics of ECLIPSE </w:t>
      </w:r>
      <w:r w:rsidR="006A25A1" w:rsidRPr="00E766DF">
        <w:rPr>
          <w:rStyle w:val="CommentReference"/>
          <w:rFonts w:ascii="Arial Narrow" w:eastAsiaTheme="minorHAnsi" w:hAnsi="Arial Narrow"/>
          <w:b/>
          <w:sz w:val="20"/>
          <w:szCs w:val="20"/>
        </w:rPr>
        <w:t xml:space="preserve">trial </w:t>
      </w:r>
      <w:r w:rsidR="00ED7B98" w:rsidRPr="00E766DF">
        <w:rPr>
          <w:rStyle w:val="CommentReference"/>
          <w:rFonts w:ascii="Arial Narrow" w:eastAsiaTheme="minorHAnsi" w:hAnsi="Arial Narrow"/>
          <w:b/>
          <w:sz w:val="20"/>
          <w:szCs w:val="20"/>
        </w:rPr>
        <w:t>patients</w:t>
      </w:r>
    </w:p>
    <w:tbl>
      <w:tblPr>
        <w:tblStyle w:val="TableGrid"/>
        <w:tblW w:w="0" w:type="auto"/>
        <w:tblInd w:w="108" w:type="dxa"/>
        <w:tblLook w:val="04A0" w:firstRow="1" w:lastRow="0" w:firstColumn="1" w:lastColumn="0" w:noHBand="0" w:noVBand="1"/>
        <w:tblCaption w:val="Table 4: Baseline characteristics of ECLIPSE trial patients"/>
      </w:tblPr>
      <w:tblGrid>
        <w:gridCol w:w="2972"/>
        <w:gridCol w:w="3081"/>
        <w:gridCol w:w="3081"/>
      </w:tblGrid>
      <w:tr w:rsidR="000F0BEF" w:rsidRPr="00E766DF" w:rsidTr="00A65B8D">
        <w:trPr>
          <w:tblHeader/>
        </w:trPr>
        <w:tc>
          <w:tcPr>
            <w:tcW w:w="2972" w:type="dxa"/>
          </w:tcPr>
          <w:p w:rsidR="000F0BEF" w:rsidRPr="00E766DF" w:rsidRDefault="000F0BEF" w:rsidP="006A25A1">
            <w:pPr>
              <w:keepNext/>
              <w:rPr>
                <w:rFonts w:ascii="Arial Narrow" w:eastAsiaTheme="minorHAnsi" w:hAnsi="Arial Narrow" w:cstheme="minorBidi"/>
                <w:b/>
                <w:sz w:val="20"/>
                <w:szCs w:val="20"/>
              </w:rPr>
            </w:pPr>
          </w:p>
        </w:tc>
        <w:tc>
          <w:tcPr>
            <w:tcW w:w="3081" w:type="dxa"/>
          </w:tcPr>
          <w:p w:rsidR="000F0BEF" w:rsidRPr="00E766DF" w:rsidRDefault="000F0BEF" w:rsidP="006A25A1">
            <w:pPr>
              <w:keepNext/>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Dispersible tablets</w:t>
            </w:r>
          </w:p>
        </w:tc>
        <w:tc>
          <w:tcPr>
            <w:tcW w:w="3081" w:type="dxa"/>
          </w:tcPr>
          <w:p w:rsidR="000F0BEF" w:rsidRPr="00E766DF" w:rsidRDefault="000F0BEF" w:rsidP="006A25A1">
            <w:pPr>
              <w:keepNext/>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Film coated tablets</w:t>
            </w:r>
          </w:p>
        </w:tc>
      </w:tr>
      <w:tr w:rsidR="000F0BEF" w:rsidRPr="00E766DF" w:rsidTr="00696483">
        <w:tc>
          <w:tcPr>
            <w:tcW w:w="2972"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N</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86</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87</w:t>
            </w:r>
          </w:p>
        </w:tc>
      </w:tr>
      <w:tr w:rsidR="000F0BEF" w:rsidRPr="00E766DF" w:rsidTr="00696483">
        <w:tc>
          <w:tcPr>
            <w:tcW w:w="2972"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Mean age, years (SD)</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35.1 (18.6)</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34.6 (20.0)</w:t>
            </w:r>
          </w:p>
        </w:tc>
      </w:tr>
      <w:tr w:rsidR="000F0BEF" w:rsidRPr="00E766DF" w:rsidTr="00696483">
        <w:tc>
          <w:tcPr>
            <w:tcW w:w="2972"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Male, n (%)</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39 (45.3%)</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46 (52.9%)</w:t>
            </w:r>
          </w:p>
        </w:tc>
      </w:tr>
      <w:tr w:rsidR="000F0BEF" w:rsidRPr="00E766DF" w:rsidTr="00696483">
        <w:tc>
          <w:tcPr>
            <w:tcW w:w="2972"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Race, n (%):</w:t>
            </w:r>
          </w:p>
          <w:p w:rsidR="000F0BEF" w:rsidRPr="00E766DF" w:rsidRDefault="000F0BEF" w:rsidP="006A25A1">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Caucasian</w:t>
            </w:r>
          </w:p>
          <w:p w:rsidR="000F0BEF" w:rsidRPr="00E766DF" w:rsidRDefault="000F0BEF" w:rsidP="006A25A1">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Asian</w:t>
            </w:r>
          </w:p>
          <w:p w:rsidR="000F0BEF" w:rsidRPr="00E766DF" w:rsidRDefault="000F0BEF" w:rsidP="006A25A1">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Other</w:t>
            </w:r>
          </w:p>
        </w:tc>
        <w:tc>
          <w:tcPr>
            <w:tcW w:w="3081" w:type="dxa"/>
          </w:tcPr>
          <w:p w:rsidR="000F0BEF" w:rsidRPr="00E766DF" w:rsidRDefault="000F0BEF" w:rsidP="006A25A1">
            <w:pPr>
              <w:keepNext/>
              <w:rPr>
                <w:rFonts w:ascii="Arial Narrow" w:eastAsiaTheme="minorHAnsi" w:hAnsi="Arial Narrow" w:cstheme="minorBidi"/>
                <w:sz w:val="20"/>
                <w:szCs w:val="20"/>
              </w:rPr>
            </w:pPr>
          </w:p>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61 (70.9%)</w:t>
            </w:r>
          </w:p>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20 (23.3%)</w:t>
            </w:r>
          </w:p>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5 (5.8%)</w:t>
            </w:r>
          </w:p>
        </w:tc>
        <w:tc>
          <w:tcPr>
            <w:tcW w:w="3081" w:type="dxa"/>
          </w:tcPr>
          <w:p w:rsidR="000F0BEF" w:rsidRPr="00E766DF" w:rsidRDefault="000F0BEF" w:rsidP="006A25A1">
            <w:pPr>
              <w:keepNext/>
              <w:rPr>
                <w:rFonts w:ascii="Arial Narrow" w:eastAsiaTheme="minorHAnsi" w:hAnsi="Arial Narrow" w:cstheme="minorBidi"/>
                <w:sz w:val="20"/>
                <w:szCs w:val="20"/>
              </w:rPr>
            </w:pPr>
          </w:p>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62 (71.3%)</w:t>
            </w:r>
          </w:p>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16 (18.4%)</w:t>
            </w:r>
          </w:p>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9 (10.3%)</w:t>
            </w:r>
          </w:p>
        </w:tc>
      </w:tr>
      <w:tr w:rsidR="000F0BEF" w:rsidRPr="00E766DF" w:rsidTr="00696483">
        <w:tc>
          <w:tcPr>
            <w:tcW w:w="2972"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Previous chelation, n (%)</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77 (89.5%)</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79 (90.8%)</w:t>
            </w:r>
          </w:p>
        </w:tc>
      </w:tr>
      <w:tr w:rsidR="000F0BEF" w:rsidRPr="00E766DF" w:rsidTr="00696483">
        <w:tc>
          <w:tcPr>
            <w:tcW w:w="2972"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Prior deferasirox, n (%)</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68 (79.1%)</w:t>
            </w:r>
          </w:p>
        </w:tc>
        <w:tc>
          <w:tcPr>
            <w:tcW w:w="3081" w:type="dxa"/>
          </w:tcPr>
          <w:p w:rsidR="000F0BEF" w:rsidRPr="00E766DF" w:rsidRDefault="000F0BEF" w:rsidP="006A25A1">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71 (81.6%)</w:t>
            </w:r>
          </w:p>
        </w:tc>
      </w:tr>
    </w:tbl>
    <w:p w:rsidR="000F0BEF" w:rsidRPr="00E766DF" w:rsidRDefault="000F0BEF" w:rsidP="000F0BEF">
      <w:pPr>
        <w:pStyle w:val="tablenotes"/>
        <w:rPr>
          <w:rFonts w:ascii="Arial Narrow" w:eastAsiaTheme="minorHAnsi" w:hAnsi="Arial Narrow"/>
          <w:sz w:val="18"/>
          <w:szCs w:val="18"/>
        </w:rPr>
      </w:pPr>
      <w:r w:rsidRPr="00E766DF">
        <w:rPr>
          <w:rFonts w:ascii="Arial Narrow" w:eastAsiaTheme="minorHAnsi" w:hAnsi="Arial Narrow"/>
          <w:sz w:val="18"/>
          <w:szCs w:val="18"/>
        </w:rPr>
        <w:t>Source: Table 6, pp15-16 of the submission</w:t>
      </w:r>
    </w:p>
    <w:p w:rsidR="000F0BEF" w:rsidRPr="00E766DF" w:rsidRDefault="000F0BEF" w:rsidP="000F0BEF">
      <w:pPr>
        <w:pStyle w:val="tablenotes"/>
        <w:rPr>
          <w:rFonts w:ascii="Arial Narrow" w:eastAsiaTheme="minorHAnsi" w:hAnsi="Arial Narrow"/>
          <w:sz w:val="18"/>
          <w:szCs w:val="18"/>
        </w:rPr>
      </w:pPr>
      <w:r w:rsidRPr="00E766DF">
        <w:rPr>
          <w:rFonts w:ascii="Arial Narrow" w:eastAsiaTheme="minorHAnsi" w:hAnsi="Arial Narrow"/>
          <w:sz w:val="18"/>
          <w:szCs w:val="18"/>
        </w:rPr>
        <w:t>SD = standard deviation</w:t>
      </w:r>
    </w:p>
    <w:p w:rsidR="000F0BEF" w:rsidRPr="00E766DF" w:rsidRDefault="000F0BEF" w:rsidP="000F0BEF">
      <w:pPr>
        <w:rPr>
          <w:rFonts w:eastAsiaTheme="minorHAnsi"/>
        </w:rPr>
      </w:pPr>
    </w:p>
    <w:p w:rsidR="000F0BEF" w:rsidRPr="00E766DF" w:rsidRDefault="0041436F"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Iron chelation naïve patients received a starting dose of 20 mg/kg/day for the dispersible tablets and 14 mg/kg/day for the film coated tablets, with dose adjustments possible every four weeks. Previously treated patients started on a dispersible or film coated tablet dose equivalent; dose adjustments were possible every three months. </w:t>
      </w:r>
    </w:p>
    <w:p w:rsidR="00D56F81" w:rsidRPr="00E766DF" w:rsidRDefault="00D56F81"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lastRenderedPageBreak/>
        <w:t>Patient exposure is summarised in the table below.</w:t>
      </w:r>
    </w:p>
    <w:p w:rsidR="00D56F81" w:rsidRPr="00E766DF" w:rsidRDefault="00C33442" w:rsidP="00094809">
      <w:pPr>
        <w:keepNext/>
        <w:spacing w:after="60"/>
        <w:rPr>
          <w:rStyle w:val="CommentReference"/>
          <w:rFonts w:ascii="Arial Narrow" w:eastAsiaTheme="minorHAnsi" w:hAnsi="Arial Narrow"/>
          <w:b/>
          <w:sz w:val="20"/>
          <w:szCs w:val="20"/>
        </w:rPr>
      </w:pPr>
      <w:r w:rsidRPr="00E766DF">
        <w:rPr>
          <w:rStyle w:val="CommentReference"/>
          <w:rFonts w:ascii="Arial Narrow" w:eastAsiaTheme="minorHAnsi" w:hAnsi="Arial Narrow"/>
          <w:b/>
          <w:sz w:val="20"/>
          <w:szCs w:val="20"/>
        </w:rPr>
        <w:t xml:space="preserve">Table 5: </w:t>
      </w:r>
      <w:r w:rsidR="00D56F81" w:rsidRPr="00E766DF">
        <w:rPr>
          <w:rStyle w:val="CommentReference"/>
          <w:rFonts w:ascii="Arial Narrow" w:eastAsiaTheme="minorHAnsi" w:hAnsi="Arial Narrow"/>
          <w:b/>
          <w:sz w:val="20"/>
          <w:szCs w:val="20"/>
        </w:rPr>
        <w:t>Patient exposure in the ECLIPSE trial</w:t>
      </w:r>
    </w:p>
    <w:tbl>
      <w:tblPr>
        <w:tblStyle w:val="TableGrid"/>
        <w:tblW w:w="0" w:type="auto"/>
        <w:tblInd w:w="108" w:type="dxa"/>
        <w:tblLook w:val="04A0" w:firstRow="1" w:lastRow="0" w:firstColumn="1" w:lastColumn="0" w:noHBand="0" w:noVBand="1"/>
        <w:tblCaption w:val="Table 5: Patient exposure in the ECLIPSE trial"/>
      </w:tblPr>
      <w:tblGrid>
        <w:gridCol w:w="2972"/>
        <w:gridCol w:w="3081"/>
        <w:gridCol w:w="3081"/>
      </w:tblGrid>
      <w:tr w:rsidR="00D56F81" w:rsidRPr="00E766DF" w:rsidTr="00A65B8D">
        <w:trPr>
          <w:tblHeader/>
        </w:trPr>
        <w:tc>
          <w:tcPr>
            <w:tcW w:w="2972" w:type="dxa"/>
          </w:tcPr>
          <w:p w:rsidR="00D56F81" w:rsidRPr="00E766DF" w:rsidRDefault="00D56F81" w:rsidP="00094809">
            <w:pPr>
              <w:keepNext/>
              <w:rPr>
                <w:rFonts w:ascii="Arial Narrow" w:eastAsiaTheme="minorHAnsi" w:hAnsi="Arial Narrow" w:cstheme="minorBidi"/>
                <w:b/>
                <w:sz w:val="20"/>
                <w:szCs w:val="20"/>
              </w:rPr>
            </w:pPr>
          </w:p>
        </w:tc>
        <w:tc>
          <w:tcPr>
            <w:tcW w:w="3081" w:type="dxa"/>
          </w:tcPr>
          <w:p w:rsidR="00D56F81" w:rsidRPr="00E766DF" w:rsidRDefault="00D56F81" w:rsidP="00094809">
            <w:pPr>
              <w:keepNext/>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Dispersible tablets</w:t>
            </w:r>
          </w:p>
        </w:tc>
        <w:tc>
          <w:tcPr>
            <w:tcW w:w="3081" w:type="dxa"/>
          </w:tcPr>
          <w:p w:rsidR="00D56F81" w:rsidRPr="00E766DF" w:rsidRDefault="00D56F81" w:rsidP="00094809">
            <w:pPr>
              <w:keepNext/>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Film coated tablets</w:t>
            </w:r>
          </w:p>
        </w:tc>
      </w:tr>
      <w:tr w:rsidR="00D56F81" w:rsidRPr="00E766DF" w:rsidTr="00696483">
        <w:tc>
          <w:tcPr>
            <w:tcW w:w="2972" w:type="dxa"/>
          </w:tcPr>
          <w:p w:rsidR="00B65B73" w:rsidRPr="00E766DF" w:rsidRDefault="00B65B73"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Exposure:</w:t>
            </w:r>
          </w:p>
          <w:p w:rsidR="00D56F81" w:rsidRPr="00E766DF" w:rsidRDefault="00D56F81" w:rsidP="00094809">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Mean, days (SD)</w:t>
            </w:r>
          </w:p>
          <w:p w:rsidR="00D56F81" w:rsidRPr="00E766DF" w:rsidRDefault="00D56F81" w:rsidP="00094809">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Median, days (range)</w:t>
            </w:r>
          </w:p>
        </w:tc>
        <w:tc>
          <w:tcPr>
            <w:tcW w:w="3081" w:type="dxa"/>
          </w:tcPr>
          <w:p w:rsidR="00B65B73" w:rsidRPr="00E766DF" w:rsidRDefault="00B65B73" w:rsidP="00094809">
            <w:pPr>
              <w:keepNext/>
              <w:rPr>
                <w:rFonts w:ascii="Arial Narrow" w:eastAsiaTheme="minorHAnsi" w:hAnsi="Arial Narrow" w:cstheme="minorBidi"/>
                <w:sz w:val="20"/>
                <w:szCs w:val="20"/>
              </w:rPr>
            </w:pP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154.5 (44.7)</w:t>
            </w: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168.0 (2, 224)</w:t>
            </w:r>
          </w:p>
        </w:tc>
        <w:tc>
          <w:tcPr>
            <w:tcW w:w="3081" w:type="dxa"/>
          </w:tcPr>
          <w:p w:rsidR="00B65B73" w:rsidRPr="00E766DF" w:rsidRDefault="00B65B73" w:rsidP="00094809">
            <w:pPr>
              <w:keepNext/>
              <w:rPr>
                <w:rFonts w:ascii="Arial Narrow" w:eastAsiaTheme="minorHAnsi" w:hAnsi="Arial Narrow" w:cstheme="minorBidi"/>
                <w:sz w:val="20"/>
                <w:szCs w:val="20"/>
              </w:rPr>
            </w:pP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163.2 (27.8)</w:t>
            </w: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169.0 (30, 239)</w:t>
            </w:r>
          </w:p>
        </w:tc>
      </w:tr>
      <w:tr w:rsidR="00D56F81" w:rsidRPr="00E766DF" w:rsidTr="00696483">
        <w:tc>
          <w:tcPr>
            <w:tcW w:w="2972" w:type="dxa"/>
          </w:tcPr>
          <w:p w:rsidR="00B65B73" w:rsidRPr="00E766DF" w:rsidRDefault="00B65B73"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Dose:</w:t>
            </w:r>
          </w:p>
          <w:p w:rsidR="00D56F81" w:rsidRPr="00E766DF" w:rsidRDefault="00D56F81" w:rsidP="00094809">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Mean, mg/kg/day (SD)</w:t>
            </w:r>
          </w:p>
          <w:p w:rsidR="00D56F81" w:rsidRPr="00E766DF" w:rsidRDefault="00D56F81" w:rsidP="00094809">
            <w:pPr>
              <w:keepNext/>
              <w:ind w:firstLine="142"/>
              <w:rPr>
                <w:rFonts w:ascii="Arial Narrow" w:eastAsiaTheme="minorHAnsi" w:hAnsi="Arial Narrow" w:cstheme="minorBidi"/>
                <w:sz w:val="20"/>
                <w:szCs w:val="20"/>
              </w:rPr>
            </w:pPr>
            <w:r w:rsidRPr="00E766DF">
              <w:rPr>
                <w:rFonts w:ascii="Arial Narrow" w:eastAsiaTheme="minorHAnsi" w:hAnsi="Arial Narrow" w:cstheme="minorBidi"/>
                <w:sz w:val="20"/>
                <w:szCs w:val="20"/>
              </w:rPr>
              <w:t>Median, mg/kg/day (range)</w:t>
            </w:r>
          </w:p>
        </w:tc>
        <w:tc>
          <w:tcPr>
            <w:tcW w:w="3081" w:type="dxa"/>
          </w:tcPr>
          <w:p w:rsidR="0018360B" w:rsidRPr="00E766DF" w:rsidRDefault="0018360B" w:rsidP="00094809">
            <w:pPr>
              <w:keepNext/>
              <w:rPr>
                <w:rFonts w:ascii="Arial Narrow" w:eastAsiaTheme="minorHAnsi" w:hAnsi="Arial Narrow" w:cstheme="minorBidi"/>
                <w:sz w:val="20"/>
                <w:szCs w:val="20"/>
              </w:rPr>
            </w:pP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27.5 (7.7)</w:t>
            </w: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29.2 (8.5, 40.9)</w:t>
            </w:r>
          </w:p>
        </w:tc>
        <w:tc>
          <w:tcPr>
            <w:tcW w:w="3081" w:type="dxa"/>
          </w:tcPr>
          <w:p w:rsidR="0018360B" w:rsidRPr="00E766DF" w:rsidRDefault="0018360B" w:rsidP="00094809">
            <w:pPr>
              <w:keepNext/>
              <w:rPr>
                <w:rFonts w:ascii="Arial Narrow" w:eastAsiaTheme="minorHAnsi" w:hAnsi="Arial Narrow" w:cstheme="minorBidi"/>
                <w:sz w:val="20"/>
                <w:szCs w:val="20"/>
              </w:rPr>
            </w:pP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20.8 (5.4)</w:t>
            </w:r>
          </w:p>
          <w:p w:rsidR="00D56F81" w:rsidRPr="00E766DF" w:rsidRDefault="00D56F81" w:rsidP="00094809">
            <w:pPr>
              <w:keepNext/>
              <w:rPr>
                <w:rFonts w:ascii="Arial Narrow" w:eastAsiaTheme="minorHAnsi" w:hAnsi="Arial Narrow" w:cstheme="minorBidi"/>
                <w:sz w:val="20"/>
                <w:szCs w:val="20"/>
              </w:rPr>
            </w:pPr>
            <w:r w:rsidRPr="00E766DF">
              <w:rPr>
                <w:rFonts w:ascii="Arial Narrow" w:eastAsiaTheme="minorHAnsi" w:hAnsi="Arial Narrow" w:cstheme="minorBidi"/>
                <w:sz w:val="20"/>
                <w:szCs w:val="20"/>
              </w:rPr>
              <w:t>20.6 (7.2, 29.1)</w:t>
            </w:r>
          </w:p>
        </w:tc>
      </w:tr>
    </w:tbl>
    <w:p w:rsidR="00D56F81" w:rsidRPr="00E766DF" w:rsidRDefault="00D56F81" w:rsidP="00D56F81">
      <w:pPr>
        <w:pStyle w:val="tablenotes"/>
        <w:rPr>
          <w:rFonts w:ascii="Arial Narrow" w:eastAsiaTheme="minorHAnsi" w:hAnsi="Arial Narrow"/>
          <w:sz w:val="18"/>
          <w:szCs w:val="18"/>
        </w:rPr>
      </w:pPr>
      <w:r w:rsidRPr="00E766DF">
        <w:rPr>
          <w:rFonts w:ascii="Arial Narrow" w:eastAsiaTheme="minorHAnsi" w:hAnsi="Arial Narrow"/>
          <w:sz w:val="18"/>
          <w:szCs w:val="18"/>
        </w:rPr>
        <w:t>Source: Table 7, pp16-17 of the submission</w:t>
      </w:r>
    </w:p>
    <w:p w:rsidR="00D56F81" w:rsidRPr="00E766DF" w:rsidRDefault="00D56F81" w:rsidP="00D56F81">
      <w:pPr>
        <w:pStyle w:val="tablenotes"/>
        <w:rPr>
          <w:rFonts w:ascii="Arial Narrow" w:eastAsiaTheme="minorHAnsi" w:hAnsi="Arial Narrow"/>
          <w:sz w:val="18"/>
          <w:szCs w:val="18"/>
        </w:rPr>
      </w:pPr>
      <w:r w:rsidRPr="00E766DF">
        <w:rPr>
          <w:rFonts w:ascii="Arial Narrow" w:eastAsiaTheme="minorHAnsi" w:hAnsi="Arial Narrow"/>
          <w:sz w:val="18"/>
          <w:szCs w:val="18"/>
        </w:rPr>
        <w:t>SD = standard deviation</w:t>
      </w:r>
    </w:p>
    <w:p w:rsidR="00953B72" w:rsidRPr="00E766DF" w:rsidRDefault="00953B72" w:rsidP="00953B72">
      <w:pPr>
        <w:rPr>
          <w:rFonts w:eastAsiaTheme="minorHAnsi"/>
        </w:rPr>
      </w:pPr>
    </w:p>
    <w:p w:rsidR="00953B72" w:rsidRPr="00E766DF" w:rsidRDefault="00953B72"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Pharmacokinetic results were consistent with those observed in study F2102, with overall exposure of the film coated tablet comparable to the dispersible tablet (as measured by AUC) and higher absorption for the film coated tablet (as measured by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Pr="00E766DF">
        <w:rPr>
          <w:rFonts w:asciiTheme="minorHAnsi" w:eastAsiaTheme="minorHAnsi" w:hAnsiTheme="minorHAnsi" w:cstheme="minorBidi"/>
          <w:snapToGrid/>
          <w:sz w:val="24"/>
          <w:szCs w:val="22"/>
        </w:rPr>
        <w:t>).</w:t>
      </w:r>
    </w:p>
    <w:p w:rsidR="00E8404E" w:rsidRPr="00E766DF" w:rsidRDefault="00E8404E"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No efficacy data for the deferasirox film coated tablet were presented in the submission.</w:t>
      </w:r>
    </w:p>
    <w:p w:rsidR="00BD0F5E" w:rsidRPr="00E766DF" w:rsidRDefault="00BD0F5E" w:rsidP="00BD0F5E">
      <w:pPr>
        <w:pStyle w:val="Heading2"/>
        <w:keepLines/>
        <w:spacing w:before="240" w:after="120"/>
        <w:rPr>
          <w:rFonts w:asciiTheme="minorHAnsi" w:eastAsiaTheme="majorEastAsia" w:hAnsiTheme="minorHAnsi" w:cstheme="majorBidi"/>
          <w:sz w:val="28"/>
          <w:szCs w:val="28"/>
          <w:lang w:eastAsia="en-US"/>
        </w:rPr>
      </w:pPr>
      <w:r w:rsidRPr="00E766DF">
        <w:rPr>
          <w:rFonts w:asciiTheme="minorHAnsi" w:eastAsiaTheme="majorEastAsia" w:hAnsiTheme="minorHAnsi" w:cstheme="majorBidi"/>
          <w:sz w:val="28"/>
          <w:szCs w:val="28"/>
          <w:lang w:eastAsia="en-US"/>
        </w:rPr>
        <w:t>Comparative harms</w:t>
      </w:r>
    </w:p>
    <w:p w:rsidR="009B0F67" w:rsidRPr="00E766DF" w:rsidRDefault="00696483" w:rsidP="00F97EFC">
      <w:pPr>
        <w:pStyle w:val="ListParagraph"/>
        <w:widowControl/>
        <w:numPr>
          <w:ilvl w:val="1"/>
          <w:numId w:val="14"/>
        </w:numPr>
        <w:spacing w:after="120"/>
        <w:ind w:left="709"/>
        <w:contextualSpacing w:val="0"/>
        <w:rPr>
          <w:rFonts w:asciiTheme="minorHAnsi" w:hAnsiTheme="minorHAnsi"/>
          <w:sz w:val="24"/>
          <w:szCs w:val="24"/>
        </w:rPr>
      </w:pPr>
      <w:r w:rsidRPr="00E766DF">
        <w:rPr>
          <w:rFonts w:asciiTheme="minorHAnsi" w:eastAsiaTheme="minorHAnsi" w:hAnsiTheme="minorHAnsi" w:cstheme="minorBidi"/>
          <w:snapToGrid/>
          <w:sz w:val="24"/>
          <w:szCs w:val="22"/>
        </w:rPr>
        <w:t xml:space="preserve">A summary of adverse events and the most commonly reported adverse events from the ECLIPSE trial are presented below. </w:t>
      </w:r>
    </w:p>
    <w:p w:rsidR="00AF1958" w:rsidRPr="00E766DF" w:rsidRDefault="00C33442" w:rsidP="00094809">
      <w:pPr>
        <w:keepNext/>
        <w:spacing w:after="60"/>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 xml:space="preserve">Table 6: </w:t>
      </w:r>
      <w:r w:rsidR="00AF1958" w:rsidRPr="00E766DF">
        <w:rPr>
          <w:rFonts w:ascii="Arial Narrow" w:eastAsiaTheme="minorHAnsi" w:hAnsi="Arial Narrow" w:cstheme="minorBidi"/>
          <w:b/>
          <w:sz w:val="20"/>
          <w:szCs w:val="20"/>
        </w:rPr>
        <w:t>Summary of adverse events from the ECLIPSE trial</w:t>
      </w:r>
    </w:p>
    <w:tbl>
      <w:tblPr>
        <w:tblStyle w:val="TableGrid"/>
        <w:tblW w:w="0" w:type="auto"/>
        <w:tblInd w:w="108" w:type="dxa"/>
        <w:tblLook w:val="04A0" w:firstRow="1" w:lastRow="0" w:firstColumn="1" w:lastColumn="0" w:noHBand="0" w:noVBand="1"/>
        <w:tblCaption w:val="Table 6: Summary of adverse events from the ECLIPSE trial"/>
      </w:tblPr>
      <w:tblGrid>
        <w:gridCol w:w="4111"/>
        <w:gridCol w:w="2552"/>
        <w:gridCol w:w="2409"/>
      </w:tblGrid>
      <w:tr w:rsidR="00AF1958" w:rsidRPr="00E766DF" w:rsidTr="00A65B8D">
        <w:trPr>
          <w:tblHeader/>
        </w:trPr>
        <w:tc>
          <w:tcPr>
            <w:tcW w:w="4111" w:type="dxa"/>
          </w:tcPr>
          <w:p w:rsidR="00AF1958" w:rsidRPr="00E766DF" w:rsidRDefault="00AF1958" w:rsidP="00094809">
            <w:pPr>
              <w:keepNext/>
              <w:rPr>
                <w:rFonts w:ascii="Arial Narrow" w:eastAsiaTheme="minorHAnsi" w:hAnsi="Arial Narrow" w:cstheme="minorBidi"/>
                <w:sz w:val="20"/>
                <w:szCs w:val="20"/>
              </w:rPr>
            </w:pPr>
          </w:p>
        </w:tc>
        <w:tc>
          <w:tcPr>
            <w:tcW w:w="2552" w:type="dxa"/>
          </w:tcPr>
          <w:p w:rsidR="00AF1958" w:rsidRPr="00E766DF" w:rsidRDefault="00AF1958" w:rsidP="00094809">
            <w:pPr>
              <w:keepNext/>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Dispersible tablets (N = 86)</w:t>
            </w:r>
          </w:p>
        </w:tc>
        <w:tc>
          <w:tcPr>
            <w:tcW w:w="2409" w:type="dxa"/>
          </w:tcPr>
          <w:p w:rsidR="00AF1958" w:rsidRPr="00E766DF" w:rsidRDefault="00AF1958" w:rsidP="00094809">
            <w:pPr>
              <w:keepNext/>
              <w:rPr>
                <w:rFonts w:ascii="Arial Narrow" w:eastAsiaTheme="minorHAnsi" w:hAnsi="Arial Narrow" w:cstheme="minorBidi"/>
                <w:b/>
                <w:sz w:val="20"/>
                <w:szCs w:val="20"/>
              </w:rPr>
            </w:pPr>
            <w:r w:rsidRPr="00E766DF">
              <w:rPr>
                <w:rFonts w:ascii="Arial Narrow" w:eastAsiaTheme="minorHAnsi" w:hAnsi="Arial Narrow" w:cstheme="minorBidi"/>
                <w:b/>
                <w:sz w:val="20"/>
                <w:szCs w:val="20"/>
              </w:rPr>
              <w:t>Film coated tablets (N = 87)</w:t>
            </w:r>
          </w:p>
        </w:tc>
      </w:tr>
      <w:tr w:rsidR="00AF1958" w:rsidRPr="00E766DF" w:rsidTr="00C33442">
        <w:tc>
          <w:tcPr>
            <w:tcW w:w="4111" w:type="dxa"/>
            <w:vAlign w:val="bottom"/>
          </w:tcPr>
          <w:p w:rsidR="00AF1958" w:rsidRPr="00E766DF" w:rsidRDefault="00AF1958" w:rsidP="00094809">
            <w:pPr>
              <w:pStyle w:val="PBACTableText"/>
              <w:keepNext/>
              <w:spacing w:before="0" w:after="0"/>
              <w:rPr>
                <w:bCs/>
              </w:rPr>
            </w:pPr>
            <w:r w:rsidRPr="00E766DF">
              <w:rPr>
                <w:bCs/>
              </w:rPr>
              <w:t>AEs</w:t>
            </w:r>
          </w:p>
        </w:tc>
        <w:tc>
          <w:tcPr>
            <w:tcW w:w="2552" w:type="dxa"/>
            <w:vAlign w:val="bottom"/>
          </w:tcPr>
          <w:p w:rsidR="00AF1958" w:rsidRPr="00E766DF" w:rsidRDefault="00AF1958" w:rsidP="00094809">
            <w:pPr>
              <w:pStyle w:val="PBACTableText"/>
              <w:keepNext/>
              <w:spacing w:before="0" w:after="0"/>
              <w:rPr>
                <w:bCs/>
              </w:rPr>
            </w:pPr>
            <w:r w:rsidRPr="00E766DF">
              <w:rPr>
                <w:bCs/>
              </w:rPr>
              <w:t>77 (89.5%)</w:t>
            </w:r>
          </w:p>
        </w:tc>
        <w:tc>
          <w:tcPr>
            <w:tcW w:w="2409" w:type="dxa"/>
            <w:vAlign w:val="bottom"/>
          </w:tcPr>
          <w:p w:rsidR="00AF1958" w:rsidRPr="00E766DF" w:rsidRDefault="00AF1958" w:rsidP="00094809">
            <w:pPr>
              <w:pStyle w:val="PBACTableText"/>
              <w:keepNext/>
              <w:spacing w:before="0" w:after="0"/>
              <w:rPr>
                <w:bCs/>
              </w:rPr>
            </w:pPr>
            <w:r w:rsidRPr="00E766DF">
              <w:rPr>
                <w:bCs/>
              </w:rPr>
              <w:t>78 (89.7%)</w:t>
            </w:r>
          </w:p>
        </w:tc>
      </w:tr>
      <w:tr w:rsidR="00AF1958" w:rsidRPr="00E766DF" w:rsidTr="00C33442">
        <w:tc>
          <w:tcPr>
            <w:tcW w:w="4111" w:type="dxa"/>
            <w:vAlign w:val="bottom"/>
          </w:tcPr>
          <w:p w:rsidR="00AF1958" w:rsidRPr="00E766DF" w:rsidRDefault="00AF1958" w:rsidP="00094809">
            <w:pPr>
              <w:pStyle w:val="PBACTableText"/>
              <w:keepNext/>
              <w:spacing w:before="0" w:after="0"/>
              <w:rPr>
                <w:bCs/>
              </w:rPr>
            </w:pPr>
            <w:r w:rsidRPr="00E766DF">
              <w:rPr>
                <w:bCs/>
              </w:rPr>
              <w:t>SAEs</w:t>
            </w:r>
          </w:p>
        </w:tc>
        <w:tc>
          <w:tcPr>
            <w:tcW w:w="2552" w:type="dxa"/>
            <w:vAlign w:val="bottom"/>
          </w:tcPr>
          <w:p w:rsidR="00AF1958" w:rsidRPr="00E766DF" w:rsidRDefault="00AF1958" w:rsidP="00094809">
            <w:pPr>
              <w:pStyle w:val="PBACTableText"/>
              <w:keepNext/>
              <w:spacing w:before="0" w:after="0"/>
              <w:rPr>
                <w:bCs/>
              </w:rPr>
            </w:pPr>
            <w:r w:rsidRPr="00E766DF">
              <w:rPr>
                <w:bCs/>
              </w:rPr>
              <w:t>13 (15.1%)</w:t>
            </w:r>
          </w:p>
        </w:tc>
        <w:tc>
          <w:tcPr>
            <w:tcW w:w="2409" w:type="dxa"/>
            <w:vAlign w:val="bottom"/>
          </w:tcPr>
          <w:p w:rsidR="00AF1958" w:rsidRPr="00E766DF" w:rsidRDefault="00AF1958" w:rsidP="00094809">
            <w:pPr>
              <w:pStyle w:val="PBACTableText"/>
              <w:keepNext/>
              <w:spacing w:before="0" w:after="0"/>
              <w:rPr>
                <w:bCs/>
              </w:rPr>
            </w:pPr>
            <w:r w:rsidRPr="00E766DF">
              <w:rPr>
                <w:bCs/>
              </w:rPr>
              <w:t>16 (18.4</w:t>
            </w:r>
            <w:r w:rsidR="00CE75FD" w:rsidRPr="00E766DF">
              <w:rPr>
                <w:bCs/>
              </w:rPr>
              <w:t>%</w:t>
            </w:r>
            <w:r w:rsidRPr="00E766DF">
              <w:rPr>
                <w:bCs/>
              </w:rPr>
              <w:t>)</w:t>
            </w:r>
          </w:p>
        </w:tc>
      </w:tr>
      <w:tr w:rsidR="00AF1958" w:rsidRPr="00E766DF" w:rsidTr="00C33442">
        <w:tc>
          <w:tcPr>
            <w:tcW w:w="4111" w:type="dxa"/>
            <w:vAlign w:val="bottom"/>
          </w:tcPr>
          <w:p w:rsidR="00AF1958" w:rsidRPr="00E766DF" w:rsidRDefault="00AF1958" w:rsidP="00094809">
            <w:pPr>
              <w:pStyle w:val="PBACTableText"/>
              <w:keepNext/>
              <w:spacing w:before="0" w:after="0"/>
              <w:rPr>
                <w:bCs/>
              </w:rPr>
            </w:pPr>
            <w:r w:rsidRPr="00E766DF">
              <w:rPr>
                <w:bCs/>
              </w:rPr>
              <w:t>AEs leading to study drug discontinuation</w:t>
            </w:r>
          </w:p>
        </w:tc>
        <w:tc>
          <w:tcPr>
            <w:tcW w:w="2552" w:type="dxa"/>
            <w:vAlign w:val="bottom"/>
          </w:tcPr>
          <w:p w:rsidR="00AF1958" w:rsidRPr="00E766DF" w:rsidRDefault="00AF1958" w:rsidP="00094809">
            <w:pPr>
              <w:pStyle w:val="PBACTableText"/>
              <w:keepNext/>
              <w:spacing w:before="0" w:after="0"/>
              <w:rPr>
                <w:bCs/>
              </w:rPr>
            </w:pPr>
            <w:r w:rsidRPr="00E766DF">
              <w:rPr>
                <w:bCs/>
              </w:rPr>
              <w:t>6 (7.0%)</w:t>
            </w:r>
          </w:p>
        </w:tc>
        <w:tc>
          <w:tcPr>
            <w:tcW w:w="2409" w:type="dxa"/>
            <w:vAlign w:val="bottom"/>
          </w:tcPr>
          <w:p w:rsidR="00AF1958" w:rsidRPr="00E766DF" w:rsidRDefault="00AF1958" w:rsidP="00094809">
            <w:pPr>
              <w:pStyle w:val="PBACTableText"/>
              <w:keepNext/>
              <w:spacing w:before="0" w:after="0"/>
              <w:rPr>
                <w:bCs/>
              </w:rPr>
            </w:pPr>
            <w:r w:rsidRPr="00E766DF">
              <w:rPr>
                <w:bCs/>
              </w:rPr>
              <w:t>5 (5.7%)</w:t>
            </w:r>
          </w:p>
        </w:tc>
      </w:tr>
      <w:tr w:rsidR="00AF1958" w:rsidRPr="00E766DF" w:rsidTr="00C33442">
        <w:tc>
          <w:tcPr>
            <w:tcW w:w="4111" w:type="dxa"/>
          </w:tcPr>
          <w:p w:rsidR="00AF1958" w:rsidRPr="00E766DF" w:rsidRDefault="00AF1958" w:rsidP="00094809">
            <w:pPr>
              <w:pStyle w:val="PBACTableText"/>
              <w:keepNext/>
              <w:spacing w:before="0" w:after="0"/>
              <w:rPr>
                <w:bCs/>
              </w:rPr>
            </w:pPr>
            <w:r w:rsidRPr="00E766DF">
              <w:rPr>
                <w:bCs/>
              </w:rPr>
              <w:t xml:space="preserve">AEs requiring dose adjustment or/and interruption </w:t>
            </w:r>
          </w:p>
        </w:tc>
        <w:tc>
          <w:tcPr>
            <w:tcW w:w="2552" w:type="dxa"/>
            <w:vAlign w:val="bottom"/>
          </w:tcPr>
          <w:p w:rsidR="00AF1958" w:rsidRPr="00E766DF" w:rsidRDefault="00AF1958" w:rsidP="00094809">
            <w:pPr>
              <w:pStyle w:val="PBACTableText"/>
              <w:keepNext/>
              <w:spacing w:before="0" w:after="0"/>
              <w:rPr>
                <w:bCs/>
              </w:rPr>
            </w:pPr>
            <w:r w:rsidRPr="00E766DF">
              <w:rPr>
                <w:bCs/>
              </w:rPr>
              <w:t>40 (46.5%)</w:t>
            </w:r>
          </w:p>
        </w:tc>
        <w:tc>
          <w:tcPr>
            <w:tcW w:w="2409" w:type="dxa"/>
            <w:vAlign w:val="bottom"/>
          </w:tcPr>
          <w:p w:rsidR="00AF1958" w:rsidRPr="00E766DF" w:rsidRDefault="00AF1958" w:rsidP="00094809">
            <w:pPr>
              <w:pStyle w:val="PBACTableText"/>
              <w:keepNext/>
              <w:spacing w:before="0" w:after="0"/>
              <w:rPr>
                <w:bCs/>
              </w:rPr>
            </w:pPr>
            <w:r w:rsidRPr="00E766DF">
              <w:rPr>
                <w:bCs/>
              </w:rPr>
              <w:t>32 (36.8%)</w:t>
            </w:r>
          </w:p>
        </w:tc>
      </w:tr>
      <w:tr w:rsidR="00AF1958" w:rsidRPr="00E766DF" w:rsidTr="00C33442">
        <w:tc>
          <w:tcPr>
            <w:tcW w:w="4111" w:type="dxa"/>
            <w:vAlign w:val="bottom"/>
          </w:tcPr>
          <w:p w:rsidR="00AF1958" w:rsidRPr="00E766DF" w:rsidRDefault="00AF1958" w:rsidP="00094809">
            <w:pPr>
              <w:pStyle w:val="PBACTableText"/>
              <w:keepNext/>
              <w:spacing w:before="0" w:after="0"/>
              <w:rPr>
                <w:bCs/>
              </w:rPr>
            </w:pPr>
            <w:r w:rsidRPr="00E766DF">
              <w:rPr>
                <w:bCs/>
              </w:rPr>
              <w:t>AEs requiring additional therapy</w:t>
            </w:r>
          </w:p>
        </w:tc>
        <w:tc>
          <w:tcPr>
            <w:tcW w:w="2552" w:type="dxa"/>
            <w:vAlign w:val="bottom"/>
          </w:tcPr>
          <w:p w:rsidR="00AF1958" w:rsidRPr="00E766DF" w:rsidRDefault="00AF1958" w:rsidP="00094809">
            <w:pPr>
              <w:pStyle w:val="PBACTableText"/>
              <w:keepNext/>
              <w:spacing w:before="0" w:after="0"/>
              <w:rPr>
                <w:bCs/>
              </w:rPr>
            </w:pPr>
            <w:r w:rsidRPr="00E766DF">
              <w:rPr>
                <w:bCs/>
              </w:rPr>
              <w:t>51 (59.3%)</w:t>
            </w:r>
          </w:p>
        </w:tc>
        <w:tc>
          <w:tcPr>
            <w:tcW w:w="2409" w:type="dxa"/>
            <w:vAlign w:val="bottom"/>
          </w:tcPr>
          <w:p w:rsidR="00AF1958" w:rsidRPr="00E766DF" w:rsidRDefault="00AF1958" w:rsidP="00094809">
            <w:pPr>
              <w:pStyle w:val="PBACTableText"/>
              <w:keepNext/>
              <w:spacing w:before="0" w:after="0"/>
              <w:rPr>
                <w:bCs/>
              </w:rPr>
            </w:pPr>
            <w:r w:rsidRPr="00E766DF">
              <w:rPr>
                <w:bCs/>
              </w:rPr>
              <w:t>52 (59.8%)</w:t>
            </w:r>
          </w:p>
        </w:tc>
      </w:tr>
      <w:tr w:rsidR="00AF1958" w:rsidRPr="00E766DF" w:rsidTr="00C33442">
        <w:tc>
          <w:tcPr>
            <w:tcW w:w="4111" w:type="dxa"/>
            <w:vAlign w:val="bottom"/>
          </w:tcPr>
          <w:p w:rsidR="00AF1958" w:rsidRPr="00E766DF" w:rsidRDefault="00AF1958" w:rsidP="00094809">
            <w:pPr>
              <w:pStyle w:val="PBACTableText"/>
              <w:keepNext/>
              <w:spacing w:before="0" w:after="0"/>
              <w:rPr>
                <w:bCs/>
              </w:rPr>
            </w:pPr>
            <w:r w:rsidRPr="00E766DF">
              <w:rPr>
                <w:bCs/>
              </w:rPr>
              <w:t>Adverse events of special interest</w:t>
            </w:r>
          </w:p>
        </w:tc>
        <w:tc>
          <w:tcPr>
            <w:tcW w:w="2552" w:type="dxa"/>
            <w:vAlign w:val="bottom"/>
          </w:tcPr>
          <w:p w:rsidR="00AF1958" w:rsidRPr="00E766DF" w:rsidRDefault="00AF1958" w:rsidP="00094809">
            <w:pPr>
              <w:pStyle w:val="PBACTableText"/>
              <w:keepNext/>
              <w:spacing w:before="0" w:after="0"/>
              <w:rPr>
                <w:bCs/>
              </w:rPr>
            </w:pPr>
            <w:r w:rsidRPr="00E766DF">
              <w:rPr>
                <w:bCs/>
              </w:rPr>
              <w:t>32 (37.2%)</w:t>
            </w:r>
          </w:p>
        </w:tc>
        <w:tc>
          <w:tcPr>
            <w:tcW w:w="2409" w:type="dxa"/>
            <w:vAlign w:val="bottom"/>
          </w:tcPr>
          <w:p w:rsidR="00AF1958" w:rsidRPr="00E766DF" w:rsidRDefault="00AF1958" w:rsidP="00094809">
            <w:pPr>
              <w:pStyle w:val="PBACTableText"/>
              <w:keepNext/>
              <w:spacing w:before="0" w:after="0"/>
              <w:rPr>
                <w:bCs/>
              </w:rPr>
            </w:pPr>
            <w:r w:rsidRPr="00E766DF">
              <w:rPr>
                <w:bCs/>
              </w:rPr>
              <w:t>35 (40.2%)</w:t>
            </w:r>
          </w:p>
        </w:tc>
      </w:tr>
      <w:tr w:rsidR="00AF1958" w:rsidRPr="00E766DF" w:rsidTr="00C33442">
        <w:tc>
          <w:tcPr>
            <w:tcW w:w="4111" w:type="dxa"/>
            <w:vAlign w:val="bottom"/>
          </w:tcPr>
          <w:p w:rsidR="00AF1958" w:rsidRPr="00E766DF" w:rsidRDefault="00AF1958" w:rsidP="00094809">
            <w:pPr>
              <w:pStyle w:val="PBACTableText"/>
              <w:keepNext/>
              <w:spacing w:before="0" w:after="0"/>
              <w:rPr>
                <w:bCs/>
              </w:rPr>
            </w:pPr>
            <w:r w:rsidRPr="00E766DF">
              <w:rPr>
                <w:bCs/>
              </w:rPr>
              <w:t>All deaths</w:t>
            </w:r>
          </w:p>
        </w:tc>
        <w:tc>
          <w:tcPr>
            <w:tcW w:w="2552" w:type="dxa"/>
            <w:vAlign w:val="bottom"/>
          </w:tcPr>
          <w:p w:rsidR="00AF1958" w:rsidRPr="00E766DF" w:rsidRDefault="00AF1958" w:rsidP="00094809">
            <w:pPr>
              <w:pStyle w:val="PBACTableText"/>
              <w:keepNext/>
              <w:spacing w:before="0" w:after="0"/>
              <w:rPr>
                <w:bCs/>
              </w:rPr>
            </w:pPr>
            <w:r w:rsidRPr="00E766DF">
              <w:rPr>
                <w:bCs/>
              </w:rPr>
              <w:t>0</w:t>
            </w:r>
          </w:p>
        </w:tc>
        <w:tc>
          <w:tcPr>
            <w:tcW w:w="2409" w:type="dxa"/>
            <w:vAlign w:val="bottom"/>
          </w:tcPr>
          <w:p w:rsidR="00AF1958" w:rsidRPr="00E766DF" w:rsidRDefault="00AF1958" w:rsidP="00094809">
            <w:pPr>
              <w:pStyle w:val="PBACTableText"/>
              <w:keepNext/>
              <w:spacing w:before="0" w:after="0"/>
              <w:rPr>
                <w:bCs/>
              </w:rPr>
            </w:pPr>
            <w:r w:rsidRPr="00E766DF">
              <w:rPr>
                <w:bCs/>
              </w:rPr>
              <w:t>1 (1.1%)</w:t>
            </w:r>
          </w:p>
        </w:tc>
      </w:tr>
    </w:tbl>
    <w:p w:rsidR="00AF1958" w:rsidRPr="00E766DF" w:rsidRDefault="00AF1958" w:rsidP="00AF1958">
      <w:pPr>
        <w:pStyle w:val="tablenotes"/>
        <w:rPr>
          <w:rFonts w:ascii="Arial Narrow" w:eastAsiaTheme="minorHAnsi" w:hAnsi="Arial Narrow"/>
          <w:sz w:val="18"/>
          <w:szCs w:val="18"/>
        </w:rPr>
      </w:pPr>
      <w:r w:rsidRPr="00E766DF">
        <w:rPr>
          <w:rFonts w:ascii="Arial Narrow" w:eastAsiaTheme="minorHAnsi" w:hAnsi="Arial Narrow"/>
          <w:sz w:val="18"/>
          <w:szCs w:val="18"/>
        </w:rPr>
        <w:t>Source: Table 8, p18 of the submission</w:t>
      </w:r>
    </w:p>
    <w:p w:rsidR="00CE75FD" w:rsidRPr="00E766DF" w:rsidRDefault="00AF1958" w:rsidP="00696483">
      <w:pPr>
        <w:pStyle w:val="tablenotes"/>
        <w:rPr>
          <w:rFonts w:ascii="Arial Narrow" w:eastAsiaTheme="minorHAnsi" w:hAnsi="Arial Narrow"/>
          <w:sz w:val="18"/>
          <w:szCs w:val="18"/>
        </w:rPr>
      </w:pPr>
      <w:r w:rsidRPr="00E766DF">
        <w:rPr>
          <w:rFonts w:ascii="Arial Narrow" w:eastAsiaTheme="minorHAnsi" w:hAnsi="Arial Narrow"/>
          <w:sz w:val="18"/>
          <w:szCs w:val="18"/>
        </w:rPr>
        <w:t>AE = adverse event; SAE = serious adverse event</w:t>
      </w:r>
    </w:p>
    <w:p w:rsidR="00696483" w:rsidRPr="00E766DF" w:rsidRDefault="00696483" w:rsidP="00696483">
      <w:pPr>
        <w:rPr>
          <w:rFonts w:eastAsiaTheme="minorHAnsi"/>
          <w:snapToGrid w:val="0"/>
        </w:rPr>
      </w:pPr>
    </w:p>
    <w:p w:rsidR="009E6B47" w:rsidRPr="00E766DF" w:rsidRDefault="00C33442" w:rsidP="00094809">
      <w:pPr>
        <w:keepNext/>
        <w:spacing w:after="60"/>
        <w:rPr>
          <w:rStyle w:val="CommentReference"/>
          <w:rFonts w:ascii="Arial Narrow" w:eastAsiaTheme="minorHAnsi" w:hAnsi="Arial Narrow"/>
          <w:b/>
          <w:sz w:val="20"/>
          <w:szCs w:val="20"/>
        </w:rPr>
      </w:pPr>
      <w:r w:rsidRPr="00E766DF">
        <w:rPr>
          <w:rStyle w:val="CommentReference"/>
          <w:rFonts w:ascii="Arial Narrow" w:eastAsiaTheme="minorHAnsi" w:hAnsi="Arial Narrow"/>
          <w:b/>
          <w:sz w:val="20"/>
          <w:szCs w:val="20"/>
        </w:rPr>
        <w:t xml:space="preserve">Table 7: </w:t>
      </w:r>
      <w:r w:rsidR="009E6B47" w:rsidRPr="00E766DF">
        <w:rPr>
          <w:rStyle w:val="CommentReference"/>
          <w:rFonts w:ascii="Arial Narrow" w:eastAsiaTheme="minorHAnsi" w:hAnsi="Arial Narrow"/>
          <w:b/>
          <w:sz w:val="20"/>
          <w:szCs w:val="20"/>
        </w:rPr>
        <w:t>Most common AEs (&gt; 10% in any group) from the ECLIPSE trial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701"/>
        <w:gridCol w:w="1701"/>
        <w:gridCol w:w="1701"/>
      </w:tblGrid>
      <w:tr w:rsidR="009E6B47" w:rsidRPr="00E766DF" w:rsidTr="00C33442">
        <w:tc>
          <w:tcPr>
            <w:tcW w:w="2268" w:type="dxa"/>
            <w:vMerge w:val="restart"/>
            <w:shd w:val="clear" w:color="auto" w:fill="auto"/>
          </w:tcPr>
          <w:p w:rsidR="009E6B47" w:rsidRPr="00E766DF" w:rsidRDefault="009E6B47" w:rsidP="00094809">
            <w:pPr>
              <w:pStyle w:val="PBACTableText"/>
              <w:keepNext/>
              <w:spacing w:before="0" w:after="0"/>
              <w:rPr>
                <w:bCs/>
              </w:rPr>
            </w:pPr>
          </w:p>
        </w:tc>
        <w:tc>
          <w:tcPr>
            <w:tcW w:w="3402" w:type="dxa"/>
            <w:gridSpan w:val="2"/>
            <w:shd w:val="clear" w:color="auto" w:fill="auto"/>
          </w:tcPr>
          <w:p w:rsidR="009E6B47" w:rsidRPr="00E766DF" w:rsidRDefault="009E6B47" w:rsidP="00094809">
            <w:pPr>
              <w:pStyle w:val="PBACTableText"/>
              <w:keepNext/>
              <w:spacing w:before="0" w:after="0"/>
              <w:jc w:val="center"/>
              <w:rPr>
                <w:b/>
                <w:bCs/>
              </w:rPr>
            </w:pPr>
            <w:r w:rsidRPr="00E766DF">
              <w:rPr>
                <w:b/>
                <w:bCs/>
              </w:rPr>
              <w:t>Dispersible tablets (N = 86)</w:t>
            </w:r>
          </w:p>
        </w:tc>
        <w:tc>
          <w:tcPr>
            <w:tcW w:w="3402" w:type="dxa"/>
            <w:gridSpan w:val="2"/>
            <w:shd w:val="clear" w:color="auto" w:fill="auto"/>
          </w:tcPr>
          <w:p w:rsidR="009E6B47" w:rsidRPr="00E766DF" w:rsidRDefault="009E6B47" w:rsidP="00094809">
            <w:pPr>
              <w:pStyle w:val="PBACTableText"/>
              <w:keepNext/>
              <w:spacing w:before="0" w:after="0"/>
              <w:jc w:val="center"/>
              <w:rPr>
                <w:b/>
                <w:bCs/>
              </w:rPr>
            </w:pPr>
            <w:r w:rsidRPr="00E766DF">
              <w:rPr>
                <w:b/>
                <w:bCs/>
              </w:rPr>
              <w:t>Film coated tablets (N = 87)</w:t>
            </w:r>
          </w:p>
        </w:tc>
      </w:tr>
      <w:tr w:rsidR="009E6B47" w:rsidRPr="00E766DF" w:rsidTr="00C33442">
        <w:tc>
          <w:tcPr>
            <w:tcW w:w="2268" w:type="dxa"/>
            <w:vMerge/>
            <w:shd w:val="clear" w:color="auto" w:fill="auto"/>
          </w:tcPr>
          <w:p w:rsidR="009E6B47" w:rsidRPr="00E766DF" w:rsidRDefault="009E6B47" w:rsidP="00094809">
            <w:pPr>
              <w:pStyle w:val="PBACTableText"/>
              <w:keepNext/>
              <w:spacing w:before="0" w:after="0"/>
              <w:rPr>
                <w:bCs/>
              </w:rPr>
            </w:pPr>
          </w:p>
        </w:tc>
        <w:tc>
          <w:tcPr>
            <w:tcW w:w="1701" w:type="dxa"/>
            <w:shd w:val="clear" w:color="auto" w:fill="auto"/>
          </w:tcPr>
          <w:p w:rsidR="009E6B47" w:rsidRPr="00E766DF" w:rsidRDefault="009E6B47" w:rsidP="00094809">
            <w:pPr>
              <w:pStyle w:val="PBACTableText"/>
              <w:keepNext/>
              <w:spacing w:before="0" w:after="0"/>
              <w:jc w:val="center"/>
              <w:rPr>
                <w:b/>
                <w:bCs/>
              </w:rPr>
            </w:pPr>
            <w:r w:rsidRPr="00E766DF">
              <w:rPr>
                <w:b/>
                <w:bCs/>
              </w:rPr>
              <w:t>All AEs, n (%)</w:t>
            </w:r>
          </w:p>
        </w:tc>
        <w:tc>
          <w:tcPr>
            <w:tcW w:w="1701" w:type="dxa"/>
            <w:shd w:val="clear" w:color="auto" w:fill="auto"/>
          </w:tcPr>
          <w:p w:rsidR="009E6B47" w:rsidRPr="00E766DF" w:rsidRDefault="009E6B47" w:rsidP="00094809">
            <w:pPr>
              <w:pStyle w:val="PBACTableText"/>
              <w:keepNext/>
              <w:spacing w:before="0" w:after="0"/>
              <w:jc w:val="center"/>
              <w:rPr>
                <w:b/>
                <w:bCs/>
              </w:rPr>
            </w:pPr>
            <w:r w:rsidRPr="00E766DF">
              <w:rPr>
                <w:b/>
                <w:bCs/>
              </w:rPr>
              <w:t>Severe AEs, n (%)</w:t>
            </w:r>
          </w:p>
        </w:tc>
        <w:tc>
          <w:tcPr>
            <w:tcW w:w="1701" w:type="dxa"/>
            <w:shd w:val="clear" w:color="auto" w:fill="auto"/>
          </w:tcPr>
          <w:p w:rsidR="009E6B47" w:rsidRPr="00E766DF" w:rsidRDefault="009E6B47" w:rsidP="00094809">
            <w:pPr>
              <w:pStyle w:val="PBACTableText"/>
              <w:keepNext/>
              <w:spacing w:before="0" w:after="0"/>
              <w:jc w:val="center"/>
              <w:rPr>
                <w:b/>
                <w:bCs/>
              </w:rPr>
            </w:pPr>
            <w:r w:rsidRPr="00E766DF">
              <w:rPr>
                <w:b/>
                <w:bCs/>
              </w:rPr>
              <w:t>All AEs, n (%)</w:t>
            </w:r>
          </w:p>
        </w:tc>
        <w:tc>
          <w:tcPr>
            <w:tcW w:w="1701" w:type="dxa"/>
            <w:shd w:val="clear" w:color="auto" w:fill="auto"/>
          </w:tcPr>
          <w:p w:rsidR="009E6B47" w:rsidRPr="00E766DF" w:rsidRDefault="009E6B47" w:rsidP="00094809">
            <w:pPr>
              <w:pStyle w:val="PBACTableText"/>
              <w:keepNext/>
              <w:spacing w:before="0" w:after="0"/>
              <w:jc w:val="center"/>
              <w:rPr>
                <w:b/>
                <w:bCs/>
              </w:rPr>
            </w:pPr>
            <w:r w:rsidRPr="00E766DF">
              <w:rPr>
                <w:b/>
                <w:bCs/>
              </w:rPr>
              <w:t>Severe AEs, n (%)</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Total</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77 (89.5%)</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22 (25.6%)</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78 (89.7%)</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17 (19.5%)</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Diarrhoea</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30 (34.9%)</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6 (7.0%)</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29 (33.3%)</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 (1.1%)</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Nausea</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23 (26.7%)</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 (2.3%)</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24 (27.6%)</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 (1.1%)</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Abdominal pain</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23 (26.7%)</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4 (4.7%)</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23 (26.4%)</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 (2.3%)</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Increased UPCR (&gt;</w:t>
            </w:r>
            <w:r w:rsidR="009E6B47" w:rsidRPr="00E766DF">
              <w:rPr>
                <w:bCs/>
              </w:rPr>
              <w:t xml:space="preserve"> </w:t>
            </w:r>
            <w:r w:rsidRPr="00E766DF">
              <w:rPr>
                <w:bCs/>
              </w:rPr>
              <w:t>0.5)</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11 (12.8%)</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 (2.3%)</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18 (20.7%)</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0</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Vomiting</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19 (22.1%)</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 (1.2%)</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15 (17.2%)</w:t>
            </w:r>
          </w:p>
        </w:tc>
        <w:tc>
          <w:tcPr>
            <w:tcW w:w="1701" w:type="dxa"/>
            <w:shd w:val="clear" w:color="auto" w:fill="auto"/>
          </w:tcPr>
          <w:p w:rsidR="00AF1958" w:rsidRPr="00E766DF" w:rsidRDefault="009E6B47" w:rsidP="00094809">
            <w:pPr>
              <w:pStyle w:val="PBACTableText"/>
              <w:keepNext/>
              <w:spacing w:before="0" w:after="0"/>
              <w:jc w:val="center"/>
              <w:rPr>
                <w:bCs/>
              </w:rPr>
            </w:pPr>
            <w:r w:rsidRPr="00E766DF">
              <w:rPr>
                <w:bCs/>
              </w:rPr>
              <w:t>0</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Abdominal pain upper</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6 (7.0%)</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 (1.2%)</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10 (11.5%)</w:t>
            </w:r>
          </w:p>
        </w:tc>
        <w:tc>
          <w:tcPr>
            <w:tcW w:w="1701" w:type="dxa"/>
            <w:shd w:val="clear" w:color="auto" w:fill="auto"/>
          </w:tcPr>
          <w:p w:rsidR="00AF1958" w:rsidRPr="00E766DF" w:rsidRDefault="009E6B47" w:rsidP="00094809">
            <w:pPr>
              <w:pStyle w:val="PBACTableText"/>
              <w:keepNext/>
              <w:spacing w:before="0" w:after="0"/>
              <w:jc w:val="center"/>
              <w:rPr>
                <w:bCs/>
              </w:rPr>
            </w:pPr>
            <w:r w:rsidRPr="00E766DF">
              <w:rPr>
                <w:bCs/>
              </w:rPr>
              <w:t>0</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Constipation</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13 (15.1%)</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 (2.3%)</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7 (8.0%)</w:t>
            </w:r>
          </w:p>
        </w:tc>
        <w:tc>
          <w:tcPr>
            <w:tcW w:w="1701" w:type="dxa"/>
            <w:shd w:val="clear" w:color="auto" w:fill="auto"/>
          </w:tcPr>
          <w:p w:rsidR="00AF1958" w:rsidRPr="00E766DF" w:rsidRDefault="009E6B47" w:rsidP="00094809">
            <w:pPr>
              <w:pStyle w:val="PBACTableText"/>
              <w:keepNext/>
              <w:spacing w:before="0" w:after="0"/>
              <w:jc w:val="center"/>
              <w:rPr>
                <w:bCs/>
              </w:rPr>
            </w:pPr>
            <w:r w:rsidRPr="00E766DF">
              <w:rPr>
                <w:bCs/>
              </w:rPr>
              <w:t>0</w:t>
            </w:r>
          </w:p>
        </w:tc>
      </w:tr>
      <w:tr w:rsidR="009E6B47" w:rsidRPr="00E766DF" w:rsidTr="00C33442">
        <w:tc>
          <w:tcPr>
            <w:tcW w:w="2268" w:type="dxa"/>
            <w:shd w:val="clear" w:color="auto" w:fill="auto"/>
          </w:tcPr>
          <w:p w:rsidR="00AF1958" w:rsidRPr="00E766DF" w:rsidRDefault="00AF1958" w:rsidP="00094809">
            <w:pPr>
              <w:pStyle w:val="PBACTableText"/>
              <w:keepNext/>
              <w:spacing w:before="0" w:after="0"/>
              <w:rPr>
                <w:bCs/>
              </w:rPr>
            </w:pPr>
            <w:r w:rsidRPr="00E766DF">
              <w:rPr>
                <w:bCs/>
              </w:rPr>
              <w:t>Headache</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12 (14.0%)</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2 (2.3%)</w:t>
            </w:r>
          </w:p>
        </w:tc>
        <w:tc>
          <w:tcPr>
            <w:tcW w:w="1701" w:type="dxa"/>
            <w:shd w:val="clear" w:color="auto" w:fill="auto"/>
          </w:tcPr>
          <w:p w:rsidR="00AF1958" w:rsidRPr="00E766DF" w:rsidRDefault="00AF1958" w:rsidP="00094809">
            <w:pPr>
              <w:pStyle w:val="PBACTableText"/>
              <w:keepNext/>
              <w:spacing w:before="0" w:after="0"/>
              <w:jc w:val="center"/>
              <w:rPr>
                <w:bCs/>
              </w:rPr>
            </w:pPr>
            <w:r w:rsidRPr="00E766DF">
              <w:rPr>
                <w:bCs/>
              </w:rPr>
              <w:t>5 (5.7%)</w:t>
            </w:r>
          </w:p>
        </w:tc>
        <w:tc>
          <w:tcPr>
            <w:tcW w:w="1701" w:type="dxa"/>
            <w:shd w:val="clear" w:color="auto" w:fill="auto"/>
          </w:tcPr>
          <w:p w:rsidR="00AF1958" w:rsidRPr="00E766DF" w:rsidRDefault="00AF1958" w:rsidP="00094809">
            <w:pPr>
              <w:keepNext/>
              <w:jc w:val="center"/>
            </w:pPr>
            <w:r w:rsidRPr="00E766DF">
              <w:rPr>
                <w:rFonts w:ascii="Arial Narrow" w:hAnsi="Arial Narrow"/>
                <w:bCs/>
                <w:sz w:val="20"/>
                <w:szCs w:val="20"/>
              </w:rPr>
              <w:t>0</w:t>
            </w:r>
          </w:p>
        </w:tc>
      </w:tr>
    </w:tbl>
    <w:p w:rsidR="00AF1958" w:rsidRPr="00E766DF" w:rsidRDefault="009E6B47" w:rsidP="009E6B47">
      <w:pPr>
        <w:pStyle w:val="tablenotes"/>
        <w:rPr>
          <w:rFonts w:ascii="Arial Narrow" w:eastAsiaTheme="minorHAnsi" w:hAnsi="Arial Narrow"/>
          <w:sz w:val="18"/>
          <w:szCs w:val="18"/>
        </w:rPr>
      </w:pPr>
      <w:r w:rsidRPr="00E766DF">
        <w:rPr>
          <w:rFonts w:ascii="Arial Narrow" w:eastAsiaTheme="minorHAnsi" w:hAnsi="Arial Narrow"/>
          <w:sz w:val="18"/>
          <w:szCs w:val="18"/>
        </w:rPr>
        <w:t>Source: Table 9, p18 of the submission</w:t>
      </w:r>
    </w:p>
    <w:p w:rsidR="009E6B47" w:rsidRPr="00E766DF" w:rsidRDefault="009E6B47" w:rsidP="009E6B47">
      <w:pPr>
        <w:pStyle w:val="tablenotes"/>
        <w:rPr>
          <w:rFonts w:ascii="Arial Narrow" w:eastAsiaTheme="minorHAnsi" w:hAnsi="Arial Narrow"/>
          <w:sz w:val="18"/>
          <w:szCs w:val="18"/>
        </w:rPr>
      </w:pPr>
      <w:r w:rsidRPr="00E766DF">
        <w:rPr>
          <w:rFonts w:ascii="Arial Narrow" w:eastAsiaTheme="minorHAnsi" w:hAnsi="Arial Narrow"/>
          <w:sz w:val="18"/>
          <w:szCs w:val="18"/>
        </w:rPr>
        <w:t>AE = adverse event; UPCR = urine protein to creatinine ratio</w:t>
      </w:r>
    </w:p>
    <w:p w:rsidR="009E6B47" w:rsidRPr="00E766DF" w:rsidRDefault="009E6B47" w:rsidP="009E6B47">
      <w:pPr>
        <w:rPr>
          <w:rFonts w:eastAsiaTheme="minorHAnsi"/>
        </w:rPr>
      </w:pPr>
    </w:p>
    <w:p w:rsidR="00696483" w:rsidRPr="00E766DF" w:rsidRDefault="00696483"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lastRenderedPageBreak/>
        <w:t>Overall, the safety profiles of the dispersible tablet and the film coated tablet were similar.</w:t>
      </w:r>
    </w:p>
    <w:p w:rsidR="00AF1958" w:rsidRPr="00E766DF" w:rsidRDefault="00CE75FD"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most commonly reported adverse events in both arms of the trial were diarrhoea, nausea, abdominal pain and vomiting.</w:t>
      </w:r>
    </w:p>
    <w:p w:rsidR="00CE75FD" w:rsidRPr="00E766DF" w:rsidRDefault="00CE75FD"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rate of gastrointestinal adverse events was similar between the dispersible and film coated tablet arms (61.6% versus 58.6% respectively). More patients treated with the dispersible tablet experienced severe gastr</w:t>
      </w:r>
      <w:r w:rsidR="00C01C2E" w:rsidRPr="00E766DF">
        <w:rPr>
          <w:rFonts w:asciiTheme="minorHAnsi" w:eastAsiaTheme="minorHAnsi" w:hAnsiTheme="minorHAnsi" w:cstheme="minorBidi"/>
          <w:snapToGrid/>
          <w:sz w:val="24"/>
          <w:szCs w:val="22"/>
        </w:rPr>
        <w:t xml:space="preserve">ointestinal adverse events (12.8% </w:t>
      </w:r>
      <w:r w:rsidR="00CD5C6D" w:rsidRPr="00E766DF">
        <w:rPr>
          <w:rFonts w:asciiTheme="minorHAnsi" w:eastAsiaTheme="minorHAnsi" w:hAnsiTheme="minorHAnsi" w:cstheme="minorBidi"/>
          <w:snapToGrid/>
          <w:sz w:val="24"/>
          <w:szCs w:val="22"/>
        </w:rPr>
        <w:t>versus</w:t>
      </w:r>
      <w:r w:rsidR="00C01C2E" w:rsidRPr="00E766DF">
        <w:rPr>
          <w:rFonts w:asciiTheme="minorHAnsi" w:eastAsiaTheme="minorHAnsi" w:hAnsiTheme="minorHAnsi" w:cstheme="minorBidi"/>
          <w:snapToGrid/>
          <w:sz w:val="24"/>
          <w:szCs w:val="22"/>
        </w:rPr>
        <w:t xml:space="preserve"> 4.6</w:t>
      </w:r>
      <w:r w:rsidRPr="00E766DF">
        <w:rPr>
          <w:rFonts w:asciiTheme="minorHAnsi" w:eastAsiaTheme="minorHAnsi" w:hAnsiTheme="minorHAnsi" w:cstheme="minorBidi"/>
          <w:snapToGrid/>
          <w:sz w:val="24"/>
          <w:szCs w:val="22"/>
        </w:rPr>
        <w:t>%).</w:t>
      </w:r>
    </w:p>
    <w:p w:rsidR="005C6C3F" w:rsidRPr="00E766DF" w:rsidRDefault="005C6C3F"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In the </w:t>
      </w:r>
      <w:r w:rsidR="008512B9" w:rsidRPr="00E766DF">
        <w:rPr>
          <w:rFonts w:asciiTheme="minorHAnsi" w:eastAsiaTheme="minorHAnsi" w:hAnsiTheme="minorHAnsi" w:cstheme="minorBidi"/>
          <w:snapToGrid/>
          <w:sz w:val="24"/>
          <w:szCs w:val="22"/>
        </w:rPr>
        <w:t>p</w:t>
      </w:r>
      <w:r w:rsidR="005B42DF">
        <w:rPr>
          <w:rFonts w:asciiTheme="minorHAnsi" w:eastAsiaTheme="minorHAnsi" w:hAnsiTheme="minorHAnsi" w:cstheme="minorBidi"/>
          <w:snapToGrid/>
          <w:sz w:val="24"/>
          <w:szCs w:val="22"/>
        </w:rPr>
        <w:t xml:space="preserve">re-PBAC response </w:t>
      </w:r>
      <w:r w:rsidRPr="00E766DF">
        <w:rPr>
          <w:rFonts w:asciiTheme="minorHAnsi" w:eastAsiaTheme="minorHAnsi" w:hAnsiTheme="minorHAnsi" w:cstheme="minorBidi"/>
          <w:snapToGrid/>
          <w:sz w:val="24"/>
          <w:szCs w:val="22"/>
        </w:rPr>
        <w:t>it was noted that the exposure adjusted incidence of gastrointestinal adverse events was lower in the film coated tablet group (137 per 100 patient years) compared to the dispersible tablet group (153 per 100 patient years)</w:t>
      </w:r>
      <w:r w:rsidR="00621ED5" w:rsidRPr="00E766DF">
        <w:rPr>
          <w:rFonts w:asciiTheme="minorHAnsi" w:eastAsiaTheme="minorHAnsi" w:hAnsiTheme="minorHAnsi" w:cstheme="minorBidi"/>
          <w:snapToGrid/>
          <w:sz w:val="24"/>
          <w:szCs w:val="22"/>
        </w:rPr>
        <w:t xml:space="preserve">. The </w:t>
      </w:r>
      <w:r w:rsidR="008512B9" w:rsidRPr="00E766DF">
        <w:rPr>
          <w:rFonts w:asciiTheme="minorHAnsi" w:eastAsiaTheme="minorHAnsi" w:hAnsiTheme="minorHAnsi" w:cstheme="minorBidi"/>
          <w:snapToGrid/>
          <w:sz w:val="24"/>
          <w:szCs w:val="22"/>
        </w:rPr>
        <w:t>p</w:t>
      </w:r>
      <w:r w:rsidR="00621ED5" w:rsidRPr="00E766DF">
        <w:rPr>
          <w:rFonts w:asciiTheme="minorHAnsi" w:eastAsiaTheme="minorHAnsi" w:hAnsiTheme="minorHAnsi" w:cstheme="minorBidi"/>
          <w:snapToGrid/>
          <w:sz w:val="24"/>
          <w:szCs w:val="22"/>
        </w:rPr>
        <w:t>re-PBAC response state</w:t>
      </w:r>
      <w:r w:rsidR="008512B9" w:rsidRPr="00E766DF">
        <w:rPr>
          <w:rFonts w:asciiTheme="minorHAnsi" w:eastAsiaTheme="minorHAnsi" w:hAnsiTheme="minorHAnsi" w:cstheme="minorBidi"/>
          <w:snapToGrid/>
          <w:sz w:val="24"/>
          <w:szCs w:val="22"/>
        </w:rPr>
        <w:t>d</w:t>
      </w:r>
      <w:r w:rsidR="00621ED5" w:rsidRPr="00E766DF">
        <w:rPr>
          <w:rFonts w:asciiTheme="minorHAnsi" w:eastAsiaTheme="minorHAnsi" w:hAnsiTheme="minorHAnsi" w:cstheme="minorBidi"/>
          <w:snapToGrid/>
          <w:sz w:val="24"/>
          <w:szCs w:val="22"/>
        </w:rPr>
        <w:t xml:space="preserve"> that the rates of adverse events need to be considered in terms of the increased time of exposure for patients using the film coated tablets.</w:t>
      </w:r>
    </w:p>
    <w:p w:rsidR="00CE75FD" w:rsidRPr="00AD55C5" w:rsidRDefault="00CE75FD" w:rsidP="00AD55C5">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A greater proportion of patients in the film coated tablet arm </w:t>
      </w:r>
      <w:r w:rsidR="00CB0B29" w:rsidRPr="00E766DF">
        <w:rPr>
          <w:rFonts w:asciiTheme="minorHAnsi" w:eastAsiaTheme="minorHAnsi" w:hAnsiTheme="minorHAnsi" w:cstheme="minorBidi"/>
          <w:snapToGrid/>
          <w:sz w:val="24"/>
          <w:szCs w:val="22"/>
        </w:rPr>
        <w:t>experienced any renal disorder</w:t>
      </w:r>
      <w:r w:rsidRPr="00E766DF">
        <w:rPr>
          <w:rFonts w:asciiTheme="minorHAnsi" w:eastAsiaTheme="minorHAnsi" w:hAnsiTheme="minorHAnsi" w:cstheme="minorBidi"/>
          <w:snapToGrid/>
          <w:sz w:val="24"/>
          <w:szCs w:val="22"/>
        </w:rPr>
        <w:t xml:space="preserve"> (34.5%) compared to in the dispersible tablet arm (26.7%). Renal adverse events </w:t>
      </w:r>
      <w:r w:rsidR="00CB0B29" w:rsidRPr="00E766DF">
        <w:rPr>
          <w:rFonts w:asciiTheme="minorHAnsi" w:eastAsiaTheme="minorHAnsi" w:hAnsiTheme="minorHAnsi" w:cstheme="minorBidi"/>
          <w:snapToGrid/>
          <w:sz w:val="24"/>
          <w:szCs w:val="22"/>
        </w:rPr>
        <w:t>were considered to be</w:t>
      </w:r>
      <w:r w:rsidRPr="00E766DF">
        <w:rPr>
          <w:rFonts w:asciiTheme="minorHAnsi" w:eastAsiaTheme="minorHAnsi" w:hAnsiTheme="minorHAnsi" w:cstheme="minorBidi"/>
          <w:snapToGrid/>
          <w:sz w:val="24"/>
          <w:szCs w:val="22"/>
        </w:rPr>
        <w:t xml:space="preserve"> dose-dependent.</w:t>
      </w:r>
    </w:p>
    <w:p w:rsidR="005F2754" w:rsidRPr="00E766DF" w:rsidRDefault="005F2754"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TGA Delegate noted that:</w:t>
      </w:r>
    </w:p>
    <w:p w:rsidR="005F2754" w:rsidRPr="00E766DF" w:rsidRDefault="005F2754" w:rsidP="002154CF">
      <w:pPr>
        <w:pStyle w:val="ListParagraph"/>
        <w:widowControl/>
        <w:numPr>
          <w:ilvl w:val="1"/>
          <w:numId w:val="19"/>
        </w:numPr>
        <w:spacing w:after="120"/>
        <w:ind w:left="1219" w:hanging="357"/>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w:t>
      </w:r>
      <w:proofErr w:type="gramStart"/>
      <w:r w:rsidRPr="00E766DF">
        <w:rPr>
          <w:rFonts w:asciiTheme="minorHAnsi" w:eastAsiaTheme="minorHAnsi" w:hAnsiTheme="minorHAnsi" w:cstheme="minorBidi"/>
          <w:snapToGrid/>
          <w:sz w:val="24"/>
          <w:szCs w:val="22"/>
        </w:rPr>
        <w:t>study</w:t>
      </w:r>
      <w:proofErr w:type="gramEnd"/>
      <w:r w:rsidRPr="00E766DF">
        <w:rPr>
          <w:rFonts w:asciiTheme="minorHAnsi" w:eastAsiaTheme="minorHAnsi" w:hAnsiTheme="minorHAnsi" w:cstheme="minorBidi"/>
          <w:snapToGrid/>
          <w:sz w:val="24"/>
          <w:szCs w:val="22"/>
        </w:rPr>
        <w:t xml:space="preserve"> F2201 demonstrated a higher proportion of renal adverse events for the </w:t>
      </w:r>
      <w:r w:rsidR="005C6C3F" w:rsidRPr="00E766DF">
        <w:rPr>
          <w:rFonts w:asciiTheme="minorHAnsi" w:eastAsiaTheme="minorHAnsi" w:hAnsiTheme="minorHAnsi" w:cstheme="minorBidi"/>
          <w:snapToGrid/>
          <w:sz w:val="24"/>
          <w:szCs w:val="22"/>
        </w:rPr>
        <w:t>film coated tablet</w:t>
      </w:r>
      <w:r w:rsidRPr="00E766DF">
        <w:rPr>
          <w:rFonts w:asciiTheme="minorHAnsi" w:eastAsiaTheme="minorHAnsi" w:hAnsiTheme="minorHAnsi" w:cstheme="minorBidi"/>
          <w:snapToGrid/>
          <w:sz w:val="24"/>
          <w:szCs w:val="22"/>
        </w:rPr>
        <w:t xml:space="preserve"> formulation (34.5%) compared to the dispersible tablet formulation (26.7%). A subsequent </w:t>
      </w:r>
      <w:r w:rsidR="002672A0" w:rsidRPr="00E766DF">
        <w:rPr>
          <w:rFonts w:asciiTheme="minorHAnsi" w:eastAsiaTheme="minorHAnsi" w:hAnsiTheme="minorHAnsi" w:cstheme="minorBidi"/>
          <w:snapToGrid/>
          <w:sz w:val="24"/>
          <w:szCs w:val="22"/>
        </w:rPr>
        <w:t>pharmacokinetic/</w:t>
      </w:r>
      <w:proofErr w:type="spellStart"/>
      <w:r w:rsidR="002672A0" w:rsidRPr="00E766DF">
        <w:rPr>
          <w:rFonts w:asciiTheme="minorHAnsi" w:eastAsiaTheme="minorHAnsi" w:hAnsiTheme="minorHAnsi" w:cstheme="minorBidi"/>
          <w:snapToGrid/>
          <w:sz w:val="24"/>
          <w:szCs w:val="22"/>
        </w:rPr>
        <w:t>pharmacodynamic</w:t>
      </w:r>
      <w:proofErr w:type="spellEnd"/>
      <w:r w:rsidRPr="00E766DF">
        <w:rPr>
          <w:rFonts w:asciiTheme="minorHAnsi" w:eastAsiaTheme="minorHAnsi" w:hAnsiTheme="minorHAnsi" w:cstheme="minorBidi"/>
          <w:snapToGrid/>
          <w:sz w:val="24"/>
          <w:szCs w:val="22"/>
        </w:rPr>
        <w:t xml:space="preserve"> analysis indicated that renal functional changes are more closely associated with AUC than with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Pr="00E766DF">
        <w:rPr>
          <w:rFonts w:asciiTheme="minorHAnsi" w:eastAsiaTheme="minorHAnsi" w:hAnsiTheme="minorHAnsi" w:cstheme="minorBidi"/>
          <w:snapToGrid/>
          <w:sz w:val="24"/>
          <w:szCs w:val="22"/>
        </w:rPr>
        <w:t>; and,</w:t>
      </w:r>
    </w:p>
    <w:p w:rsidR="005F2754" w:rsidRPr="00E766DF" w:rsidRDefault="005F2754" w:rsidP="002154CF">
      <w:pPr>
        <w:pStyle w:val="ListParagraph"/>
        <w:widowControl/>
        <w:numPr>
          <w:ilvl w:val="1"/>
          <w:numId w:val="19"/>
        </w:numPr>
        <w:spacing w:after="120"/>
        <w:ind w:left="1219" w:hanging="357"/>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w:t>
      </w:r>
      <w:proofErr w:type="gramStart"/>
      <w:r w:rsidRPr="00E766DF">
        <w:rPr>
          <w:rFonts w:asciiTheme="minorHAnsi" w:eastAsiaTheme="minorHAnsi" w:hAnsiTheme="minorHAnsi" w:cstheme="minorBidi"/>
          <w:snapToGrid/>
          <w:sz w:val="24"/>
          <w:szCs w:val="22"/>
        </w:rPr>
        <w:t>although</w:t>
      </w:r>
      <w:proofErr w:type="gramEnd"/>
      <w:r w:rsidRPr="00E766DF">
        <w:rPr>
          <w:rFonts w:asciiTheme="minorHAnsi" w:eastAsiaTheme="minorHAnsi" w:hAnsiTheme="minorHAnsi" w:cstheme="minorBidi"/>
          <w:snapToGrid/>
          <w:sz w:val="24"/>
          <w:szCs w:val="22"/>
        </w:rPr>
        <w:t xml:space="preserve"> the clinical evaluator concludes that no apparent new safety signal emerged for the new formulation of deferasirox, the long term safety of the new formulation needs ongoing monitoring, including renal safety, </w:t>
      </w:r>
      <w:r w:rsidR="002672A0" w:rsidRPr="00E766DF">
        <w:rPr>
          <w:rFonts w:asciiTheme="minorHAnsi" w:eastAsiaTheme="minorHAnsi" w:hAnsiTheme="minorHAnsi" w:cstheme="minorBidi"/>
          <w:snapToGrid/>
          <w:sz w:val="24"/>
          <w:szCs w:val="22"/>
        </w:rPr>
        <w:t>gastrointestinal</w:t>
      </w:r>
      <w:r w:rsidRPr="00E766DF">
        <w:rPr>
          <w:rFonts w:asciiTheme="minorHAnsi" w:eastAsiaTheme="minorHAnsi" w:hAnsiTheme="minorHAnsi" w:cstheme="minorBidi"/>
          <w:snapToGrid/>
          <w:sz w:val="24"/>
          <w:szCs w:val="22"/>
        </w:rPr>
        <w:t xml:space="preserve"> events, and all events identified as </w:t>
      </w:r>
      <w:r w:rsidR="005F62F6" w:rsidRPr="00E766DF">
        <w:rPr>
          <w:rFonts w:asciiTheme="minorHAnsi" w:eastAsiaTheme="minorHAnsi" w:hAnsiTheme="minorHAnsi" w:cstheme="minorBidi"/>
          <w:snapToGrid/>
          <w:sz w:val="24"/>
          <w:szCs w:val="22"/>
        </w:rPr>
        <w:t>adverse events of special interest</w:t>
      </w:r>
      <w:r w:rsidRPr="00E766DF">
        <w:rPr>
          <w:rFonts w:asciiTheme="minorHAnsi" w:eastAsiaTheme="minorHAnsi" w:hAnsiTheme="minorHAnsi" w:cstheme="minorBidi"/>
          <w:snapToGrid/>
          <w:sz w:val="24"/>
          <w:szCs w:val="22"/>
        </w:rPr>
        <w:t xml:space="preserve"> in previous studies.”</w:t>
      </w:r>
    </w:p>
    <w:p w:rsidR="003C2FB5" w:rsidRPr="00E766DF" w:rsidRDefault="005A3173" w:rsidP="008306F3">
      <w:pPr>
        <w:pStyle w:val="Heading2"/>
        <w:keepLines/>
        <w:spacing w:before="240" w:after="120"/>
        <w:rPr>
          <w:rFonts w:asciiTheme="minorHAnsi" w:eastAsiaTheme="majorEastAsia" w:hAnsiTheme="minorHAnsi" w:cstheme="majorBidi"/>
          <w:sz w:val="28"/>
          <w:szCs w:val="28"/>
          <w:lang w:eastAsia="en-US"/>
        </w:rPr>
      </w:pPr>
      <w:r w:rsidRPr="00E766DF">
        <w:rPr>
          <w:rFonts w:asciiTheme="minorHAnsi" w:eastAsiaTheme="majorEastAsia" w:hAnsiTheme="minorHAnsi" w:cstheme="majorBidi"/>
          <w:sz w:val="28"/>
          <w:szCs w:val="28"/>
          <w:lang w:eastAsia="en-US"/>
        </w:rPr>
        <w:t>Clinical claim</w:t>
      </w:r>
    </w:p>
    <w:p w:rsidR="008C0956" w:rsidRPr="00E766DF" w:rsidRDefault="00563014"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submission claimed that </w:t>
      </w:r>
      <w:r w:rsidR="006A25A1" w:rsidRPr="00E766DF">
        <w:rPr>
          <w:rFonts w:asciiTheme="minorHAnsi" w:eastAsiaTheme="minorHAnsi" w:hAnsiTheme="minorHAnsi" w:cstheme="minorBidi"/>
          <w:snapToGrid/>
          <w:sz w:val="24"/>
          <w:szCs w:val="22"/>
        </w:rPr>
        <w:t>deferasirox</w:t>
      </w:r>
      <w:r w:rsidRPr="00E766DF">
        <w:rPr>
          <w:rFonts w:asciiTheme="minorHAnsi" w:eastAsiaTheme="minorHAnsi" w:hAnsiTheme="minorHAnsi" w:cstheme="minorBidi"/>
          <w:snapToGrid/>
          <w:sz w:val="24"/>
          <w:szCs w:val="22"/>
        </w:rPr>
        <w:t xml:space="preserve"> film coated tablets were non-inferior to </w:t>
      </w:r>
      <w:r w:rsidR="006A25A1" w:rsidRPr="00E766DF">
        <w:rPr>
          <w:rFonts w:asciiTheme="minorHAnsi" w:eastAsiaTheme="minorHAnsi" w:hAnsiTheme="minorHAnsi" w:cstheme="minorBidi"/>
          <w:snapToGrid/>
          <w:sz w:val="24"/>
          <w:szCs w:val="22"/>
        </w:rPr>
        <w:t>deferasirox</w:t>
      </w:r>
      <w:r w:rsidRPr="00E766DF">
        <w:rPr>
          <w:rFonts w:asciiTheme="minorHAnsi" w:eastAsiaTheme="minorHAnsi" w:hAnsiTheme="minorHAnsi" w:cstheme="minorBidi"/>
          <w:snapToGrid/>
          <w:sz w:val="24"/>
          <w:szCs w:val="22"/>
        </w:rPr>
        <w:t xml:space="preserve"> dispersible tablets.</w:t>
      </w:r>
      <w:r w:rsidR="002D777C" w:rsidRPr="00E766DF">
        <w:rPr>
          <w:rFonts w:asciiTheme="minorHAnsi" w:eastAsiaTheme="minorHAnsi" w:hAnsiTheme="minorHAnsi" w:cstheme="minorBidi"/>
          <w:snapToGrid/>
          <w:sz w:val="24"/>
          <w:szCs w:val="22"/>
        </w:rPr>
        <w:t xml:space="preserve"> </w:t>
      </w:r>
    </w:p>
    <w:p w:rsidR="002D777C" w:rsidRPr="00E766DF" w:rsidRDefault="008C0956"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submission stated that the dispersible tablet and the film coated tablet had a comparable pharmacokinetic profile. The pre-specified limits to be considered bioequivalent were not met as the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Pr="00E766DF">
        <w:rPr>
          <w:rFonts w:asciiTheme="minorHAnsi" w:eastAsiaTheme="minorHAnsi" w:hAnsiTheme="minorHAnsi" w:cstheme="minorBidi"/>
          <w:snapToGrid/>
          <w:sz w:val="24"/>
          <w:szCs w:val="22"/>
        </w:rPr>
        <w:t xml:space="preserve"> for the film coated tablet was higher; however, a large exposure-response analysis concluded no clinically relevant effects of an increase in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002D777C" w:rsidRPr="00E766DF">
        <w:rPr>
          <w:rFonts w:asciiTheme="minorHAnsi" w:eastAsiaTheme="minorHAnsi" w:hAnsiTheme="minorHAnsi" w:cstheme="minorBidi"/>
          <w:snapToGrid/>
          <w:sz w:val="24"/>
          <w:szCs w:val="22"/>
        </w:rPr>
        <w:t>.</w:t>
      </w:r>
      <w:r w:rsidRPr="00E766DF">
        <w:rPr>
          <w:rFonts w:asciiTheme="minorHAnsi" w:eastAsiaTheme="minorHAnsi" w:hAnsiTheme="minorHAnsi" w:cstheme="minorBidi"/>
          <w:snapToGrid/>
          <w:sz w:val="24"/>
          <w:szCs w:val="22"/>
        </w:rPr>
        <w:t xml:space="preserve"> </w:t>
      </w:r>
    </w:p>
    <w:p w:rsidR="006B4C03" w:rsidRPr="00E766DF" w:rsidRDefault="006B4C03"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PBAC considered that the claim of non-inferior</w:t>
      </w:r>
      <w:r w:rsidR="00B81741" w:rsidRPr="00E766DF">
        <w:rPr>
          <w:rFonts w:asciiTheme="minorHAnsi" w:eastAsiaTheme="minorHAnsi" w:hAnsiTheme="minorHAnsi" w:cstheme="minorBidi"/>
          <w:snapToGrid/>
          <w:sz w:val="24"/>
          <w:szCs w:val="22"/>
        </w:rPr>
        <w:t>ity for deferasirox film coated tablets compared to deferasirox dispersible tablets</w:t>
      </w:r>
      <w:r w:rsidRPr="00E766DF">
        <w:rPr>
          <w:rFonts w:asciiTheme="minorHAnsi" w:eastAsiaTheme="minorHAnsi" w:hAnsiTheme="minorHAnsi" w:cstheme="minorBidi"/>
          <w:snapToGrid/>
          <w:sz w:val="24"/>
          <w:szCs w:val="22"/>
        </w:rPr>
        <w:t xml:space="preserve"> was reasonable.</w:t>
      </w:r>
    </w:p>
    <w:p w:rsidR="005A3173" w:rsidRPr="00E766DF" w:rsidRDefault="005A3173" w:rsidP="00A01BCF">
      <w:pPr>
        <w:pStyle w:val="Heading2"/>
        <w:keepLines/>
        <w:spacing w:before="120" w:after="120"/>
        <w:rPr>
          <w:rFonts w:asciiTheme="minorHAnsi" w:eastAsiaTheme="majorEastAsia" w:hAnsiTheme="minorHAnsi" w:cstheme="majorBidi"/>
          <w:sz w:val="28"/>
          <w:szCs w:val="28"/>
          <w:lang w:eastAsia="en-US"/>
        </w:rPr>
      </w:pPr>
      <w:r w:rsidRPr="00E766DF">
        <w:rPr>
          <w:rFonts w:asciiTheme="minorHAnsi" w:eastAsiaTheme="majorEastAsia" w:hAnsiTheme="minorHAnsi" w:cstheme="majorBidi"/>
          <w:sz w:val="28"/>
          <w:szCs w:val="28"/>
          <w:lang w:eastAsia="en-US"/>
        </w:rPr>
        <w:lastRenderedPageBreak/>
        <w:t>Economic analysis</w:t>
      </w:r>
    </w:p>
    <w:p w:rsidR="00D34056" w:rsidRPr="00E766DF" w:rsidRDefault="002D777C"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w:t>
      </w:r>
      <w:r w:rsidR="00D34056" w:rsidRPr="00E766DF">
        <w:rPr>
          <w:rFonts w:asciiTheme="minorHAnsi" w:eastAsiaTheme="minorHAnsi" w:hAnsiTheme="minorHAnsi" w:cstheme="minorBidi"/>
          <w:snapToGrid/>
          <w:sz w:val="24"/>
          <w:szCs w:val="22"/>
        </w:rPr>
        <w:t>he submission calculated prices for the film coated tablet using a cost-minimisation analysis</w:t>
      </w:r>
      <w:r w:rsidRPr="00E766DF">
        <w:rPr>
          <w:rFonts w:asciiTheme="minorHAnsi" w:eastAsiaTheme="minorHAnsi" w:hAnsiTheme="minorHAnsi" w:cstheme="minorBidi"/>
          <w:snapToGrid/>
          <w:sz w:val="24"/>
          <w:szCs w:val="22"/>
        </w:rPr>
        <w:t xml:space="preserve"> assuming direct replacement of the dispersible tablet formulation at the low, medium, and high strengths, with the corresponding low, medium, or high strength of the film coated tablets</w:t>
      </w:r>
      <w:r w:rsidR="00D34056" w:rsidRPr="00E766DF">
        <w:rPr>
          <w:rFonts w:asciiTheme="minorHAnsi" w:eastAsiaTheme="minorHAnsi" w:hAnsiTheme="minorHAnsi" w:cstheme="minorBidi"/>
          <w:snapToGrid/>
          <w:sz w:val="24"/>
          <w:szCs w:val="22"/>
        </w:rPr>
        <w:t>.</w:t>
      </w:r>
    </w:p>
    <w:p w:rsidR="00D34056" w:rsidRPr="00E766DF" w:rsidRDefault="00D34056"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 xml:space="preserve">The published prices of the film coated presentations (90 mg, 180 mg, 360 mg) were identical to the dispersible tablet presentations (125 mg, 250 mg, 500 mg), adjusted to reflect the 30 tablet pack </w:t>
      </w:r>
      <w:r w:rsidR="00687252" w:rsidRPr="00E766DF">
        <w:rPr>
          <w:rFonts w:asciiTheme="minorHAnsi" w:eastAsiaTheme="minorHAnsi" w:hAnsiTheme="minorHAnsi" w:cstheme="minorBidi"/>
          <w:snapToGrid/>
          <w:sz w:val="24"/>
          <w:szCs w:val="22"/>
        </w:rPr>
        <w:t>size of the film coated tablet and are presented in the proposed PBS listing above.</w:t>
      </w:r>
      <w:r w:rsidR="002D777C" w:rsidRPr="00E766DF">
        <w:rPr>
          <w:rFonts w:asciiTheme="minorHAnsi" w:eastAsiaTheme="minorHAnsi" w:hAnsiTheme="minorHAnsi" w:cstheme="minorBidi"/>
          <w:snapToGrid/>
          <w:sz w:val="24"/>
          <w:szCs w:val="22"/>
        </w:rPr>
        <w:t xml:space="preserve"> </w:t>
      </w:r>
    </w:p>
    <w:p w:rsidR="005A3173" w:rsidRPr="00E766DF" w:rsidRDefault="005A3173" w:rsidP="00A01BCF">
      <w:pPr>
        <w:pStyle w:val="Heading2"/>
        <w:keepLines/>
        <w:spacing w:before="120" w:after="120"/>
        <w:rPr>
          <w:rFonts w:asciiTheme="minorHAnsi" w:eastAsiaTheme="majorEastAsia" w:hAnsiTheme="minorHAnsi" w:cstheme="majorBidi"/>
          <w:sz w:val="28"/>
          <w:szCs w:val="28"/>
          <w:lang w:eastAsia="en-US"/>
        </w:rPr>
      </w:pPr>
      <w:r w:rsidRPr="00E766DF">
        <w:rPr>
          <w:rFonts w:asciiTheme="minorHAnsi" w:eastAsiaTheme="majorEastAsia" w:hAnsiTheme="minorHAnsi" w:cstheme="majorBidi"/>
          <w:sz w:val="28"/>
          <w:szCs w:val="28"/>
          <w:lang w:eastAsia="en-US"/>
        </w:rPr>
        <w:t>Estimated PBS usage &amp; financial implications</w:t>
      </w:r>
    </w:p>
    <w:p w:rsidR="00C00DA7" w:rsidRPr="00E766DF" w:rsidRDefault="00932D85" w:rsidP="00B84D5C">
      <w:pPr>
        <w:pStyle w:val="ListParagraph"/>
        <w:widowControl/>
        <w:numPr>
          <w:ilvl w:val="1"/>
          <w:numId w:val="14"/>
        </w:numPr>
        <w:spacing w:after="120"/>
        <w:ind w:left="709"/>
        <w:contextualSpacing w:val="0"/>
        <w:rPr>
          <w:rFonts w:asciiTheme="minorHAnsi" w:hAnsiTheme="minorHAnsi"/>
          <w:sz w:val="24"/>
          <w:szCs w:val="24"/>
        </w:rPr>
      </w:pPr>
      <w:r w:rsidRPr="00E766DF">
        <w:rPr>
          <w:rFonts w:asciiTheme="minorHAnsi" w:hAnsiTheme="minorHAnsi"/>
          <w:sz w:val="24"/>
          <w:szCs w:val="24"/>
        </w:rPr>
        <w:t>The minor submission estimated there to be no financial implications to the PBS as the submission expects deferasirox film coated tablets to only substitute for deferasirox dispersible tablets and both drugs have the same price per tablet.</w:t>
      </w:r>
      <w:r w:rsidR="002D777C" w:rsidRPr="00E766DF">
        <w:rPr>
          <w:rFonts w:asciiTheme="minorHAnsi" w:hAnsiTheme="minorHAnsi"/>
          <w:sz w:val="24"/>
          <w:szCs w:val="24"/>
        </w:rPr>
        <w:t xml:space="preserve"> </w:t>
      </w:r>
      <w:r w:rsidR="00236356" w:rsidRPr="00E766DF">
        <w:rPr>
          <w:rFonts w:asciiTheme="minorHAnsi" w:hAnsiTheme="minorHAnsi"/>
          <w:sz w:val="24"/>
          <w:szCs w:val="24"/>
        </w:rPr>
        <w:t xml:space="preserve">The PBAC noted that </w:t>
      </w:r>
      <w:r w:rsidR="002D777C" w:rsidRPr="00E766DF">
        <w:rPr>
          <w:rFonts w:asciiTheme="minorHAnsi" w:hAnsiTheme="minorHAnsi"/>
          <w:sz w:val="24"/>
          <w:szCs w:val="24"/>
        </w:rPr>
        <w:t>there may be a small financial impact of the new listing as a result of a different pack size, which will reduce the total n</w:t>
      </w:r>
      <w:r w:rsidR="005F2754" w:rsidRPr="00E766DF">
        <w:rPr>
          <w:rFonts w:asciiTheme="minorHAnsi" w:hAnsiTheme="minorHAnsi"/>
          <w:sz w:val="24"/>
          <w:szCs w:val="24"/>
        </w:rPr>
        <w:t>umber of scripts and patient co</w:t>
      </w:r>
      <w:r w:rsidR="005F2754" w:rsidRPr="00E766DF">
        <w:rPr>
          <w:rFonts w:asciiTheme="minorHAnsi" w:hAnsiTheme="minorHAnsi"/>
          <w:sz w:val="24"/>
          <w:szCs w:val="24"/>
        </w:rPr>
        <w:noBreakHyphen/>
      </w:r>
      <w:r w:rsidR="002D777C" w:rsidRPr="00E766DF">
        <w:rPr>
          <w:rFonts w:asciiTheme="minorHAnsi" w:hAnsiTheme="minorHAnsi"/>
          <w:sz w:val="24"/>
          <w:szCs w:val="24"/>
        </w:rPr>
        <w:t>payments.</w:t>
      </w:r>
    </w:p>
    <w:p w:rsidR="006B4C03" w:rsidRPr="00E766DF" w:rsidRDefault="006B4C03" w:rsidP="00185344">
      <w:pPr>
        <w:pStyle w:val="ListParagraph"/>
        <w:widowControl/>
        <w:spacing w:after="120"/>
        <w:ind w:left="709"/>
        <w:contextualSpacing w:val="0"/>
        <w:rPr>
          <w:rFonts w:asciiTheme="minorHAnsi" w:hAnsiTheme="minorHAnsi"/>
          <w:i/>
          <w:sz w:val="24"/>
          <w:szCs w:val="24"/>
        </w:rPr>
      </w:pPr>
      <w:r w:rsidRPr="00E766DF">
        <w:rPr>
          <w:rFonts w:asciiTheme="minorHAnsi" w:hAnsiTheme="minorHAnsi"/>
          <w:i/>
          <w:sz w:val="24"/>
          <w:szCs w:val="24"/>
        </w:rPr>
        <w:t>For more detail on PBAC’s view, see section 6 PBAC outcome.</w:t>
      </w:r>
    </w:p>
    <w:p w:rsidR="006B4C03" w:rsidRPr="00AD55C5" w:rsidRDefault="006B4C03" w:rsidP="00AD55C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D55C5">
        <w:rPr>
          <w:rFonts w:asciiTheme="minorHAnsi" w:hAnsiTheme="minorHAnsi"/>
          <w:sz w:val="32"/>
          <w:szCs w:val="32"/>
        </w:rPr>
        <w:t>PBAC Outcome</w:t>
      </w:r>
    </w:p>
    <w:p w:rsidR="006B4C03" w:rsidRPr="00E766DF" w:rsidRDefault="006B4C03" w:rsidP="005065EF">
      <w:pPr>
        <w:pStyle w:val="ListParagraph"/>
        <w:widowControl/>
        <w:numPr>
          <w:ilvl w:val="1"/>
          <w:numId w:val="14"/>
        </w:numPr>
        <w:spacing w:after="120"/>
        <w:ind w:left="720"/>
        <w:contextualSpacing w:val="0"/>
        <w:rPr>
          <w:rFonts w:asciiTheme="minorHAnsi" w:eastAsiaTheme="minorHAnsi" w:hAnsiTheme="minorHAnsi" w:cstheme="minorBidi"/>
          <w:szCs w:val="24"/>
        </w:rPr>
      </w:pPr>
      <w:r w:rsidRPr="00E766DF">
        <w:rPr>
          <w:rFonts w:asciiTheme="minorHAnsi" w:eastAsiaTheme="minorHAnsi" w:hAnsiTheme="minorHAnsi" w:cstheme="minorBidi"/>
          <w:snapToGrid/>
          <w:sz w:val="24"/>
          <w:szCs w:val="24"/>
        </w:rPr>
        <w:t xml:space="preserve">The PBAC recommended the </w:t>
      </w:r>
      <w:r w:rsidR="00E35A6A" w:rsidRPr="00E766DF">
        <w:rPr>
          <w:rFonts w:asciiTheme="minorHAnsi" w:eastAsiaTheme="minorHAnsi" w:hAnsiTheme="minorHAnsi" w:cstheme="minorBidi"/>
          <w:snapToGrid/>
          <w:sz w:val="24"/>
          <w:szCs w:val="24"/>
        </w:rPr>
        <w:t xml:space="preserve">Section 100 – Highly Specialised Drugs Program </w:t>
      </w:r>
      <w:r w:rsidRPr="00E766DF">
        <w:rPr>
          <w:rFonts w:asciiTheme="minorHAnsi" w:eastAsiaTheme="minorHAnsi" w:hAnsiTheme="minorHAnsi" w:cstheme="minorBidi"/>
          <w:snapToGrid/>
          <w:sz w:val="24"/>
          <w:szCs w:val="24"/>
        </w:rPr>
        <w:t xml:space="preserve">listing of </w:t>
      </w:r>
      <w:r w:rsidR="00E35A6A" w:rsidRPr="00E766DF">
        <w:rPr>
          <w:rFonts w:asciiTheme="minorHAnsi" w:eastAsiaTheme="minorHAnsi" w:hAnsiTheme="minorHAnsi" w:cstheme="minorBidi"/>
          <w:snapToGrid/>
          <w:sz w:val="24"/>
          <w:szCs w:val="24"/>
        </w:rPr>
        <w:t xml:space="preserve">deferasirox film coated tablets for the treatment of chronic iron overload due to disorders of </w:t>
      </w:r>
      <w:proofErr w:type="spellStart"/>
      <w:r w:rsidR="00E35A6A" w:rsidRPr="00E766DF">
        <w:rPr>
          <w:rFonts w:asciiTheme="minorHAnsi" w:eastAsiaTheme="minorHAnsi" w:hAnsiTheme="minorHAnsi" w:cstheme="minorBidi"/>
          <w:snapToGrid/>
          <w:sz w:val="24"/>
          <w:szCs w:val="24"/>
        </w:rPr>
        <w:t>haemopoiesis</w:t>
      </w:r>
      <w:proofErr w:type="spellEnd"/>
      <w:r w:rsidRPr="00E766DF">
        <w:rPr>
          <w:rFonts w:asciiTheme="minorHAnsi" w:eastAsiaTheme="minorHAnsi" w:hAnsiTheme="minorHAnsi" w:cstheme="minorBidi"/>
          <w:snapToGrid/>
          <w:sz w:val="24"/>
          <w:szCs w:val="24"/>
        </w:rPr>
        <w:t xml:space="preserve">. </w:t>
      </w:r>
      <w:r w:rsidR="003F54D5" w:rsidRPr="00E766DF">
        <w:rPr>
          <w:rFonts w:asciiTheme="minorHAnsi" w:eastAsiaTheme="minorHAnsi" w:hAnsiTheme="minorHAnsi" w:cstheme="minorBidi"/>
          <w:snapToGrid/>
          <w:sz w:val="24"/>
          <w:szCs w:val="24"/>
        </w:rPr>
        <w:t xml:space="preserve">The PBAC recommended the listing on a cost minimisation basis with deferasirox dispersible tablets. </w:t>
      </w:r>
      <w:r w:rsidR="00BF19CF" w:rsidRPr="00E766DF">
        <w:rPr>
          <w:rFonts w:asciiTheme="minorHAnsi" w:eastAsiaTheme="minorHAnsi" w:hAnsiTheme="minorHAnsi" w:cstheme="minorBidi"/>
          <w:snapToGrid/>
          <w:sz w:val="24"/>
          <w:szCs w:val="24"/>
        </w:rPr>
        <w:t xml:space="preserve">The PBAC’s recommendation for listing was based on, among other matters, its assessment that deferasirox film coated </w:t>
      </w:r>
      <w:r w:rsidR="00D42284" w:rsidRPr="00E766DF">
        <w:rPr>
          <w:rFonts w:asciiTheme="minorHAnsi" w:eastAsiaTheme="minorHAnsi" w:hAnsiTheme="minorHAnsi" w:cstheme="minorBidi"/>
          <w:snapToGrid/>
          <w:sz w:val="24"/>
          <w:szCs w:val="24"/>
        </w:rPr>
        <w:t>tablets,</w:t>
      </w:r>
      <w:r w:rsidR="00A25E4A">
        <w:rPr>
          <w:rFonts w:asciiTheme="minorHAnsi" w:eastAsiaTheme="minorHAnsi" w:hAnsiTheme="minorHAnsi" w:cstheme="minorBidi"/>
          <w:snapToGrid/>
          <w:sz w:val="24"/>
          <w:szCs w:val="24"/>
        </w:rPr>
        <w:t xml:space="preserve"> while not strictly bioequivalent, were</w:t>
      </w:r>
      <w:r w:rsidR="00BF19CF" w:rsidRPr="00E766DF">
        <w:rPr>
          <w:rFonts w:asciiTheme="minorHAnsi" w:eastAsiaTheme="minorHAnsi" w:hAnsiTheme="minorHAnsi" w:cstheme="minorBidi"/>
          <w:snapToGrid/>
          <w:sz w:val="24"/>
          <w:szCs w:val="24"/>
        </w:rPr>
        <w:t xml:space="preserve"> </w:t>
      </w:r>
      <w:proofErr w:type="spellStart"/>
      <w:r w:rsidR="00BF19CF" w:rsidRPr="00E766DF">
        <w:rPr>
          <w:rFonts w:asciiTheme="minorHAnsi" w:eastAsiaTheme="minorHAnsi" w:hAnsiTheme="minorHAnsi" w:cstheme="minorBidi"/>
          <w:snapToGrid/>
          <w:sz w:val="24"/>
          <w:szCs w:val="24"/>
        </w:rPr>
        <w:t>biocomparable</w:t>
      </w:r>
      <w:proofErr w:type="spellEnd"/>
      <w:r w:rsidR="00BF19CF" w:rsidRPr="00E766DF">
        <w:rPr>
          <w:rFonts w:asciiTheme="minorHAnsi" w:eastAsiaTheme="minorHAnsi" w:hAnsiTheme="minorHAnsi" w:cstheme="minorBidi"/>
          <w:snapToGrid/>
          <w:sz w:val="24"/>
          <w:szCs w:val="24"/>
        </w:rPr>
        <w:t xml:space="preserve"> to deferasirox dispersible tablets.</w:t>
      </w:r>
    </w:p>
    <w:p w:rsidR="001C0043" w:rsidRPr="00E766DF" w:rsidRDefault="001C0043"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The PBAC noted the input provided by individuals and health care professionals describing improvements in compliance and a reduction in side effects as potential benefits of listing the deferasirox film coated tablets.</w:t>
      </w:r>
    </w:p>
    <w:p w:rsidR="00BF19CF" w:rsidRPr="00E766DF" w:rsidRDefault="00BF19CF"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2"/>
        </w:rPr>
      </w:pPr>
      <w:r w:rsidRPr="00E766DF">
        <w:rPr>
          <w:rFonts w:asciiTheme="minorHAnsi" w:eastAsiaTheme="minorHAnsi" w:hAnsiTheme="minorHAnsi" w:cstheme="minorBidi"/>
          <w:snapToGrid/>
          <w:sz w:val="24"/>
          <w:szCs w:val="22"/>
        </w:rPr>
        <w:t>The PBAC considered</w:t>
      </w:r>
      <w:r w:rsidR="005F299F" w:rsidRPr="00E766DF">
        <w:rPr>
          <w:rFonts w:asciiTheme="minorHAnsi" w:eastAsiaTheme="minorHAnsi" w:hAnsiTheme="minorHAnsi" w:cstheme="minorBidi"/>
          <w:snapToGrid/>
          <w:sz w:val="24"/>
          <w:szCs w:val="22"/>
        </w:rPr>
        <w:t>,</w:t>
      </w:r>
      <w:r w:rsidRPr="00E766DF">
        <w:rPr>
          <w:rFonts w:asciiTheme="minorHAnsi" w:eastAsiaTheme="minorHAnsi" w:hAnsiTheme="minorHAnsi" w:cstheme="minorBidi"/>
          <w:snapToGrid/>
          <w:sz w:val="24"/>
          <w:szCs w:val="22"/>
        </w:rPr>
        <w:t xml:space="preserve"> </w:t>
      </w:r>
      <w:r w:rsidR="005F299F" w:rsidRPr="00E766DF">
        <w:rPr>
          <w:rFonts w:asciiTheme="minorHAnsi" w:eastAsiaTheme="minorHAnsi" w:hAnsiTheme="minorHAnsi" w:cstheme="minorBidi"/>
          <w:snapToGrid/>
          <w:sz w:val="24"/>
          <w:szCs w:val="22"/>
        </w:rPr>
        <w:t xml:space="preserve">based on pharmacokinetic evidence presented </w:t>
      </w:r>
      <w:r w:rsidR="008F52A6" w:rsidRPr="00E766DF">
        <w:rPr>
          <w:rFonts w:asciiTheme="minorHAnsi" w:eastAsiaTheme="minorHAnsi" w:hAnsiTheme="minorHAnsi" w:cstheme="minorBidi"/>
          <w:snapToGrid/>
          <w:sz w:val="24"/>
          <w:szCs w:val="22"/>
        </w:rPr>
        <w:t xml:space="preserve">in the minor submission and </w:t>
      </w:r>
      <w:r w:rsidR="005F299F" w:rsidRPr="00E766DF">
        <w:rPr>
          <w:rFonts w:asciiTheme="minorHAnsi" w:eastAsiaTheme="minorHAnsi" w:hAnsiTheme="minorHAnsi" w:cstheme="minorBidi"/>
          <w:snapToGrid/>
          <w:sz w:val="24"/>
          <w:szCs w:val="22"/>
        </w:rPr>
        <w:t xml:space="preserve">to the TGA, that </w:t>
      </w:r>
      <w:r w:rsidRPr="00E766DF">
        <w:rPr>
          <w:rFonts w:asciiTheme="minorHAnsi" w:eastAsiaTheme="minorHAnsi" w:hAnsiTheme="minorHAnsi" w:cstheme="minorBidi"/>
          <w:snapToGrid/>
          <w:sz w:val="24"/>
          <w:szCs w:val="22"/>
        </w:rPr>
        <w:t xml:space="preserve">deferasirox film coated tablets were </w:t>
      </w:r>
      <w:proofErr w:type="spellStart"/>
      <w:r w:rsidRPr="00E766DF">
        <w:rPr>
          <w:rFonts w:asciiTheme="minorHAnsi" w:eastAsiaTheme="minorHAnsi" w:hAnsiTheme="minorHAnsi" w:cstheme="minorBidi"/>
          <w:snapToGrid/>
          <w:sz w:val="24"/>
          <w:szCs w:val="22"/>
        </w:rPr>
        <w:t>biocomparable</w:t>
      </w:r>
      <w:proofErr w:type="spellEnd"/>
      <w:r w:rsidRPr="00E766DF">
        <w:rPr>
          <w:rFonts w:asciiTheme="minorHAnsi" w:eastAsiaTheme="minorHAnsi" w:hAnsiTheme="minorHAnsi" w:cstheme="minorBidi"/>
          <w:snapToGrid/>
          <w:sz w:val="24"/>
          <w:szCs w:val="22"/>
        </w:rPr>
        <w:t xml:space="preserve"> to deferasirox dispersible tablets. The PBAC noted that the pre-specified limits to be considered bioequivalent were not met as the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Pr="00E766DF">
        <w:rPr>
          <w:rFonts w:asciiTheme="minorHAnsi" w:eastAsiaTheme="minorHAnsi" w:hAnsiTheme="minorHAnsi" w:cstheme="minorBidi"/>
          <w:snapToGrid/>
          <w:sz w:val="24"/>
          <w:szCs w:val="22"/>
        </w:rPr>
        <w:t xml:space="preserve"> for the film coated tablet was higher; however, a large exposure-response analysis concluded no clinically relevant effects of an increase in </w:t>
      </w:r>
      <w:proofErr w:type="spellStart"/>
      <w:r w:rsidRPr="00E766DF">
        <w:rPr>
          <w:rFonts w:asciiTheme="minorHAnsi" w:eastAsiaTheme="minorHAnsi" w:hAnsiTheme="minorHAnsi" w:cstheme="minorBidi"/>
          <w:snapToGrid/>
          <w:sz w:val="24"/>
          <w:szCs w:val="22"/>
        </w:rPr>
        <w:t>C</w:t>
      </w:r>
      <w:r w:rsidRPr="00E766DF">
        <w:rPr>
          <w:rFonts w:asciiTheme="minorHAnsi" w:eastAsiaTheme="minorHAnsi" w:hAnsiTheme="minorHAnsi" w:cstheme="minorBidi"/>
          <w:snapToGrid/>
          <w:sz w:val="24"/>
          <w:szCs w:val="22"/>
          <w:vertAlign w:val="subscript"/>
        </w:rPr>
        <w:t>max</w:t>
      </w:r>
      <w:proofErr w:type="spellEnd"/>
      <w:r w:rsidRPr="00E766DF">
        <w:rPr>
          <w:rFonts w:asciiTheme="minorHAnsi" w:eastAsiaTheme="minorHAnsi" w:hAnsiTheme="minorHAnsi" w:cstheme="minorBidi"/>
          <w:snapToGrid/>
          <w:sz w:val="24"/>
          <w:szCs w:val="22"/>
        </w:rPr>
        <w:t xml:space="preserve">. </w:t>
      </w:r>
    </w:p>
    <w:p w:rsidR="00BF19CF" w:rsidRPr="00E766DF" w:rsidRDefault="00BF19CF"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 xml:space="preserve">The PBAC was satisfied that, although the film coated tablets had a higher bioavailability than the dispersible tablets, the 360 mg film coated tablet formulation was equivalent to the 500 mg dispersible tablet formulation with respect to the mean AUC. </w:t>
      </w:r>
    </w:p>
    <w:p w:rsidR="00391474" w:rsidRPr="00E766DF" w:rsidRDefault="005F299F"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lastRenderedPageBreak/>
        <w:t>Based on the results of the ECLIPSE trial, t</w:t>
      </w:r>
      <w:r w:rsidR="00391474" w:rsidRPr="00E766DF">
        <w:rPr>
          <w:rFonts w:asciiTheme="minorHAnsi" w:eastAsiaTheme="minorHAnsi" w:hAnsiTheme="minorHAnsi" w:cstheme="minorBidi"/>
          <w:snapToGrid/>
          <w:sz w:val="24"/>
          <w:szCs w:val="24"/>
        </w:rPr>
        <w:t>he PBAC considered that the safety profile of the film coated tablets was similar to that of the dispersible tablets.</w:t>
      </w:r>
    </w:p>
    <w:p w:rsidR="00391474" w:rsidRPr="00E766DF" w:rsidRDefault="00391474"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The PBAC considered that deferasirox film coated tablets were non-inferior to deferasirox dispersible tablets, and therefore a cost-minimisation approach against the dispersible tablets was appropriate.</w:t>
      </w:r>
    </w:p>
    <w:p w:rsidR="00391474" w:rsidRPr="00E766DF" w:rsidRDefault="00391474" w:rsidP="005065EF">
      <w:pPr>
        <w:pStyle w:val="ListParagraph"/>
        <w:widowControl/>
        <w:numPr>
          <w:ilvl w:val="1"/>
          <w:numId w:val="14"/>
        </w:numPr>
        <w:spacing w:after="120"/>
        <w:ind w:left="720"/>
        <w:contextualSpacing w:val="0"/>
        <w:rPr>
          <w:rFonts w:asciiTheme="minorHAnsi" w:hAnsiTheme="minorHAnsi"/>
          <w:bCs/>
          <w:sz w:val="24"/>
          <w:szCs w:val="24"/>
        </w:rPr>
      </w:pPr>
      <w:r w:rsidRPr="00E766DF">
        <w:rPr>
          <w:rFonts w:asciiTheme="minorHAnsi" w:eastAsiaTheme="minorHAnsi" w:hAnsiTheme="minorHAnsi" w:cstheme="minorBidi"/>
          <w:snapToGrid/>
          <w:sz w:val="24"/>
          <w:szCs w:val="24"/>
        </w:rPr>
        <w:t xml:space="preserve">The PBAC advised that the </w:t>
      </w:r>
      <w:proofErr w:type="spellStart"/>
      <w:r w:rsidRPr="00E766DF">
        <w:rPr>
          <w:rFonts w:asciiTheme="minorHAnsi" w:eastAsiaTheme="minorHAnsi" w:hAnsiTheme="minorHAnsi" w:cstheme="minorBidi"/>
          <w:snapToGrid/>
          <w:sz w:val="24"/>
          <w:szCs w:val="24"/>
        </w:rPr>
        <w:t>equi</w:t>
      </w:r>
      <w:proofErr w:type="spellEnd"/>
      <w:r w:rsidRPr="00E766DF">
        <w:rPr>
          <w:rFonts w:asciiTheme="minorHAnsi" w:eastAsiaTheme="minorHAnsi" w:hAnsiTheme="minorHAnsi" w:cstheme="minorBidi"/>
          <w:snapToGrid/>
          <w:sz w:val="24"/>
          <w:szCs w:val="24"/>
        </w:rPr>
        <w:t>-effective</w:t>
      </w:r>
      <w:r w:rsidRPr="00E766DF">
        <w:rPr>
          <w:rFonts w:asciiTheme="minorHAnsi" w:hAnsiTheme="minorHAnsi"/>
          <w:bCs/>
          <w:sz w:val="24"/>
          <w:szCs w:val="24"/>
        </w:rPr>
        <w:t xml:space="preserve"> doses of deferasirox were:</w:t>
      </w:r>
    </w:p>
    <w:p w:rsidR="00391474" w:rsidRPr="00E766DF" w:rsidRDefault="00391474" w:rsidP="008A5C03">
      <w:pPr>
        <w:widowControl w:val="0"/>
        <w:numPr>
          <w:ilvl w:val="1"/>
          <w:numId w:val="27"/>
        </w:numPr>
        <w:spacing w:after="120"/>
        <w:ind w:left="1077" w:hanging="357"/>
        <w:jc w:val="both"/>
        <w:rPr>
          <w:rFonts w:asciiTheme="minorHAnsi" w:hAnsiTheme="minorHAnsi" w:cs="Arial"/>
          <w:bCs/>
          <w:snapToGrid w:val="0"/>
        </w:rPr>
      </w:pPr>
      <w:r w:rsidRPr="00E766DF">
        <w:rPr>
          <w:rFonts w:asciiTheme="minorHAnsi" w:hAnsiTheme="minorHAnsi" w:cs="Arial"/>
          <w:bCs/>
          <w:snapToGrid w:val="0"/>
        </w:rPr>
        <w:t>360 mg film coated = 500 mg dispersible;</w:t>
      </w:r>
    </w:p>
    <w:p w:rsidR="00391474" w:rsidRPr="00E766DF" w:rsidRDefault="00391474" w:rsidP="008A5C03">
      <w:pPr>
        <w:widowControl w:val="0"/>
        <w:numPr>
          <w:ilvl w:val="1"/>
          <w:numId w:val="27"/>
        </w:numPr>
        <w:spacing w:after="120"/>
        <w:ind w:left="1077" w:hanging="357"/>
        <w:jc w:val="both"/>
        <w:rPr>
          <w:rFonts w:asciiTheme="minorHAnsi" w:hAnsiTheme="minorHAnsi" w:cs="Arial"/>
          <w:bCs/>
          <w:snapToGrid w:val="0"/>
        </w:rPr>
      </w:pPr>
      <w:r w:rsidRPr="00E766DF">
        <w:rPr>
          <w:rFonts w:asciiTheme="minorHAnsi" w:hAnsiTheme="minorHAnsi" w:cs="Arial"/>
          <w:bCs/>
          <w:snapToGrid w:val="0"/>
        </w:rPr>
        <w:t>180 mg film coated = 250 mg dispersible; and</w:t>
      </w:r>
    </w:p>
    <w:p w:rsidR="00391474" w:rsidRPr="00E766DF" w:rsidRDefault="00391474" w:rsidP="008A5C03">
      <w:pPr>
        <w:widowControl w:val="0"/>
        <w:numPr>
          <w:ilvl w:val="1"/>
          <w:numId w:val="27"/>
        </w:numPr>
        <w:spacing w:after="120"/>
        <w:ind w:left="1077" w:hanging="357"/>
        <w:jc w:val="both"/>
        <w:rPr>
          <w:rFonts w:asciiTheme="minorHAnsi" w:hAnsiTheme="minorHAnsi" w:cs="Arial"/>
          <w:bCs/>
          <w:snapToGrid w:val="0"/>
        </w:rPr>
      </w:pPr>
      <w:r w:rsidRPr="00E766DF">
        <w:rPr>
          <w:rFonts w:asciiTheme="minorHAnsi" w:hAnsiTheme="minorHAnsi" w:cs="Arial"/>
          <w:bCs/>
          <w:snapToGrid w:val="0"/>
        </w:rPr>
        <w:t>90 mg film coated = 125 mg dispersible.</w:t>
      </w:r>
    </w:p>
    <w:p w:rsidR="008A5C03" w:rsidRPr="00E766DF" w:rsidRDefault="008A5C03"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 xml:space="preserve">The PBAC accepted that addition of the film coated tablets to the PBS would result in a small financial implication to the PBS, due to </w:t>
      </w:r>
      <w:r w:rsidR="007B7A39" w:rsidRPr="00E766DF">
        <w:rPr>
          <w:rFonts w:asciiTheme="minorHAnsi" w:eastAsiaTheme="minorHAnsi" w:hAnsiTheme="minorHAnsi" w:cstheme="minorBidi"/>
          <w:snapToGrid/>
          <w:sz w:val="24"/>
          <w:szCs w:val="24"/>
        </w:rPr>
        <w:t>a difference in pack sizes.</w:t>
      </w:r>
    </w:p>
    <w:p w:rsidR="00E35A6A" w:rsidRPr="00E766DF" w:rsidRDefault="00E35A6A"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The PBAC considered that the proposed restriction, which was identical to that for deferasirox dispersible tablets, was consistent with the TGA-approved indication.</w:t>
      </w:r>
    </w:p>
    <w:p w:rsidR="00B6559F" w:rsidRPr="00E766DF" w:rsidRDefault="001536C7"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53060D">
        <w:rPr>
          <w:rFonts w:asciiTheme="minorHAnsi" w:eastAsiaTheme="minorHAnsi" w:hAnsiTheme="minorHAnsi" w:cstheme="minorBidi"/>
          <w:snapToGrid/>
          <w:sz w:val="24"/>
          <w:szCs w:val="24"/>
        </w:rPr>
        <w:t xml:space="preserve">The PBAC noted that all </w:t>
      </w:r>
      <w:r w:rsidR="00840D55" w:rsidRPr="0053060D">
        <w:rPr>
          <w:rFonts w:asciiTheme="minorHAnsi" w:eastAsiaTheme="minorHAnsi" w:hAnsiTheme="minorHAnsi" w:cstheme="minorBidi"/>
          <w:snapToGrid/>
          <w:sz w:val="24"/>
          <w:szCs w:val="24"/>
        </w:rPr>
        <w:t xml:space="preserve">initial </w:t>
      </w:r>
      <w:r w:rsidRPr="0053060D">
        <w:rPr>
          <w:rFonts w:asciiTheme="minorHAnsi" w:eastAsiaTheme="minorHAnsi" w:hAnsiTheme="minorHAnsi" w:cstheme="minorBidi"/>
          <w:snapToGrid/>
          <w:sz w:val="24"/>
          <w:szCs w:val="24"/>
        </w:rPr>
        <w:t>listings for</w:t>
      </w:r>
      <w:r w:rsidR="00E35A6A" w:rsidRPr="0053060D">
        <w:rPr>
          <w:rFonts w:asciiTheme="minorHAnsi" w:eastAsiaTheme="minorHAnsi" w:hAnsiTheme="minorHAnsi" w:cstheme="minorBidi"/>
          <w:snapToGrid/>
          <w:sz w:val="24"/>
          <w:szCs w:val="24"/>
        </w:rPr>
        <w:t xml:space="preserve"> deferasirox dispersible tablets</w:t>
      </w:r>
      <w:r w:rsidRPr="0053060D">
        <w:rPr>
          <w:rFonts w:asciiTheme="minorHAnsi" w:eastAsiaTheme="minorHAnsi" w:hAnsiTheme="minorHAnsi" w:cstheme="minorBidi"/>
          <w:snapToGrid/>
          <w:sz w:val="24"/>
          <w:szCs w:val="24"/>
        </w:rPr>
        <w:t xml:space="preserve"> are</w:t>
      </w:r>
      <w:r w:rsidR="00E35A6A" w:rsidRPr="0053060D">
        <w:rPr>
          <w:rFonts w:asciiTheme="minorHAnsi" w:eastAsiaTheme="minorHAnsi" w:hAnsiTheme="minorHAnsi" w:cstheme="minorBidi"/>
          <w:snapToGrid/>
          <w:sz w:val="24"/>
          <w:szCs w:val="24"/>
        </w:rPr>
        <w:t xml:space="preserve"> Authority Required (Telephone), with </w:t>
      </w:r>
      <w:r w:rsidR="00840D55" w:rsidRPr="0053060D">
        <w:rPr>
          <w:rFonts w:asciiTheme="minorHAnsi" w:eastAsiaTheme="minorHAnsi" w:hAnsiTheme="minorHAnsi" w:cstheme="minorBidi"/>
          <w:snapToGrid/>
          <w:sz w:val="24"/>
          <w:szCs w:val="24"/>
        </w:rPr>
        <w:t>continuing listings</w:t>
      </w:r>
      <w:r w:rsidR="00E35A6A" w:rsidRPr="0053060D">
        <w:rPr>
          <w:rFonts w:asciiTheme="minorHAnsi" w:eastAsiaTheme="minorHAnsi" w:hAnsiTheme="minorHAnsi" w:cstheme="minorBidi"/>
          <w:snapToGrid/>
          <w:sz w:val="24"/>
          <w:szCs w:val="24"/>
        </w:rPr>
        <w:t xml:space="preserve"> Authority Required (Streamlined).</w:t>
      </w:r>
      <w:r w:rsidR="007B0ACD" w:rsidRPr="0053060D">
        <w:rPr>
          <w:rFonts w:asciiTheme="minorHAnsi" w:eastAsiaTheme="minorHAnsi" w:hAnsiTheme="minorHAnsi" w:cstheme="minorBidi"/>
          <w:snapToGrid/>
          <w:sz w:val="24"/>
          <w:szCs w:val="24"/>
        </w:rPr>
        <w:t xml:space="preserve"> The PBAC considered that the same restriction levels were appropriate for deferasirox film coated tablets.</w:t>
      </w:r>
    </w:p>
    <w:p w:rsidR="00B6559F" w:rsidRPr="00981151" w:rsidRDefault="00B6559F"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The PBAC considered that it would be appropriate for patients currently treated with deferasirox dispersible tablets to be eligible for continuing treatment with deferasirox film coated tablets.</w:t>
      </w:r>
      <w:r w:rsidR="00222AAA">
        <w:rPr>
          <w:rFonts w:asciiTheme="minorHAnsi" w:eastAsiaTheme="minorHAnsi" w:hAnsiTheme="minorHAnsi" w:cstheme="minorBidi"/>
          <w:snapToGrid/>
          <w:sz w:val="24"/>
          <w:szCs w:val="24"/>
        </w:rPr>
        <w:t xml:space="preserve"> The PBAC </w:t>
      </w:r>
      <w:r w:rsidR="00981151">
        <w:rPr>
          <w:rFonts w:asciiTheme="minorHAnsi" w:eastAsiaTheme="minorHAnsi" w:hAnsiTheme="minorHAnsi" w:cstheme="minorBidi"/>
          <w:snapToGrid/>
          <w:sz w:val="24"/>
          <w:szCs w:val="24"/>
        </w:rPr>
        <w:t>recommended</w:t>
      </w:r>
      <w:r w:rsidR="00222AAA">
        <w:rPr>
          <w:rFonts w:asciiTheme="minorHAnsi" w:eastAsiaTheme="minorHAnsi" w:hAnsiTheme="minorHAnsi" w:cstheme="minorBidi"/>
          <w:snapToGrid/>
          <w:sz w:val="24"/>
          <w:szCs w:val="24"/>
        </w:rPr>
        <w:t xml:space="preserve"> that the clinical criteria section of the deferasirox</w:t>
      </w:r>
      <w:r w:rsidR="00840D55">
        <w:rPr>
          <w:rFonts w:asciiTheme="minorHAnsi" w:eastAsiaTheme="minorHAnsi" w:hAnsiTheme="minorHAnsi" w:cstheme="minorBidi"/>
          <w:snapToGrid/>
          <w:sz w:val="24"/>
          <w:szCs w:val="24"/>
        </w:rPr>
        <w:t xml:space="preserve"> film coated tablets continuing</w:t>
      </w:r>
      <w:r w:rsidR="00222AAA">
        <w:rPr>
          <w:rFonts w:asciiTheme="minorHAnsi" w:eastAsiaTheme="minorHAnsi" w:hAnsiTheme="minorHAnsi" w:cstheme="minorBidi"/>
          <w:snapToGrid/>
          <w:sz w:val="24"/>
          <w:szCs w:val="24"/>
        </w:rPr>
        <w:t xml:space="preserve"> restriction</w:t>
      </w:r>
      <w:r w:rsidR="00840D55">
        <w:rPr>
          <w:rFonts w:asciiTheme="minorHAnsi" w:eastAsiaTheme="minorHAnsi" w:hAnsiTheme="minorHAnsi" w:cstheme="minorBidi"/>
          <w:snapToGrid/>
          <w:sz w:val="24"/>
          <w:szCs w:val="24"/>
        </w:rPr>
        <w:t>s</w:t>
      </w:r>
      <w:r w:rsidR="00691063">
        <w:rPr>
          <w:rFonts w:asciiTheme="minorHAnsi" w:eastAsiaTheme="minorHAnsi" w:hAnsiTheme="minorHAnsi" w:cstheme="minorBidi"/>
          <w:snapToGrid/>
          <w:sz w:val="24"/>
          <w:szCs w:val="24"/>
        </w:rPr>
        <w:t xml:space="preserve"> </w:t>
      </w:r>
      <w:r w:rsidR="00222AAA">
        <w:rPr>
          <w:rFonts w:asciiTheme="minorHAnsi" w:eastAsiaTheme="minorHAnsi" w:hAnsiTheme="minorHAnsi" w:cstheme="minorBidi"/>
          <w:snapToGrid/>
          <w:sz w:val="24"/>
          <w:szCs w:val="24"/>
        </w:rPr>
        <w:t>include “</w:t>
      </w:r>
      <w:r w:rsidR="00222AAA" w:rsidRPr="0053060D">
        <w:rPr>
          <w:rFonts w:ascii="Calibri" w:hAnsi="Calibri" w:cs="Calibri"/>
          <w:sz w:val="24"/>
          <w:szCs w:val="24"/>
        </w:rPr>
        <w:t>Patient must have previously received PBS-subsidised treatment with deferasirox for this condition.</w:t>
      </w:r>
      <w:r w:rsidR="00222AAA">
        <w:rPr>
          <w:rFonts w:ascii="Calibri" w:hAnsi="Calibri" w:cs="Calibri"/>
          <w:sz w:val="24"/>
          <w:szCs w:val="24"/>
        </w:rPr>
        <w:t>”</w:t>
      </w:r>
      <w:r w:rsidR="00222AAA" w:rsidRPr="00E766DF">
        <w:rPr>
          <w:rFonts w:ascii="Arial Narrow" w:hAnsi="Arial Narrow"/>
          <w:i/>
          <w:sz w:val="20"/>
        </w:rPr>
        <w:t xml:space="preserve"> </w:t>
      </w:r>
      <w:r w:rsidR="00222AAA">
        <w:rPr>
          <w:rFonts w:asciiTheme="minorHAnsi" w:eastAsiaTheme="minorHAnsi" w:hAnsiTheme="minorHAnsi" w:cstheme="minorBidi"/>
          <w:snapToGrid/>
          <w:sz w:val="24"/>
          <w:szCs w:val="24"/>
        </w:rPr>
        <w:t xml:space="preserve"> </w:t>
      </w:r>
    </w:p>
    <w:p w:rsidR="00981151" w:rsidRPr="006E107A" w:rsidRDefault="00981151"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4"/>
        </w:rPr>
      </w:pPr>
      <w:r w:rsidRPr="006E107A">
        <w:rPr>
          <w:rFonts w:asciiTheme="minorHAnsi" w:eastAsiaTheme="minorHAnsi" w:hAnsiTheme="minorHAnsi" w:cstheme="minorBidi"/>
          <w:snapToGrid/>
          <w:sz w:val="24"/>
          <w:szCs w:val="24"/>
        </w:rPr>
        <w:t xml:space="preserve">The PBAC noted that flow-on changes would be required to the </w:t>
      </w:r>
      <w:r>
        <w:rPr>
          <w:rFonts w:asciiTheme="minorHAnsi" w:eastAsiaTheme="minorHAnsi" w:hAnsiTheme="minorHAnsi" w:cstheme="minorBidi"/>
          <w:snapToGrid/>
          <w:sz w:val="24"/>
          <w:szCs w:val="24"/>
        </w:rPr>
        <w:t>deferasirox dispersible tablets continuing restrictions with the clinical criteria amended to state “</w:t>
      </w:r>
      <w:r w:rsidRPr="006E107A">
        <w:rPr>
          <w:rFonts w:asciiTheme="minorHAnsi" w:eastAsiaTheme="minorHAnsi" w:hAnsiTheme="minorHAnsi" w:cstheme="minorBidi"/>
          <w:snapToGrid/>
          <w:sz w:val="24"/>
          <w:szCs w:val="24"/>
        </w:rPr>
        <w:t>Patient must have previously received PBS-subsidised treatment with deferasirox for this condition.”</w:t>
      </w:r>
    </w:p>
    <w:p w:rsidR="00B6559F" w:rsidRPr="00E766DF" w:rsidRDefault="00B6559F" w:rsidP="005065EF">
      <w:pPr>
        <w:pStyle w:val="ListParagraph"/>
        <w:widowControl/>
        <w:numPr>
          <w:ilvl w:val="1"/>
          <w:numId w:val="14"/>
        </w:numPr>
        <w:spacing w:after="120"/>
        <w:ind w:left="720"/>
        <w:contextualSpacing w:val="0"/>
        <w:rPr>
          <w:rFonts w:asciiTheme="minorHAnsi" w:eastAsiaTheme="minorHAnsi" w:hAnsiTheme="minorHAnsi" w:cstheme="minorBidi"/>
        </w:rPr>
      </w:pPr>
      <w:r w:rsidRPr="00E766DF">
        <w:rPr>
          <w:rFonts w:asciiTheme="minorHAnsi" w:eastAsiaTheme="minorHAnsi" w:hAnsiTheme="minorHAnsi" w:cstheme="minorBidi"/>
          <w:snapToGrid/>
          <w:sz w:val="24"/>
          <w:szCs w:val="24"/>
        </w:rPr>
        <w:t>The PBAC noted that</w:t>
      </w:r>
      <w:r w:rsidR="006E3E5D" w:rsidRPr="00E766DF">
        <w:rPr>
          <w:rFonts w:asciiTheme="minorHAnsi" w:eastAsiaTheme="minorHAnsi" w:hAnsiTheme="minorHAnsi" w:cstheme="minorBidi"/>
          <w:snapToGrid/>
          <w:sz w:val="24"/>
          <w:szCs w:val="24"/>
        </w:rPr>
        <w:t xml:space="preserve"> the sponsor has requested that the S</w:t>
      </w:r>
      <w:r w:rsidRPr="00E766DF">
        <w:rPr>
          <w:rFonts w:asciiTheme="minorHAnsi" w:eastAsiaTheme="minorHAnsi" w:hAnsiTheme="minorHAnsi" w:cstheme="minorBidi"/>
          <w:snapToGrid/>
          <w:sz w:val="24"/>
          <w:szCs w:val="24"/>
        </w:rPr>
        <w:t xml:space="preserve">pecial Pricing Arrangement </w:t>
      </w:r>
      <w:r w:rsidR="006E3E5D" w:rsidRPr="00E766DF">
        <w:rPr>
          <w:rFonts w:asciiTheme="minorHAnsi" w:eastAsiaTheme="minorHAnsi" w:hAnsiTheme="minorHAnsi" w:cstheme="minorBidi"/>
          <w:snapToGrid/>
          <w:sz w:val="24"/>
          <w:szCs w:val="24"/>
        </w:rPr>
        <w:t xml:space="preserve">(SPA) that currently applies to the </w:t>
      </w:r>
      <w:r w:rsidRPr="00E766DF">
        <w:rPr>
          <w:rFonts w:asciiTheme="minorHAnsi" w:eastAsiaTheme="minorHAnsi" w:hAnsiTheme="minorHAnsi" w:cstheme="minorBidi"/>
          <w:snapToGrid/>
          <w:sz w:val="24"/>
          <w:szCs w:val="24"/>
        </w:rPr>
        <w:t>deferasirox dispersible tablets</w:t>
      </w:r>
      <w:r w:rsidR="006E3E5D" w:rsidRPr="00E766DF">
        <w:rPr>
          <w:rFonts w:asciiTheme="minorHAnsi" w:eastAsiaTheme="minorHAnsi" w:hAnsiTheme="minorHAnsi" w:cstheme="minorBidi"/>
          <w:snapToGrid/>
          <w:sz w:val="24"/>
          <w:szCs w:val="24"/>
        </w:rPr>
        <w:t xml:space="preserve"> is extended to include the film coated tablets. The PBAC further noted that SPA are given effect through a deed made under Section 85E of the </w:t>
      </w:r>
      <w:r w:rsidRPr="00E766DF">
        <w:rPr>
          <w:rFonts w:asciiTheme="minorHAnsi" w:eastAsiaTheme="minorHAnsi" w:hAnsiTheme="minorHAnsi" w:cstheme="minorBidi"/>
          <w:snapToGrid/>
          <w:sz w:val="24"/>
          <w:szCs w:val="24"/>
        </w:rPr>
        <w:t>National Health Act 1953 between the Minister (</w:t>
      </w:r>
      <w:proofErr w:type="gramStart"/>
      <w:r w:rsidRPr="00E766DF">
        <w:rPr>
          <w:rFonts w:asciiTheme="minorHAnsi" w:eastAsiaTheme="minorHAnsi" w:hAnsiTheme="minorHAnsi" w:cstheme="minorBidi"/>
          <w:snapToGrid/>
          <w:sz w:val="24"/>
          <w:szCs w:val="24"/>
        </w:rPr>
        <w:t>or</w:t>
      </w:r>
      <w:proofErr w:type="gramEnd"/>
      <w:r w:rsidRPr="00E766DF">
        <w:rPr>
          <w:rFonts w:asciiTheme="minorHAnsi" w:eastAsiaTheme="minorHAnsi" w:hAnsiTheme="minorHAnsi" w:cstheme="minorBidi"/>
          <w:snapToGrid/>
          <w:sz w:val="24"/>
          <w:szCs w:val="24"/>
        </w:rPr>
        <w:t xml:space="preserve"> his delegate) and the responsible person.  The PBAC </w:t>
      </w:r>
      <w:r w:rsidR="006E3E5D" w:rsidRPr="00E766DF">
        <w:rPr>
          <w:rFonts w:asciiTheme="minorHAnsi" w:eastAsiaTheme="minorHAnsi" w:hAnsiTheme="minorHAnsi" w:cstheme="minorBidi"/>
          <w:snapToGrid/>
          <w:sz w:val="24"/>
          <w:szCs w:val="24"/>
        </w:rPr>
        <w:t xml:space="preserve">recalled that deferasirox was recommended for listing on a cost effectiveness basis versus the comparator </w:t>
      </w:r>
      <w:proofErr w:type="spellStart"/>
      <w:r w:rsidR="006E3E5D" w:rsidRPr="00E766DF">
        <w:rPr>
          <w:rFonts w:asciiTheme="minorHAnsi" w:eastAsiaTheme="minorHAnsi" w:hAnsiTheme="minorHAnsi" w:cstheme="minorBidi"/>
          <w:snapToGrid/>
          <w:sz w:val="24"/>
          <w:szCs w:val="24"/>
        </w:rPr>
        <w:t>desferrioxamine</w:t>
      </w:r>
      <w:proofErr w:type="spellEnd"/>
      <w:r w:rsidR="006E3E5D" w:rsidRPr="00E766DF">
        <w:rPr>
          <w:rFonts w:asciiTheme="minorHAnsi" w:eastAsiaTheme="minorHAnsi" w:hAnsiTheme="minorHAnsi" w:cstheme="minorBidi"/>
          <w:snapToGrid/>
          <w:sz w:val="24"/>
          <w:szCs w:val="24"/>
        </w:rPr>
        <w:t xml:space="preserve"> (</w:t>
      </w:r>
      <w:r w:rsidR="00550AE6" w:rsidRPr="00E766DF">
        <w:rPr>
          <w:rFonts w:asciiTheme="minorHAnsi" w:eastAsiaTheme="minorHAnsi" w:hAnsiTheme="minorHAnsi" w:cstheme="minorBidi"/>
          <w:snapToGrid/>
          <w:sz w:val="24"/>
          <w:szCs w:val="24"/>
        </w:rPr>
        <w:t xml:space="preserve">Deferasirox </w:t>
      </w:r>
      <w:r w:rsidR="006E3E5D" w:rsidRPr="00E766DF">
        <w:rPr>
          <w:rFonts w:asciiTheme="minorHAnsi" w:eastAsiaTheme="minorHAnsi" w:hAnsiTheme="minorHAnsi" w:cstheme="minorBidi"/>
          <w:snapToGrid/>
          <w:sz w:val="24"/>
          <w:szCs w:val="24"/>
        </w:rPr>
        <w:t>P</w:t>
      </w:r>
      <w:r w:rsidR="00550AE6" w:rsidRPr="00E766DF">
        <w:rPr>
          <w:rFonts w:asciiTheme="minorHAnsi" w:eastAsiaTheme="minorHAnsi" w:hAnsiTheme="minorHAnsi" w:cstheme="minorBidi"/>
          <w:snapToGrid/>
          <w:sz w:val="24"/>
          <w:szCs w:val="24"/>
        </w:rPr>
        <w:t xml:space="preserve">ublic </w:t>
      </w:r>
      <w:r w:rsidR="006E3E5D" w:rsidRPr="00E766DF">
        <w:rPr>
          <w:rFonts w:asciiTheme="minorHAnsi" w:eastAsiaTheme="minorHAnsi" w:hAnsiTheme="minorHAnsi" w:cstheme="minorBidi"/>
          <w:snapToGrid/>
          <w:sz w:val="24"/>
          <w:szCs w:val="24"/>
        </w:rPr>
        <w:t>S</w:t>
      </w:r>
      <w:r w:rsidR="00550AE6" w:rsidRPr="00E766DF">
        <w:rPr>
          <w:rFonts w:asciiTheme="minorHAnsi" w:eastAsiaTheme="minorHAnsi" w:hAnsiTheme="minorHAnsi" w:cstheme="minorBidi"/>
          <w:snapToGrid/>
          <w:sz w:val="24"/>
          <w:szCs w:val="24"/>
        </w:rPr>
        <w:t xml:space="preserve">ummary </w:t>
      </w:r>
      <w:r w:rsidR="006E3E5D" w:rsidRPr="00E766DF">
        <w:rPr>
          <w:rFonts w:asciiTheme="minorHAnsi" w:eastAsiaTheme="minorHAnsi" w:hAnsiTheme="minorHAnsi" w:cstheme="minorBidi"/>
          <w:snapToGrid/>
          <w:sz w:val="24"/>
          <w:szCs w:val="24"/>
        </w:rPr>
        <w:t>D</w:t>
      </w:r>
      <w:r w:rsidR="00550AE6" w:rsidRPr="00E766DF">
        <w:rPr>
          <w:rFonts w:asciiTheme="minorHAnsi" w:eastAsiaTheme="minorHAnsi" w:hAnsiTheme="minorHAnsi" w:cstheme="minorBidi"/>
          <w:snapToGrid/>
          <w:sz w:val="24"/>
          <w:szCs w:val="24"/>
        </w:rPr>
        <w:t>ocument,</w:t>
      </w:r>
      <w:r w:rsidR="006E3E5D" w:rsidRPr="00E766DF">
        <w:rPr>
          <w:rFonts w:asciiTheme="minorHAnsi" w:eastAsiaTheme="minorHAnsi" w:hAnsiTheme="minorHAnsi" w:cstheme="minorBidi"/>
          <w:snapToGrid/>
          <w:sz w:val="24"/>
          <w:szCs w:val="24"/>
        </w:rPr>
        <w:t xml:space="preserve"> July </w:t>
      </w:r>
      <w:r w:rsidR="00DB49D9" w:rsidRPr="00E766DF">
        <w:rPr>
          <w:rFonts w:asciiTheme="minorHAnsi" w:eastAsiaTheme="minorHAnsi" w:hAnsiTheme="minorHAnsi" w:cstheme="minorBidi"/>
          <w:snapToGrid/>
          <w:sz w:val="24"/>
          <w:szCs w:val="24"/>
        </w:rPr>
        <w:t>2006</w:t>
      </w:r>
      <w:r w:rsidR="006E3E5D" w:rsidRPr="00E766DF">
        <w:rPr>
          <w:rFonts w:asciiTheme="minorHAnsi" w:eastAsiaTheme="minorHAnsi" w:hAnsiTheme="minorHAnsi" w:cstheme="minorBidi"/>
          <w:snapToGrid/>
          <w:sz w:val="24"/>
          <w:szCs w:val="24"/>
        </w:rPr>
        <w:t xml:space="preserve">). </w:t>
      </w:r>
    </w:p>
    <w:p w:rsidR="006B4C03" w:rsidRPr="00E766DF" w:rsidRDefault="006B4C03" w:rsidP="005065EF">
      <w:pPr>
        <w:pStyle w:val="ListParagraph"/>
        <w:widowControl/>
        <w:numPr>
          <w:ilvl w:val="1"/>
          <w:numId w:val="14"/>
        </w:numPr>
        <w:spacing w:after="120"/>
        <w:ind w:left="720"/>
        <w:contextualSpacing w:val="0"/>
        <w:rPr>
          <w:rFonts w:asciiTheme="minorHAnsi" w:eastAsiaTheme="minorHAnsi" w:hAnsiTheme="minorHAnsi" w:cstheme="minorBidi"/>
          <w:snapToGrid/>
        </w:rPr>
      </w:pPr>
      <w:r w:rsidRPr="00E766DF">
        <w:rPr>
          <w:rFonts w:asciiTheme="minorHAnsi" w:eastAsiaTheme="minorHAnsi" w:hAnsiTheme="minorHAnsi" w:cstheme="minorBidi"/>
          <w:snapToGrid/>
          <w:sz w:val="24"/>
          <w:szCs w:val="24"/>
        </w:rPr>
        <w:t xml:space="preserve">The PBAC advised that </w:t>
      </w:r>
      <w:r w:rsidR="008A5C03" w:rsidRPr="00E766DF">
        <w:rPr>
          <w:rFonts w:asciiTheme="minorHAnsi" w:eastAsiaTheme="minorHAnsi" w:hAnsiTheme="minorHAnsi" w:cstheme="minorBidi"/>
          <w:snapToGrid/>
          <w:sz w:val="24"/>
          <w:szCs w:val="24"/>
        </w:rPr>
        <w:t>deferasirox film coated tablets</w:t>
      </w:r>
      <w:r w:rsidRPr="00E766DF">
        <w:rPr>
          <w:rFonts w:asciiTheme="minorHAnsi" w:eastAsiaTheme="minorHAnsi" w:hAnsiTheme="minorHAnsi" w:cstheme="minorBidi"/>
          <w:snapToGrid/>
          <w:sz w:val="24"/>
          <w:szCs w:val="24"/>
        </w:rPr>
        <w:t xml:space="preserve"> </w:t>
      </w:r>
      <w:r w:rsidR="007B7A39" w:rsidRPr="00E766DF">
        <w:rPr>
          <w:rFonts w:asciiTheme="minorHAnsi" w:eastAsiaTheme="minorHAnsi" w:hAnsiTheme="minorHAnsi" w:cstheme="minorBidi"/>
          <w:snapToGrid/>
          <w:sz w:val="24"/>
          <w:szCs w:val="24"/>
        </w:rPr>
        <w:t xml:space="preserve">are </w:t>
      </w:r>
      <w:r w:rsidRPr="00E766DF">
        <w:rPr>
          <w:rFonts w:asciiTheme="minorHAnsi" w:eastAsiaTheme="minorHAnsi" w:hAnsiTheme="minorHAnsi" w:cstheme="minorBidi"/>
          <w:snapToGrid/>
          <w:sz w:val="24"/>
          <w:szCs w:val="24"/>
        </w:rPr>
        <w:t xml:space="preserve">not suitable for prescribing by nurse practitioners.  </w:t>
      </w:r>
    </w:p>
    <w:p w:rsidR="008512B9" w:rsidRPr="00E766DF" w:rsidRDefault="006B4C03" w:rsidP="005065EF">
      <w:pPr>
        <w:pStyle w:val="ListParagraph"/>
        <w:widowControl/>
        <w:numPr>
          <w:ilvl w:val="1"/>
          <w:numId w:val="14"/>
        </w:numPr>
        <w:spacing w:after="120"/>
        <w:ind w:left="720"/>
        <w:contextualSpacing w:val="0"/>
        <w:rPr>
          <w:rFonts w:asciiTheme="minorHAnsi" w:eastAsiaTheme="minorHAnsi" w:hAnsiTheme="minorHAnsi" w:cstheme="minorBidi"/>
          <w:snapToGrid/>
          <w:sz w:val="24"/>
          <w:szCs w:val="24"/>
        </w:rPr>
      </w:pPr>
      <w:r w:rsidRPr="00E766DF">
        <w:rPr>
          <w:rFonts w:asciiTheme="minorHAnsi" w:eastAsiaTheme="minorHAnsi" w:hAnsiTheme="minorHAnsi" w:cstheme="minorBidi"/>
          <w:snapToGrid/>
          <w:sz w:val="24"/>
          <w:szCs w:val="24"/>
        </w:rPr>
        <w:t xml:space="preserve">The PBAC recommended that the Early Supply Rule should apply. </w:t>
      </w:r>
    </w:p>
    <w:p w:rsidR="006B4C03" w:rsidRPr="00E766DF" w:rsidRDefault="006B4C03" w:rsidP="005065EF">
      <w:pPr>
        <w:pStyle w:val="ListParagraph"/>
        <w:widowControl/>
        <w:numPr>
          <w:ilvl w:val="1"/>
          <w:numId w:val="14"/>
        </w:numPr>
        <w:spacing w:after="120"/>
        <w:ind w:left="720"/>
        <w:contextualSpacing w:val="0"/>
        <w:rPr>
          <w:rFonts w:asciiTheme="minorHAnsi" w:hAnsiTheme="minorHAnsi"/>
          <w:bCs/>
          <w:i/>
        </w:rPr>
      </w:pPr>
      <w:r w:rsidRPr="00E766DF">
        <w:rPr>
          <w:rFonts w:asciiTheme="minorHAnsi" w:eastAsiaTheme="minorHAnsi" w:hAnsiTheme="minorHAnsi" w:cstheme="minorBidi"/>
          <w:snapToGrid/>
          <w:sz w:val="24"/>
          <w:szCs w:val="24"/>
        </w:rPr>
        <w:lastRenderedPageBreak/>
        <w:t>The PBAC noted that this submission is not eligible for an Independent Review</w:t>
      </w:r>
      <w:r w:rsidR="008A5C03" w:rsidRPr="00E766DF">
        <w:rPr>
          <w:rFonts w:asciiTheme="minorHAnsi" w:eastAsiaTheme="minorHAnsi" w:hAnsiTheme="minorHAnsi" w:cstheme="minorBidi"/>
          <w:snapToGrid/>
          <w:sz w:val="24"/>
          <w:szCs w:val="24"/>
        </w:rPr>
        <w:t xml:space="preserve"> as</w:t>
      </w:r>
      <w:r w:rsidR="008512B9" w:rsidRPr="00E766DF">
        <w:rPr>
          <w:rFonts w:asciiTheme="minorHAnsi" w:eastAsiaTheme="minorHAnsi" w:hAnsiTheme="minorHAnsi" w:cstheme="minorBidi"/>
          <w:snapToGrid/>
          <w:sz w:val="24"/>
          <w:szCs w:val="24"/>
        </w:rPr>
        <w:t xml:space="preserve"> it received</w:t>
      </w:r>
      <w:r w:rsidR="008A5C03" w:rsidRPr="00E766DF">
        <w:rPr>
          <w:rFonts w:asciiTheme="minorHAnsi" w:eastAsiaTheme="minorHAnsi" w:hAnsiTheme="minorHAnsi" w:cstheme="minorBidi"/>
          <w:snapToGrid/>
          <w:sz w:val="24"/>
          <w:szCs w:val="24"/>
        </w:rPr>
        <w:t xml:space="preserve"> a positive recommendation. </w:t>
      </w:r>
      <w:r w:rsidR="008A5C03" w:rsidRPr="00E766DF">
        <w:rPr>
          <w:rFonts w:asciiTheme="minorHAnsi" w:hAnsiTheme="minorHAnsi"/>
          <w:bCs/>
          <w:sz w:val="24"/>
          <w:szCs w:val="24"/>
        </w:rPr>
        <w:t xml:space="preserve"> </w:t>
      </w:r>
    </w:p>
    <w:p w:rsidR="006B4C03" w:rsidRPr="00E766DF" w:rsidRDefault="006B4C03" w:rsidP="006B4C03">
      <w:pPr>
        <w:spacing w:before="240"/>
        <w:jc w:val="both"/>
        <w:rPr>
          <w:rFonts w:asciiTheme="minorHAnsi" w:hAnsiTheme="minorHAnsi" w:cs="Arial"/>
          <w:b/>
          <w:bCs/>
          <w:snapToGrid w:val="0"/>
        </w:rPr>
      </w:pPr>
      <w:r w:rsidRPr="00E766DF">
        <w:rPr>
          <w:rFonts w:asciiTheme="minorHAnsi" w:hAnsiTheme="minorHAnsi" w:cs="Arial"/>
          <w:b/>
          <w:bCs/>
          <w:snapToGrid w:val="0"/>
        </w:rPr>
        <w:t>Outcome:</w:t>
      </w:r>
    </w:p>
    <w:p w:rsidR="008E7629" w:rsidRPr="00E766DF" w:rsidRDefault="006B4C03" w:rsidP="00A01BCF">
      <w:pPr>
        <w:jc w:val="both"/>
        <w:rPr>
          <w:rFonts w:asciiTheme="minorHAnsi" w:hAnsiTheme="minorHAnsi" w:cs="Arial"/>
          <w:bCs/>
          <w:snapToGrid w:val="0"/>
        </w:rPr>
      </w:pPr>
      <w:r w:rsidRPr="00E766DF">
        <w:rPr>
          <w:rFonts w:asciiTheme="minorHAnsi" w:hAnsiTheme="minorHAnsi" w:cs="Arial"/>
          <w:bCs/>
          <w:snapToGrid w:val="0"/>
        </w:rPr>
        <w:t xml:space="preserve">Recommended </w:t>
      </w:r>
      <w:r w:rsidR="00A01BCF">
        <w:rPr>
          <w:rFonts w:asciiTheme="minorHAnsi" w:hAnsiTheme="minorHAnsi" w:cs="Arial"/>
          <w:bCs/>
          <w:snapToGrid w:val="0"/>
        </w:rPr>
        <w:br w:type="page"/>
      </w:r>
    </w:p>
    <w:p w:rsidR="006B4C03" w:rsidRPr="00AD55C5" w:rsidRDefault="006B4C03" w:rsidP="00AD55C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D55C5">
        <w:rPr>
          <w:rFonts w:asciiTheme="minorHAnsi" w:hAnsiTheme="minorHAnsi"/>
          <w:sz w:val="32"/>
          <w:szCs w:val="32"/>
        </w:rPr>
        <w:lastRenderedPageBreak/>
        <w:t>Recommended listing</w:t>
      </w:r>
    </w:p>
    <w:p w:rsidR="006B4C03" w:rsidRPr="00E766DF" w:rsidRDefault="00ED2B4B" w:rsidP="0053060D">
      <w:pPr>
        <w:keepNext/>
        <w:widowControl w:val="0"/>
        <w:numPr>
          <w:ilvl w:val="1"/>
          <w:numId w:val="5"/>
        </w:numPr>
        <w:spacing w:after="120"/>
        <w:jc w:val="both"/>
        <w:rPr>
          <w:rFonts w:asciiTheme="minorHAnsi" w:hAnsiTheme="minorHAnsi" w:cs="Arial"/>
          <w:b/>
          <w:bCs/>
          <w:snapToGrid w:val="0"/>
        </w:rPr>
      </w:pPr>
      <w:r w:rsidRPr="00E766DF">
        <w:rPr>
          <w:rFonts w:asciiTheme="minorHAnsi" w:hAnsiTheme="minorHAnsi" w:cs="Arial"/>
          <w:bCs/>
          <w:snapToGrid w:val="0"/>
        </w:rPr>
        <w:t xml:space="preserve">Add new item: </w:t>
      </w:r>
    </w:p>
    <w:p w:rsidR="006B4C03" w:rsidRDefault="005D1E05" w:rsidP="0053060D">
      <w:pPr>
        <w:keepNext/>
        <w:widowControl w:val="0"/>
        <w:spacing w:after="120"/>
        <w:jc w:val="both"/>
        <w:rPr>
          <w:rFonts w:asciiTheme="minorHAnsi" w:hAnsiTheme="minorHAnsi" w:cs="Arial"/>
          <w:bCs/>
          <w:snapToGrid w:val="0"/>
          <w:u w:val="single"/>
        </w:rPr>
      </w:pPr>
      <w:r w:rsidRPr="00E766DF">
        <w:rPr>
          <w:rFonts w:asciiTheme="minorHAnsi" w:hAnsiTheme="minorHAnsi" w:cs="Arial"/>
          <w:bCs/>
          <w:snapToGrid w:val="0"/>
          <w:u w:val="single"/>
        </w:rPr>
        <w:t xml:space="preserve">Chronic iron overload in patients with transfusion-dependent malignant disorders of </w:t>
      </w:r>
      <w:proofErr w:type="spellStart"/>
      <w:r w:rsidRPr="00E766DF">
        <w:rPr>
          <w:rFonts w:asciiTheme="minorHAnsi" w:hAnsiTheme="minorHAnsi" w:cs="Arial"/>
          <w:bCs/>
          <w:snapToGrid w:val="0"/>
          <w:u w:val="single"/>
        </w:rPr>
        <w:t>haemop</w:t>
      </w:r>
      <w:r w:rsidR="004A080A" w:rsidRPr="00E766DF">
        <w:rPr>
          <w:rFonts w:asciiTheme="minorHAnsi" w:hAnsiTheme="minorHAnsi" w:cs="Arial"/>
          <w:bCs/>
          <w:snapToGrid w:val="0"/>
          <w:u w:val="single"/>
        </w:rPr>
        <w:t>o</w:t>
      </w:r>
      <w:r w:rsidRPr="00E766DF">
        <w:rPr>
          <w:rFonts w:asciiTheme="minorHAnsi" w:hAnsiTheme="minorHAnsi" w:cs="Arial"/>
          <w:bCs/>
          <w:snapToGrid w:val="0"/>
          <w:u w:val="single"/>
        </w:rPr>
        <w:t>iesis</w:t>
      </w:r>
      <w:proofErr w:type="spellEnd"/>
      <w:r w:rsidRPr="00E766DF">
        <w:rPr>
          <w:rFonts w:asciiTheme="minorHAnsi" w:hAnsiTheme="minorHAnsi" w:cs="Arial"/>
          <w:bCs/>
          <w:snapToGrid w:val="0"/>
          <w:u w:val="single"/>
        </w:rPr>
        <w:t xml:space="preserve"> and a median life expectancy exceeding five years: Public and Private (Initial)</w:t>
      </w:r>
      <w:r w:rsidR="00222AAA">
        <w:rPr>
          <w:rFonts w:asciiTheme="minorHAnsi" w:hAnsiTheme="minorHAnsi" w:cs="Arial"/>
          <w:bCs/>
          <w:snapToGrid w:val="0"/>
          <w:u w:val="single"/>
        </w:rPr>
        <w:t>:</w:t>
      </w:r>
    </w:p>
    <w:tbl>
      <w:tblPr>
        <w:tblW w:w="4920" w:type="pct"/>
        <w:tblLayout w:type="fixed"/>
        <w:tblLook w:val="0000" w:firstRow="0" w:lastRow="0" w:firstColumn="0" w:lastColumn="0" w:noHBand="0" w:noVBand="0"/>
      </w:tblPr>
      <w:tblGrid>
        <w:gridCol w:w="2376"/>
        <w:gridCol w:w="1422"/>
        <w:gridCol w:w="989"/>
        <w:gridCol w:w="995"/>
        <w:gridCol w:w="849"/>
        <w:gridCol w:w="1133"/>
        <w:gridCol w:w="1088"/>
        <w:gridCol w:w="242"/>
      </w:tblGrid>
      <w:tr w:rsidR="005841DA" w:rsidRPr="00E766DF" w:rsidTr="005065EF">
        <w:trPr>
          <w:trHeight w:val="465"/>
        </w:trPr>
        <w:tc>
          <w:tcPr>
            <w:tcW w:w="2088" w:type="pct"/>
            <w:gridSpan w:val="2"/>
            <w:tcBorders>
              <w:bottom w:val="single" w:sz="4" w:space="0" w:color="auto"/>
            </w:tcBorders>
          </w:tcPr>
          <w:p w:rsidR="005841DA" w:rsidRPr="00E766DF" w:rsidRDefault="005841DA" w:rsidP="0053060D">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5841DA" w:rsidRPr="00E766DF" w:rsidRDefault="005841DA" w:rsidP="0053060D">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544" w:type="pct"/>
            <w:tcBorders>
              <w:bottom w:val="single" w:sz="4" w:space="0" w:color="auto"/>
            </w:tcBorders>
          </w:tcPr>
          <w:p w:rsidR="005841DA" w:rsidRPr="00E766DF" w:rsidRDefault="005841DA"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packs</w:t>
            </w:r>
          </w:p>
        </w:tc>
        <w:tc>
          <w:tcPr>
            <w:tcW w:w="547" w:type="pct"/>
            <w:tcBorders>
              <w:bottom w:val="single" w:sz="4" w:space="0" w:color="auto"/>
            </w:tcBorders>
          </w:tcPr>
          <w:p w:rsidR="005841DA" w:rsidRPr="00E766DF" w:rsidRDefault="005841DA"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units</w:t>
            </w:r>
          </w:p>
        </w:tc>
        <w:tc>
          <w:tcPr>
            <w:tcW w:w="467" w:type="pct"/>
            <w:tcBorders>
              <w:bottom w:val="single" w:sz="4" w:space="0" w:color="auto"/>
            </w:tcBorders>
          </w:tcPr>
          <w:p w:rsidR="005841DA" w:rsidRPr="00E766DF" w:rsidRDefault="005841DA"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No. of</w:t>
            </w:r>
          </w:p>
          <w:p w:rsidR="005841DA" w:rsidRPr="00E766DF" w:rsidRDefault="005841DA"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repeats</w:t>
            </w:r>
          </w:p>
        </w:tc>
        <w:tc>
          <w:tcPr>
            <w:tcW w:w="1354" w:type="pct"/>
            <w:gridSpan w:val="3"/>
            <w:tcBorders>
              <w:bottom w:val="single" w:sz="4" w:space="0" w:color="auto"/>
            </w:tcBorders>
          </w:tcPr>
          <w:p w:rsidR="005841DA" w:rsidRPr="00E766DF" w:rsidRDefault="005841DA" w:rsidP="0053060D">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EA184F" w:rsidRPr="00E766DF" w:rsidTr="005065EF">
        <w:trPr>
          <w:trHeight w:val="567"/>
        </w:trPr>
        <w:tc>
          <w:tcPr>
            <w:tcW w:w="2088" w:type="pct"/>
            <w:gridSpan w:val="2"/>
            <w:tcBorders>
              <w:top w:val="single" w:sz="4" w:space="0" w:color="auto"/>
              <w:bottom w:val="single" w:sz="4" w:space="0" w:color="auto"/>
            </w:tcBorders>
          </w:tcPr>
          <w:p w:rsidR="005841DA" w:rsidRPr="00E766DF" w:rsidRDefault="005841DA" w:rsidP="00B62210">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5841DA" w:rsidRPr="00E766DF" w:rsidRDefault="005841DA"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 30</w:t>
            </w:r>
          </w:p>
          <w:p w:rsidR="005841DA" w:rsidRPr="00E766DF" w:rsidRDefault="005841DA"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 30</w:t>
            </w:r>
          </w:p>
          <w:p w:rsidR="00222AAA" w:rsidRPr="00E766DF" w:rsidRDefault="005841DA"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360 mg, 30</w:t>
            </w:r>
          </w:p>
        </w:tc>
        <w:tc>
          <w:tcPr>
            <w:tcW w:w="544" w:type="pct"/>
            <w:tcBorders>
              <w:top w:val="single" w:sz="4" w:space="0" w:color="auto"/>
              <w:bottom w:val="single" w:sz="4" w:space="0" w:color="auto"/>
            </w:tcBorders>
          </w:tcPr>
          <w:p w:rsidR="005841DA" w:rsidRPr="00E766DF" w:rsidRDefault="005841DA" w:rsidP="005841DA">
            <w:pPr>
              <w:keepNext/>
              <w:spacing w:before="40" w:after="40"/>
              <w:jc w:val="center"/>
              <w:rPr>
                <w:rFonts w:ascii="Arial Narrow" w:hAnsi="Arial Narrow" w:cs="Arial"/>
                <w:sz w:val="20"/>
                <w:szCs w:val="20"/>
              </w:rPr>
            </w:pP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6</w:t>
            </w:r>
          </w:p>
        </w:tc>
        <w:tc>
          <w:tcPr>
            <w:tcW w:w="547" w:type="pct"/>
            <w:tcBorders>
              <w:top w:val="single" w:sz="4" w:space="0" w:color="auto"/>
              <w:bottom w:val="single" w:sz="4" w:space="0" w:color="auto"/>
            </w:tcBorders>
          </w:tcPr>
          <w:p w:rsidR="005841DA" w:rsidRPr="00E766DF" w:rsidRDefault="005841DA" w:rsidP="005841DA">
            <w:pPr>
              <w:keepNext/>
              <w:spacing w:before="40" w:after="40"/>
              <w:jc w:val="center"/>
              <w:rPr>
                <w:rFonts w:ascii="Arial Narrow" w:hAnsi="Arial Narrow" w:cs="Arial"/>
                <w:sz w:val="20"/>
                <w:szCs w:val="20"/>
              </w:rPr>
            </w:pP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180</w:t>
            </w:r>
          </w:p>
        </w:tc>
        <w:tc>
          <w:tcPr>
            <w:tcW w:w="467" w:type="pct"/>
            <w:tcBorders>
              <w:top w:val="single" w:sz="4" w:space="0" w:color="auto"/>
              <w:bottom w:val="single" w:sz="4" w:space="0" w:color="auto"/>
            </w:tcBorders>
          </w:tcPr>
          <w:p w:rsidR="005841DA" w:rsidRPr="00E766DF" w:rsidRDefault="005841DA" w:rsidP="005841DA">
            <w:pPr>
              <w:keepNext/>
              <w:spacing w:before="40" w:after="40"/>
              <w:jc w:val="center"/>
              <w:rPr>
                <w:rFonts w:ascii="Arial Narrow" w:hAnsi="Arial Narrow" w:cs="Arial"/>
                <w:sz w:val="20"/>
                <w:szCs w:val="20"/>
              </w:rPr>
            </w:pP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5841DA" w:rsidRPr="00E766DF" w:rsidRDefault="005841DA" w:rsidP="005841DA">
            <w:pPr>
              <w:keepNext/>
              <w:spacing w:before="40" w:after="40"/>
              <w:jc w:val="center"/>
              <w:rPr>
                <w:rFonts w:ascii="Arial Narrow" w:hAnsi="Arial Narrow" w:cs="Arial"/>
                <w:sz w:val="20"/>
                <w:szCs w:val="20"/>
              </w:rPr>
            </w:pPr>
            <w:r w:rsidRPr="00E766DF">
              <w:rPr>
                <w:rFonts w:ascii="Arial Narrow" w:hAnsi="Arial Narrow" w:cs="Arial"/>
                <w:sz w:val="20"/>
                <w:szCs w:val="20"/>
              </w:rPr>
              <w:t>2</w:t>
            </w:r>
          </w:p>
        </w:tc>
        <w:tc>
          <w:tcPr>
            <w:tcW w:w="623" w:type="pct"/>
            <w:tcBorders>
              <w:top w:val="single" w:sz="4" w:space="0" w:color="auto"/>
              <w:bottom w:val="single" w:sz="4" w:space="0" w:color="auto"/>
            </w:tcBorders>
          </w:tcPr>
          <w:p w:rsidR="005841DA" w:rsidRPr="00E766DF" w:rsidRDefault="005841DA" w:rsidP="00B62210">
            <w:pPr>
              <w:keepNext/>
              <w:spacing w:before="40" w:after="40"/>
              <w:jc w:val="both"/>
              <w:rPr>
                <w:rFonts w:ascii="Arial Narrow" w:hAnsi="Arial Narrow" w:cs="Arial"/>
                <w:sz w:val="20"/>
                <w:szCs w:val="20"/>
              </w:rPr>
            </w:pPr>
          </w:p>
          <w:p w:rsidR="005841DA" w:rsidRPr="00E766DF" w:rsidRDefault="005841DA" w:rsidP="00B62210">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w:t>
            </w:r>
          </w:p>
        </w:tc>
        <w:tc>
          <w:tcPr>
            <w:tcW w:w="598" w:type="pct"/>
            <w:tcBorders>
              <w:top w:val="single" w:sz="4" w:space="0" w:color="auto"/>
              <w:bottom w:val="single" w:sz="4" w:space="0" w:color="auto"/>
            </w:tcBorders>
          </w:tcPr>
          <w:p w:rsidR="005841DA" w:rsidRPr="00E766DF" w:rsidRDefault="005841DA" w:rsidP="00B62210">
            <w:pPr>
              <w:keepNext/>
              <w:spacing w:before="40" w:after="40"/>
              <w:jc w:val="both"/>
              <w:rPr>
                <w:rFonts w:ascii="Arial Narrow" w:hAnsi="Arial Narrow" w:cs="Arial"/>
                <w:sz w:val="20"/>
                <w:szCs w:val="20"/>
              </w:rPr>
            </w:pPr>
          </w:p>
          <w:p w:rsidR="005841DA" w:rsidRPr="00E766DF" w:rsidRDefault="005841DA" w:rsidP="00B62210">
            <w:pPr>
              <w:keepNext/>
              <w:spacing w:before="40" w:after="40"/>
              <w:jc w:val="both"/>
              <w:rPr>
                <w:rFonts w:ascii="Arial Narrow" w:hAnsi="Arial Narrow" w:cs="Arial"/>
                <w:sz w:val="20"/>
                <w:szCs w:val="20"/>
              </w:rPr>
            </w:pPr>
            <w:r w:rsidRPr="00E766DF">
              <w:rPr>
                <w:rFonts w:ascii="Arial Narrow" w:hAnsi="Arial Narrow" w:cs="Arial"/>
                <w:sz w:val="20"/>
                <w:szCs w:val="20"/>
              </w:rPr>
              <w:t>Novartis</w:t>
            </w:r>
          </w:p>
        </w:tc>
        <w:tc>
          <w:tcPr>
            <w:tcW w:w="133" w:type="pct"/>
            <w:tcBorders>
              <w:top w:val="single" w:sz="4" w:space="0" w:color="auto"/>
              <w:bottom w:val="single" w:sz="4" w:space="0" w:color="auto"/>
            </w:tcBorders>
          </w:tcPr>
          <w:p w:rsidR="005841DA" w:rsidRPr="00E766DF" w:rsidRDefault="005841DA" w:rsidP="00B62210">
            <w:pPr>
              <w:keepNext/>
              <w:spacing w:before="40" w:after="40"/>
              <w:jc w:val="both"/>
              <w:rPr>
                <w:rFonts w:ascii="Arial Narrow" w:hAnsi="Arial Narrow" w:cs="Arial"/>
                <w:sz w:val="20"/>
                <w:szCs w:val="20"/>
              </w:rPr>
            </w:pP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Category / Program:</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Section 100 – Highly Specialised Drugs Program</w:t>
            </w:r>
            <w:r w:rsidR="005D1E05" w:rsidRPr="00E766DF">
              <w:rPr>
                <w:rFonts w:ascii="Arial Narrow" w:hAnsi="Arial Narrow" w:cs="Arial"/>
                <w:sz w:val="20"/>
                <w:szCs w:val="20"/>
              </w:rPr>
              <w:t xml:space="preserve"> (Public)</w:t>
            </w:r>
          </w:p>
          <w:p w:rsidR="005D1E05" w:rsidRPr="00E766DF" w:rsidRDefault="005D1E05" w:rsidP="005065EF">
            <w:pPr>
              <w:spacing w:before="40" w:after="40"/>
              <w:jc w:val="both"/>
              <w:rPr>
                <w:rFonts w:ascii="Arial Narrow" w:hAnsi="Arial Narrow" w:cs="Arial"/>
                <w:sz w:val="20"/>
                <w:szCs w:val="20"/>
              </w:rPr>
            </w:pPr>
            <w:r w:rsidRPr="00E766DF">
              <w:rPr>
                <w:rFonts w:ascii="Arial Narrow" w:hAnsi="Arial Narrow" w:cs="Arial"/>
                <w:sz w:val="20"/>
                <w:szCs w:val="20"/>
              </w:rPr>
              <w:t>Section 100 – Highly Specialised Drugs Program (Private)</w:t>
            </w: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Prescriber type:</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fldChar w:fldCharType="begin">
                <w:ffData>
                  <w:name w:val="Check1"/>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Dental  </w:t>
            </w: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Medical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Nurse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Optometrists </w:t>
            </w:r>
            <w:r w:rsidRPr="00E766DF">
              <w:rPr>
                <w:rFonts w:ascii="Arial Narrow" w:hAnsi="Arial Narrow" w:cs="Arial"/>
                <w:sz w:val="20"/>
                <w:szCs w:val="20"/>
              </w:rPr>
              <w:fldChar w:fldCharType="begin">
                <w:ffData>
                  <w:name w:val="Check5"/>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Midwives</w:t>
            </w: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Condition:</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Chronic iron overload</w:t>
            </w: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PBS indication:</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Chronic iron overload</w:t>
            </w: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Treatment phase:</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Initial treatment</w:t>
            </w: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Restriction level / Method:</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Authority Required – Telephone</w:t>
            </w:r>
          </w:p>
        </w:tc>
      </w:tr>
      <w:tr w:rsidR="00ED2B4B"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b/>
                <w:sz w:val="20"/>
                <w:szCs w:val="20"/>
              </w:rPr>
            </w:pPr>
            <w:r w:rsidRPr="00E766DF">
              <w:rPr>
                <w:rFonts w:ascii="Arial Narrow" w:hAnsi="Arial Narrow" w:cs="Arial"/>
                <w:b/>
                <w:sz w:val="20"/>
                <w:szCs w:val="20"/>
              </w:rPr>
              <w:t>Clinical criteria:</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Patient must be red blood cell transfusion dependent, </w:t>
            </w:r>
          </w:p>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AND</w:t>
            </w:r>
          </w:p>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Patient must have a serum ferritin level of greater than 1000 microgram/L,</w:t>
            </w:r>
          </w:p>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AND</w:t>
            </w:r>
          </w:p>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Patient must have a mal</w:t>
            </w:r>
            <w:r w:rsidR="00691063">
              <w:rPr>
                <w:rFonts w:ascii="Arial Narrow" w:hAnsi="Arial Narrow" w:cs="Arial"/>
                <w:sz w:val="20"/>
                <w:szCs w:val="20"/>
              </w:rPr>
              <w:t>ignant disorder of</w:t>
            </w:r>
            <w:r w:rsidRPr="00E766DF">
              <w:rPr>
                <w:rFonts w:ascii="Arial Narrow" w:hAnsi="Arial Narrow" w:cs="Arial"/>
                <w:sz w:val="20"/>
                <w:szCs w:val="20"/>
              </w:rPr>
              <w:t xml:space="preserve"> </w:t>
            </w:r>
            <w:proofErr w:type="spellStart"/>
            <w:r w:rsidRPr="00E766DF">
              <w:rPr>
                <w:rFonts w:ascii="Arial Narrow" w:hAnsi="Arial Narrow" w:cs="Arial"/>
                <w:sz w:val="20"/>
                <w:szCs w:val="20"/>
              </w:rPr>
              <w:t>haemopoiesis</w:t>
            </w:r>
            <w:proofErr w:type="spellEnd"/>
            <w:r w:rsidRPr="00E766DF">
              <w:rPr>
                <w:rFonts w:ascii="Arial Narrow" w:hAnsi="Arial Narrow" w:cs="Arial"/>
                <w:sz w:val="20"/>
                <w:szCs w:val="20"/>
              </w:rPr>
              <w:t>,</w:t>
            </w:r>
          </w:p>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AND</w:t>
            </w:r>
          </w:p>
          <w:p w:rsidR="00ED2B4B" w:rsidRPr="00E766DF" w:rsidRDefault="00ED2B4B" w:rsidP="005065EF">
            <w:pPr>
              <w:spacing w:before="40" w:after="40"/>
              <w:jc w:val="both"/>
              <w:rPr>
                <w:rFonts w:ascii="Arial Narrow" w:hAnsi="Arial Narrow" w:cs="Arial"/>
                <w:sz w:val="20"/>
                <w:szCs w:val="20"/>
              </w:rPr>
            </w:pPr>
            <w:r w:rsidRPr="00E766DF">
              <w:rPr>
                <w:rFonts w:ascii="Arial Narrow" w:hAnsi="Arial Narrow" w:cs="Arial"/>
                <w:sz w:val="20"/>
                <w:szCs w:val="20"/>
              </w:rPr>
              <w:t>Patient must have a median life expectancy exceeding five years.</w:t>
            </w:r>
          </w:p>
        </w:tc>
      </w:tr>
      <w:tr w:rsidR="005D1E05" w:rsidRPr="00E766DF" w:rsidTr="005065EF">
        <w:trPr>
          <w:trHeight w:val="360"/>
        </w:trPr>
        <w:tc>
          <w:tcPr>
            <w:tcW w:w="1306" w:type="pct"/>
            <w:tcBorders>
              <w:top w:val="single" w:sz="4" w:space="0" w:color="auto"/>
              <w:left w:val="single" w:sz="4" w:space="0" w:color="auto"/>
              <w:bottom w:val="single" w:sz="4" w:space="0" w:color="auto"/>
              <w:right w:val="single" w:sz="4" w:space="0" w:color="auto"/>
            </w:tcBorders>
          </w:tcPr>
          <w:p w:rsidR="005D1E05" w:rsidRPr="00E766DF" w:rsidRDefault="005D1E05" w:rsidP="005065EF">
            <w:pPr>
              <w:spacing w:before="40" w:after="40"/>
              <w:jc w:val="both"/>
              <w:rPr>
                <w:rFonts w:ascii="Arial Narrow" w:hAnsi="Arial Narrow" w:cs="Arial"/>
                <w:b/>
                <w:sz w:val="20"/>
                <w:szCs w:val="20"/>
              </w:rPr>
            </w:pPr>
            <w:r w:rsidRPr="00E766DF">
              <w:rPr>
                <w:rFonts w:ascii="Arial Narrow" w:hAnsi="Arial Narrow" w:cs="Arial"/>
                <w:b/>
                <w:sz w:val="20"/>
                <w:szCs w:val="20"/>
              </w:rPr>
              <w:t>Administrative Advice:</w:t>
            </w:r>
          </w:p>
        </w:tc>
        <w:tc>
          <w:tcPr>
            <w:tcW w:w="3694" w:type="pct"/>
            <w:gridSpan w:val="7"/>
            <w:tcBorders>
              <w:top w:val="single" w:sz="4" w:space="0" w:color="auto"/>
              <w:left w:val="single" w:sz="4" w:space="0" w:color="auto"/>
              <w:bottom w:val="single" w:sz="4" w:space="0" w:color="auto"/>
              <w:right w:val="single" w:sz="4" w:space="0" w:color="auto"/>
            </w:tcBorders>
          </w:tcPr>
          <w:p w:rsidR="004115EE" w:rsidRPr="00E766DF" w:rsidRDefault="004115EE" w:rsidP="005065EF">
            <w:pPr>
              <w:spacing w:before="40" w:after="40"/>
              <w:jc w:val="both"/>
              <w:rPr>
                <w:rFonts w:ascii="Arial Narrow" w:hAnsi="Arial Narrow" w:cs="Arial"/>
                <w:sz w:val="20"/>
                <w:szCs w:val="20"/>
                <w:u w:val="single"/>
              </w:rPr>
            </w:pPr>
            <w:r w:rsidRPr="00E766DF">
              <w:rPr>
                <w:rFonts w:ascii="Arial Narrow" w:hAnsi="Arial Narrow" w:cs="Arial"/>
                <w:sz w:val="20"/>
                <w:szCs w:val="20"/>
              </w:rPr>
              <w:t>Note</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A patient's median life expectancy is determined by the severity of their underlying disease. </w:t>
            </w:r>
          </w:p>
          <w:p w:rsidR="004115EE" w:rsidRPr="00E766DF" w:rsidRDefault="004115EE" w:rsidP="005065EF">
            <w:pPr>
              <w:spacing w:before="40" w:after="40"/>
              <w:jc w:val="both"/>
              <w:rPr>
                <w:rFonts w:ascii="Arial Narrow" w:hAnsi="Arial Narrow" w:cs="Arial"/>
                <w:sz w:val="20"/>
                <w:szCs w:val="20"/>
                <w:u w:val="single"/>
              </w:rPr>
            </w:pPr>
            <w:r w:rsidRPr="00E766DF">
              <w:rPr>
                <w:rFonts w:ascii="Arial Narrow" w:hAnsi="Arial Narrow" w:cs="Arial"/>
                <w:sz w:val="20"/>
                <w:szCs w:val="20"/>
              </w:rPr>
              <w:t>Note</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Patients with underlying myelodysplastic syndrome are considered to have a median life expectancy exceeding five years if they are classified as: </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low risk according to the International Prognostic Scoring System (IPSS); or</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 very low and low risk according to the Revised International Prognostic Scoring System (IPSS-R); or </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 </w:t>
            </w:r>
            <w:proofErr w:type="gramStart"/>
            <w:r w:rsidRPr="00E766DF">
              <w:rPr>
                <w:rFonts w:ascii="Arial Narrow" w:hAnsi="Arial Narrow" w:cs="Arial"/>
                <w:sz w:val="20"/>
                <w:szCs w:val="20"/>
              </w:rPr>
              <w:t>very</w:t>
            </w:r>
            <w:proofErr w:type="gramEnd"/>
            <w:r w:rsidRPr="00E766DF">
              <w:rPr>
                <w:rFonts w:ascii="Arial Narrow" w:hAnsi="Arial Narrow" w:cs="Arial"/>
                <w:sz w:val="20"/>
                <w:szCs w:val="20"/>
              </w:rPr>
              <w:t xml:space="preserve"> low and low risk according to the WHO classification based Prognostic Scoring System (WPSS). </w:t>
            </w:r>
          </w:p>
          <w:p w:rsidR="004115EE" w:rsidRPr="00E766DF" w:rsidRDefault="004115EE" w:rsidP="005065EF">
            <w:pPr>
              <w:spacing w:before="40" w:after="40"/>
              <w:jc w:val="both"/>
              <w:rPr>
                <w:rFonts w:ascii="Arial Narrow" w:hAnsi="Arial Narrow" w:cs="Arial"/>
                <w:sz w:val="20"/>
                <w:szCs w:val="20"/>
                <w:u w:val="single"/>
              </w:rPr>
            </w:pPr>
            <w:r w:rsidRPr="00E766DF">
              <w:rPr>
                <w:rFonts w:ascii="Arial Narrow" w:hAnsi="Arial Narrow" w:cs="Arial"/>
                <w:sz w:val="20"/>
                <w:szCs w:val="20"/>
              </w:rPr>
              <w:t>Note</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Patients with underlying myelofibrosis have a median life expectancy exceeding five years if they are classified as: </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 low or intermediate risk according to the International Prognostic Scoring System (IPSS); or </w:t>
            </w:r>
          </w:p>
          <w:p w:rsidR="004115EE"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 xml:space="preserve">- </w:t>
            </w:r>
            <w:proofErr w:type="gramStart"/>
            <w:r w:rsidRPr="00E766DF">
              <w:rPr>
                <w:rFonts w:ascii="Arial Narrow" w:hAnsi="Arial Narrow" w:cs="Arial"/>
                <w:sz w:val="20"/>
                <w:szCs w:val="20"/>
              </w:rPr>
              <w:t>low</w:t>
            </w:r>
            <w:proofErr w:type="gramEnd"/>
            <w:r w:rsidRPr="00E766DF">
              <w:rPr>
                <w:rFonts w:ascii="Arial Narrow" w:hAnsi="Arial Narrow" w:cs="Arial"/>
                <w:sz w:val="20"/>
                <w:szCs w:val="20"/>
              </w:rPr>
              <w:t xml:space="preserve"> or intermediate-1 risk according to Dynamic International Prognostic Scoring System (DIPSS). </w:t>
            </w:r>
          </w:p>
          <w:p w:rsidR="004115EE" w:rsidRPr="00E766DF" w:rsidRDefault="004115EE" w:rsidP="005065EF">
            <w:pPr>
              <w:spacing w:before="40" w:after="40"/>
              <w:jc w:val="both"/>
              <w:rPr>
                <w:rFonts w:ascii="Arial Narrow" w:hAnsi="Arial Narrow" w:cs="Arial"/>
                <w:sz w:val="20"/>
                <w:szCs w:val="20"/>
                <w:u w:val="single"/>
              </w:rPr>
            </w:pPr>
            <w:r w:rsidRPr="00E766DF">
              <w:rPr>
                <w:rFonts w:ascii="Arial Narrow" w:hAnsi="Arial Narrow" w:cs="Arial"/>
                <w:sz w:val="20"/>
                <w:szCs w:val="20"/>
              </w:rPr>
              <w:t>Note</w:t>
            </w:r>
          </w:p>
          <w:p w:rsidR="005D1E05" w:rsidRPr="00E766DF" w:rsidRDefault="004115EE" w:rsidP="005065EF">
            <w:pPr>
              <w:spacing w:before="40" w:after="40"/>
              <w:jc w:val="both"/>
              <w:rPr>
                <w:rFonts w:ascii="Arial Narrow" w:hAnsi="Arial Narrow" w:cs="Arial"/>
                <w:sz w:val="20"/>
                <w:szCs w:val="20"/>
              </w:rPr>
            </w:pPr>
            <w:r w:rsidRPr="00E766DF">
              <w:rPr>
                <w:rFonts w:ascii="Arial Narrow" w:hAnsi="Arial Narrow" w:cs="Arial"/>
                <w:sz w:val="20"/>
                <w:szCs w:val="20"/>
              </w:rPr>
              <w:t>Special Pricing Arrangements apply.</w:t>
            </w:r>
          </w:p>
        </w:tc>
      </w:tr>
    </w:tbl>
    <w:p w:rsidR="00EA184F" w:rsidRPr="00E766DF" w:rsidRDefault="00EA184F" w:rsidP="00ED2B4B">
      <w:pPr>
        <w:spacing w:after="120"/>
        <w:rPr>
          <w:rFonts w:asciiTheme="minorHAnsi" w:eastAsiaTheme="minorHAnsi" w:hAnsiTheme="minorHAnsi" w:cstheme="minorBidi"/>
          <w:szCs w:val="22"/>
        </w:rPr>
      </w:pPr>
    </w:p>
    <w:p w:rsidR="004115EE" w:rsidRPr="00E766DF" w:rsidRDefault="004115EE" w:rsidP="00ED2B4B">
      <w:pPr>
        <w:spacing w:after="120"/>
        <w:rPr>
          <w:rFonts w:asciiTheme="minorHAnsi" w:hAnsiTheme="minorHAnsi" w:cs="Arial"/>
          <w:bCs/>
          <w:snapToGrid w:val="0"/>
          <w:u w:val="single"/>
        </w:rPr>
      </w:pPr>
      <w:r w:rsidRPr="00E766DF">
        <w:rPr>
          <w:rFonts w:asciiTheme="minorHAnsi" w:hAnsiTheme="minorHAnsi" w:cs="Arial"/>
          <w:bCs/>
          <w:snapToGrid w:val="0"/>
          <w:u w:val="single"/>
        </w:rPr>
        <w:lastRenderedPageBreak/>
        <w:t xml:space="preserve">Chronic iron overload in patients with transfusion-dependent malignant disorders of </w:t>
      </w:r>
      <w:proofErr w:type="spellStart"/>
      <w:r w:rsidR="00905F77" w:rsidRPr="00E766DF">
        <w:rPr>
          <w:rFonts w:asciiTheme="minorHAnsi" w:hAnsiTheme="minorHAnsi" w:cs="Arial"/>
          <w:bCs/>
          <w:snapToGrid w:val="0"/>
          <w:u w:val="single"/>
        </w:rPr>
        <w:t>haemopoiesis</w:t>
      </w:r>
      <w:proofErr w:type="spellEnd"/>
      <w:r w:rsidRPr="00E766DF">
        <w:rPr>
          <w:rFonts w:asciiTheme="minorHAnsi" w:hAnsiTheme="minorHAnsi" w:cs="Arial"/>
          <w:bCs/>
          <w:snapToGrid w:val="0"/>
          <w:u w:val="single"/>
        </w:rPr>
        <w:t xml:space="preserve"> and a median life expectancy exceeding five years: Public and Private (Continuing)</w:t>
      </w:r>
      <w:r w:rsidR="00840D55">
        <w:rPr>
          <w:rFonts w:asciiTheme="minorHAnsi" w:hAnsiTheme="minorHAnsi" w:cs="Arial"/>
          <w:bCs/>
          <w:snapToGrid w:val="0"/>
          <w:u w:val="single"/>
        </w:rPr>
        <w:t>:</w:t>
      </w:r>
    </w:p>
    <w:tbl>
      <w:tblPr>
        <w:tblW w:w="4920" w:type="pct"/>
        <w:tblLayout w:type="fixed"/>
        <w:tblLook w:val="0000" w:firstRow="0" w:lastRow="0" w:firstColumn="0" w:lastColumn="0" w:noHBand="0" w:noVBand="0"/>
      </w:tblPr>
      <w:tblGrid>
        <w:gridCol w:w="2376"/>
        <w:gridCol w:w="1424"/>
        <w:gridCol w:w="989"/>
        <w:gridCol w:w="997"/>
        <w:gridCol w:w="849"/>
        <w:gridCol w:w="1133"/>
        <w:gridCol w:w="1088"/>
        <w:gridCol w:w="238"/>
      </w:tblGrid>
      <w:tr w:rsidR="00C81EDB" w:rsidRPr="00E766DF" w:rsidTr="00C4711A">
        <w:trPr>
          <w:cantSplit/>
          <w:trHeight w:val="465"/>
        </w:trPr>
        <w:tc>
          <w:tcPr>
            <w:tcW w:w="2089" w:type="pct"/>
            <w:gridSpan w:val="2"/>
            <w:tcBorders>
              <w:bottom w:val="single" w:sz="4" w:space="0" w:color="auto"/>
            </w:tcBorders>
          </w:tcPr>
          <w:p w:rsidR="00C81EDB" w:rsidRPr="00E766DF" w:rsidRDefault="00C81EDB" w:rsidP="00C4711A">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C81EDB" w:rsidRPr="00E766DF" w:rsidRDefault="00C81EDB" w:rsidP="00C4711A">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544" w:type="pct"/>
            <w:tcBorders>
              <w:bottom w:val="single" w:sz="4" w:space="0" w:color="auto"/>
            </w:tcBorders>
          </w:tcPr>
          <w:p w:rsidR="00C81EDB" w:rsidRPr="00E766DF" w:rsidRDefault="00C81EDB"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packs</w:t>
            </w:r>
          </w:p>
        </w:tc>
        <w:tc>
          <w:tcPr>
            <w:tcW w:w="548" w:type="pct"/>
            <w:tcBorders>
              <w:bottom w:val="single" w:sz="4" w:space="0" w:color="auto"/>
            </w:tcBorders>
          </w:tcPr>
          <w:p w:rsidR="00C81EDB" w:rsidRPr="00E766DF" w:rsidRDefault="00C81EDB"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units</w:t>
            </w:r>
          </w:p>
        </w:tc>
        <w:tc>
          <w:tcPr>
            <w:tcW w:w="467" w:type="pct"/>
            <w:tcBorders>
              <w:bottom w:val="single" w:sz="4" w:space="0" w:color="auto"/>
            </w:tcBorders>
          </w:tcPr>
          <w:p w:rsidR="00C81EDB" w:rsidRPr="00E766DF" w:rsidRDefault="00C81EDB"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No. of</w:t>
            </w:r>
          </w:p>
          <w:p w:rsidR="00C81EDB" w:rsidRPr="00E766DF" w:rsidRDefault="00C81EDB"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repeats</w:t>
            </w:r>
          </w:p>
        </w:tc>
        <w:tc>
          <w:tcPr>
            <w:tcW w:w="1352" w:type="pct"/>
            <w:gridSpan w:val="3"/>
            <w:tcBorders>
              <w:bottom w:val="single" w:sz="4" w:space="0" w:color="auto"/>
            </w:tcBorders>
          </w:tcPr>
          <w:p w:rsidR="00C81EDB" w:rsidRPr="00E766DF" w:rsidRDefault="00C81EDB" w:rsidP="00C4711A">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C81EDB" w:rsidRPr="00E766DF" w:rsidTr="00C4711A">
        <w:trPr>
          <w:cantSplit/>
          <w:trHeight w:val="567"/>
        </w:trPr>
        <w:tc>
          <w:tcPr>
            <w:tcW w:w="2089" w:type="pct"/>
            <w:gridSpan w:val="2"/>
            <w:tcBorders>
              <w:top w:val="single" w:sz="4" w:space="0" w:color="auto"/>
              <w:bottom w:val="single" w:sz="4" w:space="0" w:color="auto"/>
            </w:tcBorders>
          </w:tcPr>
          <w:p w:rsidR="00C81EDB" w:rsidRPr="00E766DF" w:rsidRDefault="00C81EDB" w:rsidP="00C4711A">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C81EDB" w:rsidRPr="00E766DF" w:rsidRDefault="00C81EDB"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 30</w:t>
            </w:r>
          </w:p>
          <w:p w:rsidR="00C81EDB" w:rsidRPr="00E766DF" w:rsidRDefault="00C81EDB"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 30</w:t>
            </w:r>
          </w:p>
          <w:p w:rsidR="00C81EDB" w:rsidRPr="00E766DF" w:rsidRDefault="00C81EDB"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360 mg, 30</w:t>
            </w:r>
          </w:p>
        </w:tc>
        <w:tc>
          <w:tcPr>
            <w:tcW w:w="544" w:type="pct"/>
            <w:tcBorders>
              <w:top w:val="single" w:sz="4" w:space="0" w:color="auto"/>
              <w:bottom w:val="single" w:sz="4" w:space="0" w:color="auto"/>
            </w:tcBorders>
          </w:tcPr>
          <w:p w:rsidR="00C81EDB" w:rsidRPr="00E766DF" w:rsidRDefault="00C81EDB" w:rsidP="00C4711A">
            <w:pPr>
              <w:keepNext/>
              <w:spacing w:before="40" w:after="40"/>
              <w:jc w:val="center"/>
              <w:rPr>
                <w:rFonts w:ascii="Arial Narrow" w:hAnsi="Arial Narrow" w:cs="Arial"/>
                <w:sz w:val="20"/>
                <w:szCs w:val="20"/>
              </w:rPr>
            </w:pP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tc>
        <w:tc>
          <w:tcPr>
            <w:tcW w:w="548" w:type="pct"/>
            <w:tcBorders>
              <w:top w:val="single" w:sz="4" w:space="0" w:color="auto"/>
              <w:bottom w:val="single" w:sz="4" w:space="0" w:color="auto"/>
            </w:tcBorders>
          </w:tcPr>
          <w:p w:rsidR="00C81EDB" w:rsidRPr="00E766DF" w:rsidRDefault="00C81EDB" w:rsidP="00C4711A">
            <w:pPr>
              <w:keepNext/>
              <w:spacing w:before="40" w:after="40"/>
              <w:jc w:val="center"/>
              <w:rPr>
                <w:rFonts w:ascii="Arial Narrow" w:hAnsi="Arial Narrow" w:cs="Arial"/>
                <w:sz w:val="20"/>
                <w:szCs w:val="20"/>
              </w:rPr>
            </w:pP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tc>
        <w:tc>
          <w:tcPr>
            <w:tcW w:w="467" w:type="pct"/>
            <w:tcBorders>
              <w:top w:val="single" w:sz="4" w:space="0" w:color="auto"/>
              <w:bottom w:val="single" w:sz="4" w:space="0" w:color="auto"/>
            </w:tcBorders>
          </w:tcPr>
          <w:p w:rsidR="00C81EDB" w:rsidRPr="00E766DF" w:rsidRDefault="00C81EDB" w:rsidP="00C4711A">
            <w:pPr>
              <w:keepNext/>
              <w:spacing w:before="40" w:after="40"/>
              <w:jc w:val="center"/>
              <w:rPr>
                <w:rFonts w:ascii="Arial Narrow" w:hAnsi="Arial Narrow" w:cs="Arial"/>
                <w:sz w:val="20"/>
                <w:szCs w:val="20"/>
              </w:rPr>
            </w:pP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C81EDB" w:rsidRPr="00E766DF" w:rsidRDefault="00C81EDB" w:rsidP="00C4711A">
            <w:pPr>
              <w:keepNext/>
              <w:spacing w:before="40" w:after="40"/>
              <w:jc w:val="center"/>
              <w:rPr>
                <w:rFonts w:ascii="Arial Narrow" w:hAnsi="Arial Narrow" w:cs="Arial"/>
                <w:sz w:val="20"/>
                <w:szCs w:val="20"/>
              </w:rPr>
            </w:pPr>
            <w:r w:rsidRPr="00E766DF">
              <w:rPr>
                <w:rFonts w:ascii="Arial Narrow" w:hAnsi="Arial Narrow" w:cs="Arial"/>
                <w:sz w:val="20"/>
                <w:szCs w:val="20"/>
              </w:rPr>
              <w:t>2</w:t>
            </w:r>
          </w:p>
        </w:tc>
        <w:tc>
          <w:tcPr>
            <w:tcW w:w="623" w:type="pct"/>
            <w:tcBorders>
              <w:top w:val="single" w:sz="4" w:space="0" w:color="auto"/>
              <w:bottom w:val="single" w:sz="4" w:space="0" w:color="auto"/>
            </w:tcBorders>
          </w:tcPr>
          <w:p w:rsidR="00C81EDB" w:rsidRPr="00E766DF" w:rsidRDefault="00C81EDB" w:rsidP="00C4711A">
            <w:pPr>
              <w:keepNext/>
              <w:spacing w:before="40" w:after="40"/>
              <w:jc w:val="both"/>
              <w:rPr>
                <w:rFonts w:ascii="Arial Narrow" w:hAnsi="Arial Narrow" w:cs="Arial"/>
                <w:sz w:val="20"/>
                <w:szCs w:val="20"/>
              </w:rPr>
            </w:pPr>
          </w:p>
          <w:p w:rsidR="00C81EDB" w:rsidRPr="00E766DF" w:rsidRDefault="00C81EDB" w:rsidP="00C4711A">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w:t>
            </w:r>
          </w:p>
        </w:tc>
        <w:tc>
          <w:tcPr>
            <w:tcW w:w="598" w:type="pct"/>
            <w:tcBorders>
              <w:top w:val="single" w:sz="4" w:space="0" w:color="auto"/>
              <w:bottom w:val="single" w:sz="4" w:space="0" w:color="auto"/>
            </w:tcBorders>
          </w:tcPr>
          <w:p w:rsidR="00C81EDB" w:rsidRPr="00E766DF" w:rsidRDefault="00C81EDB" w:rsidP="00C4711A">
            <w:pPr>
              <w:keepNext/>
              <w:spacing w:before="40" w:after="40"/>
              <w:jc w:val="both"/>
              <w:rPr>
                <w:rFonts w:ascii="Arial Narrow" w:hAnsi="Arial Narrow" w:cs="Arial"/>
                <w:sz w:val="20"/>
                <w:szCs w:val="20"/>
              </w:rPr>
            </w:pPr>
          </w:p>
          <w:p w:rsidR="00C81EDB" w:rsidRPr="00E766DF" w:rsidRDefault="00C81EDB" w:rsidP="00C4711A">
            <w:pPr>
              <w:keepNext/>
              <w:spacing w:before="40" w:after="40"/>
              <w:jc w:val="both"/>
              <w:rPr>
                <w:rFonts w:ascii="Arial Narrow" w:hAnsi="Arial Narrow" w:cs="Arial"/>
                <w:sz w:val="20"/>
                <w:szCs w:val="20"/>
              </w:rPr>
            </w:pPr>
            <w:r w:rsidRPr="00E766DF">
              <w:rPr>
                <w:rFonts w:ascii="Arial Narrow" w:hAnsi="Arial Narrow" w:cs="Arial"/>
                <w:sz w:val="20"/>
                <w:szCs w:val="20"/>
              </w:rPr>
              <w:t>Novartis</w:t>
            </w:r>
          </w:p>
        </w:tc>
        <w:tc>
          <w:tcPr>
            <w:tcW w:w="131" w:type="pct"/>
            <w:tcBorders>
              <w:top w:val="single" w:sz="4" w:space="0" w:color="auto"/>
              <w:bottom w:val="single" w:sz="4" w:space="0" w:color="auto"/>
            </w:tcBorders>
          </w:tcPr>
          <w:p w:rsidR="00C81EDB" w:rsidRPr="00E766DF" w:rsidRDefault="00C81EDB" w:rsidP="00C4711A">
            <w:pPr>
              <w:keepNext/>
              <w:spacing w:before="40" w:after="40"/>
              <w:jc w:val="both"/>
              <w:rPr>
                <w:rFonts w:ascii="Arial Narrow" w:hAnsi="Arial Narrow" w:cs="Arial"/>
                <w:sz w:val="20"/>
                <w:szCs w:val="20"/>
              </w:rPr>
            </w:pP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Category / Program:</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Section 100 – Highly Specialised Drugs Program (Public)</w:t>
            </w:r>
          </w:p>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Section 100 – Highly Specialised Drugs Program (Private)</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Prescriber type:</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fldChar w:fldCharType="begin">
                <w:ffData>
                  <w:name w:val="Check1"/>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Dental  </w:t>
            </w: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Medical Practitioners  </w:t>
            </w:r>
            <w:r w:rsidRPr="00E766DF">
              <w:rPr>
                <w:rFonts w:ascii="Arial Narrow" w:hAnsi="Arial Narrow" w:cs="Arial"/>
                <w:sz w:val="20"/>
                <w:szCs w:val="20"/>
              </w:rPr>
              <w:fldChar w:fldCharType="begin">
                <w:ffData>
                  <w:name w:val="Check3"/>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Nurse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Optometrists </w:t>
            </w:r>
            <w:r w:rsidRPr="00E766DF">
              <w:rPr>
                <w:rFonts w:ascii="Arial Narrow" w:hAnsi="Arial Narrow" w:cs="Arial"/>
                <w:sz w:val="20"/>
                <w:szCs w:val="20"/>
              </w:rPr>
              <w:fldChar w:fldCharType="begin">
                <w:ffData>
                  <w:name w:val="Check5"/>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Midwives</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Condition:</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Chronic iron overload</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PBS indication:</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Chronic iron overload</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Treatment phase:</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Continuing treatment</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b/>
                <w:sz w:val="20"/>
                <w:szCs w:val="20"/>
              </w:rPr>
              <w:t>Restriction level / Method:</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fldChar w:fldCharType="begin">
                <w:ffData>
                  <w:name w:val="Check5"/>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Streamlined (Public </w:t>
            </w:r>
            <w:r w:rsidR="00100A96">
              <w:rPr>
                <w:rFonts w:ascii="Arial Narrow" w:hAnsi="Arial Narrow" w:cs="Arial"/>
                <w:sz w:val="20"/>
                <w:szCs w:val="20"/>
              </w:rPr>
              <w:t xml:space="preserve">and Private </w:t>
            </w:r>
            <w:r w:rsidRPr="00E766DF">
              <w:rPr>
                <w:rFonts w:ascii="Arial Narrow" w:hAnsi="Arial Narrow" w:cs="Arial"/>
                <w:sz w:val="20"/>
                <w:szCs w:val="20"/>
              </w:rPr>
              <w:t>hospital)</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Clinical criteria:</w:t>
            </w: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Patient must be red blood cell transfusion dependent,</w:t>
            </w:r>
          </w:p>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 xml:space="preserve">AND </w:t>
            </w:r>
          </w:p>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 xml:space="preserve">Patient must have a malignant disorder of </w:t>
            </w:r>
            <w:proofErr w:type="spellStart"/>
            <w:r w:rsidRPr="00E766DF">
              <w:rPr>
                <w:rFonts w:ascii="Arial Narrow" w:hAnsi="Arial Narrow" w:cs="Arial"/>
                <w:sz w:val="20"/>
                <w:szCs w:val="20"/>
              </w:rPr>
              <w:t>haemopoiesis</w:t>
            </w:r>
            <w:proofErr w:type="spellEnd"/>
            <w:r w:rsidRPr="00E766DF">
              <w:rPr>
                <w:rFonts w:ascii="Arial Narrow" w:hAnsi="Arial Narrow" w:cs="Arial"/>
                <w:sz w:val="20"/>
                <w:szCs w:val="20"/>
              </w:rPr>
              <w:t xml:space="preserve">; </w:t>
            </w:r>
          </w:p>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AND</w:t>
            </w:r>
          </w:p>
          <w:p w:rsidR="00C81EDB" w:rsidRPr="0053060D" w:rsidRDefault="00C81EDB" w:rsidP="00840D55">
            <w:pPr>
              <w:rPr>
                <w:rFonts w:ascii="Arial Narrow" w:hAnsi="Arial Narrow" w:cs="Arial"/>
                <w:i/>
                <w:sz w:val="20"/>
                <w:szCs w:val="20"/>
              </w:rPr>
            </w:pPr>
            <w:r w:rsidRPr="0053060D">
              <w:rPr>
                <w:rFonts w:ascii="Arial Narrow" w:hAnsi="Arial Narrow" w:cs="Arial"/>
                <w:i/>
                <w:sz w:val="20"/>
                <w:szCs w:val="20"/>
              </w:rPr>
              <w:t>Patient must have previously received PBS-subsidised</w:t>
            </w:r>
            <w:r w:rsidR="001D207C" w:rsidRPr="0053060D">
              <w:rPr>
                <w:rFonts w:ascii="Arial Narrow" w:hAnsi="Arial Narrow" w:cs="Arial"/>
                <w:i/>
                <w:sz w:val="20"/>
                <w:szCs w:val="20"/>
              </w:rPr>
              <w:t xml:space="preserve"> treatment with</w:t>
            </w:r>
            <w:r w:rsidRPr="0053060D">
              <w:rPr>
                <w:rFonts w:ascii="Arial Narrow" w:hAnsi="Arial Narrow" w:cs="Arial"/>
                <w:i/>
                <w:sz w:val="20"/>
                <w:szCs w:val="20"/>
              </w:rPr>
              <w:t xml:space="preserve"> </w:t>
            </w:r>
            <w:r w:rsidR="00145BE0" w:rsidRPr="0053060D">
              <w:rPr>
                <w:rFonts w:ascii="Arial Narrow" w:hAnsi="Arial Narrow" w:cs="Arial"/>
                <w:i/>
                <w:sz w:val="20"/>
                <w:szCs w:val="20"/>
              </w:rPr>
              <w:t xml:space="preserve">deferasirox </w:t>
            </w:r>
            <w:r w:rsidRPr="0053060D">
              <w:rPr>
                <w:rFonts w:ascii="Arial Narrow" w:hAnsi="Arial Narrow" w:cs="Arial"/>
                <w:i/>
                <w:sz w:val="20"/>
                <w:szCs w:val="20"/>
              </w:rPr>
              <w:t xml:space="preserve">for this condition. </w:t>
            </w:r>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Administrative Advice:</w:t>
            </w:r>
          </w:p>
          <w:p w:rsidR="00C81EDB" w:rsidRPr="00E766DF" w:rsidRDefault="00C81EDB" w:rsidP="00C4711A">
            <w:pPr>
              <w:rPr>
                <w:rFonts w:ascii="Arial Narrow" w:hAnsi="Arial Narrow" w:cs="Arial"/>
                <w:i/>
                <w:sz w:val="20"/>
                <w:szCs w:val="20"/>
              </w:rPr>
            </w:pPr>
          </w:p>
        </w:tc>
        <w:tc>
          <w:tcPr>
            <w:tcW w:w="3694" w:type="pct"/>
            <w:gridSpan w:val="7"/>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sz w:val="20"/>
                <w:szCs w:val="20"/>
                <w:u w:val="single"/>
              </w:rPr>
            </w:pPr>
            <w:r w:rsidRPr="00E766DF">
              <w:rPr>
                <w:rFonts w:ascii="Arial Narrow" w:hAnsi="Arial Narrow" w:cs="Arial"/>
                <w:sz w:val="20"/>
                <w:szCs w:val="20"/>
                <w:u w:val="single"/>
              </w:rPr>
              <w:t>Note</w:t>
            </w:r>
          </w:p>
          <w:p w:rsidR="00C81EDB" w:rsidRPr="00E766DF" w:rsidRDefault="00C81EDB" w:rsidP="00C4711A">
            <w:pPr>
              <w:rPr>
                <w:rFonts w:ascii="Arial Narrow" w:hAnsi="Arial Narrow" w:cs="Arial"/>
                <w:sz w:val="20"/>
                <w:szCs w:val="20"/>
              </w:rPr>
            </w:pPr>
            <w:r w:rsidRPr="00E766DF">
              <w:rPr>
                <w:rFonts w:ascii="Arial Narrow" w:hAnsi="Arial Narrow" w:cs="Arial"/>
                <w:sz w:val="20"/>
                <w:szCs w:val="20"/>
              </w:rPr>
              <w:t>Interruption of treatment should be considered if serum ferritin levels fall consistently below 500 microgram/</w:t>
            </w:r>
            <w:proofErr w:type="spellStart"/>
            <w:r w:rsidRPr="00E766DF">
              <w:rPr>
                <w:rFonts w:ascii="Arial Narrow" w:hAnsi="Arial Narrow" w:cs="Arial"/>
                <w:sz w:val="20"/>
                <w:szCs w:val="20"/>
              </w:rPr>
              <w:t>mL.</w:t>
            </w:r>
            <w:proofErr w:type="spellEnd"/>
          </w:p>
        </w:tc>
      </w:tr>
      <w:tr w:rsidR="00C81EDB"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C81EDB" w:rsidRPr="00E766DF" w:rsidRDefault="00C81EDB" w:rsidP="00C4711A">
            <w:pPr>
              <w:rPr>
                <w:rFonts w:ascii="Arial Narrow" w:hAnsi="Arial Narrow" w:cs="Arial"/>
                <w:b/>
                <w:sz w:val="20"/>
                <w:szCs w:val="20"/>
              </w:rPr>
            </w:pPr>
            <w:r w:rsidRPr="00E766DF">
              <w:rPr>
                <w:rFonts w:ascii="Arial Narrow" w:hAnsi="Arial Narrow" w:cs="Arial"/>
                <w:b/>
                <w:sz w:val="20"/>
                <w:szCs w:val="20"/>
              </w:rPr>
              <w:t>Administrative Advice:</w:t>
            </w:r>
          </w:p>
        </w:tc>
        <w:tc>
          <w:tcPr>
            <w:tcW w:w="3694" w:type="pct"/>
            <w:gridSpan w:val="7"/>
            <w:tcBorders>
              <w:top w:val="single" w:sz="4" w:space="0" w:color="auto"/>
              <w:left w:val="single" w:sz="4" w:space="0" w:color="auto"/>
              <w:bottom w:val="single" w:sz="4" w:space="0" w:color="auto"/>
              <w:right w:val="single" w:sz="4" w:space="0" w:color="auto"/>
            </w:tcBorders>
          </w:tcPr>
          <w:p w:rsidR="00B52135" w:rsidRPr="00E766DF" w:rsidRDefault="00B52135" w:rsidP="00B52135">
            <w:pPr>
              <w:rPr>
                <w:rFonts w:ascii="Arial Narrow" w:hAnsi="Arial Narrow" w:cs="Arial"/>
                <w:sz w:val="20"/>
                <w:szCs w:val="20"/>
                <w:u w:val="single"/>
              </w:rPr>
            </w:pPr>
            <w:r w:rsidRPr="00E766DF">
              <w:rPr>
                <w:rFonts w:ascii="Arial Narrow" w:hAnsi="Arial Narrow" w:cs="Arial"/>
                <w:sz w:val="20"/>
                <w:szCs w:val="20"/>
                <w:u w:val="single"/>
              </w:rPr>
              <w:t>Note</w:t>
            </w:r>
          </w:p>
          <w:p w:rsidR="00C81EDB" w:rsidRPr="00E766DF" w:rsidRDefault="00B52135" w:rsidP="00B52135">
            <w:pPr>
              <w:rPr>
                <w:rFonts w:ascii="Arial Narrow" w:hAnsi="Arial Narrow" w:cs="Arial"/>
                <w:sz w:val="20"/>
                <w:szCs w:val="20"/>
              </w:rPr>
            </w:pPr>
            <w:r w:rsidRPr="00E766DF">
              <w:rPr>
                <w:rFonts w:ascii="Arial Narrow" w:hAnsi="Arial Narrow" w:cs="Arial"/>
                <w:sz w:val="20"/>
                <w:szCs w:val="20"/>
              </w:rPr>
              <w:t>Special Pricing Arrangements apply.</w:t>
            </w:r>
          </w:p>
        </w:tc>
      </w:tr>
    </w:tbl>
    <w:p w:rsidR="004115EE" w:rsidRPr="00E766DF" w:rsidRDefault="004115EE" w:rsidP="00ED2B4B">
      <w:pPr>
        <w:spacing w:after="120"/>
        <w:rPr>
          <w:rFonts w:asciiTheme="minorHAnsi" w:eastAsiaTheme="minorHAnsi" w:hAnsiTheme="minorHAnsi" w:cstheme="minorBidi"/>
          <w:szCs w:val="22"/>
        </w:rPr>
      </w:pPr>
    </w:p>
    <w:p w:rsidR="00C81EDB" w:rsidRPr="00E766DF" w:rsidRDefault="006F4255" w:rsidP="0053060D">
      <w:pPr>
        <w:keepNext/>
        <w:spacing w:after="120"/>
        <w:rPr>
          <w:rFonts w:asciiTheme="minorHAnsi" w:eastAsiaTheme="minorHAnsi" w:hAnsiTheme="minorHAnsi" w:cstheme="minorBidi"/>
          <w:szCs w:val="22"/>
          <w:u w:val="single"/>
        </w:rPr>
      </w:pPr>
      <w:r w:rsidRPr="00E766DF">
        <w:rPr>
          <w:rFonts w:asciiTheme="minorHAnsi" w:eastAsiaTheme="minorHAnsi" w:hAnsiTheme="minorHAnsi" w:cstheme="minorBidi"/>
          <w:szCs w:val="22"/>
          <w:u w:val="single"/>
        </w:rPr>
        <w:lastRenderedPageBreak/>
        <w:t>Chronic iron overload in patients with transfusion dependent non-malignant disorders of erythropoiesis: Public and Private (</w:t>
      </w:r>
      <w:r w:rsidR="00840D55">
        <w:rPr>
          <w:rFonts w:asciiTheme="minorHAnsi" w:eastAsiaTheme="minorHAnsi" w:hAnsiTheme="minorHAnsi" w:cstheme="minorBidi"/>
          <w:szCs w:val="22"/>
          <w:u w:val="single"/>
        </w:rPr>
        <w:t>I</w:t>
      </w:r>
      <w:r w:rsidRPr="00E766DF">
        <w:rPr>
          <w:rFonts w:asciiTheme="minorHAnsi" w:eastAsiaTheme="minorHAnsi" w:hAnsiTheme="minorHAnsi" w:cstheme="minorBidi"/>
          <w:szCs w:val="22"/>
          <w:u w:val="single"/>
        </w:rPr>
        <w:t>nitial)</w:t>
      </w:r>
      <w:r w:rsidR="00840D55">
        <w:rPr>
          <w:rFonts w:asciiTheme="minorHAnsi" w:eastAsiaTheme="minorHAnsi" w:hAnsiTheme="minorHAnsi" w:cstheme="minorBidi"/>
          <w:szCs w:val="22"/>
          <w:u w:val="single"/>
        </w:rPr>
        <w:t>:</w:t>
      </w:r>
    </w:p>
    <w:tbl>
      <w:tblPr>
        <w:tblW w:w="4920" w:type="pct"/>
        <w:tblLayout w:type="fixed"/>
        <w:tblLook w:val="0000" w:firstRow="0" w:lastRow="0" w:firstColumn="0" w:lastColumn="0" w:noHBand="0" w:noVBand="0"/>
      </w:tblPr>
      <w:tblGrid>
        <w:gridCol w:w="2376"/>
        <w:gridCol w:w="1422"/>
        <w:gridCol w:w="989"/>
        <w:gridCol w:w="995"/>
        <w:gridCol w:w="849"/>
        <w:gridCol w:w="1133"/>
        <w:gridCol w:w="1088"/>
        <w:gridCol w:w="242"/>
      </w:tblGrid>
      <w:tr w:rsidR="00EA184F" w:rsidRPr="00E766DF" w:rsidTr="00EA184F">
        <w:trPr>
          <w:cantSplit/>
          <w:trHeight w:val="465"/>
        </w:trPr>
        <w:tc>
          <w:tcPr>
            <w:tcW w:w="2088" w:type="pct"/>
            <w:gridSpan w:val="2"/>
            <w:tcBorders>
              <w:bottom w:val="single" w:sz="4" w:space="0" w:color="auto"/>
            </w:tcBorders>
          </w:tcPr>
          <w:p w:rsidR="00EA184F" w:rsidRPr="00E766DF" w:rsidRDefault="00EA184F" w:rsidP="0053060D">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EA184F" w:rsidRPr="00E766DF" w:rsidRDefault="00EA184F" w:rsidP="0053060D">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544" w:type="pct"/>
            <w:tcBorders>
              <w:bottom w:val="single" w:sz="4" w:space="0" w:color="auto"/>
            </w:tcBorders>
          </w:tcPr>
          <w:p w:rsidR="00EA184F" w:rsidRPr="00E766DF" w:rsidRDefault="00EA184F"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packs</w:t>
            </w:r>
          </w:p>
        </w:tc>
        <w:tc>
          <w:tcPr>
            <w:tcW w:w="547" w:type="pct"/>
            <w:tcBorders>
              <w:bottom w:val="single" w:sz="4" w:space="0" w:color="auto"/>
            </w:tcBorders>
          </w:tcPr>
          <w:p w:rsidR="00EA184F" w:rsidRPr="00E766DF" w:rsidRDefault="00EA184F"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units</w:t>
            </w:r>
          </w:p>
        </w:tc>
        <w:tc>
          <w:tcPr>
            <w:tcW w:w="467" w:type="pct"/>
            <w:tcBorders>
              <w:bottom w:val="single" w:sz="4" w:space="0" w:color="auto"/>
            </w:tcBorders>
          </w:tcPr>
          <w:p w:rsidR="00EA184F" w:rsidRPr="00E766DF" w:rsidRDefault="00EA184F"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No. of</w:t>
            </w:r>
          </w:p>
          <w:p w:rsidR="00EA184F" w:rsidRPr="00E766DF" w:rsidRDefault="00EA184F" w:rsidP="0053060D">
            <w:pPr>
              <w:keepNext/>
              <w:spacing w:before="40" w:after="40"/>
              <w:jc w:val="center"/>
              <w:rPr>
                <w:rFonts w:ascii="Arial Narrow" w:hAnsi="Arial Narrow" w:cs="Arial"/>
                <w:b/>
                <w:sz w:val="20"/>
                <w:szCs w:val="20"/>
              </w:rPr>
            </w:pPr>
            <w:r w:rsidRPr="00E766DF">
              <w:rPr>
                <w:rFonts w:ascii="Arial Narrow" w:hAnsi="Arial Narrow" w:cs="Arial"/>
                <w:b/>
                <w:sz w:val="20"/>
                <w:szCs w:val="20"/>
              </w:rPr>
              <w:t>repeats</w:t>
            </w:r>
          </w:p>
        </w:tc>
        <w:tc>
          <w:tcPr>
            <w:tcW w:w="1354" w:type="pct"/>
            <w:gridSpan w:val="3"/>
            <w:tcBorders>
              <w:bottom w:val="single" w:sz="4" w:space="0" w:color="auto"/>
            </w:tcBorders>
          </w:tcPr>
          <w:p w:rsidR="00EA184F" w:rsidRPr="00E766DF" w:rsidRDefault="00EA184F" w:rsidP="0053060D">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EA184F" w:rsidRPr="00E766DF" w:rsidTr="00EA184F">
        <w:trPr>
          <w:cantSplit/>
          <w:trHeight w:val="567"/>
        </w:trPr>
        <w:tc>
          <w:tcPr>
            <w:tcW w:w="2088" w:type="pct"/>
            <w:gridSpan w:val="2"/>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 30</w:t>
            </w: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 30</w:t>
            </w: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360 mg, 30</w:t>
            </w:r>
          </w:p>
        </w:tc>
        <w:tc>
          <w:tcPr>
            <w:tcW w:w="544" w:type="pct"/>
            <w:tcBorders>
              <w:top w:val="single" w:sz="4" w:space="0" w:color="auto"/>
              <w:bottom w:val="single" w:sz="4" w:space="0" w:color="auto"/>
            </w:tcBorders>
          </w:tcPr>
          <w:p w:rsidR="00EA184F" w:rsidRPr="00E766DF" w:rsidRDefault="00EA184F" w:rsidP="00B62210">
            <w:pPr>
              <w:keepNext/>
              <w:spacing w:before="40" w:after="40"/>
              <w:jc w:val="center"/>
              <w:rPr>
                <w:rFonts w:ascii="Arial Narrow" w:hAnsi="Arial Narrow" w:cs="Arial"/>
                <w:sz w:val="20"/>
                <w:szCs w:val="20"/>
              </w:rPr>
            </w:pP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6</w:t>
            </w:r>
          </w:p>
        </w:tc>
        <w:tc>
          <w:tcPr>
            <w:tcW w:w="547" w:type="pct"/>
            <w:tcBorders>
              <w:top w:val="single" w:sz="4" w:space="0" w:color="auto"/>
              <w:bottom w:val="single" w:sz="4" w:space="0" w:color="auto"/>
            </w:tcBorders>
          </w:tcPr>
          <w:p w:rsidR="00EA184F" w:rsidRPr="00E766DF" w:rsidRDefault="00EA184F" w:rsidP="00B62210">
            <w:pPr>
              <w:keepNext/>
              <w:spacing w:before="40" w:after="40"/>
              <w:jc w:val="center"/>
              <w:rPr>
                <w:rFonts w:ascii="Arial Narrow" w:hAnsi="Arial Narrow" w:cs="Arial"/>
                <w:sz w:val="20"/>
                <w:szCs w:val="20"/>
              </w:rPr>
            </w:pP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180</w:t>
            </w:r>
          </w:p>
        </w:tc>
        <w:tc>
          <w:tcPr>
            <w:tcW w:w="467" w:type="pct"/>
            <w:tcBorders>
              <w:top w:val="single" w:sz="4" w:space="0" w:color="auto"/>
              <w:bottom w:val="single" w:sz="4" w:space="0" w:color="auto"/>
            </w:tcBorders>
          </w:tcPr>
          <w:p w:rsidR="00EA184F" w:rsidRPr="00E766DF" w:rsidRDefault="00EA184F" w:rsidP="00B62210">
            <w:pPr>
              <w:keepNext/>
              <w:spacing w:before="40" w:after="40"/>
              <w:jc w:val="center"/>
              <w:rPr>
                <w:rFonts w:ascii="Arial Narrow" w:hAnsi="Arial Narrow" w:cs="Arial"/>
                <w:sz w:val="20"/>
                <w:szCs w:val="20"/>
              </w:rPr>
            </w:pP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5</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5</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5</w:t>
            </w:r>
          </w:p>
        </w:tc>
        <w:tc>
          <w:tcPr>
            <w:tcW w:w="623" w:type="pct"/>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p>
          <w:p w:rsidR="00EA184F" w:rsidRPr="00E766DF" w:rsidRDefault="00EA184F" w:rsidP="00B62210">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w:t>
            </w:r>
          </w:p>
        </w:tc>
        <w:tc>
          <w:tcPr>
            <w:tcW w:w="598" w:type="pct"/>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Novartis</w:t>
            </w:r>
          </w:p>
        </w:tc>
        <w:tc>
          <w:tcPr>
            <w:tcW w:w="133" w:type="pct"/>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Category / Program:</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Section 100 – Highly Specialised Drugs Program</w:t>
            </w:r>
            <w:r w:rsidR="006F4255" w:rsidRPr="00E766DF">
              <w:rPr>
                <w:rFonts w:ascii="Arial Narrow" w:hAnsi="Arial Narrow" w:cs="Arial"/>
                <w:sz w:val="20"/>
                <w:szCs w:val="20"/>
              </w:rPr>
              <w:t xml:space="preserve"> </w:t>
            </w:r>
            <w:bookmarkStart w:id="0" w:name="_GoBack"/>
            <w:r w:rsidR="006F4255" w:rsidRPr="00E766DF">
              <w:rPr>
                <w:rFonts w:ascii="Arial Narrow" w:hAnsi="Arial Narrow" w:cs="Arial"/>
                <w:sz w:val="20"/>
                <w:szCs w:val="20"/>
              </w:rPr>
              <w:t>(P</w:t>
            </w:r>
            <w:bookmarkEnd w:id="0"/>
            <w:r w:rsidR="006F4255" w:rsidRPr="00E766DF">
              <w:rPr>
                <w:rFonts w:ascii="Arial Narrow" w:hAnsi="Arial Narrow" w:cs="Arial"/>
                <w:sz w:val="20"/>
                <w:szCs w:val="20"/>
              </w:rPr>
              <w:t>ublic)</w:t>
            </w:r>
          </w:p>
          <w:p w:rsidR="006F4255" w:rsidRPr="00E766DF" w:rsidRDefault="006F4255" w:rsidP="00B62210">
            <w:pPr>
              <w:keepNext/>
              <w:rPr>
                <w:rFonts w:ascii="Arial Narrow" w:hAnsi="Arial Narrow" w:cs="Arial"/>
                <w:sz w:val="20"/>
                <w:szCs w:val="20"/>
              </w:rPr>
            </w:pPr>
            <w:r w:rsidRPr="00E766DF">
              <w:rPr>
                <w:rFonts w:ascii="Arial Narrow" w:hAnsi="Arial Narrow" w:cs="Arial"/>
                <w:sz w:val="20"/>
                <w:szCs w:val="20"/>
              </w:rPr>
              <w:t>Section 100 – Highly Specialised Drugs Program (Private)</w:t>
            </w: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Prescriber type:</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fldChar w:fldCharType="begin">
                <w:ffData>
                  <w:name w:val="Check1"/>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Dental  </w:t>
            </w: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Medical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Nurse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Optometrists </w:t>
            </w:r>
            <w:r w:rsidRPr="00E766DF">
              <w:rPr>
                <w:rFonts w:ascii="Arial Narrow" w:hAnsi="Arial Narrow" w:cs="Arial"/>
                <w:sz w:val="20"/>
                <w:szCs w:val="20"/>
              </w:rPr>
              <w:fldChar w:fldCharType="begin">
                <w:ffData>
                  <w:name w:val="Check5"/>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Midwives</w:t>
            </w: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Condition:</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Chronic iron overload</w:t>
            </w: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PBS indication:</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Chronic iron overload</w:t>
            </w: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Treatment phase:</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Initial treatment</w:t>
            </w: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Restriction level / Method:</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Authority Required – Telephone</w:t>
            </w:r>
          </w:p>
        </w:tc>
      </w:tr>
      <w:tr w:rsidR="00EA184F"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b/>
                <w:sz w:val="20"/>
                <w:szCs w:val="20"/>
              </w:rPr>
            </w:pPr>
            <w:r w:rsidRPr="00E766DF">
              <w:rPr>
                <w:rFonts w:ascii="Arial Narrow" w:hAnsi="Arial Narrow" w:cs="Arial"/>
                <w:b/>
                <w:sz w:val="20"/>
                <w:szCs w:val="20"/>
              </w:rPr>
              <w:t>Clinical criteria:</w:t>
            </w:r>
          </w:p>
        </w:tc>
        <w:tc>
          <w:tcPr>
            <w:tcW w:w="3694" w:type="pct"/>
            <w:gridSpan w:val="7"/>
            <w:tcBorders>
              <w:top w:val="single" w:sz="4" w:space="0" w:color="auto"/>
              <w:left w:val="single" w:sz="4" w:space="0" w:color="auto"/>
              <w:bottom w:val="single" w:sz="4" w:space="0" w:color="auto"/>
              <w:right w:val="single" w:sz="4" w:space="0" w:color="auto"/>
            </w:tcBorders>
          </w:tcPr>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Patient must be transfusion dependent,</w:t>
            </w:r>
          </w:p>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AND</w:t>
            </w:r>
          </w:p>
          <w:p w:rsidR="00EA184F" w:rsidRPr="00E766DF" w:rsidRDefault="00EA184F" w:rsidP="00B62210">
            <w:pPr>
              <w:keepNext/>
              <w:rPr>
                <w:rFonts w:ascii="Arial Narrow" w:hAnsi="Arial Narrow" w:cs="Arial"/>
                <w:sz w:val="20"/>
                <w:szCs w:val="20"/>
              </w:rPr>
            </w:pPr>
            <w:r w:rsidRPr="00E766DF">
              <w:rPr>
                <w:rFonts w:ascii="Arial Narrow" w:hAnsi="Arial Narrow" w:cs="Arial"/>
                <w:sz w:val="20"/>
                <w:szCs w:val="20"/>
              </w:rPr>
              <w:t>Patient must not have a malignant disorder of erythropoiesis</w:t>
            </w:r>
            <w:r w:rsidR="000D2DDA" w:rsidRPr="00E766DF">
              <w:rPr>
                <w:rFonts w:ascii="Arial Narrow" w:hAnsi="Arial Narrow" w:cs="Arial"/>
                <w:sz w:val="20"/>
                <w:szCs w:val="20"/>
              </w:rPr>
              <w:t>.</w:t>
            </w:r>
          </w:p>
        </w:tc>
      </w:tr>
      <w:tr w:rsidR="00B52135"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B52135" w:rsidRPr="00E766DF" w:rsidRDefault="00B52135" w:rsidP="00B62210">
            <w:pPr>
              <w:keepNext/>
              <w:rPr>
                <w:rFonts w:ascii="Arial Narrow" w:hAnsi="Arial Narrow" w:cs="Arial"/>
                <w:b/>
                <w:sz w:val="20"/>
                <w:szCs w:val="20"/>
              </w:rPr>
            </w:pPr>
            <w:r w:rsidRPr="00E766DF">
              <w:rPr>
                <w:rFonts w:ascii="Arial Narrow" w:hAnsi="Arial Narrow" w:cs="Arial"/>
                <w:b/>
                <w:sz w:val="20"/>
                <w:szCs w:val="20"/>
              </w:rPr>
              <w:t>Administrative advice:</w:t>
            </w:r>
          </w:p>
        </w:tc>
        <w:tc>
          <w:tcPr>
            <w:tcW w:w="3694" w:type="pct"/>
            <w:gridSpan w:val="7"/>
            <w:tcBorders>
              <w:top w:val="single" w:sz="4" w:space="0" w:color="auto"/>
              <w:left w:val="single" w:sz="4" w:space="0" w:color="auto"/>
              <w:bottom w:val="single" w:sz="4" w:space="0" w:color="auto"/>
              <w:right w:val="single" w:sz="4" w:space="0" w:color="auto"/>
            </w:tcBorders>
          </w:tcPr>
          <w:p w:rsidR="00B52135" w:rsidRPr="00E766DF" w:rsidRDefault="00B52135" w:rsidP="00B52135">
            <w:pPr>
              <w:rPr>
                <w:rFonts w:ascii="Arial Narrow" w:hAnsi="Arial Narrow" w:cs="Arial"/>
                <w:sz w:val="20"/>
                <w:szCs w:val="20"/>
                <w:u w:val="single"/>
              </w:rPr>
            </w:pPr>
            <w:r w:rsidRPr="00E766DF">
              <w:rPr>
                <w:rFonts w:ascii="Arial Narrow" w:hAnsi="Arial Narrow" w:cs="Arial"/>
                <w:sz w:val="20"/>
                <w:szCs w:val="20"/>
                <w:u w:val="single"/>
              </w:rPr>
              <w:t>Note</w:t>
            </w:r>
          </w:p>
          <w:p w:rsidR="00B52135" w:rsidRPr="00E766DF" w:rsidRDefault="00B52135" w:rsidP="00B52135">
            <w:pPr>
              <w:keepNext/>
              <w:rPr>
                <w:rFonts w:ascii="Arial Narrow" w:hAnsi="Arial Narrow" w:cs="Arial"/>
                <w:sz w:val="20"/>
                <w:szCs w:val="20"/>
              </w:rPr>
            </w:pPr>
            <w:r w:rsidRPr="00E766DF">
              <w:rPr>
                <w:rFonts w:ascii="Arial Narrow" w:hAnsi="Arial Narrow" w:cs="Arial"/>
                <w:sz w:val="20"/>
                <w:szCs w:val="20"/>
              </w:rPr>
              <w:t>Special Pricing Arrangements apply.</w:t>
            </w:r>
          </w:p>
        </w:tc>
      </w:tr>
    </w:tbl>
    <w:p w:rsidR="00EA184F" w:rsidRPr="00E766DF" w:rsidRDefault="00EA184F" w:rsidP="00ED2B4B">
      <w:pPr>
        <w:spacing w:after="120"/>
        <w:rPr>
          <w:rFonts w:asciiTheme="minorHAnsi" w:eastAsiaTheme="minorHAnsi" w:hAnsiTheme="minorHAnsi" w:cstheme="minorBidi"/>
          <w:szCs w:val="22"/>
        </w:rPr>
      </w:pPr>
    </w:p>
    <w:p w:rsidR="006F4255" w:rsidRPr="00E766DF" w:rsidRDefault="006F4255" w:rsidP="00ED2B4B">
      <w:pPr>
        <w:spacing w:after="120"/>
        <w:rPr>
          <w:rFonts w:asciiTheme="minorHAnsi" w:eastAsiaTheme="minorHAnsi" w:hAnsiTheme="minorHAnsi" w:cstheme="minorBidi"/>
          <w:szCs w:val="22"/>
          <w:u w:val="single"/>
        </w:rPr>
      </w:pPr>
      <w:r w:rsidRPr="00E766DF">
        <w:rPr>
          <w:rFonts w:asciiTheme="minorHAnsi" w:eastAsiaTheme="minorHAnsi" w:hAnsiTheme="minorHAnsi" w:cstheme="minorBidi"/>
          <w:szCs w:val="22"/>
          <w:u w:val="single"/>
        </w:rPr>
        <w:t>Chronic iron overload in patients with transfusion dependent non-malignant disorders of erythropoiesis: Public and Private (</w:t>
      </w:r>
      <w:r w:rsidR="00840D55">
        <w:rPr>
          <w:rFonts w:asciiTheme="minorHAnsi" w:eastAsiaTheme="minorHAnsi" w:hAnsiTheme="minorHAnsi" w:cstheme="minorBidi"/>
          <w:szCs w:val="22"/>
          <w:u w:val="single"/>
        </w:rPr>
        <w:t>C</w:t>
      </w:r>
      <w:r w:rsidRPr="00E766DF">
        <w:rPr>
          <w:rFonts w:asciiTheme="minorHAnsi" w:eastAsiaTheme="minorHAnsi" w:hAnsiTheme="minorHAnsi" w:cstheme="minorBidi"/>
          <w:szCs w:val="22"/>
          <w:u w:val="single"/>
        </w:rPr>
        <w:t>ontinuing)</w:t>
      </w:r>
      <w:r w:rsidR="00840D55">
        <w:rPr>
          <w:rFonts w:asciiTheme="minorHAnsi" w:eastAsiaTheme="minorHAnsi" w:hAnsiTheme="minorHAnsi" w:cstheme="minorBidi"/>
          <w:szCs w:val="22"/>
          <w:u w:val="single"/>
        </w:rPr>
        <w:t>:</w:t>
      </w:r>
    </w:p>
    <w:tbl>
      <w:tblPr>
        <w:tblW w:w="4920" w:type="pct"/>
        <w:tblLayout w:type="fixed"/>
        <w:tblLook w:val="0000" w:firstRow="0" w:lastRow="0" w:firstColumn="0" w:lastColumn="0" w:noHBand="0" w:noVBand="0"/>
      </w:tblPr>
      <w:tblGrid>
        <w:gridCol w:w="2376"/>
        <w:gridCol w:w="1424"/>
        <w:gridCol w:w="989"/>
        <w:gridCol w:w="997"/>
        <w:gridCol w:w="849"/>
        <w:gridCol w:w="1133"/>
        <w:gridCol w:w="1088"/>
        <w:gridCol w:w="238"/>
      </w:tblGrid>
      <w:tr w:rsidR="00EA184F" w:rsidRPr="00E766DF" w:rsidTr="00EA184F">
        <w:trPr>
          <w:cantSplit/>
          <w:trHeight w:val="465"/>
        </w:trPr>
        <w:tc>
          <w:tcPr>
            <w:tcW w:w="2089" w:type="pct"/>
            <w:gridSpan w:val="2"/>
            <w:tcBorders>
              <w:bottom w:val="single" w:sz="4" w:space="0" w:color="auto"/>
            </w:tcBorders>
          </w:tcPr>
          <w:p w:rsidR="00EA184F" w:rsidRPr="00E766DF" w:rsidRDefault="00EA184F" w:rsidP="00B62210">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EA184F" w:rsidRPr="00E766DF" w:rsidRDefault="00EA184F" w:rsidP="00B62210">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544" w:type="pct"/>
            <w:tcBorders>
              <w:bottom w:val="single" w:sz="4" w:space="0" w:color="auto"/>
            </w:tcBorders>
          </w:tcPr>
          <w:p w:rsidR="00EA184F" w:rsidRPr="00E766DF" w:rsidRDefault="00EA184F" w:rsidP="00B62210">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packs</w:t>
            </w:r>
          </w:p>
        </w:tc>
        <w:tc>
          <w:tcPr>
            <w:tcW w:w="548" w:type="pct"/>
            <w:tcBorders>
              <w:bottom w:val="single" w:sz="4" w:space="0" w:color="auto"/>
            </w:tcBorders>
          </w:tcPr>
          <w:p w:rsidR="00EA184F" w:rsidRPr="00E766DF" w:rsidRDefault="00EA184F" w:rsidP="00B62210">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units</w:t>
            </w:r>
          </w:p>
        </w:tc>
        <w:tc>
          <w:tcPr>
            <w:tcW w:w="467" w:type="pct"/>
            <w:tcBorders>
              <w:bottom w:val="single" w:sz="4" w:space="0" w:color="auto"/>
            </w:tcBorders>
          </w:tcPr>
          <w:p w:rsidR="00EA184F" w:rsidRPr="00E766DF" w:rsidRDefault="00EA184F" w:rsidP="00B62210">
            <w:pPr>
              <w:keepNext/>
              <w:spacing w:before="40" w:after="40"/>
              <w:jc w:val="center"/>
              <w:rPr>
                <w:rFonts w:ascii="Arial Narrow" w:hAnsi="Arial Narrow" w:cs="Arial"/>
                <w:b/>
                <w:sz w:val="20"/>
                <w:szCs w:val="20"/>
              </w:rPr>
            </w:pPr>
            <w:r w:rsidRPr="00E766DF">
              <w:rPr>
                <w:rFonts w:ascii="Arial Narrow" w:hAnsi="Arial Narrow" w:cs="Arial"/>
                <w:b/>
                <w:sz w:val="20"/>
                <w:szCs w:val="20"/>
              </w:rPr>
              <w:t>No. of</w:t>
            </w:r>
          </w:p>
          <w:p w:rsidR="00EA184F" w:rsidRPr="00E766DF" w:rsidRDefault="00EA184F" w:rsidP="00B62210">
            <w:pPr>
              <w:keepNext/>
              <w:spacing w:before="40" w:after="40"/>
              <w:jc w:val="center"/>
              <w:rPr>
                <w:rFonts w:ascii="Arial Narrow" w:hAnsi="Arial Narrow" w:cs="Arial"/>
                <w:b/>
                <w:sz w:val="20"/>
                <w:szCs w:val="20"/>
              </w:rPr>
            </w:pPr>
            <w:r w:rsidRPr="00E766DF">
              <w:rPr>
                <w:rFonts w:ascii="Arial Narrow" w:hAnsi="Arial Narrow" w:cs="Arial"/>
                <w:b/>
                <w:sz w:val="20"/>
                <w:szCs w:val="20"/>
              </w:rPr>
              <w:t>repeats</w:t>
            </w:r>
          </w:p>
        </w:tc>
        <w:tc>
          <w:tcPr>
            <w:tcW w:w="1352" w:type="pct"/>
            <w:gridSpan w:val="3"/>
            <w:tcBorders>
              <w:bottom w:val="single" w:sz="4" w:space="0" w:color="auto"/>
            </w:tcBorders>
          </w:tcPr>
          <w:p w:rsidR="00EA184F" w:rsidRPr="00E766DF" w:rsidRDefault="00EA184F" w:rsidP="00B62210">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EA184F" w:rsidRPr="00E766DF" w:rsidTr="00EA184F">
        <w:trPr>
          <w:cantSplit/>
          <w:trHeight w:val="567"/>
        </w:trPr>
        <w:tc>
          <w:tcPr>
            <w:tcW w:w="2089" w:type="pct"/>
            <w:gridSpan w:val="2"/>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 30</w:t>
            </w: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 30</w:t>
            </w: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360 mg, 30</w:t>
            </w:r>
          </w:p>
        </w:tc>
        <w:tc>
          <w:tcPr>
            <w:tcW w:w="544" w:type="pct"/>
            <w:tcBorders>
              <w:top w:val="single" w:sz="4" w:space="0" w:color="auto"/>
              <w:bottom w:val="single" w:sz="4" w:space="0" w:color="auto"/>
            </w:tcBorders>
          </w:tcPr>
          <w:p w:rsidR="00EA184F" w:rsidRPr="00E766DF" w:rsidRDefault="00EA184F" w:rsidP="00B62210">
            <w:pPr>
              <w:keepNext/>
              <w:spacing w:before="40" w:after="40"/>
              <w:jc w:val="center"/>
              <w:rPr>
                <w:rFonts w:ascii="Arial Narrow" w:hAnsi="Arial Narrow" w:cs="Arial"/>
                <w:sz w:val="20"/>
                <w:szCs w:val="20"/>
              </w:rPr>
            </w:pP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6</w:t>
            </w:r>
          </w:p>
        </w:tc>
        <w:tc>
          <w:tcPr>
            <w:tcW w:w="548" w:type="pct"/>
            <w:tcBorders>
              <w:top w:val="single" w:sz="4" w:space="0" w:color="auto"/>
              <w:bottom w:val="single" w:sz="4" w:space="0" w:color="auto"/>
            </w:tcBorders>
          </w:tcPr>
          <w:p w:rsidR="00EA184F" w:rsidRPr="00E766DF" w:rsidRDefault="00EA184F" w:rsidP="00B62210">
            <w:pPr>
              <w:keepNext/>
              <w:spacing w:before="40" w:after="40"/>
              <w:jc w:val="center"/>
              <w:rPr>
                <w:rFonts w:ascii="Arial Narrow" w:hAnsi="Arial Narrow" w:cs="Arial"/>
                <w:sz w:val="20"/>
                <w:szCs w:val="20"/>
              </w:rPr>
            </w:pP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180</w:t>
            </w:r>
          </w:p>
        </w:tc>
        <w:tc>
          <w:tcPr>
            <w:tcW w:w="467" w:type="pct"/>
            <w:tcBorders>
              <w:top w:val="single" w:sz="4" w:space="0" w:color="auto"/>
              <w:bottom w:val="single" w:sz="4" w:space="0" w:color="auto"/>
            </w:tcBorders>
          </w:tcPr>
          <w:p w:rsidR="00EA184F" w:rsidRPr="00E766DF" w:rsidRDefault="00EA184F" w:rsidP="00B62210">
            <w:pPr>
              <w:keepNext/>
              <w:spacing w:before="40" w:after="40"/>
              <w:jc w:val="center"/>
              <w:rPr>
                <w:rFonts w:ascii="Arial Narrow" w:hAnsi="Arial Narrow" w:cs="Arial"/>
                <w:sz w:val="20"/>
                <w:szCs w:val="20"/>
              </w:rPr>
            </w:pP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EA184F" w:rsidRPr="00E766DF" w:rsidRDefault="00EA184F" w:rsidP="00B62210">
            <w:pPr>
              <w:keepNext/>
              <w:spacing w:before="40" w:after="40"/>
              <w:jc w:val="center"/>
              <w:rPr>
                <w:rFonts w:ascii="Arial Narrow" w:hAnsi="Arial Narrow" w:cs="Arial"/>
                <w:sz w:val="20"/>
                <w:szCs w:val="20"/>
              </w:rPr>
            </w:pPr>
            <w:r w:rsidRPr="00E766DF">
              <w:rPr>
                <w:rFonts w:ascii="Arial Narrow" w:hAnsi="Arial Narrow" w:cs="Arial"/>
                <w:sz w:val="20"/>
                <w:szCs w:val="20"/>
              </w:rPr>
              <w:t>2</w:t>
            </w:r>
          </w:p>
        </w:tc>
        <w:tc>
          <w:tcPr>
            <w:tcW w:w="623" w:type="pct"/>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p>
          <w:p w:rsidR="00EA184F" w:rsidRPr="00E766DF" w:rsidRDefault="00EA184F" w:rsidP="00B62210">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w:t>
            </w:r>
          </w:p>
        </w:tc>
        <w:tc>
          <w:tcPr>
            <w:tcW w:w="598" w:type="pct"/>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p>
          <w:p w:rsidR="00EA184F" w:rsidRPr="00E766DF" w:rsidRDefault="00EA184F" w:rsidP="00B62210">
            <w:pPr>
              <w:keepNext/>
              <w:spacing w:before="40" w:after="40"/>
              <w:jc w:val="both"/>
              <w:rPr>
                <w:rFonts w:ascii="Arial Narrow" w:hAnsi="Arial Narrow" w:cs="Arial"/>
                <w:sz w:val="20"/>
                <w:szCs w:val="20"/>
              </w:rPr>
            </w:pPr>
            <w:r w:rsidRPr="00E766DF">
              <w:rPr>
                <w:rFonts w:ascii="Arial Narrow" w:hAnsi="Arial Narrow" w:cs="Arial"/>
                <w:sz w:val="20"/>
                <w:szCs w:val="20"/>
              </w:rPr>
              <w:t>Novartis</w:t>
            </w:r>
          </w:p>
        </w:tc>
        <w:tc>
          <w:tcPr>
            <w:tcW w:w="131" w:type="pct"/>
            <w:tcBorders>
              <w:top w:val="single" w:sz="4" w:space="0" w:color="auto"/>
              <w:bottom w:val="single" w:sz="4" w:space="0" w:color="auto"/>
            </w:tcBorders>
          </w:tcPr>
          <w:p w:rsidR="00EA184F" w:rsidRPr="00E766DF" w:rsidRDefault="00EA184F" w:rsidP="00B62210">
            <w:pPr>
              <w:keepNext/>
              <w:spacing w:before="40" w:after="40"/>
              <w:jc w:val="both"/>
              <w:rPr>
                <w:rFonts w:ascii="Arial Narrow" w:hAnsi="Arial Narrow" w:cs="Arial"/>
                <w:sz w:val="20"/>
                <w:szCs w:val="20"/>
              </w:rPr>
            </w:pP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b/>
                <w:sz w:val="20"/>
                <w:szCs w:val="20"/>
              </w:rPr>
            </w:pPr>
            <w:r w:rsidRPr="00E766DF">
              <w:rPr>
                <w:rFonts w:ascii="Arial Narrow" w:hAnsi="Arial Narrow" w:cs="Arial"/>
                <w:b/>
                <w:sz w:val="20"/>
                <w:szCs w:val="20"/>
              </w:rPr>
              <w:t>Category / Program:</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Section 100 – Highly Specialised Drugs Program</w:t>
            </w:r>
            <w:r w:rsidR="006F4255" w:rsidRPr="00E766DF">
              <w:rPr>
                <w:rFonts w:ascii="Arial Narrow" w:hAnsi="Arial Narrow" w:cs="Arial"/>
                <w:sz w:val="20"/>
                <w:szCs w:val="20"/>
              </w:rPr>
              <w:t xml:space="preserve"> (Public)</w:t>
            </w:r>
          </w:p>
          <w:p w:rsidR="006F4255" w:rsidRPr="00E766DF" w:rsidRDefault="006F4255" w:rsidP="005065EF">
            <w:pPr>
              <w:keepNext/>
              <w:rPr>
                <w:rFonts w:ascii="Arial Narrow" w:hAnsi="Arial Narrow" w:cs="Arial"/>
                <w:sz w:val="20"/>
                <w:szCs w:val="20"/>
              </w:rPr>
            </w:pPr>
            <w:r w:rsidRPr="00E766DF">
              <w:rPr>
                <w:rFonts w:ascii="Arial Narrow" w:hAnsi="Arial Narrow" w:cs="Arial"/>
                <w:sz w:val="20"/>
                <w:szCs w:val="20"/>
              </w:rPr>
              <w:t>Section 100 – Highly Specialised Drugs Program (Private)</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b/>
                <w:sz w:val="20"/>
                <w:szCs w:val="20"/>
              </w:rPr>
            </w:pPr>
            <w:r w:rsidRPr="00E766DF">
              <w:rPr>
                <w:rFonts w:ascii="Arial Narrow" w:hAnsi="Arial Narrow" w:cs="Arial"/>
                <w:b/>
                <w:sz w:val="20"/>
                <w:szCs w:val="20"/>
              </w:rPr>
              <w:t>Prescriber type:</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fldChar w:fldCharType="begin">
                <w:ffData>
                  <w:name w:val="Check1"/>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Dental  </w:t>
            </w: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Medical Practitioners  </w:t>
            </w:r>
            <w:r w:rsidRPr="00E766DF">
              <w:rPr>
                <w:rFonts w:ascii="Arial Narrow" w:hAnsi="Arial Narrow" w:cs="Arial"/>
                <w:sz w:val="20"/>
                <w:szCs w:val="20"/>
              </w:rPr>
              <w:fldChar w:fldCharType="begin">
                <w:ffData>
                  <w:name w:val="Check3"/>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Nurse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Optometrists </w:t>
            </w:r>
            <w:r w:rsidRPr="00E766DF">
              <w:rPr>
                <w:rFonts w:ascii="Arial Narrow" w:hAnsi="Arial Narrow" w:cs="Arial"/>
                <w:sz w:val="20"/>
                <w:szCs w:val="20"/>
              </w:rPr>
              <w:fldChar w:fldCharType="begin">
                <w:ffData>
                  <w:name w:val="Check5"/>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Midwives</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b/>
                <w:sz w:val="20"/>
                <w:szCs w:val="20"/>
              </w:rPr>
            </w:pPr>
            <w:r w:rsidRPr="00E766DF">
              <w:rPr>
                <w:rFonts w:ascii="Arial Narrow" w:hAnsi="Arial Narrow" w:cs="Arial"/>
                <w:b/>
                <w:sz w:val="20"/>
                <w:szCs w:val="20"/>
              </w:rPr>
              <w:t>Condition:</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Chronic iron overload</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b/>
                <w:sz w:val="20"/>
                <w:szCs w:val="20"/>
              </w:rPr>
            </w:pPr>
            <w:r w:rsidRPr="00E766DF">
              <w:rPr>
                <w:rFonts w:ascii="Arial Narrow" w:hAnsi="Arial Narrow" w:cs="Arial"/>
                <w:b/>
                <w:sz w:val="20"/>
                <w:szCs w:val="20"/>
              </w:rPr>
              <w:t>PBS indication:</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Chronic iron overload</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b/>
                <w:sz w:val="20"/>
                <w:szCs w:val="20"/>
              </w:rPr>
            </w:pPr>
            <w:r w:rsidRPr="00E766DF">
              <w:rPr>
                <w:rFonts w:ascii="Arial Narrow" w:hAnsi="Arial Narrow" w:cs="Arial"/>
                <w:b/>
                <w:sz w:val="20"/>
                <w:szCs w:val="20"/>
              </w:rPr>
              <w:t>Treatment phase:</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Continuing treatment</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b/>
                <w:sz w:val="20"/>
                <w:szCs w:val="20"/>
              </w:rPr>
              <w:t>Restriction level / Method:</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fldChar w:fldCharType="begin">
                <w:ffData>
                  <w:name w:val="Check5"/>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Streamlined (Public </w:t>
            </w:r>
            <w:r w:rsidR="00E916B5">
              <w:rPr>
                <w:rFonts w:ascii="Arial Narrow" w:hAnsi="Arial Narrow" w:cs="Arial"/>
                <w:sz w:val="20"/>
                <w:szCs w:val="20"/>
              </w:rPr>
              <w:t xml:space="preserve">and Private </w:t>
            </w:r>
            <w:r w:rsidRPr="00E766DF">
              <w:rPr>
                <w:rFonts w:ascii="Arial Narrow" w:hAnsi="Arial Narrow" w:cs="Arial"/>
                <w:sz w:val="20"/>
                <w:szCs w:val="20"/>
              </w:rPr>
              <w:t>hospital)</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b/>
                <w:sz w:val="20"/>
                <w:szCs w:val="20"/>
              </w:rPr>
            </w:pPr>
            <w:r w:rsidRPr="00E766DF">
              <w:rPr>
                <w:rFonts w:ascii="Arial Narrow" w:hAnsi="Arial Narrow" w:cs="Arial"/>
                <w:b/>
                <w:sz w:val="20"/>
                <w:szCs w:val="20"/>
              </w:rPr>
              <w:t>Clinical criteria:</w:t>
            </w:r>
          </w:p>
        </w:tc>
        <w:tc>
          <w:tcPr>
            <w:tcW w:w="3694" w:type="pct"/>
            <w:gridSpan w:val="7"/>
            <w:tcBorders>
              <w:top w:val="single" w:sz="4" w:space="0" w:color="auto"/>
              <w:left w:val="single" w:sz="4" w:space="0" w:color="auto"/>
              <w:bottom w:val="single" w:sz="4" w:space="0" w:color="auto"/>
              <w:right w:val="single" w:sz="4" w:space="0" w:color="auto"/>
            </w:tcBorders>
          </w:tcPr>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 xml:space="preserve">Patient must be transfusion dependent, </w:t>
            </w:r>
          </w:p>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AND</w:t>
            </w:r>
          </w:p>
          <w:p w:rsidR="00ED2B4B" w:rsidRPr="00E766DF" w:rsidRDefault="00D44F65" w:rsidP="00B62210">
            <w:pPr>
              <w:rPr>
                <w:rFonts w:ascii="Arial Narrow" w:hAnsi="Arial Narrow" w:cs="Arial"/>
                <w:sz w:val="20"/>
                <w:szCs w:val="20"/>
              </w:rPr>
            </w:pPr>
            <w:r w:rsidRPr="00E766DF">
              <w:rPr>
                <w:rFonts w:ascii="Arial Narrow" w:hAnsi="Arial Narrow" w:cs="Arial"/>
                <w:sz w:val="20"/>
                <w:szCs w:val="20"/>
              </w:rPr>
              <w:t>Patient must not have a malignant disorder of erythropoiesis</w:t>
            </w:r>
            <w:r w:rsidR="00ED2B4B" w:rsidRPr="00E766DF">
              <w:rPr>
                <w:rFonts w:ascii="Arial Narrow" w:hAnsi="Arial Narrow" w:cs="Arial"/>
                <w:sz w:val="20"/>
                <w:szCs w:val="20"/>
              </w:rPr>
              <w:t>,</w:t>
            </w:r>
          </w:p>
          <w:p w:rsidR="00ED2B4B" w:rsidRPr="00E766DF" w:rsidRDefault="00ED2B4B" w:rsidP="00B62210">
            <w:pPr>
              <w:rPr>
                <w:rFonts w:ascii="Arial Narrow" w:hAnsi="Arial Narrow" w:cs="Arial"/>
                <w:sz w:val="20"/>
                <w:szCs w:val="20"/>
              </w:rPr>
            </w:pPr>
            <w:r w:rsidRPr="00E766DF">
              <w:rPr>
                <w:rFonts w:ascii="Arial Narrow" w:hAnsi="Arial Narrow" w:cs="Arial"/>
                <w:sz w:val="20"/>
                <w:szCs w:val="20"/>
              </w:rPr>
              <w:t>AND</w:t>
            </w:r>
          </w:p>
          <w:p w:rsidR="00ED2B4B" w:rsidRPr="0053060D" w:rsidRDefault="00840D55" w:rsidP="00B62210">
            <w:pPr>
              <w:rPr>
                <w:rFonts w:ascii="Arial Narrow" w:hAnsi="Arial Narrow" w:cs="Arial"/>
                <w:i/>
                <w:sz w:val="20"/>
                <w:szCs w:val="20"/>
              </w:rPr>
            </w:pPr>
            <w:r w:rsidRPr="0053060D">
              <w:rPr>
                <w:rFonts w:ascii="Arial Narrow" w:hAnsi="Arial Narrow" w:cs="Arial"/>
                <w:i/>
                <w:sz w:val="20"/>
                <w:szCs w:val="20"/>
              </w:rPr>
              <w:t>Patient must have previously received PBS-subsidised treatment with deferasirox for this condition.</w:t>
            </w:r>
          </w:p>
        </w:tc>
      </w:tr>
      <w:tr w:rsidR="00ED2B4B" w:rsidRPr="00E766DF" w:rsidTr="00EA184F">
        <w:trPr>
          <w:cantSplit/>
          <w:trHeight w:val="360"/>
        </w:trPr>
        <w:tc>
          <w:tcPr>
            <w:tcW w:w="1306" w:type="pct"/>
            <w:tcBorders>
              <w:top w:val="single" w:sz="4" w:space="0" w:color="auto"/>
              <w:left w:val="single" w:sz="4" w:space="0" w:color="auto"/>
              <w:bottom w:val="single" w:sz="4" w:space="0" w:color="auto"/>
              <w:right w:val="single" w:sz="4" w:space="0" w:color="auto"/>
            </w:tcBorders>
          </w:tcPr>
          <w:p w:rsidR="00ED2B4B" w:rsidRPr="00E766DF" w:rsidRDefault="00B52135" w:rsidP="00B62210">
            <w:pPr>
              <w:rPr>
                <w:rFonts w:ascii="Arial Narrow" w:hAnsi="Arial Narrow" w:cs="Arial"/>
                <w:b/>
                <w:sz w:val="20"/>
                <w:szCs w:val="20"/>
              </w:rPr>
            </w:pPr>
            <w:r w:rsidRPr="00E766DF">
              <w:rPr>
                <w:rFonts w:ascii="Arial Narrow" w:hAnsi="Arial Narrow" w:cs="Arial"/>
                <w:b/>
                <w:sz w:val="20"/>
                <w:szCs w:val="20"/>
              </w:rPr>
              <w:t>Administrative advice:</w:t>
            </w:r>
          </w:p>
          <w:p w:rsidR="00ED2B4B" w:rsidRPr="00E766DF" w:rsidRDefault="00ED2B4B" w:rsidP="00B62210">
            <w:pPr>
              <w:rPr>
                <w:rFonts w:ascii="Arial Narrow" w:hAnsi="Arial Narrow" w:cs="Arial"/>
                <w:i/>
                <w:sz w:val="20"/>
                <w:szCs w:val="20"/>
              </w:rPr>
            </w:pPr>
          </w:p>
        </w:tc>
        <w:tc>
          <w:tcPr>
            <w:tcW w:w="3694" w:type="pct"/>
            <w:gridSpan w:val="7"/>
            <w:tcBorders>
              <w:top w:val="single" w:sz="4" w:space="0" w:color="auto"/>
              <w:left w:val="single" w:sz="4" w:space="0" w:color="auto"/>
              <w:bottom w:val="single" w:sz="4" w:space="0" w:color="auto"/>
              <w:right w:val="single" w:sz="4" w:space="0" w:color="auto"/>
            </w:tcBorders>
          </w:tcPr>
          <w:p w:rsidR="00B52135" w:rsidRPr="00E766DF" w:rsidRDefault="00B52135" w:rsidP="00B62210">
            <w:pPr>
              <w:rPr>
                <w:rFonts w:ascii="Arial Narrow" w:hAnsi="Arial Narrow" w:cs="Arial"/>
                <w:sz w:val="20"/>
                <w:szCs w:val="20"/>
                <w:u w:val="single"/>
              </w:rPr>
            </w:pPr>
            <w:r w:rsidRPr="00E766DF">
              <w:rPr>
                <w:rFonts w:ascii="Arial Narrow" w:hAnsi="Arial Narrow" w:cs="Arial"/>
                <w:sz w:val="20"/>
                <w:szCs w:val="20"/>
                <w:u w:val="single"/>
              </w:rPr>
              <w:t>Note</w:t>
            </w:r>
          </w:p>
          <w:p w:rsidR="00ED2B4B" w:rsidRPr="00E766DF" w:rsidRDefault="00B52135" w:rsidP="00B62210">
            <w:pPr>
              <w:rPr>
                <w:rFonts w:ascii="Arial Narrow" w:hAnsi="Arial Narrow" w:cs="Arial"/>
                <w:sz w:val="20"/>
                <w:szCs w:val="20"/>
              </w:rPr>
            </w:pPr>
            <w:r w:rsidRPr="00E766DF">
              <w:rPr>
                <w:rFonts w:ascii="Arial Narrow" w:hAnsi="Arial Narrow" w:cs="Arial"/>
                <w:sz w:val="20"/>
                <w:szCs w:val="20"/>
              </w:rPr>
              <w:t>Special Pricing Arrangements apply.</w:t>
            </w:r>
          </w:p>
        </w:tc>
      </w:tr>
    </w:tbl>
    <w:p w:rsidR="006F4255" w:rsidRDefault="00B52135" w:rsidP="006B4C03">
      <w:pPr>
        <w:pStyle w:val="NoSpacing"/>
        <w:rPr>
          <w:rFonts w:asciiTheme="minorHAnsi" w:hAnsiTheme="minorHAnsi" w:cstheme="minorHAnsi"/>
          <w:sz w:val="24"/>
          <w:szCs w:val="24"/>
          <w:u w:val="single"/>
        </w:rPr>
      </w:pPr>
      <w:r w:rsidRPr="0053060D">
        <w:rPr>
          <w:rFonts w:asciiTheme="minorHAnsi" w:hAnsiTheme="minorHAnsi" w:cstheme="minorHAnsi"/>
          <w:sz w:val="24"/>
          <w:szCs w:val="24"/>
          <w:u w:val="single"/>
        </w:rPr>
        <w:lastRenderedPageBreak/>
        <w:t>Chronic iron overload in patients with non-transfusion dependent thalassaemia: Public and Private (</w:t>
      </w:r>
      <w:r w:rsidR="00840D55">
        <w:rPr>
          <w:rFonts w:asciiTheme="minorHAnsi" w:hAnsiTheme="minorHAnsi" w:cstheme="minorHAnsi"/>
          <w:sz w:val="24"/>
          <w:szCs w:val="24"/>
          <w:u w:val="single"/>
        </w:rPr>
        <w:t>I</w:t>
      </w:r>
      <w:r w:rsidRPr="0053060D">
        <w:rPr>
          <w:rFonts w:asciiTheme="minorHAnsi" w:hAnsiTheme="minorHAnsi" w:cstheme="minorHAnsi"/>
          <w:sz w:val="24"/>
          <w:szCs w:val="24"/>
          <w:u w:val="single"/>
        </w:rPr>
        <w:t>nitial)</w:t>
      </w:r>
      <w:r w:rsidR="00840D55">
        <w:rPr>
          <w:rFonts w:asciiTheme="minorHAnsi" w:hAnsiTheme="minorHAnsi" w:cstheme="minorHAnsi"/>
          <w:sz w:val="24"/>
          <w:szCs w:val="24"/>
          <w:u w:val="single"/>
        </w:rPr>
        <w:t>:</w:t>
      </w:r>
    </w:p>
    <w:tbl>
      <w:tblPr>
        <w:tblW w:w="4920" w:type="pct"/>
        <w:tblLayout w:type="fixed"/>
        <w:tblLook w:val="0000" w:firstRow="0" w:lastRow="0" w:firstColumn="0" w:lastColumn="0" w:noHBand="0" w:noVBand="0"/>
      </w:tblPr>
      <w:tblGrid>
        <w:gridCol w:w="2376"/>
        <w:gridCol w:w="1422"/>
        <w:gridCol w:w="989"/>
        <w:gridCol w:w="995"/>
        <w:gridCol w:w="849"/>
        <w:gridCol w:w="1133"/>
        <w:gridCol w:w="1088"/>
        <w:gridCol w:w="242"/>
      </w:tblGrid>
      <w:tr w:rsidR="006F4255" w:rsidRPr="00E766DF" w:rsidTr="00C4711A">
        <w:trPr>
          <w:cantSplit/>
          <w:trHeight w:val="465"/>
        </w:trPr>
        <w:tc>
          <w:tcPr>
            <w:tcW w:w="2088" w:type="pct"/>
            <w:gridSpan w:val="2"/>
            <w:tcBorders>
              <w:bottom w:val="single" w:sz="4" w:space="0" w:color="auto"/>
            </w:tcBorders>
          </w:tcPr>
          <w:p w:rsidR="006F4255" w:rsidRPr="00E766DF" w:rsidRDefault="006F4255" w:rsidP="00C4711A">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6F4255" w:rsidRPr="00E766DF" w:rsidRDefault="006F4255" w:rsidP="00C4711A">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544" w:type="pct"/>
            <w:tcBorders>
              <w:bottom w:val="single" w:sz="4" w:space="0" w:color="auto"/>
            </w:tcBorders>
          </w:tcPr>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packs</w:t>
            </w:r>
          </w:p>
        </w:tc>
        <w:tc>
          <w:tcPr>
            <w:tcW w:w="547" w:type="pct"/>
            <w:tcBorders>
              <w:bottom w:val="single" w:sz="4" w:space="0" w:color="auto"/>
            </w:tcBorders>
          </w:tcPr>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units</w:t>
            </w:r>
          </w:p>
        </w:tc>
        <w:tc>
          <w:tcPr>
            <w:tcW w:w="467" w:type="pct"/>
            <w:tcBorders>
              <w:bottom w:val="single" w:sz="4" w:space="0" w:color="auto"/>
            </w:tcBorders>
          </w:tcPr>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No. of</w:t>
            </w:r>
          </w:p>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repeats</w:t>
            </w:r>
          </w:p>
        </w:tc>
        <w:tc>
          <w:tcPr>
            <w:tcW w:w="1354" w:type="pct"/>
            <w:gridSpan w:val="3"/>
            <w:tcBorders>
              <w:bottom w:val="single" w:sz="4" w:space="0" w:color="auto"/>
            </w:tcBorders>
          </w:tcPr>
          <w:p w:rsidR="006F4255" w:rsidRPr="00E766DF" w:rsidRDefault="006F4255" w:rsidP="00C4711A">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6F4255" w:rsidRPr="00E766DF" w:rsidTr="00C4711A">
        <w:trPr>
          <w:cantSplit/>
          <w:trHeight w:val="567"/>
        </w:trPr>
        <w:tc>
          <w:tcPr>
            <w:tcW w:w="2088" w:type="pct"/>
            <w:gridSpan w:val="2"/>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 30</w:t>
            </w: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 30</w:t>
            </w: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360 mg, 30</w:t>
            </w:r>
          </w:p>
        </w:tc>
        <w:tc>
          <w:tcPr>
            <w:tcW w:w="544" w:type="pct"/>
            <w:tcBorders>
              <w:top w:val="single" w:sz="4" w:space="0" w:color="auto"/>
              <w:bottom w:val="single" w:sz="4" w:space="0" w:color="auto"/>
            </w:tcBorders>
          </w:tcPr>
          <w:p w:rsidR="006F4255" w:rsidRPr="00E766DF" w:rsidRDefault="006F4255" w:rsidP="00C4711A">
            <w:pPr>
              <w:keepNext/>
              <w:spacing w:before="40" w:after="40"/>
              <w:jc w:val="center"/>
              <w:rPr>
                <w:rFonts w:ascii="Arial Narrow" w:hAnsi="Arial Narrow" w:cs="Arial"/>
                <w:sz w:val="20"/>
                <w:szCs w:val="20"/>
              </w:rPr>
            </w:pP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tc>
        <w:tc>
          <w:tcPr>
            <w:tcW w:w="547" w:type="pct"/>
            <w:tcBorders>
              <w:top w:val="single" w:sz="4" w:space="0" w:color="auto"/>
              <w:bottom w:val="single" w:sz="4" w:space="0" w:color="auto"/>
            </w:tcBorders>
          </w:tcPr>
          <w:p w:rsidR="006F4255" w:rsidRPr="00E766DF" w:rsidRDefault="006F4255" w:rsidP="00C4711A">
            <w:pPr>
              <w:keepNext/>
              <w:spacing w:before="40" w:after="40"/>
              <w:jc w:val="center"/>
              <w:rPr>
                <w:rFonts w:ascii="Arial Narrow" w:hAnsi="Arial Narrow" w:cs="Arial"/>
                <w:sz w:val="20"/>
                <w:szCs w:val="20"/>
              </w:rPr>
            </w:pP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tc>
        <w:tc>
          <w:tcPr>
            <w:tcW w:w="467" w:type="pct"/>
            <w:tcBorders>
              <w:top w:val="single" w:sz="4" w:space="0" w:color="auto"/>
              <w:bottom w:val="single" w:sz="4" w:space="0" w:color="auto"/>
            </w:tcBorders>
          </w:tcPr>
          <w:p w:rsidR="006F4255" w:rsidRPr="00E766DF" w:rsidRDefault="006F4255" w:rsidP="00C4711A">
            <w:pPr>
              <w:keepNext/>
              <w:spacing w:before="40" w:after="40"/>
              <w:jc w:val="center"/>
              <w:rPr>
                <w:rFonts w:ascii="Arial Narrow" w:hAnsi="Arial Narrow" w:cs="Arial"/>
                <w:sz w:val="20"/>
                <w:szCs w:val="20"/>
              </w:rPr>
            </w:pP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5</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5</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5</w:t>
            </w:r>
          </w:p>
        </w:tc>
        <w:tc>
          <w:tcPr>
            <w:tcW w:w="623" w:type="pct"/>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p>
          <w:p w:rsidR="006F4255" w:rsidRPr="00E766DF" w:rsidRDefault="006F4255" w:rsidP="00C4711A">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w:t>
            </w:r>
          </w:p>
        </w:tc>
        <w:tc>
          <w:tcPr>
            <w:tcW w:w="598" w:type="pct"/>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Novartis</w:t>
            </w:r>
          </w:p>
        </w:tc>
        <w:tc>
          <w:tcPr>
            <w:tcW w:w="133" w:type="pct"/>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Category / Program:</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Section 100 – Highly Specialised Drugs Program</w:t>
            </w:r>
            <w:r w:rsidR="00B52135" w:rsidRPr="00E766DF">
              <w:rPr>
                <w:rFonts w:ascii="Arial Narrow" w:hAnsi="Arial Narrow" w:cs="Arial"/>
                <w:sz w:val="20"/>
                <w:szCs w:val="20"/>
              </w:rPr>
              <w:t xml:space="preserve"> (Public)</w:t>
            </w:r>
          </w:p>
          <w:p w:rsidR="00B52135" w:rsidRPr="00E766DF" w:rsidRDefault="00B52135" w:rsidP="00C4711A">
            <w:pPr>
              <w:keepNext/>
              <w:rPr>
                <w:rFonts w:ascii="Arial Narrow" w:hAnsi="Arial Narrow" w:cs="Arial"/>
                <w:sz w:val="20"/>
                <w:szCs w:val="20"/>
              </w:rPr>
            </w:pPr>
            <w:r w:rsidRPr="00E766DF">
              <w:rPr>
                <w:rFonts w:ascii="Arial Narrow" w:hAnsi="Arial Narrow" w:cs="Arial"/>
                <w:sz w:val="20"/>
                <w:szCs w:val="20"/>
              </w:rPr>
              <w:t>Section 100 – Highly Specialised Drugs Program (Private)</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Prescriber type:</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fldChar w:fldCharType="begin">
                <w:ffData>
                  <w:name w:val="Check1"/>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Dental  </w:t>
            </w: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Medical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Nurse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Optometrists </w:t>
            </w:r>
            <w:r w:rsidRPr="00E766DF">
              <w:rPr>
                <w:rFonts w:ascii="Arial Narrow" w:hAnsi="Arial Narrow" w:cs="Arial"/>
                <w:sz w:val="20"/>
                <w:szCs w:val="20"/>
              </w:rPr>
              <w:fldChar w:fldCharType="begin">
                <w:ffData>
                  <w:name w:val="Check5"/>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Midwives</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Condition:</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Chronic iron overload</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PBS indication:</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Chronic iron overload</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Treatment phase:</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Initial treatment</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Restriction level / Method:</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Authority Required – Telephone</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b/>
                <w:sz w:val="20"/>
                <w:szCs w:val="20"/>
              </w:rPr>
            </w:pPr>
            <w:r w:rsidRPr="00E766DF">
              <w:rPr>
                <w:rFonts w:ascii="Arial Narrow" w:hAnsi="Arial Narrow" w:cs="Arial"/>
                <w:b/>
                <w:sz w:val="20"/>
                <w:szCs w:val="20"/>
              </w:rPr>
              <w:t>Clinical criteria:</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Patient must not be transfusion dependent,</w:t>
            </w:r>
          </w:p>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AND</w:t>
            </w:r>
          </w:p>
          <w:p w:rsidR="006F4255" w:rsidRPr="00E766DF" w:rsidRDefault="006F4255" w:rsidP="00C4711A">
            <w:pPr>
              <w:keepNext/>
              <w:rPr>
                <w:rFonts w:ascii="Arial Narrow" w:hAnsi="Arial Narrow" w:cs="Arial"/>
                <w:sz w:val="20"/>
                <w:szCs w:val="20"/>
              </w:rPr>
            </w:pPr>
            <w:r w:rsidRPr="00E766DF">
              <w:rPr>
                <w:rFonts w:ascii="Arial Narrow" w:hAnsi="Arial Narrow" w:cs="Arial"/>
                <w:sz w:val="20"/>
                <w:szCs w:val="20"/>
              </w:rPr>
              <w:t>The condition must be thalassaemia.</w:t>
            </w:r>
          </w:p>
        </w:tc>
      </w:tr>
      <w:tr w:rsidR="00B5213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B52135" w:rsidRPr="00E766DF" w:rsidRDefault="00B52135" w:rsidP="00C4711A">
            <w:pPr>
              <w:keepNext/>
              <w:rPr>
                <w:rFonts w:ascii="Arial Narrow" w:hAnsi="Arial Narrow" w:cs="Arial"/>
                <w:b/>
                <w:sz w:val="20"/>
                <w:szCs w:val="20"/>
              </w:rPr>
            </w:pPr>
            <w:r w:rsidRPr="00E766DF">
              <w:rPr>
                <w:rFonts w:ascii="Arial Narrow" w:hAnsi="Arial Narrow" w:cs="Arial"/>
                <w:b/>
                <w:sz w:val="20"/>
                <w:szCs w:val="20"/>
              </w:rPr>
              <w:t>Administrative advice:</w:t>
            </w:r>
          </w:p>
        </w:tc>
        <w:tc>
          <w:tcPr>
            <w:tcW w:w="3694" w:type="pct"/>
            <w:gridSpan w:val="7"/>
            <w:tcBorders>
              <w:top w:val="single" w:sz="4" w:space="0" w:color="auto"/>
              <w:left w:val="single" w:sz="4" w:space="0" w:color="auto"/>
              <w:bottom w:val="single" w:sz="4" w:space="0" w:color="auto"/>
              <w:right w:val="single" w:sz="4" w:space="0" w:color="auto"/>
            </w:tcBorders>
          </w:tcPr>
          <w:p w:rsidR="00B52135" w:rsidRPr="00E766DF" w:rsidRDefault="00B52135" w:rsidP="00C4711A">
            <w:pPr>
              <w:keepNext/>
              <w:rPr>
                <w:rFonts w:ascii="Arial Narrow" w:hAnsi="Arial Narrow" w:cs="Arial"/>
                <w:sz w:val="20"/>
                <w:szCs w:val="20"/>
                <w:u w:val="single"/>
              </w:rPr>
            </w:pPr>
            <w:r w:rsidRPr="00E766DF">
              <w:rPr>
                <w:rFonts w:ascii="Arial Narrow" w:hAnsi="Arial Narrow" w:cs="Arial"/>
                <w:sz w:val="20"/>
                <w:szCs w:val="20"/>
                <w:u w:val="single"/>
              </w:rPr>
              <w:t>Note</w:t>
            </w:r>
          </w:p>
          <w:p w:rsidR="00B52135" w:rsidRPr="00E766DF" w:rsidRDefault="00B52135" w:rsidP="00C4711A">
            <w:pPr>
              <w:keepNext/>
              <w:rPr>
                <w:rFonts w:ascii="Arial Narrow" w:hAnsi="Arial Narrow" w:cs="Arial"/>
                <w:sz w:val="20"/>
                <w:szCs w:val="20"/>
              </w:rPr>
            </w:pPr>
            <w:r w:rsidRPr="00E766DF">
              <w:rPr>
                <w:rFonts w:ascii="Arial Narrow" w:hAnsi="Arial Narrow" w:cs="Arial"/>
                <w:sz w:val="20"/>
                <w:szCs w:val="20"/>
              </w:rPr>
              <w:t>Special Pricing Arrangements apply.</w:t>
            </w:r>
          </w:p>
        </w:tc>
      </w:tr>
    </w:tbl>
    <w:p w:rsidR="006F4255" w:rsidRPr="00E766DF" w:rsidRDefault="006F4255" w:rsidP="006B4C03">
      <w:pPr>
        <w:pStyle w:val="NoSpacing"/>
      </w:pPr>
    </w:p>
    <w:p w:rsidR="006B4C03" w:rsidRPr="0053060D" w:rsidRDefault="00B52135" w:rsidP="006B4C03">
      <w:pPr>
        <w:pStyle w:val="NoSpacing"/>
        <w:rPr>
          <w:rFonts w:asciiTheme="minorHAnsi" w:hAnsiTheme="minorHAnsi" w:cstheme="minorHAnsi"/>
          <w:sz w:val="24"/>
          <w:szCs w:val="24"/>
          <w:u w:val="single"/>
        </w:rPr>
      </w:pPr>
      <w:r w:rsidRPr="0053060D">
        <w:rPr>
          <w:rFonts w:asciiTheme="minorHAnsi" w:hAnsiTheme="minorHAnsi" w:cstheme="minorHAnsi"/>
          <w:sz w:val="24"/>
          <w:szCs w:val="24"/>
          <w:u w:val="single"/>
        </w:rPr>
        <w:t>Chronic iron overload in patients with non-transfusion dependent thalassaemia: Public and Private (</w:t>
      </w:r>
      <w:r w:rsidR="00840D55">
        <w:rPr>
          <w:rFonts w:asciiTheme="minorHAnsi" w:hAnsiTheme="minorHAnsi" w:cstheme="minorHAnsi"/>
          <w:sz w:val="24"/>
          <w:szCs w:val="24"/>
          <w:u w:val="single"/>
        </w:rPr>
        <w:t>C</w:t>
      </w:r>
      <w:r w:rsidRPr="0053060D">
        <w:rPr>
          <w:rFonts w:asciiTheme="minorHAnsi" w:hAnsiTheme="minorHAnsi" w:cstheme="minorHAnsi"/>
          <w:sz w:val="24"/>
          <w:szCs w:val="24"/>
          <w:u w:val="single"/>
        </w:rPr>
        <w:t>ontinuing)</w:t>
      </w:r>
      <w:r w:rsidR="00840D55">
        <w:rPr>
          <w:rFonts w:asciiTheme="minorHAnsi" w:hAnsiTheme="minorHAnsi" w:cstheme="minorHAnsi"/>
          <w:sz w:val="24"/>
          <w:szCs w:val="24"/>
          <w:u w:val="single"/>
        </w:rPr>
        <w:t>:</w:t>
      </w:r>
    </w:p>
    <w:tbl>
      <w:tblPr>
        <w:tblW w:w="4920" w:type="pct"/>
        <w:tblLayout w:type="fixed"/>
        <w:tblLook w:val="0000" w:firstRow="0" w:lastRow="0" w:firstColumn="0" w:lastColumn="0" w:noHBand="0" w:noVBand="0"/>
      </w:tblPr>
      <w:tblGrid>
        <w:gridCol w:w="2376"/>
        <w:gridCol w:w="1424"/>
        <w:gridCol w:w="989"/>
        <w:gridCol w:w="997"/>
        <w:gridCol w:w="849"/>
        <w:gridCol w:w="1133"/>
        <w:gridCol w:w="1088"/>
        <w:gridCol w:w="238"/>
      </w:tblGrid>
      <w:tr w:rsidR="006F4255" w:rsidRPr="00E766DF" w:rsidTr="00C4711A">
        <w:trPr>
          <w:cantSplit/>
          <w:trHeight w:val="465"/>
        </w:trPr>
        <w:tc>
          <w:tcPr>
            <w:tcW w:w="2089" w:type="pct"/>
            <w:gridSpan w:val="2"/>
            <w:tcBorders>
              <w:bottom w:val="single" w:sz="4" w:space="0" w:color="auto"/>
            </w:tcBorders>
          </w:tcPr>
          <w:p w:rsidR="006F4255" w:rsidRPr="00E766DF" w:rsidRDefault="006F4255" w:rsidP="00C4711A">
            <w:pPr>
              <w:keepNext/>
              <w:spacing w:before="40" w:after="40"/>
              <w:jc w:val="both"/>
              <w:rPr>
                <w:rFonts w:ascii="Arial Narrow" w:hAnsi="Arial Narrow" w:cs="Arial"/>
                <w:b/>
                <w:sz w:val="20"/>
                <w:szCs w:val="20"/>
              </w:rPr>
            </w:pPr>
            <w:r w:rsidRPr="00E766DF">
              <w:rPr>
                <w:rFonts w:ascii="Arial Narrow" w:hAnsi="Arial Narrow" w:cs="Arial"/>
                <w:b/>
                <w:sz w:val="20"/>
                <w:szCs w:val="20"/>
              </w:rPr>
              <w:t>Name, Restriction,</w:t>
            </w:r>
          </w:p>
          <w:p w:rsidR="006F4255" w:rsidRPr="00E766DF" w:rsidRDefault="006F4255" w:rsidP="00C4711A">
            <w:pPr>
              <w:keepNext/>
              <w:spacing w:before="40" w:after="40"/>
              <w:rPr>
                <w:rFonts w:ascii="Arial Narrow" w:hAnsi="Arial Narrow" w:cs="Arial"/>
                <w:b/>
                <w:sz w:val="20"/>
                <w:szCs w:val="20"/>
              </w:rPr>
            </w:pPr>
            <w:r w:rsidRPr="00E766DF">
              <w:rPr>
                <w:rFonts w:ascii="Arial Narrow" w:hAnsi="Arial Narrow" w:cs="Arial"/>
                <w:b/>
                <w:sz w:val="20"/>
                <w:szCs w:val="20"/>
              </w:rPr>
              <w:t>Manner of administration and form</w:t>
            </w:r>
          </w:p>
        </w:tc>
        <w:tc>
          <w:tcPr>
            <w:tcW w:w="544" w:type="pct"/>
            <w:tcBorders>
              <w:bottom w:val="single" w:sz="4" w:space="0" w:color="auto"/>
            </w:tcBorders>
          </w:tcPr>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packs</w:t>
            </w:r>
          </w:p>
        </w:tc>
        <w:tc>
          <w:tcPr>
            <w:tcW w:w="548" w:type="pct"/>
            <w:tcBorders>
              <w:bottom w:val="single" w:sz="4" w:space="0" w:color="auto"/>
            </w:tcBorders>
          </w:tcPr>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 xml:space="preserve">Max. </w:t>
            </w:r>
            <w:proofErr w:type="spellStart"/>
            <w:r w:rsidRPr="00E766DF">
              <w:rPr>
                <w:rFonts w:ascii="Arial Narrow" w:hAnsi="Arial Narrow" w:cs="Arial"/>
                <w:b/>
                <w:sz w:val="20"/>
                <w:szCs w:val="20"/>
              </w:rPr>
              <w:t>qty</w:t>
            </w:r>
            <w:proofErr w:type="spellEnd"/>
            <w:r w:rsidRPr="00E766DF">
              <w:rPr>
                <w:rFonts w:ascii="Arial Narrow" w:hAnsi="Arial Narrow" w:cs="Arial"/>
                <w:b/>
                <w:sz w:val="20"/>
                <w:szCs w:val="20"/>
              </w:rPr>
              <w:t xml:space="preserve"> units</w:t>
            </w:r>
          </w:p>
        </w:tc>
        <w:tc>
          <w:tcPr>
            <w:tcW w:w="467" w:type="pct"/>
            <w:tcBorders>
              <w:bottom w:val="single" w:sz="4" w:space="0" w:color="auto"/>
            </w:tcBorders>
          </w:tcPr>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No. of</w:t>
            </w:r>
          </w:p>
          <w:p w:rsidR="006F4255" w:rsidRPr="00E766DF" w:rsidRDefault="006F4255" w:rsidP="00C4711A">
            <w:pPr>
              <w:keepNext/>
              <w:spacing w:before="40" w:after="40"/>
              <w:jc w:val="center"/>
              <w:rPr>
                <w:rFonts w:ascii="Arial Narrow" w:hAnsi="Arial Narrow" w:cs="Arial"/>
                <w:b/>
                <w:sz w:val="20"/>
                <w:szCs w:val="20"/>
              </w:rPr>
            </w:pPr>
            <w:r w:rsidRPr="00E766DF">
              <w:rPr>
                <w:rFonts w:ascii="Arial Narrow" w:hAnsi="Arial Narrow" w:cs="Arial"/>
                <w:b/>
                <w:sz w:val="20"/>
                <w:szCs w:val="20"/>
              </w:rPr>
              <w:t>repeats</w:t>
            </w:r>
          </w:p>
        </w:tc>
        <w:tc>
          <w:tcPr>
            <w:tcW w:w="1352" w:type="pct"/>
            <w:gridSpan w:val="3"/>
            <w:tcBorders>
              <w:bottom w:val="single" w:sz="4" w:space="0" w:color="auto"/>
            </w:tcBorders>
          </w:tcPr>
          <w:p w:rsidR="006F4255" w:rsidRPr="00E766DF" w:rsidRDefault="006F4255" w:rsidP="00C4711A">
            <w:pPr>
              <w:keepNext/>
              <w:spacing w:before="40" w:after="40"/>
              <w:rPr>
                <w:rFonts w:ascii="Arial Narrow" w:hAnsi="Arial Narrow" w:cs="Arial"/>
                <w:b/>
                <w:sz w:val="20"/>
                <w:szCs w:val="20"/>
              </w:rPr>
            </w:pPr>
            <w:r w:rsidRPr="00E766DF">
              <w:rPr>
                <w:rFonts w:ascii="Arial Narrow" w:hAnsi="Arial Narrow" w:cs="Arial"/>
                <w:b/>
                <w:sz w:val="20"/>
                <w:szCs w:val="20"/>
              </w:rPr>
              <w:t>Proprietary Name and Manufacturer</w:t>
            </w:r>
          </w:p>
        </w:tc>
      </w:tr>
      <w:tr w:rsidR="006F4255" w:rsidRPr="00E766DF" w:rsidTr="00C4711A">
        <w:trPr>
          <w:cantSplit/>
          <w:trHeight w:val="567"/>
        </w:trPr>
        <w:tc>
          <w:tcPr>
            <w:tcW w:w="2089" w:type="pct"/>
            <w:gridSpan w:val="2"/>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D</w:t>
            </w:r>
            <w:r w:rsidRPr="00E766DF">
              <w:rPr>
                <w:rFonts w:ascii="Arial Narrow" w:hAnsi="Arial Narrow" w:cs="Arial"/>
                <w:smallCaps/>
                <w:sz w:val="20"/>
                <w:szCs w:val="20"/>
              </w:rPr>
              <w:t>EFERASIROX</w:t>
            </w: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90 mg, 30</w:t>
            </w: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180 mg, 30</w:t>
            </w: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film coated tablet 360 mg, 30</w:t>
            </w:r>
          </w:p>
        </w:tc>
        <w:tc>
          <w:tcPr>
            <w:tcW w:w="544" w:type="pct"/>
            <w:tcBorders>
              <w:top w:val="single" w:sz="4" w:space="0" w:color="auto"/>
              <w:bottom w:val="single" w:sz="4" w:space="0" w:color="auto"/>
            </w:tcBorders>
          </w:tcPr>
          <w:p w:rsidR="006F4255" w:rsidRPr="00E766DF" w:rsidRDefault="006F4255" w:rsidP="00C4711A">
            <w:pPr>
              <w:keepNext/>
              <w:spacing w:before="40" w:after="40"/>
              <w:jc w:val="center"/>
              <w:rPr>
                <w:rFonts w:ascii="Arial Narrow" w:hAnsi="Arial Narrow" w:cs="Arial"/>
                <w:sz w:val="20"/>
                <w:szCs w:val="20"/>
              </w:rPr>
            </w:pP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6</w:t>
            </w:r>
          </w:p>
        </w:tc>
        <w:tc>
          <w:tcPr>
            <w:tcW w:w="548" w:type="pct"/>
            <w:tcBorders>
              <w:top w:val="single" w:sz="4" w:space="0" w:color="auto"/>
              <w:bottom w:val="single" w:sz="4" w:space="0" w:color="auto"/>
            </w:tcBorders>
          </w:tcPr>
          <w:p w:rsidR="006F4255" w:rsidRPr="00E766DF" w:rsidRDefault="006F4255" w:rsidP="00C4711A">
            <w:pPr>
              <w:keepNext/>
              <w:spacing w:before="40" w:after="40"/>
              <w:jc w:val="center"/>
              <w:rPr>
                <w:rFonts w:ascii="Arial Narrow" w:hAnsi="Arial Narrow" w:cs="Arial"/>
                <w:sz w:val="20"/>
                <w:szCs w:val="20"/>
              </w:rPr>
            </w:pP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180</w:t>
            </w:r>
          </w:p>
        </w:tc>
        <w:tc>
          <w:tcPr>
            <w:tcW w:w="467" w:type="pct"/>
            <w:tcBorders>
              <w:top w:val="single" w:sz="4" w:space="0" w:color="auto"/>
              <w:bottom w:val="single" w:sz="4" w:space="0" w:color="auto"/>
            </w:tcBorders>
          </w:tcPr>
          <w:p w:rsidR="006F4255" w:rsidRPr="00E766DF" w:rsidRDefault="006F4255" w:rsidP="00C4711A">
            <w:pPr>
              <w:keepNext/>
              <w:spacing w:before="40" w:after="40"/>
              <w:jc w:val="center"/>
              <w:rPr>
                <w:rFonts w:ascii="Arial Narrow" w:hAnsi="Arial Narrow" w:cs="Arial"/>
                <w:sz w:val="20"/>
                <w:szCs w:val="20"/>
              </w:rPr>
            </w:pP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2</w:t>
            </w:r>
          </w:p>
          <w:p w:rsidR="006F4255" w:rsidRPr="00E766DF" w:rsidRDefault="006F4255" w:rsidP="00C4711A">
            <w:pPr>
              <w:keepNext/>
              <w:spacing w:before="40" w:after="40"/>
              <w:jc w:val="center"/>
              <w:rPr>
                <w:rFonts w:ascii="Arial Narrow" w:hAnsi="Arial Narrow" w:cs="Arial"/>
                <w:sz w:val="20"/>
                <w:szCs w:val="20"/>
              </w:rPr>
            </w:pPr>
            <w:r w:rsidRPr="00E766DF">
              <w:rPr>
                <w:rFonts w:ascii="Arial Narrow" w:hAnsi="Arial Narrow" w:cs="Arial"/>
                <w:sz w:val="20"/>
                <w:szCs w:val="20"/>
              </w:rPr>
              <w:t>2</w:t>
            </w:r>
          </w:p>
        </w:tc>
        <w:tc>
          <w:tcPr>
            <w:tcW w:w="623" w:type="pct"/>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p>
          <w:p w:rsidR="006F4255" w:rsidRPr="00E766DF" w:rsidRDefault="006F4255" w:rsidP="00C4711A">
            <w:pPr>
              <w:keepNext/>
              <w:spacing w:before="40" w:after="40"/>
              <w:jc w:val="both"/>
              <w:rPr>
                <w:rFonts w:ascii="Arial Narrow" w:hAnsi="Arial Narrow" w:cs="Arial"/>
                <w:sz w:val="20"/>
                <w:szCs w:val="20"/>
              </w:rPr>
            </w:pPr>
            <w:proofErr w:type="spellStart"/>
            <w:r w:rsidRPr="00E766DF">
              <w:rPr>
                <w:rFonts w:ascii="Arial Narrow" w:hAnsi="Arial Narrow" w:cs="Arial"/>
                <w:sz w:val="20"/>
                <w:szCs w:val="20"/>
              </w:rPr>
              <w:t>Jadenu</w:t>
            </w:r>
            <w:proofErr w:type="spellEnd"/>
            <w:r w:rsidRPr="00E766DF">
              <w:rPr>
                <w:rFonts w:ascii="Arial Narrow" w:hAnsi="Arial Narrow" w:cs="Arial"/>
                <w:sz w:val="20"/>
                <w:szCs w:val="20"/>
              </w:rPr>
              <w:t>®</w:t>
            </w:r>
          </w:p>
        </w:tc>
        <w:tc>
          <w:tcPr>
            <w:tcW w:w="598" w:type="pct"/>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p>
          <w:p w:rsidR="006F4255" w:rsidRPr="00E766DF" w:rsidRDefault="006F4255" w:rsidP="00C4711A">
            <w:pPr>
              <w:keepNext/>
              <w:spacing w:before="40" w:after="40"/>
              <w:jc w:val="both"/>
              <w:rPr>
                <w:rFonts w:ascii="Arial Narrow" w:hAnsi="Arial Narrow" w:cs="Arial"/>
                <w:sz w:val="20"/>
                <w:szCs w:val="20"/>
              </w:rPr>
            </w:pPr>
            <w:r w:rsidRPr="00E766DF">
              <w:rPr>
                <w:rFonts w:ascii="Arial Narrow" w:hAnsi="Arial Narrow" w:cs="Arial"/>
                <w:sz w:val="20"/>
                <w:szCs w:val="20"/>
              </w:rPr>
              <w:t>Novartis</w:t>
            </w:r>
          </w:p>
        </w:tc>
        <w:tc>
          <w:tcPr>
            <w:tcW w:w="131" w:type="pct"/>
            <w:tcBorders>
              <w:top w:val="single" w:sz="4" w:space="0" w:color="auto"/>
              <w:bottom w:val="single" w:sz="4" w:space="0" w:color="auto"/>
            </w:tcBorders>
          </w:tcPr>
          <w:p w:rsidR="006F4255" w:rsidRPr="00E766DF" w:rsidRDefault="006F4255" w:rsidP="00C4711A">
            <w:pPr>
              <w:keepNext/>
              <w:spacing w:before="40" w:after="40"/>
              <w:jc w:val="both"/>
              <w:rPr>
                <w:rFonts w:ascii="Arial Narrow" w:hAnsi="Arial Narrow" w:cs="Arial"/>
                <w:sz w:val="20"/>
                <w:szCs w:val="20"/>
              </w:rPr>
            </w:pP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b/>
                <w:sz w:val="20"/>
                <w:szCs w:val="20"/>
              </w:rPr>
            </w:pPr>
            <w:r w:rsidRPr="00E766DF">
              <w:rPr>
                <w:rFonts w:ascii="Arial Narrow" w:hAnsi="Arial Narrow" w:cs="Arial"/>
                <w:b/>
                <w:sz w:val="20"/>
                <w:szCs w:val="20"/>
              </w:rPr>
              <w:t>Category / Program:</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Section 100 – Highly Specialised Drugs Program</w:t>
            </w:r>
            <w:r w:rsidR="00B52135" w:rsidRPr="00E766DF">
              <w:rPr>
                <w:rFonts w:ascii="Arial Narrow" w:hAnsi="Arial Narrow" w:cs="Arial"/>
                <w:sz w:val="20"/>
                <w:szCs w:val="20"/>
              </w:rPr>
              <w:t xml:space="preserve"> (Public)</w:t>
            </w:r>
          </w:p>
          <w:p w:rsidR="00B52135" w:rsidRPr="00E766DF" w:rsidRDefault="00B52135" w:rsidP="00C4711A">
            <w:pPr>
              <w:rPr>
                <w:rFonts w:ascii="Arial Narrow" w:hAnsi="Arial Narrow" w:cs="Arial"/>
                <w:sz w:val="20"/>
                <w:szCs w:val="20"/>
              </w:rPr>
            </w:pPr>
            <w:r w:rsidRPr="00E766DF">
              <w:rPr>
                <w:rFonts w:ascii="Arial Narrow" w:hAnsi="Arial Narrow" w:cs="Arial"/>
                <w:sz w:val="20"/>
                <w:szCs w:val="20"/>
              </w:rPr>
              <w:t>Section 100 – Highly Specialised Drugs Program (Private)</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b/>
                <w:sz w:val="20"/>
                <w:szCs w:val="20"/>
              </w:rPr>
            </w:pPr>
            <w:r w:rsidRPr="00E766DF">
              <w:rPr>
                <w:rFonts w:ascii="Arial Narrow" w:hAnsi="Arial Narrow" w:cs="Arial"/>
                <w:b/>
                <w:sz w:val="20"/>
                <w:szCs w:val="20"/>
              </w:rPr>
              <w:t>Prescriber type:</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fldChar w:fldCharType="begin">
                <w:ffData>
                  <w:name w:val="Check1"/>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Dental  </w:t>
            </w:r>
            <w:r w:rsidRPr="00E766DF">
              <w:rPr>
                <w:rFonts w:ascii="Arial Narrow" w:hAnsi="Arial Narrow" w:cs="Arial"/>
                <w:sz w:val="20"/>
                <w:szCs w:val="20"/>
              </w:rPr>
              <w:fldChar w:fldCharType="begin">
                <w:ffData>
                  <w:name w:val=""/>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Medical Practitioners  </w:t>
            </w:r>
            <w:r w:rsidRPr="00E766DF">
              <w:rPr>
                <w:rFonts w:ascii="Arial Narrow" w:hAnsi="Arial Narrow" w:cs="Arial"/>
                <w:sz w:val="20"/>
                <w:szCs w:val="20"/>
              </w:rPr>
              <w:fldChar w:fldCharType="begin">
                <w:ffData>
                  <w:name w:val="Check3"/>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Nurse practitioners  </w:t>
            </w:r>
            <w:r w:rsidRPr="00E766DF">
              <w:rPr>
                <w:rFonts w:ascii="Arial Narrow" w:hAnsi="Arial Narrow" w:cs="Arial"/>
                <w:sz w:val="20"/>
                <w:szCs w:val="20"/>
              </w:rPr>
              <w:fldChar w:fldCharType="begin">
                <w:ffData>
                  <w:name w:val=""/>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 xml:space="preserve">Optometrists </w:t>
            </w:r>
            <w:r w:rsidRPr="00E766DF">
              <w:rPr>
                <w:rFonts w:ascii="Arial Narrow" w:hAnsi="Arial Narrow" w:cs="Arial"/>
                <w:sz w:val="20"/>
                <w:szCs w:val="20"/>
              </w:rPr>
              <w:fldChar w:fldCharType="begin">
                <w:ffData>
                  <w:name w:val="Check5"/>
                  <w:enabled/>
                  <w:calcOnExit w:val="0"/>
                  <w:checkBox>
                    <w:sizeAuto/>
                    <w:default w:val="0"/>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Midwives</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b/>
                <w:sz w:val="20"/>
                <w:szCs w:val="20"/>
              </w:rPr>
            </w:pPr>
            <w:r w:rsidRPr="00E766DF">
              <w:rPr>
                <w:rFonts w:ascii="Arial Narrow" w:hAnsi="Arial Narrow" w:cs="Arial"/>
                <w:b/>
                <w:sz w:val="20"/>
                <w:szCs w:val="20"/>
              </w:rPr>
              <w:t>Condition:</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Chronic iron overload</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b/>
                <w:sz w:val="20"/>
                <w:szCs w:val="20"/>
              </w:rPr>
            </w:pPr>
            <w:r w:rsidRPr="00E766DF">
              <w:rPr>
                <w:rFonts w:ascii="Arial Narrow" w:hAnsi="Arial Narrow" w:cs="Arial"/>
                <w:b/>
                <w:sz w:val="20"/>
                <w:szCs w:val="20"/>
              </w:rPr>
              <w:t>PBS indication:</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Chronic iron overload</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b/>
                <w:sz w:val="20"/>
                <w:szCs w:val="20"/>
              </w:rPr>
            </w:pPr>
            <w:r w:rsidRPr="00E766DF">
              <w:rPr>
                <w:rFonts w:ascii="Arial Narrow" w:hAnsi="Arial Narrow" w:cs="Arial"/>
                <w:b/>
                <w:sz w:val="20"/>
                <w:szCs w:val="20"/>
              </w:rPr>
              <w:t>Treatment phase:</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Continuing treatment</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b/>
                <w:sz w:val="20"/>
                <w:szCs w:val="20"/>
              </w:rPr>
              <w:t>Restriction level / Method:</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fldChar w:fldCharType="begin">
                <w:ffData>
                  <w:name w:val="Check5"/>
                  <w:enabled/>
                  <w:calcOnExit w:val="0"/>
                  <w:checkBox>
                    <w:sizeAuto/>
                    <w:default w:val="1"/>
                  </w:checkBox>
                </w:ffData>
              </w:fldChar>
            </w:r>
            <w:r w:rsidRPr="00E766DF">
              <w:rPr>
                <w:rFonts w:ascii="Arial Narrow" w:hAnsi="Arial Narrow" w:cs="Arial"/>
                <w:sz w:val="20"/>
                <w:szCs w:val="20"/>
              </w:rPr>
              <w:instrText xml:space="preserve"> FORMCHECKBOX </w:instrText>
            </w:r>
            <w:r w:rsidR="005B42DF">
              <w:rPr>
                <w:rFonts w:ascii="Arial Narrow" w:hAnsi="Arial Narrow" w:cs="Arial"/>
                <w:sz w:val="20"/>
                <w:szCs w:val="20"/>
              </w:rPr>
            </w:r>
            <w:r w:rsidR="005B42DF">
              <w:rPr>
                <w:rFonts w:ascii="Arial Narrow" w:hAnsi="Arial Narrow" w:cs="Arial"/>
                <w:sz w:val="20"/>
                <w:szCs w:val="20"/>
              </w:rPr>
              <w:fldChar w:fldCharType="separate"/>
            </w:r>
            <w:r w:rsidRPr="00E766DF">
              <w:rPr>
                <w:rFonts w:ascii="Arial Narrow" w:hAnsi="Arial Narrow" w:cs="Arial"/>
                <w:sz w:val="20"/>
                <w:szCs w:val="20"/>
              </w:rPr>
              <w:fldChar w:fldCharType="end"/>
            </w:r>
            <w:r w:rsidRPr="00E766DF">
              <w:rPr>
                <w:rFonts w:ascii="Arial Narrow" w:hAnsi="Arial Narrow" w:cs="Arial"/>
                <w:sz w:val="20"/>
                <w:szCs w:val="20"/>
              </w:rPr>
              <w:t>Streamlined (Public</w:t>
            </w:r>
            <w:r w:rsidR="00577452">
              <w:rPr>
                <w:rFonts w:ascii="Arial Narrow" w:hAnsi="Arial Narrow" w:cs="Arial"/>
                <w:sz w:val="20"/>
                <w:szCs w:val="20"/>
              </w:rPr>
              <w:t xml:space="preserve"> and Private </w:t>
            </w:r>
            <w:r w:rsidRPr="00E766DF">
              <w:rPr>
                <w:rFonts w:ascii="Arial Narrow" w:hAnsi="Arial Narrow" w:cs="Arial"/>
                <w:sz w:val="20"/>
                <w:szCs w:val="20"/>
              </w:rPr>
              <w:t xml:space="preserve"> hospital)</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b/>
                <w:sz w:val="20"/>
                <w:szCs w:val="20"/>
              </w:rPr>
            </w:pPr>
            <w:r w:rsidRPr="00E766DF">
              <w:rPr>
                <w:rFonts w:ascii="Arial Narrow" w:hAnsi="Arial Narrow" w:cs="Arial"/>
                <w:b/>
                <w:sz w:val="20"/>
                <w:szCs w:val="20"/>
              </w:rPr>
              <w:t>Clinical criteria:</w:t>
            </w:r>
          </w:p>
        </w:tc>
        <w:tc>
          <w:tcPr>
            <w:tcW w:w="3694" w:type="pct"/>
            <w:gridSpan w:val="7"/>
            <w:tcBorders>
              <w:top w:val="single" w:sz="4" w:space="0" w:color="auto"/>
              <w:left w:val="single" w:sz="4" w:space="0" w:color="auto"/>
              <w:bottom w:val="single" w:sz="4" w:space="0" w:color="auto"/>
              <w:right w:val="single" w:sz="4" w:space="0" w:color="auto"/>
            </w:tcBorders>
          </w:tcPr>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 xml:space="preserve">Patient must not be transfusion dependent, </w:t>
            </w:r>
          </w:p>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AND</w:t>
            </w:r>
          </w:p>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The condition must be thalassaemia,</w:t>
            </w:r>
          </w:p>
          <w:p w:rsidR="006F4255" w:rsidRPr="00E766DF" w:rsidRDefault="006F4255" w:rsidP="00C4711A">
            <w:pPr>
              <w:rPr>
                <w:rFonts w:ascii="Arial Narrow" w:hAnsi="Arial Narrow" w:cs="Arial"/>
                <w:sz w:val="20"/>
                <w:szCs w:val="20"/>
              </w:rPr>
            </w:pPr>
            <w:r w:rsidRPr="00E766DF">
              <w:rPr>
                <w:rFonts w:ascii="Arial Narrow" w:hAnsi="Arial Narrow" w:cs="Arial"/>
                <w:sz w:val="20"/>
                <w:szCs w:val="20"/>
              </w:rPr>
              <w:t>AND</w:t>
            </w:r>
          </w:p>
          <w:p w:rsidR="006F4255" w:rsidRPr="0053060D" w:rsidRDefault="00840D55" w:rsidP="0053060D">
            <w:pPr>
              <w:rPr>
                <w:rFonts w:ascii="Arial Narrow" w:hAnsi="Arial Narrow" w:cs="Arial"/>
                <w:i/>
                <w:sz w:val="20"/>
                <w:szCs w:val="20"/>
              </w:rPr>
            </w:pPr>
            <w:r w:rsidRPr="0053060D">
              <w:rPr>
                <w:rFonts w:ascii="Arial Narrow" w:hAnsi="Arial Narrow" w:cs="Arial"/>
                <w:i/>
                <w:sz w:val="20"/>
                <w:szCs w:val="20"/>
              </w:rPr>
              <w:t>Patient must have previously received PBS-subsidised treatment with deferasirox for this condition.</w:t>
            </w:r>
            <w:r w:rsidR="006F4255" w:rsidRPr="0053060D">
              <w:rPr>
                <w:rFonts w:ascii="Arial Narrow" w:hAnsi="Arial Narrow" w:cs="Arial"/>
                <w:i/>
                <w:sz w:val="20"/>
                <w:szCs w:val="20"/>
              </w:rPr>
              <w:t xml:space="preserve"> </w:t>
            </w:r>
          </w:p>
        </w:tc>
      </w:tr>
      <w:tr w:rsidR="006F4255" w:rsidRPr="00E766DF" w:rsidTr="00C4711A">
        <w:trPr>
          <w:cantSplit/>
          <w:trHeight w:val="360"/>
        </w:trPr>
        <w:tc>
          <w:tcPr>
            <w:tcW w:w="1306" w:type="pct"/>
            <w:tcBorders>
              <w:top w:val="single" w:sz="4" w:space="0" w:color="auto"/>
              <w:left w:val="single" w:sz="4" w:space="0" w:color="auto"/>
              <w:bottom w:val="single" w:sz="4" w:space="0" w:color="auto"/>
              <w:right w:val="single" w:sz="4" w:space="0" w:color="auto"/>
            </w:tcBorders>
          </w:tcPr>
          <w:p w:rsidR="006F4255" w:rsidRPr="00E766DF" w:rsidRDefault="001731D2" w:rsidP="00C4711A">
            <w:pPr>
              <w:rPr>
                <w:rFonts w:ascii="Arial Narrow" w:hAnsi="Arial Narrow" w:cs="Arial"/>
                <w:b/>
                <w:sz w:val="20"/>
                <w:szCs w:val="20"/>
              </w:rPr>
            </w:pPr>
            <w:r w:rsidRPr="00E766DF">
              <w:rPr>
                <w:rFonts w:ascii="Arial Narrow" w:hAnsi="Arial Narrow" w:cs="Arial"/>
                <w:b/>
                <w:sz w:val="20"/>
                <w:szCs w:val="20"/>
              </w:rPr>
              <w:t>Administrative Advice:</w:t>
            </w:r>
          </w:p>
          <w:p w:rsidR="006F4255" w:rsidRPr="00E766DF" w:rsidRDefault="006F4255" w:rsidP="00C4711A">
            <w:pPr>
              <w:rPr>
                <w:rFonts w:ascii="Arial Narrow" w:hAnsi="Arial Narrow" w:cs="Arial"/>
                <w:i/>
                <w:sz w:val="20"/>
                <w:szCs w:val="20"/>
              </w:rPr>
            </w:pPr>
          </w:p>
        </w:tc>
        <w:tc>
          <w:tcPr>
            <w:tcW w:w="3694" w:type="pct"/>
            <w:gridSpan w:val="7"/>
            <w:tcBorders>
              <w:top w:val="single" w:sz="4" w:space="0" w:color="auto"/>
              <w:left w:val="single" w:sz="4" w:space="0" w:color="auto"/>
              <w:bottom w:val="single" w:sz="4" w:space="0" w:color="auto"/>
              <w:right w:val="single" w:sz="4" w:space="0" w:color="auto"/>
            </w:tcBorders>
          </w:tcPr>
          <w:p w:rsidR="001731D2" w:rsidRPr="00E766DF" w:rsidRDefault="001731D2" w:rsidP="001731D2">
            <w:pPr>
              <w:keepNext/>
              <w:rPr>
                <w:rFonts w:ascii="Arial Narrow" w:hAnsi="Arial Narrow" w:cs="Arial"/>
                <w:sz w:val="20"/>
                <w:szCs w:val="20"/>
                <w:u w:val="single"/>
              </w:rPr>
            </w:pPr>
            <w:r w:rsidRPr="00E766DF">
              <w:rPr>
                <w:rFonts w:ascii="Arial Narrow" w:hAnsi="Arial Narrow" w:cs="Arial"/>
                <w:sz w:val="20"/>
                <w:szCs w:val="20"/>
                <w:u w:val="single"/>
              </w:rPr>
              <w:t>Note</w:t>
            </w:r>
          </w:p>
          <w:p w:rsidR="006F4255" w:rsidRPr="00E766DF" w:rsidRDefault="001731D2" w:rsidP="001731D2">
            <w:pPr>
              <w:rPr>
                <w:rFonts w:ascii="Arial Narrow" w:hAnsi="Arial Narrow" w:cs="Arial"/>
                <w:sz w:val="20"/>
                <w:szCs w:val="20"/>
              </w:rPr>
            </w:pPr>
            <w:r w:rsidRPr="00E766DF">
              <w:rPr>
                <w:rFonts w:ascii="Arial Narrow" w:hAnsi="Arial Narrow" w:cs="Arial"/>
                <w:sz w:val="20"/>
                <w:szCs w:val="20"/>
              </w:rPr>
              <w:t>Special Pricing Arrangements apply.</w:t>
            </w:r>
          </w:p>
        </w:tc>
      </w:tr>
    </w:tbl>
    <w:p w:rsidR="00F64CC1" w:rsidRDefault="00F64CC1" w:rsidP="00F64CC1">
      <w:pPr>
        <w:jc w:val="both"/>
        <w:rPr>
          <w:rFonts w:asciiTheme="minorHAnsi" w:hAnsiTheme="minorHAnsi"/>
        </w:rPr>
      </w:pPr>
    </w:p>
    <w:p w:rsidR="00B2154A" w:rsidRPr="00AD55C5" w:rsidRDefault="00B2154A" w:rsidP="00AD55C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D55C5">
        <w:rPr>
          <w:rFonts w:asciiTheme="minorHAnsi" w:hAnsiTheme="minorHAnsi"/>
          <w:sz w:val="32"/>
          <w:szCs w:val="32"/>
        </w:rPr>
        <w:lastRenderedPageBreak/>
        <w:t>Context for Decision</w:t>
      </w:r>
    </w:p>
    <w:p w:rsidR="00B2154A" w:rsidRPr="00AD55C5" w:rsidRDefault="00B2154A" w:rsidP="00AD55C5">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2154A" w:rsidRPr="00AD55C5" w:rsidRDefault="00B2154A" w:rsidP="00AD55C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D55C5">
        <w:rPr>
          <w:rFonts w:asciiTheme="minorHAnsi" w:hAnsiTheme="minorHAnsi"/>
          <w:sz w:val="32"/>
          <w:szCs w:val="32"/>
        </w:rPr>
        <w:t>Sponsor’s Comment</w:t>
      </w:r>
    </w:p>
    <w:p w:rsidR="00B2154A" w:rsidRPr="00E766DF" w:rsidRDefault="004F7E31" w:rsidP="00F64CC1">
      <w:pPr>
        <w:jc w:val="both"/>
        <w:rPr>
          <w:rFonts w:asciiTheme="minorHAnsi" w:hAnsiTheme="minorHAnsi"/>
        </w:rPr>
      </w:pPr>
      <w:r>
        <w:rPr>
          <w:rFonts w:asciiTheme="minorHAnsi" w:eastAsiaTheme="minorHAnsi" w:hAnsiTheme="minorHAnsi" w:cs="Arial"/>
          <w:bCs/>
          <w:szCs w:val="22"/>
          <w:lang w:val="en-GB" w:eastAsia="en-US"/>
        </w:rPr>
        <w:t>Novartis is pleased with the PBAC recommendation. This is an important outcome for patients with chronic iron overload.</w:t>
      </w:r>
    </w:p>
    <w:sectPr w:rsidR="00B2154A" w:rsidRPr="00E766DF"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B8D" w:rsidRDefault="00A65B8D">
      <w:r>
        <w:separator/>
      </w:r>
    </w:p>
    <w:p w:rsidR="00A65B8D" w:rsidRDefault="00A65B8D"/>
  </w:endnote>
  <w:endnote w:type="continuationSeparator" w:id="0">
    <w:p w:rsidR="00A65B8D" w:rsidRDefault="00A65B8D">
      <w:r>
        <w:continuationSeparator/>
      </w:r>
    </w:p>
    <w:p w:rsidR="00A65B8D" w:rsidRDefault="00A65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65B8D" w:rsidTr="005A3173">
      <w:trPr>
        <w:trHeight w:val="151"/>
      </w:trPr>
      <w:tc>
        <w:tcPr>
          <w:tcW w:w="2250" w:type="pct"/>
          <w:tcBorders>
            <w:top w:val="nil"/>
            <w:left w:val="nil"/>
            <w:bottom w:val="single" w:sz="4" w:space="0" w:color="4F81BD"/>
            <w:right w:val="nil"/>
          </w:tcBorders>
        </w:tcPr>
        <w:p w:rsidR="00A65B8D" w:rsidRPr="005A3173" w:rsidRDefault="00A65B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65B8D" w:rsidRPr="005A3173" w:rsidRDefault="00A65B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65B8D" w:rsidRPr="005A3173" w:rsidRDefault="00A65B8D" w:rsidP="005A3173">
          <w:pPr>
            <w:pStyle w:val="Header"/>
            <w:spacing w:line="276" w:lineRule="auto"/>
            <w:rPr>
              <w:rFonts w:ascii="Calibri" w:eastAsia="MS Gothic" w:hAnsi="Calibri"/>
              <w:b/>
              <w:bCs/>
              <w:color w:val="4F81BD"/>
            </w:rPr>
          </w:pPr>
        </w:p>
      </w:tc>
    </w:tr>
    <w:tr w:rsidR="00A65B8D" w:rsidTr="005A3173">
      <w:trPr>
        <w:trHeight w:val="150"/>
      </w:trPr>
      <w:tc>
        <w:tcPr>
          <w:tcW w:w="2250" w:type="pct"/>
          <w:tcBorders>
            <w:top w:val="single" w:sz="4" w:space="0" w:color="4F81BD"/>
            <w:left w:val="nil"/>
            <w:bottom w:val="nil"/>
            <w:right w:val="nil"/>
          </w:tcBorders>
        </w:tcPr>
        <w:p w:rsidR="00A65B8D" w:rsidRPr="005A3173" w:rsidRDefault="00A65B8D" w:rsidP="005A3173">
          <w:pPr>
            <w:pStyle w:val="Header"/>
            <w:spacing w:line="276" w:lineRule="auto"/>
            <w:rPr>
              <w:rFonts w:ascii="Calibri" w:eastAsia="MS Gothic" w:hAnsi="Calibri"/>
              <w:b/>
              <w:bCs/>
              <w:color w:val="4F81BD"/>
            </w:rPr>
          </w:pPr>
        </w:p>
      </w:tc>
      <w:tc>
        <w:tcPr>
          <w:tcW w:w="0" w:type="auto"/>
          <w:vMerge/>
          <w:vAlign w:val="center"/>
          <w:hideMark/>
        </w:tcPr>
        <w:p w:rsidR="00A65B8D" w:rsidRPr="005A3173" w:rsidRDefault="00A65B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A65B8D" w:rsidRPr="005A3173" w:rsidRDefault="00A65B8D" w:rsidP="005A3173">
          <w:pPr>
            <w:pStyle w:val="Header"/>
            <w:spacing w:line="276" w:lineRule="auto"/>
            <w:rPr>
              <w:rFonts w:ascii="Calibri" w:eastAsia="MS Gothic" w:hAnsi="Calibri"/>
              <w:b/>
              <w:bCs/>
              <w:color w:val="4F81BD"/>
            </w:rPr>
          </w:pPr>
        </w:p>
      </w:tc>
    </w:tr>
  </w:tbl>
  <w:p w:rsidR="00A65B8D" w:rsidRDefault="00A65B8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B8D" w:rsidRDefault="00A65B8D">
    <w:pPr>
      <w:pStyle w:val="Footer"/>
    </w:pPr>
  </w:p>
  <w:p w:rsidR="00A65B8D" w:rsidRDefault="00A65B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8D" w:rsidRPr="006B4C03" w:rsidRDefault="00A65B8D" w:rsidP="00EF44A0">
    <w:pPr>
      <w:pStyle w:val="Footer"/>
      <w:jc w:val="center"/>
      <w:rPr>
        <w:rFonts w:asciiTheme="minorHAnsi" w:hAnsiTheme="minorHAnsi" w:cs="Arial"/>
        <w:b/>
        <w:sz w:val="20"/>
        <w:szCs w:val="20"/>
      </w:rPr>
    </w:pPr>
    <w:r w:rsidRPr="006B4C03">
      <w:rPr>
        <w:rFonts w:asciiTheme="minorHAnsi" w:hAnsiTheme="minorHAnsi" w:cs="Arial"/>
        <w:b/>
        <w:sz w:val="20"/>
        <w:szCs w:val="20"/>
      </w:rPr>
      <w:fldChar w:fldCharType="begin"/>
    </w:r>
    <w:r w:rsidRPr="006B4C03">
      <w:rPr>
        <w:rFonts w:asciiTheme="minorHAnsi" w:hAnsiTheme="minorHAnsi" w:cs="Arial"/>
        <w:b/>
        <w:sz w:val="20"/>
        <w:szCs w:val="20"/>
      </w:rPr>
      <w:instrText xml:space="preserve"> PAGE   \* MERGEFORMAT </w:instrText>
    </w:r>
    <w:r w:rsidRPr="006B4C03">
      <w:rPr>
        <w:rFonts w:asciiTheme="minorHAnsi" w:hAnsiTheme="minorHAnsi" w:cs="Arial"/>
        <w:b/>
        <w:sz w:val="20"/>
        <w:szCs w:val="20"/>
      </w:rPr>
      <w:fldChar w:fldCharType="separate"/>
    </w:r>
    <w:r w:rsidR="005B42DF">
      <w:rPr>
        <w:rFonts w:asciiTheme="minorHAnsi" w:hAnsiTheme="minorHAnsi" w:cs="Arial"/>
        <w:b/>
        <w:noProof/>
        <w:sz w:val="20"/>
        <w:szCs w:val="20"/>
      </w:rPr>
      <w:t>13</w:t>
    </w:r>
    <w:r w:rsidRPr="006B4C03">
      <w:rPr>
        <w:rFonts w:asciiTheme="minorHAnsi" w:hAnsiTheme="minorHAnsi" w:cs="Arial"/>
        <w:b/>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65B8D" w:rsidTr="005A3173">
      <w:trPr>
        <w:trHeight w:val="151"/>
      </w:trPr>
      <w:tc>
        <w:tcPr>
          <w:tcW w:w="2250" w:type="pct"/>
          <w:tcBorders>
            <w:top w:val="nil"/>
            <w:left w:val="nil"/>
            <w:bottom w:val="single" w:sz="4" w:space="0" w:color="4F81BD"/>
            <w:right w:val="nil"/>
          </w:tcBorders>
        </w:tcPr>
        <w:p w:rsidR="00A65B8D" w:rsidRPr="005A3173" w:rsidRDefault="00A65B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65B8D" w:rsidRPr="005A3173" w:rsidRDefault="00A65B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65B8D" w:rsidRPr="005A3173" w:rsidRDefault="00A65B8D" w:rsidP="005A3173">
          <w:pPr>
            <w:pStyle w:val="Header"/>
            <w:spacing w:line="276" w:lineRule="auto"/>
            <w:rPr>
              <w:rFonts w:ascii="Calibri" w:eastAsia="MS Gothic" w:hAnsi="Calibri"/>
              <w:b/>
              <w:bCs/>
              <w:color w:val="4F81BD"/>
            </w:rPr>
          </w:pPr>
        </w:p>
      </w:tc>
    </w:tr>
    <w:tr w:rsidR="00A65B8D" w:rsidTr="005A3173">
      <w:trPr>
        <w:trHeight w:val="150"/>
      </w:trPr>
      <w:tc>
        <w:tcPr>
          <w:tcW w:w="2250" w:type="pct"/>
          <w:tcBorders>
            <w:top w:val="single" w:sz="4" w:space="0" w:color="4F81BD"/>
            <w:left w:val="nil"/>
            <w:bottom w:val="nil"/>
            <w:right w:val="nil"/>
          </w:tcBorders>
        </w:tcPr>
        <w:p w:rsidR="00A65B8D" w:rsidRPr="005A3173" w:rsidRDefault="00A65B8D" w:rsidP="005A3173">
          <w:pPr>
            <w:pStyle w:val="Header"/>
            <w:spacing w:line="276" w:lineRule="auto"/>
            <w:rPr>
              <w:rFonts w:ascii="Calibri" w:eastAsia="MS Gothic" w:hAnsi="Calibri"/>
              <w:b/>
              <w:bCs/>
              <w:color w:val="4F81BD"/>
            </w:rPr>
          </w:pPr>
        </w:p>
      </w:tc>
      <w:tc>
        <w:tcPr>
          <w:tcW w:w="0" w:type="auto"/>
          <w:vMerge/>
          <w:vAlign w:val="center"/>
          <w:hideMark/>
        </w:tcPr>
        <w:p w:rsidR="00A65B8D" w:rsidRPr="005A3173" w:rsidRDefault="00A65B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A65B8D" w:rsidRPr="005A3173" w:rsidRDefault="00A65B8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65B8D" w:rsidTr="005A3173">
      <w:trPr>
        <w:trHeight w:val="151"/>
      </w:trPr>
      <w:tc>
        <w:tcPr>
          <w:tcW w:w="2250" w:type="pct"/>
          <w:tcBorders>
            <w:top w:val="nil"/>
            <w:left w:val="nil"/>
            <w:bottom w:val="single" w:sz="4" w:space="0" w:color="4F81BD"/>
            <w:right w:val="nil"/>
          </w:tcBorders>
        </w:tcPr>
        <w:p w:rsidR="00A65B8D" w:rsidRPr="005A3173" w:rsidRDefault="00A65B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65B8D" w:rsidRPr="005A3173" w:rsidRDefault="00A65B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65B8D" w:rsidRPr="005A3173" w:rsidRDefault="00A65B8D" w:rsidP="005A3173">
          <w:pPr>
            <w:pStyle w:val="Header"/>
            <w:spacing w:line="276" w:lineRule="auto"/>
            <w:rPr>
              <w:rFonts w:ascii="Calibri" w:eastAsia="MS Gothic" w:hAnsi="Calibri"/>
              <w:b/>
              <w:bCs/>
              <w:color w:val="4F81BD"/>
            </w:rPr>
          </w:pPr>
        </w:p>
      </w:tc>
    </w:tr>
    <w:tr w:rsidR="00A65B8D" w:rsidTr="005A3173">
      <w:trPr>
        <w:trHeight w:val="150"/>
      </w:trPr>
      <w:tc>
        <w:tcPr>
          <w:tcW w:w="2250" w:type="pct"/>
          <w:tcBorders>
            <w:top w:val="single" w:sz="4" w:space="0" w:color="4F81BD"/>
            <w:left w:val="nil"/>
            <w:bottom w:val="nil"/>
            <w:right w:val="nil"/>
          </w:tcBorders>
        </w:tcPr>
        <w:p w:rsidR="00A65B8D" w:rsidRPr="005A3173" w:rsidRDefault="00A65B8D" w:rsidP="005A3173">
          <w:pPr>
            <w:pStyle w:val="Header"/>
            <w:spacing w:line="276" w:lineRule="auto"/>
            <w:rPr>
              <w:rFonts w:ascii="Calibri" w:eastAsia="MS Gothic" w:hAnsi="Calibri"/>
              <w:b/>
              <w:bCs/>
              <w:color w:val="4F81BD"/>
            </w:rPr>
          </w:pPr>
        </w:p>
      </w:tc>
      <w:tc>
        <w:tcPr>
          <w:tcW w:w="0" w:type="auto"/>
          <w:vMerge/>
          <w:vAlign w:val="center"/>
          <w:hideMark/>
        </w:tcPr>
        <w:p w:rsidR="00A65B8D" w:rsidRPr="005A3173" w:rsidRDefault="00A65B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A65B8D" w:rsidRPr="005A3173" w:rsidRDefault="00A65B8D" w:rsidP="005A3173">
          <w:pPr>
            <w:pStyle w:val="Header"/>
            <w:spacing w:line="276" w:lineRule="auto"/>
            <w:rPr>
              <w:rFonts w:ascii="Calibri" w:eastAsia="MS Gothic" w:hAnsi="Calibri"/>
              <w:b/>
              <w:bCs/>
              <w:color w:val="4F81BD"/>
            </w:rPr>
          </w:pPr>
        </w:p>
      </w:tc>
    </w:tr>
  </w:tbl>
  <w:p w:rsidR="00A65B8D" w:rsidRPr="007C0F57" w:rsidRDefault="00A65B8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65B8D" w:rsidRPr="007C0F57" w:rsidRDefault="00A65B8D" w:rsidP="007C0F57">
    <w:pPr>
      <w:pStyle w:val="Footer"/>
      <w:jc w:val="center"/>
      <w:rPr>
        <w:b/>
        <w:i/>
        <w:sz w:val="20"/>
        <w:szCs w:val="20"/>
      </w:rPr>
    </w:pPr>
    <w:r w:rsidRPr="007C0F57">
      <w:rPr>
        <w:b/>
        <w:i/>
        <w:sz w:val="20"/>
        <w:szCs w:val="20"/>
      </w:rPr>
      <w:t>Commercial-in-Confidence</w:t>
    </w:r>
  </w:p>
  <w:p w:rsidR="00A65B8D" w:rsidRDefault="00A65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B8D" w:rsidRDefault="00A65B8D">
      <w:r>
        <w:separator/>
      </w:r>
    </w:p>
    <w:p w:rsidR="00A65B8D" w:rsidRDefault="00A65B8D"/>
  </w:footnote>
  <w:footnote w:type="continuationSeparator" w:id="0">
    <w:p w:rsidR="00A65B8D" w:rsidRDefault="00A65B8D">
      <w:r>
        <w:continuationSeparator/>
      </w:r>
    </w:p>
    <w:p w:rsidR="00A65B8D" w:rsidRDefault="00A65B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65B8D" w:rsidRPr="008E0D90" w:rsidTr="00A06225">
      <w:trPr>
        <w:trHeight w:val="151"/>
      </w:trPr>
      <w:tc>
        <w:tcPr>
          <w:tcW w:w="2389" w:type="pct"/>
          <w:tcBorders>
            <w:top w:val="nil"/>
            <w:left w:val="nil"/>
            <w:bottom w:val="single" w:sz="4" w:space="0" w:color="4F81BD"/>
            <w:right w:val="nil"/>
          </w:tcBorders>
        </w:tcPr>
        <w:p w:rsidR="00A65B8D" w:rsidRPr="00A06225" w:rsidRDefault="00A65B8D">
          <w:pPr>
            <w:pStyle w:val="Header"/>
            <w:spacing w:line="276" w:lineRule="auto"/>
            <w:rPr>
              <w:rFonts w:ascii="Cambria" w:eastAsia="MS Gothic" w:hAnsi="Cambria"/>
              <w:b/>
              <w:bCs/>
              <w:color w:val="4F81BD"/>
            </w:rPr>
          </w:pPr>
        </w:p>
      </w:tc>
      <w:tc>
        <w:tcPr>
          <w:tcW w:w="333" w:type="pct"/>
          <w:vMerge w:val="restart"/>
          <w:noWrap/>
          <w:vAlign w:val="center"/>
          <w:hideMark/>
        </w:tcPr>
        <w:p w:rsidR="00A65B8D" w:rsidRPr="00A06225" w:rsidRDefault="00A65B8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65B8D" w:rsidRPr="00A06225" w:rsidRDefault="00A65B8D">
          <w:pPr>
            <w:pStyle w:val="Header"/>
            <w:spacing w:line="276" w:lineRule="auto"/>
            <w:rPr>
              <w:rFonts w:ascii="Cambria" w:eastAsia="MS Gothic" w:hAnsi="Cambria"/>
              <w:b/>
              <w:bCs/>
              <w:color w:val="4F81BD"/>
            </w:rPr>
          </w:pPr>
        </w:p>
      </w:tc>
    </w:tr>
    <w:tr w:rsidR="00A65B8D" w:rsidRPr="008E0D90" w:rsidTr="00A06225">
      <w:trPr>
        <w:trHeight w:val="150"/>
      </w:trPr>
      <w:tc>
        <w:tcPr>
          <w:tcW w:w="2389" w:type="pct"/>
          <w:tcBorders>
            <w:top w:val="single" w:sz="4" w:space="0" w:color="4F81BD"/>
            <w:left w:val="nil"/>
            <w:bottom w:val="nil"/>
            <w:right w:val="nil"/>
          </w:tcBorders>
        </w:tcPr>
        <w:p w:rsidR="00A65B8D" w:rsidRPr="00A06225" w:rsidRDefault="00A65B8D">
          <w:pPr>
            <w:pStyle w:val="Header"/>
            <w:spacing w:line="276" w:lineRule="auto"/>
            <w:rPr>
              <w:rFonts w:ascii="Cambria" w:eastAsia="MS Gothic" w:hAnsi="Cambria"/>
              <w:b/>
              <w:bCs/>
              <w:color w:val="4F81BD"/>
            </w:rPr>
          </w:pPr>
        </w:p>
      </w:tc>
      <w:tc>
        <w:tcPr>
          <w:tcW w:w="0" w:type="auto"/>
          <w:vMerge/>
          <w:vAlign w:val="center"/>
          <w:hideMark/>
        </w:tcPr>
        <w:p w:rsidR="00A65B8D" w:rsidRPr="00A06225" w:rsidRDefault="00A65B8D">
          <w:pPr>
            <w:rPr>
              <w:rFonts w:ascii="Cambria" w:hAnsi="Cambria"/>
              <w:color w:val="4F81BD"/>
              <w:sz w:val="22"/>
              <w:szCs w:val="22"/>
            </w:rPr>
          </w:pPr>
        </w:p>
      </w:tc>
      <w:tc>
        <w:tcPr>
          <w:tcW w:w="2278" w:type="pct"/>
          <w:tcBorders>
            <w:top w:val="single" w:sz="4" w:space="0" w:color="4F81BD"/>
            <w:left w:val="nil"/>
            <w:bottom w:val="nil"/>
            <w:right w:val="nil"/>
          </w:tcBorders>
        </w:tcPr>
        <w:p w:rsidR="00A65B8D" w:rsidRPr="00A06225" w:rsidRDefault="00A65B8D">
          <w:pPr>
            <w:pStyle w:val="Header"/>
            <w:spacing w:line="276" w:lineRule="auto"/>
            <w:rPr>
              <w:rFonts w:ascii="Cambria" w:eastAsia="MS Gothic" w:hAnsi="Cambria"/>
              <w:b/>
              <w:bCs/>
              <w:color w:val="4F81BD"/>
            </w:rPr>
          </w:pPr>
        </w:p>
      </w:tc>
    </w:tr>
  </w:tbl>
  <w:p w:rsidR="00A65B8D" w:rsidRDefault="00A65B8D">
    <w:pPr>
      <w:pStyle w:val="Header"/>
    </w:pPr>
  </w:p>
  <w:p w:rsidR="00A65B8D" w:rsidRDefault="00A65B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8D" w:rsidRPr="00371E6E" w:rsidRDefault="00A65B8D" w:rsidP="006B4C03">
    <w:pPr>
      <w:pStyle w:val="NoSpacing"/>
      <w:jc w:val="center"/>
      <w:rPr>
        <w:rFonts w:asciiTheme="minorHAnsi" w:hAnsiTheme="minorHAnsi" w:cstheme="minorHAnsi"/>
        <w:i/>
      </w:rPr>
    </w:pPr>
    <w:r w:rsidRPr="00371E6E">
      <w:rPr>
        <w:rFonts w:asciiTheme="minorHAnsi" w:hAnsiTheme="minorHAnsi" w:cstheme="minorHAnsi"/>
        <w:i/>
      </w:rPr>
      <w:t>Public Summary Document – July 2018 PBAC Meeting</w:t>
    </w:r>
  </w:p>
  <w:p w:rsidR="00A65B8D" w:rsidRPr="006B4C03" w:rsidRDefault="00A65B8D" w:rsidP="006B4C03">
    <w:pPr>
      <w:pStyle w:val="NoSpacing"/>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57743C2"/>
    <w:multiLevelType w:val="multilevel"/>
    <w:tmpl w:val="8EA4D44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bullet"/>
      <w:lvlText w:val="o"/>
      <w:lvlJc w:val="left"/>
      <w:pPr>
        <w:ind w:left="4766"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6C40412"/>
    <w:multiLevelType w:val="multilevel"/>
    <w:tmpl w:val="BC9C20E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460671"/>
    <w:multiLevelType w:val="multilevel"/>
    <w:tmpl w:val="7FFED4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29846D0"/>
    <w:multiLevelType w:val="multilevel"/>
    <w:tmpl w:val="36EC4724"/>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F844EE"/>
    <w:multiLevelType w:val="hybridMultilevel"/>
    <w:tmpl w:val="A88A380A"/>
    <w:lvl w:ilvl="0" w:tplc="002E5A38">
      <w:start w:val="1"/>
      <w:numFmt w:val="decimal"/>
      <w:lvlText w:val="%1."/>
      <w:lvlJc w:val="left"/>
      <w:pPr>
        <w:ind w:left="1260" w:hanging="54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AB95283"/>
    <w:multiLevelType w:val="hybridMultilevel"/>
    <w:tmpl w:val="80F477B8"/>
    <w:lvl w:ilvl="0" w:tplc="BCFC90A6">
      <w:numFmt w:val="bullet"/>
      <w:lvlText w:val=""/>
      <w:lvlJc w:val="left"/>
      <w:pPr>
        <w:ind w:left="1080" w:hanging="72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528A4A04"/>
    <w:multiLevelType w:val="hybridMultilevel"/>
    <w:tmpl w:val="662AF19C"/>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4497159"/>
    <w:multiLevelType w:val="multilevel"/>
    <w:tmpl w:val="5D0AD7E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4D033C"/>
    <w:multiLevelType w:val="multilevel"/>
    <w:tmpl w:val="4C827B14"/>
    <w:lvl w:ilvl="0">
      <w:start w:val="1"/>
      <w:numFmt w:val="decimal"/>
      <w:pStyle w:val="PBACHeading1"/>
      <w:lvlText w:val="%1"/>
      <w:lvlJc w:val="left"/>
      <w:pPr>
        <w:ind w:left="720" w:hanging="720"/>
      </w:pPr>
      <w:rPr>
        <w:rFonts w:hint="default"/>
        <w:b/>
      </w:rPr>
    </w:lvl>
    <w:lvl w:ilvl="1">
      <w:start w:val="1"/>
      <w:numFmt w:val="decimal"/>
      <w:lvlText w:val="%1.%2"/>
      <w:lvlJc w:val="left"/>
      <w:pPr>
        <w:ind w:left="862"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7"/>
  </w:num>
  <w:num w:numId="4">
    <w:abstractNumId w:val="19"/>
  </w:num>
  <w:num w:numId="5">
    <w:abstractNumId w:val="25"/>
  </w:num>
  <w:num w:numId="6">
    <w:abstractNumId w:val="10"/>
  </w:num>
  <w:num w:numId="7">
    <w:abstractNumId w:val="18"/>
  </w:num>
  <w:num w:numId="8">
    <w:abstractNumId w:val="5"/>
  </w:num>
  <w:num w:numId="9">
    <w:abstractNumId w:val="17"/>
  </w:num>
  <w:num w:numId="10">
    <w:abstractNumId w:val="16"/>
  </w:num>
  <w:num w:numId="11">
    <w:abstractNumId w:val="15"/>
  </w:num>
  <w:num w:numId="12">
    <w:abstractNumId w:val="1"/>
  </w:num>
  <w:num w:numId="13">
    <w:abstractNumId w:val="0"/>
  </w:num>
  <w:num w:numId="14">
    <w:abstractNumId w:val="25"/>
  </w:num>
  <w:num w:numId="15">
    <w:abstractNumId w:val="21"/>
  </w:num>
  <w:num w:numId="16">
    <w:abstractNumId w:val="8"/>
  </w:num>
  <w:num w:numId="17">
    <w:abstractNumId w:val="4"/>
  </w:num>
  <w:num w:numId="18">
    <w:abstractNumId w:val="14"/>
  </w:num>
  <w:num w:numId="19">
    <w:abstractNumId w:val="9"/>
  </w:num>
  <w:num w:numId="20">
    <w:abstractNumId w:val="12"/>
  </w:num>
  <w:num w:numId="21">
    <w:abstractNumId w:val="22"/>
  </w:num>
  <w:num w:numId="22">
    <w:abstractNumId w:val="23"/>
  </w:num>
  <w:num w:numId="23">
    <w:abstractNumId w:val="6"/>
  </w:num>
  <w:num w:numId="24">
    <w:abstractNumId w:val="2"/>
  </w:num>
  <w:num w:numId="25">
    <w:abstractNumId w:val="13"/>
  </w:num>
  <w:num w:numId="26">
    <w:abstractNumId w:val="20"/>
  </w:num>
  <w:num w:numId="27">
    <w:abstractNumId w:val="2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37E19"/>
    <w:rsid w:val="000421A1"/>
    <w:rsid w:val="0004240E"/>
    <w:rsid w:val="00045E26"/>
    <w:rsid w:val="000514B5"/>
    <w:rsid w:val="00060E64"/>
    <w:rsid w:val="00066755"/>
    <w:rsid w:val="00077143"/>
    <w:rsid w:val="00082169"/>
    <w:rsid w:val="00094809"/>
    <w:rsid w:val="000969AD"/>
    <w:rsid w:val="000B558D"/>
    <w:rsid w:val="000C28D3"/>
    <w:rsid w:val="000C6996"/>
    <w:rsid w:val="000D23BA"/>
    <w:rsid w:val="000D2DDA"/>
    <w:rsid w:val="000E681E"/>
    <w:rsid w:val="000F0003"/>
    <w:rsid w:val="000F0BEF"/>
    <w:rsid w:val="000F4E6A"/>
    <w:rsid w:val="00100A96"/>
    <w:rsid w:val="00104227"/>
    <w:rsid w:val="0010566B"/>
    <w:rsid w:val="00106AFB"/>
    <w:rsid w:val="001107BF"/>
    <w:rsid w:val="0012417C"/>
    <w:rsid w:val="00142395"/>
    <w:rsid w:val="00142714"/>
    <w:rsid w:val="001452ED"/>
    <w:rsid w:val="00145BE0"/>
    <w:rsid w:val="00151D2B"/>
    <w:rsid w:val="001524A4"/>
    <w:rsid w:val="001536C7"/>
    <w:rsid w:val="00154D32"/>
    <w:rsid w:val="00163329"/>
    <w:rsid w:val="00164623"/>
    <w:rsid w:val="00165B64"/>
    <w:rsid w:val="001731D2"/>
    <w:rsid w:val="00180713"/>
    <w:rsid w:val="001830CE"/>
    <w:rsid w:val="0018360B"/>
    <w:rsid w:val="00183A3D"/>
    <w:rsid w:val="00185344"/>
    <w:rsid w:val="0018643B"/>
    <w:rsid w:val="0018669E"/>
    <w:rsid w:val="00196307"/>
    <w:rsid w:val="001A33EA"/>
    <w:rsid w:val="001B017F"/>
    <w:rsid w:val="001B2BBC"/>
    <w:rsid w:val="001B5129"/>
    <w:rsid w:val="001C0043"/>
    <w:rsid w:val="001C1195"/>
    <w:rsid w:val="001D207C"/>
    <w:rsid w:val="001F1850"/>
    <w:rsid w:val="001F38C7"/>
    <w:rsid w:val="00202A7A"/>
    <w:rsid w:val="00203FAC"/>
    <w:rsid w:val="00213CFB"/>
    <w:rsid w:val="002154CF"/>
    <w:rsid w:val="00217BE1"/>
    <w:rsid w:val="00222AAA"/>
    <w:rsid w:val="00225DC7"/>
    <w:rsid w:val="00227A93"/>
    <w:rsid w:val="00236356"/>
    <w:rsid w:val="00255681"/>
    <w:rsid w:val="002672A0"/>
    <w:rsid w:val="00271BA1"/>
    <w:rsid w:val="00274034"/>
    <w:rsid w:val="002751A7"/>
    <w:rsid w:val="002762FA"/>
    <w:rsid w:val="00277505"/>
    <w:rsid w:val="002819E2"/>
    <w:rsid w:val="0028249C"/>
    <w:rsid w:val="00283566"/>
    <w:rsid w:val="0029458F"/>
    <w:rsid w:val="002952A9"/>
    <w:rsid w:val="002A104C"/>
    <w:rsid w:val="002A4960"/>
    <w:rsid w:val="002B1AE6"/>
    <w:rsid w:val="002B2DE8"/>
    <w:rsid w:val="002B30F8"/>
    <w:rsid w:val="002B5596"/>
    <w:rsid w:val="002C1276"/>
    <w:rsid w:val="002C212F"/>
    <w:rsid w:val="002D4543"/>
    <w:rsid w:val="002D642F"/>
    <w:rsid w:val="002D777C"/>
    <w:rsid w:val="002E3153"/>
    <w:rsid w:val="002E72CA"/>
    <w:rsid w:val="002F600D"/>
    <w:rsid w:val="00300AD6"/>
    <w:rsid w:val="003075D5"/>
    <w:rsid w:val="003153A4"/>
    <w:rsid w:val="00317C6C"/>
    <w:rsid w:val="00326E79"/>
    <w:rsid w:val="0033518A"/>
    <w:rsid w:val="003367EF"/>
    <w:rsid w:val="00341AE4"/>
    <w:rsid w:val="00371E6E"/>
    <w:rsid w:val="0038339A"/>
    <w:rsid w:val="003872CF"/>
    <w:rsid w:val="00391474"/>
    <w:rsid w:val="0039782C"/>
    <w:rsid w:val="003A5B4A"/>
    <w:rsid w:val="003B23C5"/>
    <w:rsid w:val="003B2A75"/>
    <w:rsid w:val="003B6124"/>
    <w:rsid w:val="003B773A"/>
    <w:rsid w:val="003C2FB5"/>
    <w:rsid w:val="003D4AC4"/>
    <w:rsid w:val="003D63B7"/>
    <w:rsid w:val="003D70C7"/>
    <w:rsid w:val="003E468B"/>
    <w:rsid w:val="003F3228"/>
    <w:rsid w:val="003F54D5"/>
    <w:rsid w:val="003F5C8C"/>
    <w:rsid w:val="004115EE"/>
    <w:rsid w:val="004117E9"/>
    <w:rsid w:val="0041436F"/>
    <w:rsid w:val="00414821"/>
    <w:rsid w:val="004252EC"/>
    <w:rsid w:val="004465BD"/>
    <w:rsid w:val="00447E6A"/>
    <w:rsid w:val="00462281"/>
    <w:rsid w:val="00466ADA"/>
    <w:rsid w:val="00476245"/>
    <w:rsid w:val="00483035"/>
    <w:rsid w:val="00484608"/>
    <w:rsid w:val="00485940"/>
    <w:rsid w:val="004936BE"/>
    <w:rsid w:val="004A080A"/>
    <w:rsid w:val="004A2484"/>
    <w:rsid w:val="004A5A85"/>
    <w:rsid w:val="004A71D1"/>
    <w:rsid w:val="004B5640"/>
    <w:rsid w:val="004C1BD7"/>
    <w:rsid w:val="004C31FE"/>
    <w:rsid w:val="004C691D"/>
    <w:rsid w:val="004C6C07"/>
    <w:rsid w:val="004D750C"/>
    <w:rsid w:val="004E692D"/>
    <w:rsid w:val="004F456B"/>
    <w:rsid w:val="004F7E31"/>
    <w:rsid w:val="00501554"/>
    <w:rsid w:val="005065EF"/>
    <w:rsid w:val="00514CD7"/>
    <w:rsid w:val="0052641C"/>
    <w:rsid w:val="0053060D"/>
    <w:rsid w:val="005319B2"/>
    <w:rsid w:val="00532402"/>
    <w:rsid w:val="00532C74"/>
    <w:rsid w:val="00534E2E"/>
    <w:rsid w:val="00544552"/>
    <w:rsid w:val="00550AE6"/>
    <w:rsid w:val="00563014"/>
    <w:rsid w:val="005638A4"/>
    <w:rsid w:val="00577452"/>
    <w:rsid w:val="00577C4D"/>
    <w:rsid w:val="00581932"/>
    <w:rsid w:val="005841DA"/>
    <w:rsid w:val="005963BB"/>
    <w:rsid w:val="005A1B28"/>
    <w:rsid w:val="005A3173"/>
    <w:rsid w:val="005A3223"/>
    <w:rsid w:val="005A3DA3"/>
    <w:rsid w:val="005A52C4"/>
    <w:rsid w:val="005B42DF"/>
    <w:rsid w:val="005B7011"/>
    <w:rsid w:val="005C0831"/>
    <w:rsid w:val="005C6C3F"/>
    <w:rsid w:val="005D03AB"/>
    <w:rsid w:val="005D1E05"/>
    <w:rsid w:val="005D4920"/>
    <w:rsid w:val="005D5017"/>
    <w:rsid w:val="005E1333"/>
    <w:rsid w:val="005F2754"/>
    <w:rsid w:val="005F299F"/>
    <w:rsid w:val="005F62F6"/>
    <w:rsid w:val="00601A91"/>
    <w:rsid w:val="00602BA3"/>
    <w:rsid w:val="00602D66"/>
    <w:rsid w:val="00612E34"/>
    <w:rsid w:val="00614159"/>
    <w:rsid w:val="00617C00"/>
    <w:rsid w:val="00621ED5"/>
    <w:rsid w:val="006263BF"/>
    <w:rsid w:val="0062748A"/>
    <w:rsid w:val="00630491"/>
    <w:rsid w:val="00630A2C"/>
    <w:rsid w:val="0063682E"/>
    <w:rsid w:val="006436CD"/>
    <w:rsid w:val="006455FD"/>
    <w:rsid w:val="00651169"/>
    <w:rsid w:val="00653D69"/>
    <w:rsid w:val="006577E4"/>
    <w:rsid w:val="006670BE"/>
    <w:rsid w:val="00670A76"/>
    <w:rsid w:val="006711AA"/>
    <w:rsid w:val="00672B57"/>
    <w:rsid w:val="00675622"/>
    <w:rsid w:val="0067747D"/>
    <w:rsid w:val="00681A52"/>
    <w:rsid w:val="00683DDA"/>
    <w:rsid w:val="00687252"/>
    <w:rsid w:val="006906DB"/>
    <w:rsid w:val="00691063"/>
    <w:rsid w:val="00691E6C"/>
    <w:rsid w:val="00696129"/>
    <w:rsid w:val="00696483"/>
    <w:rsid w:val="00697CF2"/>
    <w:rsid w:val="006A12A5"/>
    <w:rsid w:val="006A25A1"/>
    <w:rsid w:val="006B0D94"/>
    <w:rsid w:val="006B485D"/>
    <w:rsid w:val="006B4C03"/>
    <w:rsid w:val="006C708E"/>
    <w:rsid w:val="006D14E7"/>
    <w:rsid w:val="006D4DD2"/>
    <w:rsid w:val="006D6493"/>
    <w:rsid w:val="006D6EC7"/>
    <w:rsid w:val="006E107A"/>
    <w:rsid w:val="006E3E5D"/>
    <w:rsid w:val="006F4255"/>
    <w:rsid w:val="006F5125"/>
    <w:rsid w:val="00702B6F"/>
    <w:rsid w:val="0070387C"/>
    <w:rsid w:val="0071340B"/>
    <w:rsid w:val="007174BB"/>
    <w:rsid w:val="0072025D"/>
    <w:rsid w:val="007353D3"/>
    <w:rsid w:val="00752E97"/>
    <w:rsid w:val="0076420C"/>
    <w:rsid w:val="007753C2"/>
    <w:rsid w:val="007838B8"/>
    <w:rsid w:val="007A4632"/>
    <w:rsid w:val="007A6B18"/>
    <w:rsid w:val="007B0ACD"/>
    <w:rsid w:val="007B7A39"/>
    <w:rsid w:val="007C0F57"/>
    <w:rsid w:val="007C40B6"/>
    <w:rsid w:val="007C729F"/>
    <w:rsid w:val="007D4199"/>
    <w:rsid w:val="007E0ABB"/>
    <w:rsid w:val="007E1D28"/>
    <w:rsid w:val="007F2641"/>
    <w:rsid w:val="007F7C36"/>
    <w:rsid w:val="00806796"/>
    <w:rsid w:val="0080701E"/>
    <w:rsid w:val="008151D6"/>
    <w:rsid w:val="008172A6"/>
    <w:rsid w:val="00826F6D"/>
    <w:rsid w:val="008306F3"/>
    <w:rsid w:val="00836F78"/>
    <w:rsid w:val="00840D55"/>
    <w:rsid w:val="008512B9"/>
    <w:rsid w:val="00856DDD"/>
    <w:rsid w:val="00863E68"/>
    <w:rsid w:val="00872367"/>
    <w:rsid w:val="00874525"/>
    <w:rsid w:val="00882085"/>
    <w:rsid w:val="00883188"/>
    <w:rsid w:val="00886AED"/>
    <w:rsid w:val="00897D58"/>
    <w:rsid w:val="00897F22"/>
    <w:rsid w:val="008A1956"/>
    <w:rsid w:val="008A4937"/>
    <w:rsid w:val="008A50F1"/>
    <w:rsid w:val="008A5C03"/>
    <w:rsid w:val="008C0956"/>
    <w:rsid w:val="008D1B5C"/>
    <w:rsid w:val="008D3C82"/>
    <w:rsid w:val="008D447E"/>
    <w:rsid w:val="008D7A41"/>
    <w:rsid w:val="008E01BC"/>
    <w:rsid w:val="008E3680"/>
    <w:rsid w:val="008E5870"/>
    <w:rsid w:val="008E7629"/>
    <w:rsid w:val="008F1434"/>
    <w:rsid w:val="008F52A6"/>
    <w:rsid w:val="008F7355"/>
    <w:rsid w:val="00903C9D"/>
    <w:rsid w:val="00905F77"/>
    <w:rsid w:val="009067B7"/>
    <w:rsid w:val="00906BEC"/>
    <w:rsid w:val="00930937"/>
    <w:rsid w:val="00932D85"/>
    <w:rsid w:val="00933E6C"/>
    <w:rsid w:val="0093634C"/>
    <w:rsid w:val="00937958"/>
    <w:rsid w:val="00942160"/>
    <w:rsid w:val="00950F21"/>
    <w:rsid w:val="0095146F"/>
    <w:rsid w:val="00953B72"/>
    <w:rsid w:val="009556EB"/>
    <w:rsid w:val="009602C5"/>
    <w:rsid w:val="00962223"/>
    <w:rsid w:val="00966D0D"/>
    <w:rsid w:val="00974C21"/>
    <w:rsid w:val="00981151"/>
    <w:rsid w:val="009B0F67"/>
    <w:rsid w:val="009B6D11"/>
    <w:rsid w:val="009C703C"/>
    <w:rsid w:val="009D3CAA"/>
    <w:rsid w:val="009E40E1"/>
    <w:rsid w:val="009E4972"/>
    <w:rsid w:val="009E6B47"/>
    <w:rsid w:val="009F49B9"/>
    <w:rsid w:val="009F4E46"/>
    <w:rsid w:val="009F5B65"/>
    <w:rsid w:val="009F5F2E"/>
    <w:rsid w:val="00A01BCF"/>
    <w:rsid w:val="00A06225"/>
    <w:rsid w:val="00A128E6"/>
    <w:rsid w:val="00A20F92"/>
    <w:rsid w:val="00A25E4A"/>
    <w:rsid w:val="00A34E6C"/>
    <w:rsid w:val="00A37C8D"/>
    <w:rsid w:val="00A516B2"/>
    <w:rsid w:val="00A5273B"/>
    <w:rsid w:val="00A53A9D"/>
    <w:rsid w:val="00A53F79"/>
    <w:rsid w:val="00A55FEE"/>
    <w:rsid w:val="00A62C1A"/>
    <w:rsid w:val="00A6426D"/>
    <w:rsid w:val="00A65B8D"/>
    <w:rsid w:val="00A665C1"/>
    <w:rsid w:val="00A70622"/>
    <w:rsid w:val="00A70977"/>
    <w:rsid w:val="00A77613"/>
    <w:rsid w:val="00A8390C"/>
    <w:rsid w:val="00A86F91"/>
    <w:rsid w:val="00A9099D"/>
    <w:rsid w:val="00A928BD"/>
    <w:rsid w:val="00A9326A"/>
    <w:rsid w:val="00A976BD"/>
    <w:rsid w:val="00AA4D1C"/>
    <w:rsid w:val="00AA7633"/>
    <w:rsid w:val="00AC193C"/>
    <w:rsid w:val="00AC5206"/>
    <w:rsid w:val="00AC7D49"/>
    <w:rsid w:val="00AD55C5"/>
    <w:rsid w:val="00AE11A5"/>
    <w:rsid w:val="00AE13E2"/>
    <w:rsid w:val="00AE22D3"/>
    <w:rsid w:val="00AF1958"/>
    <w:rsid w:val="00AF2501"/>
    <w:rsid w:val="00AF62DF"/>
    <w:rsid w:val="00AF68CC"/>
    <w:rsid w:val="00B1059E"/>
    <w:rsid w:val="00B176C8"/>
    <w:rsid w:val="00B17C9C"/>
    <w:rsid w:val="00B205AA"/>
    <w:rsid w:val="00B2154A"/>
    <w:rsid w:val="00B2183C"/>
    <w:rsid w:val="00B223B4"/>
    <w:rsid w:val="00B22E84"/>
    <w:rsid w:val="00B25F75"/>
    <w:rsid w:val="00B26B3F"/>
    <w:rsid w:val="00B43E90"/>
    <w:rsid w:val="00B445A8"/>
    <w:rsid w:val="00B44A47"/>
    <w:rsid w:val="00B467DC"/>
    <w:rsid w:val="00B5005B"/>
    <w:rsid w:val="00B52135"/>
    <w:rsid w:val="00B56118"/>
    <w:rsid w:val="00B62210"/>
    <w:rsid w:val="00B6559F"/>
    <w:rsid w:val="00B65B73"/>
    <w:rsid w:val="00B6773F"/>
    <w:rsid w:val="00B71C6C"/>
    <w:rsid w:val="00B801BA"/>
    <w:rsid w:val="00B81741"/>
    <w:rsid w:val="00B84D5C"/>
    <w:rsid w:val="00BA3507"/>
    <w:rsid w:val="00BB0B3A"/>
    <w:rsid w:val="00BB69F5"/>
    <w:rsid w:val="00BB7EC3"/>
    <w:rsid w:val="00BC4B9A"/>
    <w:rsid w:val="00BD0F5E"/>
    <w:rsid w:val="00BD784C"/>
    <w:rsid w:val="00BE78B1"/>
    <w:rsid w:val="00BF19CF"/>
    <w:rsid w:val="00BF4CB6"/>
    <w:rsid w:val="00C00DA7"/>
    <w:rsid w:val="00C01C2E"/>
    <w:rsid w:val="00C12768"/>
    <w:rsid w:val="00C159B7"/>
    <w:rsid w:val="00C27B58"/>
    <w:rsid w:val="00C33442"/>
    <w:rsid w:val="00C35996"/>
    <w:rsid w:val="00C4711A"/>
    <w:rsid w:val="00C4747E"/>
    <w:rsid w:val="00C5342C"/>
    <w:rsid w:val="00C603D4"/>
    <w:rsid w:val="00C6069D"/>
    <w:rsid w:val="00C6256A"/>
    <w:rsid w:val="00C77891"/>
    <w:rsid w:val="00C81EDB"/>
    <w:rsid w:val="00C8612A"/>
    <w:rsid w:val="00C91449"/>
    <w:rsid w:val="00C92D10"/>
    <w:rsid w:val="00CB0B29"/>
    <w:rsid w:val="00CD5C6D"/>
    <w:rsid w:val="00CE10C4"/>
    <w:rsid w:val="00CE27B5"/>
    <w:rsid w:val="00CE75FD"/>
    <w:rsid w:val="00CF3C0A"/>
    <w:rsid w:val="00D0321E"/>
    <w:rsid w:val="00D13415"/>
    <w:rsid w:val="00D1455A"/>
    <w:rsid w:val="00D31150"/>
    <w:rsid w:val="00D3138B"/>
    <w:rsid w:val="00D3280C"/>
    <w:rsid w:val="00D34056"/>
    <w:rsid w:val="00D3406A"/>
    <w:rsid w:val="00D42284"/>
    <w:rsid w:val="00D44F65"/>
    <w:rsid w:val="00D4572C"/>
    <w:rsid w:val="00D4614B"/>
    <w:rsid w:val="00D469B2"/>
    <w:rsid w:val="00D56F81"/>
    <w:rsid w:val="00D65031"/>
    <w:rsid w:val="00D741EB"/>
    <w:rsid w:val="00D83605"/>
    <w:rsid w:val="00D84934"/>
    <w:rsid w:val="00D91271"/>
    <w:rsid w:val="00D919F5"/>
    <w:rsid w:val="00D9348E"/>
    <w:rsid w:val="00D947A2"/>
    <w:rsid w:val="00D94F03"/>
    <w:rsid w:val="00DA2CB5"/>
    <w:rsid w:val="00DA4BAC"/>
    <w:rsid w:val="00DB0319"/>
    <w:rsid w:val="00DB0E4E"/>
    <w:rsid w:val="00DB2BF3"/>
    <w:rsid w:val="00DB3337"/>
    <w:rsid w:val="00DB49D9"/>
    <w:rsid w:val="00DD261C"/>
    <w:rsid w:val="00DE6D27"/>
    <w:rsid w:val="00DF217D"/>
    <w:rsid w:val="00DF26A7"/>
    <w:rsid w:val="00E135D2"/>
    <w:rsid w:val="00E15627"/>
    <w:rsid w:val="00E164B3"/>
    <w:rsid w:val="00E16910"/>
    <w:rsid w:val="00E35A6A"/>
    <w:rsid w:val="00E42BDB"/>
    <w:rsid w:val="00E42E16"/>
    <w:rsid w:val="00E45701"/>
    <w:rsid w:val="00E5243B"/>
    <w:rsid w:val="00E53FED"/>
    <w:rsid w:val="00E57EEB"/>
    <w:rsid w:val="00E62D94"/>
    <w:rsid w:val="00E642D8"/>
    <w:rsid w:val="00E65E54"/>
    <w:rsid w:val="00E66CAB"/>
    <w:rsid w:val="00E766DF"/>
    <w:rsid w:val="00E80155"/>
    <w:rsid w:val="00E81F28"/>
    <w:rsid w:val="00E8404E"/>
    <w:rsid w:val="00E848C0"/>
    <w:rsid w:val="00E86562"/>
    <w:rsid w:val="00E916B5"/>
    <w:rsid w:val="00E91B96"/>
    <w:rsid w:val="00E941A1"/>
    <w:rsid w:val="00E95CE3"/>
    <w:rsid w:val="00EA184F"/>
    <w:rsid w:val="00EA2825"/>
    <w:rsid w:val="00EB0B63"/>
    <w:rsid w:val="00EB1936"/>
    <w:rsid w:val="00EB5088"/>
    <w:rsid w:val="00ED1644"/>
    <w:rsid w:val="00ED2593"/>
    <w:rsid w:val="00ED2B4B"/>
    <w:rsid w:val="00ED7B98"/>
    <w:rsid w:val="00ED7D9C"/>
    <w:rsid w:val="00EE76E3"/>
    <w:rsid w:val="00EF44A0"/>
    <w:rsid w:val="00EF4FED"/>
    <w:rsid w:val="00EF5404"/>
    <w:rsid w:val="00F050BD"/>
    <w:rsid w:val="00F05657"/>
    <w:rsid w:val="00F0652C"/>
    <w:rsid w:val="00F21666"/>
    <w:rsid w:val="00F25578"/>
    <w:rsid w:val="00F258E5"/>
    <w:rsid w:val="00F27D6D"/>
    <w:rsid w:val="00F300BC"/>
    <w:rsid w:val="00F31965"/>
    <w:rsid w:val="00F3334E"/>
    <w:rsid w:val="00F36CCB"/>
    <w:rsid w:val="00F374E5"/>
    <w:rsid w:val="00F42B9F"/>
    <w:rsid w:val="00F43AF2"/>
    <w:rsid w:val="00F50EC4"/>
    <w:rsid w:val="00F550CF"/>
    <w:rsid w:val="00F57A6D"/>
    <w:rsid w:val="00F638CC"/>
    <w:rsid w:val="00F64CC1"/>
    <w:rsid w:val="00F72317"/>
    <w:rsid w:val="00F80475"/>
    <w:rsid w:val="00F8247A"/>
    <w:rsid w:val="00F83148"/>
    <w:rsid w:val="00F9629A"/>
    <w:rsid w:val="00F97EFC"/>
    <w:rsid w:val="00FA5883"/>
    <w:rsid w:val="00FA6055"/>
    <w:rsid w:val="00FB322F"/>
    <w:rsid w:val="00FB442F"/>
    <w:rsid w:val="00FB5C36"/>
    <w:rsid w:val="00FC1929"/>
    <w:rsid w:val="00FC5B46"/>
    <w:rsid w:val="00FD6C09"/>
    <w:rsid w:val="00FD6D8E"/>
    <w:rsid w:val="00FE0E94"/>
    <w:rsid w:val="00FE7590"/>
    <w:rsid w:val="00FF00BD"/>
    <w:rsid w:val="00FF1ED4"/>
    <w:rsid w:val="00FF24CF"/>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TableText">
    <w:name w:val="PBAC Table Text"/>
    <w:basedOn w:val="Normal"/>
    <w:link w:val="PBACTableTextChar"/>
    <w:qFormat/>
    <w:rsid w:val="00AF1958"/>
    <w:pPr>
      <w:spacing w:before="40" w:after="40"/>
    </w:pPr>
    <w:rPr>
      <w:rFonts w:ascii="Arial Narrow" w:hAnsi="Arial Narrow"/>
      <w:sz w:val="20"/>
      <w:szCs w:val="20"/>
      <w:lang w:eastAsia="en-US"/>
    </w:rPr>
  </w:style>
  <w:style w:type="character" w:customStyle="1" w:styleId="PBACTableTextChar">
    <w:name w:val="PBAC Table Text Char"/>
    <w:link w:val="PBACTableText"/>
    <w:rsid w:val="00AF1958"/>
    <w:rPr>
      <w:rFonts w:ascii="Arial Narrow" w:hAnsi="Arial Narrow"/>
      <w:lang w:eastAsia="en-US"/>
    </w:rPr>
  </w:style>
  <w:style w:type="paragraph" w:styleId="Revision">
    <w:name w:val="Revision"/>
    <w:hidden/>
    <w:uiPriority w:val="71"/>
    <w:rsid w:val="00225DC7"/>
    <w:rPr>
      <w:sz w:val="24"/>
      <w:szCs w:val="24"/>
    </w:rPr>
  </w:style>
  <w:style w:type="paragraph" w:styleId="NormalWeb">
    <w:name w:val="Normal (Web)"/>
    <w:basedOn w:val="Normal"/>
    <w:uiPriority w:val="99"/>
    <w:unhideWhenUsed/>
    <w:rsid w:val="004115EE"/>
    <w:pPr>
      <w:spacing w:after="150"/>
    </w:pPr>
    <w:rPr>
      <w:color w:val="222222"/>
    </w:rPr>
  </w:style>
  <w:style w:type="character" w:customStyle="1" w:styleId="label-">
    <w:name w:val="label-"/>
    <w:basedOn w:val="DefaultParagraphFont"/>
    <w:rsid w:val="00411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PBACTableText">
    <w:name w:val="PBAC Table Text"/>
    <w:basedOn w:val="Normal"/>
    <w:link w:val="PBACTableTextChar"/>
    <w:qFormat/>
    <w:rsid w:val="00AF1958"/>
    <w:pPr>
      <w:spacing w:before="40" w:after="40"/>
    </w:pPr>
    <w:rPr>
      <w:rFonts w:ascii="Arial Narrow" w:hAnsi="Arial Narrow"/>
      <w:sz w:val="20"/>
      <w:szCs w:val="20"/>
      <w:lang w:eastAsia="en-US"/>
    </w:rPr>
  </w:style>
  <w:style w:type="character" w:customStyle="1" w:styleId="PBACTableTextChar">
    <w:name w:val="PBAC Table Text Char"/>
    <w:link w:val="PBACTableText"/>
    <w:rsid w:val="00AF1958"/>
    <w:rPr>
      <w:rFonts w:ascii="Arial Narrow" w:hAnsi="Arial Narrow"/>
      <w:lang w:eastAsia="en-US"/>
    </w:rPr>
  </w:style>
  <w:style w:type="paragraph" w:styleId="Revision">
    <w:name w:val="Revision"/>
    <w:hidden/>
    <w:uiPriority w:val="71"/>
    <w:rsid w:val="00225DC7"/>
    <w:rPr>
      <w:sz w:val="24"/>
      <w:szCs w:val="24"/>
    </w:rPr>
  </w:style>
  <w:style w:type="paragraph" w:styleId="NormalWeb">
    <w:name w:val="Normal (Web)"/>
    <w:basedOn w:val="Normal"/>
    <w:uiPriority w:val="99"/>
    <w:unhideWhenUsed/>
    <w:rsid w:val="004115EE"/>
    <w:pPr>
      <w:spacing w:after="150"/>
    </w:pPr>
    <w:rPr>
      <w:color w:val="222222"/>
    </w:rPr>
  </w:style>
  <w:style w:type="character" w:customStyle="1" w:styleId="label-">
    <w:name w:val="label-"/>
    <w:basedOn w:val="DefaultParagraphFont"/>
    <w:rsid w:val="0041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59615837">
      <w:bodyDiv w:val="1"/>
      <w:marLeft w:val="0"/>
      <w:marRight w:val="0"/>
      <w:marTop w:val="0"/>
      <w:marBottom w:val="0"/>
      <w:divBdr>
        <w:top w:val="none" w:sz="0" w:space="0" w:color="auto"/>
        <w:left w:val="none" w:sz="0" w:space="0" w:color="auto"/>
        <w:bottom w:val="none" w:sz="0" w:space="0" w:color="auto"/>
        <w:right w:val="none" w:sz="0" w:space="0" w:color="auto"/>
      </w:divBdr>
    </w:div>
    <w:div w:id="1640920291">
      <w:bodyDiv w:val="1"/>
      <w:marLeft w:val="0"/>
      <w:marRight w:val="0"/>
      <w:marTop w:val="0"/>
      <w:marBottom w:val="0"/>
      <w:divBdr>
        <w:top w:val="none" w:sz="0" w:space="0" w:color="auto"/>
        <w:left w:val="none" w:sz="0" w:space="0" w:color="auto"/>
        <w:bottom w:val="none" w:sz="0" w:space="0" w:color="auto"/>
        <w:right w:val="none" w:sz="0" w:space="0" w:color="auto"/>
      </w:divBdr>
      <w:divsChild>
        <w:div w:id="909508630">
          <w:marLeft w:val="0"/>
          <w:marRight w:val="0"/>
          <w:marTop w:val="0"/>
          <w:marBottom w:val="0"/>
          <w:divBdr>
            <w:top w:val="none" w:sz="0" w:space="0" w:color="auto"/>
            <w:left w:val="none" w:sz="0" w:space="0" w:color="auto"/>
            <w:bottom w:val="none" w:sz="0" w:space="0" w:color="auto"/>
            <w:right w:val="none" w:sz="0" w:space="0" w:color="auto"/>
          </w:divBdr>
          <w:divsChild>
            <w:div w:id="647247363">
              <w:marLeft w:val="0"/>
              <w:marRight w:val="0"/>
              <w:marTop w:val="0"/>
              <w:marBottom w:val="0"/>
              <w:divBdr>
                <w:top w:val="none" w:sz="0" w:space="0" w:color="auto"/>
                <w:left w:val="none" w:sz="0" w:space="0" w:color="auto"/>
                <w:bottom w:val="none" w:sz="0" w:space="0" w:color="auto"/>
                <w:right w:val="none" w:sz="0" w:space="0" w:color="auto"/>
              </w:divBdr>
              <w:divsChild>
                <w:div w:id="931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A2D32-DBA1-4807-B113-D23D4E45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4487</Words>
  <Characters>26065</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2018-09-21T06:20:00Z</dcterms:created>
  <dcterms:modified xsi:type="dcterms:W3CDTF">2018-10-18T02:24:00Z</dcterms:modified>
</cp:coreProperties>
</file>