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81" w:rsidRPr="00CE7ECA" w:rsidRDefault="003B395F" w:rsidP="00C46E81">
      <w:pPr>
        <w:pStyle w:val="Title"/>
        <w:spacing w:before="120" w:after="160"/>
        <w:ind w:left="709" w:hanging="709"/>
        <w:rPr>
          <w:rFonts w:asciiTheme="minorHAnsi" w:eastAsiaTheme="minorHAnsi" w:hAnsiTheme="minorHAnsi" w:cstheme="minorBidi"/>
          <w:spacing w:val="0"/>
          <w:kern w:val="0"/>
          <w:sz w:val="36"/>
          <w:szCs w:val="36"/>
          <w:lang w:eastAsia="en-US"/>
        </w:rPr>
      </w:pPr>
      <w:bookmarkStart w:id="0" w:name="_GoBack"/>
      <w:bookmarkEnd w:id="0"/>
      <w:r w:rsidRPr="00CE7ECA">
        <w:rPr>
          <w:rFonts w:asciiTheme="minorHAnsi" w:eastAsiaTheme="minorHAnsi" w:hAnsiTheme="minorHAnsi" w:cstheme="minorBidi"/>
          <w:spacing w:val="0"/>
          <w:kern w:val="0"/>
          <w:sz w:val="36"/>
          <w:szCs w:val="36"/>
          <w:lang w:eastAsia="en-US"/>
        </w:rPr>
        <w:t>7.1</w:t>
      </w:r>
      <w:r w:rsidR="00C46E81" w:rsidRPr="00CE7ECA">
        <w:rPr>
          <w:rFonts w:asciiTheme="minorHAnsi" w:eastAsiaTheme="minorHAnsi" w:hAnsiTheme="minorHAnsi" w:cstheme="minorBidi"/>
          <w:spacing w:val="0"/>
          <w:kern w:val="0"/>
          <w:sz w:val="36"/>
          <w:szCs w:val="36"/>
          <w:lang w:eastAsia="en-US"/>
        </w:rPr>
        <w:t>3</w:t>
      </w:r>
      <w:r w:rsidR="007C0F57" w:rsidRPr="00CE7ECA">
        <w:rPr>
          <w:rFonts w:asciiTheme="minorHAnsi" w:eastAsiaTheme="minorHAnsi" w:hAnsiTheme="minorHAnsi" w:cstheme="minorBidi"/>
          <w:spacing w:val="0"/>
          <w:kern w:val="0"/>
          <w:sz w:val="36"/>
          <w:szCs w:val="36"/>
          <w:lang w:eastAsia="en-US"/>
        </w:rPr>
        <w:tab/>
      </w:r>
      <w:r w:rsidR="00C46E81" w:rsidRPr="00CE7ECA">
        <w:rPr>
          <w:rFonts w:asciiTheme="minorHAnsi" w:eastAsiaTheme="minorHAnsi" w:hAnsiTheme="minorHAnsi" w:cstheme="minorBidi"/>
          <w:spacing w:val="0"/>
          <w:kern w:val="0"/>
          <w:sz w:val="36"/>
          <w:szCs w:val="36"/>
          <w:lang w:eastAsia="en-US"/>
        </w:rPr>
        <w:t xml:space="preserve">CRIZOTINIB, </w:t>
      </w:r>
      <w:r w:rsidR="00C46E81" w:rsidRPr="00CE7ECA">
        <w:rPr>
          <w:rFonts w:asciiTheme="minorHAnsi" w:eastAsiaTheme="minorHAnsi" w:hAnsiTheme="minorHAnsi" w:cstheme="minorBidi"/>
          <w:spacing w:val="0"/>
          <w:kern w:val="0"/>
          <w:sz w:val="36"/>
          <w:szCs w:val="36"/>
          <w:lang w:eastAsia="en-US"/>
        </w:rPr>
        <w:br/>
        <w:t xml:space="preserve">250 mg capsule, 200 mg capsule, </w:t>
      </w:r>
      <w:r w:rsidR="00C46E81" w:rsidRPr="00CE7ECA">
        <w:rPr>
          <w:rFonts w:asciiTheme="minorHAnsi" w:eastAsiaTheme="minorHAnsi" w:hAnsiTheme="minorHAnsi" w:cstheme="minorBidi"/>
          <w:spacing w:val="0"/>
          <w:kern w:val="0"/>
          <w:sz w:val="36"/>
          <w:szCs w:val="36"/>
          <w:lang w:eastAsia="en-US"/>
        </w:rPr>
        <w:br/>
        <w:t xml:space="preserve">Xalkori®, Pfizer Australia Pty Ltd </w:t>
      </w:r>
    </w:p>
    <w:p w:rsidR="008A50F1" w:rsidRPr="00CE7ECA" w:rsidRDefault="00CE10C4" w:rsidP="00730E38">
      <w:pPr>
        <w:pStyle w:val="PBACHeading1"/>
        <w:spacing w:before="240" w:after="120"/>
        <w:ind w:left="709" w:hanging="709"/>
        <w:rPr>
          <w:rFonts w:asciiTheme="minorHAnsi" w:hAnsiTheme="minorHAnsi"/>
          <w:sz w:val="32"/>
          <w:szCs w:val="32"/>
        </w:rPr>
      </w:pPr>
      <w:r w:rsidRPr="00CE7ECA">
        <w:rPr>
          <w:rFonts w:asciiTheme="minorHAnsi" w:hAnsiTheme="minorHAnsi"/>
          <w:sz w:val="32"/>
          <w:szCs w:val="32"/>
        </w:rPr>
        <w:t xml:space="preserve">Purpose of </w:t>
      </w:r>
      <w:r w:rsidR="0004240E" w:rsidRPr="00CE7ECA">
        <w:rPr>
          <w:rFonts w:asciiTheme="minorHAnsi" w:hAnsiTheme="minorHAnsi"/>
          <w:sz w:val="32"/>
          <w:szCs w:val="32"/>
        </w:rPr>
        <w:t>Application</w:t>
      </w:r>
    </w:p>
    <w:p w:rsidR="009D2709" w:rsidRPr="00CE7ECA" w:rsidRDefault="00EF44A0" w:rsidP="00730E38">
      <w:pPr>
        <w:pStyle w:val="ListParagraph"/>
        <w:widowControl/>
        <w:numPr>
          <w:ilvl w:val="1"/>
          <w:numId w:val="1"/>
        </w:numPr>
        <w:spacing w:before="120" w:after="160"/>
        <w:contextualSpacing w:val="0"/>
        <w:rPr>
          <w:rFonts w:ascii="Calibri" w:hAnsi="Calibri"/>
          <w:sz w:val="24"/>
          <w:szCs w:val="24"/>
        </w:rPr>
      </w:pPr>
      <w:r w:rsidRPr="00CE7ECA">
        <w:rPr>
          <w:rFonts w:ascii="Calibri" w:eastAsiaTheme="minorHAnsi" w:hAnsi="Calibri" w:cstheme="minorBidi"/>
          <w:snapToGrid/>
          <w:sz w:val="24"/>
          <w:szCs w:val="24"/>
        </w:rPr>
        <w:t>Th</w:t>
      </w:r>
      <w:r w:rsidR="009A09AF" w:rsidRPr="00CE7ECA">
        <w:rPr>
          <w:rFonts w:ascii="Calibri" w:eastAsiaTheme="minorHAnsi" w:hAnsi="Calibri" w:cstheme="minorBidi"/>
          <w:snapToGrid/>
          <w:sz w:val="24"/>
          <w:szCs w:val="24"/>
        </w:rPr>
        <w:t>e</w:t>
      </w:r>
      <w:r w:rsidRPr="00CE7ECA">
        <w:rPr>
          <w:rFonts w:ascii="Calibri" w:eastAsiaTheme="minorHAnsi" w:hAnsi="Calibri" w:cstheme="minorBidi"/>
          <w:snapToGrid/>
          <w:sz w:val="24"/>
          <w:szCs w:val="24"/>
        </w:rPr>
        <w:t xml:space="preserve"> mi</w:t>
      </w:r>
      <w:r w:rsidR="00FF2801" w:rsidRPr="00CE7ECA">
        <w:rPr>
          <w:rFonts w:ascii="Calibri" w:eastAsiaTheme="minorHAnsi" w:hAnsi="Calibri" w:cstheme="minorBidi"/>
          <w:snapToGrid/>
          <w:sz w:val="24"/>
          <w:szCs w:val="24"/>
        </w:rPr>
        <w:t xml:space="preserve">nor </w:t>
      </w:r>
      <w:r w:rsidR="00C671A5" w:rsidRPr="00CE7ECA">
        <w:rPr>
          <w:rFonts w:ascii="Calibri" w:eastAsiaTheme="minorHAnsi" w:hAnsi="Calibri" w:cstheme="minorBidi"/>
          <w:snapToGrid/>
          <w:sz w:val="24"/>
          <w:szCs w:val="24"/>
        </w:rPr>
        <w:t>re</w:t>
      </w:r>
      <w:r w:rsidR="00FF2801" w:rsidRPr="00CE7ECA">
        <w:rPr>
          <w:rFonts w:ascii="Calibri" w:eastAsiaTheme="minorHAnsi" w:hAnsi="Calibri" w:cstheme="minorBidi"/>
          <w:snapToGrid/>
          <w:sz w:val="24"/>
          <w:szCs w:val="24"/>
        </w:rPr>
        <w:t xml:space="preserve">submission </w:t>
      </w:r>
      <w:r w:rsidR="00C46E81" w:rsidRPr="00CE7ECA">
        <w:rPr>
          <w:rFonts w:ascii="Calibri" w:eastAsiaTheme="minorHAnsi" w:hAnsi="Calibri" w:cstheme="minorBidi"/>
          <w:snapToGrid/>
          <w:sz w:val="24"/>
          <w:szCs w:val="24"/>
        </w:rPr>
        <w:t xml:space="preserve">requested a new Section 85 Authority Required PBS listing for crizotinib for the treatment of patients with locally advanced (Stage IIIB) or metastatic (Stage IV) </w:t>
      </w:r>
      <w:r w:rsidR="00CE6088" w:rsidRPr="00CE7ECA">
        <w:rPr>
          <w:rFonts w:ascii="Calibri" w:eastAsiaTheme="minorHAnsi" w:hAnsi="Calibri" w:cstheme="minorBidi"/>
          <w:snapToGrid/>
          <w:sz w:val="24"/>
          <w:szCs w:val="24"/>
        </w:rPr>
        <w:t>c-ROS proto-oncogene 1 (</w:t>
      </w:r>
      <w:r w:rsidR="00C46E81" w:rsidRPr="00CE7ECA">
        <w:rPr>
          <w:rFonts w:ascii="Calibri" w:eastAsiaTheme="minorHAnsi" w:hAnsi="Calibri" w:cstheme="minorBidi"/>
          <w:snapToGrid/>
          <w:sz w:val="24"/>
          <w:szCs w:val="24"/>
        </w:rPr>
        <w:t>ROS1</w:t>
      </w:r>
      <w:r w:rsidR="00CE6088" w:rsidRPr="00CE7ECA">
        <w:rPr>
          <w:rFonts w:ascii="Calibri" w:eastAsiaTheme="minorHAnsi" w:hAnsi="Calibri" w:cstheme="minorBidi"/>
          <w:snapToGrid/>
          <w:sz w:val="24"/>
          <w:szCs w:val="24"/>
        </w:rPr>
        <w:t xml:space="preserve">) </w:t>
      </w:r>
      <w:r w:rsidR="00C46E81" w:rsidRPr="00CE7ECA">
        <w:rPr>
          <w:rFonts w:ascii="Calibri" w:eastAsiaTheme="minorHAnsi" w:hAnsi="Calibri" w:cstheme="minorBidi"/>
          <w:snapToGrid/>
          <w:sz w:val="24"/>
          <w:szCs w:val="24"/>
        </w:rPr>
        <w:t xml:space="preserve">positive </w:t>
      </w:r>
      <w:r w:rsidR="00F22318" w:rsidRPr="00CE7ECA">
        <w:rPr>
          <w:rFonts w:ascii="Calibri" w:eastAsiaTheme="minorHAnsi" w:hAnsi="Calibri" w:cstheme="minorBidi"/>
          <w:snapToGrid/>
          <w:sz w:val="24"/>
          <w:szCs w:val="24"/>
        </w:rPr>
        <w:t>non-small cell lung cancer (</w:t>
      </w:r>
      <w:r w:rsidR="00C46E81" w:rsidRPr="00CE7ECA">
        <w:rPr>
          <w:rFonts w:ascii="Calibri" w:eastAsiaTheme="minorHAnsi" w:hAnsi="Calibri" w:cstheme="minorBidi"/>
          <w:snapToGrid/>
          <w:sz w:val="24"/>
          <w:szCs w:val="24"/>
        </w:rPr>
        <w:t>NSCLC</w:t>
      </w:r>
      <w:r w:rsidR="00F22318" w:rsidRPr="00CE7ECA">
        <w:rPr>
          <w:rFonts w:ascii="Calibri" w:eastAsiaTheme="minorHAnsi" w:hAnsi="Calibri" w:cstheme="minorBidi"/>
          <w:snapToGrid/>
          <w:sz w:val="24"/>
          <w:szCs w:val="24"/>
        </w:rPr>
        <w:t>).</w:t>
      </w:r>
    </w:p>
    <w:p w:rsidR="00206672" w:rsidRPr="00CE7ECA" w:rsidRDefault="00206672" w:rsidP="00730E38">
      <w:pPr>
        <w:pStyle w:val="ListParagraph"/>
        <w:widowControl/>
        <w:numPr>
          <w:ilvl w:val="1"/>
          <w:numId w:val="1"/>
        </w:numPr>
        <w:spacing w:before="120" w:after="160"/>
        <w:contextualSpacing w:val="0"/>
        <w:rPr>
          <w:rFonts w:asciiTheme="minorHAnsi" w:hAnsiTheme="minorHAnsi"/>
          <w:sz w:val="24"/>
          <w:szCs w:val="24"/>
        </w:rPr>
      </w:pPr>
      <w:r w:rsidRPr="00CE7ECA">
        <w:rPr>
          <w:rFonts w:ascii="Calibri" w:hAnsi="Calibri"/>
          <w:sz w:val="24"/>
          <w:szCs w:val="24"/>
        </w:rPr>
        <w:t>Following consideration, and deferral, by the PBAC at the November 2017 meeting, this minor resubmission sought to:</w:t>
      </w:r>
    </w:p>
    <w:p w:rsidR="00206672" w:rsidRPr="00CE7ECA" w:rsidRDefault="00206672" w:rsidP="00730E38">
      <w:pPr>
        <w:pStyle w:val="ListParagraph"/>
        <w:widowControl/>
        <w:numPr>
          <w:ilvl w:val="1"/>
          <w:numId w:val="4"/>
        </w:numPr>
        <w:spacing w:before="120" w:after="160"/>
        <w:ind w:left="1077" w:hanging="357"/>
        <w:contextualSpacing w:val="0"/>
        <w:rPr>
          <w:rFonts w:asciiTheme="minorHAnsi" w:hAnsiTheme="minorHAnsi"/>
          <w:sz w:val="24"/>
          <w:szCs w:val="24"/>
        </w:rPr>
      </w:pPr>
      <w:r w:rsidRPr="00CE7ECA">
        <w:rPr>
          <w:rFonts w:asciiTheme="minorHAnsi" w:hAnsiTheme="minorHAnsi"/>
          <w:sz w:val="24"/>
          <w:szCs w:val="24"/>
        </w:rPr>
        <w:t>propose an alternate restriction, allowing treatment agnostic of line of therapy;</w:t>
      </w:r>
    </w:p>
    <w:p w:rsidR="00206672" w:rsidRPr="00CE7ECA" w:rsidRDefault="00206672" w:rsidP="00730E38">
      <w:pPr>
        <w:pStyle w:val="ListParagraph"/>
        <w:widowControl/>
        <w:numPr>
          <w:ilvl w:val="1"/>
          <w:numId w:val="4"/>
        </w:numPr>
        <w:spacing w:before="120" w:after="160"/>
        <w:ind w:left="1077" w:hanging="357"/>
        <w:contextualSpacing w:val="0"/>
        <w:rPr>
          <w:rFonts w:asciiTheme="minorHAnsi" w:hAnsiTheme="minorHAnsi"/>
          <w:sz w:val="24"/>
          <w:szCs w:val="24"/>
        </w:rPr>
      </w:pPr>
      <w:r w:rsidRPr="00CE7ECA">
        <w:rPr>
          <w:rFonts w:ascii="Calibri" w:hAnsi="Calibri"/>
          <w:sz w:val="24"/>
          <w:szCs w:val="24"/>
        </w:rPr>
        <w:t>address the uncertainty surrounding the magnitude of the clinical benefit and respecify the base case incremental cost-effectiveness ratio (ICER); and</w:t>
      </w:r>
    </w:p>
    <w:p w:rsidR="00206672" w:rsidRPr="00CE7ECA" w:rsidRDefault="00206672" w:rsidP="00730E38">
      <w:pPr>
        <w:pStyle w:val="ListParagraph"/>
        <w:widowControl/>
        <w:numPr>
          <w:ilvl w:val="1"/>
          <w:numId w:val="4"/>
        </w:numPr>
        <w:spacing w:before="120" w:after="160"/>
        <w:ind w:left="1077" w:hanging="357"/>
        <w:contextualSpacing w:val="0"/>
        <w:rPr>
          <w:rFonts w:asciiTheme="minorHAnsi" w:hAnsiTheme="minorHAnsi"/>
          <w:sz w:val="24"/>
          <w:szCs w:val="24"/>
        </w:rPr>
      </w:pPr>
      <w:r w:rsidRPr="00CE7ECA">
        <w:rPr>
          <w:rFonts w:ascii="Calibri" w:hAnsi="Calibri"/>
          <w:sz w:val="24"/>
          <w:szCs w:val="24"/>
        </w:rPr>
        <w:t>develop an appropriate pricing strategy.</w:t>
      </w:r>
    </w:p>
    <w:p w:rsidR="006E1993" w:rsidRPr="00CE7ECA" w:rsidRDefault="006E1993" w:rsidP="006E1993">
      <w:pPr>
        <w:pStyle w:val="PBACHeading1"/>
        <w:spacing w:before="240" w:after="120"/>
        <w:ind w:left="709" w:hanging="709"/>
        <w:rPr>
          <w:rFonts w:asciiTheme="minorHAnsi" w:hAnsiTheme="minorHAnsi"/>
          <w:sz w:val="32"/>
          <w:szCs w:val="32"/>
        </w:rPr>
      </w:pPr>
      <w:r w:rsidRPr="00CE7ECA">
        <w:rPr>
          <w:rFonts w:asciiTheme="minorHAnsi" w:hAnsiTheme="minorHAnsi"/>
          <w:sz w:val="32"/>
          <w:szCs w:val="32"/>
        </w:rPr>
        <w:t>Requested listing</w:t>
      </w:r>
    </w:p>
    <w:p w:rsidR="00E64EDE" w:rsidRPr="00CE7ECA" w:rsidRDefault="00E64EDE"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restriction requested in the November 2017 submission was for second-line therapy following platinum-based chemotherapy.</w:t>
      </w:r>
    </w:p>
    <w:p w:rsidR="00E64EDE" w:rsidRPr="00CE7ECA" w:rsidRDefault="00E64EDE"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In the November 2017 </w:t>
      </w:r>
      <w:r w:rsidR="008A6254">
        <w:rPr>
          <w:rFonts w:asciiTheme="minorHAnsi" w:eastAsiaTheme="minorHAnsi" w:hAnsiTheme="minorHAnsi" w:cstheme="minorBidi"/>
          <w:snapToGrid/>
          <w:sz w:val="24"/>
          <w:szCs w:val="22"/>
        </w:rPr>
        <w:t>Public Summary Document (PSD)</w:t>
      </w:r>
      <w:r w:rsidRPr="00CE7ECA">
        <w:rPr>
          <w:rFonts w:asciiTheme="minorHAnsi" w:eastAsiaTheme="minorHAnsi" w:hAnsiTheme="minorHAnsi" w:cstheme="minorBidi"/>
          <w:snapToGrid/>
          <w:sz w:val="24"/>
          <w:szCs w:val="22"/>
        </w:rPr>
        <w:t xml:space="preserve">, the PBAC “foreshadowed its intention to remove the criterion ‘The condition must have progressed on or after prior platinum based chemotherapy’ from any recommended initial and grandfathering treatment criteria to allow the PBS listing of crizotinib in the ROS1-positive NSCLC population to be agnostic of line of therapy, consistent with its current listing in the </w:t>
      </w:r>
      <w:r w:rsidR="00AB4D42" w:rsidRPr="00CE7ECA">
        <w:rPr>
          <w:rFonts w:asciiTheme="minorHAnsi" w:eastAsiaTheme="minorHAnsi" w:hAnsiTheme="minorHAnsi" w:cstheme="minorBidi"/>
          <w:snapToGrid/>
          <w:sz w:val="24"/>
          <w:szCs w:val="22"/>
        </w:rPr>
        <w:t>anaplastic lymphoma kinase (</w:t>
      </w:r>
      <w:r w:rsidRPr="00CE7ECA">
        <w:rPr>
          <w:rFonts w:asciiTheme="minorHAnsi" w:eastAsiaTheme="minorHAnsi" w:hAnsiTheme="minorHAnsi" w:cstheme="minorBidi"/>
          <w:snapToGrid/>
          <w:sz w:val="24"/>
          <w:szCs w:val="22"/>
        </w:rPr>
        <w:t>ALK</w:t>
      </w:r>
      <w:r w:rsidR="00AB4D42" w:rsidRPr="00CE7ECA">
        <w:rPr>
          <w:rFonts w:asciiTheme="minorHAnsi" w:eastAsiaTheme="minorHAnsi" w:hAnsiTheme="minorHAnsi" w:cstheme="minorBidi"/>
          <w:snapToGrid/>
          <w:sz w:val="24"/>
          <w:szCs w:val="22"/>
        </w:rPr>
        <w:t>)</w:t>
      </w:r>
      <w:r w:rsidRPr="00CE7ECA">
        <w:rPr>
          <w:rFonts w:asciiTheme="minorHAnsi" w:eastAsiaTheme="minorHAnsi" w:hAnsiTheme="minorHAnsi" w:cstheme="minorBidi"/>
          <w:snapToGrid/>
          <w:sz w:val="24"/>
          <w:szCs w:val="22"/>
        </w:rPr>
        <w:t xml:space="preserve">-positive NSCLC population. The PBAC advised that all other aspects of the restriction requested, with proposed changes by the Secretariat, would be appropriate.” (paragraph 7.3, November 2017 </w:t>
      </w:r>
      <w:r w:rsidR="008A6254">
        <w:rPr>
          <w:rFonts w:asciiTheme="minorHAnsi" w:eastAsiaTheme="minorHAnsi" w:hAnsiTheme="minorHAnsi" w:cstheme="minorBidi"/>
          <w:snapToGrid/>
          <w:sz w:val="24"/>
          <w:szCs w:val="22"/>
        </w:rPr>
        <w:t>PSD</w:t>
      </w:r>
      <w:r w:rsidRPr="00CE7ECA">
        <w:rPr>
          <w:rFonts w:asciiTheme="minorHAnsi" w:eastAsiaTheme="minorHAnsi" w:hAnsiTheme="minorHAnsi" w:cstheme="minorBidi"/>
          <w:snapToGrid/>
          <w:sz w:val="24"/>
          <w:szCs w:val="22"/>
        </w:rPr>
        <w:t>)</w:t>
      </w:r>
    </w:p>
    <w:p w:rsidR="006E1993" w:rsidRPr="00CE7ECA" w:rsidRDefault="006E1993"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w:t>
      </w:r>
      <w:r w:rsidR="00FF4215" w:rsidRPr="00CE7ECA">
        <w:rPr>
          <w:rFonts w:asciiTheme="minorHAnsi" w:eastAsiaTheme="minorHAnsi" w:hAnsiTheme="minorHAnsi" w:cstheme="minorBidi"/>
          <w:snapToGrid/>
          <w:sz w:val="24"/>
          <w:szCs w:val="22"/>
        </w:rPr>
        <w:t xml:space="preserve">minor </w:t>
      </w:r>
      <w:r w:rsidR="00E64EDE" w:rsidRPr="00CE7ECA">
        <w:rPr>
          <w:rFonts w:asciiTheme="minorHAnsi" w:eastAsiaTheme="minorHAnsi" w:hAnsiTheme="minorHAnsi" w:cstheme="minorBidi"/>
          <w:snapToGrid/>
          <w:sz w:val="24"/>
          <w:szCs w:val="22"/>
        </w:rPr>
        <w:t>re</w:t>
      </w:r>
      <w:r w:rsidRPr="00CE7ECA">
        <w:rPr>
          <w:rFonts w:asciiTheme="minorHAnsi" w:eastAsiaTheme="minorHAnsi" w:hAnsiTheme="minorHAnsi" w:cstheme="minorBidi"/>
          <w:snapToGrid/>
          <w:sz w:val="24"/>
          <w:szCs w:val="22"/>
        </w:rPr>
        <w:t xml:space="preserve">submission </w:t>
      </w:r>
      <w:r w:rsidR="00B15FD5" w:rsidRPr="00CE7ECA">
        <w:rPr>
          <w:rFonts w:asciiTheme="minorHAnsi" w:eastAsiaTheme="minorHAnsi" w:hAnsiTheme="minorHAnsi" w:cstheme="minorBidi"/>
          <w:snapToGrid/>
          <w:sz w:val="24"/>
          <w:szCs w:val="22"/>
        </w:rPr>
        <w:t xml:space="preserve">therefore </w:t>
      </w:r>
      <w:r w:rsidRPr="00CE7ECA">
        <w:rPr>
          <w:rFonts w:asciiTheme="minorHAnsi" w:eastAsiaTheme="minorHAnsi" w:hAnsiTheme="minorHAnsi" w:cstheme="minorBidi"/>
          <w:snapToGrid/>
          <w:sz w:val="24"/>
          <w:szCs w:val="22"/>
        </w:rPr>
        <w:t xml:space="preserve">requested the </w:t>
      </w:r>
      <w:r w:rsidR="00B15FD5" w:rsidRPr="00CE7ECA">
        <w:rPr>
          <w:rFonts w:asciiTheme="minorHAnsi" w:eastAsiaTheme="minorHAnsi" w:hAnsiTheme="minorHAnsi" w:cstheme="minorBidi"/>
          <w:snapToGrid/>
          <w:sz w:val="24"/>
          <w:szCs w:val="22"/>
        </w:rPr>
        <w:t>following restriction, which is agnostic to line of treatment</w:t>
      </w:r>
      <w:r w:rsidRPr="00CE7ECA">
        <w:rPr>
          <w:rFonts w:asciiTheme="minorHAnsi" w:eastAsiaTheme="minorHAnsi" w:hAnsiTheme="minorHAnsi" w:cstheme="minorBidi"/>
          <w:snapToGrid/>
          <w:sz w:val="24"/>
          <w:szCs w:val="22"/>
        </w:rPr>
        <w:t xml:space="preserve">: </w:t>
      </w:r>
    </w:p>
    <w:tbl>
      <w:tblPr>
        <w:tblW w:w="4906" w:type="pct"/>
        <w:tblLook w:val="0000" w:firstRow="0" w:lastRow="0" w:firstColumn="0" w:lastColumn="0" w:noHBand="0" w:noVBand="0"/>
      </w:tblPr>
      <w:tblGrid>
        <w:gridCol w:w="1982"/>
        <w:gridCol w:w="1103"/>
        <w:gridCol w:w="709"/>
        <w:gridCol w:w="709"/>
        <w:gridCol w:w="2693"/>
        <w:gridCol w:w="992"/>
        <w:gridCol w:w="880"/>
      </w:tblGrid>
      <w:tr w:rsidR="00B43641" w:rsidRPr="00CE7ECA" w:rsidTr="00F22318">
        <w:trPr>
          <w:cantSplit/>
          <w:trHeight w:val="465"/>
        </w:trPr>
        <w:tc>
          <w:tcPr>
            <w:tcW w:w="1701" w:type="pct"/>
            <w:gridSpan w:val="2"/>
            <w:tcBorders>
              <w:top w:val="single" w:sz="4" w:space="0" w:color="auto"/>
              <w:bottom w:val="single" w:sz="4" w:space="0" w:color="auto"/>
            </w:tcBorders>
          </w:tcPr>
          <w:p w:rsidR="006E1993" w:rsidRPr="00CE7ECA" w:rsidRDefault="006E1993" w:rsidP="005D28F3">
            <w:pPr>
              <w:keepNext/>
              <w:spacing w:before="40" w:after="40"/>
              <w:jc w:val="both"/>
              <w:rPr>
                <w:rFonts w:ascii="Arial Narrow" w:hAnsi="Arial Narrow" w:cs="Arial"/>
                <w:b/>
                <w:sz w:val="20"/>
                <w:szCs w:val="20"/>
              </w:rPr>
            </w:pPr>
            <w:r w:rsidRPr="00CE7ECA">
              <w:rPr>
                <w:rFonts w:ascii="Arial Narrow" w:hAnsi="Arial Narrow" w:cs="Arial"/>
                <w:b/>
                <w:sz w:val="20"/>
                <w:szCs w:val="20"/>
              </w:rPr>
              <w:lastRenderedPageBreak/>
              <w:t>Name, Restriction,</w:t>
            </w:r>
          </w:p>
          <w:p w:rsidR="006E1993" w:rsidRPr="00CE7ECA" w:rsidRDefault="006E1993" w:rsidP="005D28F3">
            <w:pPr>
              <w:keepNext/>
              <w:spacing w:before="40" w:after="40"/>
              <w:jc w:val="both"/>
              <w:rPr>
                <w:rFonts w:ascii="Arial Narrow" w:hAnsi="Arial Narrow" w:cs="Arial"/>
                <w:b/>
                <w:sz w:val="20"/>
                <w:szCs w:val="20"/>
              </w:rPr>
            </w:pPr>
            <w:r w:rsidRPr="00CE7ECA">
              <w:rPr>
                <w:rFonts w:ascii="Arial Narrow" w:hAnsi="Arial Narrow" w:cs="Arial"/>
                <w:b/>
                <w:sz w:val="20"/>
                <w:szCs w:val="20"/>
              </w:rPr>
              <w:t>Manner of administration and form</w:t>
            </w:r>
          </w:p>
        </w:tc>
        <w:tc>
          <w:tcPr>
            <w:tcW w:w="391" w:type="pct"/>
            <w:tcBorders>
              <w:top w:val="single" w:sz="4" w:space="0" w:color="auto"/>
              <w:bottom w:val="single" w:sz="4" w:space="0" w:color="auto"/>
            </w:tcBorders>
          </w:tcPr>
          <w:p w:rsidR="006E1993" w:rsidRPr="00CE7ECA" w:rsidRDefault="006E1993" w:rsidP="005D28F3">
            <w:pPr>
              <w:keepNext/>
              <w:spacing w:before="40" w:after="40"/>
              <w:jc w:val="both"/>
              <w:rPr>
                <w:rFonts w:ascii="Arial Narrow" w:hAnsi="Arial Narrow" w:cs="Arial"/>
                <w:b/>
                <w:sz w:val="20"/>
                <w:szCs w:val="20"/>
              </w:rPr>
            </w:pPr>
            <w:r w:rsidRPr="00CE7ECA">
              <w:rPr>
                <w:rFonts w:ascii="Arial Narrow" w:hAnsi="Arial Narrow" w:cs="Arial"/>
                <w:b/>
                <w:sz w:val="20"/>
                <w:szCs w:val="20"/>
              </w:rPr>
              <w:t>Max.</w:t>
            </w:r>
          </w:p>
          <w:p w:rsidR="006E1993" w:rsidRPr="00CE7ECA" w:rsidRDefault="006E1993" w:rsidP="005D28F3">
            <w:pPr>
              <w:keepNext/>
              <w:spacing w:before="40" w:after="40"/>
              <w:jc w:val="both"/>
              <w:rPr>
                <w:rFonts w:ascii="Arial Narrow" w:hAnsi="Arial Narrow" w:cs="Arial"/>
                <w:b/>
                <w:sz w:val="20"/>
                <w:szCs w:val="20"/>
              </w:rPr>
            </w:pPr>
            <w:r w:rsidRPr="00CE7ECA">
              <w:rPr>
                <w:rFonts w:ascii="Arial Narrow" w:hAnsi="Arial Narrow" w:cs="Arial"/>
                <w:b/>
                <w:sz w:val="20"/>
                <w:szCs w:val="20"/>
              </w:rPr>
              <w:t>Qty</w:t>
            </w:r>
          </w:p>
        </w:tc>
        <w:tc>
          <w:tcPr>
            <w:tcW w:w="391" w:type="pct"/>
            <w:tcBorders>
              <w:top w:val="single" w:sz="4" w:space="0" w:color="auto"/>
              <w:bottom w:val="single" w:sz="4" w:space="0" w:color="auto"/>
            </w:tcBorders>
          </w:tcPr>
          <w:p w:rsidR="006E1993" w:rsidRPr="00CE7ECA" w:rsidRDefault="006E1993" w:rsidP="005D28F3">
            <w:pPr>
              <w:keepNext/>
              <w:spacing w:before="40" w:after="40"/>
              <w:jc w:val="both"/>
              <w:rPr>
                <w:rFonts w:ascii="Arial Narrow" w:hAnsi="Arial Narrow" w:cs="Arial"/>
                <w:b/>
                <w:sz w:val="20"/>
                <w:szCs w:val="20"/>
              </w:rPr>
            </w:pPr>
            <w:r w:rsidRPr="00CE7ECA">
              <w:rPr>
                <w:rFonts w:ascii="Arial Narrow" w:hAnsi="Arial Narrow" w:cs="Arial"/>
                <w:b/>
                <w:sz w:val="20"/>
                <w:szCs w:val="20"/>
              </w:rPr>
              <w:t>№.of</w:t>
            </w:r>
          </w:p>
          <w:p w:rsidR="006E1993" w:rsidRPr="00CE7ECA" w:rsidRDefault="006E1993" w:rsidP="005D28F3">
            <w:pPr>
              <w:keepNext/>
              <w:spacing w:before="40" w:after="40"/>
              <w:jc w:val="both"/>
              <w:rPr>
                <w:rFonts w:ascii="Arial Narrow" w:hAnsi="Arial Narrow" w:cs="Arial"/>
                <w:b/>
                <w:sz w:val="20"/>
                <w:szCs w:val="20"/>
              </w:rPr>
            </w:pPr>
            <w:r w:rsidRPr="00CE7ECA">
              <w:rPr>
                <w:rFonts w:ascii="Arial Narrow" w:hAnsi="Arial Narrow" w:cs="Arial"/>
                <w:b/>
                <w:sz w:val="20"/>
                <w:szCs w:val="20"/>
              </w:rPr>
              <w:t>Rpts</w:t>
            </w:r>
          </w:p>
        </w:tc>
        <w:tc>
          <w:tcPr>
            <w:tcW w:w="1485" w:type="pct"/>
            <w:tcBorders>
              <w:top w:val="single" w:sz="4" w:space="0" w:color="auto"/>
              <w:bottom w:val="single" w:sz="4" w:space="0" w:color="auto"/>
            </w:tcBorders>
          </w:tcPr>
          <w:p w:rsidR="006E1993" w:rsidRPr="00CE7ECA" w:rsidRDefault="006E1993" w:rsidP="00F22318">
            <w:pPr>
              <w:keepNext/>
              <w:spacing w:before="40" w:after="40"/>
              <w:rPr>
                <w:rFonts w:ascii="Arial Narrow" w:hAnsi="Arial Narrow" w:cs="Arial"/>
                <w:b/>
                <w:sz w:val="20"/>
                <w:szCs w:val="20"/>
              </w:rPr>
            </w:pPr>
            <w:r w:rsidRPr="00CE7ECA">
              <w:rPr>
                <w:rFonts w:ascii="Arial Narrow" w:hAnsi="Arial Narrow" w:cs="Arial"/>
                <w:b/>
                <w:sz w:val="20"/>
                <w:szCs w:val="20"/>
              </w:rPr>
              <w:t>D</w:t>
            </w:r>
            <w:r w:rsidR="009C45FD" w:rsidRPr="00CE7ECA">
              <w:rPr>
                <w:rFonts w:ascii="Arial Narrow" w:hAnsi="Arial Narrow" w:cs="Arial"/>
                <w:b/>
                <w:sz w:val="20"/>
                <w:szCs w:val="20"/>
              </w:rPr>
              <w:t>ispensed price for maximum quantity</w:t>
            </w:r>
          </w:p>
        </w:tc>
        <w:tc>
          <w:tcPr>
            <w:tcW w:w="1032" w:type="pct"/>
            <w:gridSpan w:val="2"/>
            <w:tcBorders>
              <w:top w:val="single" w:sz="4" w:space="0" w:color="auto"/>
              <w:bottom w:val="single" w:sz="4" w:space="0" w:color="auto"/>
            </w:tcBorders>
          </w:tcPr>
          <w:p w:rsidR="006E1993" w:rsidRPr="00CE7ECA" w:rsidRDefault="006E1993" w:rsidP="00B43641">
            <w:pPr>
              <w:keepNext/>
              <w:spacing w:before="40" w:after="40"/>
              <w:rPr>
                <w:rFonts w:ascii="Arial Narrow" w:hAnsi="Arial Narrow" w:cs="Arial"/>
                <w:b/>
                <w:sz w:val="20"/>
                <w:szCs w:val="20"/>
              </w:rPr>
            </w:pPr>
            <w:r w:rsidRPr="00CE7ECA">
              <w:rPr>
                <w:rFonts w:ascii="Arial Narrow" w:hAnsi="Arial Narrow" w:cs="Arial"/>
                <w:b/>
                <w:sz w:val="20"/>
                <w:szCs w:val="20"/>
              </w:rPr>
              <w:t>Proprietary Name and Manufacturer</w:t>
            </w:r>
          </w:p>
        </w:tc>
      </w:tr>
      <w:tr w:rsidR="005D28F3" w:rsidRPr="00CE7ECA" w:rsidTr="00F22318">
        <w:trPr>
          <w:cantSplit/>
          <w:trHeight w:val="567"/>
        </w:trPr>
        <w:tc>
          <w:tcPr>
            <w:tcW w:w="1701" w:type="pct"/>
            <w:gridSpan w:val="2"/>
            <w:tcBorders>
              <w:top w:val="single" w:sz="4" w:space="0" w:color="auto"/>
            </w:tcBorders>
          </w:tcPr>
          <w:p w:rsidR="006E1993" w:rsidRPr="00CE7ECA" w:rsidRDefault="00B43641" w:rsidP="005D28F3">
            <w:pPr>
              <w:keepNext/>
              <w:spacing w:before="40" w:after="40"/>
              <w:jc w:val="both"/>
              <w:rPr>
                <w:rFonts w:ascii="Arial Narrow" w:hAnsi="Arial Narrow" w:cs="Arial"/>
                <w:sz w:val="20"/>
                <w:szCs w:val="20"/>
              </w:rPr>
            </w:pPr>
            <w:r w:rsidRPr="00CE7ECA">
              <w:rPr>
                <w:rFonts w:ascii="Arial Narrow" w:hAnsi="Arial Narrow" w:cs="Arial"/>
                <w:smallCaps/>
                <w:sz w:val="20"/>
                <w:szCs w:val="20"/>
              </w:rPr>
              <w:t>CRIZOTINIB</w:t>
            </w:r>
          </w:p>
          <w:p w:rsidR="006E1993" w:rsidRPr="00CE7ECA" w:rsidRDefault="00B43641" w:rsidP="00EE1D53">
            <w:pPr>
              <w:keepNext/>
              <w:spacing w:before="40" w:after="40"/>
              <w:jc w:val="both"/>
              <w:rPr>
                <w:rFonts w:ascii="Arial Narrow" w:hAnsi="Arial Narrow" w:cs="Arial"/>
                <w:sz w:val="20"/>
                <w:szCs w:val="20"/>
              </w:rPr>
            </w:pPr>
            <w:r w:rsidRPr="00CE7ECA">
              <w:rPr>
                <w:rFonts w:ascii="Arial Narrow" w:hAnsi="Arial Narrow" w:cs="Arial"/>
                <w:sz w:val="20"/>
                <w:szCs w:val="20"/>
              </w:rPr>
              <w:t>Capsule, 2</w:t>
            </w:r>
            <w:r w:rsidR="00EE1D53">
              <w:rPr>
                <w:rFonts w:ascii="Arial Narrow" w:hAnsi="Arial Narrow" w:cs="Arial"/>
                <w:sz w:val="20"/>
                <w:szCs w:val="20"/>
              </w:rPr>
              <w:t>0</w:t>
            </w:r>
            <w:r w:rsidRPr="00CE7ECA">
              <w:rPr>
                <w:rFonts w:ascii="Arial Narrow" w:hAnsi="Arial Narrow" w:cs="Arial"/>
                <w:sz w:val="20"/>
                <w:szCs w:val="20"/>
              </w:rPr>
              <w:t>0 mg, 60</w:t>
            </w:r>
          </w:p>
        </w:tc>
        <w:tc>
          <w:tcPr>
            <w:tcW w:w="391" w:type="pct"/>
            <w:tcBorders>
              <w:top w:val="single" w:sz="4" w:space="0" w:color="auto"/>
            </w:tcBorders>
          </w:tcPr>
          <w:p w:rsidR="006E1993" w:rsidRPr="00CE7ECA" w:rsidRDefault="006E1993" w:rsidP="005D28F3">
            <w:pPr>
              <w:keepNext/>
              <w:spacing w:before="40" w:after="40"/>
              <w:jc w:val="both"/>
              <w:rPr>
                <w:rFonts w:ascii="Arial Narrow" w:hAnsi="Arial Narrow" w:cs="Arial"/>
                <w:sz w:val="20"/>
                <w:szCs w:val="20"/>
              </w:rPr>
            </w:pPr>
          </w:p>
          <w:p w:rsidR="006E1993" w:rsidRPr="00CE7ECA" w:rsidRDefault="00B43641" w:rsidP="005D28F3">
            <w:pPr>
              <w:keepNext/>
              <w:spacing w:before="40" w:after="40"/>
              <w:jc w:val="both"/>
              <w:rPr>
                <w:rFonts w:ascii="Arial Narrow" w:hAnsi="Arial Narrow" w:cs="Arial"/>
                <w:sz w:val="20"/>
                <w:szCs w:val="20"/>
              </w:rPr>
            </w:pPr>
            <w:r w:rsidRPr="00CE7ECA">
              <w:rPr>
                <w:rFonts w:ascii="Arial Narrow" w:hAnsi="Arial Narrow" w:cs="Arial"/>
                <w:sz w:val="20"/>
                <w:szCs w:val="20"/>
              </w:rPr>
              <w:t>1</w:t>
            </w:r>
          </w:p>
        </w:tc>
        <w:tc>
          <w:tcPr>
            <w:tcW w:w="391" w:type="pct"/>
            <w:tcBorders>
              <w:top w:val="single" w:sz="4" w:space="0" w:color="auto"/>
            </w:tcBorders>
          </w:tcPr>
          <w:p w:rsidR="006E1993" w:rsidRPr="00CE7ECA" w:rsidRDefault="006E1993" w:rsidP="005D28F3">
            <w:pPr>
              <w:keepNext/>
              <w:spacing w:before="40" w:after="40"/>
              <w:jc w:val="both"/>
              <w:rPr>
                <w:rFonts w:ascii="Arial Narrow" w:hAnsi="Arial Narrow" w:cs="Arial"/>
                <w:sz w:val="20"/>
                <w:szCs w:val="20"/>
              </w:rPr>
            </w:pPr>
          </w:p>
          <w:p w:rsidR="006E1993" w:rsidRPr="00CE7ECA" w:rsidRDefault="00B43641" w:rsidP="005D28F3">
            <w:pPr>
              <w:keepNext/>
              <w:spacing w:before="40" w:after="40"/>
              <w:jc w:val="both"/>
              <w:rPr>
                <w:rFonts w:ascii="Arial Narrow" w:hAnsi="Arial Narrow" w:cs="Arial"/>
                <w:sz w:val="20"/>
                <w:szCs w:val="20"/>
              </w:rPr>
            </w:pPr>
            <w:r w:rsidRPr="00CE7ECA">
              <w:rPr>
                <w:rFonts w:ascii="Arial Narrow" w:hAnsi="Arial Narrow" w:cs="Arial"/>
                <w:sz w:val="20"/>
                <w:szCs w:val="20"/>
              </w:rPr>
              <w:t>1</w:t>
            </w:r>
          </w:p>
        </w:tc>
        <w:tc>
          <w:tcPr>
            <w:tcW w:w="1485" w:type="pct"/>
            <w:tcBorders>
              <w:top w:val="single" w:sz="4" w:space="0" w:color="auto"/>
            </w:tcBorders>
          </w:tcPr>
          <w:p w:rsidR="006E1993" w:rsidRPr="00CE7ECA" w:rsidRDefault="006E1993" w:rsidP="005D28F3">
            <w:pPr>
              <w:keepNext/>
              <w:spacing w:before="40" w:after="40"/>
              <w:jc w:val="both"/>
              <w:rPr>
                <w:rFonts w:ascii="Arial Narrow" w:hAnsi="Arial Narrow" w:cs="Arial"/>
                <w:sz w:val="20"/>
                <w:szCs w:val="20"/>
              </w:rPr>
            </w:pPr>
            <w:r w:rsidRPr="00CE7ECA">
              <w:rPr>
                <w:rFonts w:ascii="Arial Narrow" w:hAnsi="Arial Narrow" w:cs="Arial"/>
                <w:sz w:val="20"/>
                <w:szCs w:val="20"/>
              </w:rPr>
              <w:t>$</w:t>
            </w:r>
            <w:r w:rsidR="00B43641" w:rsidRPr="00CE7ECA">
              <w:rPr>
                <w:rFonts w:ascii="Arial Narrow" w:hAnsi="Arial Narrow" w:cs="Arial"/>
                <w:sz w:val="20"/>
                <w:szCs w:val="20"/>
              </w:rPr>
              <w:t>7,277.82 (Published)</w:t>
            </w:r>
          </w:p>
          <w:p w:rsidR="00B43641" w:rsidRPr="00CE7ECA" w:rsidRDefault="00B43641" w:rsidP="00C969DC">
            <w:pPr>
              <w:keepNext/>
              <w:spacing w:before="40" w:after="40"/>
              <w:jc w:val="both"/>
              <w:rPr>
                <w:rFonts w:ascii="Arial Narrow" w:hAnsi="Arial Narrow" w:cs="Arial"/>
                <w:sz w:val="20"/>
                <w:szCs w:val="20"/>
              </w:rPr>
            </w:pPr>
            <w:r w:rsidRPr="00CE7ECA">
              <w:rPr>
                <w:rFonts w:ascii="Arial Narrow" w:hAnsi="Arial Narrow" w:cs="Arial"/>
                <w:sz w:val="20"/>
                <w:szCs w:val="20"/>
              </w:rPr>
              <w:t>$</w:t>
            </w:r>
            <w:r w:rsidR="00291DED">
              <w:rPr>
                <w:rFonts w:ascii="Arial Narrow" w:hAnsi="Arial Narrow" w:cs="Arial"/>
                <w:noProof/>
                <w:color w:val="000000"/>
                <w:sz w:val="20"/>
                <w:szCs w:val="20"/>
                <w:highlight w:val="black"/>
              </w:rPr>
              <w:t>''''''''''''''''''''</w:t>
            </w:r>
            <w:r w:rsidRPr="00CE7ECA">
              <w:rPr>
                <w:rFonts w:ascii="Arial Narrow" w:hAnsi="Arial Narrow" w:cs="Arial"/>
                <w:sz w:val="20"/>
                <w:szCs w:val="20"/>
              </w:rPr>
              <w:t xml:space="preserve"> (Effective)</w:t>
            </w:r>
          </w:p>
          <w:p w:rsidR="009C45FD" w:rsidRPr="00CE7ECA" w:rsidRDefault="00F77324" w:rsidP="00C969DC">
            <w:pPr>
              <w:keepNext/>
              <w:spacing w:before="40" w:after="40"/>
              <w:jc w:val="both"/>
              <w:rPr>
                <w:rFonts w:ascii="Arial Narrow" w:hAnsi="Arial Narrow" w:cs="Arial"/>
                <w:sz w:val="20"/>
                <w:szCs w:val="20"/>
              </w:rPr>
            </w:pPr>
            <w:r w:rsidRPr="00CE7ECA">
              <w:rPr>
                <w:rFonts w:ascii="Arial Narrow" w:hAnsi="Arial Narrow" w:cs="Arial"/>
                <w:sz w:val="20"/>
                <w:szCs w:val="20"/>
              </w:rPr>
              <w:t>$</w:t>
            </w:r>
            <w:r w:rsidR="00291DED">
              <w:rPr>
                <w:rFonts w:ascii="Arial Narrow" w:hAnsi="Arial Narrow" w:cs="Arial"/>
                <w:noProof/>
                <w:color w:val="000000"/>
                <w:sz w:val="20"/>
                <w:szCs w:val="20"/>
                <w:highlight w:val="black"/>
              </w:rPr>
              <w:t>'''''''''''''''''''''</w:t>
            </w:r>
            <w:r w:rsidR="009C45FD" w:rsidRPr="00CE7ECA">
              <w:rPr>
                <w:rFonts w:ascii="Arial Narrow" w:hAnsi="Arial Narrow" w:cs="Arial"/>
                <w:sz w:val="20"/>
                <w:szCs w:val="20"/>
              </w:rPr>
              <w:t xml:space="preserve"> (Weighted effective)</w:t>
            </w:r>
          </w:p>
        </w:tc>
        <w:tc>
          <w:tcPr>
            <w:tcW w:w="547" w:type="pct"/>
            <w:tcBorders>
              <w:top w:val="single" w:sz="4" w:space="0" w:color="auto"/>
            </w:tcBorders>
          </w:tcPr>
          <w:p w:rsidR="006E1993" w:rsidRPr="00CE7ECA" w:rsidRDefault="006E1993" w:rsidP="005D28F3">
            <w:pPr>
              <w:keepNext/>
              <w:spacing w:before="40" w:after="40"/>
              <w:jc w:val="both"/>
              <w:rPr>
                <w:rFonts w:ascii="Arial Narrow" w:hAnsi="Arial Narrow" w:cs="Arial"/>
                <w:sz w:val="20"/>
                <w:szCs w:val="20"/>
              </w:rPr>
            </w:pPr>
          </w:p>
          <w:p w:rsidR="006E1993" w:rsidRPr="00CE7ECA" w:rsidRDefault="00B43641" w:rsidP="00B43641">
            <w:pPr>
              <w:keepNext/>
              <w:spacing w:before="40" w:after="40"/>
              <w:jc w:val="both"/>
              <w:rPr>
                <w:rFonts w:ascii="Arial Narrow" w:hAnsi="Arial Narrow" w:cs="Arial"/>
                <w:sz w:val="20"/>
                <w:szCs w:val="20"/>
              </w:rPr>
            </w:pPr>
            <w:r w:rsidRPr="00CE7ECA">
              <w:rPr>
                <w:rFonts w:ascii="Arial Narrow" w:hAnsi="Arial Narrow" w:cs="Arial"/>
                <w:sz w:val="20"/>
                <w:szCs w:val="20"/>
              </w:rPr>
              <w:t xml:space="preserve">Xalkori </w:t>
            </w:r>
            <w:r w:rsidRPr="00CE7ECA">
              <w:rPr>
                <w:rFonts w:ascii="Arial Narrow" w:hAnsi="Arial Narrow" w:cs="Arial"/>
                <w:sz w:val="20"/>
                <w:szCs w:val="20"/>
                <w:vertAlign w:val="superscript"/>
              </w:rPr>
              <w:t>®</w:t>
            </w:r>
          </w:p>
        </w:tc>
        <w:tc>
          <w:tcPr>
            <w:tcW w:w="485" w:type="pct"/>
            <w:tcBorders>
              <w:top w:val="single" w:sz="4" w:space="0" w:color="auto"/>
            </w:tcBorders>
          </w:tcPr>
          <w:p w:rsidR="006E1993" w:rsidRPr="00CE7ECA" w:rsidRDefault="006E1993" w:rsidP="005D28F3">
            <w:pPr>
              <w:keepNext/>
              <w:spacing w:before="40" w:after="40"/>
              <w:jc w:val="both"/>
              <w:rPr>
                <w:rFonts w:ascii="Arial Narrow" w:hAnsi="Arial Narrow" w:cs="Arial"/>
                <w:sz w:val="20"/>
                <w:szCs w:val="20"/>
              </w:rPr>
            </w:pPr>
          </w:p>
          <w:p w:rsidR="006E1993" w:rsidRPr="00CE7ECA" w:rsidRDefault="00B43641" w:rsidP="005D28F3">
            <w:pPr>
              <w:keepNext/>
              <w:spacing w:before="40" w:after="40"/>
              <w:jc w:val="both"/>
              <w:rPr>
                <w:rFonts w:ascii="Arial Narrow" w:hAnsi="Arial Narrow" w:cs="Arial"/>
                <w:sz w:val="20"/>
                <w:szCs w:val="20"/>
              </w:rPr>
            </w:pPr>
            <w:r w:rsidRPr="00CE7ECA">
              <w:rPr>
                <w:rFonts w:ascii="Arial Narrow" w:hAnsi="Arial Narrow" w:cs="Arial"/>
                <w:sz w:val="20"/>
                <w:szCs w:val="20"/>
              </w:rPr>
              <w:t>Pfizer</w:t>
            </w:r>
          </w:p>
        </w:tc>
      </w:tr>
      <w:tr w:rsidR="00B43641" w:rsidRPr="00CE7ECA" w:rsidTr="00F22318">
        <w:trPr>
          <w:cantSplit/>
          <w:trHeight w:val="567"/>
        </w:trPr>
        <w:tc>
          <w:tcPr>
            <w:tcW w:w="1701" w:type="pct"/>
            <w:gridSpan w:val="2"/>
            <w:tcBorders>
              <w:bottom w:val="single" w:sz="4" w:space="0" w:color="auto"/>
            </w:tcBorders>
          </w:tcPr>
          <w:p w:rsidR="00B43641" w:rsidRPr="00CE7ECA" w:rsidRDefault="00B43641" w:rsidP="005D28F3">
            <w:pPr>
              <w:keepNext/>
              <w:spacing w:before="40" w:after="40"/>
              <w:jc w:val="both"/>
              <w:rPr>
                <w:rFonts w:ascii="Arial Narrow" w:hAnsi="Arial Narrow" w:cs="Arial"/>
                <w:smallCaps/>
                <w:sz w:val="20"/>
                <w:szCs w:val="20"/>
              </w:rPr>
            </w:pPr>
            <w:r w:rsidRPr="00CE7ECA">
              <w:rPr>
                <w:rFonts w:ascii="Arial Narrow" w:hAnsi="Arial Narrow" w:cs="Arial"/>
                <w:smallCaps/>
                <w:sz w:val="20"/>
                <w:szCs w:val="20"/>
              </w:rPr>
              <w:t>CRIZOTINIB</w:t>
            </w:r>
          </w:p>
          <w:p w:rsidR="00B43641" w:rsidRPr="00CE7ECA" w:rsidRDefault="00B43641" w:rsidP="005D28F3">
            <w:pPr>
              <w:keepNext/>
              <w:spacing w:before="40" w:after="40"/>
              <w:jc w:val="both"/>
              <w:rPr>
                <w:rFonts w:ascii="Arial Narrow" w:hAnsi="Arial Narrow" w:cs="Arial"/>
                <w:sz w:val="20"/>
                <w:szCs w:val="20"/>
              </w:rPr>
            </w:pPr>
            <w:r w:rsidRPr="00CE7ECA">
              <w:rPr>
                <w:rFonts w:ascii="Arial Narrow" w:hAnsi="Arial Narrow" w:cs="Arial"/>
                <w:sz w:val="20"/>
                <w:szCs w:val="20"/>
              </w:rPr>
              <w:t>Capsule, 250 mg, 60</w:t>
            </w:r>
          </w:p>
        </w:tc>
        <w:tc>
          <w:tcPr>
            <w:tcW w:w="391" w:type="pct"/>
            <w:tcBorders>
              <w:bottom w:val="single" w:sz="4" w:space="0" w:color="auto"/>
            </w:tcBorders>
          </w:tcPr>
          <w:p w:rsidR="00B43641" w:rsidRPr="00CE7ECA" w:rsidRDefault="00B43641" w:rsidP="005D28F3">
            <w:pPr>
              <w:keepNext/>
              <w:spacing w:before="40" w:after="40"/>
              <w:jc w:val="both"/>
              <w:rPr>
                <w:rFonts w:ascii="Arial Narrow" w:hAnsi="Arial Narrow" w:cs="Arial"/>
                <w:sz w:val="20"/>
                <w:szCs w:val="20"/>
              </w:rPr>
            </w:pPr>
          </w:p>
          <w:p w:rsidR="00B43641" w:rsidRPr="00CE7ECA" w:rsidRDefault="00B43641" w:rsidP="005D28F3">
            <w:pPr>
              <w:keepNext/>
              <w:spacing w:before="40" w:after="40"/>
              <w:jc w:val="both"/>
              <w:rPr>
                <w:rFonts w:ascii="Arial Narrow" w:hAnsi="Arial Narrow" w:cs="Arial"/>
                <w:sz w:val="20"/>
                <w:szCs w:val="20"/>
              </w:rPr>
            </w:pPr>
            <w:r w:rsidRPr="00CE7ECA">
              <w:rPr>
                <w:rFonts w:ascii="Arial Narrow" w:hAnsi="Arial Narrow" w:cs="Arial"/>
                <w:sz w:val="20"/>
                <w:szCs w:val="20"/>
              </w:rPr>
              <w:t>1</w:t>
            </w:r>
          </w:p>
        </w:tc>
        <w:tc>
          <w:tcPr>
            <w:tcW w:w="391" w:type="pct"/>
            <w:tcBorders>
              <w:bottom w:val="single" w:sz="4" w:space="0" w:color="auto"/>
            </w:tcBorders>
          </w:tcPr>
          <w:p w:rsidR="00B43641" w:rsidRPr="00CE7ECA" w:rsidRDefault="00B43641" w:rsidP="005D28F3">
            <w:pPr>
              <w:keepNext/>
              <w:spacing w:before="40" w:after="40"/>
              <w:jc w:val="both"/>
              <w:rPr>
                <w:rFonts w:ascii="Arial Narrow" w:hAnsi="Arial Narrow" w:cs="Arial"/>
                <w:sz w:val="20"/>
                <w:szCs w:val="20"/>
              </w:rPr>
            </w:pPr>
          </w:p>
          <w:p w:rsidR="00B43641" w:rsidRPr="00CE7ECA" w:rsidRDefault="00B43641" w:rsidP="005D28F3">
            <w:pPr>
              <w:keepNext/>
              <w:spacing w:before="40" w:after="40"/>
              <w:jc w:val="both"/>
              <w:rPr>
                <w:rFonts w:ascii="Arial Narrow" w:hAnsi="Arial Narrow" w:cs="Arial"/>
                <w:sz w:val="20"/>
                <w:szCs w:val="20"/>
              </w:rPr>
            </w:pPr>
            <w:r w:rsidRPr="00CE7ECA">
              <w:rPr>
                <w:rFonts w:ascii="Arial Narrow" w:hAnsi="Arial Narrow" w:cs="Arial"/>
                <w:sz w:val="20"/>
                <w:szCs w:val="20"/>
              </w:rPr>
              <w:t>1</w:t>
            </w:r>
          </w:p>
        </w:tc>
        <w:tc>
          <w:tcPr>
            <w:tcW w:w="1485" w:type="pct"/>
            <w:tcBorders>
              <w:bottom w:val="single" w:sz="4" w:space="0" w:color="auto"/>
            </w:tcBorders>
          </w:tcPr>
          <w:p w:rsidR="00B43641" w:rsidRPr="00CE7ECA" w:rsidRDefault="00B43641" w:rsidP="005D28F3">
            <w:pPr>
              <w:keepNext/>
              <w:spacing w:before="40" w:after="40"/>
              <w:jc w:val="both"/>
              <w:rPr>
                <w:rFonts w:ascii="Arial Narrow" w:hAnsi="Arial Narrow" w:cs="Arial"/>
                <w:sz w:val="20"/>
                <w:szCs w:val="20"/>
              </w:rPr>
            </w:pPr>
            <w:r w:rsidRPr="00CE7ECA">
              <w:rPr>
                <w:rFonts w:ascii="Arial Narrow" w:hAnsi="Arial Narrow" w:cs="Arial"/>
                <w:sz w:val="20"/>
                <w:szCs w:val="20"/>
              </w:rPr>
              <w:t>$7,277.82 (Published)</w:t>
            </w:r>
          </w:p>
          <w:p w:rsidR="00B43641" w:rsidRPr="00CE7ECA" w:rsidRDefault="00B43641" w:rsidP="00C969DC">
            <w:pPr>
              <w:keepNext/>
              <w:spacing w:before="40" w:after="40"/>
              <w:jc w:val="both"/>
              <w:rPr>
                <w:rFonts w:ascii="Arial Narrow" w:hAnsi="Arial Narrow" w:cs="Arial"/>
                <w:sz w:val="20"/>
                <w:szCs w:val="20"/>
              </w:rPr>
            </w:pPr>
            <w:r w:rsidRPr="00CE7ECA">
              <w:rPr>
                <w:rFonts w:ascii="Arial Narrow" w:hAnsi="Arial Narrow" w:cs="Arial"/>
                <w:sz w:val="20"/>
                <w:szCs w:val="20"/>
              </w:rPr>
              <w:t>$</w:t>
            </w:r>
            <w:r w:rsidR="00291DED">
              <w:rPr>
                <w:rFonts w:ascii="Arial Narrow" w:hAnsi="Arial Narrow" w:cs="Arial"/>
                <w:noProof/>
                <w:color w:val="000000"/>
                <w:sz w:val="20"/>
                <w:szCs w:val="20"/>
                <w:highlight w:val="black"/>
              </w:rPr>
              <w:t>''''''''''''''''''''''</w:t>
            </w:r>
            <w:r w:rsidR="00C969DC" w:rsidRPr="00CE7ECA">
              <w:rPr>
                <w:rFonts w:ascii="Arial Narrow" w:hAnsi="Arial Narrow" w:cs="Arial"/>
                <w:sz w:val="20"/>
                <w:szCs w:val="20"/>
              </w:rPr>
              <w:t xml:space="preserve"> </w:t>
            </w:r>
            <w:r w:rsidRPr="00CE7ECA">
              <w:rPr>
                <w:rFonts w:ascii="Arial Narrow" w:hAnsi="Arial Narrow" w:cs="Arial"/>
                <w:sz w:val="20"/>
                <w:szCs w:val="20"/>
              </w:rPr>
              <w:t>(Effective)</w:t>
            </w:r>
          </w:p>
          <w:p w:rsidR="009C45FD" w:rsidRPr="00CE7ECA" w:rsidRDefault="00F77324" w:rsidP="00C969DC">
            <w:pPr>
              <w:keepNext/>
              <w:spacing w:before="40" w:after="40"/>
              <w:jc w:val="both"/>
              <w:rPr>
                <w:rFonts w:ascii="Arial Narrow" w:hAnsi="Arial Narrow" w:cs="Arial"/>
                <w:sz w:val="20"/>
                <w:szCs w:val="20"/>
              </w:rPr>
            </w:pPr>
            <w:r w:rsidRPr="00CE7ECA">
              <w:rPr>
                <w:rFonts w:ascii="Arial Narrow" w:hAnsi="Arial Narrow" w:cs="Arial"/>
                <w:sz w:val="20"/>
                <w:szCs w:val="20"/>
              </w:rPr>
              <w:t>$</w:t>
            </w:r>
            <w:r w:rsidR="00291DED">
              <w:rPr>
                <w:rFonts w:ascii="Arial Narrow" w:hAnsi="Arial Narrow" w:cs="Arial"/>
                <w:noProof/>
                <w:color w:val="000000"/>
                <w:sz w:val="20"/>
                <w:szCs w:val="20"/>
                <w:highlight w:val="black"/>
              </w:rPr>
              <w:t>'''''''''''''''''''''</w:t>
            </w:r>
            <w:r w:rsidR="009C45FD" w:rsidRPr="00CE7ECA">
              <w:rPr>
                <w:rFonts w:ascii="Arial Narrow" w:hAnsi="Arial Narrow" w:cs="Arial"/>
                <w:sz w:val="20"/>
                <w:szCs w:val="20"/>
              </w:rPr>
              <w:t xml:space="preserve"> (Weighted effective)</w:t>
            </w:r>
          </w:p>
        </w:tc>
        <w:tc>
          <w:tcPr>
            <w:tcW w:w="547" w:type="pct"/>
            <w:tcBorders>
              <w:bottom w:val="single" w:sz="4" w:space="0" w:color="auto"/>
            </w:tcBorders>
          </w:tcPr>
          <w:p w:rsidR="00B43641" w:rsidRPr="00CE7ECA" w:rsidRDefault="00B43641" w:rsidP="005D28F3">
            <w:pPr>
              <w:keepNext/>
              <w:spacing w:before="40" w:after="40"/>
              <w:jc w:val="both"/>
              <w:rPr>
                <w:rFonts w:ascii="Arial Narrow" w:hAnsi="Arial Narrow" w:cs="Arial"/>
                <w:sz w:val="20"/>
                <w:szCs w:val="20"/>
              </w:rPr>
            </w:pPr>
          </w:p>
          <w:p w:rsidR="00B43641" w:rsidRPr="00CE7ECA" w:rsidRDefault="00B43641" w:rsidP="005D28F3">
            <w:pPr>
              <w:keepNext/>
              <w:spacing w:before="40" w:after="40"/>
              <w:jc w:val="both"/>
              <w:rPr>
                <w:rFonts w:ascii="Arial Narrow" w:hAnsi="Arial Narrow" w:cs="Arial"/>
                <w:sz w:val="20"/>
                <w:szCs w:val="20"/>
              </w:rPr>
            </w:pPr>
            <w:r w:rsidRPr="00CE7ECA">
              <w:rPr>
                <w:rFonts w:ascii="Arial Narrow" w:hAnsi="Arial Narrow" w:cs="Arial"/>
                <w:sz w:val="20"/>
                <w:szCs w:val="20"/>
              </w:rPr>
              <w:t xml:space="preserve">Xalkori </w:t>
            </w:r>
            <w:r w:rsidRPr="00CE7ECA">
              <w:rPr>
                <w:rFonts w:ascii="Arial Narrow" w:hAnsi="Arial Narrow" w:cs="Arial"/>
                <w:sz w:val="20"/>
                <w:szCs w:val="20"/>
                <w:vertAlign w:val="superscript"/>
              </w:rPr>
              <w:t>®</w:t>
            </w:r>
          </w:p>
        </w:tc>
        <w:tc>
          <w:tcPr>
            <w:tcW w:w="485" w:type="pct"/>
            <w:tcBorders>
              <w:bottom w:val="single" w:sz="4" w:space="0" w:color="auto"/>
            </w:tcBorders>
          </w:tcPr>
          <w:p w:rsidR="00B43641" w:rsidRPr="00CE7ECA" w:rsidRDefault="00B43641" w:rsidP="005D28F3">
            <w:pPr>
              <w:keepNext/>
              <w:spacing w:before="40" w:after="40"/>
              <w:jc w:val="both"/>
              <w:rPr>
                <w:rFonts w:ascii="Arial Narrow" w:hAnsi="Arial Narrow" w:cs="Arial"/>
                <w:sz w:val="20"/>
                <w:szCs w:val="20"/>
              </w:rPr>
            </w:pPr>
          </w:p>
          <w:p w:rsidR="00B43641" w:rsidRPr="00CE7ECA" w:rsidRDefault="00B43641" w:rsidP="005D28F3">
            <w:pPr>
              <w:keepNext/>
              <w:spacing w:before="40" w:after="40"/>
              <w:jc w:val="both"/>
              <w:rPr>
                <w:rFonts w:ascii="Arial Narrow" w:hAnsi="Arial Narrow" w:cs="Arial"/>
                <w:sz w:val="20"/>
                <w:szCs w:val="20"/>
              </w:rPr>
            </w:pPr>
            <w:r w:rsidRPr="00CE7ECA">
              <w:rPr>
                <w:rFonts w:ascii="Arial Narrow" w:hAnsi="Arial Narrow" w:cs="Arial"/>
                <w:sz w:val="20"/>
                <w:szCs w:val="20"/>
              </w:rPr>
              <w:t>Pfizer</w:t>
            </w:r>
          </w:p>
        </w:tc>
      </w:tr>
      <w:tr w:rsidR="006E1993" w:rsidRPr="00CE7ECA" w:rsidTr="005D28F3">
        <w:trPr>
          <w:cantSplit/>
          <w:trHeight w:val="360"/>
        </w:trPr>
        <w:tc>
          <w:tcPr>
            <w:tcW w:w="5000" w:type="pct"/>
            <w:gridSpan w:val="7"/>
            <w:tcBorders>
              <w:top w:val="single" w:sz="4" w:space="0" w:color="auto"/>
              <w:bottom w:val="single" w:sz="4" w:space="0" w:color="auto"/>
            </w:tcBorders>
          </w:tcPr>
          <w:p w:rsidR="006E1993" w:rsidRPr="00CE7ECA" w:rsidRDefault="006E1993" w:rsidP="005D28F3">
            <w:pPr>
              <w:spacing w:before="40" w:after="40"/>
              <w:jc w:val="both"/>
              <w:rPr>
                <w:rFonts w:ascii="Arial Narrow" w:hAnsi="Arial Narrow" w:cs="Arial"/>
                <w:sz w:val="20"/>
                <w:szCs w:val="20"/>
              </w:rPr>
            </w:pPr>
          </w:p>
        </w:tc>
      </w:tr>
      <w:tr w:rsidR="006E1993" w:rsidRPr="00CE7ECA" w:rsidTr="00B43641">
        <w:trPr>
          <w:cantSplit/>
          <w:trHeight w:val="283"/>
        </w:trPr>
        <w:tc>
          <w:tcPr>
            <w:tcW w:w="1093" w:type="pct"/>
            <w:tcBorders>
              <w:top w:val="single" w:sz="4" w:space="0" w:color="auto"/>
              <w:left w:val="single" w:sz="4" w:space="0" w:color="auto"/>
              <w:bottom w:val="single" w:sz="4" w:space="0" w:color="auto"/>
              <w:right w:val="single" w:sz="4" w:space="0" w:color="auto"/>
            </w:tcBorders>
          </w:tcPr>
          <w:p w:rsidR="006E1993" w:rsidRPr="00CE7ECA" w:rsidRDefault="006E1993" w:rsidP="00B43641">
            <w:pPr>
              <w:spacing w:before="40" w:after="40"/>
              <w:jc w:val="both"/>
              <w:rPr>
                <w:rFonts w:ascii="Arial Narrow" w:hAnsi="Arial Narrow" w:cs="Arial"/>
                <w:b/>
                <w:sz w:val="20"/>
                <w:szCs w:val="20"/>
              </w:rPr>
            </w:pPr>
            <w:r w:rsidRPr="00CE7ECA">
              <w:rPr>
                <w:rFonts w:ascii="Arial Narrow" w:hAnsi="Arial Narrow" w:cs="Arial"/>
                <w:b/>
                <w:sz w:val="20"/>
                <w:szCs w:val="20"/>
              </w:rPr>
              <w:t>Category / Program</w:t>
            </w:r>
            <w:r w:rsidR="005D28F3" w:rsidRPr="00CE7ECA">
              <w:rPr>
                <w:rFonts w:ascii="Arial Narrow" w:hAnsi="Arial Narrow" w:cs="Arial"/>
                <w:b/>
                <w:sz w:val="20"/>
                <w:szCs w:val="20"/>
              </w:rPr>
              <w:t>:</w:t>
            </w:r>
          </w:p>
        </w:tc>
        <w:tc>
          <w:tcPr>
            <w:tcW w:w="3907" w:type="pct"/>
            <w:gridSpan w:val="6"/>
            <w:tcBorders>
              <w:top w:val="single" w:sz="4" w:space="0" w:color="auto"/>
              <w:left w:val="single" w:sz="4" w:space="0" w:color="auto"/>
              <w:bottom w:val="single" w:sz="4" w:space="0" w:color="auto"/>
              <w:right w:val="single" w:sz="4" w:space="0" w:color="auto"/>
            </w:tcBorders>
          </w:tcPr>
          <w:p w:rsidR="006E1993" w:rsidRPr="00CE7ECA" w:rsidRDefault="006E1993" w:rsidP="005D28F3">
            <w:pPr>
              <w:spacing w:before="40" w:after="40"/>
              <w:rPr>
                <w:rFonts w:ascii="Arial Narrow" w:hAnsi="Arial Narrow" w:cs="Arial"/>
                <w:sz w:val="20"/>
                <w:szCs w:val="20"/>
              </w:rPr>
            </w:pPr>
            <w:r w:rsidRPr="00CE7ECA">
              <w:rPr>
                <w:rFonts w:ascii="Arial Narrow" w:hAnsi="Arial Narrow" w:cs="Arial"/>
                <w:sz w:val="20"/>
                <w:szCs w:val="20"/>
              </w:rPr>
              <w:t>GENERAL – General Schedule (Code GE)</w:t>
            </w:r>
          </w:p>
        </w:tc>
      </w:tr>
      <w:tr w:rsidR="006E1993" w:rsidRPr="00CE7ECA" w:rsidTr="00B43641">
        <w:trPr>
          <w:cantSplit/>
          <w:trHeight w:val="360"/>
        </w:trPr>
        <w:tc>
          <w:tcPr>
            <w:tcW w:w="1093" w:type="pct"/>
            <w:tcBorders>
              <w:top w:val="single" w:sz="4" w:space="0" w:color="auto"/>
              <w:left w:val="single" w:sz="4" w:space="0" w:color="auto"/>
              <w:bottom w:val="single" w:sz="4" w:space="0" w:color="auto"/>
              <w:right w:val="single" w:sz="4" w:space="0" w:color="auto"/>
            </w:tcBorders>
          </w:tcPr>
          <w:p w:rsidR="006E1993" w:rsidRPr="00CE7ECA" w:rsidRDefault="006E1993" w:rsidP="005D28F3">
            <w:pPr>
              <w:spacing w:before="40" w:after="40"/>
              <w:jc w:val="both"/>
              <w:rPr>
                <w:rFonts w:ascii="Arial Narrow" w:hAnsi="Arial Narrow" w:cs="Arial"/>
                <w:b/>
                <w:sz w:val="20"/>
                <w:szCs w:val="20"/>
              </w:rPr>
            </w:pPr>
            <w:r w:rsidRPr="00CE7ECA">
              <w:rPr>
                <w:rFonts w:ascii="Arial Narrow" w:hAnsi="Arial Narrow" w:cs="Arial"/>
                <w:b/>
                <w:sz w:val="20"/>
                <w:szCs w:val="20"/>
              </w:rPr>
              <w:t>Prescriber type:</w:t>
            </w:r>
          </w:p>
        </w:tc>
        <w:tc>
          <w:tcPr>
            <w:tcW w:w="3907" w:type="pct"/>
            <w:gridSpan w:val="6"/>
            <w:tcBorders>
              <w:top w:val="single" w:sz="4" w:space="0" w:color="auto"/>
              <w:left w:val="single" w:sz="4" w:space="0" w:color="auto"/>
              <w:bottom w:val="single" w:sz="4" w:space="0" w:color="auto"/>
              <w:right w:val="single" w:sz="4" w:space="0" w:color="auto"/>
            </w:tcBorders>
          </w:tcPr>
          <w:p w:rsidR="006E1993" w:rsidRPr="00CE7ECA" w:rsidRDefault="006E1993" w:rsidP="00C969DC">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1"/>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Dental  </w:t>
            </w:r>
            <w:r w:rsidR="00C969DC" w:rsidRPr="00CE7ECA">
              <w:rPr>
                <w:rFonts w:ascii="Arial Narrow" w:hAnsi="Arial Narrow" w:cs="Arial"/>
                <w:sz w:val="20"/>
                <w:szCs w:val="20"/>
              </w:rPr>
              <w:fldChar w:fldCharType="begin">
                <w:ffData>
                  <w:name w:val=""/>
                  <w:enabled/>
                  <w:calcOnExit w:val="0"/>
                  <w:checkBox>
                    <w:sizeAuto/>
                    <w:default w:val="1"/>
                  </w:checkBox>
                </w:ffData>
              </w:fldChar>
            </w:r>
            <w:r w:rsidR="00C969DC"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00C969DC" w:rsidRPr="00CE7ECA">
              <w:rPr>
                <w:rFonts w:ascii="Arial Narrow" w:hAnsi="Arial Narrow" w:cs="Arial"/>
                <w:sz w:val="20"/>
                <w:szCs w:val="20"/>
              </w:rPr>
              <w:fldChar w:fldCharType="end"/>
            </w:r>
            <w:r w:rsidRPr="00CE7ECA">
              <w:rPr>
                <w:rFonts w:ascii="Arial Narrow" w:hAnsi="Arial Narrow" w:cs="Arial"/>
                <w:sz w:val="20"/>
                <w:szCs w:val="20"/>
              </w:rPr>
              <w:t xml:space="preserve">Medical Practitioners  </w:t>
            </w:r>
            <w:r w:rsidRPr="00CE7ECA">
              <w:rPr>
                <w:rFonts w:ascii="Arial Narrow" w:hAnsi="Arial Narrow" w:cs="Arial"/>
                <w:sz w:val="20"/>
                <w:szCs w:val="20"/>
              </w:rPr>
              <w:fldChar w:fldCharType="begin">
                <w:ffData>
                  <w:name w:val="Check3"/>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Nurse practitioners  </w:t>
            </w: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Optometrists</w:t>
            </w:r>
            <w:r w:rsidR="00B43641" w:rsidRPr="00CE7ECA">
              <w:rPr>
                <w:rFonts w:ascii="Arial Narrow" w:hAnsi="Arial Narrow" w:cs="Arial"/>
                <w:sz w:val="20"/>
                <w:szCs w:val="20"/>
              </w:rPr>
              <w:t xml:space="preserve"> </w:t>
            </w: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Midwives</w:t>
            </w:r>
          </w:p>
        </w:tc>
      </w:tr>
      <w:tr w:rsidR="006E1993" w:rsidRPr="00CE7ECA" w:rsidTr="00B43641">
        <w:trPr>
          <w:cantSplit/>
          <w:trHeight w:val="360"/>
        </w:trPr>
        <w:tc>
          <w:tcPr>
            <w:tcW w:w="1093" w:type="pct"/>
            <w:tcBorders>
              <w:top w:val="single" w:sz="4" w:space="0" w:color="auto"/>
              <w:left w:val="single" w:sz="4" w:space="0" w:color="auto"/>
              <w:bottom w:val="single" w:sz="4" w:space="0" w:color="auto"/>
              <w:right w:val="single" w:sz="4" w:space="0" w:color="auto"/>
            </w:tcBorders>
          </w:tcPr>
          <w:p w:rsidR="006E1993" w:rsidRPr="00CE7ECA" w:rsidRDefault="006E1993" w:rsidP="005D28F3">
            <w:pPr>
              <w:spacing w:before="40" w:after="40"/>
              <w:jc w:val="both"/>
              <w:rPr>
                <w:rFonts w:ascii="Arial Narrow" w:hAnsi="Arial Narrow" w:cs="Arial"/>
                <w:b/>
                <w:sz w:val="20"/>
                <w:szCs w:val="20"/>
              </w:rPr>
            </w:pPr>
            <w:r w:rsidRPr="00CE7ECA">
              <w:rPr>
                <w:rFonts w:ascii="Arial Narrow" w:hAnsi="Arial Narrow" w:cs="Arial"/>
                <w:b/>
                <w:sz w:val="20"/>
                <w:szCs w:val="20"/>
              </w:rPr>
              <w:t>Severity:</w:t>
            </w:r>
          </w:p>
        </w:tc>
        <w:tc>
          <w:tcPr>
            <w:tcW w:w="3907" w:type="pct"/>
            <w:gridSpan w:val="6"/>
            <w:tcBorders>
              <w:top w:val="single" w:sz="4" w:space="0" w:color="auto"/>
              <w:left w:val="single" w:sz="4" w:space="0" w:color="auto"/>
              <w:bottom w:val="single" w:sz="4" w:space="0" w:color="auto"/>
              <w:right w:val="single" w:sz="4" w:space="0" w:color="auto"/>
            </w:tcBorders>
          </w:tcPr>
          <w:p w:rsidR="006E1993" w:rsidRPr="00CE7ECA" w:rsidRDefault="00B43641" w:rsidP="005D28F3">
            <w:pPr>
              <w:spacing w:before="40" w:after="40"/>
              <w:rPr>
                <w:rFonts w:ascii="Arial Narrow" w:hAnsi="Arial Narrow" w:cs="Arial"/>
                <w:sz w:val="20"/>
                <w:szCs w:val="20"/>
              </w:rPr>
            </w:pPr>
            <w:r w:rsidRPr="00CE7ECA">
              <w:rPr>
                <w:rFonts w:ascii="Arial Narrow" w:hAnsi="Arial Narrow" w:cs="Arial"/>
                <w:sz w:val="20"/>
                <w:szCs w:val="20"/>
              </w:rPr>
              <w:t>Stage IIIB (locally advanced) or Stage IV (metastatic)</w:t>
            </w:r>
          </w:p>
        </w:tc>
      </w:tr>
      <w:tr w:rsidR="006E1993" w:rsidRPr="00CE7ECA" w:rsidTr="00B43641">
        <w:trPr>
          <w:cantSplit/>
          <w:trHeight w:val="360"/>
        </w:trPr>
        <w:tc>
          <w:tcPr>
            <w:tcW w:w="1093" w:type="pct"/>
            <w:tcBorders>
              <w:top w:val="single" w:sz="4" w:space="0" w:color="auto"/>
              <w:left w:val="single" w:sz="4" w:space="0" w:color="auto"/>
              <w:bottom w:val="single" w:sz="4" w:space="0" w:color="auto"/>
              <w:right w:val="single" w:sz="4" w:space="0" w:color="auto"/>
            </w:tcBorders>
          </w:tcPr>
          <w:p w:rsidR="006E1993" w:rsidRPr="00CE7ECA" w:rsidRDefault="006E1993" w:rsidP="005D28F3">
            <w:pPr>
              <w:spacing w:before="40" w:after="40"/>
              <w:jc w:val="both"/>
              <w:rPr>
                <w:rFonts w:ascii="Arial Narrow" w:hAnsi="Arial Narrow" w:cs="Arial"/>
                <w:b/>
                <w:sz w:val="20"/>
                <w:szCs w:val="20"/>
              </w:rPr>
            </w:pPr>
            <w:r w:rsidRPr="00CE7ECA">
              <w:rPr>
                <w:rFonts w:ascii="Arial Narrow" w:hAnsi="Arial Narrow" w:cs="Arial"/>
                <w:b/>
                <w:sz w:val="20"/>
                <w:szCs w:val="20"/>
              </w:rPr>
              <w:t>Condition:</w:t>
            </w:r>
          </w:p>
        </w:tc>
        <w:tc>
          <w:tcPr>
            <w:tcW w:w="3907" w:type="pct"/>
            <w:gridSpan w:val="6"/>
            <w:tcBorders>
              <w:top w:val="single" w:sz="4" w:space="0" w:color="auto"/>
              <w:left w:val="single" w:sz="4" w:space="0" w:color="auto"/>
              <w:bottom w:val="single" w:sz="4" w:space="0" w:color="auto"/>
              <w:right w:val="single" w:sz="4" w:space="0" w:color="auto"/>
            </w:tcBorders>
          </w:tcPr>
          <w:p w:rsidR="006E1993" w:rsidRPr="00CE7ECA" w:rsidRDefault="00B43641" w:rsidP="005D28F3">
            <w:pPr>
              <w:spacing w:before="40" w:after="40"/>
              <w:rPr>
                <w:rFonts w:ascii="Arial Narrow" w:hAnsi="Arial Narrow" w:cs="Arial"/>
                <w:sz w:val="20"/>
                <w:szCs w:val="20"/>
              </w:rPr>
            </w:pPr>
            <w:r w:rsidRPr="00CE7ECA">
              <w:rPr>
                <w:rFonts w:ascii="Arial Narrow" w:hAnsi="Arial Narrow" w:cs="Arial"/>
                <w:sz w:val="20"/>
                <w:szCs w:val="20"/>
              </w:rPr>
              <w:t>Non-small cell lung cancer</w:t>
            </w:r>
          </w:p>
        </w:tc>
      </w:tr>
      <w:tr w:rsidR="006E1993" w:rsidRPr="00CE7ECA" w:rsidTr="00B43641">
        <w:trPr>
          <w:cantSplit/>
          <w:trHeight w:val="360"/>
        </w:trPr>
        <w:tc>
          <w:tcPr>
            <w:tcW w:w="1093" w:type="pct"/>
            <w:tcBorders>
              <w:top w:val="single" w:sz="4" w:space="0" w:color="auto"/>
              <w:left w:val="single" w:sz="4" w:space="0" w:color="auto"/>
              <w:bottom w:val="single" w:sz="4" w:space="0" w:color="auto"/>
              <w:right w:val="single" w:sz="4" w:space="0" w:color="auto"/>
            </w:tcBorders>
          </w:tcPr>
          <w:p w:rsidR="006E1993" w:rsidRPr="00CE7ECA" w:rsidRDefault="006E1993" w:rsidP="005D28F3">
            <w:pPr>
              <w:spacing w:before="40" w:after="40"/>
              <w:jc w:val="both"/>
              <w:rPr>
                <w:rFonts w:ascii="Arial Narrow" w:hAnsi="Arial Narrow" w:cs="Arial"/>
                <w:b/>
                <w:sz w:val="20"/>
                <w:szCs w:val="20"/>
              </w:rPr>
            </w:pPr>
            <w:r w:rsidRPr="00CE7ECA">
              <w:rPr>
                <w:rFonts w:ascii="Arial Narrow" w:hAnsi="Arial Narrow" w:cs="Arial"/>
                <w:b/>
                <w:sz w:val="20"/>
                <w:szCs w:val="20"/>
              </w:rPr>
              <w:t>PBS Indication:</w:t>
            </w:r>
          </w:p>
        </w:tc>
        <w:tc>
          <w:tcPr>
            <w:tcW w:w="3907" w:type="pct"/>
            <w:gridSpan w:val="6"/>
            <w:tcBorders>
              <w:top w:val="single" w:sz="4" w:space="0" w:color="auto"/>
              <w:left w:val="single" w:sz="4" w:space="0" w:color="auto"/>
              <w:bottom w:val="single" w:sz="4" w:space="0" w:color="auto"/>
              <w:right w:val="single" w:sz="4" w:space="0" w:color="auto"/>
            </w:tcBorders>
          </w:tcPr>
          <w:p w:rsidR="006E1993" w:rsidRPr="00CE7ECA" w:rsidRDefault="00B43641" w:rsidP="005D28F3">
            <w:pPr>
              <w:spacing w:before="40" w:after="40"/>
              <w:rPr>
                <w:rFonts w:ascii="Arial Narrow" w:hAnsi="Arial Narrow" w:cs="Arial"/>
                <w:sz w:val="20"/>
                <w:szCs w:val="20"/>
              </w:rPr>
            </w:pPr>
            <w:r w:rsidRPr="00CE7ECA">
              <w:rPr>
                <w:rFonts w:ascii="Arial Narrow" w:hAnsi="Arial Narrow" w:cs="Arial"/>
                <w:sz w:val="20"/>
                <w:szCs w:val="20"/>
              </w:rPr>
              <w:t>Stage IIIB (locally advanced) or Stage IV (metastatic) non-small cell lung cancer</w:t>
            </w:r>
          </w:p>
        </w:tc>
      </w:tr>
      <w:tr w:rsidR="006E1993" w:rsidRPr="00CE7ECA" w:rsidTr="00B43641">
        <w:trPr>
          <w:cantSplit/>
          <w:trHeight w:val="360"/>
        </w:trPr>
        <w:tc>
          <w:tcPr>
            <w:tcW w:w="1093" w:type="pct"/>
            <w:tcBorders>
              <w:top w:val="single" w:sz="4" w:space="0" w:color="auto"/>
              <w:left w:val="single" w:sz="4" w:space="0" w:color="auto"/>
              <w:bottom w:val="single" w:sz="4" w:space="0" w:color="auto"/>
              <w:right w:val="single" w:sz="4" w:space="0" w:color="auto"/>
            </w:tcBorders>
          </w:tcPr>
          <w:p w:rsidR="006E1993" w:rsidRPr="00CE7ECA" w:rsidRDefault="006E1993" w:rsidP="005D28F3">
            <w:pPr>
              <w:spacing w:before="40" w:after="40"/>
              <w:jc w:val="both"/>
              <w:rPr>
                <w:rFonts w:ascii="Arial Narrow" w:hAnsi="Arial Narrow" w:cs="Arial"/>
                <w:b/>
                <w:sz w:val="20"/>
                <w:szCs w:val="20"/>
              </w:rPr>
            </w:pPr>
            <w:r w:rsidRPr="00CE7ECA">
              <w:rPr>
                <w:rFonts w:ascii="Arial Narrow" w:hAnsi="Arial Narrow" w:cs="Arial"/>
                <w:b/>
                <w:sz w:val="20"/>
                <w:szCs w:val="20"/>
              </w:rPr>
              <w:t>Treatment phase:</w:t>
            </w:r>
          </w:p>
        </w:tc>
        <w:tc>
          <w:tcPr>
            <w:tcW w:w="3907" w:type="pct"/>
            <w:gridSpan w:val="6"/>
            <w:tcBorders>
              <w:top w:val="single" w:sz="4" w:space="0" w:color="auto"/>
              <w:left w:val="single" w:sz="4" w:space="0" w:color="auto"/>
              <w:bottom w:val="single" w:sz="4" w:space="0" w:color="auto"/>
              <w:right w:val="single" w:sz="4" w:space="0" w:color="auto"/>
            </w:tcBorders>
          </w:tcPr>
          <w:p w:rsidR="006E1993" w:rsidRPr="00CE7ECA" w:rsidRDefault="00B43641" w:rsidP="005D28F3">
            <w:pPr>
              <w:spacing w:before="40" w:after="40"/>
              <w:rPr>
                <w:rFonts w:ascii="Arial Narrow" w:hAnsi="Arial Narrow" w:cs="Arial"/>
                <w:sz w:val="20"/>
                <w:szCs w:val="20"/>
              </w:rPr>
            </w:pPr>
            <w:r w:rsidRPr="00CE7ECA">
              <w:rPr>
                <w:rFonts w:ascii="Arial Narrow" w:hAnsi="Arial Narrow" w:cs="Arial"/>
                <w:sz w:val="20"/>
                <w:szCs w:val="20"/>
              </w:rPr>
              <w:t>Initial treatment</w:t>
            </w:r>
          </w:p>
        </w:tc>
      </w:tr>
      <w:tr w:rsidR="006E1993" w:rsidRPr="00CE7ECA" w:rsidTr="00B43641">
        <w:trPr>
          <w:cantSplit/>
          <w:trHeight w:val="360"/>
        </w:trPr>
        <w:tc>
          <w:tcPr>
            <w:tcW w:w="1093" w:type="pct"/>
            <w:tcBorders>
              <w:top w:val="single" w:sz="4" w:space="0" w:color="auto"/>
              <w:left w:val="single" w:sz="4" w:space="0" w:color="auto"/>
              <w:bottom w:val="single" w:sz="4" w:space="0" w:color="auto"/>
              <w:right w:val="single" w:sz="4" w:space="0" w:color="auto"/>
            </w:tcBorders>
          </w:tcPr>
          <w:p w:rsidR="006E1993" w:rsidRPr="00CE7ECA" w:rsidRDefault="006E1993" w:rsidP="005D28F3">
            <w:pPr>
              <w:spacing w:before="40" w:after="40"/>
              <w:rPr>
                <w:rFonts w:ascii="Arial Narrow" w:hAnsi="Arial Narrow" w:cs="Arial"/>
                <w:b/>
                <w:sz w:val="20"/>
                <w:szCs w:val="20"/>
              </w:rPr>
            </w:pPr>
            <w:r w:rsidRPr="00CE7ECA">
              <w:rPr>
                <w:rFonts w:ascii="Arial Narrow" w:hAnsi="Arial Narrow" w:cs="Arial"/>
                <w:b/>
                <w:sz w:val="20"/>
                <w:szCs w:val="20"/>
              </w:rPr>
              <w:t>Restriction Level / Method:</w:t>
            </w:r>
          </w:p>
          <w:p w:rsidR="006E1993" w:rsidRPr="00CE7ECA" w:rsidRDefault="006E1993" w:rsidP="005D28F3">
            <w:pPr>
              <w:spacing w:before="40" w:after="40"/>
              <w:rPr>
                <w:rFonts w:ascii="Arial Narrow" w:hAnsi="Arial Narrow" w:cs="Arial"/>
                <w:sz w:val="20"/>
                <w:szCs w:val="20"/>
              </w:rPr>
            </w:pPr>
          </w:p>
        </w:tc>
        <w:tc>
          <w:tcPr>
            <w:tcW w:w="3907" w:type="pct"/>
            <w:gridSpan w:val="6"/>
            <w:tcBorders>
              <w:top w:val="single" w:sz="4" w:space="0" w:color="auto"/>
              <w:left w:val="single" w:sz="4" w:space="0" w:color="auto"/>
              <w:bottom w:val="single" w:sz="4" w:space="0" w:color="auto"/>
              <w:right w:val="single" w:sz="4" w:space="0" w:color="auto"/>
            </w:tcBorders>
          </w:tcPr>
          <w:p w:rsidR="006E1993" w:rsidRPr="00CE7ECA" w:rsidRDefault="006E1993"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1"/>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Restricted benefit</w:t>
            </w:r>
          </w:p>
          <w:p w:rsidR="006E1993" w:rsidRPr="00CE7ECA" w:rsidRDefault="00B43641"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1"/>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006E1993" w:rsidRPr="00CE7ECA">
              <w:rPr>
                <w:rFonts w:ascii="Arial Narrow" w:hAnsi="Arial Narrow" w:cs="Arial"/>
                <w:sz w:val="20"/>
                <w:szCs w:val="20"/>
              </w:rPr>
              <w:t>Authority Required - In Writing</w:t>
            </w:r>
          </w:p>
          <w:p w:rsidR="006E1993" w:rsidRPr="00CE7ECA" w:rsidRDefault="006E1993"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3"/>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Telephone</w:t>
            </w:r>
          </w:p>
          <w:p w:rsidR="006E1993" w:rsidRPr="00CE7ECA" w:rsidRDefault="006E1993"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Emergency</w:t>
            </w:r>
          </w:p>
          <w:p w:rsidR="006E1993" w:rsidRPr="00CE7ECA" w:rsidRDefault="006E1993"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Electronic</w:t>
            </w:r>
          </w:p>
          <w:p w:rsidR="006E1993" w:rsidRPr="00CE7ECA" w:rsidRDefault="006E1993"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Streamlined</w:t>
            </w:r>
          </w:p>
        </w:tc>
      </w:tr>
      <w:tr w:rsidR="006E1993" w:rsidRPr="00CE7ECA" w:rsidTr="00B43641">
        <w:trPr>
          <w:cantSplit/>
          <w:trHeight w:val="1570"/>
        </w:trPr>
        <w:tc>
          <w:tcPr>
            <w:tcW w:w="1093" w:type="pct"/>
            <w:tcBorders>
              <w:top w:val="single" w:sz="4" w:space="0" w:color="auto"/>
              <w:left w:val="single" w:sz="4" w:space="0" w:color="auto"/>
              <w:bottom w:val="single" w:sz="4" w:space="0" w:color="auto"/>
              <w:right w:val="single" w:sz="4" w:space="0" w:color="auto"/>
            </w:tcBorders>
          </w:tcPr>
          <w:p w:rsidR="006E1993" w:rsidRPr="00CE7ECA" w:rsidRDefault="006E1993" w:rsidP="00B43641">
            <w:pPr>
              <w:spacing w:before="40" w:after="40"/>
              <w:jc w:val="both"/>
              <w:rPr>
                <w:rFonts w:ascii="Arial Narrow" w:hAnsi="Arial Narrow" w:cs="Arial"/>
                <w:b/>
                <w:sz w:val="20"/>
                <w:szCs w:val="20"/>
              </w:rPr>
            </w:pPr>
            <w:r w:rsidRPr="00CE7ECA">
              <w:rPr>
                <w:rFonts w:ascii="Arial Narrow" w:hAnsi="Arial Narrow" w:cs="Arial"/>
                <w:b/>
                <w:sz w:val="20"/>
                <w:szCs w:val="20"/>
              </w:rPr>
              <w:t>Clinical criteria:</w:t>
            </w:r>
          </w:p>
        </w:tc>
        <w:tc>
          <w:tcPr>
            <w:tcW w:w="3907" w:type="pct"/>
            <w:gridSpan w:val="6"/>
            <w:tcBorders>
              <w:top w:val="single" w:sz="4" w:space="0" w:color="auto"/>
              <w:left w:val="single" w:sz="4" w:space="0" w:color="auto"/>
              <w:bottom w:val="single" w:sz="4" w:space="0" w:color="auto"/>
              <w:right w:val="single" w:sz="4" w:space="0" w:color="auto"/>
            </w:tcBorders>
          </w:tcPr>
          <w:p w:rsidR="006E1993" w:rsidRPr="00CE7ECA" w:rsidRDefault="00B43641" w:rsidP="005D28F3">
            <w:pPr>
              <w:spacing w:before="40" w:after="40"/>
              <w:rPr>
                <w:rFonts w:ascii="Arial Narrow" w:hAnsi="Arial Narrow" w:cs="Arial"/>
                <w:sz w:val="20"/>
                <w:szCs w:val="20"/>
              </w:rPr>
            </w:pPr>
            <w:r w:rsidRPr="00CE7ECA">
              <w:rPr>
                <w:rFonts w:ascii="Arial Narrow" w:hAnsi="Arial Narrow" w:cs="Arial"/>
                <w:sz w:val="20"/>
                <w:szCs w:val="20"/>
              </w:rPr>
              <w:t>The condition must be non-squamous type non-small cell lung cancer (NSCLC) or not otherwise specified type NSCLC,</w:t>
            </w:r>
          </w:p>
          <w:p w:rsidR="00B43641" w:rsidRPr="00CE7ECA" w:rsidRDefault="00B43641" w:rsidP="005D28F3">
            <w:pPr>
              <w:spacing w:before="40" w:after="40"/>
              <w:rPr>
                <w:rFonts w:ascii="Arial Narrow" w:hAnsi="Arial Narrow" w:cs="Arial"/>
                <w:sz w:val="20"/>
                <w:szCs w:val="20"/>
              </w:rPr>
            </w:pPr>
            <w:r w:rsidRPr="00CE7ECA">
              <w:rPr>
                <w:rFonts w:ascii="Arial Narrow" w:hAnsi="Arial Narrow" w:cs="Arial"/>
                <w:sz w:val="20"/>
                <w:szCs w:val="20"/>
              </w:rPr>
              <w:t>AND</w:t>
            </w:r>
          </w:p>
          <w:p w:rsidR="00B43641" w:rsidRPr="00CE7ECA" w:rsidRDefault="00B43641" w:rsidP="005D28F3">
            <w:pPr>
              <w:spacing w:before="40" w:after="40"/>
              <w:rPr>
                <w:rFonts w:ascii="Arial Narrow" w:hAnsi="Arial Narrow" w:cs="Arial"/>
                <w:sz w:val="20"/>
                <w:szCs w:val="20"/>
              </w:rPr>
            </w:pPr>
            <w:r w:rsidRPr="00CE7ECA">
              <w:rPr>
                <w:rFonts w:ascii="Arial Narrow" w:hAnsi="Arial Narrow" w:cs="Arial"/>
                <w:sz w:val="20"/>
                <w:szCs w:val="20"/>
              </w:rPr>
              <w:t>The treatment must be the sole PBS-subsidised therapy for this condition,</w:t>
            </w:r>
          </w:p>
          <w:p w:rsidR="00B43641" w:rsidRPr="00CE7ECA" w:rsidRDefault="00B43641" w:rsidP="005D28F3">
            <w:pPr>
              <w:spacing w:before="40" w:after="40"/>
              <w:rPr>
                <w:rFonts w:ascii="Arial Narrow" w:hAnsi="Arial Narrow" w:cs="Arial"/>
                <w:sz w:val="20"/>
                <w:szCs w:val="20"/>
              </w:rPr>
            </w:pPr>
            <w:r w:rsidRPr="00CE7ECA">
              <w:rPr>
                <w:rFonts w:ascii="Arial Narrow" w:hAnsi="Arial Narrow" w:cs="Arial"/>
                <w:sz w:val="20"/>
                <w:szCs w:val="20"/>
              </w:rPr>
              <w:t>AND</w:t>
            </w:r>
          </w:p>
          <w:p w:rsidR="006E1993" w:rsidRPr="00CE7ECA" w:rsidRDefault="00B43641" w:rsidP="00B43641">
            <w:pPr>
              <w:spacing w:before="40" w:after="40"/>
              <w:rPr>
                <w:rFonts w:ascii="Arial Narrow" w:hAnsi="Arial Narrow" w:cs="Arial"/>
                <w:sz w:val="20"/>
                <w:szCs w:val="20"/>
              </w:rPr>
            </w:pPr>
            <w:r w:rsidRPr="00CE7ECA">
              <w:rPr>
                <w:rFonts w:ascii="Arial Narrow" w:hAnsi="Arial Narrow" w:cs="Arial"/>
                <w:sz w:val="20"/>
                <w:szCs w:val="20"/>
              </w:rPr>
              <w:t>Patient must have a WHO performance status of 2 or less.</w:t>
            </w:r>
          </w:p>
        </w:tc>
      </w:tr>
      <w:tr w:rsidR="006E1993" w:rsidRPr="00CE7ECA" w:rsidTr="00B43641">
        <w:trPr>
          <w:cantSplit/>
          <w:trHeight w:val="360"/>
        </w:trPr>
        <w:tc>
          <w:tcPr>
            <w:tcW w:w="1093" w:type="pct"/>
            <w:tcBorders>
              <w:top w:val="single" w:sz="4" w:space="0" w:color="auto"/>
              <w:left w:val="single" w:sz="4" w:space="0" w:color="auto"/>
              <w:bottom w:val="single" w:sz="4" w:space="0" w:color="auto"/>
              <w:right w:val="single" w:sz="4" w:space="0" w:color="auto"/>
            </w:tcBorders>
          </w:tcPr>
          <w:p w:rsidR="006E1993" w:rsidRPr="00CE7ECA" w:rsidRDefault="006E1993" w:rsidP="00B43641">
            <w:pPr>
              <w:spacing w:before="40" w:after="40"/>
              <w:jc w:val="both"/>
              <w:rPr>
                <w:rFonts w:ascii="Arial Narrow" w:hAnsi="Arial Narrow" w:cs="Arial"/>
                <w:b/>
                <w:sz w:val="20"/>
                <w:szCs w:val="20"/>
              </w:rPr>
            </w:pPr>
            <w:r w:rsidRPr="00CE7ECA">
              <w:rPr>
                <w:rFonts w:ascii="Arial Narrow" w:hAnsi="Arial Narrow" w:cs="Arial"/>
                <w:b/>
                <w:sz w:val="20"/>
                <w:szCs w:val="20"/>
              </w:rPr>
              <w:t>Population criteria:</w:t>
            </w:r>
          </w:p>
        </w:tc>
        <w:tc>
          <w:tcPr>
            <w:tcW w:w="3907" w:type="pct"/>
            <w:gridSpan w:val="6"/>
            <w:tcBorders>
              <w:top w:val="single" w:sz="4" w:space="0" w:color="auto"/>
              <w:left w:val="single" w:sz="4" w:space="0" w:color="auto"/>
              <w:bottom w:val="single" w:sz="4" w:space="0" w:color="auto"/>
              <w:right w:val="single" w:sz="4" w:space="0" w:color="auto"/>
            </w:tcBorders>
          </w:tcPr>
          <w:p w:rsidR="006E1993" w:rsidRPr="00CE7ECA" w:rsidRDefault="00B43641" w:rsidP="00B43641">
            <w:pPr>
              <w:spacing w:before="40" w:after="40"/>
              <w:rPr>
                <w:rFonts w:ascii="Arial Narrow" w:hAnsi="Arial Narrow" w:cs="Arial"/>
                <w:sz w:val="20"/>
                <w:szCs w:val="20"/>
              </w:rPr>
            </w:pPr>
            <w:r w:rsidRPr="00CE7ECA">
              <w:rPr>
                <w:rFonts w:ascii="Arial Narrow" w:hAnsi="Arial Narrow" w:cs="Arial"/>
                <w:sz w:val="20"/>
                <w:szCs w:val="20"/>
              </w:rPr>
              <w:t>Patient must have evidence of ROS1 gene rearrangement in tumour material, defined as 15% (or greater) positive cells by fluorescence in situ hybridisation (FISH) testing.</w:t>
            </w:r>
          </w:p>
        </w:tc>
      </w:tr>
      <w:tr w:rsidR="006E1993" w:rsidRPr="00CE7ECA" w:rsidTr="00B43641">
        <w:trPr>
          <w:cantSplit/>
          <w:trHeight w:val="360"/>
        </w:trPr>
        <w:tc>
          <w:tcPr>
            <w:tcW w:w="1093" w:type="pct"/>
            <w:tcBorders>
              <w:top w:val="single" w:sz="4" w:space="0" w:color="auto"/>
              <w:left w:val="single" w:sz="4" w:space="0" w:color="auto"/>
              <w:bottom w:val="single" w:sz="4" w:space="0" w:color="auto"/>
              <w:right w:val="single" w:sz="4" w:space="0" w:color="auto"/>
            </w:tcBorders>
          </w:tcPr>
          <w:p w:rsidR="006E199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Prescriber i</w:t>
            </w:r>
            <w:r w:rsidR="006E1993" w:rsidRPr="00CE7ECA">
              <w:rPr>
                <w:rFonts w:ascii="Arial Narrow" w:hAnsi="Arial Narrow" w:cs="Arial"/>
                <w:b/>
                <w:sz w:val="20"/>
                <w:szCs w:val="20"/>
              </w:rPr>
              <w:t>nstructions</w:t>
            </w:r>
            <w:r w:rsidRPr="00CE7ECA">
              <w:rPr>
                <w:rFonts w:ascii="Arial Narrow" w:hAnsi="Arial Narrow" w:cs="Arial"/>
                <w:b/>
                <w:sz w:val="20"/>
                <w:szCs w:val="20"/>
              </w:rPr>
              <w:t>:</w:t>
            </w:r>
          </w:p>
        </w:tc>
        <w:tc>
          <w:tcPr>
            <w:tcW w:w="3907" w:type="pct"/>
            <w:gridSpan w:val="6"/>
            <w:tcBorders>
              <w:top w:val="single" w:sz="4" w:space="0" w:color="auto"/>
              <w:left w:val="single" w:sz="4" w:space="0" w:color="auto"/>
              <w:bottom w:val="single" w:sz="4" w:space="0" w:color="auto"/>
              <w:right w:val="single" w:sz="4" w:space="0" w:color="auto"/>
            </w:tcBorders>
          </w:tcPr>
          <w:p w:rsidR="006E199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The authority application must be made in writing and must include:</w:t>
            </w:r>
          </w:p>
          <w:p w:rsidR="005D28F3" w:rsidRPr="00CE7ECA" w:rsidRDefault="005D28F3" w:rsidP="00730E38">
            <w:pPr>
              <w:pStyle w:val="ListParagraph"/>
              <w:numPr>
                <w:ilvl w:val="0"/>
                <w:numId w:val="5"/>
              </w:numPr>
              <w:spacing w:before="40" w:after="40"/>
              <w:rPr>
                <w:rFonts w:ascii="Arial Narrow" w:hAnsi="Arial Narrow"/>
                <w:sz w:val="20"/>
              </w:rPr>
            </w:pPr>
            <w:r w:rsidRPr="00CE7ECA">
              <w:rPr>
                <w:rFonts w:ascii="Arial Narrow" w:hAnsi="Arial Narrow"/>
                <w:sz w:val="20"/>
              </w:rPr>
              <w:t xml:space="preserve">A completed authority prescription form; and </w:t>
            </w:r>
          </w:p>
          <w:p w:rsidR="005D28F3" w:rsidRPr="00CE7ECA" w:rsidRDefault="005D28F3" w:rsidP="00730E38">
            <w:pPr>
              <w:pStyle w:val="ListParagraph"/>
              <w:numPr>
                <w:ilvl w:val="0"/>
                <w:numId w:val="5"/>
              </w:numPr>
              <w:spacing w:before="40" w:after="40"/>
              <w:rPr>
                <w:rFonts w:ascii="Arial Narrow" w:hAnsi="Arial Narrow"/>
                <w:sz w:val="20"/>
              </w:rPr>
            </w:pPr>
            <w:r w:rsidRPr="00CE7ECA">
              <w:rPr>
                <w:rFonts w:ascii="Arial Narrow" w:hAnsi="Arial Narrow"/>
                <w:sz w:val="20"/>
              </w:rPr>
              <w:t>A completed ROS1-Positive Non-Small-Cell Lung Cancer Authority Application – Supporting Information Form, which includes details of ROS1 gene rearrangement in tumour material.</w:t>
            </w:r>
          </w:p>
        </w:tc>
      </w:tr>
      <w:tr w:rsidR="006E1993" w:rsidRPr="00CE7ECA" w:rsidTr="00B43641">
        <w:trPr>
          <w:cantSplit/>
          <w:trHeight w:val="360"/>
        </w:trPr>
        <w:tc>
          <w:tcPr>
            <w:tcW w:w="1093" w:type="pct"/>
            <w:tcBorders>
              <w:top w:val="single" w:sz="4" w:space="0" w:color="auto"/>
              <w:left w:val="single" w:sz="4" w:space="0" w:color="auto"/>
              <w:bottom w:val="single" w:sz="4" w:space="0" w:color="auto"/>
              <w:right w:val="single" w:sz="4" w:space="0" w:color="auto"/>
            </w:tcBorders>
          </w:tcPr>
          <w:p w:rsidR="006E199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Administrative a</w:t>
            </w:r>
            <w:r w:rsidR="006E1993" w:rsidRPr="00CE7ECA">
              <w:rPr>
                <w:rFonts w:ascii="Arial Narrow" w:hAnsi="Arial Narrow" w:cs="Arial"/>
                <w:b/>
                <w:sz w:val="20"/>
                <w:szCs w:val="20"/>
              </w:rPr>
              <w:t>dvice</w:t>
            </w:r>
            <w:r w:rsidRPr="00CE7ECA">
              <w:rPr>
                <w:rFonts w:ascii="Arial Narrow" w:hAnsi="Arial Narrow" w:cs="Arial"/>
                <w:b/>
                <w:sz w:val="20"/>
                <w:szCs w:val="20"/>
              </w:rPr>
              <w:t>:</w:t>
            </w:r>
          </w:p>
        </w:tc>
        <w:tc>
          <w:tcPr>
            <w:tcW w:w="3907" w:type="pct"/>
            <w:gridSpan w:val="6"/>
            <w:tcBorders>
              <w:top w:val="single" w:sz="4" w:space="0" w:color="auto"/>
              <w:left w:val="single" w:sz="4" w:space="0" w:color="auto"/>
              <w:bottom w:val="single" w:sz="4" w:space="0" w:color="auto"/>
              <w:right w:val="single" w:sz="4" w:space="0" w:color="auto"/>
            </w:tcBorders>
          </w:tcPr>
          <w:p w:rsidR="006E199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No increase in the maximum number of repeats may be authorised.</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Special Pricing Arrangements apply.</w:t>
            </w:r>
          </w:p>
        </w:tc>
      </w:tr>
    </w:tbl>
    <w:p w:rsidR="006E1993" w:rsidRDefault="006E1993" w:rsidP="006E1993">
      <w:pPr>
        <w:rPr>
          <w:szCs w:val="22"/>
        </w:rPr>
      </w:pPr>
    </w:p>
    <w:p w:rsidR="00C3026B" w:rsidRPr="00CE7ECA" w:rsidRDefault="00C3026B" w:rsidP="006E1993">
      <w:pPr>
        <w:rPr>
          <w:szCs w:val="22"/>
        </w:rPr>
      </w:pPr>
    </w:p>
    <w:p w:rsidR="00EB72B9" w:rsidRDefault="00EB72B9">
      <w:r>
        <w:br w:type="page"/>
      </w:r>
    </w:p>
    <w:tbl>
      <w:tblPr>
        <w:tblW w:w="4906" w:type="pct"/>
        <w:tblLook w:val="0000" w:firstRow="0" w:lastRow="0" w:firstColumn="0" w:lastColumn="0" w:noHBand="0" w:noVBand="0"/>
      </w:tblPr>
      <w:tblGrid>
        <w:gridCol w:w="1982"/>
        <w:gridCol w:w="7086"/>
      </w:tblGrid>
      <w:tr w:rsidR="005D28F3" w:rsidRPr="00CE7ECA" w:rsidTr="005D28F3">
        <w:trPr>
          <w:cantSplit/>
          <w:trHeight w:val="283"/>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lastRenderedPageBreak/>
              <w:t>Category / Program:</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GENERAL – General Schedule (Code GE)</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Prescriber type:</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C969DC">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1"/>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Dental  </w:t>
            </w:r>
            <w:r w:rsidR="00C969DC" w:rsidRPr="00CE7ECA">
              <w:rPr>
                <w:rFonts w:ascii="Arial Narrow" w:hAnsi="Arial Narrow" w:cs="Arial"/>
                <w:sz w:val="20"/>
                <w:szCs w:val="20"/>
              </w:rPr>
              <w:fldChar w:fldCharType="begin">
                <w:ffData>
                  <w:name w:val=""/>
                  <w:enabled/>
                  <w:calcOnExit w:val="0"/>
                  <w:checkBox>
                    <w:sizeAuto/>
                    <w:default w:val="1"/>
                  </w:checkBox>
                </w:ffData>
              </w:fldChar>
            </w:r>
            <w:r w:rsidR="00C969DC"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00C969DC" w:rsidRPr="00CE7ECA">
              <w:rPr>
                <w:rFonts w:ascii="Arial Narrow" w:hAnsi="Arial Narrow" w:cs="Arial"/>
                <w:sz w:val="20"/>
                <w:szCs w:val="20"/>
              </w:rPr>
              <w:fldChar w:fldCharType="end"/>
            </w:r>
            <w:r w:rsidRPr="00CE7ECA">
              <w:rPr>
                <w:rFonts w:ascii="Arial Narrow" w:hAnsi="Arial Narrow" w:cs="Arial"/>
                <w:sz w:val="20"/>
                <w:szCs w:val="20"/>
              </w:rPr>
              <w:t xml:space="preserve">Medical Practitioners  </w:t>
            </w:r>
            <w:r w:rsidRPr="00CE7ECA">
              <w:rPr>
                <w:rFonts w:ascii="Arial Narrow" w:hAnsi="Arial Narrow" w:cs="Arial"/>
                <w:sz w:val="20"/>
                <w:szCs w:val="20"/>
              </w:rPr>
              <w:fldChar w:fldCharType="begin">
                <w:ffData>
                  <w:name w:val="Check3"/>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Nurse practitioners  </w:t>
            </w: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Optometrists </w:t>
            </w: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Midwives</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Severity:</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Stage IIIB (locally advanced) or Stage IV (metastatic)</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Condition:</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Non-small cell lung cancer</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PBS Indication:</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Stage IIIB (locally advanced) or Stage IV (metastatic) non-small cell lung cancer</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Treatment phase:</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Continuing treatment</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b/>
                <w:sz w:val="20"/>
                <w:szCs w:val="20"/>
              </w:rPr>
            </w:pPr>
            <w:r w:rsidRPr="00CE7ECA">
              <w:rPr>
                <w:rFonts w:ascii="Arial Narrow" w:hAnsi="Arial Narrow" w:cs="Arial"/>
                <w:b/>
                <w:sz w:val="20"/>
                <w:szCs w:val="20"/>
              </w:rPr>
              <w:t>Restriction Level / Method:</w:t>
            </w:r>
          </w:p>
          <w:p w:rsidR="005D28F3" w:rsidRPr="00CE7ECA" w:rsidRDefault="005D28F3" w:rsidP="005D28F3">
            <w:pPr>
              <w:spacing w:before="40" w:after="40"/>
              <w:rPr>
                <w:rFonts w:ascii="Arial Narrow" w:hAnsi="Arial Narrow" w:cs="Arial"/>
                <w:sz w:val="20"/>
                <w:szCs w:val="20"/>
              </w:rPr>
            </w:pP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1"/>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Restricted benefit</w:t>
            </w:r>
          </w:p>
          <w:p w:rsidR="005D28F3" w:rsidRPr="00CE7ECA" w:rsidRDefault="00E60788"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005D28F3" w:rsidRPr="00CE7ECA">
              <w:rPr>
                <w:rFonts w:ascii="Arial Narrow" w:hAnsi="Arial Narrow" w:cs="Arial"/>
                <w:sz w:val="20"/>
                <w:szCs w:val="20"/>
              </w:rPr>
              <w:t>Authority Required - In Writing</w:t>
            </w:r>
          </w:p>
          <w:p w:rsidR="005D28F3" w:rsidRPr="00CE7ECA" w:rsidRDefault="00E60788"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1"/>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005D28F3" w:rsidRPr="00CE7ECA">
              <w:rPr>
                <w:rFonts w:ascii="Arial Narrow" w:hAnsi="Arial Narrow" w:cs="Arial"/>
                <w:sz w:val="20"/>
                <w:szCs w:val="20"/>
              </w:rPr>
              <w:t>Authority Required - Telephone</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Emergency</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Electronic</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Streamlined</w:t>
            </w:r>
          </w:p>
        </w:tc>
      </w:tr>
      <w:tr w:rsidR="005D28F3" w:rsidRPr="00CE7ECA" w:rsidTr="005D28F3">
        <w:trPr>
          <w:cantSplit/>
          <w:trHeight w:val="157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Clinical criteria:</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The treatment must be the sole PBS-subsidised therapy for this condition,</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AND</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Patient must have previously received PBS-subsidised treatment with this drug for this condition,</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AND</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Patient must not have progressive disease while receiving PBS-subsidised treatment with this drug for this condition.</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Prescriber instructions:</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sz w:val="20"/>
              </w:rPr>
            </w:pPr>
            <w:r w:rsidRPr="00CE7ECA">
              <w:rPr>
                <w:rFonts w:ascii="Arial Narrow" w:hAnsi="Arial Narrow"/>
                <w:sz w:val="20"/>
              </w:rPr>
              <w:t>Authority applications for continuing treatment may be made by telephone to the Department of Human Services on 1800 700 270 (hours of operation 8 a.m. to 5 p.m. EST Monday to Friday).</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Administrative advice:</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No increase in the maximum number of repeats may be authorised.</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Special Pricing Arrangements apply.</w:t>
            </w:r>
          </w:p>
        </w:tc>
      </w:tr>
    </w:tbl>
    <w:p w:rsidR="005D28F3" w:rsidRDefault="005D28F3" w:rsidP="006E1993">
      <w:pPr>
        <w:rPr>
          <w:szCs w:val="22"/>
        </w:rPr>
      </w:pPr>
    </w:p>
    <w:p w:rsidR="00C3026B" w:rsidRDefault="00C3026B"/>
    <w:p w:rsidR="00EB72B9" w:rsidRDefault="00EB72B9">
      <w:r>
        <w:br w:type="page"/>
      </w:r>
    </w:p>
    <w:tbl>
      <w:tblPr>
        <w:tblW w:w="4906" w:type="pct"/>
        <w:tblLook w:val="0000" w:firstRow="0" w:lastRow="0" w:firstColumn="0" w:lastColumn="0" w:noHBand="0" w:noVBand="0"/>
      </w:tblPr>
      <w:tblGrid>
        <w:gridCol w:w="1982"/>
        <w:gridCol w:w="7086"/>
      </w:tblGrid>
      <w:tr w:rsidR="005D28F3" w:rsidRPr="00CE7ECA" w:rsidTr="005D28F3">
        <w:trPr>
          <w:cantSplit/>
          <w:trHeight w:val="283"/>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lastRenderedPageBreak/>
              <w:t>Category / Program:</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GENERAL – General Schedule (Code GE)</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Prescriber type:</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C969DC">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1"/>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Dental  </w:t>
            </w:r>
            <w:r w:rsidR="00C969DC" w:rsidRPr="00CE7ECA">
              <w:rPr>
                <w:rFonts w:ascii="Arial Narrow" w:hAnsi="Arial Narrow" w:cs="Arial"/>
                <w:sz w:val="20"/>
                <w:szCs w:val="20"/>
              </w:rPr>
              <w:fldChar w:fldCharType="begin">
                <w:ffData>
                  <w:name w:val=""/>
                  <w:enabled/>
                  <w:calcOnExit w:val="0"/>
                  <w:checkBox>
                    <w:sizeAuto/>
                    <w:default w:val="1"/>
                  </w:checkBox>
                </w:ffData>
              </w:fldChar>
            </w:r>
            <w:r w:rsidR="00C969DC"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00C969DC" w:rsidRPr="00CE7ECA">
              <w:rPr>
                <w:rFonts w:ascii="Arial Narrow" w:hAnsi="Arial Narrow" w:cs="Arial"/>
                <w:sz w:val="20"/>
                <w:szCs w:val="20"/>
              </w:rPr>
              <w:fldChar w:fldCharType="end"/>
            </w:r>
            <w:r w:rsidRPr="00CE7ECA">
              <w:rPr>
                <w:rFonts w:ascii="Arial Narrow" w:hAnsi="Arial Narrow" w:cs="Arial"/>
                <w:sz w:val="20"/>
                <w:szCs w:val="20"/>
              </w:rPr>
              <w:t xml:space="preserve">Medical Practitioners  </w:t>
            </w:r>
            <w:r w:rsidRPr="00CE7ECA">
              <w:rPr>
                <w:rFonts w:ascii="Arial Narrow" w:hAnsi="Arial Narrow" w:cs="Arial"/>
                <w:sz w:val="20"/>
                <w:szCs w:val="20"/>
              </w:rPr>
              <w:fldChar w:fldCharType="begin">
                <w:ffData>
                  <w:name w:val="Check3"/>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Nurse practitioners  </w:t>
            </w: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Optometrists </w:t>
            </w: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Midwives</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Severity:</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Stage IIIB (locally advanced) or Stage IV (metastatic)</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Condition:</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Non-small cell lung cancer</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PBS Indication:</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Stage IIIB (locally advanced) or Stage IV (metastatic) non-small cell lung cancer</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Treatment phase:</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Grandfathering treatment</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b/>
                <w:sz w:val="20"/>
                <w:szCs w:val="20"/>
              </w:rPr>
            </w:pPr>
            <w:r w:rsidRPr="00CE7ECA">
              <w:rPr>
                <w:rFonts w:ascii="Arial Narrow" w:hAnsi="Arial Narrow" w:cs="Arial"/>
                <w:b/>
                <w:sz w:val="20"/>
                <w:szCs w:val="20"/>
              </w:rPr>
              <w:t>Restriction Level / Method:</w:t>
            </w:r>
          </w:p>
          <w:p w:rsidR="005D28F3" w:rsidRPr="00CE7ECA" w:rsidRDefault="005D28F3" w:rsidP="005D28F3">
            <w:pPr>
              <w:spacing w:before="40" w:after="40"/>
              <w:rPr>
                <w:rFonts w:ascii="Arial Narrow" w:hAnsi="Arial Narrow" w:cs="Arial"/>
                <w:sz w:val="20"/>
                <w:szCs w:val="20"/>
              </w:rPr>
            </w:pP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1"/>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Restricted benefit</w:t>
            </w:r>
          </w:p>
          <w:p w:rsidR="005D28F3" w:rsidRPr="00CE7ECA" w:rsidRDefault="00E60788"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005D28F3" w:rsidRPr="00CE7ECA">
              <w:rPr>
                <w:rFonts w:ascii="Arial Narrow" w:hAnsi="Arial Narrow" w:cs="Arial"/>
                <w:sz w:val="20"/>
                <w:szCs w:val="20"/>
              </w:rPr>
              <w:t>Authority Required - In Writing</w:t>
            </w:r>
          </w:p>
          <w:p w:rsidR="005D28F3" w:rsidRPr="00CE7ECA" w:rsidRDefault="00E60788"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3"/>
                  <w:enabled/>
                  <w:calcOnExit w:val="0"/>
                  <w:checkBox>
                    <w:sizeAuto/>
                    <w:default w:val="1"/>
                  </w:checkBox>
                </w:ffData>
              </w:fldChar>
            </w:r>
            <w:bookmarkStart w:id="1" w:name="Check3"/>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bookmarkEnd w:id="1"/>
            <w:r w:rsidR="005D28F3" w:rsidRPr="00CE7ECA">
              <w:rPr>
                <w:rFonts w:ascii="Arial Narrow" w:hAnsi="Arial Narrow" w:cs="Arial"/>
                <w:sz w:val="20"/>
                <w:szCs w:val="20"/>
              </w:rPr>
              <w:t>Authority Required - Telephone</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Emergency</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Electronic</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Streamlined</w:t>
            </w:r>
          </w:p>
        </w:tc>
      </w:tr>
      <w:tr w:rsidR="005D28F3" w:rsidRPr="00CE7ECA" w:rsidTr="005D28F3">
        <w:trPr>
          <w:cantSplit/>
          <w:trHeight w:val="157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Clinical criteria:</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 xml:space="preserve">Patient must have previously received non-PBS-subsidised treatment with this drug for this condition prior to [PBS listing date], </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AND</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The condition must be non-squamous type non-small cell lung cancer (NSCLC) or not otherwise specified type NSCLC,</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AND</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The treatment must be the sole PBS-subsidised therapy for this condition,</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AND</w:t>
            </w:r>
          </w:p>
          <w:p w:rsidR="005D28F3" w:rsidRPr="00CE7ECA" w:rsidRDefault="005D28F3" w:rsidP="00B15FD5">
            <w:pPr>
              <w:spacing w:before="40" w:after="40"/>
              <w:rPr>
                <w:rFonts w:ascii="Arial Narrow" w:hAnsi="Arial Narrow" w:cs="Arial"/>
                <w:sz w:val="20"/>
                <w:szCs w:val="20"/>
              </w:rPr>
            </w:pPr>
            <w:r w:rsidRPr="00CE7ECA">
              <w:rPr>
                <w:rFonts w:ascii="Arial Narrow" w:hAnsi="Arial Narrow" w:cs="Arial"/>
                <w:sz w:val="20"/>
                <w:szCs w:val="20"/>
              </w:rPr>
              <w:t>Patient</w:t>
            </w:r>
            <w:r w:rsidR="00B15FD5" w:rsidRPr="00CE7ECA">
              <w:rPr>
                <w:rFonts w:ascii="Arial Narrow" w:hAnsi="Arial Narrow" w:cs="Arial"/>
                <w:sz w:val="20"/>
                <w:szCs w:val="20"/>
              </w:rPr>
              <w:t>s may qualify for PBS-subsidised treatment under this restriction once only.</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Population criteria:</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Patient must have evidence of ROS1 gene rearrangement in tumour material, defined as 15% (or greater) positive cells by fluorescence in situ hybridisation (FISH) testing.</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Prescriber instructions:</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The authority application must be made in writing and must include:</w:t>
            </w:r>
          </w:p>
          <w:p w:rsidR="005D28F3" w:rsidRPr="00CE7ECA" w:rsidRDefault="005D28F3" w:rsidP="00730E38">
            <w:pPr>
              <w:pStyle w:val="ListParagraph"/>
              <w:numPr>
                <w:ilvl w:val="0"/>
                <w:numId w:val="6"/>
              </w:numPr>
              <w:spacing w:before="40" w:after="40"/>
              <w:rPr>
                <w:rFonts w:ascii="Arial Narrow" w:hAnsi="Arial Narrow"/>
                <w:sz w:val="20"/>
              </w:rPr>
            </w:pPr>
            <w:r w:rsidRPr="00CE7ECA">
              <w:rPr>
                <w:rFonts w:ascii="Arial Narrow" w:hAnsi="Arial Narrow"/>
                <w:sz w:val="20"/>
              </w:rPr>
              <w:t xml:space="preserve">A completed authority prescription form; and </w:t>
            </w:r>
          </w:p>
          <w:p w:rsidR="005D28F3" w:rsidRPr="00CE7ECA" w:rsidRDefault="005D28F3" w:rsidP="00730E38">
            <w:pPr>
              <w:pStyle w:val="ListParagraph"/>
              <w:numPr>
                <w:ilvl w:val="0"/>
                <w:numId w:val="6"/>
              </w:numPr>
              <w:spacing w:before="40" w:after="40"/>
              <w:rPr>
                <w:rFonts w:ascii="Arial Narrow" w:hAnsi="Arial Narrow"/>
                <w:sz w:val="20"/>
              </w:rPr>
            </w:pPr>
            <w:r w:rsidRPr="00CE7ECA">
              <w:rPr>
                <w:rFonts w:ascii="Arial Narrow" w:hAnsi="Arial Narrow"/>
                <w:sz w:val="20"/>
              </w:rPr>
              <w:t>A completed ROS1-Positive Non-Small-Cell Lung Cancer Authority Application – Supporting Information Form, which includes details of ROS1 gene rearrangement in tumour material.</w:t>
            </w:r>
          </w:p>
        </w:tc>
      </w:tr>
      <w:tr w:rsidR="005D28F3" w:rsidRPr="00CE7ECA" w:rsidTr="005D28F3">
        <w:trPr>
          <w:cantSplit/>
          <w:trHeight w:val="360"/>
        </w:trPr>
        <w:tc>
          <w:tcPr>
            <w:tcW w:w="1093"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jc w:val="both"/>
              <w:rPr>
                <w:rFonts w:ascii="Arial Narrow" w:hAnsi="Arial Narrow" w:cs="Arial"/>
                <w:b/>
                <w:sz w:val="20"/>
                <w:szCs w:val="20"/>
              </w:rPr>
            </w:pPr>
            <w:r w:rsidRPr="00CE7ECA">
              <w:rPr>
                <w:rFonts w:ascii="Arial Narrow" w:hAnsi="Arial Narrow" w:cs="Arial"/>
                <w:b/>
                <w:sz w:val="20"/>
                <w:szCs w:val="20"/>
              </w:rPr>
              <w:t>Administrative advice:</w:t>
            </w:r>
          </w:p>
        </w:tc>
        <w:tc>
          <w:tcPr>
            <w:tcW w:w="3907" w:type="pct"/>
            <w:tcBorders>
              <w:top w:val="single" w:sz="4" w:space="0" w:color="auto"/>
              <w:left w:val="single" w:sz="4" w:space="0" w:color="auto"/>
              <w:bottom w:val="single" w:sz="4" w:space="0" w:color="auto"/>
              <w:right w:val="single" w:sz="4" w:space="0" w:color="auto"/>
            </w:tcBorders>
          </w:tcPr>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No increase in the maximum number of repeats may be authorised.</w:t>
            </w:r>
          </w:p>
          <w:p w:rsidR="005D28F3" w:rsidRPr="00CE7ECA" w:rsidRDefault="005D28F3" w:rsidP="005D28F3">
            <w:pPr>
              <w:spacing w:before="40" w:after="40"/>
              <w:rPr>
                <w:rFonts w:ascii="Arial Narrow" w:hAnsi="Arial Narrow" w:cs="Arial"/>
                <w:sz w:val="20"/>
                <w:szCs w:val="20"/>
              </w:rPr>
            </w:pPr>
            <w:r w:rsidRPr="00CE7ECA">
              <w:rPr>
                <w:rFonts w:ascii="Arial Narrow" w:hAnsi="Arial Narrow" w:cs="Arial"/>
                <w:sz w:val="20"/>
                <w:szCs w:val="20"/>
              </w:rPr>
              <w:t>Special Pricing Arrangements apply.</w:t>
            </w:r>
          </w:p>
        </w:tc>
      </w:tr>
    </w:tbl>
    <w:p w:rsidR="005D28F3" w:rsidRPr="00CE7ECA" w:rsidRDefault="005D28F3" w:rsidP="006E1993">
      <w:pPr>
        <w:rPr>
          <w:szCs w:val="22"/>
        </w:rPr>
      </w:pPr>
    </w:p>
    <w:p w:rsidR="00B15FD5" w:rsidRPr="00CE7ECA" w:rsidRDefault="00B15FD5" w:rsidP="00730E38">
      <w:pPr>
        <w:pStyle w:val="ListParagraph"/>
        <w:widowControl/>
        <w:numPr>
          <w:ilvl w:val="1"/>
          <w:numId w:val="1"/>
        </w:numPr>
        <w:spacing w:after="120"/>
        <w:contextualSpacing w:val="0"/>
        <w:rPr>
          <w:szCs w:val="22"/>
        </w:rPr>
      </w:pPr>
      <w:r w:rsidRPr="00CE7ECA">
        <w:rPr>
          <w:rFonts w:asciiTheme="minorHAnsi" w:eastAsiaTheme="minorHAnsi" w:hAnsiTheme="minorHAnsi" w:cstheme="minorBidi"/>
          <w:snapToGrid/>
          <w:sz w:val="24"/>
          <w:szCs w:val="22"/>
        </w:rPr>
        <w:t xml:space="preserve">The proposed restriction was for an </w:t>
      </w:r>
      <w:r w:rsidR="00E60788" w:rsidRPr="00CE7ECA">
        <w:rPr>
          <w:rFonts w:asciiTheme="minorHAnsi" w:eastAsiaTheme="minorHAnsi" w:hAnsiTheme="minorHAnsi" w:cstheme="minorBidi"/>
          <w:snapToGrid/>
          <w:sz w:val="24"/>
          <w:szCs w:val="22"/>
        </w:rPr>
        <w:t xml:space="preserve">Authority Required (In Writing) listing for initial treatment and an </w:t>
      </w:r>
      <w:r w:rsidRPr="00CE7ECA">
        <w:rPr>
          <w:rFonts w:asciiTheme="minorHAnsi" w:eastAsiaTheme="minorHAnsi" w:hAnsiTheme="minorHAnsi" w:cstheme="minorBidi"/>
          <w:snapToGrid/>
          <w:sz w:val="24"/>
          <w:szCs w:val="22"/>
        </w:rPr>
        <w:t xml:space="preserve">Authority Required (Telephone) listing for continuing </w:t>
      </w:r>
      <w:r w:rsidR="00E60788" w:rsidRPr="00CE7ECA">
        <w:rPr>
          <w:rFonts w:asciiTheme="minorHAnsi" w:eastAsiaTheme="minorHAnsi" w:hAnsiTheme="minorHAnsi" w:cstheme="minorBidi"/>
          <w:snapToGrid/>
          <w:sz w:val="24"/>
          <w:szCs w:val="22"/>
        </w:rPr>
        <w:t xml:space="preserve">treatment </w:t>
      </w:r>
      <w:r w:rsidRPr="00CE7ECA">
        <w:rPr>
          <w:rFonts w:asciiTheme="minorHAnsi" w:eastAsiaTheme="minorHAnsi" w:hAnsiTheme="minorHAnsi" w:cstheme="minorBidi"/>
          <w:snapToGrid/>
          <w:sz w:val="24"/>
          <w:szCs w:val="22"/>
        </w:rPr>
        <w:t xml:space="preserve">and grandfathered patients. The </w:t>
      </w:r>
      <w:r w:rsidR="00FF4215" w:rsidRPr="00CE7ECA">
        <w:rPr>
          <w:rFonts w:asciiTheme="minorHAnsi" w:eastAsiaTheme="minorHAnsi" w:hAnsiTheme="minorHAnsi" w:cstheme="minorBidi"/>
          <w:snapToGrid/>
          <w:sz w:val="24"/>
          <w:szCs w:val="22"/>
        </w:rPr>
        <w:t xml:space="preserve">minor </w:t>
      </w:r>
      <w:r w:rsidRPr="00CE7ECA">
        <w:rPr>
          <w:rFonts w:asciiTheme="minorHAnsi" w:eastAsiaTheme="minorHAnsi" w:hAnsiTheme="minorHAnsi" w:cstheme="minorBidi"/>
          <w:snapToGrid/>
          <w:sz w:val="24"/>
          <w:szCs w:val="22"/>
        </w:rPr>
        <w:t xml:space="preserve">resubmission </w:t>
      </w:r>
      <w:r w:rsidR="00E60788" w:rsidRPr="00CE7ECA">
        <w:rPr>
          <w:rFonts w:asciiTheme="minorHAnsi" w:eastAsiaTheme="minorHAnsi" w:hAnsiTheme="minorHAnsi" w:cstheme="minorBidi"/>
          <w:snapToGrid/>
          <w:sz w:val="24"/>
          <w:szCs w:val="22"/>
        </w:rPr>
        <w:t>suggested an Authority Required (Telephone) listing for initial treatment to reduce the administrative burden and minimise delay in initiating patients</w:t>
      </w:r>
      <w:r w:rsidR="00F22318" w:rsidRPr="00CE7ECA">
        <w:rPr>
          <w:rFonts w:asciiTheme="minorHAnsi" w:eastAsiaTheme="minorHAnsi" w:hAnsiTheme="minorHAnsi" w:cstheme="minorBidi"/>
          <w:snapToGrid/>
          <w:sz w:val="24"/>
          <w:szCs w:val="22"/>
        </w:rPr>
        <w:t xml:space="preserve"> could be considered</w:t>
      </w:r>
      <w:r w:rsidR="00E60788" w:rsidRPr="00CE7ECA">
        <w:rPr>
          <w:rFonts w:asciiTheme="minorHAnsi" w:eastAsiaTheme="minorHAnsi" w:hAnsiTheme="minorHAnsi" w:cstheme="minorBidi"/>
          <w:snapToGrid/>
          <w:sz w:val="24"/>
          <w:szCs w:val="22"/>
        </w:rPr>
        <w:t>.</w:t>
      </w:r>
    </w:p>
    <w:p w:rsidR="006E1993" w:rsidRPr="00CE7ECA" w:rsidRDefault="006E1993" w:rsidP="006E1993">
      <w:pPr>
        <w:pStyle w:val="PBACHeading1"/>
        <w:spacing w:before="240" w:after="120"/>
        <w:ind w:left="709" w:hanging="709"/>
        <w:rPr>
          <w:rFonts w:asciiTheme="minorHAnsi" w:hAnsiTheme="minorHAnsi"/>
          <w:sz w:val="32"/>
          <w:szCs w:val="32"/>
        </w:rPr>
      </w:pPr>
      <w:r w:rsidRPr="00CE7ECA">
        <w:rPr>
          <w:rFonts w:asciiTheme="minorHAnsi" w:hAnsiTheme="minorHAnsi"/>
          <w:sz w:val="32"/>
          <w:szCs w:val="32"/>
        </w:rPr>
        <w:t>Background</w:t>
      </w:r>
    </w:p>
    <w:p w:rsidR="00F91E59" w:rsidRPr="00CE7ECA" w:rsidRDefault="00F91E59" w:rsidP="00730E38">
      <w:pPr>
        <w:pStyle w:val="ListParagraph"/>
        <w:widowControl/>
        <w:numPr>
          <w:ilvl w:val="1"/>
          <w:numId w:val="1"/>
        </w:numPr>
        <w:spacing w:before="120" w:after="16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Crizotinib </w:t>
      </w:r>
      <w:r w:rsidR="006E1993" w:rsidRPr="00CE7ECA">
        <w:rPr>
          <w:rFonts w:asciiTheme="minorHAnsi" w:eastAsiaTheme="minorHAnsi" w:hAnsiTheme="minorHAnsi" w:cstheme="minorBidi"/>
          <w:snapToGrid/>
          <w:sz w:val="24"/>
          <w:szCs w:val="22"/>
        </w:rPr>
        <w:t>is TGA registered for</w:t>
      </w:r>
      <w:r w:rsidRPr="00CE7ECA">
        <w:rPr>
          <w:rFonts w:asciiTheme="minorHAnsi" w:eastAsiaTheme="minorHAnsi" w:hAnsiTheme="minorHAnsi" w:cstheme="minorBidi"/>
          <w:snapToGrid/>
          <w:sz w:val="24"/>
          <w:szCs w:val="22"/>
        </w:rPr>
        <w:t>:</w:t>
      </w:r>
    </w:p>
    <w:p w:rsidR="006E1993" w:rsidRPr="00CE7ECA" w:rsidRDefault="00F91E59" w:rsidP="00C41320">
      <w:pPr>
        <w:pStyle w:val="ListParagraph"/>
        <w:widowControl/>
        <w:spacing w:before="120" w:after="160"/>
        <w:contextualSpacing w:val="0"/>
        <w:rPr>
          <w:rFonts w:asciiTheme="minorHAnsi" w:eastAsiaTheme="minorHAnsi" w:hAnsiTheme="minorHAnsi" w:cstheme="minorBidi"/>
          <w:b/>
          <w:snapToGrid/>
          <w:sz w:val="24"/>
          <w:szCs w:val="24"/>
        </w:rPr>
      </w:pPr>
      <w:r w:rsidRPr="00CE7ECA">
        <w:rPr>
          <w:rFonts w:asciiTheme="minorHAnsi" w:hAnsiTheme="minorHAnsi"/>
          <w:sz w:val="24"/>
          <w:szCs w:val="24"/>
        </w:rPr>
        <w:t>“the treatment of patients with anaplastic lymphoma kinase (ALK)-positive advanced non-small cell lung cancer (NSCLC), AND the treatment of patients with ROS1-positive advanced non-small cell lung cancer (NSCLC).</w:t>
      </w:r>
      <w:r w:rsidRPr="00CE7ECA">
        <w:rPr>
          <w:rFonts w:asciiTheme="minorHAnsi" w:eastAsiaTheme="minorHAnsi" w:hAnsiTheme="minorHAnsi" w:cstheme="minorBidi"/>
          <w:snapToGrid/>
          <w:sz w:val="24"/>
          <w:szCs w:val="24"/>
        </w:rPr>
        <w:t>”</w:t>
      </w:r>
    </w:p>
    <w:p w:rsidR="00B25B80" w:rsidRPr="00CE7ECA" w:rsidRDefault="00B25B80" w:rsidP="00730E38">
      <w:pPr>
        <w:pStyle w:val="ListParagraph"/>
        <w:widowControl/>
        <w:numPr>
          <w:ilvl w:val="1"/>
          <w:numId w:val="1"/>
        </w:numPr>
        <w:spacing w:before="120" w:after="16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lastRenderedPageBreak/>
        <w:t xml:space="preserve">Crizotinib for advanced ROS1-positive NSCLC was considered as a co-dependent integrated submission (with ROS1 fluorescent in-situ hybridisation (FISH) testing) at the November 2017 PBAC meeting. The PBAC deferred its decision. </w:t>
      </w:r>
      <w:r w:rsidR="00DA63D9" w:rsidRPr="00CE7ECA">
        <w:rPr>
          <w:rFonts w:asciiTheme="minorHAnsi" w:eastAsiaTheme="minorHAnsi" w:hAnsiTheme="minorHAnsi" w:cstheme="minorBidi"/>
          <w:snapToGrid/>
          <w:sz w:val="24"/>
          <w:szCs w:val="22"/>
        </w:rPr>
        <w:t>The MSAC foreshadowed its support for a new MBS item for ROS1 FISH testing to inform eligibility for crizotinib treatment in this population</w:t>
      </w:r>
      <w:r w:rsidR="00890B36" w:rsidRPr="00CE7ECA">
        <w:rPr>
          <w:rFonts w:asciiTheme="minorHAnsi" w:eastAsiaTheme="minorHAnsi" w:hAnsiTheme="minorHAnsi" w:cstheme="minorBidi"/>
          <w:snapToGrid/>
          <w:sz w:val="24"/>
          <w:szCs w:val="22"/>
        </w:rPr>
        <w:t xml:space="preserve"> (</w:t>
      </w:r>
      <w:r w:rsidR="00C01D0B" w:rsidRPr="00CE7ECA">
        <w:rPr>
          <w:rFonts w:asciiTheme="minorHAnsi" w:eastAsiaTheme="minorHAnsi" w:hAnsiTheme="minorHAnsi" w:cstheme="minorBidi"/>
          <w:snapToGrid/>
          <w:sz w:val="24"/>
          <w:szCs w:val="22"/>
        </w:rPr>
        <w:t>Public Summary Document, Application No. 1454, crizotinib, November 2017 MSAC meeting)</w:t>
      </w:r>
      <w:r w:rsidR="00DA63D9" w:rsidRPr="00CE7ECA">
        <w:rPr>
          <w:rFonts w:asciiTheme="minorHAnsi" w:eastAsiaTheme="minorHAnsi" w:hAnsiTheme="minorHAnsi" w:cstheme="minorBidi"/>
          <w:snapToGrid/>
          <w:sz w:val="24"/>
          <w:szCs w:val="22"/>
        </w:rPr>
        <w:t>.</w:t>
      </w:r>
    </w:p>
    <w:p w:rsidR="006E1993" w:rsidRDefault="00B25B80" w:rsidP="00730E38">
      <w:pPr>
        <w:pStyle w:val="ListParagraph"/>
        <w:widowControl/>
        <w:numPr>
          <w:ilvl w:val="1"/>
          <w:numId w:val="1"/>
        </w:numPr>
        <w:spacing w:before="120" w:after="16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November 2017 submission was the result of an invitation from the PBAC to the Sponsor for a submission for this rare cancer. Crizotinib for ALK-positive Stage IIIB or Stage IV non-squamous or histology </w:t>
      </w:r>
      <w:r w:rsidR="00CE6088" w:rsidRPr="00CE7ECA">
        <w:rPr>
          <w:rFonts w:asciiTheme="minorHAnsi" w:eastAsiaTheme="minorHAnsi" w:hAnsiTheme="minorHAnsi" w:cstheme="minorBidi"/>
          <w:snapToGrid/>
          <w:sz w:val="24"/>
          <w:szCs w:val="22"/>
        </w:rPr>
        <w:t>not otherwise specified (</w:t>
      </w:r>
      <w:r w:rsidRPr="00CE7ECA">
        <w:rPr>
          <w:rFonts w:asciiTheme="minorHAnsi" w:eastAsiaTheme="minorHAnsi" w:hAnsiTheme="minorHAnsi" w:cstheme="minorBidi"/>
          <w:snapToGrid/>
          <w:sz w:val="24"/>
          <w:szCs w:val="22"/>
        </w:rPr>
        <w:t>NOS</w:t>
      </w:r>
      <w:r w:rsidR="00CE6088" w:rsidRPr="00CE7ECA">
        <w:rPr>
          <w:rFonts w:asciiTheme="minorHAnsi" w:eastAsiaTheme="minorHAnsi" w:hAnsiTheme="minorHAnsi" w:cstheme="minorBidi"/>
          <w:snapToGrid/>
          <w:sz w:val="24"/>
          <w:szCs w:val="22"/>
        </w:rPr>
        <w:t>)</w:t>
      </w:r>
      <w:r w:rsidRPr="00CE7ECA">
        <w:rPr>
          <w:rFonts w:asciiTheme="minorHAnsi" w:eastAsiaTheme="minorHAnsi" w:hAnsiTheme="minorHAnsi" w:cstheme="minorBidi"/>
          <w:snapToGrid/>
          <w:sz w:val="24"/>
          <w:szCs w:val="22"/>
        </w:rPr>
        <w:t xml:space="preserve"> NSCLC was listed on the PBS on 1 July 2015.</w:t>
      </w:r>
    </w:p>
    <w:p w:rsidR="009D5628" w:rsidRPr="009D5628" w:rsidRDefault="009D5628" w:rsidP="009D5628">
      <w:pPr>
        <w:pStyle w:val="ListParagraph"/>
        <w:widowControl/>
        <w:spacing w:before="120" w:after="160"/>
        <w:contextualSpacing w:val="0"/>
        <w:rPr>
          <w:rFonts w:asciiTheme="minorHAnsi" w:eastAsiaTheme="minorHAnsi" w:hAnsiTheme="minorHAnsi" w:cstheme="minorBidi"/>
          <w:i/>
          <w:snapToGrid/>
          <w:sz w:val="24"/>
          <w:szCs w:val="22"/>
        </w:rPr>
      </w:pPr>
      <w:r w:rsidRPr="009D5628">
        <w:rPr>
          <w:rFonts w:asciiTheme="minorHAnsi" w:eastAsiaTheme="minorHAnsi" w:hAnsiTheme="minorHAnsi" w:cstheme="minorBidi"/>
          <w:i/>
          <w:snapToGrid/>
          <w:sz w:val="24"/>
          <w:szCs w:val="22"/>
        </w:rPr>
        <w:t>For more detail on PBAC’s view, see Section 6 PBAC outcome.</w:t>
      </w:r>
    </w:p>
    <w:p w:rsidR="006E1993" w:rsidRPr="00CE7ECA" w:rsidRDefault="006E1993" w:rsidP="006E1993">
      <w:pPr>
        <w:pStyle w:val="PBACHeading1"/>
        <w:spacing w:before="240" w:after="120"/>
        <w:ind w:left="709" w:hanging="709"/>
        <w:rPr>
          <w:rFonts w:asciiTheme="minorHAnsi" w:hAnsiTheme="minorHAnsi"/>
          <w:sz w:val="32"/>
          <w:szCs w:val="32"/>
        </w:rPr>
      </w:pPr>
      <w:r w:rsidRPr="00CE7ECA">
        <w:rPr>
          <w:rFonts w:asciiTheme="minorHAnsi" w:hAnsiTheme="minorHAnsi"/>
          <w:sz w:val="32"/>
          <w:szCs w:val="32"/>
        </w:rPr>
        <w:t>Comparator</w:t>
      </w:r>
    </w:p>
    <w:p w:rsidR="006C5840" w:rsidRPr="00CE7ECA" w:rsidRDefault="006E1993" w:rsidP="00730E38">
      <w:pPr>
        <w:pStyle w:val="ListParagraph"/>
        <w:widowControl/>
        <w:numPr>
          <w:ilvl w:val="1"/>
          <w:numId w:val="1"/>
        </w:numPr>
        <w:spacing w:before="120" w:after="160"/>
        <w:rPr>
          <w:rFonts w:asciiTheme="minorHAnsi" w:hAnsiTheme="minorHAnsi"/>
          <w:sz w:val="24"/>
          <w:szCs w:val="24"/>
        </w:rPr>
      </w:pPr>
      <w:r w:rsidRPr="00CE7ECA">
        <w:rPr>
          <w:rFonts w:asciiTheme="minorHAnsi" w:hAnsiTheme="minorHAnsi"/>
          <w:sz w:val="24"/>
          <w:szCs w:val="24"/>
        </w:rPr>
        <w:t xml:space="preserve">The previous major submission considered by the PBAC in </w:t>
      </w:r>
      <w:r w:rsidR="006C5840" w:rsidRPr="00CE7ECA">
        <w:rPr>
          <w:rFonts w:asciiTheme="minorHAnsi" w:hAnsiTheme="minorHAnsi"/>
          <w:sz w:val="24"/>
          <w:szCs w:val="24"/>
        </w:rPr>
        <w:t xml:space="preserve">November 2017 nominated pemetrexed as the comparator. </w:t>
      </w:r>
      <w:r w:rsidRPr="00CE7ECA">
        <w:rPr>
          <w:rFonts w:asciiTheme="minorHAnsi" w:hAnsiTheme="minorHAnsi"/>
          <w:sz w:val="24"/>
          <w:szCs w:val="24"/>
        </w:rPr>
        <w:t xml:space="preserve">This was </w:t>
      </w:r>
      <w:r w:rsidR="00C01D0B" w:rsidRPr="00CE7ECA">
        <w:rPr>
          <w:rFonts w:asciiTheme="minorHAnsi" w:hAnsiTheme="minorHAnsi"/>
          <w:sz w:val="24"/>
          <w:szCs w:val="24"/>
        </w:rPr>
        <w:t xml:space="preserve">reasonable, and was appropriately unchanged in the </w:t>
      </w:r>
      <w:r w:rsidR="00FF4215" w:rsidRPr="00CE7ECA">
        <w:rPr>
          <w:rFonts w:asciiTheme="minorHAnsi" w:eastAsiaTheme="minorHAnsi" w:hAnsiTheme="minorHAnsi" w:cstheme="minorBidi"/>
          <w:snapToGrid/>
          <w:sz w:val="24"/>
          <w:szCs w:val="22"/>
        </w:rPr>
        <w:t xml:space="preserve">minor </w:t>
      </w:r>
      <w:r w:rsidR="00C01D0B" w:rsidRPr="00CE7ECA">
        <w:rPr>
          <w:rFonts w:asciiTheme="minorHAnsi" w:hAnsiTheme="minorHAnsi"/>
          <w:sz w:val="24"/>
          <w:szCs w:val="24"/>
        </w:rPr>
        <w:t>resubmission.</w:t>
      </w:r>
      <w:r w:rsidRPr="00CE7ECA">
        <w:rPr>
          <w:rFonts w:asciiTheme="minorHAnsi" w:hAnsiTheme="minorHAnsi"/>
          <w:sz w:val="24"/>
          <w:szCs w:val="24"/>
        </w:rPr>
        <w:t xml:space="preserve"> </w:t>
      </w:r>
    </w:p>
    <w:p w:rsidR="00C41320" w:rsidRPr="00CE7ECA" w:rsidRDefault="00C41320" w:rsidP="00C41320">
      <w:pPr>
        <w:pStyle w:val="PBACHeading1"/>
        <w:spacing w:before="240" w:after="120"/>
        <w:ind w:left="709" w:hanging="709"/>
        <w:rPr>
          <w:rFonts w:asciiTheme="minorHAnsi" w:hAnsiTheme="minorHAnsi"/>
          <w:sz w:val="32"/>
          <w:szCs w:val="32"/>
        </w:rPr>
      </w:pPr>
      <w:r w:rsidRPr="00CE7ECA">
        <w:rPr>
          <w:rFonts w:asciiTheme="minorHAnsi" w:hAnsiTheme="minorHAnsi"/>
          <w:sz w:val="32"/>
          <w:szCs w:val="32"/>
        </w:rPr>
        <w:t>Consideration of evidence</w:t>
      </w:r>
    </w:p>
    <w:p w:rsidR="00DB1662" w:rsidRPr="00CE7ECA" w:rsidRDefault="00DB1662" w:rsidP="00C3026B">
      <w:pPr>
        <w:pStyle w:val="PBACHeading1"/>
        <w:numPr>
          <w:ilvl w:val="0"/>
          <w:numId w:val="0"/>
        </w:numPr>
        <w:spacing w:before="240" w:after="120"/>
        <w:outlineLvl w:val="1"/>
        <w:rPr>
          <w:rFonts w:asciiTheme="minorHAnsi" w:eastAsiaTheme="majorEastAsia" w:hAnsiTheme="minorHAnsi" w:cstheme="majorBidi"/>
          <w:i/>
          <w:sz w:val="28"/>
          <w:szCs w:val="28"/>
        </w:rPr>
      </w:pPr>
      <w:r w:rsidRPr="00CE7ECA">
        <w:rPr>
          <w:rFonts w:asciiTheme="minorHAnsi" w:eastAsiaTheme="majorEastAsia" w:hAnsiTheme="minorHAnsi" w:cstheme="majorBidi"/>
          <w:i/>
          <w:sz w:val="28"/>
          <w:szCs w:val="28"/>
        </w:rPr>
        <w:t>Sponsor hearing</w:t>
      </w:r>
    </w:p>
    <w:p w:rsidR="00DB1662" w:rsidRPr="00CE7ECA" w:rsidRDefault="00DB1662" w:rsidP="00730E38">
      <w:pPr>
        <w:widowControl w:val="0"/>
        <w:numPr>
          <w:ilvl w:val="1"/>
          <w:numId w:val="1"/>
        </w:numPr>
        <w:spacing w:after="120"/>
        <w:jc w:val="both"/>
        <w:rPr>
          <w:rFonts w:asciiTheme="minorHAnsi" w:hAnsiTheme="minorHAnsi" w:cs="Arial"/>
          <w:bCs/>
          <w:snapToGrid w:val="0"/>
        </w:rPr>
      </w:pPr>
      <w:r w:rsidRPr="00CE7ECA">
        <w:rPr>
          <w:rFonts w:asciiTheme="minorHAnsi" w:hAnsiTheme="minorHAnsi" w:cs="Arial"/>
          <w:bCs/>
          <w:snapToGrid w:val="0"/>
        </w:rPr>
        <w:t>There was no hearing for this item as it was a minor submission.</w:t>
      </w:r>
    </w:p>
    <w:p w:rsidR="00DB1662" w:rsidRPr="00CE7ECA" w:rsidRDefault="00DB1662" w:rsidP="00C3026B">
      <w:pPr>
        <w:pStyle w:val="PBACHeading1"/>
        <w:numPr>
          <w:ilvl w:val="0"/>
          <w:numId w:val="0"/>
        </w:numPr>
        <w:spacing w:before="240" w:after="120"/>
        <w:outlineLvl w:val="1"/>
        <w:rPr>
          <w:rFonts w:asciiTheme="minorHAnsi" w:eastAsiaTheme="majorEastAsia" w:hAnsiTheme="minorHAnsi" w:cstheme="majorBidi"/>
          <w:i/>
          <w:sz w:val="28"/>
          <w:szCs w:val="28"/>
        </w:rPr>
      </w:pPr>
      <w:r w:rsidRPr="00CE7ECA">
        <w:rPr>
          <w:rFonts w:asciiTheme="minorHAnsi" w:eastAsiaTheme="majorEastAsia" w:hAnsiTheme="minorHAnsi" w:cstheme="majorBidi"/>
          <w:i/>
          <w:sz w:val="28"/>
          <w:szCs w:val="28"/>
        </w:rPr>
        <w:t>Consumer comments</w:t>
      </w:r>
    </w:p>
    <w:p w:rsidR="00D13E61" w:rsidRPr="00CE7ECA" w:rsidRDefault="00D13E61" w:rsidP="00730E38">
      <w:pPr>
        <w:widowControl w:val="0"/>
        <w:numPr>
          <w:ilvl w:val="1"/>
          <w:numId w:val="1"/>
        </w:numPr>
        <w:spacing w:after="120"/>
        <w:jc w:val="both"/>
        <w:rPr>
          <w:rFonts w:asciiTheme="minorHAnsi" w:hAnsiTheme="minorHAnsi" w:cs="Arial"/>
          <w:bCs/>
          <w:snapToGrid w:val="0"/>
        </w:rPr>
      </w:pPr>
      <w:r w:rsidRPr="00CE7ECA">
        <w:rPr>
          <w:rFonts w:asciiTheme="minorHAnsi" w:hAnsiTheme="minorHAnsi" w:cs="Arial"/>
          <w:bCs/>
          <w:snapToGrid w:val="0"/>
        </w:rPr>
        <w:t>The PBAC noted and welcomed the input from individuals (6) and organisations (1) via the Consumer Comments facility on the PBS website. The comments described benefits of treatment with crizotinib, and emphasized the effectiveness of targeted therapies like crizotinib in reducing tumour burden and improving quality of life.</w:t>
      </w:r>
    </w:p>
    <w:p w:rsidR="00D13E61" w:rsidRPr="00CE7ECA" w:rsidRDefault="00D13E61" w:rsidP="00730E38">
      <w:pPr>
        <w:widowControl w:val="0"/>
        <w:numPr>
          <w:ilvl w:val="1"/>
          <w:numId w:val="1"/>
        </w:numPr>
        <w:spacing w:after="120"/>
        <w:jc w:val="both"/>
        <w:rPr>
          <w:rFonts w:asciiTheme="minorHAnsi" w:hAnsiTheme="minorHAnsi" w:cs="Arial"/>
          <w:bCs/>
          <w:snapToGrid w:val="0"/>
        </w:rPr>
      </w:pPr>
      <w:r w:rsidRPr="00CE7ECA">
        <w:rPr>
          <w:rFonts w:asciiTheme="minorHAnsi" w:hAnsiTheme="minorHAnsi" w:cs="Arial"/>
          <w:bCs/>
          <w:snapToGrid w:val="0"/>
        </w:rPr>
        <w:t>A comment from Lung foundation Australia noted that the PBS listing of crizotinib would make a meaningful difference in the lives of the small population of ROS1-positive NSCLC patients.</w:t>
      </w:r>
    </w:p>
    <w:p w:rsidR="00D13E61" w:rsidRPr="00CE7ECA" w:rsidRDefault="00D13E61" w:rsidP="00730E38">
      <w:pPr>
        <w:widowControl w:val="0"/>
        <w:numPr>
          <w:ilvl w:val="1"/>
          <w:numId w:val="1"/>
        </w:numPr>
        <w:spacing w:after="120"/>
        <w:jc w:val="both"/>
        <w:rPr>
          <w:rFonts w:asciiTheme="minorHAnsi" w:hAnsiTheme="minorHAnsi" w:cs="Arial"/>
          <w:bCs/>
          <w:snapToGrid w:val="0"/>
        </w:rPr>
      </w:pPr>
      <w:r w:rsidRPr="00CE7ECA">
        <w:rPr>
          <w:rFonts w:asciiTheme="minorHAnsi" w:hAnsiTheme="minorHAnsi" w:cs="Arial"/>
          <w:bCs/>
          <w:snapToGrid w:val="0"/>
        </w:rPr>
        <w:t>The Medical Oncology Group of Australia (MOGA) also expressed its support for the crizotinib submission, noting that the PBS listing of crizotinib in this population would fill a significant area of unmet need. The PBAC noted that the MOGA presented the European Society for Medical Oncology Magnitude of Clinical Benefit Scale (ESMO-MCBS) for crizotinib, which was limited to 3 (out of a maximum of 5, where 5 and 4 represent the grades with substantial improvement)</w:t>
      </w:r>
      <w:r w:rsidR="000C074C" w:rsidRPr="00CE7ECA">
        <w:rPr>
          <w:rStyle w:val="FootnoteReference"/>
          <w:rFonts w:asciiTheme="minorHAnsi" w:hAnsiTheme="minorHAnsi" w:cs="Arial"/>
          <w:bCs/>
          <w:snapToGrid w:val="0"/>
        </w:rPr>
        <w:footnoteReference w:id="1"/>
      </w:r>
      <w:r w:rsidRPr="00CE7ECA">
        <w:rPr>
          <w:rFonts w:asciiTheme="minorHAnsi" w:hAnsiTheme="minorHAnsi" w:cs="Arial"/>
          <w:bCs/>
          <w:snapToGrid w:val="0"/>
        </w:rPr>
        <w:t>, based on single arm studies.</w:t>
      </w:r>
    </w:p>
    <w:p w:rsidR="006C56D3" w:rsidRPr="00CE7ECA" w:rsidRDefault="006C56D3" w:rsidP="00C3026B">
      <w:pPr>
        <w:pStyle w:val="PBACHeading1"/>
        <w:numPr>
          <w:ilvl w:val="0"/>
          <w:numId w:val="0"/>
        </w:numPr>
        <w:spacing w:before="240" w:after="120"/>
        <w:outlineLvl w:val="1"/>
        <w:rPr>
          <w:rFonts w:asciiTheme="minorHAnsi" w:eastAsiaTheme="majorEastAsia" w:hAnsiTheme="minorHAnsi" w:cstheme="majorBidi"/>
          <w:i/>
          <w:sz w:val="28"/>
          <w:szCs w:val="28"/>
        </w:rPr>
      </w:pPr>
      <w:r w:rsidRPr="00CE7ECA">
        <w:rPr>
          <w:rFonts w:asciiTheme="minorHAnsi" w:eastAsiaTheme="majorEastAsia" w:hAnsiTheme="minorHAnsi" w:cstheme="majorBidi"/>
          <w:i/>
          <w:sz w:val="28"/>
          <w:szCs w:val="28"/>
        </w:rPr>
        <w:lastRenderedPageBreak/>
        <w:t>Economic analysis</w:t>
      </w:r>
    </w:p>
    <w:p w:rsidR="006C56D3" w:rsidRPr="00CE7ECA" w:rsidRDefault="006E1993" w:rsidP="00730E38">
      <w:pPr>
        <w:pStyle w:val="ListParagraph"/>
        <w:widowControl/>
        <w:numPr>
          <w:ilvl w:val="1"/>
          <w:numId w:val="1"/>
        </w:numPr>
        <w:spacing w:after="120"/>
        <w:ind w:left="709"/>
        <w:contextualSpacing w:val="0"/>
        <w:rPr>
          <w:rFonts w:asciiTheme="minorHAnsi" w:hAnsiTheme="minorHAnsi"/>
          <w:sz w:val="24"/>
          <w:szCs w:val="24"/>
        </w:rPr>
      </w:pPr>
      <w:r w:rsidRPr="00CE7ECA">
        <w:rPr>
          <w:rFonts w:asciiTheme="minorHAnsi" w:hAnsiTheme="minorHAnsi"/>
          <w:sz w:val="24"/>
          <w:szCs w:val="24"/>
        </w:rPr>
        <w:t xml:space="preserve">In the previous major submission considered by PBAC in </w:t>
      </w:r>
      <w:r w:rsidR="003E7397" w:rsidRPr="00CE7ECA">
        <w:rPr>
          <w:rFonts w:asciiTheme="minorHAnsi" w:hAnsiTheme="minorHAnsi"/>
          <w:sz w:val="24"/>
          <w:szCs w:val="24"/>
        </w:rPr>
        <w:t>November 2017</w:t>
      </w:r>
      <w:r w:rsidRPr="00CE7ECA">
        <w:rPr>
          <w:rFonts w:asciiTheme="minorHAnsi" w:hAnsiTheme="minorHAnsi"/>
          <w:sz w:val="24"/>
          <w:szCs w:val="24"/>
        </w:rPr>
        <w:t xml:space="preserve">, the submission presented a cost-effectiveness analysis against </w:t>
      </w:r>
      <w:r w:rsidR="003E7397" w:rsidRPr="00CE7ECA">
        <w:rPr>
          <w:rFonts w:asciiTheme="minorHAnsi" w:hAnsiTheme="minorHAnsi"/>
          <w:sz w:val="24"/>
          <w:szCs w:val="24"/>
        </w:rPr>
        <w:t>pemetrexed</w:t>
      </w:r>
      <w:r w:rsidRPr="00CE7ECA">
        <w:rPr>
          <w:rFonts w:asciiTheme="minorHAnsi" w:hAnsiTheme="minorHAnsi"/>
          <w:sz w:val="24"/>
          <w:szCs w:val="24"/>
        </w:rPr>
        <w:t xml:space="preserve">. The minor re-submission did not alter the economic model structure from </w:t>
      </w:r>
      <w:r w:rsidR="006C56D3" w:rsidRPr="00CE7ECA">
        <w:rPr>
          <w:rFonts w:asciiTheme="minorHAnsi" w:hAnsiTheme="minorHAnsi"/>
          <w:sz w:val="24"/>
          <w:szCs w:val="24"/>
        </w:rPr>
        <w:t xml:space="preserve">November 2017 </w:t>
      </w:r>
      <w:r w:rsidRPr="00CE7ECA">
        <w:rPr>
          <w:rFonts w:asciiTheme="minorHAnsi" w:hAnsiTheme="minorHAnsi"/>
          <w:sz w:val="24"/>
          <w:szCs w:val="24"/>
        </w:rPr>
        <w:t>but sought to respecify the best estimate of the base case ICER by</w:t>
      </w:r>
      <w:r w:rsidR="006C56D3" w:rsidRPr="00CE7ECA">
        <w:rPr>
          <w:rFonts w:asciiTheme="minorHAnsi" w:hAnsiTheme="minorHAnsi"/>
          <w:sz w:val="24"/>
          <w:szCs w:val="24"/>
        </w:rPr>
        <w:t xml:space="preserve"> addressing</w:t>
      </w:r>
      <w:r w:rsidR="00E01B19" w:rsidRPr="00CE7ECA">
        <w:rPr>
          <w:rFonts w:asciiTheme="minorHAnsi" w:hAnsiTheme="minorHAnsi"/>
          <w:sz w:val="24"/>
          <w:szCs w:val="24"/>
        </w:rPr>
        <w:t xml:space="preserve"> the PBAC</w:t>
      </w:r>
      <w:r w:rsidR="00C01D0B" w:rsidRPr="00CE7ECA">
        <w:rPr>
          <w:rFonts w:asciiTheme="minorHAnsi" w:hAnsiTheme="minorHAnsi"/>
          <w:sz w:val="24"/>
          <w:szCs w:val="24"/>
        </w:rPr>
        <w:t>’</w:t>
      </w:r>
      <w:r w:rsidR="00E01B19" w:rsidRPr="00CE7ECA">
        <w:rPr>
          <w:rFonts w:asciiTheme="minorHAnsi" w:hAnsiTheme="minorHAnsi"/>
          <w:sz w:val="24"/>
          <w:szCs w:val="24"/>
        </w:rPr>
        <w:t>s concerns surrounding</w:t>
      </w:r>
      <w:r w:rsidR="006C56D3" w:rsidRPr="00CE7ECA">
        <w:rPr>
          <w:rFonts w:asciiTheme="minorHAnsi" w:hAnsiTheme="minorHAnsi"/>
          <w:sz w:val="24"/>
          <w:szCs w:val="24"/>
        </w:rPr>
        <w:t>:</w:t>
      </w:r>
    </w:p>
    <w:p w:rsidR="006C56D3" w:rsidRPr="00CE7ECA" w:rsidRDefault="00CE6088" w:rsidP="00730E38">
      <w:pPr>
        <w:pStyle w:val="ListParagraph"/>
        <w:numPr>
          <w:ilvl w:val="0"/>
          <w:numId w:val="7"/>
        </w:numPr>
        <w:spacing w:after="120"/>
        <w:ind w:left="1077" w:hanging="357"/>
        <w:contextualSpacing w:val="0"/>
        <w:rPr>
          <w:rFonts w:asciiTheme="minorHAnsi" w:hAnsiTheme="minorHAnsi"/>
          <w:sz w:val="24"/>
          <w:szCs w:val="24"/>
        </w:rPr>
      </w:pPr>
      <w:r w:rsidRPr="00CE7ECA">
        <w:rPr>
          <w:rFonts w:asciiTheme="minorHAnsi" w:hAnsiTheme="minorHAnsi"/>
          <w:sz w:val="24"/>
          <w:szCs w:val="24"/>
        </w:rPr>
        <w:t>t</w:t>
      </w:r>
      <w:r w:rsidR="006C56D3" w:rsidRPr="00CE7ECA">
        <w:rPr>
          <w:rFonts w:asciiTheme="minorHAnsi" w:hAnsiTheme="minorHAnsi"/>
          <w:sz w:val="24"/>
          <w:szCs w:val="24"/>
        </w:rPr>
        <w:t>he efficacy of the comparator, pemetrexed;</w:t>
      </w:r>
    </w:p>
    <w:p w:rsidR="006C56D3" w:rsidRPr="00CE7ECA" w:rsidRDefault="00CE6088" w:rsidP="00730E38">
      <w:pPr>
        <w:pStyle w:val="ListParagraph"/>
        <w:numPr>
          <w:ilvl w:val="0"/>
          <w:numId w:val="7"/>
        </w:numPr>
        <w:spacing w:after="120"/>
        <w:ind w:left="1077" w:hanging="357"/>
        <w:contextualSpacing w:val="0"/>
        <w:rPr>
          <w:rFonts w:asciiTheme="minorHAnsi" w:hAnsiTheme="minorHAnsi"/>
          <w:sz w:val="24"/>
          <w:szCs w:val="24"/>
        </w:rPr>
      </w:pPr>
      <w:r w:rsidRPr="00CE7ECA">
        <w:rPr>
          <w:rFonts w:asciiTheme="minorHAnsi" w:hAnsiTheme="minorHAnsi"/>
          <w:sz w:val="24"/>
          <w:szCs w:val="24"/>
        </w:rPr>
        <w:t>t</w:t>
      </w:r>
      <w:r w:rsidR="006C56D3" w:rsidRPr="00CE7ECA">
        <w:rPr>
          <w:rFonts w:asciiTheme="minorHAnsi" w:hAnsiTheme="minorHAnsi"/>
          <w:sz w:val="24"/>
          <w:szCs w:val="24"/>
        </w:rPr>
        <w:t>he incremental effectiveness of crizotinib versus pemetrexed; and</w:t>
      </w:r>
    </w:p>
    <w:p w:rsidR="006C56D3" w:rsidRPr="00CE7ECA" w:rsidRDefault="00CE6088" w:rsidP="00730E38">
      <w:pPr>
        <w:pStyle w:val="ListParagraph"/>
        <w:numPr>
          <w:ilvl w:val="0"/>
          <w:numId w:val="7"/>
        </w:numPr>
        <w:spacing w:after="120"/>
        <w:ind w:left="1077" w:hanging="357"/>
        <w:contextualSpacing w:val="0"/>
        <w:rPr>
          <w:rFonts w:asciiTheme="minorHAnsi" w:hAnsiTheme="minorHAnsi"/>
          <w:sz w:val="24"/>
          <w:szCs w:val="24"/>
        </w:rPr>
      </w:pPr>
      <w:r w:rsidRPr="00CE7ECA">
        <w:rPr>
          <w:rFonts w:asciiTheme="minorHAnsi" w:hAnsiTheme="minorHAnsi"/>
          <w:sz w:val="24"/>
          <w:szCs w:val="24"/>
        </w:rPr>
        <w:t>p</w:t>
      </w:r>
      <w:r w:rsidR="006C56D3" w:rsidRPr="00CE7ECA">
        <w:rPr>
          <w:rFonts w:asciiTheme="minorHAnsi" w:hAnsiTheme="minorHAnsi"/>
          <w:sz w:val="24"/>
          <w:szCs w:val="24"/>
        </w:rPr>
        <w:t>emetrexed cost offsets.</w:t>
      </w:r>
    </w:p>
    <w:p w:rsidR="006E1993" w:rsidRPr="00CE7ECA" w:rsidRDefault="006E1993" w:rsidP="006E1993">
      <w:pPr>
        <w:pStyle w:val="ListParagraph"/>
        <w:spacing w:after="120"/>
        <w:ind w:left="709"/>
        <w:contextualSpacing w:val="0"/>
        <w:rPr>
          <w:rFonts w:asciiTheme="minorHAnsi" w:hAnsiTheme="minorHAnsi"/>
          <w:sz w:val="24"/>
          <w:szCs w:val="24"/>
        </w:rPr>
      </w:pPr>
      <w:r w:rsidRPr="00CE7ECA">
        <w:rPr>
          <w:rFonts w:asciiTheme="minorHAnsi" w:hAnsiTheme="minorHAnsi"/>
          <w:sz w:val="24"/>
          <w:szCs w:val="24"/>
        </w:rPr>
        <w:t>The respecified base case ICER was verified by the Department.</w:t>
      </w:r>
    </w:p>
    <w:p w:rsidR="006C56D3" w:rsidRPr="00CE7ECA" w:rsidRDefault="006C56D3" w:rsidP="006C56D3">
      <w:pPr>
        <w:spacing w:after="120"/>
        <w:rPr>
          <w:rFonts w:asciiTheme="minorHAnsi" w:hAnsiTheme="minorHAnsi"/>
          <w:u w:val="single"/>
        </w:rPr>
      </w:pPr>
      <w:r w:rsidRPr="00CE7ECA">
        <w:rPr>
          <w:rFonts w:asciiTheme="minorHAnsi" w:hAnsiTheme="minorHAnsi"/>
          <w:u w:val="single"/>
        </w:rPr>
        <w:t>Pemetrexed efficacy</w:t>
      </w:r>
    </w:p>
    <w:p w:rsidR="006C56D3" w:rsidRPr="00CE7ECA" w:rsidRDefault="00E01B19"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PBAC</w:t>
      </w:r>
      <w:r w:rsidR="006D023D" w:rsidRPr="00CE7ECA">
        <w:rPr>
          <w:rFonts w:asciiTheme="minorHAnsi" w:eastAsiaTheme="minorHAnsi" w:hAnsiTheme="minorHAnsi" w:cstheme="minorBidi"/>
          <w:snapToGrid/>
          <w:sz w:val="24"/>
          <w:szCs w:val="22"/>
        </w:rPr>
        <w:t xml:space="preserve"> </w:t>
      </w:r>
      <w:r w:rsidR="00C01D0B" w:rsidRPr="00CE7ECA">
        <w:rPr>
          <w:rFonts w:asciiTheme="minorHAnsi" w:eastAsiaTheme="minorHAnsi" w:hAnsiTheme="minorHAnsi" w:cstheme="minorBidi"/>
          <w:snapToGrid/>
          <w:sz w:val="24"/>
          <w:szCs w:val="22"/>
        </w:rPr>
        <w:t xml:space="preserve">had </w:t>
      </w:r>
      <w:r w:rsidR="006D023D" w:rsidRPr="00CE7ECA">
        <w:rPr>
          <w:rFonts w:asciiTheme="minorHAnsi" w:eastAsiaTheme="minorHAnsi" w:hAnsiTheme="minorHAnsi" w:cstheme="minorBidi"/>
          <w:snapToGrid/>
          <w:sz w:val="24"/>
          <w:szCs w:val="22"/>
        </w:rPr>
        <w:t>considered</w:t>
      </w:r>
      <w:r w:rsidRPr="00CE7ECA">
        <w:rPr>
          <w:rFonts w:asciiTheme="minorHAnsi" w:eastAsiaTheme="minorHAnsi" w:hAnsiTheme="minorHAnsi" w:cstheme="minorBidi"/>
          <w:snapToGrid/>
          <w:sz w:val="24"/>
          <w:szCs w:val="22"/>
        </w:rPr>
        <w:t xml:space="preserve"> (paragraph 7.8, November 2017 </w:t>
      </w:r>
      <w:r w:rsidR="008A6254">
        <w:rPr>
          <w:rFonts w:asciiTheme="minorHAnsi" w:eastAsiaTheme="minorHAnsi" w:hAnsiTheme="minorHAnsi" w:cstheme="minorBidi"/>
          <w:snapToGrid/>
          <w:sz w:val="24"/>
          <w:szCs w:val="22"/>
        </w:rPr>
        <w:t>PSD</w:t>
      </w:r>
      <w:r w:rsidRPr="00CE7ECA">
        <w:rPr>
          <w:rFonts w:asciiTheme="minorHAnsi" w:eastAsiaTheme="minorHAnsi" w:hAnsiTheme="minorHAnsi" w:cstheme="minorBidi"/>
          <w:snapToGrid/>
          <w:sz w:val="24"/>
          <w:szCs w:val="22"/>
        </w:rPr>
        <w:t>) “that the effectiveness of pemetrexed was potentially underestimated as (i) study patients received fewer cycles of treatment than Australian practice (as estimated by Australian clinicians); (ii) its supporting study included patients with squamous NSCLC who have worse outcomes with pemetrexed, and (iii) other treatment practices may have improved since the study was conducted (2001 to 2003).”</w:t>
      </w:r>
    </w:p>
    <w:p w:rsidR="00E01B19" w:rsidRPr="00CE7ECA" w:rsidRDefault="00FE1E30"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In the p</w:t>
      </w:r>
      <w:r w:rsidR="00E01B19" w:rsidRPr="00CE7ECA">
        <w:rPr>
          <w:rFonts w:asciiTheme="minorHAnsi" w:eastAsiaTheme="minorHAnsi" w:hAnsiTheme="minorHAnsi" w:cstheme="minorBidi"/>
          <w:snapToGrid/>
          <w:sz w:val="24"/>
          <w:szCs w:val="22"/>
        </w:rPr>
        <w:t xml:space="preserve">re-PBAC response to the November 2017 meeting, a further sensitivity analysis was performed in which the overall survival outcomes for patients treated with pemetrexed were increased by a factor of </w:t>
      </w:r>
      <w:r w:rsidR="00291DED">
        <w:rPr>
          <w:rFonts w:asciiTheme="minorHAnsi" w:eastAsiaTheme="minorHAnsi" w:hAnsiTheme="minorHAnsi" w:cstheme="minorBidi"/>
          <w:noProof/>
          <w:snapToGrid/>
          <w:color w:val="000000"/>
          <w:sz w:val="24"/>
          <w:szCs w:val="22"/>
          <w:highlight w:val="black"/>
        </w:rPr>
        <w:t>''''''''</w:t>
      </w:r>
      <w:r w:rsidR="00E01B19" w:rsidRPr="00CE7ECA">
        <w:rPr>
          <w:rFonts w:asciiTheme="minorHAnsi" w:eastAsiaTheme="minorHAnsi" w:hAnsiTheme="minorHAnsi" w:cstheme="minorBidi"/>
          <w:snapToGrid/>
          <w:sz w:val="24"/>
          <w:szCs w:val="22"/>
        </w:rPr>
        <w:t>. This increased the median overall survival in the comparator arm to 10 months, which was more consistent with the more contemporary survival response seen in the chemotherapy (docetaxel) arm of the Phase III study of nivolumab in advanced non-squamous NSCLC, which informed the positive PBAC recommendation for nivolumab in March 2017 (Nivolumab PSD, March 2017).</w:t>
      </w:r>
    </w:p>
    <w:p w:rsidR="00E01B19" w:rsidRPr="00CE7ECA" w:rsidRDefault="00E01B19"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factor of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was applied to the pemetrexed arm of the revised base case</w:t>
      </w:r>
      <w:r w:rsidR="00C01D0B" w:rsidRPr="00CE7ECA">
        <w:rPr>
          <w:rFonts w:asciiTheme="minorHAnsi" w:eastAsiaTheme="minorHAnsi" w:hAnsiTheme="minorHAnsi" w:cstheme="minorBidi"/>
          <w:snapToGrid/>
          <w:sz w:val="24"/>
          <w:szCs w:val="22"/>
        </w:rPr>
        <w:t xml:space="preserve"> presented in the </w:t>
      </w:r>
      <w:r w:rsidR="00FF4215" w:rsidRPr="00CE7ECA">
        <w:rPr>
          <w:rFonts w:asciiTheme="minorHAnsi" w:eastAsiaTheme="minorHAnsi" w:hAnsiTheme="minorHAnsi" w:cstheme="minorBidi"/>
          <w:snapToGrid/>
          <w:sz w:val="24"/>
          <w:szCs w:val="22"/>
        </w:rPr>
        <w:t xml:space="preserve">minor </w:t>
      </w:r>
      <w:r w:rsidR="00C01D0B" w:rsidRPr="00CE7ECA">
        <w:rPr>
          <w:rFonts w:asciiTheme="minorHAnsi" w:eastAsiaTheme="minorHAnsi" w:hAnsiTheme="minorHAnsi" w:cstheme="minorBidi"/>
          <w:snapToGrid/>
          <w:sz w:val="24"/>
          <w:szCs w:val="22"/>
        </w:rPr>
        <w:t>resubmission</w:t>
      </w:r>
      <w:r w:rsidRPr="00CE7ECA">
        <w:rPr>
          <w:rFonts w:asciiTheme="minorHAnsi" w:eastAsiaTheme="minorHAnsi" w:hAnsiTheme="minorHAnsi" w:cstheme="minorBidi"/>
          <w:snapToGrid/>
          <w:sz w:val="24"/>
          <w:szCs w:val="22"/>
        </w:rPr>
        <w:t>.</w:t>
      </w:r>
    </w:p>
    <w:p w:rsidR="00E01B19" w:rsidRPr="00CE7ECA" w:rsidRDefault="00E01B19" w:rsidP="00E01B19">
      <w:pPr>
        <w:spacing w:after="120"/>
        <w:rPr>
          <w:rFonts w:asciiTheme="minorHAnsi" w:eastAsiaTheme="minorHAnsi" w:hAnsiTheme="minorHAnsi" w:cstheme="minorBidi"/>
          <w:szCs w:val="22"/>
          <w:u w:val="single"/>
        </w:rPr>
      </w:pPr>
      <w:r w:rsidRPr="00CE7ECA">
        <w:rPr>
          <w:rFonts w:asciiTheme="minorHAnsi" w:eastAsiaTheme="minorHAnsi" w:hAnsiTheme="minorHAnsi" w:cstheme="minorBidi"/>
          <w:szCs w:val="22"/>
          <w:u w:val="single"/>
        </w:rPr>
        <w:t>Incremental effectiveness</w:t>
      </w:r>
    </w:p>
    <w:p w:rsidR="00E01B19" w:rsidRPr="00CE7ECA" w:rsidRDefault="006D023D"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PBAC </w:t>
      </w:r>
      <w:r w:rsidR="00C01D0B" w:rsidRPr="00CE7ECA">
        <w:rPr>
          <w:rFonts w:asciiTheme="minorHAnsi" w:eastAsiaTheme="minorHAnsi" w:hAnsiTheme="minorHAnsi" w:cstheme="minorBidi"/>
          <w:snapToGrid/>
          <w:sz w:val="24"/>
          <w:szCs w:val="22"/>
        </w:rPr>
        <w:t xml:space="preserve">had </w:t>
      </w:r>
      <w:r w:rsidRPr="00CE7ECA">
        <w:rPr>
          <w:rFonts w:asciiTheme="minorHAnsi" w:eastAsiaTheme="minorHAnsi" w:hAnsiTheme="minorHAnsi" w:cstheme="minorBidi"/>
          <w:snapToGrid/>
          <w:sz w:val="24"/>
          <w:szCs w:val="22"/>
        </w:rPr>
        <w:t xml:space="preserve">noted (paragraph 7.9, November 2017 </w:t>
      </w:r>
      <w:r w:rsidR="008A6254">
        <w:rPr>
          <w:rFonts w:asciiTheme="minorHAnsi" w:eastAsiaTheme="minorHAnsi" w:hAnsiTheme="minorHAnsi" w:cstheme="minorBidi"/>
          <w:snapToGrid/>
          <w:sz w:val="24"/>
          <w:szCs w:val="22"/>
        </w:rPr>
        <w:t>PSD</w:t>
      </w:r>
      <w:r w:rsidRPr="00CE7ECA">
        <w:rPr>
          <w:rFonts w:asciiTheme="minorHAnsi" w:eastAsiaTheme="minorHAnsi" w:hAnsiTheme="minorHAnsi" w:cstheme="minorBidi"/>
          <w:snapToGrid/>
          <w:sz w:val="24"/>
          <w:szCs w:val="22"/>
        </w:rPr>
        <w:t>) “although crizotinib was likely to be more effective than pemetrexed, the magnitude of the incremental effectiveness was difficult to estimate” and “the incremental effectiveness of crizotinib over pemetrexed was overestimated</w:t>
      </w:r>
      <w:r w:rsidR="006C5840" w:rsidRPr="00CE7ECA">
        <w:rPr>
          <w:rFonts w:asciiTheme="minorHAnsi" w:eastAsiaTheme="minorHAnsi" w:hAnsiTheme="minorHAnsi" w:cstheme="minorBidi"/>
          <w:snapToGrid/>
          <w:sz w:val="24"/>
          <w:szCs w:val="22"/>
        </w:rPr>
        <w:t xml:space="preserve"> in the submission; however….</w:t>
      </w:r>
      <w:r w:rsidR="003F112D" w:rsidRPr="00CE7ECA">
        <w:rPr>
          <w:rFonts w:asciiTheme="minorHAnsi" w:eastAsiaTheme="minorHAnsi" w:hAnsiTheme="minorHAnsi" w:cstheme="minorBidi"/>
          <w:snapToGrid/>
          <w:sz w:val="24"/>
          <w:szCs w:val="22"/>
        </w:rPr>
        <w:t>.</w:t>
      </w:r>
      <w:r w:rsidR="006C5840" w:rsidRPr="00CE7ECA">
        <w:rPr>
          <w:rFonts w:asciiTheme="minorHAnsi" w:eastAsiaTheme="minorHAnsi" w:hAnsiTheme="minorHAnsi" w:cstheme="minorBidi"/>
          <w:snapToGrid/>
          <w:sz w:val="24"/>
          <w:szCs w:val="22"/>
        </w:rPr>
        <w:t>the Committee was satisfied that the incremental effectiveness of crizotinib treatment in the ROS1-positive NSCLC population would be similar to that in the ALK-positive NSCLC population</w:t>
      </w:r>
      <w:r w:rsidRPr="00CE7ECA">
        <w:rPr>
          <w:rFonts w:asciiTheme="minorHAnsi" w:eastAsiaTheme="minorHAnsi" w:hAnsiTheme="minorHAnsi" w:cstheme="minorBidi"/>
          <w:snapToGrid/>
          <w:sz w:val="24"/>
          <w:szCs w:val="22"/>
        </w:rPr>
        <w:t>.</w:t>
      </w:r>
      <w:r w:rsidR="006C5840" w:rsidRPr="00CE7ECA">
        <w:rPr>
          <w:rFonts w:asciiTheme="minorHAnsi" w:eastAsiaTheme="minorHAnsi" w:hAnsiTheme="minorHAnsi" w:cstheme="minorBidi"/>
          <w:snapToGrid/>
          <w:sz w:val="24"/>
          <w:szCs w:val="22"/>
        </w:rPr>
        <w:t>”</w:t>
      </w:r>
    </w:p>
    <w:p w:rsidR="006C5840" w:rsidRPr="00CE7ECA" w:rsidRDefault="003F112D"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PBAC</w:t>
      </w:r>
      <w:r w:rsidR="00C01D0B" w:rsidRPr="00CE7ECA">
        <w:rPr>
          <w:rFonts w:asciiTheme="minorHAnsi" w:eastAsiaTheme="minorHAnsi" w:hAnsiTheme="minorHAnsi" w:cstheme="minorBidi"/>
          <w:snapToGrid/>
          <w:sz w:val="24"/>
          <w:szCs w:val="22"/>
        </w:rPr>
        <w:t xml:space="preserve"> had</w:t>
      </w:r>
      <w:r w:rsidRPr="00CE7ECA">
        <w:rPr>
          <w:rFonts w:asciiTheme="minorHAnsi" w:eastAsiaTheme="minorHAnsi" w:hAnsiTheme="minorHAnsi" w:cstheme="minorBidi"/>
          <w:snapToGrid/>
          <w:sz w:val="24"/>
          <w:szCs w:val="22"/>
        </w:rPr>
        <w:t xml:space="preserve"> </w:t>
      </w:r>
      <w:r w:rsidR="009A3942" w:rsidRPr="00CE7ECA">
        <w:rPr>
          <w:rFonts w:asciiTheme="minorHAnsi" w:eastAsiaTheme="minorHAnsi" w:hAnsiTheme="minorHAnsi" w:cstheme="minorBidi"/>
          <w:snapToGrid/>
          <w:sz w:val="24"/>
          <w:szCs w:val="22"/>
        </w:rPr>
        <w:t>recalled</w:t>
      </w:r>
      <w:r w:rsidRPr="00CE7ECA">
        <w:rPr>
          <w:rFonts w:asciiTheme="minorHAnsi" w:eastAsiaTheme="minorHAnsi" w:hAnsiTheme="minorHAnsi" w:cstheme="minorBidi"/>
          <w:snapToGrid/>
          <w:sz w:val="24"/>
          <w:szCs w:val="22"/>
        </w:rPr>
        <w:t xml:space="preserve"> that (paragraph 7.12, November 2017 </w:t>
      </w:r>
      <w:r w:rsidR="008A6254">
        <w:rPr>
          <w:rFonts w:asciiTheme="minorHAnsi" w:eastAsiaTheme="minorHAnsi" w:hAnsiTheme="minorHAnsi" w:cstheme="minorBidi"/>
          <w:snapToGrid/>
          <w:sz w:val="24"/>
          <w:szCs w:val="22"/>
        </w:rPr>
        <w:t>PSD</w:t>
      </w:r>
      <w:r w:rsidRPr="00CE7ECA">
        <w:rPr>
          <w:rFonts w:asciiTheme="minorHAnsi" w:eastAsiaTheme="minorHAnsi" w:hAnsiTheme="minorHAnsi" w:cstheme="minorBidi"/>
          <w:snapToGrid/>
          <w:sz w:val="24"/>
          <w:szCs w:val="22"/>
        </w:rPr>
        <w:t>) “</w:t>
      </w:r>
      <w:r w:rsidR="009A3942" w:rsidRPr="00CE7ECA">
        <w:rPr>
          <w:rFonts w:asciiTheme="minorHAnsi" w:eastAsiaTheme="minorHAnsi" w:hAnsiTheme="minorHAnsi" w:cstheme="minorBidi"/>
          <w:snapToGrid/>
          <w:sz w:val="24"/>
          <w:szCs w:val="22"/>
        </w:rPr>
        <w:t>it had recommended crizotinib in the ALK population based on evidence from a direct randomised controlled trial (A8081007/Ou, 2012)</w:t>
      </w:r>
      <w:r w:rsidR="006A7055" w:rsidRPr="00CE7ECA">
        <w:rPr>
          <w:rFonts w:asciiTheme="minorHAnsi" w:eastAsiaTheme="minorHAnsi" w:hAnsiTheme="minorHAnsi" w:cstheme="minorBidi"/>
          <w:snapToGrid/>
          <w:sz w:val="24"/>
          <w:szCs w:val="22"/>
        </w:rPr>
        <w:t xml:space="preserve"> </w:t>
      </w:r>
      <w:r w:rsidR="009A3942" w:rsidRPr="00CE7ECA">
        <w:rPr>
          <w:rFonts w:asciiTheme="minorHAnsi" w:eastAsiaTheme="minorHAnsi" w:hAnsiTheme="minorHAnsi" w:cstheme="minorBidi"/>
          <w:snapToGrid/>
          <w:sz w:val="24"/>
          <w:szCs w:val="22"/>
        </w:rPr>
        <w:t xml:space="preserve">….and </w:t>
      </w:r>
      <w:r w:rsidR="003543E0" w:rsidRPr="00CE7ECA">
        <w:rPr>
          <w:rFonts w:asciiTheme="minorHAnsi" w:eastAsiaTheme="minorHAnsi" w:hAnsiTheme="minorHAnsi" w:cstheme="minorBidi"/>
          <w:snapToGrid/>
          <w:sz w:val="24"/>
          <w:szCs w:val="22"/>
        </w:rPr>
        <w:t xml:space="preserve">in the absence of similar </w:t>
      </w:r>
      <w:r w:rsidR="003543E0" w:rsidRPr="00CE7ECA">
        <w:rPr>
          <w:rFonts w:asciiTheme="minorHAnsi" w:eastAsiaTheme="minorHAnsi" w:hAnsiTheme="minorHAnsi" w:cstheme="minorBidi"/>
          <w:snapToGrid/>
          <w:sz w:val="24"/>
          <w:szCs w:val="22"/>
        </w:rPr>
        <w:lastRenderedPageBreak/>
        <w:t>robust evidence to determine the incremental</w:t>
      </w:r>
      <w:r w:rsidR="00FE1E30" w:rsidRPr="00CE7ECA">
        <w:rPr>
          <w:rFonts w:asciiTheme="minorHAnsi" w:eastAsiaTheme="minorHAnsi" w:hAnsiTheme="minorHAnsi" w:cstheme="minorBidi"/>
          <w:snapToGrid/>
          <w:sz w:val="24"/>
          <w:szCs w:val="22"/>
        </w:rPr>
        <w:t xml:space="preserve"> benefit and therefore the cost</w:t>
      </w:r>
      <w:r w:rsidR="00FE1E30" w:rsidRPr="00CE7ECA">
        <w:rPr>
          <w:rFonts w:asciiTheme="minorHAnsi" w:eastAsiaTheme="minorHAnsi" w:hAnsiTheme="minorHAnsi" w:cstheme="minorBidi"/>
          <w:snapToGrid/>
          <w:sz w:val="24"/>
          <w:szCs w:val="22"/>
        </w:rPr>
        <w:noBreakHyphen/>
      </w:r>
      <w:r w:rsidR="003543E0" w:rsidRPr="00CE7ECA">
        <w:rPr>
          <w:rFonts w:asciiTheme="minorHAnsi" w:eastAsiaTheme="minorHAnsi" w:hAnsiTheme="minorHAnsi" w:cstheme="minorBidi"/>
          <w:snapToGrid/>
          <w:sz w:val="24"/>
          <w:szCs w:val="22"/>
        </w:rPr>
        <w:t xml:space="preserve">effectiveness of crizotinib in the ROS1-positive NSCLC setting, and assuming a similar effectiveness across these two biomarker-defined populations, </w:t>
      </w:r>
      <w:r w:rsidRPr="00CE7ECA">
        <w:rPr>
          <w:rFonts w:asciiTheme="minorHAnsi" w:eastAsiaTheme="minorHAnsi" w:hAnsiTheme="minorHAnsi" w:cstheme="minorBidi"/>
          <w:snapToGrid/>
          <w:sz w:val="24"/>
          <w:szCs w:val="22"/>
        </w:rPr>
        <w:t>the cost of treating a ROS1-positive patient should be the same as treating an ALK-positive patient.</w:t>
      </w:r>
      <w:r w:rsidR="009A3942" w:rsidRPr="00CE7ECA">
        <w:rPr>
          <w:rFonts w:asciiTheme="minorHAnsi" w:eastAsiaTheme="minorHAnsi" w:hAnsiTheme="minorHAnsi" w:cstheme="minorBidi"/>
          <w:snapToGrid/>
          <w:sz w:val="24"/>
          <w:szCs w:val="22"/>
        </w:rPr>
        <w:t xml:space="preserve"> </w:t>
      </w:r>
      <w:r w:rsidR="009A3942" w:rsidRPr="00CE7ECA">
        <w:rPr>
          <w:rFonts w:asciiTheme="minorHAnsi" w:hAnsiTheme="minorHAnsi"/>
          <w:sz w:val="24"/>
          <w:szCs w:val="24"/>
        </w:rPr>
        <w:t>The PBAC considered that this conclusion of similarity was generous from the perspective of biological plausibility, because (i) although the ROS1 and ALK genes are evolutionarily related, the kinase domains of ROS1 and ALK show only about 49% amino acid sequence homology</w:t>
      </w:r>
      <w:r w:rsidR="009A3942" w:rsidRPr="00CE7ECA">
        <w:rPr>
          <w:rStyle w:val="FootnoteReference"/>
          <w:rFonts w:asciiTheme="minorHAnsi" w:hAnsiTheme="minorHAnsi"/>
          <w:sz w:val="24"/>
          <w:szCs w:val="24"/>
        </w:rPr>
        <w:footnoteReference w:id="2"/>
      </w:r>
      <w:r w:rsidR="009A3942" w:rsidRPr="00CE7ECA">
        <w:rPr>
          <w:rFonts w:asciiTheme="minorHAnsi" w:hAnsiTheme="minorHAnsi"/>
          <w:sz w:val="24"/>
          <w:szCs w:val="24"/>
        </w:rPr>
        <w:t>; and (ii) ALK inhibitors have lower affinity (IC</w:t>
      </w:r>
      <w:r w:rsidR="009A3942" w:rsidRPr="00CE7ECA">
        <w:rPr>
          <w:rFonts w:asciiTheme="minorHAnsi" w:hAnsiTheme="minorHAnsi"/>
          <w:sz w:val="24"/>
          <w:szCs w:val="24"/>
          <w:vertAlign w:val="subscript"/>
        </w:rPr>
        <w:t>50</w:t>
      </w:r>
      <w:r w:rsidR="009A3942" w:rsidRPr="00CE7ECA">
        <w:rPr>
          <w:rFonts w:asciiTheme="minorHAnsi" w:hAnsiTheme="minorHAnsi"/>
          <w:sz w:val="24"/>
          <w:szCs w:val="24"/>
        </w:rPr>
        <w:t>) for ALK than ROS1 in vitro indicating that ALK inhibitors are better at inhibiting ALK expression than at inhibiting ROS1 expression. PBAC acknowledged that this data is not based on observations of clinically meaningful outcomes.</w:t>
      </w:r>
      <w:r w:rsidRPr="00CE7ECA">
        <w:rPr>
          <w:rFonts w:asciiTheme="minorHAnsi" w:eastAsiaTheme="minorHAnsi" w:hAnsiTheme="minorHAnsi" w:cstheme="minorBidi"/>
          <w:snapToGrid/>
          <w:sz w:val="24"/>
          <w:szCs w:val="24"/>
        </w:rPr>
        <w:t>”</w:t>
      </w:r>
    </w:p>
    <w:p w:rsidR="003F112D" w:rsidRPr="00CE7ECA" w:rsidRDefault="003F112D"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minor resubmission did not agree with a conclusion of equivalent incremental benefit across patient populations with different d</w:t>
      </w:r>
      <w:r w:rsidR="00872A65" w:rsidRPr="00CE7ECA">
        <w:rPr>
          <w:rFonts w:asciiTheme="minorHAnsi" w:eastAsiaTheme="minorHAnsi" w:hAnsiTheme="minorHAnsi" w:cstheme="minorBidi"/>
          <w:snapToGrid/>
          <w:sz w:val="24"/>
          <w:szCs w:val="22"/>
        </w:rPr>
        <w:t>r</w:t>
      </w:r>
      <w:r w:rsidRPr="00CE7ECA">
        <w:rPr>
          <w:rFonts w:asciiTheme="minorHAnsi" w:eastAsiaTheme="minorHAnsi" w:hAnsiTheme="minorHAnsi" w:cstheme="minorBidi"/>
          <w:snapToGrid/>
          <w:sz w:val="24"/>
          <w:szCs w:val="22"/>
        </w:rPr>
        <w:t>iver mutations informed by in</w:t>
      </w:r>
      <w:r w:rsidR="00EC4C9C" w:rsidRPr="00CE7ECA">
        <w:rPr>
          <w:rFonts w:asciiTheme="minorHAnsi" w:eastAsiaTheme="minorHAnsi" w:hAnsiTheme="minorHAnsi" w:cstheme="minorBidi"/>
          <w:snapToGrid/>
          <w:sz w:val="24"/>
          <w:szCs w:val="22"/>
        </w:rPr>
        <w:t xml:space="preserve"> </w:t>
      </w:r>
      <w:r w:rsidRPr="00CE7ECA">
        <w:rPr>
          <w:rFonts w:asciiTheme="minorHAnsi" w:eastAsiaTheme="minorHAnsi" w:hAnsiTheme="minorHAnsi" w:cstheme="minorBidi"/>
          <w:snapToGrid/>
          <w:sz w:val="24"/>
          <w:szCs w:val="22"/>
        </w:rPr>
        <w:t>vitro evidence alone. The min</w:t>
      </w:r>
      <w:r w:rsidR="009A3942" w:rsidRPr="00CE7ECA">
        <w:rPr>
          <w:rFonts w:asciiTheme="minorHAnsi" w:eastAsiaTheme="minorHAnsi" w:hAnsiTheme="minorHAnsi" w:cstheme="minorBidi"/>
          <w:snapToGrid/>
          <w:sz w:val="24"/>
          <w:szCs w:val="22"/>
        </w:rPr>
        <w:t>or resubmission stated that Ou, 2012 references in vitro evidence of the inhibition of ROS1 by four different ALK inhibitors and concludes that “Despite sharing only approximately 49% amino acid sequence homology in the kinase domains between ALK and ROS1, there is now growing evidence that at least several ALK in</w:t>
      </w:r>
      <w:r w:rsidR="00B86A42" w:rsidRPr="00CE7ECA">
        <w:rPr>
          <w:rFonts w:asciiTheme="minorHAnsi" w:eastAsiaTheme="minorHAnsi" w:hAnsiTheme="minorHAnsi" w:cstheme="minorBidi"/>
          <w:snapToGrid/>
          <w:sz w:val="24"/>
          <w:szCs w:val="22"/>
        </w:rPr>
        <w:t xml:space="preserve">hibitors are also potent ROS1 inhibitors in vitro.” The </w:t>
      </w:r>
      <w:r w:rsidR="00FF4215" w:rsidRPr="00CE7ECA">
        <w:rPr>
          <w:rFonts w:asciiTheme="minorHAnsi" w:eastAsiaTheme="minorHAnsi" w:hAnsiTheme="minorHAnsi" w:cstheme="minorBidi"/>
          <w:snapToGrid/>
          <w:sz w:val="24"/>
          <w:szCs w:val="22"/>
        </w:rPr>
        <w:t xml:space="preserve">minor </w:t>
      </w:r>
      <w:r w:rsidR="00B86A42" w:rsidRPr="00CE7ECA">
        <w:rPr>
          <w:rFonts w:asciiTheme="minorHAnsi" w:eastAsiaTheme="minorHAnsi" w:hAnsiTheme="minorHAnsi" w:cstheme="minorBidi"/>
          <w:snapToGrid/>
          <w:sz w:val="24"/>
          <w:szCs w:val="22"/>
        </w:rPr>
        <w:t>resubmission stated that:</w:t>
      </w:r>
    </w:p>
    <w:p w:rsidR="00B86A42" w:rsidRPr="00CE7ECA" w:rsidRDefault="00B86A42" w:rsidP="00730E38">
      <w:pPr>
        <w:pStyle w:val="ListParagraph"/>
        <w:widowControl/>
        <w:numPr>
          <w:ilvl w:val="1"/>
          <w:numId w:val="10"/>
        </w:numPr>
        <w:spacing w:after="120"/>
        <w:ind w:left="1077" w:hanging="357"/>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evidence of lower affinity (IC</w:t>
      </w:r>
      <w:r w:rsidRPr="00CE7ECA">
        <w:rPr>
          <w:rFonts w:asciiTheme="minorHAnsi" w:eastAsiaTheme="minorHAnsi" w:hAnsiTheme="minorHAnsi" w:cstheme="minorBidi"/>
          <w:snapToGrid/>
          <w:sz w:val="24"/>
          <w:szCs w:val="22"/>
          <w:vertAlign w:val="subscript"/>
        </w:rPr>
        <w:t>50</w:t>
      </w:r>
      <w:r w:rsidR="00220942" w:rsidRPr="00CE7ECA">
        <w:rPr>
          <w:rFonts w:asciiTheme="minorHAnsi" w:eastAsiaTheme="minorHAnsi" w:hAnsiTheme="minorHAnsi" w:cstheme="minorBidi"/>
          <w:snapToGrid/>
          <w:sz w:val="24"/>
          <w:szCs w:val="22"/>
        </w:rPr>
        <w:t>) against ALK</w:t>
      </w:r>
      <w:r w:rsidRPr="00CE7ECA">
        <w:rPr>
          <w:rFonts w:asciiTheme="minorHAnsi" w:eastAsiaTheme="minorHAnsi" w:hAnsiTheme="minorHAnsi" w:cstheme="minorBidi"/>
          <w:snapToGrid/>
          <w:sz w:val="24"/>
          <w:szCs w:val="22"/>
        </w:rPr>
        <w:t xml:space="preserve"> verses ROS1 was based on in vitro studies of the ALK inhibitors brigatinib and WZ-5-126, not from crizotinib specifically; and</w:t>
      </w:r>
    </w:p>
    <w:p w:rsidR="00B86A42" w:rsidRPr="00CE7ECA" w:rsidRDefault="00B86A42" w:rsidP="00730E38">
      <w:pPr>
        <w:pStyle w:val="ListParagraph"/>
        <w:widowControl/>
        <w:numPr>
          <w:ilvl w:val="1"/>
          <w:numId w:val="10"/>
        </w:numPr>
        <w:spacing w:after="120"/>
        <w:ind w:left="1077" w:hanging="357"/>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Each of the ALK inhibitors has a different pharmacodynamic profile. </w:t>
      </w:r>
    </w:p>
    <w:p w:rsidR="003F112D" w:rsidRPr="00CE7ECA" w:rsidRDefault="00C83476"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w:t>
      </w:r>
      <w:r w:rsidR="00FF4215" w:rsidRPr="00CE7ECA">
        <w:rPr>
          <w:rFonts w:asciiTheme="minorHAnsi" w:eastAsiaTheme="minorHAnsi" w:hAnsiTheme="minorHAnsi" w:cstheme="minorBidi"/>
          <w:snapToGrid/>
          <w:sz w:val="24"/>
          <w:szCs w:val="22"/>
        </w:rPr>
        <w:t xml:space="preserve">minor </w:t>
      </w:r>
      <w:r w:rsidRPr="00CE7ECA">
        <w:rPr>
          <w:rFonts w:asciiTheme="minorHAnsi" w:eastAsiaTheme="minorHAnsi" w:hAnsiTheme="minorHAnsi" w:cstheme="minorBidi"/>
          <w:snapToGrid/>
          <w:sz w:val="24"/>
          <w:szCs w:val="22"/>
        </w:rPr>
        <w:t>resubmission state</w:t>
      </w:r>
      <w:r w:rsidR="00CE6088" w:rsidRPr="00CE7ECA">
        <w:rPr>
          <w:rFonts w:asciiTheme="minorHAnsi" w:eastAsiaTheme="minorHAnsi" w:hAnsiTheme="minorHAnsi" w:cstheme="minorBidi"/>
          <w:snapToGrid/>
          <w:sz w:val="24"/>
          <w:szCs w:val="22"/>
        </w:rPr>
        <w:t>d</w:t>
      </w:r>
      <w:r w:rsidRPr="00CE7ECA">
        <w:rPr>
          <w:rFonts w:asciiTheme="minorHAnsi" w:eastAsiaTheme="minorHAnsi" w:hAnsiTheme="minorHAnsi" w:cstheme="minorBidi"/>
          <w:snapToGrid/>
          <w:sz w:val="24"/>
          <w:szCs w:val="22"/>
        </w:rPr>
        <w:t xml:space="preserve"> that the efficacy outcomes derived from the pivotal crizotinib studies presented previously (A8081001 and OO12-01) provided the highest level of available evidence (combined analysis,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PFS =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months; 95% CI: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median OS =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95% CI: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w:t>
      </w:r>
    </w:p>
    <w:p w:rsidR="000B6902" w:rsidRPr="00CE7ECA" w:rsidRDefault="00C83476"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In order to address some of the uncertainty surrounding the magnitude of benefit, the</w:t>
      </w:r>
      <w:r w:rsidR="00FF4215" w:rsidRPr="00CE7ECA">
        <w:rPr>
          <w:rFonts w:asciiTheme="minorHAnsi" w:eastAsiaTheme="minorHAnsi" w:hAnsiTheme="minorHAnsi" w:cstheme="minorBidi"/>
          <w:snapToGrid/>
          <w:sz w:val="24"/>
          <w:szCs w:val="22"/>
        </w:rPr>
        <w:t xml:space="preserve"> minor</w:t>
      </w:r>
      <w:r w:rsidRPr="00CE7ECA">
        <w:rPr>
          <w:rFonts w:asciiTheme="minorHAnsi" w:eastAsiaTheme="minorHAnsi" w:hAnsiTheme="minorHAnsi" w:cstheme="minorBidi"/>
          <w:snapToGrid/>
          <w:sz w:val="24"/>
          <w:szCs w:val="22"/>
        </w:rPr>
        <w:t xml:space="preserve"> resubmission proposed applying a more conservative modelled survival outcome, by reducing the time horizon in the base case from 10 years to 5 years</w:t>
      </w:r>
      <w:r w:rsidR="000B6902" w:rsidRPr="00CE7ECA">
        <w:rPr>
          <w:rFonts w:asciiTheme="minorHAnsi" w:eastAsiaTheme="minorHAnsi" w:hAnsiTheme="minorHAnsi" w:cstheme="minorBidi"/>
          <w:snapToGrid/>
          <w:sz w:val="24"/>
          <w:szCs w:val="22"/>
        </w:rPr>
        <w:t>.</w:t>
      </w:r>
    </w:p>
    <w:p w:rsidR="00006881" w:rsidRPr="00CE7ECA" w:rsidRDefault="00006881"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pre-PBAC response </w:t>
      </w:r>
      <w:r w:rsidR="00893CD8" w:rsidRPr="00CE7ECA">
        <w:rPr>
          <w:rFonts w:asciiTheme="minorHAnsi" w:eastAsiaTheme="minorHAnsi" w:hAnsiTheme="minorHAnsi" w:cstheme="minorBidi"/>
          <w:snapToGrid/>
          <w:sz w:val="24"/>
          <w:szCs w:val="22"/>
        </w:rPr>
        <w:t>claimed</w:t>
      </w:r>
      <w:r w:rsidRPr="00CE7ECA">
        <w:rPr>
          <w:rFonts w:asciiTheme="minorHAnsi" w:eastAsiaTheme="minorHAnsi" w:hAnsiTheme="minorHAnsi" w:cstheme="minorBidi"/>
          <w:snapToGrid/>
          <w:sz w:val="24"/>
          <w:szCs w:val="22"/>
        </w:rPr>
        <w:t xml:space="preserve"> that </w:t>
      </w:r>
      <w:r w:rsidR="00893CD8" w:rsidRPr="00CE7ECA">
        <w:rPr>
          <w:rFonts w:asciiTheme="minorHAnsi" w:eastAsiaTheme="minorHAnsi" w:hAnsiTheme="minorHAnsi" w:cstheme="minorBidi"/>
          <w:snapToGrid/>
          <w:sz w:val="24"/>
          <w:szCs w:val="22"/>
        </w:rPr>
        <w:t>a time horizon of 5 years would be conservative, and noted that this was consistent with the time horizon in the economic evaluation which informed PBAC decision-making for nivolumab for the treatment of advanced non-squamous NSCLC (nivolumab PSD, March 2016).</w:t>
      </w:r>
    </w:p>
    <w:p w:rsidR="000B6902" w:rsidRPr="00CE7ECA" w:rsidRDefault="000B6902" w:rsidP="000B6902">
      <w:pPr>
        <w:spacing w:after="120"/>
        <w:rPr>
          <w:rFonts w:asciiTheme="minorHAnsi" w:eastAsiaTheme="minorHAnsi" w:hAnsiTheme="minorHAnsi" w:cstheme="minorBidi"/>
          <w:szCs w:val="22"/>
          <w:u w:val="single"/>
        </w:rPr>
      </w:pPr>
      <w:r w:rsidRPr="00CE7ECA">
        <w:rPr>
          <w:rFonts w:asciiTheme="minorHAnsi" w:eastAsiaTheme="minorHAnsi" w:hAnsiTheme="minorHAnsi" w:cstheme="minorBidi"/>
          <w:szCs w:val="22"/>
          <w:u w:val="single"/>
        </w:rPr>
        <w:t>Pemetrexed cost offsets</w:t>
      </w:r>
    </w:p>
    <w:p w:rsidR="000B6902" w:rsidRPr="00CE7ECA" w:rsidRDefault="000B6902"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cost of pemetrexed </w:t>
      </w:r>
      <w:r w:rsidR="00CE7ECA">
        <w:rPr>
          <w:rFonts w:asciiTheme="minorHAnsi" w:eastAsiaTheme="minorHAnsi" w:hAnsiTheme="minorHAnsi" w:cstheme="minorBidi"/>
          <w:snapToGrid/>
          <w:sz w:val="24"/>
          <w:szCs w:val="22"/>
        </w:rPr>
        <w:t xml:space="preserve">was </w:t>
      </w:r>
      <w:r w:rsidRPr="00CE7ECA">
        <w:rPr>
          <w:rFonts w:asciiTheme="minorHAnsi" w:eastAsiaTheme="minorHAnsi" w:hAnsiTheme="minorHAnsi" w:cstheme="minorBidi"/>
          <w:snapToGrid/>
          <w:sz w:val="24"/>
          <w:szCs w:val="22"/>
        </w:rPr>
        <w:t>updated to reflect the current PBS prices (</w:t>
      </w:r>
      <w:r w:rsidR="00B86A42" w:rsidRPr="00CE7ECA">
        <w:rPr>
          <w:rFonts w:asciiTheme="minorHAnsi" w:eastAsiaTheme="minorHAnsi" w:hAnsiTheme="minorHAnsi" w:cstheme="minorBidi"/>
          <w:snapToGrid/>
          <w:sz w:val="24"/>
          <w:szCs w:val="22"/>
        </w:rPr>
        <w:t xml:space="preserve">1 </w:t>
      </w:r>
      <w:r w:rsidRPr="00CE7ECA">
        <w:rPr>
          <w:rFonts w:asciiTheme="minorHAnsi" w:eastAsiaTheme="minorHAnsi" w:hAnsiTheme="minorHAnsi" w:cstheme="minorBidi"/>
          <w:snapToGrid/>
          <w:sz w:val="24"/>
          <w:szCs w:val="22"/>
        </w:rPr>
        <w:t>April 2018).</w:t>
      </w:r>
      <w:r w:rsidR="00FD05FE" w:rsidRPr="00CE7ECA">
        <w:rPr>
          <w:rFonts w:asciiTheme="minorHAnsi" w:eastAsiaTheme="minorHAnsi" w:hAnsiTheme="minorHAnsi" w:cstheme="minorBidi"/>
          <w:snapToGrid/>
          <w:sz w:val="24"/>
          <w:szCs w:val="22"/>
        </w:rPr>
        <w:t xml:space="preserve"> </w:t>
      </w:r>
      <w:r w:rsidR="00335BA6" w:rsidRPr="00CE7ECA">
        <w:rPr>
          <w:rFonts w:asciiTheme="minorHAnsi" w:eastAsiaTheme="minorHAnsi" w:hAnsiTheme="minorHAnsi" w:cstheme="minorBidi"/>
          <w:snapToGrid/>
          <w:sz w:val="24"/>
          <w:szCs w:val="22"/>
        </w:rPr>
        <w:t>In the model, t</w:t>
      </w:r>
      <w:r w:rsidR="00FD05FE" w:rsidRPr="00CE7ECA">
        <w:rPr>
          <w:rFonts w:asciiTheme="minorHAnsi" w:eastAsiaTheme="minorHAnsi" w:hAnsiTheme="minorHAnsi" w:cstheme="minorBidi"/>
          <w:snapToGrid/>
          <w:sz w:val="24"/>
          <w:szCs w:val="22"/>
        </w:rPr>
        <w:t xml:space="preserve">he cost of treatment for 21 days was reduced from $540.79 to </w:t>
      </w:r>
      <w:r w:rsidR="00335BA6" w:rsidRPr="00CE7ECA">
        <w:rPr>
          <w:rFonts w:asciiTheme="minorHAnsi" w:eastAsiaTheme="minorHAnsi" w:hAnsiTheme="minorHAnsi" w:cstheme="minorBidi"/>
          <w:snapToGrid/>
          <w:sz w:val="24"/>
          <w:szCs w:val="22"/>
        </w:rPr>
        <w:t>$228.64.</w:t>
      </w:r>
    </w:p>
    <w:p w:rsidR="000B6902" w:rsidRPr="00CE7ECA" w:rsidRDefault="000B6902" w:rsidP="009D5628">
      <w:pPr>
        <w:keepNext/>
        <w:spacing w:after="120"/>
        <w:rPr>
          <w:rFonts w:asciiTheme="minorHAnsi" w:eastAsiaTheme="minorHAnsi" w:hAnsiTheme="minorHAnsi" w:cstheme="minorBidi"/>
          <w:szCs w:val="22"/>
          <w:u w:val="single"/>
        </w:rPr>
      </w:pPr>
      <w:r w:rsidRPr="00CE7ECA">
        <w:rPr>
          <w:rFonts w:asciiTheme="minorHAnsi" w:eastAsiaTheme="minorHAnsi" w:hAnsiTheme="minorHAnsi" w:cstheme="minorBidi"/>
          <w:szCs w:val="22"/>
          <w:u w:val="single"/>
        </w:rPr>
        <w:lastRenderedPageBreak/>
        <w:t>Results of the revised economic evaluation</w:t>
      </w:r>
    </w:p>
    <w:p w:rsidR="000B6902" w:rsidRPr="00CE7ECA" w:rsidRDefault="000B6902" w:rsidP="00730E38">
      <w:pPr>
        <w:pStyle w:val="ListParagraph"/>
        <w:keepNext/>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updated economic evaluation, which included the three changes described above, and the updated DPMQ </w:t>
      </w:r>
      <w:r w:rsidR="00CE6088" w:rsidRPr="00CE7ECA">
        <w:rPr>
          <w:rFonts w:asciiTheme="minorHAnsi" w:eastAsiaTheme="minorHAnsi" w:hAnsiTheme="minorHAnsi" w:cstheme="minorBidi"/>
          <w:snapToGrid/>
          <w:sz w:val="24"/>
          <w:szCs w:val="22"/>
        </w:rPr>
        <w:t>for</w:t>
      </w:r>
      <w:r w:rsidRPr="00CE7ECA">
        <w:rPr>
          <w:rFonts w:asciiTheme="minorHAnsi" w:eastAsiaTheme="minorHAnsi" w:hAnsiTheme="minorHAnsi" w:cstheme="minorBidi"/>
          <w:snapToGrid/>
          <w:sz w:val="24"/>
          <w:szCs w:val="22"/>
        </w:rPr>
        <w:t xml:space="preserve"> crizotinib of $</w:t>
      </w:r>
      <w:r w:rsidR="00291DED">
        <w:rPr>
          <w:rFonts w:asciiTheme="minorHAnsi" w:eastAsiaTheme="minorHAnsi" w:hAnsiTheme="minorHAnsi" w:cstheme="minorBidi"/>
          <w:noProof/>
          <w:snapToGrid/>
          <w:color w:val="000000"/>
          <w:sz w:val="24"/>
          <w:szCs w:val="22"/>
          <w:highlight w:val="black"/>
        </w:rPr>
        <w:t>''''''''''''''''</w:t>
      </w:r>
      <w:r w:rsidR="00CE6088" w:rsidRPr="00CE7ECA">
        <w:rPr>
          <w:rFonts w:asciiTheme="minorHAnsi" w:eastAsiaTheme="minorHAnsi" w:hAnsiTheme="minorHAnsi" w:cstheme="minorBidi"/>
          <w:snapToGrid/>
          <w:sz w:val="24"/>
          <w:szCs w:val="22"/>
        </w:rPr>
        <w:t>,</w:t>
      </w:r>
      <w:r w:rsidRPr="00CE7ECA">
        <w:rPr>
          <w:rFonts w:asciiTheme="minorHAnsi" w:eastAsiaTheme="minorHAnsi" w:hAnsiTheme="minorHAnsi" w:cstheme="minorBidi"/>
          <w:snapToGrid/>
          <w:sz w:val="24"/>
          <w:szCs w:val="22"/>
        </w:rPr>
        <w:t xml:space="preserve"> resulted in an ICER of $</w:t>
      </w:r>
      <w:r w:rsidR="00AA2DD7">
        <w:rPr>
          <w:rFonts w:asciiTheme="minorHAnsi" w:eastAsiaTheme="minorHAnsi" w:hAnsiTheme="minorHAnsi" w:cstheme="minorBidi"/>
          <w:snapToGrid/>
          <w:sz w:val="24"/>
          <w:szCs w:val="22"/>
        </w:rPr>
        <w:t>45,000/QALY - $75,000/QALY</w:t>
      </w:r>
      <w:r w:rsidRPr="00CE7ECA">
        <w:rPr>
          <w:rFonts w:asciiTheme="minorHAnsi" w:eastAsiaTheme="minorHAnsi" w:hAnsiTheme="minorHAnsi" w:cstheme="minorBidi"/>
          <w:snapToGrid/>
          <w:sz w:val="24"/>
          <w:szCs w:val="22"/>
        </w:rPr>
        <w:t xml:space="preserve"> (as compared to $</w:t>
      </w:r>
      <w:r w:rsidR="00AA2DD7" w:rsidRPr="00AA2DD7">
        <w:rPr>
          <w:rFonts w:asciiTheme="minorHAnsi" w:eastAsiaTheme="minorHAnsi" w:hAnsiTheme="minorHAnsi" w:cstheme="minorBidi"/>
          <w:snapToGrid/>
          <w:sz w:val="24"/>
          <w:szCs w:val="22"/>
        </w:rPr>
        <w:t xml:space="preserve">45,000/QALY - $75,000/QALY </w:t>
      </w:r>
      <w:r w:rsidRPr="00CE7ECA">
        <w:rPr>
          <w:rFonts w:asciiTheme="minorHAnsi" w:eastAsiaTheme="minorHAnsi" w:hAnsiTheme="minorHAnsi" w:cstheme="minorBidi"/>
          <w:snapToGrid/>
          <w:sz w:val="24"/>
          <w:szCs w:val="22"/>
        </w:rPr>
        <w:t>in the previous submission).</w:t>
      </w:r>
      <w:r w:rsidR="00AA2DD7">
        <w:rPr>
          <w:rFonts w:asciiTheme="minorHAnsi" w:eastAsiaTheme="minorHAnsi" w:hAnsiTheme="minorHAnsi" w:cstheme="minorBidi"/>
          <w:snapToGrid/>
          <w:sz w:val="24"/>
          <w:szCs w:val="22"/>
        </w:rPr>
        <w:t xml:space="preserve"> </w:t>
      </w:r>
    </w:p>
    <w:p w:rsidR="000B6902" w:rsidRPr="00CE7ECA" w:rsidRDefault="000B6902"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table below compares the ICERs obtained if the updated DPMQ and original DPMQ (as proposed in</w:t>
      </w:r>
      <w:r w:rsidR="00C43A1A" w:rsidRPr="00CE7ECA">
        <w:rPr>
          <w:rFonts w:asciiTheme="minorHAnsi" w:eastAsiaTheme="minorHAnsi" w:hAnsiTheme="minorHAnsi" w:cstheme="minorBidi"/>
          <w:snapToGrid/>
          <w:sz w:val="24"/>
          <w:szCs w:val="22"/>
        </w:rPr>
        <w:t xml:space="preserve"> the November 2017 submission) for crizotinib we</w:t>
      </w:r>
      <w:r w:rsidRPr="00CE7ECA">
        <w:rPr>
          <w:rFonts w:asciiTheme="minorHAnsi" w:eastAsiaTheme="minorHAnsi" w:hAnsiTheme="minorHAnsi" w:cstheme="minorBidi"/>
          <w:snapToGrid/>
          <w:sz w:val="24"/>
          <w:szCs w:val="22"/>
        </w:rPr>
        <w:t>re used in the updated model.</w:t>
      </w:r>
    </w:p>
    <w:p w:rsidR="000B6902" w:rsidRPr="00CE7ECA" w:rsidRDefault="00CF4B84" w:rsidP="00EC4C9C">
      <w:pPr>
        <w:keepNext/>
        <w:spacing w:after="60"/>
        <w:rPr>
          <w:rFonts w:ascii="Arial Narrow" w:eastAsiaTheme="minorHAnsi" w:hAnsi="Arial Narrow" w:cstheme="minorBidi"/>
          <w:b/>
          <w:sz w:val="20"/>
          <w:szCs w:val="20"/>
        </w:rPr>
      </w:pPr>
      <w:r w:rsidRPr="00CE7ECA">
        <w:rPr>
          <w:rFonts w:ascii="Arial Narrow" w:eastAsiaTheme="minorHAnsi" w:hAnsi="Arial Narrow" w:cstheme="minorBidi"/>
          <w:b/>
          <w:sz w:val="20"/>
          <w:szCs w:val="20"/>
        </w:rPr>
        <w:t>Table 1: Updated ICERs for the proposed ROS1 listing of crizotinib</w:t>
      </w:r>
    </w:p>
    <w:tbl>
      <w:tblPr>
        <w:tblStyle w:val="TableGrid"/>
        <w:tblW w:w="0" w:type="auto"/>
        <w:tblInd w:w="108" w:type="dxa"/>
        <w:tblLook w:val="04A0" w:firstRow="1" w:lastRow="0" w:firstColumn="1" w:lastColumn="0" w:noHBand="0" w:noVBand="1"/>
        <w:tblCaption w:val="Table 1: Updated ICERs for the proposed ROS1 listing of crizotinib"/>
      </w:tblPr>
      <w:tblGrid>
        <w:gridCol w:w="418"/>
        <w:gridCol w:w="3527"/>
        <w:gridCol w:w="2594"/>
        <w:gridCol w:w="2595"/>
      </w:tblGrid>
      <w:tr w:rsidR="00CF4B84" w:rsidRPr="00CE7ECA" w:rsidTr="00730E38">
        <w:trPr>
          <w:cantSplit/>
          <w:trHeight w:val="512"/>
          <w:tblHeader/>
        </w:trPr>
        <w:tc>
          <w:tcPr>
            <w:tcW w:w="3945" w:type="dxa"/>
            <w:gridSpan w:val="2"/>
            <w:tcMar>
              <w:top w:w="57" w:type="dxa"/>
              <w:bottom w:w="57" w:type="dxa"/>
            </w:tcMar>
            <w:vAlign w:val="center"/>
          </w:tcPr>
          <w:p w:rsidR="00CF4B84" w:rsidRPr="00CE7ECA" w:rsidRDefault="00CF4B84" w:rsidP="00232E2F">
            <w:pPr>
              <w:pStyle w:val="BodyText"/>
              <w:keepNext/>
              <w:spacing w:after="0" w:line="360" w:lineRule="auto"/>
              <w:rPr>
                <w:rFonts w:ascii="Arial Narrow" w:hAnsi="Arial Narrow" w:cs="Arial"/>
                <w:b/>
                <w:sz w:val="20"/>
                <w:szCs w:val="20"/>
              </w:rPr>
            </w:pPr>
          </w:p>
        </w:tc>
        <w:tc>
          <w:tcPr>
            <w:tcW w:w="2594" w:type="dxa"/>
            <w:tcMar>
              <w:top w:w="57" w:type="dxa"/>
              <w:bottom w:w="57" w:type="dxa"/>
            </w:tcMar>
            <w:vAlign w:val="center"/>
          </w:tcPr>
          <w:p w:rsidR="00CF4B84" w:rsidRPr="00CE7ECA" w:rsidRDefault="00CF4B84" w:rsidP="00232E2F">
            <w:pPr>
              <w:pStyle w:val="BodyText"/>
              <w:keepNext/>
              <w:spacing w:after="0"/>
              <w:jc w:val="center"/>
              <w:rPr>
                <w:rFonts w:ascii="Arial Narrow" w:hAnsi="Arial Narrow" w:cs="Arial"/>
                <w:b/>
                <w:sz w:val="20"/>
                <w:szCs w:val="20"/>
              </w:rPr>
            </w:pPr>
            <w:r w:rsidRPr="00CE7ECA">
              <w:rPr>
                <w:rFonts w:ascii="Arial Narrow" w:hAnsi="Arial Narrow" w:cs="Arial"/>
                <w:b/>
                <w:sz w:val="20"/>
                <w:szCs w:val="20"/>
              </w:rPr>
              <w:t xml:space="preserve">ICER based on </w:t>
            </w:r>
            <w:r w:rsidR="00A335C4" w:rsidRPr="00CE7ECA">
              <w:rPr>
                <w:rFonts w:ascii="Arial Narrow" w:hAnsi="Arial Narrow" w:cs="Arial"/>
                <w:b/>
                <w:sz w:val="20"/>
                <w:szCs w:val="20"/>
              </w:rPr>
              <w:t>Nov 2017</w:t>
            </w:r>
            <w:r w:rsidRPr="00CE7ECA">
              <w:rPr>
                <w:rFonts w:ascii="Arial Narrow" w:hAnsi="Arial Narrow" w:cs="Arial"/>
                <w:b/>
                <w:sz w:val="20"/>
                <w:szCs w:val="20"/>
              </w:rPr>
              <w:t xml:space="preserve"> </w:t>
            </w:r>
            <w:r w:rsidR="00291DED">
              <w:rPr>
                <w:rFonts w:ascii="Arial Narrow" w:hAnsi="Arial Narrow" w:cs="Arial"/>
                <w:b/>
                <w:noProof/>
                <w:color w:val="000000"/>
                <w:sz w:val="20"/>
                <w:szCs w:val="20"/>
                <w:highlight w:val="black"/>
              </w:rPr>
              <w:t>'''''''''''''</w:t>
            </w:r>
            <w:r w:rsidRPr="00CE7ECA">
              <w:rPr>
                <w:rFonts w:ascii="Arial Narrow" w:hAnsi="Arial Narrow" w:cs="Arial"/>
                <w:b/>
                <w:sz w:val="20"/>
                <w:szCs w:val="20"/>
              </w:rPr>
              <w:t xml:space="preserve"> ($</w:t>
            </w:r>
            <w:r w:rsidR="00291DED">
              <w:rPr>
                <w:rFonts w:ascii="Arial Narrow" w:hAnsi="Arial Narrow" w:cs="Arial"/>
                <w:b/>
                <w:noProof/>
                <w:color w:val="000000"/>
                <w:sz w:val="20"/>
                <w:szCs w:val="20"/>
                <w:highlight w:val="black"/>
              </w:rPr>
              <w:t>'''''''''''''''''</w:t>
            </w:r>
            <w:r w:rsidRPr="00CE7ECA">
              <w:rPr>
                <w:rFonts w:ascii="Arial Narrow" w:hAnsi="Arial Narrow" w:cs="Arial"/>
                <w:b/>
                <w:sz w:val="20"/>
                <w:szCs w:val="20"/>
              </w:rPr>
              <w:t>)</w:t>
            </w:r>
          </w:p>
        </w:tc>
        <w:tc>
          <w:tcPr>
            <w:tcW w:w="2595" w:type="dxa"/>
            <w:tcMar>
              <w:top w:w="57" w:type="dxa"/>
              <w:bottom w:w="57" w:type="dxa"/>
            </w:tcMar>
            <w:vAlign w:val="center"/>
          </w:tcPr>
          <w:p w:rsidR="00CF4B84" w:rsidRPr="00CE7ECA" w:rsidRDefault="00CF4B84" w:rsidP="00232E2F">
            <w:pPr>
              <w:pStyle w:val="BodyText"/>
              <w:keepNext/>
              <w:spacing w:after="0"/>
              <w:jc w:val="center"/>
              <w:rPr>
                <w:rFonts w:ascii="Arial Narrow" w:hAnsi="Arial Narrow" w:cs="Arial"/>
                <w:b/>
                <w:sz w:val="20"/>
                <w:szCs w:val="20"/>
              </w:rPr>
            </w:pPr>
            <w:r w:rsidRPr="00CE7ECA">
              <w:rPr>
                <w:rFonts w:ascii="Arial Narrow" w:hAnsi="Arial Narrow" w:cs="Arial"/>
                <w:b/>
                <w:sz w:val="20"/>
                <w:szCs w:val="20"/>
              </w:rPr>
              <w:t xml:space="preserve">ICER based on </w:t>
            </w:r>
            <w:r w:rsidR="00A335C4" w:rsidRPr="00CE7ECA">
              <w:rPr>
                <w:rFonts w:ascii="Arial Narrow" w:hAnsi="Arial Narrow" w:cs="Arial"/>
                <w:b/>
                <w:sz w:val="20"/>
                <w:szCs w:val="20"/>
              </w:rPr>
              <w:t>Jul 2018</w:t>
            </w:r>
            <w:r w:rsidRPr="00CE7ECA">
              <w:rPr>
                <w:rFonts w:ascii="Arial Narrow" w:hAnsi="Arial Narrow" w:cs="Arial"/>
                <w:b/>
                <w:sz w:val="20"/>
                <w:szCs w:val="20"/>
              </w:rPr>
              <w:t xml:space="preserve"> DPMQ ($</w:t>
            </w:r>
            <w:r w:rsidR="00291DED">
              <w:rPr>
                <w:rFonts w:ascii="Arial Narrow" w:hAnsi="Arial Narrow" w:cs="Arial"/>
                <w:b/>
                <w:noProof/>
                <w:color w:val="000000"/>
                <w:sz w:val="20"/>
                <w:szCs w:val="20"/>
                <w:highlight w:val="black"/>
              </w:rPr>
              <w:t>''''''''''''''''''</w:t>
            </w:r>
            <w:r w:rsidRPr="00CE7ECA">
              <w:rPr>
                <w:rFonts w:ascii="Arial Narrow" w:hAnsi="Arial Narrow" w:cs="Arial"/>
                <w:b/>
                <w:sz w:val="20"/>
                <w:szCs w:val="20"/>
              </w:rPr>
              <w:t>)</w:t>
            </w:r>
          </w:p>
        </w:tc>
      </w:tr>
      <w:tr w:rsidR="00C43A1A" w:rsidRPr="00CE7ECA" w:rsidTr="00CE6088">
        <w:trPr>
          <w:cantSplit/>
          <w:trHeight w:val="362"/>
        </w:trPr>
        <w:tc>
          <w:tcPr>
            <w:tcW w:w="418" w:type="dxa"/>
            <w:vAlign w:val="center"/>
          </w:tcPr>
          <w:p w:rsidR="00C43A1A" w:rsidRPr="00CE7ECA" w:rsidRDefault="00C43A1A" w:rsidP="00232E2F">
            <w:pPr>
              <w:pStyle w:val="BodyText"/>
              <w:keepNext/>
              <w:spacing w:after="0"/>
              <w:rPr>
                <w:rFonts w:ascii="Arial Narrow" w:hAnsi="Arial Narrow" w:cs="Arial"/>
                <w:sz w:val="20"/>
                <w:szCs w:val="20"/>
              </w:rPr>
            </w:pPr>
          </w:p>
        </w:tc>
        <w:tc>
          <w:tcPr>
            <w:tcW w:w="3527" w:type="dxa"/>
            <w:tcMar>
              <w:top w:w="57" w:type="dxa"/>
              <w:bottom w:w="57" w:type="dxa"/>
            </w:tcMar>
            <w:vAlign w:val="center"/>
          </w:tcPr>
          <w:p w:rsidR="00C43A1A" w:rsidRPr="00CE7ECA" w:rsidRDefault="00C43A1A" w:rsidP="00232E2F">
            <w:pPr>
              <w:pStyle w:val="BodyText"/>
              <w:keepNext/>
              <w:spacing w:after="0"/>
              <w:rPr>
                <w:rFonts w:ascii="Arial Narrow" w:hAnsi="Arial Narrow" w:cs="Arial"/>
                <w:sz w:val="20"/>
                <w:szCs w:val="20"/>
              </w:rPr>
            </w:pPr>
            <w:r w:rsidRPr="00CE7ECA">
              <w:rPr>
                <w:rFonts w:ascii="Arial Narrow" w:hAnsi="Arial Narrow" w:cs="Arial"/>
                <w:sz w:val="20"/>
                <w:szCs w:val="20"/>
              </w:rPr>
              <w:t>Base case November 2017</w:t>
            </w:r>
          </w:p>
        </w:tc>
        <w:tc>
          <w:tcPr>
            <w:tcW w:w="2594" w:type="dxa"/>
            <w:tcMar>
              <w:top w:w="57" w:type="dxa"/>
              <w:bottom w:w="57" w:type="dxa"/>
            </w:tcMar>
            <w:vAlign w:val="center"/>
          </w:tcPr>
          <w:p w:rsidR="00C43A1A" w:rsidRPr="00CE7ECA" w:rsidRDefault="00C43A1A" w:rsidP="00232E2F">
            <w:pPr>
              <w:pStyle w:val="BodyText"/>
              <w:keepNext/>
              <w:spacing w:after="0"/>
              <w:jc w:val="center"/>
              <w:rPr>
                <w:rFonts w:ascii="Arial Narrow" w:hAnsi="Arial Narrow" w:cs="Arial"/>
                <w:sz w:val="20"/>
                <w:szCs w:val="20"/>
              </w:rPr>
            </w:pPr>
            <w:r w:rsidRPr="00CE7ECA">
              <w:rPr>
                <w:rFonts w:ascii="Arial Narrow" w:hAnsi="Arial Narrow" w:cs="Arial"/>
                <w:sz w:val="20"/>
                <w:szCs w:val="20"/>
              </w:rPr>
              <w:t>$</w:t>
            </w:r>
            <w:r w:rsidR="00291DED">
              <w:rPr>
                <w:rFonts w:ascii="Arial Narrow" w:hAnsi="Arial Narrow" w:cs="Arial"/>
                <w:noProof/>
                <w:color w:val="000000"/>
                <w:sz w:val="20"/>
                <w:szCs w:val="20"/>
                <w:highlight w:val="black"/>
              </w:rPr>
              <w:t>'''''''''''''''</w:t>
            </w:r>
          </w:p>
        </w:tc>
        <w:tc>
          <w:tcPr>
            <w:tcW w:w="2595" w:type="dxa"/>
            <w:tcMar>
              <w:top w:w="57" w:type="dxa"/>
              <w:bottom w:w="57" w:type="dxa"/>
            </w:tcMar>
            <w:vAlign w:val="center"/>
          </w:tcPr>
          <w:p w:rsidR="00C43A1A" w:rsidRPr="00CE7ECA" w:rsidRDefault="00C43A1A" w:rsidP="00232E2F">
            <w:pPr>
              <w:pStyle w:val="BodyText"/>
              <w:keepNext/>
              <w:spacing w:after="0"/>
              <w:jc w:val="center"/>
              <w:rPr>
                <w:rFonts w:ascii="Arial Narrow" w:hAnsi="Arial Narrow" w:cs="Arial"/>
                <w:sz w:val="20"/>
                <w:szCs w:val="20"/>
              </w:rPr>
            </w:pPr>
            <w:r w:rsidRPr="00CE7ECA">
              <w:rPr>
                <w:rFonts w:ascii="Arial Narrow" w:hAnsi="Arial Narrow" w:cs="Arial"/>
                <w:sz w:val="20"/>
                <w:szCs w:val="20"/>
              </w:rPr>
              <w:t>-</w:t>
            </w:r>
          </w:p>
        </w:tc>
      </w:tr>
      <w:tr w:rsidR="00CF4B84" w:rsidRPr="00CE7ECA" w:rsidTr="00CE6088">
        <w:trPr>
          <w:cantSplit/>
          <w:trHeight w:val="362"/>
        </w:trPr>
        <w:tc>
          <w:tcPr>
            <w:tcW w:w="418" w:type="dxa"/>
            <w:vAlign w:val="center"/>
          </w:tcPr>
          <w:p w:rsidR="00CF4B84" w:rsidRPr="00CE7ECA" w:rsidRDefault="00CF4B84" w:rsidP="00232E2F">
            <w:pPr>
              <w:pStyle w:val="BodyText"/>
              <w:keepNext/>
              <w:spacing w:after="0"/>
              <w:rPr>
                <w:rFonts w:ascii="Arial Narrow" w:hAnsi="Arial Narrow" w:cs="Arial"/>
                <w:sz w:val="20"/>
                <w:szCs w:val="20"/>
              </w:rPr>
            </w:pPr>
            <w:r w:rsidRPr="00CE7ECA">
              <w:rPr>
                <w:rFonts w:ascii="Arial Narrow" w:hAnsi="Arial Narrow" w:cs="Arial"/>
                <w:sz w:val="20"/>
                <w:szCs w:val="20"/>
              </w:rPr>
              <w:t>1</w:t>
            </w:r>
          </w:p>
        </w:tc>
        <w:tc>
          <w:tcPr>
            <w:tcW w:w="3527" w:type="dxa"/>
            <w:tcMar>
              <w:top w:w="57" w:type="dxa"/>
              <w:bottom w:w="57" w:type="dxa"/>
            </w:tcMar>
            <w:vAlign w:val="center"/>
          </w:tcPr>
          <w:p w:rsidR="00CF4B84" w:rsidRPr="00CE7ECA" w:rsidRDefault="00CF4B84" w:rsidP="00232E2F">
            <w:pPr>
              <w:pStyle w:val="BodyText"/>
              <w:keepNext/>
              <w:spacing w:after="0"/>
              <w:rPr>
                <w:rFonts w:ascii="Arial Narrow" w:hAnsi="Arial Narrow" w:cs="Arial"/>
                <w:sz w:val="20"/>
                <w:szCs w:val="20"/>
              </w:rPr>
            </w:pPr>
            <w:r w:rsidRPr="00CE7ECA">
              <w:rPr>
                <w:rFonts w:ascii="Arial Narrow" w:hAnsi="Arial Narrow" w:cs="Arial"/>
                <w:sz w:val="20"/>
                <w:szCs w:val="20"/>
              </w:rPr>
              <w:t>November 2017 submission with updated pemetrexed pricing (</w:t>
            </w:r>
            <w:r w:rsidR="00A335C4" w:rsidRPr="00CE7ECA">
              <w:rPr>
                <w:rFonts w:ascii="Arial Narrow" w:hAnsi="Arial Narrow" w:cs="Arial"/>
                <w:sz w:val="20"/>
                <w:szCs w:val="20"/>
              </w:rPr>
              <w:t xml:space="preserve">as per PBS, </w:t>
            </w:r>
            <w:r w:rsidRPr="00CE7ECA">
              <w:rPr>
                <w:rFonts w:ascii="Arial Narrow" w:hAnsi="Arial Narrow" w:cs="Arial"/>
                <w:sz w:val="20"/>
                <w:szCs w:val="20"/>
              </w:rPr>
              <w:t>April 2018)</w:t>
            </w:r>
          </w:p>
        </w:tc>
        <w:tc>
          <w:tcPr>
            <w:tcW w:w="2594" w:type="dxa"/>
            <w:tcMar>
              <w:top w:w="57" w:type="dxa"/>
              <w:bottom w:w="57" w:type="dxa"/>
            </w:tcMar>
            <w:vAlign w:val="center"/>
          </w:tcPr>
          <w:p w:rsidR="00CF4B84" w:rsidRPr="00CE7ECA" w:rsidRDefault="00CF4B84" w:rsidP="00232E2F">
            <w:pPr>
              <w:pStyle w:val="BodyText"/>
              <w:keepNext/>
              <w:spacing w:after="0"/>
              <w:jc w:val="center"/>
              <w:rPr>
                <w:rFonts w:ascii="Arial Narrow" w:hAnsi="Arial Narrow" w:cs="Arial"/>
                <w:sz w:val="20"/>
                <w:szCs w:val="20"/>
              </w:rPr>
            </w:pPr>
            <w:r w:rsidRPr="00CE7ECA">
              <w:rPr>
                <w:rFonts w:ascii="Arial Narrow" w:hAnsi="Arial Narrow" w:cs="Arial"/>
                <w:sz w:val="20"/>
                <w:szCs w:val="20"/>
              </w:rPr>
              <w:t>$</w:t>
            </w:r>
            <w:r w:rsidR="00291DED">
              <w:rPr>
                <w:rFonts w:ascii="Arial Narrow" w:hAnsi="Arial Narrow" w:cs="Arial"/>
                <w:noProof/>
                <w:color w:val="000000"/>
                <w:sz w:val="20"/>
                <w:szCs w:val="20"/>
                <w:highlight w:val="black"/>
              </w:rPr>
              <w:t>''''''''''''''''</w:t>
            </w:r>
          </w:p>
        </w:tc>
        <w:tc>
          <w:tcPr>
            <w:tcW w:w="2595" w:type="dxa"/>
            <w:tcMar>
              <w:top w:w="57" w:type="dxa"/>
              <w:bottom w:w="57" w:type="dxa"/>
            </w:tcMar>
            <w:vAlign w:val="center"/>
          </w:tcPr>
          <w:p w:rsidR="00CF4B84" w:rsidRPr="00CE7ECA" w:rsidRDefault="00CF4B84" w:rsidP="00232E2F">
            <w:pPr>
              <w:pStyle w:val="BodyText"/>
              <w:keepNext/>
              <w:spacing w:after="0"/>
              <w:jc w:val="center"/>
              <w:rPr>
                <w:rFonts w:ascii="Arial Narrow" w:hAnsi="Arial Narrow" w:cs="Arial"/>
                <w:sz w:val="20"/>
                <w:szCs w:val="20"/>
              </w:rPr>
            </w:pPr>
            <w:r w:rsidRPr="00CE7ECA">
              <w:rPr>
                <w:rFonts w:ascii="Arial Narrow" w:hAnsi="Arial Narrow" w:cs="Arial"/>
                <w:sz w:val="20"/>
                <w:szCs w:val="20"/>
              </w:rPr>
              <w:t>$</w:t>
            </w:r>
            <w:r w:rsidR="00291DED">
              <w:rPr>
                <w:rFonts w:ascii="Arial Narrow" w:hAnsi="Arial Narrow" w:cs="Arial"/>
                <w:noProof/>
                <w:color w:val="000000"/>
                <w:sz w:val="20"/>
                <w:szCs w:val="20"/>
                <w:highlight w:val="black"/>
              </w:rPr>
              <w:t>''''''''''''''''</w:t>
            </w:r>
          </w:p>
        </w:tc>
      </w:tr>
      <w:tr w:rsidR="00CF4B84" w:rsidRPr="00CE7ECA" w:rsidTr="00CE6088">
        <w:trPr>
          <w:cantSplit/>
          <w:trHeight w:val="372"/>
        </w:trPr>
        <w:tc>
          <w:tcPr>
            <w:tcW w:w="418" w:type="dxa"/>
            <w:vAlign w:val="center"/>
          </w:tcPr>
          <w:p w:rsidR="00CF4B84" w:rsidRPr="00CE7ECA" w:rsidRDefault="00CF4B84" w:rsidP="00232E2F">
            <w:pPr>
              <w:pStyle w:val="BodyText"/>
              <w:keepNext/>
              <w:spacing w:after="0"/>
              <w:rPr>
                <w:rFonts w:ascii="Arial Narrow" w:hAnsi="Arial Narrow" w:cs="Arial"/>
                <w:sz w:val="20"/>
                <w:szCs w:val="20"/>
              </w:rPr>
            </w:pPr>
            <w:r w:rsidRPr="00CE7ECA">
              <w:rPr>
                <w:rFonts w:ascii="Arial Narrow" w:hAnsi="Arial Narrow" w:cs="Arial"/>
                <w:sz w:val="20"/>
                <w:szCs w:val="20"/>
              </w:rPr>
              <w:t>2</w:t>
            </w:r>
          </w:p>
        </w:tc>
        <w:tc>
          <w:tcPr>
            <w:tcW w:w="3527" w:type="dxa"/>
            <w:tcMar>
              <w:top w:w="57" w:type="dxa"/>
              <w:bottom w:w="57" w:type="dxa"/>
            </w:tcMar>
            <w:vAlign w:val="center"/>
          </w:tcPr>
          <w:p w:rsidR="00CF4B84" w:rsidRPr="00CE7ECA" w:rsidRDefault="00CF4B84" w:rsidP="00232E2F">
            <w:pPr>
              <w:pStyle w:val="BodyText"/>
              <w:keepNext/>
              <w:spacing w:after="0"/>
              <w:rPr>
                <w:rFonts w:ascii="Arial Narrow" w:hAnsi="Arial Narrow" w:cs="Arial"/>
                <w:sz w:val="20"/>
                <w:szCs w:val="20"/>
              </w:rPr>
            </w:pPr>
            <w:r w:rsidRPr="00CE7ECA">
              <w:rPr>
                <w:rFonts w:ascii="Arial Narrow" w:hAnsi="Arial Narrow" w:cs="Arial"/>
                <w:sz w:val="20"/>
                <w:szCs w:val="20"/>
              </w:rPr>
              <w:t>Updated pemetrexed pricing AND increased pemetrexed efficacy (10 months median overall survival)</w:t>
            </w:r>
          </w:p>
        </w:tc>
        <w:tc>
          <w:tcPr>
            <w:tcW w:w="2594" w:type="dxa"/>
            <w:tcMar>
              <w:top w:w="57" w:type="dxa"/>
              <w:bottom w:w="57" w:type="dxa"/>
            </w:tcMar>
            <w:vAlign w:val="center"/>
          </w:tcPr>
          <w:p w:rsidR="00CF4B84" w:rsidRPr="00CE7ECA" w:rsidRDefault="00CF4B84" w:rsidP="00232E2F">
            <w:pPr>
              <w:pStyle w:val="BodyText"/>
              <w:keepNext/>
              <w:spacing w:after="0"/>
              <w:jc w:val="center"/>
              <w:rPr>
                <w:rFonts w:ascii="Arial Narrow" w:hAnsi="Arial Narrow" w:cs="Arial"/>
                <w:sz w:val="20"/>
                <w:szCs w:val="20"/>
              </w:rPr>
            </w:pPr>
            <w:r w:rsidRPr="00CE7ECA">
              <w:rPr>
                <w:rFonts w:ascii="Arial Narrow" w:hAnsi="Arial Narrow" w:cs="Arial"/>
                <w:sz w:val="20"/>
                <w:szCs w:val="20"/>
              </w:rPr>
              <w:t>$</w:t>
            </w:r>
            <w:r w:rsidR="00291DED">
              <w:rPr>
                <w:rFonts w:ascii="Arial Narrow" w:hAnsi="Arial Narrow" w:cs="Arial"/>
                <w:noProof/>
                <w:color w:val="000000"/>
                <w:sz w:val="20"/>
                <w:szCs w:val="20"/>
                <w:highlight w:val="black"/>
              </w:rPr>
              <w:t>'''''''''''''''''</w:t>
            </w:r>
          </w:p>
        </w:tc>
        <w:tc>
          <w:tcPr>
            <w:tcW w:w="2595" w:type="dxa"/>
            <w:tcMar>
              <w:top w:w="57" w:type="dxa"/>
              <w:bottom w:w="57" w:type="dxa"/>
            </w:tcMar>
            <w:vAlign w:val="center"/>
          </w:tcPr>
          <w:p w:rsidR="00CF4B84" w:rsidRPr="00CE7ECA" w:rsidRDefault="00CE6088" w:rsidP="00232E2F">
            <w:pPr>
              <w:pStyle w:val="BodyText"/>
              <w:keepNext/>
              <w:spacing w:after="0"/>
              <w:jc w:val="center"/>
              <w:rPr>
                <w:rFonts w:ascii="Arial Narrow" w:hAnsi="Arial Narrow" w:cs="Arial"/>
                <w:sz w:val="20"/>
                <w:szCs w:val="20"/>
              </w:rPr>
            </w:pPr>
            <w:r w:rsidRPr="00CE7ECA">
              <w:rPr>
                <w:rFonts w:ascii="Arial Narrow" w:hAnsi="Arial Narrow" w:cs="Arial"/>
                <w:sz w:val="20"/>
                <w:szCs w:val="20"/>
              </w:rPr>
              <w:t>$</w:t>
            </w:r>
            <w:r w:rsidR="00291DED">
              <w:rPr>
                <w:rFonts w:ascii="Arial Narrow" w:hAnsi="Arial Narrow" w:cs="Arial"/>
                <w:noProof/>
                <w:color w:val="000000"/>
                <w:sz w:val="20"/>
                <w:szCs w:val="20"/>
                <w:highlight w:val="black"/>
              </w:rPr>
              <w:t>'''''''''''''''''</w:t>
            </w:r>
          </w:p>
        </w:tc>
      </w:tr>
      <w:tr w:rsidR="00CF4B84" w:rsidRPr="00CE7ECA" w:rsidTr="00CE6088">
        <w:trPr>
          <w:cantSplit/>
          <w:trHeight w:val="286"/>
        </w:trPr>
        <w:tc>
          <w:tcPr>
            <w:tcW w:w="418" w:type="dxa"/>
            <w:vAlign w:val="center"/>
          </w:tcPr>
          <w:p w:rsidR="00CF4B84" w:rsidRPr="00CE7ECA" w:rsidRDefault="00CF4B84" w:rsidP="00232E2F">
            <w:pPr>
              <w:pStyle w:val="BodyText"/>
              <w:keepNext/>
              <w:spacing w:after="0"/>
              <w:rPr>
                <w:rFonts w:ascii="Arial Narrow" w:hAnsi="Arial Narrow" w:cs="Arial"/>
                <w:sz w:val="20"/>
                <w:szCs w:val="20"/>
              </w:rPr>
            </w:pPr>
            <w:r w:rsidRPr="00CE7ECA">
              <w:rPr>
                <w:rFonts w:ascii="Arial Narrow" w:hAnsi="Arial Narrow" w:cs="Arial"/>
                <w:sz w:val="20"/>
                <w:szCs w:val="20"/>
              </w:rPr>
              <w:t>3</w:t>
            </w:r>
          </w:p>
        </w:tc>
        <w:tc>
          <w:tcPr>
            <w:tcW w:w="3527" w:type="dxa"/>
            <w:tcMar>
              <w:top w:w="57" w:type="dxa"/>
              <w:bottom w:w="57" w:type="dxa"/>
            </w:tcMar>
            <w:vAlign w:val="center"/>
          </w:tcPr>
          <w:p w:rsidR="00CF4B84" w:rsidRPr="00CE7ECA" w:rsidRDefault="00CF4B84" w:rsidP="00232E2F">
            <w:pPr>
              <w:pStyle w:val="BodyText"/>
              <w:keepNext/>
              <w:spacing w:after="0"/>
              <w:rPr>
                <w:rFonts w:ascii="Arial Narrow" w:hAnsi="Arial Narrow" w:cs="Arial"/>
                <w:sz w:val="20"/>
                <w:szCs w:val="20"/>
              </w:rPr>
            </w:pPr>
            <w:r w:rsidRPr="00CE7ECA">
              <w:rPr>
                <w:rFonts w:ascii="Arial Narrow" w:hAnsi="Arial Narrow" w:cs="Arial"/>
                <w:sz w:val="20"/>
                <w:szCs w:val="20"/>
              </w:rPr>
              <w:t>Updated pemetrexed pricing AND time horizon reduced from 10 years to 5 years</w:t>
            </w:r>
          </w:p>
        </w:tc>
        <w:tc>
          <w:tcPr>
            <w:tcW w:w="2594" w:type="dxa"/>
            <w:tcMar>
              <w:top w:w="57" w:type="dxa"/>
              <w:bottom w:w="57" w:type="dxa"/>
            </w:tcMar>
            <w:vAlign w:val="center"/>
          </w:tcPr>
          <w:p w:rsidR="00CF4B84" w:rsidRPr="00CE7ECA" w:rsidRDefault="00CF4B84" w:rsidP="00232E2F">
            <w:pPr>
              <w:pStyle w:val="BodyText"/>
              <w:keepNext/>
              <w:spacing w:after="0"/>
              <w:jc w:val="center"/>
              <w:rPr>
                <w:rFonts w:ascii="Arial Narrow" w:hAnsi="Arial Narrow" w:cs="Arial"/>
                <w:sz w:val="20"/>
                <w:szCs w:val="20"/>
              </w:rPr>
            </w:pPr>
            <w:r w:rsidRPr="00CE7ECA">
              <w:rPr>
                <w:rFonts w:ascii="Arial Narrow" w:hAnsi="Arial Narrow" w:cs="Arial"/>
                <w:sz w:val="20"/>
                <w:szCs w:val="20"/>
              </w:rPr>
              <w:t>$</w:t>
            </w:r>
            <w:r w:rsidR="00291DED">
              <w:rPr>
                <w:rFonts w:ascii="Arial Narrow" w:hAnsi="Arial Narrow" w:cs="Arial"/>
                <w:noProof/>
                <w:color w:val="000000"/>
                <w:sz w:val="20"/>
                <w:szCs w:val="20"/>
                <w:highlight w:val="black"/>
              </w:rPr>
              <w:t>'''''''''''''''''</w:t>
            </w:r>
          </w:p>
        </w:tc>
        <w:tc>
          <w:tcPr>
            <w:tcW w:w="2595" w:type="dxa"/>
            <w:tcMar>
              <w:top w:w="57" w:type="dxa"/>
              <w:bottom w:w="57" w:type="dxa"/>
            </w:tcMar>
            <w:vAlign w:val="center"/>
          </w:tcPr>
          <w:p w:rsidR="00CF4B84" w:rsidRPr="00CE7ECA" w:rsidRDefault="00CE6088" w:rsidP="00232E2F">
            <w:pPr>
              <w:pStyle w:val="BodyText"/>
              <w:keepNext/>
              <w:spacing w:after="0"/>
              <w:jc w:val="center"/>
              <w:rPr>
                <w:rFonts w:ascii="Arial Narrow" w:hAnsi="Arial Narrow" w:cs="Arial"/>
                <w:sz w:val="20"/>
                <w:szCs w:val="20"/>
              </w:rPr>
            </w:pPr>
            <w:r w:rsidRPr="00CE7ECA">
              <w:rPr>
                <w:rFonts w:ascii="Arial Narrow" w:hAnsi="Arial Narrow" w:cs="Arial"/>
                <w:sz w:val="20"/>
                <w:szCs w:val="20"/>
              </w:rPr>
              <w:t>$</w:t>
            </w:r>
            <w:r w:rsidR="00291DED">
              <w:rPr>
                <w:rFonts w:ascii="Arial Narrow" w:hAnsi="Arial Narrow" w:cs="Arial"/>
                <w:noProof/>
                <w:color w:val="000000"/>
                <w:sz w:val="20"/>
                <w:szCs w:val="20"/>
                <w:highlight w:val="black"/>
              </w:rPr>
              <w:t>''''''''''''''''''</w:t>
            </w:r>
          </w:p>
        </w:tc>
      </w:tr>
      <w:tr w:rsidR="00CF4B84" w:rsidRPr="00CE7ECA" w:rsidTr="000E480E">
        <w:trPr>
          <w:cantSplit/>
          <w:trHeight w:val="309"/>
        </w:trPr>
        <w:tc>
          <w:tcPr>
            <w:tcW w:w="418" w:type="dxa"/>
            <w:vAlign w:val="center"/>
          </w:tcPr>
          <w:p w:rsidR="00CF4B84" w:rsidRPr="00CE7ECA" w:rsidRDefault="00CF4B84" w:rsidP="00232E2F">
            <w:pPr>
              <w:pStyle w:val="BodyText"/>
              <w:keepNext/>
              <w:spacing w:after="0"/>
              <w:rPr>
                <w:rFonts w:ascii="Arial Narrow" w:hAnsi="Arial Narrow" w:cs="Arial"/>
                <w:b/>
                <w:sz w:val="20"/>
                <w:szCs w:val="20"/>
              </w:rPr>
            </w:pPr>
            <w:r w:rsidRPr="00CE7ECA">
              <w:rPr>
                <w:rFonts w:ascii="Arial Narrow" w:hAnsi="Arial Narrow" w:cs="Arial"/>
                <w:b/>
                <w:sz w:val="20"/>
                <w:szCs w:val="20"/>
              </w:rPr>
              <w:t>4</w:t>
            </w:r>
          </w:p>
        </w:tc>
        <w:tc>
          <w:tcPr>
            <w:tcW w:w="3527" w:type="dxa"/>
            <w:tcMar>
              <w:top w:w="57" w:type="dxa"/>
              <w:bottom w:w="57" w:type="dxa"/>
            </w:tcMar>
            <w:vAlign w:val="center"/>
          </w:tcPr>
          <w:p w:rsidR="00CF4B84" w:rsidRPr="00CE7ECA" w:rsidRDefault="00CF4B84" w:rsidP="00232E2F">
            <w:pPr>
              <w:pStyle w:val="BodyText"/>
              <w:keepNext/>
              <w:spacing w:after="0"/>
              <w:rPr>
                <w:rFonts w:ascii="Arial Narrow" w:hAnsi="Arial Narrow" w:cs="Arial"/>
                <w:b/>
                <w:sz w:val="20"/>
                <w:szCs w:val="20"/>
              </w:rPr>
            </w:pPr>
            <w:r w:rsidRPr="00CE7ECA">
              <w:rPr>
                <w:rFonts w:ascii="Arial Narrow" w:hAnsi="Arial Narrow" w:cs="Arial"/>
                <w:b/>
                <w:sz w:val="20"/>
                <w:szCs w:val="20"/>
              </w:rPr>
              <w:t>New base case (1, 2 and 3 applied)</w:t>
            </w:r>
          </w:p>
        </w:tc>
        <w:tc>
          <w:tcPr>
            <w:tcW w:w="2594" w:type="dxa"/>
            <w:tcMar>
              <w:top w:w="57" w:type="dxa"/>
              <w:bottom w:w="57" w:type="dxa"/>
            </w:tcMar>
            <w:vAlign w:val="center"/>
          </w:tcPr>
          <w:p w:rsidR="00CF4B84" w:rsidRPr="00CE7ECA" w:rsidRDefault="00CF4B84" w:rsidP="00232E2F">
            <w:pPr>
              <w:pStyle w:val="BodyText"/>
              <w:keepNext/>
              <w:spacing w:after="0"/>
              <w:jc w:val="center"/>
              <w:rPr>
                <w:rFonts w:ascii="Arial Narrow" w:hAnsi="Arial Narrow" w:cs="Arial"/>
                <w:sz w:val="20"/>
                <w:szCs w:val="20"/>
              </w:rPr>
            </w:pPr>
            <w:r w:rsidRPr="00CE7ECA">
              <w:rPr>
                <w:rFonts w:ascii="Arial Narrow" w:hAnsi="Arial Narrow" w:cs="Arial"/>
                <w:sz w:val="20"/>
                <w:szCs w:val="20"/>
              </w:rPr>
              <w:t>$</w:t>
            </w:r>
            <w:r w:rsidR="00291DED">
              <w:rPr>
                <w:rFonts w:ascii="Arial Narrow" w:hAnsi="Arial Narrow" w:cs="Arial"/>
                <w:noProof/>
                <w:color w:val="000000"/>
                <w:sz w:val="20"/>
                <w:szCs w:val="20"/>
                <w:highlight w:val="black"/>
              </w:rPr>
              <w:t>'''''''''''''''</w:t>
            </w:r>
          </w:p>
        </w:tc>
        <w:tc>
          <w:tcPr>
            <w:tcW w:w="2595" w:type="dxa"/>
            <w:tcMar>
              <w:top w:w="57" w:type="dxa"/>
              <w:bottom w:w="57" w:type="dxa"/>
            </w:tcMar>
            <w:vAlign w:val="center"/>
          </w:tcPr>
          <w:p w:rsidR="00CF4B84" w:rsidRPr="00CE7ECA" w:rsidRDefault="00CF4B84" w:rsidP="00232E2F">
            <w:pPr>
              <w:pStyle w:val="BodyText"/>
              <w:keepNext/>
              <w:spacing w:after="0"/>
              <w:jc w:val="center"/>
              <w:rPr>
                <w:rFonts w:ascii="Arial Narrow" w:hAnsi="Arial Narrow" w:cs="Arial"/>
                <w:b/>
                <w:sz w:val="20"/>
                <w:szCs w:val="20"/>
              </w:rPr>
            </w:pPr>
            <w:r w:rsidRPr="00CE7ECA">
              <w:rPr>
                <w:rFonts w:ascii="Arial Narrow" w:hAnsi="Arial Narrow" w:cs="Arial"/>
                <w:b/>
                <w:sz w:val="20"/>
                <w:szCs w:val="20"/>
              </w:rPr>
              <w:t>$</w:t>
            </w:r>
            <w:r w:rsidR="00291DED">
              <w:rPr>
                <w:rFonts w:ascii="Arial Narrow" w:hAnsi="Arial Narrow" w:cs="Arial"/>
                <w:b/>
                <w:noProof/>
                <w:color w:val="000000"/>
                <w:sz w:val="20"/>
                <w:szCs w:val="20"/>
                <w:highlight w:val="black"/>
              </w:rPr>
              <w:t>''''''''''''''</w:t>
            </w:r>
          </w:p>
        </w:tc>
      </w:tr>
    </w:tbl>
    <w:p w:rsidR="00CF4B84" w:rsidRPr="00CE7ECA" w:rsidRDefault="00CF4B84" w:rsidP="00A335C4">
      <w:pPr>
        <w:rPr>
          <w:rFonts w:ascii="Arial Narrow" w:eastAsiaTheme="minorHAnsi" w:hAnsi="Arial Narrow" w:cstheme="minorBidi"/>
          <w:sz w:val="18"/>
          <w:szCs w:val="18"/>
        </w:rPr>
      </w:pPr>
      <w:r w:rsidRPr="00CE7ECA">
        <w:rPr>
          <w:rFonts w:ascii="Arial Narrow" w:eastAsiaTheme="minorHAnsi" w:hAnsi="Arial Narrow" w:cstheme="minorBidi"/>
          <w:sz w:val="18"/>
          <w:szCs w:val="18"/>
        </w:rPr>
        <w:t>Source: Table 1, p8 of the minor resubmission</w:t>
      </w:r>
    </w:p>
    <w:p w:rsidR="000B6902" w:rsidRPr="00CE7ECA" w:rsidRDefault="00CF4B84" w:rsidP="00A335C4">
      <w:pPr>
        <w:rPr>
          <w:rFonts w:ascii="Arial Narrow" w:eastAsiaTheme="minorHAnsi" w:hAnsi="Arial Narrow" w:cstheme="minorBidi"/>
          <w:sz w:val="18"/>
          <w:szCs w:val="18"/>
        </w:rPr>
      </w:pPr>
      <w:r w:rsidRPr="00CE7ECA">
        <w:rPr>
          <w:rFonts w:ascii="Arial Narrow" w:eastAsiaTheme="minorHAnsi" w:hAnsi="Arial Narrow" w:cstheme="minorBidi"/>
          <w:sz w:val="18"/>
          <w:szCs w:val="18"/>
        </w:rPr>
        <w:t>DPMQ = dispensed price for maximum quantity; ICER = incremental cost-effectiveness ratio</w:t>
      </w:r>
      <w:r w:rsidR="000B1B38" w:rsidRPr="00CE7ECA">
        <w:rPr>
          <w:rFonts w:ascii="Arial Narrow" w:eastAsiaTheme="minorHAnsi" w:hAnsi="Arial Narrow" w:cstheme="minorBidi"/>
          <w:sz w:val="18"/>
          <w:szCs w:val="18"/>
        </w:rPr>
        <w:t>; ROS1 = c-ROS proto-oncogene 1</w:t>
      </w:r>
    </w:p>
    <w:p w:rsidR="006C56D3" w:rsidRPr="00CE7ECA" w:rsidRDefault="006C56D3" w:rsidP="00C3026B">
      <w:pPr>
        <w:pStyle w:val="PBACHeading1"/>
        <w:numPr>
          <w:ilvl w:val="0"/>
          <w:numId w:val="0"/>
        </w:numPr>
        <w:spacing w:before="240" w:after="120"/>
        <w:outlineLvl w:val="1"/>
        <w:rPr>
          <w:rFonts w:asciiTheme="minorHAnsi" w:eastAsiaTheme="majorEastAsia" w:hAnsiTheme="minorHAnsi" w:cstheme="majorBidi"/>
          <w:i/>
          <w:sz w:val="28"/>
          <w:szCs w:val="28"/>
        </w:rPr>
      </w:pPr>
      <w:r w:rsidRPr="00CE7ECA">
        <w:rPr>
          <w:rFonts w:asciiTheme="minorHAnsi" w:eastAsiaTheme="majorEastAsia" w:hAnsiTheme="minorHAnsi" w:cstheme="majorBidi"/>
          <w:i/>
          <w:sz w:val="28"/>
          <w:szCs w:val="28"/>
        </w:rPr>
        <w:t>Drug cost/patient/course: $</w:t>
      </w:r>
      <w:r w:rsidR="00FA7EF8">
        <w:rPr>
          <w:rFonts w:asciiTheme="minorHAnsi" w:eastAsiaTheme="majorEastAsia" w:hAnsiTheme="minorHAnsi" w:cstheme="majorBidi"/>
          <w:i/>
          <w:noProof/>
          <w:color w:val="000000"/>
          <w:sz w:val="28"/>
          <w:szCs w:val="28"/>
          <w:highlight w:val="black"/>
        </w:rPr>
        <w:t>'''''''''''''</w:t>
      </w:r>
      <w:r w:rsidRPr="00CE7ECA">
        <w:rPr>
          <w:rFonts w:asciiTheme="minorHAnsi" w:eastAsiaTheme="majorEastAsia" w:hAnsiTheme="minorHAnsi" w:cstheme="majorBidi"/>
          <w:i/>
          <w:sz w:val="28"/>
          <w:szCs w:val="28"/>
        </w:rPr>
        <w:t>.</w:t>
      </w:r>
    </w:p>
    <w:p w:rsidR="006E1993" w:rsidRPr="00CE7ECA" w:rsidRDefault="00A66725"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w:t>
      </w:r>
      <w:r w:rsidR="000E480E" w:rsidRPr="00CE7ECA">
        <w:rPr>
          <w:rFonts w:asciiTheme="minorHAnsi" w:eastAsiaTheme="minorHAnsi" w:hAnsiTheme="minorHAnsi" w:cstheme="minorBidi"/>
          <w:snapToGrid/>
          <w:sz w:val="24"/>
          <w:szCs w:val="22"/>
        </w:rPr>
        <w:t>e drug cost per patient per course of $</w:t>
      </w:r>
      <w:r w:rsidR="00291DED">
        <w:rPr>
          <w:rFonts w:asciiTheme="minorHAnsi" w:eastAsiaTheme="minorHAnsi" w:hAnsiTheme="minorHAnsi" w:cstheme="minorBidi"/>
          <w:noProof/>
          <w:snapToGrid/>
          <w:color w:val="000000"/>
          <w:sz w:val="24"/>
          <w:szCs w:val="22"/>
          <w:highlight w:val="black"/>
        </w:rPr>
        <w:t>''''''''''''''</w:t>
      </w:r>
      <w:r w:rsidR="000E480E" w:rsidRPr="00CE7ECA">
        <w:rPr>
          <w:rFonts w:asciiTheme="minorHAnsi" w:eastAsiaTheme="minorHAnsi" w:hAnsiTheme="minorHAnsi" w:cstheme="minorBidi"/>
          <w:snapToGrid/>
          <w:sz w:val="24"/>
          <w:szCs w:val="22"/>
        </w:rPr>
        <w:t xml:space="preserve"> </w:t>
      </w:r>
      <w:r w:rsidRPr="00CE7ECA">
        <w:rPr>
          <w:rFonts w:asciiTheme="minorHAnsi" w:eastAsiaTheme="minorHAnsi" w:hAnsiTheme="minorHAnsi" w:cstheme="minorBidi"/>
          <w:snapToGrid/>
          <w:sz w:val="24"/>
          <w:szCs w:val="22"/>
        </w:rPr>
        <w:t xml:space="preserve">was based on </w:t>
      </w:r>
      <w:r w:rsidR="00D528BF" w:rsidRPr="00CE7ECA">
        <w:rPr>
          <w:rFonts w:asciiTheme="minorHAnsi" w:eastAsiaTheme="minorHAnsi" w:hAnsiTheme="minorHAnsi" w:cstheme="minorBidi"/>
          <w:snapToGrid/>
          <w:sz w:val="24"/>
          <w:szCs w:val="22"/>
        </w:rPr>
        <w:t xml:space="preserve">the proposed </w:t>
      </w:r>
      <w:r w:rsidRPr="00CE7ECA">
        <w:rPr>
          <w:rFonts w:asciiTheme="minorHAnsi" w:eastAsiaTheme="minorHAnsi" w:hAnsiTheme="minorHAnsi" w:cstheme="minorBidi"/>
          <w:snapToGrid/>
          <w:sz w:val="24"/>
          <w:szCs w:val="22"/>
        </w:rPr>
        <w:t>DPMQ of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for 30 days treatment and </w:t>
      </w:r>
      <w:r w:rsidR="00D528BF" w:rsidRPr="00CE7ECA">
        <w:rPr>
          <w:rFonts w:asciiTheme="minorHAnsi" w:eastAsiaTheme="minorHAnsi" w:hAnsiTheme="minorHAnsi" w:cstheme="minorBidi"/>
          <w:snapToGrid/>
          <w:sz w:val="24"/>
          <w:szCs w:val="22"/>
        </w:rPr>
        <w:t>a</w:t>
      </w:r>
      <w:r w:rsidR="000E480E" w:rsidRPr="00CE7ECA">
        <w:rPr>
          <w:rFonts w:asciiTheme="minorHAnsi" w:eastAsiaTheme="minorHAnsi" w:hAnsiTheme="minorHAnsi" w:cstheme="minorBidi"/>
          <w:snapToGrid/>
          <w:sz w:val="24"/>
          <w:szCs w:val="22"/>
        </w:rPr>
        <w:t xml:space="preserve"> median</w:t>
      </w:r>
      <w:r w:rsidR="00D528BF" w:rsidRPr="00CE7ECA">
        <w:rPr>
          <w:rFonts w:asciiTheme="minorHAnsi" w:eastAsiaTheme="minorHAnsi" w:hAnsiTheme="minorHAnsi" w:cstheme="minorBidi"/>
          <w:snapToGrid/>
          <w:sz w:val="24"/>
          <w:szCs w:val="22"/>
        </w:rPr>
        <w:t xml:space="preserve"> progression free survival of </w:t>
      </w:r>
      <w:r w:rsidR="00291DED">
        <w:rPr>
          <w:rFonts w:asciiTheme="minorHAnsi" w:eastAsiaTheme="minorHAnsi" w:hAnsiTheme="minorHAnsi" w:cstheme="minorBidi"/>
          <w:noProof/>
          <w:snapToGrid/>
          <w:color w:val="000000"/>
          <w:sz w:val="24"/>
          <w:szCs w:val="22"/>
          <w:highlight w:val="black"/>
        </w:rPr>
        <w:t>'''''''''</w:t>
      </w:r>
      <w:r w:rsidR="00D528BF" w:rsidRPr="00CE7ECA">
        <w:rPr>
          <w:rFonts w:asciiTheme="minorHAnsi" w:eastAsiaTheme="minorHAnsi" w:hAnsiTheme="minorHAnsi" w:cstheme="minorBidi"/>
          <w:snapToGrid/>
          <w:sz w:val="24"/>
          <w:szCs w:val="22"/>
        </w:rPr>
        <w:t xml:space="preserve"> months. Using the same calculations and the DPMQ proposed in November 2017 ($</w:t>
      </w:r>
      <w:r w:rsidR="00291DED">
        <w:rPr>
          <w:rFonts w:asciiTheme="minorHAnsi" w:eastAsiaTheme="minorHAnsi" w:hAnsiTheme="minorHAnsi" w:cstheme="minorBidi"/>
          <w:noProof/>
          <w:snapToGrid/>
          <w:color w:val="000000"/>
          <w:sz w:val="24"/>
          <w:szCs w:val="22"/>
          <w:highlight w:val="black"/>
        </w:rPr>
        <w:t>''''''''''''''''''</w:t>
      </w:r>
      <w:r w:rsidR="00D528BF" w:rsidRPr="00CE7ECA">
        <w:rPr>
          <w:rFonts w:asciiTheme="minorHAnsi" w:eastAsiaTheme="minorHAnsi" w:hAnsiTheme="minorHAnsi" w:cstheme="minorBidi"/>
          <w:snapToGrid/>
          <w:sz w:val="24"/>
          <w:szCs w:val="22"/>
        </w:rPr>
        <w:t>), the drug cost per patient per course was $</w:t>
      </w:r>
      <w:r w:rsidR="00291DED">
        <w:rPr>
          <w:rFonts w:asciiTheme="minorHAnsi" w:eastAsiaTheme="minorHAnsi" w:hAnsiTheme="minorHAnsi" w:cstheme="minorBidi"/>
          <w:noProof/>
          <w:snapToGrid/>
          <w:color w:val="000000"/>
          <w:sz w:val="24"/>
          <w:szCs w:val="22"/>
          <w:highlight w:val="black"/>
        </w:rPr>
        <w:t>'''''''''''''''</w:t>
      </w:r>
      <w:r w:rsidR="00D528BF" w:rsidRPr="00CE7ECA">
        <w:rPr>
          <w:rFonts w:asciiTheme="minorHAnsi" w:eastAsiaTheme="minorHAnsi" w:hAnsiTheme="minorHAnsi" w:cstheme="minorBidi"/>
          <w:snapToGrid/>
          <w:sz w:val="24"/>
          <w:szCs w:val="22"/>
        </w:rPr>
        <w:t>.</w:t>
      </w:r>
    </w:p>
    <w:p w:rsidR="006E1993" w:rsidRPr="00CE7ECA" w:rsidRDefault="006E1993" w:rsidP="00C3026B">
      <w:pPr>
        <w:pStyle w:val="PBACHeading1"/>
        <w:numPr>
          <w:ilvl w:val="0"/>
          <w:numId w:val="0"/>
        </w:numPr>
        <w:spacing w:before="240" w:after="120"/>
        <w:outlineLvl w:val="1"/>
        <w:rPr>
          <w:rFonts w:asciiTheme="minorHAnsi" w:eastAsiaTheme="majorEastAsia" w:hAnsiTheme="minorHAnsi" w:cstheme="majorBidi"/>
          <w:i/>
          <w:sz w:val="28"/>
          <w:szCs w:val="28"/>
        </w:rPr>
      </w:pPr>
      <w:r w:rsidRPr="00CE7ECA">
        <w:rPr>
          <w:rFonts w:asciiTheme="minorHAnsi" w:eastAsiaTheme="majorEastAsia" w:hAnsiTheme="minorHAnsi" w:cstheme="majorBidi"/>
          <w:i/>
          <w:sz w:val="28"/>
          <w:szCs w:val="28"/>
        </w:rPr>
        <w:t>Estimated PBS usage &amp; financial implications</w:t>
      </w:r>
    </w:p>
    <w:p w:rsidR="007F2540" w:rsidRPr="00CE7ECA" w:rsidRDefault="007F2540"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PBAC </w:t>
      </w:r>
      <w:r w:rsidR="00872A65" w:rsidRPr="00CE7ECA">
        <w:rPr>
          <w:rFonts w:asciiTheme="minorHAnsi" w:eastAsiaTheme="minorHAnsi" w:hAnsiTheme="minorHAnsi" w:cstheme="minorBidi"/>
          <w:snapToGrid/>
          <w:sz w:val="24"/>
          <w:szCs w:val="22"/>
        </w:rPr>
        <w:t xml:space="preserve">had </w:t>
      </w:r>
      <w:r w:rsidRPr="00CE7ECA">
        <w:rPr>
          <w:rFonts w:asciiTheme="minorHAnsi" w:eastAsiaTheme="minorHAnsi" w:hAnsiTheme="minorHAnsi" w:cstheme="minorBidi"/>
          <w:snapToGrid/>
          <w:sz w:val="24"/>
          <w:szCs w:val="22"/>
        </w:rPr>
        <w:t xml:space="preserve">advised (paragraph 7.15, November 2017 </w:t>
      </w:r>
      <w:r w:rsidR="008A6254">
        <w:rPr>
          <w:rFonts w:asciiTheme="minorHAnsi" w:eastAsiaTheme="minorHAnsi" w:hAnsiTheme="minorHAnsi" w:cstheme="minorBidi"/>
          <w:snapToGrid/>
          <w:sz w:val="24"/>
          <w:szCs w:val="22"/>
        </w:rPr>
        <w:t>PSD</w:t>
      </w:r>
      <w:r w:rsidRPr="00CE7ECA">
        <w:rPr>
          <w:rFonts w:asciiTheme="minorHAnsi" w:eastAsiaTheme="minorHAnsi" w:hAnsiTheme="minorHAnsi" w:cstheme="minorBidi"/>
          <w:snapToGrid/>
          <w:sz w:val="24"/>
          <w:szCs w:val="22"/>
        </w:rPr>
        <w:t>) “the utilisation assumptions supporting the financial estimates were reasonable from a PBS perspective after adjusting the estimate of eligible patients in the first year to include patients who would receive treatment under the proposed grandfathering arrangement.”</w:t>
      </w:r>
    </w:p>
    <w:p w:rsidR="007F2540" w:rsidRPr="00CE7ECA" w:rsidRDefault="00872A65"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w:t>
      </w:r>
      <w:r w:rsidR="00FF4215" w:rsidRPr="00CE7ECA">
        <w:rPr>
          <w:rFonts w:asciiTheme="minorHAnsi" w:eastAsiaTheme="minorHAnsi" w:hAnsiTheme="minorHAnsi" w:cstheme="minorBidi"/>
          <w:snapToGrid/>
          <w:sz w:val="24"/>
          <w:szCs w:val="22"/>
        </w:rPr>
        <w:t xml:space="preserve">minor </w:t>
      </w:r>
      <w:r w:rsidRPr="00CE7ECA">
        <w:rPr>
          <w:rFonts w:asciiTheme="minorHAnsi" w:eastAsiaTheme="minorHAnsi" w:hAnsiTheme="minorHAnsi" w:cstheme="minorBidi"/>
          <w:snapToGrid/>
          <w:sz w:val="24"/>
          <w:szCs w:val="22"/>
        </w:rPr>
        <w:t xml:space="preserve">resubmission indicated that as </w:t>
      </w:r>
      <w:r w:rsidR="007F2540" w:rsidRPr="00CE7ECA">
        <w:rPr>
          <w:rFonts w:asciiTheme="minorHAnsi" w:eastAsiaTheme="minorHAnsi" w:hAnsiTheme="minorHAnsi" w:cstheme="minorBidi"/>
          <w:snapToGrid/>
          <w:sz w:val="24"/>
          <w:szCs w:val="22"/>
        </w:rPr>
        <w:t>of 14 March 2018</w:t>
      </w:r>
      <w:r w:rsidRPr="00CE7ECA">
        <w:rPr>
          <w:rFonts w:asciiTheme="minorHAnsi" w:eastAsiaTheme="minorHAnsi" w:hAnsiTheme="minorHAnsi" w:cstheme="minorBidi"/>
          <w:snapToGrid/>
          <w:sz w:val="24"/>
          <w:szCs w:val="22"/>
        </w:rPr>
        <w:t>,</w:t>
      </w:r>
      <w:r w:rsidR="007F2540" w:rsidRPr="00CE7ECA">
        <w:rPr>
          <w:rFonts w:asciiTheme="minorHAnsi" w:eastAsiaTheme="minorHAnsi" w:hAnsiTheme="minorHAnsi" w:cstheme="minorBidi"/>
          <w:snapToGrid/>
          <w:sz w:val="24"/>
          <w:szCs w:val="22"/>
        </w:rPr>
        <w:t xml:space="preserve"> there were </w:t>
      </w:r>
      <w:r w:rsidR="00291DED">
        <w:rPr>
          <w:rFonts w:asciiTheme="minorHAnsi" w:eastAsiaTheme="minorHAnsi" w:hAnsiTheme="minorHAnsi" w:cstheme="minorBidi"/>
          <w:noProof/>
          <w:snapToGrid/>
          <w:color w:val="000000"/>
          <w:sz w:val="24"/>
          <w:szCs w:val="22"/>
          <w:highlight w:val="black"/>
        </w:rPr>
        <w:t>'''''</w:t>
      </w:r>
      <w:r w:rsidR="007F2540" w:rsidRPr="00CE7ECA">
        <w:rPr>
          <w:rFonts w:asciiTheme="minorHAnsi" w:eastAsiaTheme="minorHAnsi" w:hAnsiTheme="minorHAnsi" w:cstheme="minorBidi"/>
          <w:snapToGrid/>
          <w:sz w:val="24"/>
          <w:szCs w:val="22"/>
        </w:rPr>
        <w:t xml:space="preserve"> NSCLC patients with confirmed ROS1 rearrangements receiving compassionate supply of crizotinib. This was assumed to be the number of patients who would be initiated on treatment through the proposed grandfathering arrangement.</w:t>
      </w:r>
    </w:p>
    <w:p w:rsidR="00C43A1A" w:rsidRPr="00CE7ECA" w:rsidRDefault="007F2540"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lastRenderedPageBreak/>
        <w:t xml:space="preserve">The utilisation estimates </w:t>
      </w:r>
      <w:r w:rsidR="00872A65" w:rsidRPr="00CE7ECA">
        <w:rPr>
          <w:rFonts w:asciiTheme="minorHAnsi" w:eastAsiaTheme="minorHAnsi" w:hAnsiTheme="minorHAnsi" w:cstheme="minorBidi"/>
          <w:snapToGrid/>
          <w:sz w:val="24"/>
          <w:szCs w:val="22"/>
        </w:rPr>
        <w:t>w</w:t>
      </w:r>
      <w:r w:rsidR="00FE1E30" w:rsidRPr="00CE7ECA">
        <w:rPr>
          <w:rFonts w:asciiTheme="minorHAnsi" w:eastAsiaTheme="minorHAnsi" w:hAnsiTheme="minorHAnsi" w:cstheme="minorBidi"/>
          <w:snapToGrid/>
          <w:sz w:val="24"/>
          <w:szCs w:val="22"/>
        </w:rPr>
        <w:t>ere</w:t>
      </w:r>
      <w:r w:rsidR="00872A65" w:rsidRPr="00CE7ECA">
        <w:rPr>
          <w:rFonts w:asciiTheme="minorHAnsi" w:eastAsiaTheme="minorHAnsi" w:hAnsiTheme="minorHAnsi" w:cstheme="minorBidi"/>
          <w:snapToGrid/>
          <w:sz w:val="24"/>
          <w:szCs w:val="22"/>
        </w:rPr>
        <w:t xml:space="preserve"> also</w:t>
      </w:r>
      <w:r w:rsidRPr="00CE7ECA">
        <w:rPr>
          <w:rFonts w:asciiTheme="minorHAnsi" w:eastAsiaTheme="minorHAnsi" w:hAnsiTheme="minorHAnsi" w:cstheme="minorBidi"/>
          <w:snapToGrid/>
          <w:sz w:val="24"/>
          <w:szCs w:val="22"/>
        </w:rPr>
        <w:t xml:space="preserve"> updated to reflect a PBS </w:t>
      </w:r>
      <w:r w:rsidR="00CE7ECA" w:rsidRPr="00CE7ECA">
        <w:rPr>
          <w:rFonts w:asciiTheme="minorHAnsi" w:eastAsiaTheme="minorHAnsi" w:hAnsiTheme="minorHAnsi" w:cstheme="minorBidi"/>
          <w:snapToGrid/>
          <w:sz w:val="24"/>
          <w:szCs w:val="22"/>
        </w:rPr>
        <w:t>restriction that</w:t>
      </w:r>
      <w:r w:rsidRPr="00CE7ECA">
        <w:rPr>
          <w:rFonts w:asciiTheme="minorHAnsi" w:eastAsiaTheme="minorHAnsi" w:hAnsiTheme="minorHAnsi" w:cstheme="minorBidi"/>
          <w:snapToGrid/>
          <w:sz w:val="24"/>
          <w:szCs w:val="22"/>
        </w:rPr>
        <w:t xml:space="preserve"> is agnostic to line of therapy</w:t>
      </w:r>
      <w:r w:rsidR="0042103E" w:rsidRPr="00CE7ECA">
        <w:rPr>
          <w:rFonts w:asciiTheme="minorHAnsi" w:eastAsiaTheme="minorHAnsi" w:hAnsiTheme="minorHAnsi" w:cstheme="minorBidi"/>
          <w:snapToGrid/>
          <w:sz w:val="24"/>
          <w:szCs w:val="22"/>
        </w:rPr>
        <w:t xml:space="preserve">. The minor resubmission assumed that </w:t>
      </w:r>
      <w:r w:rsidR="00291DED">
        <w:rPr>
          <w:rFonts w:asciiTheme="minorHAnsi" w:eastAsiaTheme="minorHAnsi" w:hAnsiTheme="minorHAnsi" w:cstheme="minorBidi"/>
          <w:noProof/>
          <w:snapToGrid/>
          <w:color w:val="000000"/>
          <w:sz w:val="24"/>
          <w:szCs w:val="22"/>
          <w:highlight w:val="black"/>
        </w:rPr>
        <w:t>'''''</w:t>
      </w:r>
      <w:r w:rsidR="0042103E" w:rsidRPr="00CE7ECA">
        <w:rPr>
          <w:rFonts w:asciiTheme="minorHAnsi" w:eastAsiaTheme="minorHAnsi" w:hAnsiTheme="minorHAnsi" w:cstheme="minorBidi"/>
          <w:snapToGrid/>
          <w:sz w:val="24"/>
          <w:szCs w:val="22"/>
        </w:rPr>
        <w:t xml:space="preserve">% of </w:t>
      </w:r>
      <w:r w:rsidR="00C01D0B" w:rsidRPr="00CE7ECA">
        <w:rPr>
          <w:rFonts w:asciiTheme="minorHAnsi" w:eastAsiaTheme="minorHAnsi" w:hAnsiTheme="minorHAnsi" w:cstheme="minorBidi"/>
          <w:snapToGrid/>
          <w:sz w:val="24"/>
          <w:szCs w:val="22"/>
        </w:rPr>
        <w:t xml:space="preserve">ROS1 positive NSCLC </w:t>
      </w:r>
      <w:r w:rsidR="0042103E" w:rsidRPr="00CE7ECA">
        <w:rPr>
          <w:rFonts w:asciiTheme="minorHAnsi" w:eastAsiaTheme="minorHAnsi" w:hAnsiTheme="minorHAnsi" w:cstheme="minorBidi"/>
          <w:snapToGrid/>
          <w:sz w:val="24"/>
          <w:szCs w:val="22"/>
        </w:rPr>
        <w:t xml:space="preserve">patients would receive treatment with crizotinib via the PBS, as compared to </w:t>
      </w:r>
      <w:r w:rsidR="00291DED">
        <w:rPr>
          <w:rFonts w:asciiTheme="minorHAnsi" w:eastAsiaTheme="minorHAnsi" w:hAnsiTheme="minorHAnsi" w:cstheme="minorBidi"/>
          <w:noProof/>
          <w:snapToGrid/>
          <w:color w:val="000000"/>
          <w:sz w:val="24"/>
          <w:szCs w:val="22"/>
          <w:highlight w:val="black"/>
        </w:rPr>
        <w:t>'''''</w:t>
      </w:r>
      <w:r w:rsidR="0042103E" w:rsidRPr="00CE7ECA">
        <w:rPr>
          <w:rFonts w:asciiTheme="minorHAnsi" w:eastAsiaTheme="minorHAnsi" w:hAnsiTheme="minorHAnsi" w:cstheme="minorBidi"/>
          <w:snapToGrid/>
          <w:sz w:val="24"/>
          <w:szCs w:val="22"/>
        </w:rPr>
        <w:t>% in the November 2017 submission receiving second-line therapy.</w:t>
      </w:r>
    </w:p>
    <w:p w:rsidR="0042103E" w:rsidRPr="00CE7ECA" w:rsidRDefault="0042103E"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minor resubmission also updated the financial estimates to incorporate the following changes:</w:t>
      </w:r>
    </w:p>
    <w:p w:rsidR="0042103E" w:rsidRPr="00CE7ECA" w:rsidRDefault="00C43A1A" w:rsidP="00730E38">
      <w:pPr>
        <w:pStyle w:val="ListParagraph"/>
        <w:widowControl/>
        <w:numPr>
          <w:ilvl w:val="1"/>
          <w:numId w:val="8"/>
        </w:numPr>
        <w:spacing w:after="120"/>
        <w:ind w:left="1077" w:hanging="357"/>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U</w:t>
      </w:r>
      <w:r w:rsidR="0042103E" w:rsidRPr="00CE7ECA">
        <w:rPr>
          <w:rFonts w:asciiTheme="minorHAnsi" w:eastAsiaTheme="minorHAnsi" w:hAnsiTheme="minorHAnsi" w:cstheme="minorBidi"/>
          <w:snapToGrid/>
          <w:sz w:val="24"/>
          <w:szCs w:val="22"/>
        </w:rPr>
        <w:t xml:space="preserve">pdated </w:t>
      </w:r>
      <w:r w:rsidR="00232E2F" w:rsidRPr="00CE7ECA">
        <w:rPr>
          <w:rFonts w:asciiTheme="minorHAnsi" w:eastAsiaTheme="minorHAnsi" w:hAnsiTheme="minorHAnsi" w:cstheme="minorBidi"/>
          <w:snapToGrid/>
          <w:sz w:val="24"/>
          <w:szCs w:val="22"/>
        </w:rPr>
        <w:t xml:space="preserve">crizotinib prices to reflect new effective DPMQ and updated </w:t>
      </w:r>
      <w:r w:rsidR="0042103E" w:rsidRPr="00CE7ECA">
        <w:rPr>
          <w:rFonts w:asciiTheme="minorHAnsi" w:eastAsiaTheme="minorHAnsi" w:hAnsiTheme="minorHAnsi" w:cstheme="minorBidi"/>
          <w:snapToGrid/>
          <w:sz w:val="24"/>
          <w:szCs w:val="22"/>
        </w:rPr>
        <w:t xml:space="preserve">pemetrexed prices to </w:t>
      </w:r>
      <w:r w:rsidRPr="00CE7ECA">
        <w:rPr>
          <w:rFonts w:asciiTheme="minorHAnsi" w:eastAsiaTheme="minorHAnsi" w:hAnsiTheme="minorHAnsi" w:cstheme="minorBidi"/>
          <w:snapToGrid/>
          <w:sz w:val="24"/>
          <w:szCs w:val="22"/>
        </w:rPr>
        <w:t xml:space="preserve">1 </w:t>
      </w:r>
      <w:r w:rsidR="0042103E" w:rsidRPr="00CE7ECA">
        <w:rPr>
          <w:rFonts w:asciiTheme="minorHAnsi" w:eastAsiaTheme="minorHAnsi" w:hAnsiTheme="minorHAnsi" w:cstheme="minorBidi"/>
          <w:snapToGrid/>
          <w:sz w:val="24"/>
          <w:szCs w:val="22"/>
        </w:rPr>
        <w:t>April 2018</w:t>
      </w:r>
      <w:r w:rsidRPr="00CE7ECA">
        <w:rPr>
          <w:rFonts w:asciiTheme="minorHAnsi" w:eastAsiaTheme="minorHAnsi" w:hAnsiTheme="minorHAnsi" w:cstheme="minorBidi"/>
          <w:snapToGrid/>
          <w:sz w:val="24"/>
          <w:szCs w:val="22"/>
        </w:rPr>
        <w:t xml:space="preserve"> PBS prices</w:t>
      </w:r>
      <w:r w:rsidR="0042103E" w:rsidRPr="00CE7ECA">
        <w:rPr>
          <w:rFonts w:asciiTheme="minorHAnsi" w:eastAsiaTheme="minorHAnsi" w:hAnsiTheme="minorHAnsi" w:cstheme="minorBidi"/>
          <w:snapToGrid/>
          <w:sz w:val="24"/>
          <w:szCs w:val="22"/>
        </w:rPr>
        <w:t>;</w:t>
      </w:r>
    </w:p>
    <w:p w:rsidR="0042103E" w:rsidRPr="00CE7ECA" w:rsidRDefault="0042103E" w:rsidP="00730E38">
      <w:pPr>
        <w:pStyle w:val="ListParagraph"/>
        <w:widowControl/>
        <w:numPr>
          <w:ilvl w:val="1"/>
          <w:numId w:val="8"/>
        </w:numPr>
        <w:spacing w:after="120"/>
        <w:ind w:left="1077" w:hanging="357"/>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PBS data for crizotinib </w:t>
      </w:r>
      <w:r w:rsidR="00C43A1A" w:rsidRPr="00CE7ECA">
        <w:rPr>
          <w:rFonts w:asciiTheme="minorHAnsi" w:eastAsiaTheme="minorHAnsi" w:hAnsiTheme="minorHAnsi" w:cstheme="minorBidi"/>
          <w:snapToGrid/>
          <w:sz w:val="24"/>
          <w:szCs w:val="22"/>
        </w:rPr>
        <w:t xml:space="preserve">used </w:t>
      </w:r>
      <w:r w:rsidRPr="00CE7ECA">
        <w:rPr>
          <w:rFonts w:asciiTheme="minorHAnsi" w:eastAsiaTheme="minorHAnsi" w:hAnsiTheme="minorHAnsi" w:cstheme="minorBidi"/>
          <w:snapToGrid/>
          <w:sz w:val="24"/>
          <w:szCs w:val="22"/>
        </w:rPr>
        <w:t>to estimate the split of dispensing by beneficiary category and patient co-payments were updated to the 2017 calendar year;</w:t>
      </w:r>
    </w:p>
    <w:p w:rsidR="0042103E" w:rsidRPr="00CE7ECA" w:rsidRDefault="0042103E" w:rsidP="00730E38">
      <w:pPr>
        <w:pStyle w:val="ListParagraph"/>
        <w:widowControl/>
        <w:numPr>
          <w:ilvl w:val="1"/>
          <w:numId w:val="8"/>
        </w:numPr>
        <w:spacing w:after="120"/>
        <w:ind w:left="1077" w:hanging="357"/>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PBS data for pemetrexed used to estimate the PBS volumes displaced were updated to the 2017 calendar year; and </w:t>
      </w:r>
    </w:p>
    <w:p w:rsidR="0042103E" w:rsidRPr="00CE7ECA" w:rsidRDefault="00C43A1A" w:rsidP="00730E38">
      <w:pPr>
        <w:pStyle w:val="ListParagraph"/>
        <w:widowControl/>
        <w:numPr>
          <w:ilvl w:val="1"/>
          <w:numId w:val="8"/>
        </w:numPr>
        <w:spacing w:after="120"/>
        <w:ind w:left="1077" w:hanging="357"/>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w:t>
      </w:r>
      <w:r w:rsidR="0042103E" w:rsidRPr="00CE7ECA">
        <w:rPr>
          <w:rFonts w:asciiTheme="minorHAnsi" w:eastAsiaTheme="minorHAnsi" w:hAnsiTheme="minorHAnsi" w:cstheme="minorBidi"/>
          <w:snapToGrid/>
          <w:sz w:val="24"/>
          <w:szCs w:val="22"/>
        </w:rPr>
        <w:t>he dispensing fees and co-payments were updated to 2017 prices.</w:t>
      </w:r>
    </w:p>
    <w:p w:rsidR="0042103E" w:rsidRPr="00CE7ECA" w:rsidRDefault="0042103E"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updated financial est</w:t>
      </w:r>
      <w:r w:rsidR="00C43A1A" w:rsidRPr="00CE7ECA">
        <w:rPr>
          <w:rFonts w:asciiTheme="minorHAnsi" w:eastAsiaTheme="minorHAnsi" w:hAnsiTheme="minorHAnsi" w:cstheme="minorBidi"/>
          <w:snapToGrid/>
          <w:sz w:val="24"/>
          <w:szCs w:val="22"/>
        </w:rPr>
        <w:t>imates are presented in the t</w:t>
      </w:r>
      <w:r w:rsidRPr="00CE7ECA">
        <w:rPr>
          <w:rFonts w:asciiTheme="minorHAnsi" w:eastAsiaTheme="minorHAnsi" w:hAnsiTheme="minorHAnsi" w:cstheme="minorBidi"/>
          <w:snapToGrid/>
          <w:sz w:val="24"/>
          <w:szCs w:val="22"/>
        </w:rPr>
        <w:t>able below.</w:t>
      </w:r>
    </w:p>
    <w:p w:rsidR="0042103E" w:rsidRPr="00CE7ECA" w:rsidRDefault="0042103E" w:rsidP="00C43A1A">
      <w:pPr>
        <w:spacing w:after="60"/>
        <w:rPr>
          <w:rFonts w:ascii="Arial Narrow" w:eastAsiaTheme="minorHAnsi" w:hAnsi="Arial Narrow" w:cstheme="minorBidi"/>
          <w:b/>
          <w:sz w:val="20"/>
          <w:szCs w:val="20"/>
        </w:rPr>
      </w:pPr>
      <w:r w:rsidRPr="00CE7ECA">
        <w:rPr>
          <w:rFonts w:ascii="Arial Narrow" w:eastAsiaTheme="minorHAnsi" w:hAnsi="Arial Narrow" w:cstheme="minorBidi"/>
          <w:b/>
          <w:sz w:val="20"/>
          <w:szCs w:val="20"/>
        </w:rPr>
        <w:t>Table 2: Updated financial estimates for the treatment of ROS1-positive NSCLC with crizotinib</w:t>
      </w:r>
      <w:r w:rsidR="00232E2F" w:rsidRPr="00CE7ECA">
        <w:rPr>
          <w:rFonts w:ascii="Arial Narrow" w:eastAsiaTheme="minorHAnsi" w:hAnsi="Arial Narrow" w:cstheme="minorBidi"/>
          <w:b/>
          <w:sz w:val="20"/>
          <w:szCs w:val="20"/>
        </w:rPr>
        <w:t xml:space="preserve"> (using the effective </w:t>
      </w:r>
      <w:r w:rsidR="00291DED">
        <w:rPr>
          <w:rFonts w:ascii="Arial Narrow" w:eastAsiaTheme="minorHAnsi" w:hAnsi="Arial Narrow" w:cstheme="minorBidi"/>
          <w:b/>
          <w:noProof/>
          <w:color w:val="000000"/>
          <w:sz w:val="20"/>
          <w:szCs w:val="20"/>
          <w:highlight w:val="black"/>
        </w:rPr>
        <w:t>''''''''''''''</w:t>
      </w:r>
      <w:r w:rsidR="00232E2F" w:rsidRPr="00CE7ECA">
        <w:rPr>
          <w:rFonts w:ascii="Arial Narrow" w:eastAsiaTheme="minorHAnsi" w:hAnsi="Arial Narrow" w:cstheme="minorBidi"/>
          <w:b/>
          <w:sz w:val="20"/>
          <w:szCs w:val="20"/>
        </w:rPr>
        <w:t xml:space="preserve"> of $</w:t>
      </w:r>
      <w:r w:rsidR="00291DED">
        <w:rPr>
          <w:rFonts w:ascii="Arial Narrow" w:eastAsiaTheme="minorHAnsi" w:hAnsi="Arial Narrow" w:cstheme="minorBidi"/>
          <w:b/>
          <w:noProof/>
          <w:color w:val="000000"/>
          <w:sz w:val="20"/>
          <w:szCs w:val="20"/>
          <w:highlight w:val="black"/>
        </w:rPr>
        <w:t>''''''''''''''''</w:t>
      </w:r>
      <w:r w:rsidR="00232E2F" w:rsidRPr="00CE7ECA">
        <w:rPr>
          <w:rFonts w:ascii="Arial Narrow" w:eastAsiaTheme="minorHAnsi" w:hAnsi="Arial Narrow" w:cstheme="minorBidi"/>
          <w:b/>
          <w:sz w:val="20"/>
          <w:szCs w:val="20"/>
        </w:rPr>
        <w:t>)</w:t>
      </w:r>
    </w:p>
    <w:tbl>
      <w:tblPr>
        <w:tblW w:w="495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1115"/>
        <w:gridCol w:w="1115"/>
        <w:gridCol w:w="1114"/>
        <w:gridCol w:w="1115"/>
        <w:gridCol w:w="1115"/>
        <w:gridCol w:w="1114"/>
      </w:tblGrid>
      <w:tr w:rsidR="00232E2F" w:rsidRPr="00CE7ECA" w:rsidTr="00232E2F">
        <w:trPr>
          <w:cantSplit/>
        </w:trPr>
        <w:tc>
          <w:tcPr>
            <w:tcW w:w="1282" w:type="pct"/>
            <w:tcBorders>
              <w:top w:val="single" w:sz="4" w:space="0" w:color="auto"/>
              <w:left w:val="single" w:sz="4" w:space="0" w:color="auto"/>
              <w:right w:val="single" w:sz="4" w:space="0" w:color="auto"/>
              <w:tl2br w:val="nil"/>
              <w:tr2bl w:val="nil"/>
            </w:tcBorders>
            <w:shd w:val="clear" w:color="auto" w:fill="auto"/>
            <w:tcMar>
              <w:left w:w="28" w:type="dxa"/>
              <w:right w:w="28" w:type="dxa"/>
            </w:tcMar>
          </w:tcPr>
          <w:p w:rsidR="00232E2F" w:rsidRPr="00CE7ECA" w:rsidRDefault="00232E2F" w:rsidP="0042103E">
            <w:pPr>
              <w:keepNext/>
              <w:tabs>
                <w:tab w:val="left" w:pos="416"/>
                <w:tab w:val="left" w:pos="582"/>
                <w:tab w:val="left" w:pos="1134"/>
              </w:tabs>
              <w:rPr>
                <w:rFonts w:ascii="Arial Narrow" w:hAnsi="Arial Narrow"/>
                <w:b/>
                <w:sz w:val="20"/>
                <w:szCs w:val="20"/>
              </w:rPr>
            </w:pP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keepNext/>
              <w:tabs>
                <w:tab w:val="left" w:pos="416"/>
                <w:tab w:val="left" w:pos="582"/>
                <w:tab w:val="left" w:pos="1134"/>
              </w:tabs>
              <w:rPr>
                <w:rFonts w:ascii="Arial Narrow" w:hAnsi="Arial Narrow"/>
                <w:b/>
                <w:sz w:val="20"/>
                <w:szCs w:val="20"/>
              </w:rPr>
            </w:pPr>
            <w:r w:rsidRPr="00CE7ECA">
              <w:rPr>
                <w:rFonts w:ascii="Arial Narrow" w:hAnsi="Arial Narrow"/>
                <w:b/>
                <w:sz w:val="20"/>
                <w:szCs w:val="20"/>
              </w:rPr>
              <w:t>Year 1: 2018</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keepNext/>
              <w:tabs>
                <w:tab w:val="left" w:pos="416"/>
                <w:tab w:val="left" w:pos="582"/>
                <w:tab w:val="left" w:pos="1134"/>
              </w:tabs>
              <w:rPr>
                <w:rFonts w:ascii="Arial Narrow" w:hAnsi="Arial Narrow"/>
                <w:b/>
                <w:sz w:val="20"/>
                <w:szCs w:val="20"/>
              </w:rPr>
            </w:pPr>
            <w:r w:rsidRPr="00CE7ECA">
              <w:rPr>
                <w:rFonts w:ascii="Arial Narrow" w:hAnsi="Arial Narrow"/>
                <w:b/>
                <w:sz w:val="20"/>
                <w:szCs w:val="20"/>
              </w:rPr>
              <w:t>Year 2: 2019</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keepNext/>
              <w:tabs>
                <w:tab w:val="left" w:pos="416"/>
                <w:tab w:val="left" w:pos="582"/>
                <w:tab w:val="left" w:pos="1134"/>
              </w:tabs>
              <w:rPr>
                <w:rFonts w:ascii="Arial Narrow" w:hAnsi="Arial Narrow"/>
                <w:b/>
                <w:sz w:val="20"/>
                <w:szCs w:val="20"/>
              </w:rPr>
            </w:pPr>
            <w:r w:rsidRPr="00CE7ECA">
              <w:rPr>
                <w:rFonts w:ascii="Arial Narrow" w:hAnsi="Arial Narrow"/>
                <w:b/>
                <w:sz w:val="20"/>
                <w:szCs w:val="20"/>
              </w:rPr>
              <w:t>Year 3: 2020</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keepNext/>
              <w:tabs>
                <w:tab w:val="left" w:pos="416"/>
                <w:tab w:val="left" w:pos="582"/>
                <w:tab w:val="left" w:pos="1134"/>
              </w:tabs>
              <w:rPr>
                <w:rFonts w:ascii="Arial Narrow" w:hAnsi="Arial Narrow"/>
                <w:b/>
                <w:sz w:val="20"/>
                <w:szCs w:val="20"/>
              </w:rPr>
            </w:pPr>
            <w:r w:rsidRPr="00CE7ECA">
              <w:rPr>
                <w:rFonts w:ascii="Arial Narrow" w:hAnsi="Arial Narrow"/>
                <w:b/>
                <w:sz w:val="20"/>
                <w:szCs w:val="20"/>
              </w:rPr>
              <w:t>Year 4: 2021</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keepNext/>
              <w:tabs>
                <w:tab w:val="left" w:pos="416"/>
                <w:tab w:val="left" w:pos="582"/>
                <w:tab w:val="left" w:pos="1134"/>
              </w:tabs>
              <w:rPr>
                <w:rFonts w:ascii="Arial Narrow" w:hAnsi="Arial Narrow"/>
                <w:b/>
                <w:sz w:val="20"/>
                <w:szCs w:val="20"/>
              </w:rPr>
            </w:pPr>
            <w:r w:rsidRPr="00CE7ECA">
              <w:rPr>
                <w:rFonts w:ascii="Arial Narrow" w:hAnsi="Arial Narrow"/>
                <w:b/>
                <w:sz w:val="20"/>
                <w:szCs w:val="20"/>
              </w:rPr>
              <w:t>Year 5: 2022</w:t>
            </w:r>
          </w:p>
        </w:tc>
        <w:tc>
          <w:tcPr>
            <w:tcW w:w="619" w:type="pct"/>
            <w:tcBorders>
              <w:top w:val="single" w:sz="4" w:space="0" w:color="auto"/>
              <w:left w:val="single" w:sz="4" w:space="0" w:color="auto"/>
              <w:bottom w:val="single" w:sz="4" w:space="0" w:color="auto"/>
              <w:right w:val="single" w:sz="4" w:space="0" w:color="auto"/>
              <w:tl2br w:val="nil"/>
              <w:tr2bl w:val="nil"/>
            </w:tcBorders>
            <w:tcMar>
              <w:left w:w="28" w:type="dxa"/>
              <w:right w:w="28" w:type="dxa"/>
            </w:tcMar>
          </w:tcPr>
          <w:p w:rsidR="00232E2F" w:rsidRPr="00CE7ECA" w:rsidRDefault="00232E2F" w:rsidP="0042103E">
            <w:pPr>
              <w:keepNext/>
              <w:tabs>
                <w:tab w:val="left" w:pos="416"/>
                <w:tab w:val="left" w:pos="582"/>
                <w:tab w:val="left" w:pos="1134"/>
              </w:tabs>
              <w:rPr>
                <w:rFonts w:ascii="Arial Narrow" w:hAnsi="Arial Narrow"/>
                <w:b/>
                <w:sz w:val="20"/>
                <w:szCs w:val="20"/>
              </w:rPr>
            </w:pPr>
            <w:r w:rsidRPr="00CE7ECA">
              <w:rPr>
                <w:rFonts w:ascii="Arial Narrow" w:hAnsi="Arial Narrow"/>
                <w:b/>
                <w:sz w:val="20"/>
                <w:szCs w:val="20"/>
              </w:rPr>
              <w:t>Year 6: 2023</w:t>
            </w:r>
          </w:p>
        </w:tc>
      </w:tr>
      <w:tr w:rsidR="00232E2F" w:rsidRPr="00CE7ECA" w:rsidTr="00232E2F">
        <w:trPr>
          <w:cantSplit/>
        </w:trPr>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bottom"/>
          </w:tcPr>
          <w:p w:rsidR="00232E2F" w:rsidRPr="00CE7ECA" w:rsidRDefault="00232E2F" w:rsidP="0042103E">
            <w:pPr>
              <w:tabs>
                <w:tab w:val="left" w:pos="416"/>
                <w:tab w:val="left" w:pos="582"/>
              </w:tabs>
              <w:spacing w:before="20" w:after="20"/>
              <w:rPr>
                <w:rFonts w:ascii="Arial Narrow" w:hAnsi="Arial Narrow"/>
                <w:sz w:val="20"/>
                <w:szCs w:val="20"/>
              </w:rPr>
            </w:pPr>
            <w:r w:rsidRPr="00CE7ECA">
              <w:rPr>
                <w:rFonts w:ascii="Arial Narrow" w:hAnsi="Arial Narrow"/>
                <w:sz w:val="20"/>
                <w:szCs w:val="20"/>
              </w:rPr>
              <w:t>Number of ROS1-positive  patients initiated onto crizotinib</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291DED" w:rsidRDefault="00291DED" w:rsidP="0042103E">
            <w:pPr>
              <w:rPr>
                <w:rFonts w:ascii="Arial Narrow" w:hAnsi="Arial Narrow"/>
                <w:sz w:val="20"/>
                <w:szCs w:val="20"/>
                <w:highlight w:val="black"/>
              </w:rPr>
            </w:pPr>
            <w:r>
              <w:rPr>
                <w:rFonts w:ascii="Arial Narrow" w:hAnsi="Arial Narrow"/>
                <w:noProof/>
                <w:color w:val="000000"/>
                <w:sz w:val="20"/>
                <w:szCs w:val="20"/>
                <w:highlight w:val="black"/>
              </w:rPr>
              <w:t>''''''</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291DED" w:rsidRDefault="00291DED" w:rsidP="0042103E">
            <w:pPr>
              <w:rPr>
                <w:rFonts w:ascii="Arial Narrow" w:hAnsi="Arial Narrow"/>
                <w:sz w:val="20"/>
                <w:szCs w:val="20"/>
                <w:highlight w:val="black"/>
              </w:rPr>
            </w:pPr>
            <w:r>
              <w:rPr>
                <w:rFonts w:ascii="Arial Narrow" w:hAnsi="Arial Narrow"/>
                <w:noProof/>
                <w:color w:val="000000"/>
                <w:sz w:val="20"/>
                <w:szCs w:val="20"/>
                <w:highlight w:val="black"/>
              </w:rPr>
              <w:t>'''''''</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291DED" w:rsidRDefault="00291DED" w:rsidP="0042103E">
            <w:pPr>
              <w:rPr>
                <w:rFonts w:ascii="Arial Narrow" w:hAnsi="Arial Narrow"/>
                <w:sz w:val="20"/>
                <w:szCs w:val="20"/>
                <w:highlight w:val="black"/>
              </w:rPr>
            </w:pPr>
            <w:r>
              <w:rPr>
                <w:rFonts w:ascii="Arial Narrow" w:hAnsi="Arial Narrow"/>
                <w:noProof/>
                <w:color w:val="000000"/>
                <w:sz w:val="20"/>
                <w:szCs w:val="20"/>
                <w:highlight w:val="black"/>
              </w:rPr>
              <w:t>''''''</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291DED" w:rsidRDefault="00291DED" w:rsidP="0042103E">
            <w:pPr>
              <w:rPr>
                <w:rFonts w:ascii="Arial Narrow" w:hAnsi="Arial Narrow"/>
                <w:sz w:val="20"/>
                <w:szCs w:val="20"/>
                <w:highlight w:val="black"/>
              </w:rPr>
            </w:pPr>
            <w:r>
              <w:rPr>
                <w:rFonts w:ascii="Arial Narrow" w:hAnsi="Arial Narrow"/>
                <w:noProof/>
                <w:color w:val="000000"/>
                <w:sz w:val="20"/>
                <w:szCs w:val="20"/>
                <w:highlight w:val="black"/>
              </w:rPr>
              <w:t>'''''''</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291DED" w:rsidRDefault="00291DED" w:rsidP="0042103E">
            <w:pPr>
              <w:rPr>
                <w:rFonts w:ascii="Arial Narrow" w:hAnsi="Arial Narrow"/>
                <w:sz w:val="20"/>
                <w:szCs w:val="20"/>
                <w:highlight w:val="black"/>
              </w:rPr>
            </w:pPr>
            <w:r>
              <w:rPr>
                <w:rFonts w:ascii="Arial Narrow" w:hAnsi="Arial Narrow"/>
                <w:noProof/>
                <w:color w:val="000000"/>
                <w:sz w:val="20"/>
                <w:szCs w:val="20"/>
                <w:highlight w:val="black"/>
              </w:rPr>
              <w:t>''''''</w:t>
            </w:r>
          </w:p>
        </w:tc>
        <w:tc>
          <w:tcPr>
            <w:tcW w:w="619" w:type="pct"/>
            <w:tcBorders>
              <w:top w:val="single" w:sz="4" w:space="0" w:color="auto"/>
              <w:left w:val="single" w:sz="4" w:space="0" w:color="auto"/>
              <w:bottom w:val="single" w:sz="4" w:space="0" w:color="auto"/>
              <w:right w:val="single" w:sz="4" w:space="0" w:color="auto"/>
              <w:tl2br w:val="nil"/>
              <w:tr2bl w:val="nil"/>
            </w:tcBorders>
            <w:tcMar>
              <w:left w:w="28" w:type="dxa"/>
              <w:right w:w="28" w:type="dxa"/>
            </w:tcMar>
            <w:vAlign w:val="center"/>
          </w:tcPr>
          <w:p w:rsidR="00232E2F" w:rsidRPr="00291DED" w:rsidRDefault="00291DED" w:rsidP="00232E2F">
            <w:pPr>
              <w:rPr>
                <w:rFonts w:ascii="Arial Narrow" w:hAnsi="Arial Narrow"/>
                <w:sz w:val="20"/>
                <w:szCs w:val="20"/>
                <w:highlight w:val="black"/>
              </w:rPr>
            </w:pPr>
            <w:r>
              <w:rPr>
                <w:rFonts w:ascii="Arial Narrow" w:hAnsi="Arial Narrow"/>
                <w:noProof/>
                <w:color w:val="000000"/>
                <w:sz w:val="20"/>
                <w:szCs w:val="20"/>
                <w:highlight w:val="black"/>
              </w:rPr>
              <w:t>'''''</w:t>
            </w:r>
          </w:p>
        </w:tc>
      </w:tr>
      <w:tr w:rsidR="00232E2F" w:rsidRPr="00CE7ECA" w:rsidTr="00232E2F">
        <w:trPr>
          <w:cantSplit/>
        </w:trPr>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bottom"/>
          </w:tcPr>
          <w:p w:rsidR="00232E2F" w:rsidRPr="00CE7ECA" w:rsidRDefault="00232E2F" w:rsidP="00232E2F">
            <w:pPr>
              <w:tabs>
                <w:tab w:val="left" w:pos="416"/>
                <w:tab w:val="left" w:pos="582"/>
              </w:tabs>
              <w:spacing w:before="20" w:after="20"/>
              <w:rPr>
                <w:rFonts w:ascii="Arial Narrow" w:hAnsi="Arial Narrow"/>
                <w:sz w:val="20"/>
                <w:szCs w:val="20"/>
              </w:rPr>
            </w:pPr>
            <w:r w:rsidRPr="00CE7ECA">
              <w:rPr>
                <w:rFonts w:ascii="Arial Narrow" w:hAnsi="Arial Narrow"/>
                <w:sz w:val="20"/>
                <w:szCs w:val="20"/>
              </w:rPr>
              <w:t xml:space="preserve">Cost to the PBS/RPBS of crizotinib treatment </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c>
          <w:tcPr>
            <w:tcW w:w="619" w:type="pct"/>
            <w:tcBorders>
              <w:top w:val="single" w:sz="4" w:space="0" w:color="auto"/>
              <w:left w:val="single" w:sz="4" w:space="0" w:color="auto"/>
              <w:bottom w:val="single" w:sz="4" w:space="0" w:color="auto"/>
              <w:right w:val="single" w:sz="4" w:space="0" w:color="auto"/>
              <w:tl2br w:val="nil"/>
              <w:tr2bl w:val="nil"/>
            </w:tcBorders>
            <w:tcMar>
              <w:left w:w="28" w:type="dxa"/>
              <w:right w:w="28" w:type="dxa"/>
            </w:tcMar>
            <w:vAlign w:val="center"/>
          </w:tcPr>
          <w:p w:rsidR="00232E2F" w:rsidRPr="00CE7ECA" w:rsidRDefault="00232E2F" w:rsidP="00232E2F">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r>
      <w:tr w:rsidR="00232E2F" w:rsidRPr="00CE7ECA" w:rsidTr="00232E2F">
        <w:trPr>
          <w:cantSplit/>
        </w:trPr>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bottom"/>
          </w:tcPr>
          <w:p w:rsidR="00232E2F" w:rsidRPr="00CE7ECA" w:rsidRDefault="00232E2F" w:rsidP="0042103E">
            <w:pPr>
              <w:tabs>
                <w:tab w:val="left" w:pos="416"/>
                <w:tab w:val="left" w:pos="582"/>
              </w:tabs>
              <w:spacing w:before="20" w:after="20"/>
              <w:rPr>
                <w:rFonts w:ascii="Arial Narrow" w:hAnsi="Arial Narrow"/>
                <w:sz w:val="20"/>
                <w:szCs w:val="20"/>
              </w:rPr>
            </w:pPr>
            <w:r w:rsidRPr="00CE7ECA">
              <w:rPr>
                <w:rFonts w:ascii="Arial Narrow" w:hAnsi="Arial Narrow"/>
                <w:sz w:val="20"/>
                <w:szCs w:val="20"/>
              </w:rPr>
              <w:t>Cost to the PBS/RPBS of pemetrexed displaced</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c>
          <w:tcPr>
            <w:tcW w:w="619" w:type="pct"/>
            <w:tcBorders>
              <w:top w:val="single" w:sz="4" w:space="0" w:color="auto"/>
              <w:left w:val="single" w:sz="4" w:space="0" w:color="auto"/>
              <w:bottom w:val="single" w:sz="4" w:space="0" w:color="auto"/>
              <w:right w:val="single" w:sz="4" w:space="0" w:color="auto"/>
              <w:tl2br w:val="nil"/>
              <w:tr2bl w:val="nil"/>
            </w:tcBorders>
            <w:tcMar>
              <w:left w:w="28" w:type="dxa"/>
              <w:right w:w="28" w:type="dxa"/>
            </w:tcMar>
            <w:vAlign w:val="center"/>
          </w:tcPr>
          <w:p w:rsidR="00232E2F" w:rsidRPr="00CE7ECA" w:rsidRDefault="00232E2F" w:rsidP="00232E2F">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r>
      <w:tr w:rsidR="00232E2F" w:rsidRPr="00CE7ECA" w:rsidTr="00232E2F">
        <w:trPr>
          <w:cantSplit/>
        </w:trPr>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bottom"/>
          </w:tcPr>
          <w:p w:rsidR="00232E2F" w:rsidRPr="00CE7ECA" w:rsidRDefault="00232E2F" w:rsidP="00232E2F">
            <w:pPr>
              <w:tabs>
                <w:tab w:val="left" w:pos="416"/>
                <w:tab w:val="left" w:pos="582"/>
              </w:tabs>
              <w:spacing w:before="20" w:after="20"/>
              <w:rPr>
                <w:rFonts w:ascii="Arial Narrow" w:hAnsi="Arial Narrow"/>
                <w:b/>
                <w:sz w:val="20"/>
                <w:szCs w:val="20"/>
              </w:rPr>
            </w:pPr>
            <w:r w:rsidRPr="00CE7ECA">
              <w:rPr>
                <w:rFonts w:ascii="Arial Narrow" w:hAnsi="Arial Narrow"/>
                <w:b/>
                <w:sz w:val="20"/>
                <w:szCs w:val="20"/>
              </w:rPr>
              <w:t>Total net cost to the PBS/RPBS of the listing</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b/>
                <w:sz w:val="20"/>
                <w:szCs w:val="20"/>
              </w:rPr>
            </w:pPr>
            <w:r w:rsidRPr="00CE7ECA">
              <w:rPr>
                <w:rFonts w:ascii="Arial Narrow" w:hAnsi="Arial Narrow"/>
                <w:b/>
                <w:sz w:val="20"/>
                <w:szCs w:val="20"/>
              </w:rPr>
              <w:t>$</w:t>
            </w:r>
            <w:r w:rsidR="00291DED">
              <w:rPr>
                <w:rFonts w:ascii="Arial Narrow" w:hAnsi="Arial Narrow"/>
                <w:b/>
                <w:noProof/>
                <w:color w:val="000000"/>
                <w:sz w:val="20"/>
                <w:szCs w:val="20"/>
                <w:highlight w:val="black"/>
              </w:rPr>
              <w:t>'''''''''''''''''''</w:t>
            </w:r>
            <w:r w:rsidRPr="00CE7ECA">
              <w:rPr>
                <w:rFonts w:ascii="Arial Narrow" w:hAnsi="Arial Narrow"/>
                <w:b/>
                <w:sz w:val="20"/>
                <w:szCs w:val="20"/>
              </w:rPr>
              <w:t xml:space="preserve"> </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b/>
                <w:sz w:val="20"/>
                <w:szCs w:val="20"/>
              </w:rPr>
            </w:pPr>
            <w:r w:rsidRPr="00CE7ECA">
              <w:rPr>
                <w:rFonts w:ascii="Arial Narrow" w:hAnsi="Arial Narrow"/>
                <w:b/>
                <w:sz w:val="20"/>
                <w:szCs w:val="20"/>
              </w:rPr>
              <w:t>$</w:t>
            </w:r>
            <w:r w:rsidR="00291DED">
              <w:rPr>
                <w:rFonts w:ascii="Arial Narrow" w:hAnsi="Arial Narrow"/>
                <w:b/>
                <w:noProof/>
                <w:color w:val="000000"/>
                <w:sz w:val="20"/>
                <w:szCs w:val="20"/>
                <w:highlight w:val="black"/>
              </w:rPr>
              <w:t>''''''''''''''''''''</w:t>
            </w:r>
            <w:r w:rsidRPr="00CE7ECA">
              <w:rPr>
                <w:rFonts w:ascii="Arial Narrow" w:hAnsi="Arial Narrow"/>
                <w:b/>
                <w:sz w:val="20"/>
                <w:szCs w:val="20"/>
              </w:rPr>
              <w:t xml:space="preserve"> </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b/>
                <w:sz w:val="20"/>
                <w:szCs w:val="20"/>
              </w:rPr>
            </w:pPr>
            <w:r w:rsidRPr="00CE7ECA">
              <w:rPr>
                <w:rFonts w:ascii="Arial Narrow" w:hAnsi="Arial Narrow"/>
                <w:b/>
                <w:sz w:val="20"/>
                <w:szCs w:val="20"/>
              </w:rPr>
              <w:t>$</w:t>
            </w:r>
            <w:r w:rsidR="00291DED">
              <w:rPr>
                <w:rFonts w:ascii="Arial Narrow" w:hAnsi="Arial Narrow"/>
                <w:b/>
                <w:noProof/>
                <w:color w:val="000000"/>
                <w:sz w:val="20"/>
                <w:szCs w:val="20"/>
                <w:highlight w:val="black"/>
              </w:rPr>
              <w:t>''''''''''''''''''</w:t>
            </w:r>
            <w:r w:rsidRPr="00CE7ECA">
              <w:rPr>
                <w:rFonts w:ascii="Arial Narrow" w:hAnsi="Arial Narrow"/>
                <w:b/>
                <w:sz w:val="20"/>
                <w:szCs w:val="20"/>
              </w:rPr>
              <w:t xml:space="preserve"> </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b/>
                <w:sz w:val="20"/>
                <w:szCs w:val="20"/>
              </w:rPr>
            </w:pPr>
            <w:r w:rsidRPr="00CE7ECA">
              <w:rPr>
                <w:rFonts w:ascii="Arial Narrow" w:hAnsi="Arial Narrow"/>
                <w:b/>
                <w:sz w:val="20"/>
                <w:szCs w:val="20"/>
              </w:rPr>
              <w:t>$</w:t>
            </w:r>
            <w:r w:rsidR="00291DED">
              <w:rPr>
                <w:rFonts w:ascii="Arial Narrow" w:hAnsi="Arial Narrow"/>
                <w:b/>
                <w:noProof/>
                <w:color w:val="000000"/>
                <w:sz w:val="20"/>
                <w:szCs w:val="20"/>
                <w:highlight w:val="black"/>
              </w:rPr>
              <w:t>'''''''''''''''''''</w:t>
            </w:r>
            <w:r w:rsidRPr="00CE7ECA">
              <w:rPr>
                <w:rFonts w:ascii="Arial Narrow" w:hAnsi="Arial Narrow"/>
                <w:b/>
                <w:sz w:val="20"/>
                <w:szCs w:val="20"/>
              </w:rPr>
              <w:t xml:space="preserve"> </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b/>
                <w:sz w:val="20"/>
                <w:szCs w:val="20"/>
              </w:rPr>
            </w:pPr>
            <w:r w:rsidRPr="00CE7ECA">
              <w:rPr>
                <w:rFonts w:ascii="Arial Narrow" w:hAnsi="Arial Narrow"/>
                <w:b/>
                <w:sz w:val="20"/>
                <w:szCs w:val="20"/>
              </w:rPr>
              <w:t>$</w:t>
            </w:r>
            <w:r w:rsidR="00291DED">
              <w:rPr>
                <w:rFonts w:ascii="Arial Narrow" w:hAnsi="Arial Narrow"/>
                <w:b/>
                <w:noProof/>
                <w:color w:val="000000"/>
                <w:sz w:val="20"/>
                <w:szCs w:val="20"/>
                <w:highlight w:val="black"/>
              </w:rPr>
              <w:t>''''''''''''''''''''</w:t>
            </w:r>
            <w:r w:rsidRPr="00CE7ECA">
              <w:rPr>
                <w:rFonts w:ascii="Arial Narrow" w:hAnsi="Arial Narrow"/>
                <w:b/>
                <w:sz w:val="20"/>
                <w:szCs w:val="20"/>
              </w:rPr>
              <w:t xml:space="preserve"> </w:t>
            </w:r>
          </w:p>
        </w:tc>
        <w:tc>
          <w:tcPr>
            <w:tcW w:w="619" w:type="pct"/>
            <w:tcBorders>
              <w:top w:val="single" w:sz="4" w:space="0" w:color="auto"/>
              <w:left w:val="single" w:sz="4" w:space="0" w:color="auto"/>
              <w:bottom w:val="single" w:sz="4" w:space="0" w:color="auto"/>
              <w:right w:val="single" w:sz="4" w:space="0" w:color="auto"/>
              <w:tl2br w:val="nil"/>
              <w:tr2bl w:val="nil"/>
            </w:tcBorders>
            <w:tcMar>
              <w:left w:w="28" w:type="dxa"/>
              <w:right w:w="28" w:type="dxa"/>
            </w:tcMar>
            <w:vAlign w:val="center"/>
          </w:tcPr>
          <w:p w:rsidR="00232E2F" w:rsidRPr="00CE7ECA" w:rsidRDefault="00232E2F" w:rsidP="00232E2F">
            <w:pPr>
              <w:rPr>
                <w:rFonts w:ascii="Arial Narrow" w:hAnsi="Arial Narrow"/>
                <w:b/>
                <w:sz w:val="20"/>
                <w:szCs w:val="20"/>
              </w:rPr>
            </w:pPr>
            <w:r w:rsidRPr="00CE7ECA">
              <w:rPr>
                <w:rFonts w:ascii="Arial Narrow" w:hAnsi="Arial Narrow"/>
                <w:b/>
                <w:sz w:val="20"/>
                <w:szCs w:val="20"/>
              </w:rPr>
              <w:t>$</w:t>
            </w:r>
            <w:r w:rsidR="00291DED">
              <w:rPr>
                <w:rFonts w:ascii="Arial Narrow" w:hAnsi="Arial Narrow"/>
                <w:b/>
                <w:noProof/>
                <w:color w:val="000000"/>
                <w:sz w:val="20"/>
                <w:szCs w:val="20"/>
                <w:highlight w:val="black"/>
              </w:rPr>
              <w:t>''''''''''''''''''</w:t>
            </w:r>
          </w:p>
        </w:tc>
      </w:tr>
      <w:tr w:rsidR="00232E2F" w:rsidRPr="00CE7ECA" w:rsidTr="00232E2F">
        <w:trPr>
          <w:cantSplit/>
        </w:trPr>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bottom"/>
          </w:tcPr>
          <w:p w:rsidR="00232E2F" w:rsidRPr="00CE7ECA" w:rsidRDefault="00232E2F" w:rsidP="00DA63D9">
            <w:pPr>
              <w:tabs>
                <w:tab w:val="left" w:pos="416"/>
                <w:tab w:val="left" w:pos="582"/>
              </w:tabs>
              <w:spacing w:before="20" w:after="20"/>
              <w:rPr>
                <w:rFonts w:ascii="Arial Narrow" w:hAnsi="Arial Narrow"/>
                <w:sz w:val="20"/>
                <w:szCs w:val="20"/>
              </w:rPr>
            </w:pPr>
            <w:r w:rsidRPr="00CE7ECA">
              <w:rPr>
                <w:rFonts w:ascii="Arial Narrow" w:hAnsi="Arial Narrow"/>
                <w:sz w:val="20"/>
                <w:szCs w:val="20"/>
              </w:rPr>
              <w:t>Total cost of proposed ROS1 testing algorithm to the MBS</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DA63D9">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r w:rsidRPr="00CE7ECA">
              <w:rPr>
                <w:rFonts w:ascii="Arial Narrow" w:hAnsi="Arial Narrow"/>
                <w:sz w:val="20"/>
                <w:szCs w:val="20"/>
              </w:rPr>
              <w:t xml:space="preserve"> </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DA63D9">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r w:rsidRPr="00CE7ECA">
              <w:rPr>
                <w:rFonts w:ascii="Arial Narrow" w:hAnsi="Arial Narrow"/>
                <w:sz w:val="20"/>
                <w:szCs w:val="20"/>
              </w:rPr>
              <w:t xml:space="preserve"> </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DA63D9">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r w:rsidRPr="00CE7ECA">
              <w:rPr>
                <w:rFonts w:ascii="Arial Narrow" w:hAnsi="Arial Narrow"/>
                <w:sz w:val="20"/>
                <w:szCs w:val="20"/>
              </w:rPr>
              <w:t xml:space="preserve"> </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DA63D9">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r w:rsidRPr="00CE7ECA">
              <w:rPr>
                <w:rFonts w:ascii="Arial Narrow" w:hAnsi="Arial Narrow"/>
                <w:sz w:val="20"/>
                <w:szCs w:val="20"/>
              </w:rPr>
              <w:t xml:space="preserve"> </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DA63D9">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r w:rsidRPr="00CE7ECA">
              <w:rPr>
                <w:rFonts w:ascii="Arial Narrow" w:hAnsi="Arial Narrow"/>
                <w:sz w:val="20"/>
                <w:szCs w:val="20"/>
              </w:rPr>
              <w:t xml:space="preserve"> </w:t>
            </w:r>
          </w:p>
        </w:tc>
        <w:tc>
          <w:tcPr>
            <w:tcW w:w="619" w:type="pct"/>
            <w:tcBorders>
              <w:top w:val="single" w:sz="4" w:space="0" w:color="auto"/>
              <w:left w:val="single" w:sz="4" w:space="0" w:color="auto"/>
              <w:bottom w:val="single" w:sz="4" w:space="0" w:color="auto"/>
              <w:right w:val="single" w:sz="4" w:space="0" w:color="auto"/>
              <w:tl2br w:val="nil"/>
              <w:tr2bl w:val="nil"/>
            </w:tcBorders>
            <w:tcMar>
              <w:left w:w="28" w:type="dxa"/>
              <w:right w:w="28" w:type="dxa"/>
            </w:tcMar>
            <w:vAlign w:val="center"/>
          </w:tcPr>
          <w:p w:rsidR="00232E2F" w:rsidRPr="00CE7ECA" w:rsidRDefault="00232E2F" w:rsidP="00232E2F">
            <w:pPr>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r>
      <w:tr w:rsidR="00232E2F" w:rsidRPr="00CE7ECA" w:rsidTr="00232E2F">
        <w:trPr>
          <w:cantSplit/>
        </w:trPr>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bottom"/>
          </w:tcPr>
          <w:p w:rsidR="00232E2F" w:rsidRPr="00CE7ECA" w:rsidRDefault="00232E2F" w:rsidP="0042103E">
            <w:pPr>
              <w:tabs>
                <w:tab w:val="left" w:pos="416"/>
                <w:tab w:val="left" w:pos="582"/>
              </w:tabs>
              <w:spacing w:before="20" w:after="20"/>
              <w:rPr>
                <w:rFonts w:ascii="Arial Narrow" w:hAnsi="Arial Narrow"/>
                <w:b/>
                <w:sz w:val="20"/>
                <w:szCs w:val="20"/>
              </w:rPr>
            </w:pPr>
            <w:r w:rsidRPr="00CE7ECA">
              <w:rPr>
                <w:rFonts w:ascii="Arial Narrow" w:hAnsi="Arial Narrow"/>
                <w:b/>
                <w:sz w:val="20"/>
                <w:szCs w:val="20"/>
              </w:rPr>
              <w:t>Total net cost to Government Health Budget</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b/>
                <w:sz w:val="20"/>
                <w:szCs w:val="20"/>
              </w:rPr>
            </w:pPr>
            <w:r w:rsidRPr="00CE7ECA">
              <w:rPr>
                <w:rFonts w:ascii="Arial Narrow" w:hAnsi="Arial Narrow"/>
                <w:b/>
                <w:sz w:val="20"/>
                <w:szCs w:val="20"/>
              </w:rPr>
              <w:t>$</w:t>
            </w:r>
            <w:r w:rsidR="00291DED">
              <w:rPr>
                <w:rFonts w:ascii="Arial Narrow" w:hAnsi="Arial Narrow"/>
                <w:b/>
                <w:noProof/>
                <w:color w:val="000000"/>
                <w:sz w:val="20"/>
                <w:szCs w:val="20"/>
                <w:highlight w:val="black"/>
              </w:rPr>
              <w:t>''''''''''''''''''''</w:t>
            </w:r>
            <w:r w:rsidRPr="00CE7ECA">
              <w:rPr>
                <w:rFonts w:ascii="Arial Narrow" w:hAnsi="Arial Narrow"/>
                <w:b/>
                <w:sz w:val="20"/>
                <w:szCs w:val="20"/>
              </w:rPr>
              <w:t xml:space="preserve"> </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b/>
                <w:sz w:val="20"/>
                <w:szCs w:val="20"/>
              </w:rPr>
            </w:pPr>
            <w:r w:rsidRPr="00CE7ECA">
              <w:rPr>
                <w:rFonts w:ascii="Arial Narrow" w:hAnsi="Arial Narrow"/>
                <w:b/>
                <w:sz w:val="20"/>
                <w:szCs w:val="20"/>
              </w:rPr>
              <w:t>$</w:t>
            </w:r>
            <w:r w:rsidR="00291DED">
              <w:rPr>
                <w:rFonts w:ascii="Arial Narrow" w:hAnsi="Arial Narrow"/>
                <w:b/>
                <w:noProof/>
                <w:color w:val="000000"/>
                <w:sz w:val="20"/>
                <w:szCs w:val="20"/>
                <w:highlight w:val="black"/>
              </w:rPr>
              <w:t>''''''''''''''''''</w:t>
            </w:r>
            <w:r w:rsidRPr="00CE7ECA">
              <w:rPr>
                <w:rFonts w:ascii="Arial Narrow" w:hAnsi="Arial Narrow"/>
                <w:b/>
                <w:sz w:val="20"/>
                <w:szCs w:val="20"/>
              </w:rPr>
              <w:t xml:space="preserve"> </w:t>
            </w:r>
          </w:p>
        </w:tc>
        <w:tc>
          <w:tcPr>
            <w:tcW w:w="619"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b/>
                <w:sz w:val="20"/>
                <w:szCs w:val="20"/>
              </w:rPr>
            </w:pPr>
            <w:r w:rsidRPr="00CE7ECA">
              <w:rPr>
                <w:rFonts w:ascii="Arial Narrow" w:hAnsi="Arial Narrow"/>
                <w:b/>
                <w:sz w:val="20"/>
                <w:szCs w:val="20"/>
              </w:rPr>
              <w:t>$</w:t>
            </w:r>
            <w:r w:rsidR="00291DED">
              <w:rPr>
                <w:rFonts w:ascii="Arial Narrow" w:hAnsi="Arial Narrow"/>
                <w:b/>
                <w:noProof/>
                <w:color w:val="000000"/>
                <w:sz w:val="20"/>
                <w:szCs w:val="20"/>
                <w:highlight w:val="black"/>
              </w:rPr>
              <w:t>'''''''''''''''''''</w:t>
            </w:r>
            <w:r w:rsidRPr="00CE7ECA">
              <w:rPr>
                <w:rFonts w:ascii="Arial Narrow" w:hAnsi="Arial Narrow"/>
                <w:b/>
                <w:sz w:val="20"/>
                <w:szCs w:val="20"/>
              </w:rPr>
              <w:t xml:space="preserve"> </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b/>
                <w:sz w:val="20"/>
                <w:szCs w:val="20"/>
              </w:rPr>
            </w:pPr>
            <w:r w:rsidRPr="00CE7ECA">
              <w:rPr>
                <w:rFonts w:ascii="Arial Narrow" w:hAnsi="Arial Narrow"/>
                <w:b/>
                <w:sz w:val="20"/>
                <w:szCs w:val="20"/>
              </w:rPr>
              <w:t>$</w:t>
            </w:r>
            <w:r w:rsidR="00291DED">
              <w:rPr>
                <w:rFonts w:ascii="Arial Narrow" w:hAnsi="Arial Narrow"/>
                <w:b/>
                <w:noProof/>
                <w:color w:val="000000"/>
                <w:sz w:val="20"/>
                <w:szCs w:val="20"/>
                <w:highlight w:val="black"/>
              </w:rPr>
              <w:t>'''''''''''''''''''''</w:t>
            </w:r>
            <w:r w:rsidRPr="00CE7ECA">
              <w:rPr>
                <w:rFonts w:ascii="Arial Narrow" w:hAnsi="Arial Narrow"/>
                <w:b/>
                <w:sz w:val="20"/>
                <w:szCs w:val="20"/>
              </w:rPr>
              <w:t xml:space="preserve"> </w:t>
            </w:r>
          </w:p>
        </w:tc>
        <w:tc>
          <w:tcPr>
            <w:tcW w:w="620" w:type="pct"/>
            <w:tcBorders>
              <w:top w:val="single" w:sz="4" w:space="0" w:color="auto"/>
              <w:left w:val="single" w:sz="4" w:space="0" w:color="auto"/>
              <w:bottom w:val="single" w:sz="4" w:space="0" w:color="auto"/>
              <w:right w:val="single" w:sz="4" w:space="0" w:color="auto"/>
              <w:tl2br w:val="nil"/>
              <w:tr2bl w:val="nil"/>
            </w:tcBorders>
            <w:shd w:val="clear" w:color="auto" w:fill="auto"/>
            <w:tcMar>
              <w:left w:w="28" w:type="dxa"/>
              <w:right w:w="28" w:type="dxa"/>
            </w:tcMar>
            <w:vAlign w:val="center"/>
          </w:tcPr>
          <w:p w:rsidR="00232E2F" w:rsidRPr="00CE7ECA" w:rsidRDefault="00232E2F" w:rsidP="0042103E">
            <w:pPr>
              <w:rPr>
                <w:rFonts w:ascii="Arial Narrow" w:hAnsi="Arial Narrow"/>
                <w:b/>
                <w:sz w:val="20"/>
                <w:szCs w:val="20"/>
              </w:rPr>
            </w:pPr>
            <w:r w:rsidRPr="00CE7ECA">
              <w:rPr>
                <w:rFonts w:ascii="Arial Narrow" w:hAnsi="Arial Narrow"/>
                <w:b/>
                <w:sz w:val="20"/>
                <w:szCs w:val="20"/>
              </w:rPr>
              <w:t>$</w:t>
            </w:r>
            <w:r w:rsidR="00291DED">
              <w:rPr>
                <w:rFonts w:ascii="Arial Narrow" w:hAnsi="Arial Narrow"/>
                <w:b/>
                <w:noProof/>
                <w:color w:val="000000"/>
                <w:sz w:val="20"/>
                <w:szCs w:val="20"/>
                <w:highlight w:val="black"/>
              </w:rPr>
              <w:t>'''''''''''''''''</w:t>
            </w:r>
            <w:r w:rsidRPr="00CE7ECA">
              <w:rPr>
                <w:rFonts w:ascii="Arial Narrow" w:hAnsi="Arial Narrow"/>
                <w:b/>
                <w:sz w:val="20"/>
                <w:szCs w:val="20"/>
              </w:rPr>
              <w:t xml:space="preserve"> </w:t>
            </w:r>
          </w:p>
        </w:tc>
        <w:tc>
          <w:tcPr>
            <w:tcW w:w="619" w:type="pct"/>
            <w:tcBorders>
              <w:top w:val="single" w:sz="4" w:space="0" w:color="auto"/>
              <w:left w:val="single" w:sz="4" w:space="0" w:color="auto"/>
              <w:bottom w:val="single" w:sz="4" w:space="0" w:color="auto"/>
              <w:right w:val="single" w:sz="4" w:space="0" w:color="auto"/>
              <w:tl2br w:val="nil"/>
              <w:tr2bl w:val="nil"/>
            </w:tcBorders>
            <w:tcMar>
              <w:left w:w="28" w:type="dxa"/>
              <w:right w:w="28" w:type="dxa"/>
            </w:tcMar>
            <w:vAlign w:val="center"/>
          </w:tcPr>
          <w:p w:rsidR="00232E2F" w:rsidRPr="00CE7ECA" w:rsidRDefault="00232E2F" w:rsidP="00232E2F">
            <w:pPr>
              <w:rPr>
                <w:rFonts w:ascii="Arial Narrow" w:hAnsi="Arial Narrow"/>
                <w:b/>
                <w:sz w:val="20"/>
                <w:szCs w:val="20"/>
              </w:rPr>
            </w:pPr>
            <w:r w:rsidRPr="00CE7ECA">
              <w:rPr>
                <w:rFonts w:ascii="Arial Narrow" w:hAnsi="Arial Narrow"/>
                <w:b/>
                <w:sz w:val="20"/>
                <w:szCs w:val="20"/>
              </w:rPr>
              <w:t>$</w:t>
            </w:r>
            <w:r w:rsidR="00291DED">
              <w:rPr>
                <w:rFonts w:ascii="Arial Narrow" w:hAnsi="Arial Narrow"/>
                <w:b/>
                <w:noProof/>
                <w:color w:val="000000"/>
                <w:sz w:val="20"/>
                <w:szCs w:val="20"/>
                <w:highlight w:val="black"/>
              </w:rPr>
              <w:t>''''''''''''''''''</w:t>
            </w:r>
          </w:p>
        </w:tc>
      </w:tr>
    </w:tbl>
    <w:p w:rsidR="0042103E" w:rsidRPr="00CE7ECA" w:rsidRDefault="0042103E" w:rsidP="00A335C4">
      <w:pPr>
        <w:rPr>
          <w:rFonts w:ascii="Arial Narrow" w:eastAsiaTheme="minorHAnsi" w:hAnsi="Arial Narrow" w:cstheme="minorBidi"/>
          <w:sz w:val="18"/>
          <w:szCs w:val="18"/>
        </w:rPr>
      </w:pPr>
      <w:r w:rsidRPr="00CE7ECA">
        <w:rPr>
          <w:rFonts w:ascii="Arial Narrow" w:eastAsiaTheme="minorHAnsi" w:hAnsi="Arial Narrow" w:cstheme="minorBidi"/>
          <w:sz w:val="18"/>
          <w:szCs w:val="18"/>
        </w:rPr>
        <w:t>Source: Table 2, p9 of the minor resubmission</w:t>
      </w:r>
    </w:p>
    <w:p w:rsidR="0042103E" w:rsidRPr="00CE7ECA" w:rsidRDefault="00A335C4" w:rsidP="00A335C4">
      <w:pPr>
        <w:rPr>
          <w:rFonts w:ascii="Arial Narrow" w:eastAsiaTheme="minorHAnsi" w:hAnsi="Arial Narrow" w:cstheme="minorBidi"/>
          <w:sz w:val="18"/>
          <w:szCs w:val="18"/>
        </w:rPr>
      </w:pPr>
      <w:r w:rsidRPr="00CE7ECA">
        <w:rPr>
          <w:rFonts w:ascii="Arial Narrow" w:eastAsiaTheme="minorHAnsi" w:hAnsi="Arial Narrow" w:cstheme="minorBidi"/>
          <w:sz w:val="18"/>
          <w:szCs w:val="18"/>
        </w:rPr>
        <w:t xml:space="preserve">FISH = </w:t>
      </w:r>
      <w:r w:rsidR="00CE6088" w:rsidRPr="00CE7ECA">
        <w:rPr>
          <w:rFonts w:ascii="Arial Narrow" w:eastAsiaTheme="minorHAnsi" w:hAnsi="Arial Narrow" w:cstheme="minorBidi"/>
          <w:sz w:val="18"/>
          <w:szCs w:val="18"/>
        </w:rPr>
        <w:t xml:space="preserve">fluorescent in-situ hybridisation; </w:t>
      </w:r>
      <w:r w:rsidR="0042103E" w:rsidRPr="00CE7ECA">
        <w:rPr>
          <w:rFonts w:ascii="Arial Narrow" w:eastAsiaTheme="minorHAnsi" w:hAnsi="Arial Narrow" w:cstheme="minorBidi"/>
          <w:sz w:val="18"/>
          <w:szCs w:val="18"/>
        </w:rPr>
        <w:t xml:space="preserve">IHC = </w:t>
      </w:r>
      <w:r w:rsidR="00CE6088" w:rsidRPr="00CE7ECA">
        <w:rPr>
          <w:rFonts w:ascii="Arial Narrow" w:eastAsiaTheme="minorHAnsi" w:hAnsi="Arial Narrow" w:cstheme="minorBidi"/>
          <w:sz w:val="18"/>
          <w:szCs w:val="18"/>
        </w:rPr>
        <w:t>immunohistochemistry; M</w:t>
      </w:r>
      <w:r w:rsidRPr="00CE7ECA">
        <w:rPr>
          <w:rFonts w:ascii="Arial Narrow" w:eastAsiaTheme="minorHAnsi" w:hAnsi="Arial Narrow" w:cstheme="minorBidi"/>
          <w:sz w:val="18"/>
          <w:szCs w:val="18"/>
        </w:rPr>
        <w:t>BS = Medicare Benefits Sche</w:t>
      </w:r>
      <w:r w:rsidR="00CE6088" w:rsidRPr="00CE7ECA">
        <w:rPr>
          <w:rFonts w:ascii="Arial Narrow" w:eastAsiaTheme="minorHAnsi" w:hAnsi="Arial Narrow" w:cstheme="minorBidi"/>
          <w:sz w:val="18"/>
          <w:szCs w:val="18"/>
        </w:rPr>
        <w:t>dule</w:t>
      </w:r>
      <w:r w:rsidRPr="00CE7ECA">
        <w:rPr>
          <w:rFonts w:ascii="Arial Narrow" w:eastAsiaTheme="minorHAnsi" w:hAnsi="Arial Narrow" w:cstheme="minorBidi"/>
          <w:sz w:val="18"/>
          <w:szCs w:val="18"/>
        </w:rPr>
        <w:t xml:space="preserve">; NSCLC = non-small cell lung cancer; PBS = Pharmaceutical Benefits Schedule; RPBS = Repatriation Pharmaceutical Benefits Scheme; </w:t>
      </w:r>
      <w:r w:rsidR="00CE6088" w:rsidRPr="00CE7ECA">
        <w:rPr>
          <w:rFonts w:ascii="Arial Narrow" w:eastAsiaTheme="minorHAnsi" w:hAnsi="Arial Narrow" w:cstheme="minorBidi"/>
          <w:sz w:val="18"/>
          <w:szCs w:val="18"/>
        </w:rPr>
        <w:t>ROS1 = c-ROS proto-oncogene 1</w:t>
      </w:r>
    </w:p>
    <w:p w:rsidR="00C43A1A" w:rsidRPr="00CE7ECA" w:rsidRDefault="00C43A1A" w:rsidP="00A335C4">
      <w:pPr>
        <w:rPr>
          <w:rFonts w:ascii="Arial Narrow" w:eastAsiaTheme="minorHAnsi" w:hAnsi="Arial Narrow" w:cstheme="minorBidi"/>
          <w:sz w:val="18"/>
          <w:szCs w:val="18"/>
        </w:rPr>
      </w:pPr>
    </w:p>
    <w:p w:rsidR="0042103E" w:rsidRPr="00CE7ECA" w:rsidRDefault="00A335C4"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estimated cost to the PBS/RPBS for the proposed agnostic line listing for the treatment of ROS1-positive NSCLC was </w:t>
      </w:r>
      <w:r w:rsidR="00FE24D7">
        <w:rPr>
          <w:rFonts w:asciiTheme="minorHAnsi" w:eastAsiaTheme="minorHAnsi" w:hAnsiTheme="minorHAnsi" w:cstheme="minorBidi"/>
          <w:snapToGrid/>
          <w:sz w:val="24"/>
          <w:szCs w:val="22"/>
        </w:rPr>
        <w:t xml:space="preserve">less than </w:t>
      </w:r>
      <w:r w:rsidRPr="00CE7ECA">
        <w:rPr>
          <w:rFonts w:asciiTheme="minorHAnsi" w:eastAsiaTheme="minorHAnsi" w:hAnsiTheme="minorHAnsi" w:cstheme="minorBidi"/>
          <w:snapToGrid/>
          <w:sz w:val="24"/>
          <w:szCs w:val="22"/>
        </w:rPr>
        <w:t>$</w:t>
      </w:r>
      <w:r w:rsidR="00FE24D7">
        <w:rPr>
          <w:rFonts w:asciiTheme="minorHAnsi" w:eastAsiaTheme="minorHAnsi" w:hAnsiTheme="minorHAnsi" w:cstheme="minorBidi"/>
          <w:snapToGrid/>
          <w:sz w:val="24"/>
          <w:szCs w:val="22"/>
        </w:rPr>
        <w:t>10</w:t>
      </w:r>
      <w:r w:rsidRPr="00CE7ECA">
        <w:rPr>
          <w:rFonts w:asciiTheme="minorHAnsi" w:eastAsiaTheme="minorHAnsi" w:hAnsiTheme="minorHAnsi" w:cstheme="minorBidi"/>
          <w:snapToGrid/>
          <w:sz w:val="24"/>
          <w:szCs w:val="22"/>
        </w:rPr>
        <w:t xml:space="preserve"> million in Year 1, incr</w:t>
      </w:r>
      <w:r w:rsidR="00232E2F" w:rsidRPr="00CE7ECA">
        <w:rPr>
          <w:rFonts w:asciiTheme="minorHAnsi" w:eastAsiaTheme="minorHAnsi" w:hAnsiTheme="minorHAnsi" w:cstheme="minorBidi"/>
          <w:snapToGrid/>
          <w:sz w:val="24"/>
          <w:szCs w:val="22"/>
        </w:rPr>
        <w:t xml:space="preserve">easing to </w:t>
      </w:r>
      <w:r w:rsidR="00FE24D7">
        <w:rPr>
          <w:rFonts w:asciiTheme="minorHAnsi" w:eastAsiaTheme="minorHAnsi" w:hAnsiTheme="minorHAnsi" w:cstheme="minorBidi"/>
          <w:snapToGrid/>
          <w:sz w:val="24"/>
          <w:szCs w:val="22"/>
        </w:rPr>
        <w:t xml:space="preserve">less than </w:t>
      </w:r>
      <w:r w:rsidR="00232E2F" w:rsidRPr="00CE7ECA">
        <w:rPr>
          <w:rFonts w:asciiTheme="minorHAnsi" w:eastAsiaTheme="minorHAnsi" w:hAnsiTheme="minorHAnsi" w:cstheme="minorBidi"/>
          <w:snapToGrid/>
          <w:sz w:val="24"/>
          <w:szCs w:val="22"/>
        </w:rPr>
        <w:t>$</w:t>
      </w:r>
      <w:r w:rsidR="00FE24D7">
        <w:rPr>
          <w:rFonts w:asciiTheme="minorHAnsi" w:eastAsiaTheme="minorHAnsi" w:hAnsiTheme="minorHAnsi" w:cstheme="minorBidi"/>
          <w:snapToGrid/>
          <w:sz w:val="24"/>
          <w:szCs w:val="22"/>
        </w:rPr>
        <w:t>10</w:t>
      </w:r>
      <w:r w:rsidR="00232E2F" w:rsidRPr="00CE7ECA">
        <w:rPr>
          <w:rFonts w:asciiTheme="minorHAnsi" w:eastAsiaTheme="minorHAnsi" w:hAnsiTheme="minorHAnsi" w:cstheme="minorBidi"/>
          <w:snapToGrid/>
          <w:sz w:val="24"/>
          <w:szCs w:val="22"/>
        </w:rPr>
        <w:t xml:space="preserve"> million in Year 6</w:t>
      </w:r>
      <w:r w:rsidRPr="00CE7ECA">
        <w:rPr>
          <w:rFonts w:asciiTheme="minorHAnsi" w:eastAsiaTheme="minorHAnsi" w:hAnsiTheme="minorHAnsi" w:cstheme="minorBidi"/>
          <w:snapToGrid/>
          <w:sz w:val="24"/>
          <w:szCs w:val="22"/>
        </w:rPr>
        <w:t>.</w:t>
      </w:r>
      <w:r w:rsidR="00C43A1A" w:rsidRPr="00CE7ECA">
        <w:rPr>
          <w:rFonts w:asciiTheme="minorHAnsi" w:eastAsiaTheme="minorHAnsi" w:hAnsiTheme="minorHAnsi" w:cstheme="minorBidi"/>
          <w:snapToGrid/>
          <w:sz w:val="24"/>
          <w:szCs w:val="22"/>
        </w:rPr>
        <w:t xml:space="preserve"> The cost over the first </w:t>
      </w:r>
      <w:r w:rsidR="00232E2F" w:rsidRPr="00CE7ECA">
        <w:rPr>
          <w:rFonts w:asciiTheme="minorHAnsi" w:eastAsiaTheme="minorHAnsi" w:hAnsiTheme="minorHAnsi" w:cstheme="minorBidi"/>
          <w:snapToGrid/>
          <w:sz w:val="24"/>
          <w:szCs w:val="22"/>
        </w:rPr>
        <w:t>six</w:t>
      </w:r>
      <w:r w:rsidR="00C43A1A" w:rsidRPr="00CE7ECA">
        <w:rPr>
          <w:rFonts w:asciiTheme="minorHAnsi" w:eastAsiaTheme="minorHAnsi" w:hAnsiTheme="minorHAnsi" w:cstheme="minorBidi"/>
          <w:snapToGrid/>
          <w:sz w:val="24"/>
          <w:szCs w:val="22"/>
        </w:rPr>
        <w:t xml:space="preserve"> years of listing to the PBS/RPBS was estimated to </w:t>
      </w:r>
      <w:r w:rsidR="00232E2F" w:rsidRPr="00CE7ECA">
        <w:rPr>
          <w:rFonts w:asciiTheme="minorHAnsi" w:eastAsiaTheme="minorHAnsi" w:hAnsiTheme="minorHAnsi" w:cstheme="minorBidi"/>
          <w:snapToGrid/>
          <w:sz w:val="24"/>
          <w:szCs w:val="22"/>
        </w:rPr>
        <w:t>be $</w:t>
      </w:r>
      <w:r w:rsidR="00FE24D7">
        <w:rPr>
          <w:rFonts w:asciiTheme="minorHAnsi" w:eastAsiaTheme="minorHAnsi" w:hAnsiTheme="minorHAnsi" w:cstheme="minorBidi"/>
          <w:snapToGrid/>
          <w:sz w:val="24"/>
          <w:szCs w:val="22"/>
        </w:rPr>
        <w:t>20 - $30</w:t>
      </w:r>
      <w:r w:rsidR="00C43A1A" w:rsidRPr="00CE7ECA">
        <w:rPr>
          <w:rFonts w:asciiTheme="minorHAnsi" w:eastAsiaTheme="minorHAnsi" w:hAnsiTheme="minorHAnsi" w:cstheme="minorBidi"/>
          <w:snapToGrid/>
          <w:sz w:val="24"/>
          <w:szCs w:val="22"/>
        </w:rPr>
        <w:t xml:space="preserve"> million.</w:t>
      </w:r>
      <w:r w:rsidR="00872A65" w:rsidRPr="00CE7ECA">
        <w:rPr>
          <w:rFonts w:asciiTheme="minorHAnsi" w:eastAsiaTheme="minorHAnsi" w:hAnsiTheme="minorHAnsi" w:cstheme="minorBidi"/>
          <w:snapToGrid/>
          <w:sz w:val="24"/>
          <w:szCs w:val="22"/>
        </w:rPr>
        <w:t xml:space="preserve"> The </w:t>
      </w:r>
      <w:r w:rsidR="00CE7ECA" w:rsidRPr="00CE7ECA">
        <w:rPr>
          <w:rFonts w:asciiTheme="minorHAnsi" w:eastAsiaTheme="minorHAnsi" w:hAnsiTheme="minorHAnsi" w:cstheme="minorBidi"/>
          <w:snapToGrid/>
          <w:sz w:val="24"/>
          <w:szCs w:val="22"/>
        </w:rPr>
        <w:t>Department verified the financial estimates presented in the minor resubmission</w:t>
      </w:r>
      <w:r w:rsidR="00872A65" w:rsidRPr="00CE7ECA">
        <w:rPr>
          <w:rFonts w:asciiTheme="minorHAnsi" w:eastAsiaTheme="minorHAnsi" w:hAnsiTheme="minorHAnsi" w:cstheme="minorBidi"/>
          <w:snapToGrid/>
          <w:sz w:val="24"/>
          <w:szCs w:val="22"/>
        </w:rPr>
        <w:t xml:space="preserve">. </w:t>
      </w:r>
    </w:p>
    <w:p w:rsidR="00A335C4" w:rsidRPr="00CE7ECA" w:rsidRDefault="00A335C4" w:rsidP="00C3026B">
      <w:pPr>
        <w:pStyle w:val="PBACHeading1"/>
        <w:numPr>
          <w:ilvl w:val="0"/>
          <w:numId w:val="0"/>
        </w:numPr>
        <w:spacing w:before="240" w:after="120"/>
        <w:outlineLvl w:val="1"/>
        <w:rPr>
          <w:rFonts w:asciiTheme="minorHAnsi" w:eastAsiaTheme="majorEastAsia" w:hAnsiTheme="minorHAnsi" w:cstheme="majorBidi"/>
          <w:i/>
          <w:sz w:val="28"/>
          <w:szCs w:val="28"/>
        </w:rPr>
      </w:pPr>
      <w:r w:rsidRPr="00CE7ECA">
        <w:rPr>
          <w:rFonts w:asciiTheme="minorHAnsi" w:eastAsiaTheme="majorEastAsia" w:hAnsiTheme="minorHAnsi" w:cstheme="majorBidi"/>
          <w:i/>
          <w:sz w:val="28"/>
          <w:szCs w:val="28"/>
        </w:rPr>
        <w:t>Weighted average price</w:t>
      </w:r>
    </w:p>
    <w:p w:rsidR="00A335C4" w:rsidRPr="00CE7ECA" w:rsidRDefault="00D40623"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 </w:t>
      </w:r>
      <w:r w:rsidR="00A335C4" w:rsidRPr="00CE7ECA">
        <w:rPr>
          <w:rFonts w:asciiTheme="minorHAnsi" w:eastAsiaTheme="minorHAnsi" w:hAnsiTheme="minorHAnsi" w:cstheme="minorBidi"/>
          <w:snapToGrid/>
          <w:sz w:val="24"/>
          <w:szCs w:val="22"/>
        </w:rPr>
        <w:t>In November 2017 the PBAC</w:t>
      </w:r>
      <w:r w:rsidR="00872A65" w:rsidRPr="00CE7ECA">
        <w:rPr>
          <w:rFonts w:asciiTheme="minorHAnsi" w:eastAsiaTheme="minorHAnsi" w:hAnsiTheme="minorHAnsi" w:cstheme="minorBidi"/>
          <w:snapToGrid/>
          <w:sz w:val="24"/>
          <w:szCs w:val="22"/>
        </w:rPr>
        <w:t xml:space="preserve"> had</w:t>
      </w:r>
      <w:r w:rsidR="00A335C4" w:rsidRPr="00CE7ECA">
        <w:rPr>
          <w:rFonts w:asciiTheme="minorHAnsi" w:eastAsiaTheme="minorHAnsi" w:hAnsiTheme="minorHAnsi" w:cstheme="minorBidi"/>
          <w:snapToGrid/>
          <w:sz w:val="24"/>
          <w:szCs w:val="22"/>
        </w:rPr>
        <w:t xml:space="preserve"> </w:t>
      </w:r>
      <w:r w:rsidRPr="00CE7ECA">
        <w:rPr>
          <w:rFonts w:asciiTheme="minorHAnsi" w:eastAsiaTheme="minorHAnsi" w:hAnsiTheme="minorHAnsi" w:cstheme="minorBidi"/>
          <w:snapToGrid/>
          <w:sz w:val="24"/>
          <w:szCs w:val="22"/>
        </w:rPr>
        <w:t xml:space="preserve">advised (paragraph 7.13, November 2017 </w:t>
      </w:r>
      <w:r w:rsidR="008A6254">
        <w:rPr>
          <w:rFonts w:asciiTheme="minorHAnsi" w:eastAsiaTheme="minorHAnsi" w:hAnsiTheme="minorHAnsi" w:cstheme="minorBidi"/>
          <w:snapToGrid/>
          <w:sz w:val="24"/>
          <w:szCs w:val="22"/>
        </w:rPr>
        <w:t>PSD</w:t>
      </w:r>
      <w:r w:rsidRPr="00CE7ECA">
        <w:rPr>
          <w:rFonts w:asciiTheme="minorHAnsi" w:eastAsiaTheme="minorHAnsi" w:hAnsiTheme="minorHAnsi" w:cstheme="minorBidi"/>
          <w:snapToGrid/>
          <w:sz w:val="24"/>
          <w:szCs w:val="22"/>
        </w:rPr>
        <w:t xml:space="preserve">) “that the cost per patient of crizotinib in the ROS1-positive setting should be the same as that in the ALK-positive setting, that is, after adjusting the effective DPMQ in </w:t>
      </w:r>
      <w:r w:rsidRPr="00CE7ECA">
        <w:rPr>
          <w:rFonts w:asciiTheme="minorHAnsi" w:eastAsiaTheme="minorHAnsi" w:hAnsiTheme="minorHAnsi" w:cstheme="minorBidi"/>
          <w:snapToGrid/>
          <w:sz w:val="24"/>
          <w:szCs w:val="22"/>
        </w:rPr>
        <w:lastRenderedPageBreak/>
        <w:t>the ROS1-positive setting to account for the difference in observed treatment durations in each setting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and 7.7 months respectively). A weighted average effective DPMQ could then be calculated across the two settings.”</w:t>
      </w:r>
    </w:p>
    <w:p w:rsidR="00D40623" w:rsidRPr="00CE7ECA" w:rsidRDefault="00D40623"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minor resubmission agreed with the request for a single weighted average effective DPMQ across the two reimbursed populations of NSCLC patients</w:t>
      </w:r>
      <w:r w:rsidR="00872A65" w:rsidRPr="00CE7ECA">
        <w:rPr>
          <w:rFonts w:asciiTheme="minorHAnsi" w:eastAsiaTheme="minorHAnsi" w:hAnsiTheme="minorHAnsi" w:cstheme="minorBidi"/>
          <w:snapToGrid/>
          <w:sz w:val="24"/>
          <w:szCs w:val="22"/>
        </w:rPr>
        <w:t xml:space="preserve"> and noted that</w:t>
      </w:r>
      <w:r w:rsidRPr="00CE7ECA">
        <w:rPr>
          <w:rFonts w:asciiTheme="minorHAnsi" w:eastAsiaTheme="minorHAnsi" w:hAnsiTheme="minorHAnsi" w:cstheme="minorBidi"/>
          <w:snapToGrid/>
          <w:sz w:val="24"/>
          <w:szCs w:val="22"/>
        </w:rPr>
        <w:t xml:space="preserve"> </w:t>
      </w:r>
      <w:r w:rsidR="00872A65" w:rsidRPr="00CE7ECA">
        <w:rPr>
          <w:rFonts w:asciiTheme="minorHAnsi" w:eastAsiaTheme="minorHAnsi" w:hAnsiTheme="minorHAnsi" w:cstheme="minorBidi"/>
          <w:snapToGrid/>
          <w:sz w:val="24"/>
          <w:szCs w:val="22"/>
        </w:rPr>
        <w:t>t</w:t>
      </w:r>
      <w:r w:rsidRPr="00CE7ECA">
        <w:rPr>
          <w:rFonts w:asciiTheme="minorHAnsi" w:eastAsiaTheme="minorHAnsi" w:hAnsiTheme="minorHAnsi" w:cstheme="minorBidi"/>
          <w:snapToGrid/>
          <w:sz w:val="24"/>
          <w:szCs w:val="22"/>
        </w:rPr>
        <w:t>his would simplify the Special Pricing Arrangements and associated contractual requirements.</w:t>
      </w:r>
    </w:p>
    <w:p w:rsidR="00D40623" w:rsidRPr="00CE7ECA" w:rsidRDefault="00D40623"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proposed weighted average </w:t>
      </w:r>
      <w:r w:rsidR="00B77262" w:rsidRPr="00CE7ECA">
        <w:rPr>
          <w:rFonts w:asciiTheme="minorHAnsi" w:eastAsiaTheme="minorHAnsi" w:hAnsiTheme="minorHAnsi" w:cstheme="minorBidi"/>
          <w:snapToGrid/>
          <w:sz w:val="24"/>
          <w:szCs w:val="22"/>
        </w:rPr>
        <w:t xml:space="preserve">price </w:t>
      </w:r>
      <w:r w:rsidR="00872A65" w:rsidRPr="00CE7ECA">
        <w:rPr>
          <w:rFonts w:asciiTheme="minorHAnsi" w:eastAsiaTheme="minorHAnsi" w:hAnsiTheme="minorHAnsi" w:cstheme="minorBidi"/>
          <w:snapToGrid/>
          <w:sz w:val="24"/>
          <w:szCs w:val="22"/>
        </w:rPr>
        <w:t xml:space="preserve">in the resubmission </w:t>
      </w:r>
      <w:r w:rsidR="00B77262" w:rsidRPr="00CE7ECA">
        <w:rPr>
          <w:rFonts w:asciiTheme="minorHAnsi" w:eastAsiaTheme="minorHAnsi" w:hAnsiTheme="minorHAnsi" w:cstheme="minorBidi"/>
          <w:snapToGrid/>
          <w:sz w:val="24"/>
          <w:szCs w:val="22"/>
        </w:rPr>
        <w:t xml:space="preserve">across the two settings </w:t>
      </w:r>
      <w:r w:rsidRPr="00CE7ECA">
        <w:rPr>
          <w:rFonts w:asciiTheme="minorHAnsi" w:eastAsiaTheme="minorHAnsi" w:hAnsiTheme="minorHAnsi" w:cstheme="minorBidi"/>
          <w:snapToGrid/>
          <w:sz w:val="24"/>
          <w:szCs w:val="22"/>
        </w:rPr>
        <w:t>was derived from:</w:t>
      </w:r>
    </w:p>
    <w:p w:rsidR="00B77262" w:rsidRPr="00CE7ECA" w:rsidRDefault="00B77262" w:rsidP="00730E38">
      <w:pPr>
        <w:pStyle w:val="ListParagraph"/>
        <w:widowControl/>
        <w:numPr>
          <w:ilvl w:val="1"/>
          <w:numId w:val="9"/>
        </w:numPr>
        <w:spacing w:after="120"/>
        <w:ind w:left="1077" w:hanging="357"/>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estimated average annual gross PBS/RPBS expenditure for the proposed ROS1 listing over the first 5 years of listing, as described above; and</w:t>
      </w:r>
    </w:p>
    <w:p w:rsidR="00B77262" w:rsidRPr="00CE7ECA" w:rsidRDefault="00B77262" w:rsidP="00730E38">
      <w:pPr>
        <w:pStyle w:val="ListParagraph"/>
        <w:widowControl/>
        <w:numPr>
          <w:ilvl w:val="1"/>
          <w:numId w:val="9"/>
        </w:numPr>
        <w:spacing w:after="120"/>
        <w:ind w:left="1077" w:hanging="357"/>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actual PBS expenditure for crizotinib for the treatment of ALK-positive NSCLC over the 12 months, Feb</w:t>
      </w:r>
      <w:r w:rsidR="00C43A1A" w:rsidRPr="00CE7ECA">
        <w:rPr>
          <w:rFonts w:asciiTheme="minorHAnsi" w:eastAsiaTheme="minorHAnsi" w:hAnsiTheme="minorHAnsi" w:cstheme="minorBidi"/>
          <w:snapToGrid/>
          <w:sz w:val="24"/>
          <w:szCs w:val="22"/>
        </w:rPr>
        <w:t>ruary</w:t>
      </w:r>
      <w:r w:rsidRPr="00CE7ECA">
        <w:rPr>
          <w:rFonts w:asciiTheme="minorHAnsi" w:eastAsiaTheme="minorHAnsi" w:hAnsiTheme="minorHAnsi" w:cstheme="minorBidi"/>
          <w:snapToGrid/>
          <w:sz w:val="24"/>
          <w:szCs w:val="22"/>
        </w:rPr>
        <w:t xml:space="preserve"> 2017 to Jan</w:t>
      </w:r>
      <w:r w:rsidR="00C43A1A" w:rsidRPr="00CE7ECA">
        <w:rPr>
          <w:rFonts w:asciiTheme="minorHAnsi" w:eastAsiaTheme="minorHAnsi" w:hAnsiTheme="minorHAnsi" w:cstheme="minorBidi"/>
          <w:snapToGrid/>
          <w:sz w:val="24"/>
          <w:szCs w:val="22"/>
        </w:rPr>
        <w:t>uary</w:t>
      </w:r>
      <w:r w:rsidRPr="00CE7ECA">
        <w:rPr>
          <w:rFonts w:asciiTheme="minorHAnsi" w:eastAsiaTheme="minorHAnsi" w:hAnsiTheme="minorHAnsi" w:cstheme="minorBidi"/>
          <w:snapToGrid/>
          <w:sz w:val="24"/>
          <w:szCs w:val="22"/>
        </w:rPr>
        <w:t xml:space="preserve"> 2018.</w:t>
      </w:r>
    </w:p>
    <w:p w:rsidR="00B77262" w:rsidRPr="00CE7ECA" w:rsidRDefault="00B77262"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It was calculated that the proportion of expenditure across the ALK and ROS1 indications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be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and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respectively. The resubmission used a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versus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split</w:t>
      </w:r>
      <w:r w:rsidR="00E63E18" w:rsidRPr="00CE7ECA">
        <w:rPr>
          <w:rFonts w:asciiTheme="minorHAnsi" w:eastAsiaTheme="minorHAnsi" w:hAnsiTheme="minorHAnsi" w:cstheme="minorBidi"/>
          <w:snapToGrid/>
          <w:sz w:val="24"/>
          <w:szCs w:val="22"/>
        </w:rPr>
        <w:t>, as outlined in</w:t>
      </w:r>
      <w:r w:rsidR="009C45FD" w:rsidRPr="00CE7ECA">
        <w:rPr>
          <w:rFonts w:asciiTheme="minorHAnsi" w:eastAsiaTheme="minorHAnsi" w:hAnsiTheme="minorHAnsi" w:cstheme="minorBidi"/>
          <w:snapToGrid/>
          <w:sz w:val="24"/>
          <w:szCs w:val="22"/>
        </w:rPr>
        <w:t xml:space="preserve"> the t</w:t>
      </w:r>
      <w:r w:rsidRPr="00CE7ECA">
        <w:rPr>
          <w:rFonts w:asciiTheme="minorHAnsi" w:eastAsiaTheme="minorHAnsi" w:hAnsiTheme="minorHAnsi" w:cstheme="minorBidi"/>
          <w:snapToGrid/>
          <w:sz w:val="24"/>
          <w:szCs w:val="22"/>
        </w:rPr>
        <w:t>able below.</w:t>
      </w:r>
    </w:p>
    <w:p w:rsidR="009C45FD" w:rsidRPr="00CE7ECA" w:rsidRDefault="009C45FD" w:rsidP="00FD05FE">
      <w:pPr>
        <w:spacing w:after="60"/>
        <w:rPr>
          <w:rFonts w:ascii="Arial Narrow" w:eastAsiaTheme="minorHAnsi" w:hAnsi="Arial Narrow" w:cstheme="minorBidi"/>
          <w:b/>
          <w:sz w:val="20"/>
          <w:szCs w:val="20"/>
        </w:rPr>
      </w:pPr>
      <w:r w:rsidRPr="00CE7ECA">
        <w:rPr>
          <w:rFonts w:ascii="Arial Narrow" w:eastAsiaTheme="minorHAnsi" w:hAnsi="Arial Narrow" w:cstheme="minorBidi"/>
          <w:b/>
          <w:sz w:val="20"/>
          <w:szCs w:val="20"/>
        </w:rPr>
        <w:t>Table 3: Weighted effective price calculations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1559"/>
        <w:gridCol w:w="1559"/>
        <w:gridCol w:w="1276"/>
        <w:gridCol w:w="2126"/>
      </w:tblGrid>
      <w:tr w:rsidR="009C45FD" w:rsidRPr="00CE7ECA" w:rsidTr="003543E0">
        <w:trPr>
          <w:tblHeader/>
        </w:trPr>
        <w:tc>
          <w:tcPr>
            <w:tcW w:w="993" w:type="dxa"/>
            <w:shd w:val="clear" w:color="auto" w:fill="auto"/>
          </w:tcPr>
          <w:p w:rsidR="00B77262" w:rsidRPr="00CE7ECA" w:rsidRDefault="00B77262" w:rsidP="00F22318">
            <w:pPr>
              <w:pStyle w:val="TableHeading"/>
            </w:pPr>
            <w:r w:rsidRPr="00CE7ECA">
              <w:t>Indication</w:t>
            </w:r>
          </w:p>
        </w:tc>
        <w:tc>
          <w:tcPr>
            <w:tcW w:w="1559" w:type="dxa"/>
            <w:shd w:val="clear" w:color="auto" w:fill="auto"/>
          </w:tcPr>
          <w:p w:rsidR="00B77262" w:rsidRPr="00CE7ECA" w:rsidRDefault="00B77262" w:rsidP="00F22318">
            <w:pPr>
              <w:pStyle w:val="TableHeading"/>
            </w:pPr>
            <w:r w:rsidRPr="00CE7ECA">
              <w:t>Expenditure (before rebates)</w:t>
            </w:r>
          </w:p>
        </w:tc>
        <w:tc>
          <w:tcPr>
            <w:tcW w:w="1559" w:type="dxa"/>
            <w:shd w:val="clear" w:color="auto" w:fill="auto"/>
          </w:tcPr>
          <w:p w:rsidR="00B77262" w:rsidRPr="00CE7ECA" w:rsidRDefault="009C45FD" w:rsidP="009C45FD">
            <w:pPr>
              <w:pStyle w:val="TableHeading"/>
            </w:pPr>
            <w:r w:rsidRPr="00CE7ECA">
              <w:t xml:space="preserve">Calculated </w:t>
            </w:r>
            <w:r w:rsidR="00B77262" w:rsidRPr="00CE7ECA">
              <w:t>% of total expenditure</w:t>
            </w:r>
          </w:p>
        </w:tc>
        <w:tc>
          <w:tcPr>
            <w:tcW w:w="1559" w:type="dxa"/>
            <w:shd w:val="clear" w:color="auto" w:fill="auto"/>
          </w:tcPr>
          <w:p w:rsidR="00B77262" w:rsidRPr="00CE7ECA" w:rsidRDefault="009C45FD" w:rsidP="009C45FD">
            <w:pPr>
              <w:pStyle w:val="TableHeading"/>
            </w:pPr>
            <w:r w:rsidRPr="00CE7ECA">
              <w:t xml:space="preserve">Proposed </w:t>
            </w:r>
            <w:r w:rsidR="00B77262" w:rsidRPr="00CE7ECA">
              <w:t>% of total expenditure</w:t>
            </w:r>
          </w:p>
        </w:tc>
        <w:tc>
          <w:tcPr>
            <w:tcW w:w="1276" w:type="dxa"/>
            <w:shd w:val="clear" w:color="auto" w:fill="auto"/>
          </w:tcPr>
          <w:p w:rsidR="00B77262" w:rsidRPr="00CE7ECA" w:rsidRDefault="00006881" w:rsidP="00F22318">
            <w:pPr>
              <w:pStyle w:val="TableHeading"/>
            </w:pPr>
            <w:r w:rsidRPr="00CE7ECA">
              <w:t xml:space="preserve">Effective </w:t>
            </w:r>
            <w:r w:rsidR="00B77262" w:rsidRPr="00CE7ECA">
              <w:t>EMP</w:t>
            </w:r>
          </w:p>
        </w:tc>
        <w:tc>
          <w:tcPr>
            <w:tcW w:w="2126" w:type="dxa"/>
            <w:shd w:val="clear" w:color="auto" w:fill="auto"/>
          </w:tcPr>
          <w:p w:rsidR="00B77262" w:rsidRPr="00CE7ECA" w:rsidRDefault="00006881" w:rsidP="00F22318">
            <w:pPr>
              <w:pStyle w:val="TableHeading"/>
            </w:pPr>
            <w:r w:rsidRPr="00CE7ECA">
              <w:t xml:space="preserve">Weighted effective </w:t>
            </w:r>
            <w:r w:rsidR="00B77262" w:rsidRPr="00CE7ECA">
              <w:t>EMP price calculation</w:t>
            </w:r>
          </w:p>
        </w:tc>
      </w:tr>
      <w:tr w:rsidR="00B77262" w:rsidRPr="00CE7ECA" w:rsidTr="003543E0">
        <w:tc>
          <w:tcPr>
            <w:tcW w:w="993" w:type="dxa"/>
            <w:vAlign w:val="center"/>
          </w:tcPr>
          <w:p w:rsidR="00B77262" w:rsidRPr="00CE7ECA" w:rsidRDefault="00B77262" w:rsidP="00F22318">
            <w:pPr>
              <w:tabs>
                <w:tab w:val="left" w:pos="416"/>
                <w:tab w:val="left" w:pos="582"/>
              </w:tabs>
              <w:spacing w:before="20" w:after="20"/>
              <w:rPr>
                <w:rFonts w:ascii="Arial Narrow" w:hAnsi="Arial Narrow"/>
                <w:sz w:val="20"/>
                <w:szCs w:val="20"/>
              </w:rPr>
            </w:pPr>
            <w:r w:rsidRPr="00CE7ECA">
              <w:rPr>
                <w:rFonts w:ascii="Arial Narrow" w:hAnsi="Arial Narrow"/>
                <w:sz w:val="20"/>
                <w:szCs w:val="20"/>
              </w:rPr>
              <w:t>ALK</w:t>
            </w:r>
          </w:p>
        </w:tc>
        <w:tc>
          <w:tcPr>
            <w:tcW w:w="1559" w:type="dxa"/>
            <w:vAlign w:val="bottom"/>
          </w:tcPr>
          <w:p w:rsidR="00B77262" w:rsidRPr="00CE7ECA" w:rsidRDefault="00B77262" w:rsidP="00F22318">
            <w:pPr>
              <w:tabs>
                <w:tab w:val="left" w:pos="416"/>
                <w:tab w:val="left" w:pos="582"/>
              </w:tabs>
              <w:spacing w:before="20" w:after="20"/>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c>
          <w:tcPr>
            <w:tcW w:w="1559" w:type="dxa"/>
          </w:tcPr>
          <w:p w:rsidR="00B77262" w:rsidRPr="00CE7ECA" w:rsidRDefault="00291DED" w:rsidP="00F22318">
            <w:pPr>
              <w:tabs>
                <w:tab w:val="left" w:pos="416"/>
                <w:tab w:val="left" w:pos="582"/>
              </w:tabs>
              <w:spacing w:before="20" w:after="20"/>
              <w:rPr>
                <w:rFonts w:ascii="Arial Narrow" w:hAnsi="Arial Narrow"/>
                <w:sz w:val="20"/>
                <w:szCs w:val="20"/>
              </w:rPr>
            </w:pPr>
            <w:r>
              <w:rPr>
                <w:rFonts w:ascii="Arial Narrow" w:hAnsi="Arial Narrow"/>
                <w:noProof/>
                <w:color w:val="000000"/>
                <w:sz w:val="20"/>
                <w:szCs w:val="20"/>
                <w:highlight w:val="black"/>
              </w:rPr>
              <w:t>''''''''''''''</w:t>
            </w:r>
            <w:r w:rsidR="00B77262" w:rsidRPr="00CE7ECA">
              <w:rPr>
                <w:rFonts w:ascii="Arial Narrow" w:hAnsi="Arial Narrow"/>
                <w:sz w:val="20"/>
                <w:szCs w:val="20"/>
              </w:rPr>
              <w:t>%</w:t>
            </w:r>
          </w:p>
        </w:tc>
        <w:tc>
          <w:tcPr>
            <w:tcW w:w="1559" w:type="dxa"/>
            <w:vAlign w:val="center"/>
          </w:tcPr>
          <w:p w:rsidR="00B77262" w:rsidRPr="00CE7ECA" w:rsidRDefault="00291DED" w:rsidP="009C45FD">
            <w:pPr>
              <w:tabs>
                <w:tab w:val="left" w:pos="416"/>
                <w:tab w:val="left" w:pos="582"/>
              </w:tabs>
              <w:spacing w:before="20" w:after="20"/>
              <w:rPr>
                <w:rFonts w:ascii="Arial Narrow" w:hAnsi="Arial Narrow"/>
                <w:sz w:val="20"/>
                <w:szCs w:val="20"/>
              </w:rPr>
            </w:pPr>
            <w:r>
              <w:rPr>
                <w:rFonts w:ascii="Arial Narrow" w:hAnsi="Arial Narrow"/>
                <w:noProof/>
                <w:color w:val="000000"/>
                <w:sz w:val="20"/>
                <w:szCs w:val="20"/>
                <w:highlight w:val="black"/>
              </w:rPr>
              <w:t>''''''</w:t>
            </w:r>
            <w:r w:rsidR="00B77262" w:rsidRPr="00CE7ECA">
              <w:rPr>
                <w:rFonts w:ascii="Arial Narrow" w:hAnsi="Arial Narrow"/>
                <w:sz w:val="20"/>
                <w:szCs w:val="20"/>
              </w:rPr>
              <w:t>%</w:t>
            </w:r>
          </w:p>
        </w:tc>
        <w:tc>
          <w:tcPr>
            <w:tcW w:w="1276" w:type="dxa"/>
            <w:vAlign w:val="center"/>
          </w:tcPr>
          <w:p w:rsidR="00B77262" w:rsidRPr="00CE7ECA" w:rsidRDefault="00B77262" w:rsidP="00F22318">
            <w:pPr>
              <w:tabs>
                <w:tab w:val="left" w:pos="416"/>
                <w:tab w:val="left" w:pos="582"/>
              </w:tabs>
              <w:spacing w:before="20" w:after="20"/>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r w:rsidRPr="00CE7ECA">
              <w:rPr>
                <w:rFonts w:ascii="Arial Narrow" w:hAnsi="Arial Narrow"/>
                <w:sz w:val="20"/>
                <w:szCs w:val="20"/>
              </w:rPr>
              <w:t xml:space="preserve"> </w:t>
            </w:r>
          </w:p>
        </w:tc>
        <w:tc>
          <w:tcPr>
            <w:tcW w:w="2126" w:type="dxa"/>
            <w:vAlign w:val="center"/>
          </w:tcPr>
          <w:p w:rsidR="00B77262" w:rsidRPr="00CE7ECA" w:rsidRDefault="00B77262" w:rsidP="00F22318">
            <w:pPr>
              <w:tabs>
                <w:tab w:val="left" w:pos="416"/>
                <w:tab w:val="left" w:pos="582"/>
              </w:tabs>
              <w:spacing w:before="20" w:after="20"/>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r w:rsidR="00872A65" w:rsidRPr="00CE7ECA">
              <w:rPr>
                <w:rFonts w:ascii="Arial Narrow" w:hAnsi="Arial Narrow"/>
                <w:sz w:val="20"/>
                <w:szCs w:val="20"/>
                <w:vertAlign w:val="superscript"/>
              </w:rPr>
              <w:t>a</w:t>
            </w:r>
          </w:p>
        </w:tc>
      </w:tr>
      <w:tr w:rsidR="00B77262" w:rsidRPr="00CE7ECA" w:rsidTr="003543E0">
        <w:tc>
          <w:tcPr>
            <w:tcW w:w="993" w:type="dxa"/>
            <w:vAlign w:val="center"/>
          </w:tcPr>
          <w:p w:rsidR="00B77262" w:rsidRPr="00CE7ECA" w:rsidRDefault="00B77262" w:rsidP="00F22318">
            <w:pPr>
              <w:tabs>
                <w:tab w:val="left" w:pos="416"/>
                <w:tab w:val="left" w:pos="582"/>
              </w:tabs>
              <w:spacing w:before="20" w:after="20"/>
              <w:rPr>
                <w:rFonts w:ascii="Arial Narrow" w:hAnsi="Arial Narrow"/>
                <w:sz w:val="20"/>
                <w:szCs w:val="20"/>
              </w:rPr>
            </w:pPr>
            <w:r w:rsidRPr="00CE7ECA">
              <w:rPr>
                <w:rFonts w:ascii="Arial Narrow" w:hAnsi="Arial Narrow"/>
                <w:sz w:val="20"/>
                <w:szCs w:val="20"/>
              </w:rPr>
              <w:t>ROS1</w:t>
            </w:r>
          </w:p>
        </w:tc>
        <w:tc>
          <w:tcPr>
            <w:tcW w:w="1559" w:type="dxa"/>
            <w:vAlign w:val="bottom"/>
          </w:tcPr>
          <w:p w:rsidR="00B77262" w:rsidRPr="00CE7ECA" w:rsidRDefault="00B77262" w:rsidP="00F22318">
            <w:pPr>
              <w:tabs>
                <w:tab w:val="left" w:pos="416"/>
                <w:tab w:val="left" w:pos="582"/>
              </w:tabs>
              <w:spacing w:before="20" w:after="20"/>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p>
        </w:tc>
        <w:tc>
          <w:tcPr>
            <w:tcW w:w="1559" w:type="dxa"/>
          </w:tcPr>
          <w:p w:rsidR="00B77262" w:rsidRPr="00CE7ECA" w:rsidRDefault="00291DED" w:rsidP="00F22318">
            <w:pPr>
              <w:tabs>
                <w:tab w:val="left" w:pos="416"/>
                <w:tab w:val="left" w:pos="582"/>
              </w:tabs>
              <w:spacing w:before="20" w:after="20"/>
              <w:rPr>
                <w:rFonts w:ascii="Arial Narrow" w:hAnsi="Arial Narrow"/>
                <w:sz w:val="20"/>
                <w:szCs w:val="20"/>
              </w:rPr>
            </w:pPr>
            <w:r>
              <w:rPr>
                <w:rFonts w:ascii="Arial Narrow" w:hAnsi="Arial Narrow"/>
                <w:noProof/>
                <w:color w:val="000000"/>
                <w:sz w:val="20"/>
                <w:szCs w:val="20"/>
                <w:highlight w:val="black"/>
              </w:rPr>
              <w:t>'''''''''''''</w:t>
            </w:r>
            <w:r w:rsidR="00B77262" w:rsidRPr="00CE7ECA">
              <w:rPr>
                <w:rFonts w:ascii="Arial Narrow" w:hAnsi="Arial Narrow"/>
                <w:sz w:val="20"/>
                <w:szCs w:val="20"/>
              </w:rPr>
              <w:t>%</w:t>
            </w:r>
          </w:p>
        </w:tc>
        <w:tc>
          <w:tcPr>
            <w:tcW w:w="1559" w:type="dxa"/>
            <w:vAlign w:val="center"/>
          </w:tcPr>
          <w:p w:rsidR="00B77262" w:rsidRPr="00CE7ECA" w:rsidRDefault="00291DED" w:rsidP="009C45FD">
            <w:pPr>
              <w:tabs>
                <w:tab w:val="left" w:pos="416"/>
                <w:tab w:val="left" w:pos="582"/>
              </w:tabs>
              <w:spacing w:before="20" w:after="20"/>
              <w:rPr>
                <w:rFonts w:ascii="Arial Narrow" w:hAnsi="Arial Narrow"/>
                <w:sz w:val="20"/>
                <w:szCs w:val="20"/>
              </w:rPr>
            </w:pPr>
            <w:r>
              <w:rPr>
                <w:rFonts w:ascii="Arial Narrow" w:hAnsi="Arial Narrow"/>
                <w:noProof/>
                <w:color w:val="000000"/>
                <w:sz w:val="20"/>
                <w:szCs w:val="20"/>
                <w:highlight w:val="black"/>
              </w:rPr>
              <w:t>''''''</w:t>
            </w:r>
            <w:r w:rsidR="00B77262" w:rsidRPr="00CE7ECA">
              <w:rPr>
                <w:rFonts w:ascii="Arial Narrow" w:hAnsi="Arial Narrow"/>
                <w:sz w:val="20"/>
                <w:szCs w:val="20"/>
              </w:rPr>
              <w:t>%</w:t>
            </w:r>
          </w:p>
        </w:tc>
        <w:tc>
          <w:tcPr>
            <w:tcW w:w="1276" w:type="dxa"/>
            <w:vAlign w:val="center"/>
          </w:tcPr>
          <w:p w:rsidR="00B77262" w:rsidRPr="00CE7ECA" w:rsidRDefault="00B77262" w:rsidP="00F22318">
            <w:pPr>
              <w:tabs>
                <w:tab w:val="left" w:pos="416"/>
                <w:tab w:val="left" w:pos="582"/>
              </w:tabs>
              <w:spacing w:before="20" w:after="20"/>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w:t>
            </w:r>
            <w:r w:rsidRPr="00CE7ECA">
              <w:rPr>
                <w:rFonts w:ascii="Arial Narrow" w:hAnsi="Arial Narrow"/>
                <w:sz w:val="20"/>
                <w:szCs w:val="20"/>
              </w:rPr>
              <w:t xml:space="preserve"> </w:t>
            </w:r>
          </w:p>
        </w:tc>
        <w:tc>
          <w:tcPr>
            <w:tcW w:w="2126" w:type="dxa"/>
            <w:vAlign w:val="center"/>
          </w:tcPr>
          <w:p w:rsidR="00B77262" w:rsidRPr="00CE7ECA" w:rsidRDefault="00B77262" w:rsidP="00F22318">
            <w:pPr>
              <w:tabs>
                <w:tab w:val="left" w:pos="416"/>
                <w:tab w:val="left" w:pos="582"/>
              </w:tabs>
              <w:spacing w:before="20" w:after="20"/>
              <w:rPr>
                <w:rFonts w:ascii="Arial Narrow" w:hAnsi="Arial Narrow"/>
                <w:sz w:val="20"/>
                <w:szCs w:val="20"/>
              </w:rPr>
            </w:pPr>
            <w:r w:rsidRPr="00CE7ECA">
              <w:rPr>
                <w:rFonts w:ascii="Arial Narrow" w:hAnsi="Arial Narrow"/>
                <w:sz w:val="20"/>
                <w:szCs w:val="20"/>
              </w:rPr>
              <w:t>$</w:t>
            </w:r>
            <w:r w:rsidR="00291DED">
              <w:rPr>
                <w:rFonts w:ascii="Arial Narrow" w:hAnsi="Arial Narrow"/>
                <w:noProof/>
                <w:color w:val="000000"/>
                <w:sz w:val="20"/>
                <w:szCs w:val="20"/>
                <w:highlight w:val="black"/>
              </w:rPr>
              <w:t xml:space="preserve">''''''''''''''''''''' </w:t>
            </w:r>
          </w:p>
        </w:tc>
      </w:tr>
      <w:tr w:rsidR="009C45FD" w:rsidRPr="00CE7ECA" w:rsidTr="003543E0">
        <w:tc>
          <w:tcPr>
            <w:tcW w:w="993" w:type="dxa"/>
            <w:vAlign w:val="center"/>
          </w:tcPr>
          <w:p w:rsidR="009C45FD" w:rsidRPr="00CE7ECA" w:rsidRDefault="009C45FD" w:rsidP="00206672">
            <w:pPr>
              <w:pStyle w:val="TableText0"/>
              <w:spacing w:before="0" w:after="0"/>
              <w:rPr>
                <w:b/>
                <w:szCs w:val="20"/>
              </w:rPr>
            </w:pPr>
            <w:r w:rsidRPr="00CE7ECA">
              <w:rPr>
                <w:b/>
                <w:szCs w:val="20"/>
              </w:rPr>
              <w:t>Total</w:t>
            </w:r>
          </w:p>
        </w:tc>
        <w:tc>
          <w:tcPr>
            <w:tcW w:w="5953" w:type="dxa"/>
            <w:gridSpan w:val="4"/>
            <w:vAlign w:val="center"/>
          </w:tcPr>
          <w:p w:rsidR="009C45FD" w:rsidRPr="00CE7ECA" w:rsidRDefault="009C45FD" w:rsidP="00206672">
            <w:pPr>
              <w:pStyle w:val="TableText0"/>
              <w:spacing w:before="0" w:after="0"/>
              <w:rPr>
                <w:szCs w:val="20"/>
              </w:rPr>
            </w:pPr>
          </w:p>
        </w:tc>
        <w:tc>
          <w:tcPr>
            <w:tcW w:w="2126" w:type="dxa"/>
            <w:vAlign w:val="center"/>
          </w:tcPr>
          <w:p w:rsidR="009C45FD" w:rsidRPr="00CE7ECA" w:rsidRDefault="009C45FD" w:rsidP="00206672">
            <w:pPr>
              <w:pStyle w:val="TableText0"/>
              <w:spacing w:before="0" w:after="0"/>
              <w:rPr>
                <w:b/>
                <w:szCs w:val="20"/>
              </w:rPr>
            </w:pPr>
            <w:r w:rsidRPr="00CE7ECA">
              <w:rPr>
                <w:b/>
                <w:szCs w:val="20"/>
              </w:rPr>
              <w:t>AEMP: $</w:t>
            </w:r>
            <w:r w:rsidR="00291DED">
              <w:rPr>
                <w:b/>
                <w:noProof/>
                <w:color w:val="000000"/>
                <w:szCs w:val="20"/>
                <w:highlight w:val="black"/>
              </w:rPr>
              <w:t>''''''''''''''''''</w:t>
            </w:r>
          </w:p>
          <w:p w:rsidR="009C45FD" w:rsidRPr="00CE7ECA" w:rsidRDefault="009C45FD" w:rsidP="00206672">
            <w:pPr>
              <w:pStyle w:val="TableText0"/>
              <w:spacing w:before="0" w:after="0"/>
              <w:rPr>
                <w:b/>
                <w:szCs w:val="20"/>
              </w:rPr>
            </w:pPr>
            <w:r w:rsidRPr="00CE7ECA">
              <w:rPr>
                <w:b/>
                <w:szCs w:val="20"/>
              </w:rPr>
              <w:t>DPMQ: $</w:t>
            </w:r>
            <w:r w:rsidR="00291DED">
              <w:rPr>
                <w:b/>
                <w:noProof/>
                <w:color w:val="000000"/>
                <w:szCs w:val="20"/>
                <w:highlight w:val="black"/>
              </w:rPr>
              <w:t>'''''''''''''''''''</w:t>
            </w:r>
            <w:r w:rsidRPr="00CE7ECA">
              <w:rPr>
                <w:b/>
                <w:szCs w:val="20"/>
              </w:rPr>
              <w:t xml:space="preserve"> </w:t>
            </w:r>
          </w:p>
        </w:tc>
      </w:tr>
    </w:tbl>
    <w:p w:rsidR="00872A65" w:rsidRPr="00CE7ECA" w:rsidRDefault="00872A65" w:rsidP="009C45FD">
      <w:pPr>
        <w:rPr>
          <w:rFonts w:ascii="Arial Narrow" w:eastAsiaTheme="minorHAnsi" w:hAnsi="Arial Narrow" w:cstheme="minorBidi"/>
          <w:sz w:val="18"/>
          <w:szCs w:val="18"/>
        </w:rPr>
      </w:pPr>
      <w:r w:rsidRPr="00CE7ECA">
        <w:rPr>
          <w:rFonts w:ascii="Arial Narrow" w:eastAsiaTheme="minorHAnsi" w:hAnsi="Arial Narrow" w:cstheme="minorBidi"/>
          <w:sz w:val="18"/>
          <w:szCs w:val="18"/>
          <w:vertAlign w:val="superscript"/>
        </w:rPr>
        <w:t xml:space="preserve">a </w:t>
      </w:r>
      <w:r w:rsidRPr="00CE7ECA">
        <w:rPr>
          <w:rFonts w:ascii="Arial Narrow" w:eastAsiaTheme="minorHAnsi" w:hAnsi="Arial Narrow" w:cstheme="minorBidi"/>
          <w:sz w:val="18"/>
          <w:szCs w:val="18"/>
        </w:rPr>
        <w:t>This figure was incorrect in the table provided in the minor resubmission. The correct figure from the accompanying spreadsheet has been verified and presented here instead.</w:t>
      </w:r>
    </w:p>
    <w:p w:rsidR="00B77262" w:rsidRPr="00CE7ECA" w:rsidRDefault="009C45FD" w:rsidP="009C45FD">
      <w:pPr>
        <w:rPr>
          <w:rFonts w:ascii="Arial Narrow" w:eastAsiaTheme="minorHAnsi" w:hAnsi="Arial Narrow" w:cstheme="minorBidi"/>
          <w:sz w:val="18"/>
          <w:szCs w:val="18"/>
        </w:rPr>
      </w:pPr>
      <w:r w:rsidRPr="00CE7ECA">
        <w:rPr>
          <w:rFonts w:ascii="Arial Narrow" w:eastAsiaTheme="minorHAnsi" w:hAnsi="Arial Narrow" w:cstheme="minorBidi"/>
          <w:sz w:val="18"/>
          <w:szCs w:val="18"/>
        </w:rPr>
        <w:t>Source: Table 3, p11 of the minor resubmission</w:t>
      </w:r>
    </w:p>
    <w:p w:rsidR="009C45FD" w:rsidRPr="00CE7ECA" w:rsidRDefault="00006881" w:rsidP="009C45FD">
      <w:pPr>
        <w:rPr>
          <w:rFonts w:ascii="Arial Narrow" w:eastAsiaTheme="minorHAnsi" w:hAnsi="Arial Narrow" w:cstheme="minorBidi"/>
          <w:sz w:val="18"/>
          <w:szCs w:val="18"/>
        </w:rPr>
      </w:pPr>
      <w:r w:rsidRPr="00CE7ECA">
        <w:rPr>
          <w:rFonts w:ascii="Arial Narrow" w:eastAsiaTheme="minorHAnsi" w:hAnsi="Arial Narrow" w:cstheme="minorBidi"/>
          <w:sz w:val="18"/>
          <w:szCs w:val="18"/>
        </w:rPr>
        <w:t xml:space="preserve">ALK = anaplastic lymphoma kinase; DPMQ = dispensed price for maximum quantity; </w:t>
      </w:r>
      <w:r w:rsidR="009C45FD" w:rsidRPr="00CE7ECA">
        <w:rPr>
          <w:rFonts w:ascii="Arial Narrow" w:eastAsiaTheme="minorHAnsi" w:hAnsi="Arial Narrow" w:cstheme="minorBidi"/>
          <w:sz w:val="18"/>
          <w:szCs w:val="18"/>
        </w:rPr>
        <w:t xml:space="preserve">EMP = ex-manufacturer price; ROS1 = </w:t>
      </w:r>
      <w:r w:rsidR="003B34C2" w:rsidRPr="00CE7ECA">
        <w:rPr>
          <w:rFonts w:ascii="Arial Narrow" w:eastAsiaTheme="minorHAnsi" w:hAnsi="Arial Narrow" w:cstheme="minorBidi"/>
          <w:sz w:val="18"/>
          <w:szCs w:val="18"/>
        </w:rPr>
        <w:t>c-</w:t>
      </w:r>
      <w:r w:rsidR="00C43A1A" w:rsidRPr="00CE7ECA">
        <w:rPr>
          <w:rFonts w:ascii="Arial Narrow" w:eastAsiaTheme="minorHAnsi" w:hAnsi="Arial Narrow" w:cstheme="minorBidi"/>
          <w:sz w:val="18"/>
          <w:szCs w:val="18"/>
        </w:rPr>
        <w:t>ROS proto-oncogene 1</w:t>
      </w:r>
    </w:p>
    <w:p w:rsidR="009C45FD" w:rsidRPr="00CE7ECA" w:rsidRDefault="009C45FD" w:rsidP="009C45FD">
      <w:pPr>
        <w:rPr>
          <w:rFonts w:ascii="Arial Narrow" w:eastAsiaTheme="minorHAnsi" w:hAnsi="Arial Narrow" w:cstheme="minorBidi"/>
          <w:sz w:val="18"/>
          <w:szCs w:val="18"/>
        </w:rPr>
      </w:pPr>
    </w:p>
    <w:p w:rsidR="00D528BF" w:rsidRPr="009D5628" w:rsidRDefault="009C45FD" w:rsidP="00730E38">
      <w:pPr>
        <w:pStyle w:val="ListParagraph"/>
        <w:widowControl/>
        <w:numPr>
          <w:ilvl w:val="1"/>
          <w:numId w:val="1"/>
        </w:numPr>
        <w:spacing w:after="120"/>
        <w:contextualSpacing w:val="0"/>
        <w:rPr>
          <w:rFonts w:asciiTheme="minorHAnsi" w:hAnsiTheme="minorHAnsi"/>
          <w:szCs w:val="22"/>
        </w:rPr>
      </w:pPr>
      <w:r w:rsidRPr="00CE7ECA">
        <w:rPr>
          <w:rFonts w:asciiTheme="minorHAnsi" w:eastAsiaTheme="minorHAnsi" w:hAnsiTheme="minorHAnsi" w:cstheme="minorBidi"/>
          <w:snapToGrid/>
          <w:sz w:val="24"/>
          <w:szCs w:val="22"/>
        </w:rPr>
        <w:t>The weighted average effective AEMP and DPMQ of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and $</w:t>
      </w:r>
      <w:r w:rsidR="00291DED">
        <w:rPr>
          <w:rFonts w:asciiTheme="minorHAnsi" w:eastAsiaTheme="minorHAnsi" w:hAnsiTheme="minorHAnsi" w:cstheme="minorBidi"/>
          <w:noProof/>
          <w:snapToGrid/>
          <w:color w:val="000000"/>
          <w:sz w:val="24"/>
          <w:szCs w:val="22"/>
          <w:highlight w:val="black"/>
        </w:rPr>
        <w:t>''''''''''''''''</w:t>
      </w:r>
      <w:r w:rsidRPr="00CE7ECA">
        <w:rPr>
          <w:rFonts w:asciiTheme="minorHAnsi" w:eastAsiaTheme="minorHAnsi" w:hAnsiTheme="minorHAnsi" w:cstheme="minorBidi"/>
          <w:snapToGrid/>
          <w:sz w:val="24"/>
          <w:szCs w:val="22"/>
        </w:rPr>
        <w:t xml:space="preserve">, respectively across the two settings represented a </w:t>
      </w:r>
      <w:r w:rsidR="00291DED">
        <w:rPr>
          <w:rFonts w:asciiTheme="minorHAnsi" w:eastAsiaTheme="minorHAnsi" w:hAnsiTheme="minorHAnsi" w:cstheme="minorBidi"/>
          <w:noProof/>
          <w:snapToGrid/>
          <w:color w:val="000000"/>
          <w:sz w:val="24"/>
          <w:szCs w:val="22"/>
          <w:highlight w:val="black"/>
        </w:rPr>
        <w:t>'''''''''</w:t>
      </w:r>
      <w:r w:rsidRPr="00F307FF">
        <w:rPr>
          <w:rFonts w:asciiTheme="minorHAnsi" w:eastAsiaTheme="minorHAnsi" w:hAnsiTheme="minorHAnsi" w:cstheme="minorBidi"/>
          <w:snapToGrid/>
          <w:sz w:val="24"/>
          <w:szCs w:val="22"/>
        </w:rPr>
        <w:t>% price</w:t>
      </w:r>
      <w:r w:rsidRPr="00CE7ECA">
        <w:rPr>
          <w:rFonts w:asciiTheme="minorHAnsi" w:eastAsiaTheme="minorHAnsi" w:hAnsiTheme="minorHAnsi" w:cstheme="minorBidi"/>
          <w:snapToGrid/>
          <w:sz w:val="24"/>
          <w:szCs w:val="22"/>
        </w:rPr>
        <w:t xml:space="preserve"> reduction compared with the current </w:t>
      </w:r>
      <w:r w:rsidR="00872A65" w:rsidRPr="00CE7ECA">
        <w:rPr>
          <w:rFonts w:asciiTheme="minorHAnsi" w:eastAsiaTheme="minorHAnsi" w:hAnsiTheme="minorHAnsi" w:cstheme="minorBidi"/>
          <w:snapToGrid/>
          <w:sz w:val="24"/>
          <w:szCs w:val="22"/>
        </w:rPr>
        <w:t xml:space="preserve">published </w:t>
      </w:r>
      <w:r w:rsidRPr="00CE7ECA">
        <w:rPr>
          <w:rFonts w:asciiTheme="minorHAnsi" w:eastAsiaTheme="minorHAnsi" w:hAnsiTheme="minorHAnsi" w:cstheme="minorBidi"/>
          <w:snapToGrid/>
          <w:sz w:val="24"/>
          <w:szCs w:val="22"/>
        </w:rPr>
        <w:t>AEMP for crizotinib in the ALK-positive setting.</w:t>
      </w:r>
    </w:p>
    <w:p w:rsidR="00EE1D53" w:rsidRPr="00C3026B" w:rsidRDefault="009D5628" w:rsidP="00C3026B">
      <w:pPr>
        <w:pStyle w:val="BodyText2"/>
        <w:spacing w:after="120"/>
        <w:ind w:firstLine="720"/>
        <w:rPr>
          <w:rFonts w:asciiTheme="minorHAnsi" w:eastAsiaTheme="minorHAnsi" w:hAnsiTheme="minorHAnsi" w:cstheme="minorHAnsi"/>
          <w:i/>
          <w:snapToGrid/>
          <w:sz w:val="24"/>
        </w:rPr>
      </w:pPr>
      <w:r w:rsidRPr="00C3026B">
        <w:rPr>
          <w:rFonts w:asciiTheme="minorHAnsi" w:eastAsiaTheme="minorHAnsi" w:hAnsiTheme="minorHAnsi" w:cstheme="minorHAnsi"/>
          <w:i/>
          <w:snapToGrid/>
          <w:sz w:val="24"/>
        </w:rPr>
        <w:t>For more detail on PBAC’s view, see Section 6 PBAC outcome.</w:t>
      </w:r>
    </w:p>
    <w:p w:rsidR="00EE1D53" w:rsidRPr="00EE1D53" w:rsidRDefault="009F1A55" w:rsidP="00730E38">
      <w:pPr>
        <w:pStyle w:val="PBACHeading1"/>
        <w:spacing w:before="240" w:after="120"/>
        <w:rPr>
          <w:rFonts w:asciiTheme="minorHAnsi" w:hAnsiTheme="minorHAnsi"/>
          <w:sz w:val="32"/>
          <w:szCs w:val="32"/>
        </w:rPr>
      </w:pPr>
      <w:r w:rsidRPr="00CE7ECA">
        <w:rPr>
          <w:rFonts w:asciiTheme="minorHAnsi" w:hAnsiTheme="minorHAnsi"/>
          <w:sz w:val="32"/>
          <w:szCs w:val="32"/>
        </w:rPr>
        <w:t>PBAC Outcome</w:t>
      </w:r>
    </w:p>
    <w:p w:rsidR="005B7610" w:rsidRPr="00CE7ECA" w:rsidRDefault="005B7610"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PBAC recommended the listing of crizotinib for the treatment of ROS1</w:t>
      </w:r>
      <w:r w:rsidR="003A21A9" w:rsidRPr="00CE7ECA">
        <w:rPr>
          <w:rFonts w:asciiTheme="minorHAnsi" w:eastAsiaTheme="minorHAnsi" w:hAnsiTheme="minorHAnsi" w:cstheme="minorBidi"/>
          <w:snapToGrid/>
          <w:sz w:val="24"/>
          <w:szCs w:val="22"/>
        </w:rPr>
        <w:t>-</w:t>
      </w:r>
      <w:r w:rsidRPr="00CE7ECA">
        <w:rPr>
          <w:rFonts w:asciiTheme="minorHAnsi" w:eastAsiaTheme="minorHAnsi" w:hAnsiTheme="minorHAnsi" w:cstheme="minorBidi"/>
          <w:snapToGrid/>
          <w:sz w:val="24"/>
          <w:szCs w:val="22"/>
        </w:rPr>
        <w:t xml:space="preserve">positive </w:t>
      </w:r>
      <w:r w:rsidR="004F5534" w:rsidRPr="00CE7ECA">
        <w:rPr>
          <w:rFonts w:ascii="Calibri" w:eastAsiaTheme="minorHAnsi" w:hAnsi="Calibri" w:cstheme="minorBidi"/>
          <w:snapToGrid/>
          <w:sz w:val="24"/>
          <w:szCs w:val="24"/>
        </w:rPr>
        <w:t xml:space="preserve">locally advanced (Stage IIIB) or metastatic (Stage IV) </w:t>
      </w:r>
      <w:r w:rsidRPr="00CE7ECA">
        <w:rPr>
          <w:rFonts w:asciiTheme="minorHAnsi" w:eastAsiaTheme="minorHAnsi" w:hAnsiTheme="minorHAnsi" w:cstheme="minorBidi"/>
          <w:snapToGrid/>
          <w:sz w:val="24"/>
          <w:szCs w:val="22"/>
        </w:rPr>
        <w:t xml:space="preserve">non-small cell lung cancer (NSCLC). In making this recommendation, </w:t>
      </w:r>
      <w:r w:rsidR="00880D97" w:rsidRPr="00CE7ECA">
        <w:rPr>
          <w:rFonts w:asciiTheme="minorHAnsi" w:eastAsiaTheme="minorHAnsi" w:hAnsiTheme="minorHAnsi" w:cstheme="minorBidi"/>
          <w:snapToGrid/>
          <w:sz w:val="24"/>
          <w:szCs w:val="22"/>
        </w:rPr>
        <w:t xml:space="preserve">the PBAC acknowledged that there is a high unmet clinical need in the small proposed population (approximately </w:t>
      </w:r>
      <w:r w:rsidR="00291DED">
        <w:rPr>
          <w:rFonts w:asciiTheme="minorHAnsi" w:eastAsiaTheme="minorHAnsi" w:hAnsiTheme="minorHAnsi" w:cstheme="minorBidi"/>
          <w:noProof/>
          <w:snapToGrid/>
          <w:color w:val="000000"/>
          <w:sz w:val="24"/>
          <w:szCs w:val="22"/>
          <w:highlight w:val="black"/>
        </w:rPr>
        <w:t>'''''</w:t>
      </w:r>
      <w:r w:rsidR="00880D97" w:rsidRPr="00CE7ECA">
        <w:rPr>
          <w:rFonts w:asciiTheme="minorHAnsi" w:eastAsiaTheme="minorHAnsi" w:hAnsiTheme="minorHAnsi" w:cstheme="minorBidi"/>
          <w:snapToGrid/>
          <w:sz w:val="24"/>
          <w:szCs w:val="22"/>
        </w:rPr>
        <w:t xml:space="preserve"> patients per year, 1.6% of all patients with NSCLC), and recalled that this submission was the result of an invitation from the PBAC to the sponsor for a submission for this rare cancer population. Further, the PBAC advised that crizotinib’s effectiveness and </w:t>
      </w:r>
      <w:r w:rsidR="00880D97" w:rsidRPr="00CE7ECA">
        <w:rPr>
          <w:rFonts w:asciiTheme="minorHAnsi" w:eastAsiaTheme="minorHAnsi" w:hAnsiTheme="minorHAnsi" w:cstheme="minorBidi"/>
          <w:snapToGrid/>
          <w:sz w:val="24"/>
          <w:szCs w:val="22"/>
        </w:rPr>
        <w:lastRenderedPageBreak/>
        <w:t xml:space="preserve">safety profile in the ROS1-positive NSCLC population is </w:t>
      </w:r>
      <w:r w:rsidR="004252A6" w:rsidRPr="00CE7ECA">
        <w:rPr>
          <w:rFonts w:asciiTheme="minorHAnsi" w:eastAsiaTheme="minorHAnsi" w:hAnsiTheme="minorHAnsi" w:cstheme="minorBidi"/>
          <w:snapToGrid/>
          <w:sz w:val="24"/>
          <w:szCs w:val="22"/>
        </w:rPr>
        <w:t xml:space="preserve">likely to be </w:t>
      </w:r>
      <w:r w:rsidR="00880D97" w:rsidRPr="00CE7ECA">
        <w:rPr>
          <w:rFonts w:asciiTheme="minorHAnsi" w:eastAsiaTheme="minorHAnsi" w:hAnsiTheme="minorHAnsi" w:cstheme="minorBidi"/>
          <w:snapToGrid/>
          <w:sz w:val="24"/>
          <w:szCs w:val="22"/>
        </w:rPr>
        <w:t>similar to that in the ALK-positive NSCLC population, for which it is already PBS listed.</w:t>
      </w:r>
      <w:r w:rsidRPr="00CE7ECA">
        <w:rPr>
          <w:rFonts w:asciiTheme="minorHAnsi" w:eastAsiaTheme="minorHAnsi" w:hAnsiTheme="minorHAnsi" w:cstheme="minorBidi"/>
          <w:snapToGrid/>
          <w:sz w:val="24"/>
          <w:szCs w:val="22"/>
        </w:rPr>
        <w:t xml:space="preserve"> </w:t>
      </w:r>
    </w:p>
    <w:p w:rsidR="00D8623A" w:rsidRPr="00CE7ECA" w:rsidRDefault="00D8623A" w:rsidP="00730E38">
      <w:pPr>
        <w:pStyle w:val="ListParagraph"/>
        <w:numPr>
          <w:ilvl w:val="1"/>
          <w:numId w:val="1"/>
        </w:numPr>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w:t>
      </w:r>
      <w:r w:rsidR="00360119" w:rsidRPr="00CE7ECA">
        <w:rPr>
          <w:rFonts w:asciiTheme="minorHAnsi" w:eastAsiaTheme="minorHAnsi" w:hAnsiTheme="minorHAnsi" w:cstheme="minorBidi"/>
          <w:snapToGrid/>
          <w:sz w:val="24"/>
          <w:szCs w:val="22"/>
        </w:rPr>
        <w:t xml:space="preserve"> PBAC</w:t>
      </w:r>
      <w:r w:rsidRPr="00CE7ECA">
        <w:rPr>
          <w:rFonts w:asciiTheme="minorHAnsi" w:eastAsiaTheme="minorHAnsi" w:hAnsiTheme="minorHAnsi" w:cstheme="minorBidi"/>
          <w:snapToGrid/>
          <w:sz w:val="24"/>
          <w:szCs w:val="22"/>
        </w:rPr>
        <w:t xml:space="preserve"> noted that the MSAC had foreshadowed its support for a new MBS item for ROS1 FISH testing to inform eligibility for crizotinib treatment in this population (Public Summary Document, Application No. 1454, crizotinib, November 2017 MSAC meeting).</w:t>
      </w:r>
    </w:p>
    <w:p w:rsidR="009F1A55" w:rsidRPr="00CE7ECA" w:rsidRDefault="00D8623A" w:rsidP="00730E38">
      <w:pPr>
        <w:pStyle w:val="ListParagraph"/>
        <w:widowControl/>
        <w:numPr>
          <w:ilvl w:val="1"/>
          <w:numId w:val="1"/>
        </w:numPr>
        <w:spacing w:before="120"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PBAC recalled that it had foreshadowed its intention to recommend a listing agnostic to line of therapy (paragraph 7.3, November 2017 PBAC </w:t>
      </w:r>
      <w:r w:rsidR="008A6254">
        <w:rPr>
          <w:rFonts w:asciiTheme="minorHAnsi" w:eastAsiaTheme="minorHAnsi" w:hAnsiTheme="minorHAnsi" w:cstheme="minorBidi"/>
          <w:snapToGrid/>
          <w:sz w:val="24"/>
          <w:szCs w:val="22"/>
        </w:rPr>
        <w:t>PSD</w:t>
      </w:r>
      <w:r w:rsidRPr="00CE7ECA">
        <w:rPr>
          <w:rFonts w:asciiTheme="minorHAnsi" w:eastAsiaTheme="minorHAnsi" w:hAnsiTheme="minorHAnsi" w:cstheme="minorBidi"/>
          <w:snapToGrid/>
          <w:sz w:val="24"/>
          <w:szCs w:val="22"/>
        </w:rPr>
        <w:t xml:space="preserve">). </w:t>
      </w:r>
      <w:r w:rsidR="009F1A55" w:rsidRPr="00CE7ECA">
        <w:rPr>
          <w:rFonts w:asciiTheme="minorHAnsi" w:eastAsiaTheme="minorHAnsi" w:hAnsiTheme="minorHAnsi" w:cstheme="minorBidi"/>
          <w:snapToGrid/>
          <w:sz w:val="24"/>
          <w:szCs w:val="22"/>
        </w:rPr>
        <w:t xml:space="preserve">The PBAC </w:t>
      </w:r>
      <w:r w:rsidRPr="00CE7ECA">
        <w:rPr>
          <w:rFonts w:asciiTheme="minorHAnsi" w:eastAsiaTheme="minorHAnsi" w:hAnsiTheme="minorHAnsi" w:cstheme="minorBidi"/>
          <w:snapToGrid/>
          <w:sz w:val="24"/>
          <w:szCs w:val="22"/>
        </w:rPr>
        <w:t xml:space="preserve">therefore </w:t>
      </w:r>
      <w:r w:rsidR="009F1A55" w:rsidRPr="00CE7ECA">
        <w:rPr>
          <w:rFonts w:asciiTheme="minorHAnsi" w:eastAsiaTheme="minorHAnsi" w:hAnsiTheme="minorHAnsi" w:cstheme="minorBidi"/>
          <w:snapToGrid/>
          <w:sz w:val="24"/>
          <w:szCs w:val="22"/>
        </w:rPr>
        <w:t>advised that the restriction requested by the sponsor</w:t>
      </w:r>
      <w:r w:rsidRPr="00CE7ECA">
        <w:rPr>
          <w:rFonts w:asciiTheme="minorHAnsi" w:eastAsiaTheme="minorHAnsi" w:hAnsiTheme="minorHAnsi" w:cstheme="minorBidi"/>
          <w:snapToGrid/>
          <w:sz w:val="24"/>
          <w:szCs w:val="22"/>
        </w:rPr>
        <w:t xml:space="preserve"> in the resubmission</w:t>
      </w:r>
      <w:r w:rsidR="009F1A55" w:rsidRPr="00CE7ECA">
        <w:rPr>
          <w:rFonts w:asciiTheme="minorHAnsi" w:eastAsiaTheme="minorHAnsi" w:hAnsiTheme="minorHAnsi" w:cstheme="minorBidi"/>
          <w:snapToGrid/>
          <w:sz w:val="24"/>
          <w:szCs w:val="22"/>
        </w:rPr>
        <w:t xml:space="preserve">, with proposed changes by the Secretariat, </w:t>
      </w:r>
      <w:r w:rsidRPr="00CE7ECA">
        <w:rPr>
          <w:rFonts w:asciiTheme="minorHAnsi" w:eastAsiaTheme="minorHAnsi" w:hAnsiTheme="minorHAnsi" w:cstheme="minorBidi"/>
          <w:snapToGrid/>
          <w:sz w:val="24"/>
          <w:szCs w:val="22"/>
        </w:rPr>
        <w:t xml:space="preserve">was </w:t>
      </w:r>
      <w:r w:rsidR="009F1A55" w:rsidRPr="00CE7ECA">
        <w:rPr>
          <w:rFonts w:asciiTheme="minorHAnsi" w:eastAsiaTheme="minorHAnsi" w:hAnsiTheme="minorHAnsi" w:cstheme="minorBidi"/>
          <w:snapToGrid/>
          <w:sz w:val="24"/>
          <w:szCs w:val="22"/>
        </w:rPr>
        <w:t>appropriate.</w:t>
      </w:r>
    </w:p>
    <w:p w:rsidR="00E57FD2" w:rsidRPr="00CE7ECA" w:rsidRDefault="00E57FD2"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PBAC noted that the </w:t>
      </w:r>
      <w:r w:rsidR="00FF4215" w:rsidRPr="00CE7ECA">
        <w:rPr>
          <w:rFonts w:asciiTheme="minorHAnsi" w:eastAsiaTheme="minorHAnsi" w:hAnsiTheme="minorHAnsi" w:cstheme="minorBidi"/>
          <w:snapToGrid/>
          <w:sz w:val="24"/>
          <w:szCs w:val="22"/>
        </w:rPr>
        <w:t xml:space="preserve">minor </w:t>
      </w:r>
      <w:r w:rsidRPr="00CE7ECA">
        <w:rPr>
          <w:rFonts w:asciiTheme="minorHAnsi" w:eastAsiaTheme="minorHAnsi" w:hAnsiTheme="minorHAnsi" w:cstheme="minorBidi"/>
          <w:snapToGrid/>
          <w:sz w:val="24"/>
          <w:szCs w:val="22"/>
        </w:rPr>
        <w:t>resubmission proposed a grandfather restriction for patients accessing crizotinib through the sponsor’s compassionate access program, as well as those using crizotinib on a private prescription, for ROS1-positive NSCLC. The PBAC considered that the proposed grandfathering restriction was appropriate.</w:t>
      </w:r>
    </w:p>
    <w:p w:rsidR="009F1A55" w:rsidRPr="00CE7ECA" w:rsidRDefault="00E57FD2" w:rsidP="00730E38">
      <w:pPr>
        <w:pStyle w:val="ListParagraph"/>
        <w:widowControl/>
        <w:numPr>
          <w:ilvl w:val="1"/>
          <w:numId w:val="1"/>
        </w:numPr>
        <w:spacing w:before="120" w:after="16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PBAC noted that the mino</w:t>
      </w:r>
      <w:r w:rsidR="00C243F2" w:rsidRPr="00CE7ECA">
        <w:rPr>
          <w:rFonts w:asciiTheme="minorHAnsi" w:eastAsiaTheme="minorHAnsi" w:hAnsiTheme="minorHAnsi" w:cstheme="minorBidi"/>
          <w:snapToGrid/>
          <w:sz w:val="24"/>
          <w:szCs w:val="22"/>
        </w:rPr>
        <w:t>r submission did not present any</w:t>
      </w:r>
      <w:r w:rsidRPr="00CE7ECA">
        <w:rPr>
          <w:rFonts w:asciiTheme="minorHAnsi" w:eastAsiaTheme="minorHAnsi" w:hAnsiTheme="minorHAnsi" w:cstheme="minorBidi"/>
          <w:snapToGrid/>
          <w:sz w:val="24"/>
          <w:szCs w:val="22"/>
        </w:rPr>
        <w:t xml:space="preserve"> additional clinical evidence on the safety and effectiveness of crizotinib in the proposed PBS population. The PBAC recalled </w:t>
      </w:r>
      <w:r w:rsidR="006B5996" w:rsidRPr="00CE7ECA">
        <w:rPr>
          <w:rFonts w:asciiTheme="minorHAnsi" w:eastAsiaTheme="minorHAnsi" w:hAnsiTheme="minorHAnsi" w:cstheme="minorBidi"/>
          <w:snapToGrid/>
          <w:sz w:val="24"/>
          <w:szCs w:val="22"/>
        </w:rPr>
        <w:t xml:space="preserve">its previous advice that </w:t>
      </w:r>
      <w:r w:rsidR="009F1A55" w:rsidRPr="00CE7ECA">
        <w:rPr>
          <w:rFonts w:asciiTheme="minorHAnsi" w:eastAsiaTheme="minorHAnsi" w:hAnsiTheme="minorHAnsi" w:cstheme="minorBidi"/>
          <w:snapToGrid/>
          <w:sz w:val="24"/>
          <w:szCs w:val="22"/>
        </w:rPr>
        <w:t>the biases and the transitivity issues with the indirect comparison indicated that the incremental effectiveness of crizotinib over pemetrexed was overestimated in the submission</w:t>
      </w:r>
      <w:r w:rsidR="006B5996" w:rsidRPr="00CE7ECA">
        <w:rPr>
          <w:rFonts w:asciiTheme="minorHAnsi" w:eastAsiaTheme="minorHAnsi" w:hAnsiTheme="minorHAnsi" w:cstheme="minorBidi"/>
          <w:snapToGrid/>
          <w:sz w:val="24"/>
          <w:szCs w:val="22"/>
        </w:rPr>
        <w:t xml:space="preserve">. However, </w:t>
      </w:r>
      <w:r w:rsidR="009F1A55" w:rsidRPr="00CE7ECA">
        <w:rPr>
          <w:rFonts w:asciiTheme="minorHAnsi" w:eastAsiaTheme="minorHAnsi" w:hAnsiTheme="minorHAnsi" w:cstheme="minorBidi"/>
          <w:snapToGrid/>
          <w:sz w:val="24"/>
          <w:szCs w:val="22"/>
        </w:rPr>
        <w:t>the Committee was satisfied that the incremental effectiveness of crizotinib treatment in the ROS1-positive NSCLC population would be similar to that in the ALK-positive NSCLC population</w:t>
      </w:r>
      <w:r w:rsidR="006B5996" w:rsidRPr="00CE7ECA">
        <w:rPr>
          <w:rFonts w:asciiTheme="minorHAnsi" w:eastAsiaTheme="minorHAnsi" w:hAnsiTheme="minorHAnsi" w:cstheme="minorBidi"/>
          <w:snapToGrid/>
          <w:sz w:val="24"/>
          <w:szCs w:val="22"/>
        </w:rPr>
        <w:t xml:space="preserve"> (paragraph 7.9, November 2017 PBAC </w:t>
      </w:r>
      <w:r w:rsidR="008A6254">
        <w:rPr>
          <w:rFonts w:asciiTheme="minorHAnsi" w:eastAsiaTheme="minorHAnsi" w:hAnsiTheme="minorHAnsi" w:cstheme="minorBidi"/>
          <w:snapToGrid/>
          <w:sz w:val="24"/>
          <w:szCs w:val="22"/>
        </w:rPr>
        <w:t>PSD</w:t>
      </w:r>
      <w:r w:rsidR="006B5996" w:rsidRPr="00CE7ECA">
        <w:rPr>
          <w:rFonts w:asciiTheme="minorHAnsi" w:eastAsiaTheme="minorHAnsi" w:hAnsiTheme="minorHAnsi" w:cstheme="minorBidi"/>
          <w:snapToGrid/>
          <w:sz w:val="24"/>
          <w:szCs w:val="22"/>
        </w:rPr>
        <w:t>)</w:t>
      </w:r>
      <w:r w:rsidR="009F1A55" w:rsidRPr="00CE7ECA">
        <w:rPr>
          <w:rFonts w:asciiTheme="minorHAnsi" w:eastAsiaTheme="minorHAnsi" w:hAnsiTheme="minorHAnsi" w:cstheme="minorBidi"/>
          <w:snapToGrid/>
          <w:sz w:val="24"/>
          <w:szCs w:val="22"/>
        </w:rPr>
        <w:t>.</w:t>
      </w:r>
      <w:r w:rsidR="006B5996" w:rsidRPr="00CE7ECA">
        <w:rPr>
          <w:rFonts w:asciiTheme="minorHAnsi" w:eastAsiaTheme="minorHAnsi" w:hAnsiTheme="minorHAnsi" w:cstheme="minorBidi"/>
          <w:snapToGrid/>
          <w:sz w:val="24"/>
          <w:szCs w:val="22"/>
        </w:rPr>
        <w:t xml:space="preserve"> </w:t>
      </w:r>
      <w:r w:rsidR="00C243F2" w:rsidRPr="00CE7ECA">
        <w:rPr>
          <w:rFonts w:asciiTheme="minorHAnsi" w:eastAsiaTheme="minorHAnsi" w:hAnsiTheme="minorHAnsi" w:cstheme="minorBidi"/>
          <w:snapToGrid/>
          <w:sz w:val="24"/>
          <w:szCs w:val="22"/>
        </w:rPr>
        <w:t>The PBAC advised that there was neither any new evidence nor any compelling justifications in the minor resubmission that was likely to necessitate any change to its previous interpretation of the clinical evidence.</w:t>
      </w:r>
    </w:p>
    <w:p w:rsidR="0016598A" w:rsidRPr="00CE7ECA" w:rsidRDefault="009F1A55" w:rsidP="00730E38">
      <w:pPr>
        <w:pStyle w:val="ListParagraph"/>
        <w:widowControl/>
        <w:numPr>
          <w:ilvl w:val="1"/>
          <w:numId w:val="1"/>
        </w:numPr>
        <w:spacing w:before="120" w:after="16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PBAC </w:t>
      </w:r>
      <w:r w:rsidR="001B18C3" w:rsidRPr="00CE7ECA">
        <w:rPr>
          <w:rFonts w:asciiTheme="minorHAnsi" w:eastAsiaTheme="minorHAnsi" w:hAnsiTheme="minorHAnsi" w:cstheme="minorBidi"/>
          <w:snapToGrid/>
          <w:sz w:val="24"/>
          <w:szCs w:val="22"/>
        </w:rPr>
        <w:t>noted that the minor resubmission presented a respecified base case ICER of $</w:t>
      </w:r>
      <w:r w:rsidR="00FE24D7">
        <w:rPr>
          <w:rFonts w:asciiTheme="minorHAnsi" w:eastAsiaTheme="minorHAnsi" w:hAnsiTheme="minorHAnsi" w:cstheme="minorBidi"/>
          <w:snapToGrid/>
          <w:sz w:val="24"/>
          <w:szCs w:val="22"/>
        </w:rPr>
        <w:t>45,000</w:t>
      </w:r>
      <w:r w:rsidR="001B18C3" w:rsidRPr="00CE7ECA">
        <w:rPr>
          <w:rFonts w:asciiTheme="minorHAnsi" w:eastAsiaTheme="minorHAnsi" w:hAnsiTheme="minorHAnsi" w:cstheme="minorBidi"/>
          <w:snapToGrid/>
          <w:sz w:val="24"/>
          <w:szCs w:val="22"/>
        </w:rPr>
        <w:t>/QALY</w:t>
      </w:r>
      <w:r w:rsidR="00FE24D7">
        <w:rPr>
          <w:rFonts w:asciiTheme="minorHAnsi" w:eastAsiaTheme="minorHAnsi" w:hAnsiTheme="minorHAnsi" w:cstheme="minorBidi"/>
          <w:snapToGrid/>
          <w:sz w:val="24"/>
          <w:szCs w:val="22"/>
        </w:rPr>
        <w:t xml:space="preserve"> - $75,000/QALY</w:t>
      </w:r>
      <w:r w:rsidR="001B18C3" w:rsidRPr="00CE7ECA">
        <w:rPr>
          <w:rFonts w:asciiTheme="minorHAnsi" w:eastAsiaTheme="minorHAnsi" w:hAnsiTheme="minorHAnsi" w:cstheme="minorBidi"/>
          <w:snapToGrid/>
          <w:sz w:val="24"/>
          <w:szCs w:val="22"/>
        </w:rPr>
        <w:t xml:space="preserve"> (compared to $</w:t>
      </w:r>
      <w:r w:rsidR="00FE24D7">
        <w:rPr>
          <w:rFonts w:asciiTheme="minorHAnsi" w:eastAsiaTheme="minorHAnsi" w:hAnsiTheme="minorHAnsi" w:cstheme="minorBidi"/>
          <w:snapToGrid/>
          <w:sz w:val="24"/>
          <w:szCs w:val="22"/>
        </w:rPr>
        <w:t>45,000</w:t>
      </w:r>
      <w:r w:rsidR="001B18C3" w:rsidRPr="00CE7ECA">
        <w:rPr>
          <w:rFonts w:asciiTheme="minorHAnsi" w:eastAsiaTheme="minorHAnsi" w:hAnsiTheme="minorHAnsi" w:cstheme="minorBidi"/>
          <w:snapToGrid/>
          <w:sz w:val="24"/>
          <w:szCs w:val="22"/>
        </w:rPr>
        <w:t>/QALY</w:t>
      </w:r>
      <w:r w:rsidR="00FE24D7">
        <w:rPr>
          <w:rFonts w:asciiTheme="minorHAnsi" w:eastAsiaTheme="minorHAnsi" w:hAnsiTheme="minorHAnsi" w:cstheme="minorBidi"/>
          <w:snapToGrid/>
          <w:sz w:val="24"/>
          <w:szCs w:val="22"/>
        </w:rPr>
        <w:t xml:space="preserve"> - $75,000/QALY</w:t>
      </w:r>
      <w:r w:rsidR="001B18C3" w:rsidRPr="00CE7ECA">
        <w:rPr>
          <w:rFonts w:asciiTheme="minorHAnsi" w:eastAsiaTheme="minorHAnsi" w:hAnsiTheme="minorHAnsi" w:cstheme="minorBidi"/>
          <w:snapToGrid/>
          <w:sz w:val="24"/>
          <w:szCs w:val="22"/>
        </w:rPr>
        <w:t xml:space="preserve"> in the November 2017 submission)</w:t>
      </w:r>
      <w:r w:rsidR="001B18C3" w:rsidRPr="00CE7ECA">
        <w:t xml:space="preserve"> </w:t>
      </w:r>
      <w:r w:rsidR="001B18C3" w:rsidRPr="00CE7ECA">
        <w:rPr>
          <w:rFonts w:asciiTheme="minorHAnsi" w:eastAsiaTheme="minorHAnsi" w:hAnsiTheme="minorHAnsi" w:cstheme="minorBidi"/>
          <w:snapToGrid/>
          <w:sz w:val="24"/>
          <w:szCs w:val="22"/>
        </w:rPr>
        <w:t>by addressing the PBAC’s concerns surrounding (i) the efficacy of the comparator, pemetrexed</w:t>
      </w:r>
      <w:r w:rsidR="0016598A" w:rsidRPr="00CE7ECA">
        <w:rPr>
          <w:rFonts w:asciiTheme="minorHAnsi" w:eastAsiaTheme="minorHAnsi" w:hAnsiTheme="minorHAnsi" w:cstheme="minorBidi"/>
          <w:snapToGrid/>
          <w:sz w:val="24"/>
          <w:szCs w:val="22"/>
        </w:rPr>
        <w:t xml:space="preserve"> (outcomes in the comparator arm were increased by a factor of </w:t>
      </w:r>
      <w:r w:rsidR="00291DED">
        <w:rPr>
          <w:rFonts w:asciiTheme="minorHAnsi" w:eastAsiaTheme="minorHAnsi" w:hAnsiTheme="minorHAnsi" w:cstheme="minorBidi"/>
          <w:noProof/>
          <w:snapToGrid/>
          <w:color w:val="000000"/>
          <w:sz w:val="24"/>
          <w:szCs w:val="22"/>
          <w:highlight w:val="black"/>
        </w:rPr>
        <w:t>''''''''</w:t>
      </w:r>
      <w:r w:rsidR="0016598A" w:rsidRPr="00CE7ECA">
        <w:rPr>
          <w:rFonts w:asciiTheme="minorHAnsi" w:eastAsiaTheme="minorHAnsi" w:hAnsiTheme="minorHAnsi" w:cstheme="minorBidi"/>
          <w:snapToGrid/>
          <w:sz w:val="24"/>
          <w:szCs w:val="22"/>
        </w:rPr>
        <w:t>)</w:t>
      </w:r>
      <w:r w:rsidR="001B18C3" w:rsidRPr="00CE7ECA">
        <w:rPr>
          <w:rFonts w:asciiTheme="minorHAnsi" w:eastAsiaTheme="minorHAnsi" w:hAnsiTheme="minorHAnsi" w:cstheme="minorBidi"/>
          <w:snapToGrid/>
          <w:sz w:val="24"/>
          <w:szCs w:val="22"/>
        </w:rPr>
        <w:t>; (ii) the incremental effectiveness of crizotinib versus pemetrexed</w:t>
      </w:r>
      <w:r w:rsidR="0016598A" w:rsidRPr="00CE7ECA">
        <w:rPr>
          <w:rFonts w:asciiTheme="minorHAnsi" w:eastAsiaTheme="minorHAnsi" w:hAnsiTheme="minorHAnsi" w:cstheme="minorBidi"/>
          <w:snapToGrid/>
          <w:sz w:val="24"/>
          <w:szCs w:val="22"/>
        </w:rPr>
        <w:t xml:space="preserve"> (time horizon was reduced from 10 to 5 years)</w:t>
      </w:r>
      <w:r w:rsidR="001B18C3" w:rsidRPr="00CE7ECA">
        <w:rPr>
          <w:rFonts w:asciiTheme="minorHAnsi" w:eastAsiaTheme="minorHAnsi" w:hAnsiTheme="minorHAnsi" w:cstheme="minorBidi"/>
          <w:snapToGrid/>
          <w:sz w:val="24"/>
          <w:szCs w:val="22"/>
        </w:rPr>
        <w:t>; and</w:t>
      </w:r>
      <w:r w:rsidR="0016598A" w:rsidRPr="00CE7ECA">
        <w:rPr>
          <w:rFonts w:asciiTheme="minorHAnsi" w:eastAsiaTheme="minorHAnsi" w:hAnsiTheme="minorHAnsi" w:cstheme="minorBidi"/>
          <w:snapToGrid/>
          <w:sz w:val="24"/>
          <w:szCs w:val="22"/>
        </w:rPr>
        <w:t xml:space="preserve"> iii) </w:t>
      </w:r>
      <w:r w:rsidR="001B18C3" w:rsidRPr="00CE7ECA">
        <w:rPr>
          <w:rFonts w:asciiTheme="minorHAnsi" w:eastAsiaTheme="minorHAnsi" w:hAnsiTheme="minorHAnsi" w:cstheme="minorBidi"/>
          <w:snapToGrid/>
          <w:sz w:val="24"/>
          <w:szCs w:val="22"/>
        </w:rPr>
        <w:t>pemetrexed cost offsets</w:t>
      </w:r>
      <w:r w:rsidR="0016598A" w:rsidRPr="00CE7ECA">
        <w:rPr>
          <w:rFonts w:asciiTheme="minorHAnsi" w:eastAsiaTheme="minorHAnsi" w:hAnsiTheme="minorHAnsi" w:cstheme="minorBidi"/>
          <w:snapToGrid/>
          <w:sz w:val="24"/>
          <w:szCs w:val="22"/>
        </w:rPr>
        <w:t xml:space="preserve"> (updated to reflect the current PBS prices)</w:t>
      </w:r>
      <w:r w:rsidR="001B18C3" w:rsidRPr="00CE7ECA">
        <w:rPr>
          <w:rFonts w:asciiTheme="minorHAnsi" w:eastAsiaTheme="minorHAnsi" w:hAnsiTheme="minorHAnsi" w:cstheme="minorBidi"/>
          <w:snapToGrid/>
          <w:sz w:val="24"/>
          <w:szCs w:val="22"/>
        </w:rPr>
        <w:t>.</w:t>
      </w:r>
      <w:r w:rsidR="0016598A" w:rsidRPr="00CE7ECA">
        <w:rPr>
          <w:rFonts w:asciiTheme="minorHAnsi" w:eastAsiaTheme="minorHAnsi" w:hAnsiTheme="minorHAnsi" w:cstheme="minorBidi"/>
          <w:snapToGrid/>
          <w:sz w:val="24"/>
          <w:szCs w:val="22"/>
        </w:rPr>
        <w:t xml:space="preserve"> The PBAC noted that changing the</w:t>
      </w:r>
      <w:r w:rsidR="00DD139A">
        <w:rPr>
          <w:rFonts w:asciiTheme="minorHAnsi" w:eastAsiaTheme="minorHAnsi" w:hAnsiTheme="minorHAnsi" w:cstheme="minorBidi"/>
          <w:snapToGrid/>
          <w:sz w:val="24"/>
          <w:szCs w:val="22"/>
        </w:rPr>
        <w:t>se</w:t>
      </w:r>
      <w:r w:rsidR="0016598A" w:rsidRPr="00CE7ECA">
        <w:rPr>
          <w:rFonts w:asciiTheme="minorHAnsi" w:eastAsiaTheme="minorHAnsi" w:hAnsiTheme="minorHAnsi" w:cstheme="minorBidi"/>
          <w:snapToGrid/>
          <w:sz w:val="24"/>
          <w:szCs w:val="22"/>
        </w:rPr>
        <w:t xml:space="preserve"> factors </w:t>
      </w:r>
      <w:r w:rsidR="00DD139A">
        <w:rPr>
          <w:rFonts w:asciiTheme="minorHAnsi" w:eastAsiaTheme="minorHAnsi" w:hAnsiTheme="minorHAnsi" w:cstheme="minorBidi"/>
          <w:snapToGrid/>
          <w:sz w:val="24"/>
          <w:szCs w:val="22"/>
        </w:rPr>
        <w:t xml:space="preserve">together </w:t>
      </w:r>
      <w:r w:rsidR="0016598A" w:rsidRPr="00CE7ECA">
        <w:rPr>
          <w:rFonts w:asciiTheme="minorHAnsi" w:eastAsiaTheme="minorHAnsi" w:hAnsiTheme="minorHAnsi" w:cstheme="minorBidi"/>
          <w:snapToGrid/>
          <w:sz w:val="24"/>
          <w:szCs w:val="22"/>
        </w:rPr>
        <w:t>with the DPMQ proposed in the November 2017 submission resulted in an ICER of $</w:t>
      </w:r>
      <w:r w:rsidR="00FE24D7">
        <w:rPr>
          <w:rFonts w:asciiTheme="minorHAnsi" w:eastAsiaTheme="minorHAnsi" w:hAnsiTheme="minorHAnsi" w:cstheme="minorBidi"/>
          <w:snapToGrid/>
          <w:sz w:val="24"/>
          <w:szCs w:val="22"/>
        </w:rPr>
        <w:t>75</w:t>
      </w:r>
      <w:r w:rsidR="00190BC1">
        <w:rPr>
          <w:rFonts w:asciiTheme="minorHAnsi" w:eastAsiaTheme="minorHAnsi" w:hAnsiTheme="minorHAnsi" w:cstheme="minorBidi"/>
          <w:snapToGrid/>
          <w:sz w:val="24"/>
          <w:szCs w:val="22"/>
        </w:rPr>
        <w:t>,000</w:t>
      </w:r>
      <w:r w:rsidR="0016598A" w:rsidRPr="00CE7ECA">
        <w:rPr>
          <w:rFonts w:asciiTheme="minorHAnsi" w:eastAsiaTheme="minorHAnsi" w:hAnsiTheme="minorHAnsi" w:cstheme="minorBidi"/>
          <w:snapToGrid/>
          <w:sz w:val="24"/>
          <w:szCs w:val="22"/>
        </w:rPr>
        <w:t>/QALY</w:t>
      </w:r>
      <w:r w:rsidR="00FE24D7">
        <w:rPr>
          <w:rFonts w:asciiTheme="minorHAnsi" w:eastAsiaTheme="minorHAnsi" w:hAnsiTheme="minorHAnsi" w:cstheme="minorBidi"/>
          <w:snapToGrid/>
          <w:sz w:val="24"/>
          <w:szCs w:val="22"/>
        </w:rPr>
        <w:t xml:space="preserve"> - $105,000/QALY</w:t>
      </w:r>
      <w:r w:rsidR="0016598A" w:rsidRPr="00CE7ECA">
        <w:rPr>
          <w:rFonts w:asciiTheme="minorHAnsi" w:eastAsiaTheme="minorHAnsi" w:hAnsiTheme="minorHAnsi" w:cstheme="minorBidi"/>
          <w:snapToGrid/>
          <w:sz w:val="24"/>
          <w:szCs w:val="22"/>
        </w:rPr>
        <w:t xml:space="preserve">. A reduction </w:t>
      </w:r>
      <w:r w:rsidR="00006881" w:rsidRPr="00CE7ECA">
        <w:rPr>
          <w:rFonts w:asciiTheme="minorHAnsi" w:eastAsiaTheme="minorHAnsi" w:hAnsiTheme="minorHAnsi" w:cstheme="minorBidi"/>
          <w:snapToGrid/>
          <w:sz w:val="24"/>
          <w:szCs w:val="22"/>
        </w:rPr>
        <w:t xml:space="preserve">of </w:t>
      </w:r>
      <w:r w:rsidR="00291DED">
        <w:rPr>
          <w:rFonts w:asciiTheme="minorHAnsi" w:eastAsiaTheme="minorHAnsi" w:hAnsiTheme="minorHAnsi" w:cstheme="minorBidi"/>
          <w:noProof/>
          <w:snapToGrid/>
          <w:color w:val="000000"/>
          <w:sz w:val="24"/>
          <w:szCs w:val="22"/>
          <w:highlight w:val="black"/>
        </w:rPr>
        <w:t>''''''''</w:t>
      </w:r>
      <w:r w:rsidR="00006881" w:rsidRPr="00CE7ECA">
        <w:rPr>
          <w:rFonts w:asciiTheme="minorHAnsi" w:eastAsiaTheme="minorHAnsi" w:hAnsiTheme="minorHAnsi" w:cstheme="minorBidi"/>
          <w:snapToGrid/>
          <w:sz w:val="24"/>
          <w:szCs w:val="22"/>
        </w:rPr>
        <w:t>% ($</w:t>
      </w:r>
      <w:r w:rsidR="00291DED">
        <w:rPr>
          <w:rFonts w:asciiTheme="minorHAnsi" w:eastAsiaTheme="minorHAnsi" w:hAnsiTheme="minorHAnsi" w:cstheme="minorBidi"/>
          <w:noProof/>
          <w:snapToGrid/>
          <w:color w:val="000000"/>
          <w:sz w:val="24"/>
          <w:szCs w:val="22"/>
          <w:highlight w:val="black"/>
        </w:rPr>
        <w:t>'''''''''''''''</w:t>
      </w:r>
      <w:r w:rsidR="00DD139A">
        <w:rPr>
          <w:rFonts w:asciiTheme="minorHAnsi" w:eastAsiaTheme="minorHAnsi" w:hAnsiTheme="minorHAnsi" w:cstheme="minorBidi"/>
          <w:snapToGrid/>
          <w:sz w:val="24"/>
          <w:szCs w:val="22"/>
        </w:rPr>
        <w:t xml:space="preserve"> </w:t>
      </w:r>
      <w:r w:rsidR="00006881" w:rsidRPr="00CE7ECA">
        <w:rPr>
          <w:rFonts w:asciiTheme="minorHAnsi" w:eastAsiaTheme="minorHAnsi" w:hAnsiTheme="minorHAnsi" w:cstheme="minorBidi"/>
          <w:snapToGrid/>
          <w:sz w:val="24"/>
          <w:szCs w:val="22"/>
        </w:rPr>
        <w:t>to $</w:t>
      </w:r>
      <w:r w:rsidR="00291DED">
        <w:rPr>
          <w:rFonts w:asciiTheme="minorHAnsi" w:eastAsiaTheme="minorHAnsi" w:hAnsiTheme="minorHAnsi" w:cstheme="minorBidi"/>
          <w:noProof/>
          <w:snapToGrid/>
          <w:color w:val="000000"/>
          <w:sz w:val="24"/>
          <w:szCs w:val="22"/>
          <w:highlight w:val="black"/>
        </w:rPr>
        <w:t>''''''''''''''''</w:t>
      </w:r>
      <w:r w:rsidR="00006881" w:rsidRPr="00CE7ECA">
        <w:rPr>
          <w:rFonts w:asciiTheme="minorHAnsi" w:eastAsiaTheme="minorHAnsi" w:hAnsiTheme="minorHAnsi" w:cstheme="minorBidi"/>
          <w:snapToGrid/>
          <w:sz w:val="24"/>
          <w:szCs w:val="22"/>
        </w:rPr>
        <w:t>) to the proposed DPMQ of crizotinib for the ROS1 population</w:t>
      </w:r>
      <w:r w:rsidR="0016598A" w:rsidRPr="00CE7ECA">
        <w:rPr>
          <w:rFonts w:asciiTheme="minorHAnsi" w:eastAsiaTheme="minorHAnsi" w:hAnsiTheme="minorHAnsi" w:cstheme="minorBidi"/>
          <w:snapToGrid/>
          <w:sz w:val="24"/>
          <w:szCs w:val="22"/>
        </w:rPr>
        <w:t xml:space="preserve"> reduced the ICER to the respecified base case of $</w:t>
      </w:r>
      <w:r w:rsidR="00FE24D7">
        <w:rPr>
          <w:rFonts w:asciiTheme="minorHAnsi" w:eastAsiaTheme="minorHAnsi" w:hAnsiTheme="minorHAnsi" w:cstheme="minorBidi"/>
          <w:snapToGrid/>
          <w:sz w:val="24"/>
          <w:szCs w:val="22"/>
        </w:rPr>
        <w:t>45,000</w:t>
      </w:r>
      <w:r w:rsidR="0016598A" w:rsidRPr="00CE7ECA">
        <w:rPr>
          <w:rFonts w:asciiTheme="minorHAnsi" w:eastAsiaTheme="minorHAnsi" w:hAnsiTheme="minorHAnsi" w:cstheme="minorBidi"/>
          <w:snapToGrid/>
          <w:sz w:val="24"/>
          <w:szCs w:val="22"/>
        </w:rPr>
        <w:t>/QALY</w:t>
      </w:r>
      <w:r w:rsidR="00FE24D7">
        <w:rPr>
          <w:rFonts w:asciiTheme="minorHAnsi" w:eastAsiaTheme="minorHAnsi" w:hAnsiTheme="minorHAnsi" w:cstheme="minorBidi"/>
          <w:snapToGrid/>
          <w:sz w:val="24"/>
          <w:szCs w:val="22"/>
        </w:rPr>
        <w:t xml:space="preserve"> - $75,000/QALY</w:t>
      </w:r>
      <w:r w:rsidR="0016598A" w:rsidRPr="00CE7ECA">
        <w:rPr>
          <w:rFonts w:asciiTheme="minorHAnsi" w:eastAsiaTheme="minorHAnsi" w:hAnsiTheme="minorHAnsi" w:cstheme="minorBidi"/>
          <w:snapToGrid/>
          <w:sz w:val="24"/>
          <w:szCs w:val="22"/>
        </w:rPr>
        <w:t xml:space="preserve">. The PBAC </w:t>
      </w:r>
      <w:r w:rsidR="00DD139A">
        <w:rPr>
          <w:rFonts w:asciiTheme="minorHAnsi" w:eastAsiaTheme="minorHAnsi" w:hAnsiTheme="minorHAnsi" w:cstheme="minorBidi"/>
          <w:snapToGrid/>
          <w:sz w:val="24"/>
          <w:szCs w:val="22"/>
        </w:rPr>
        <w:t xml:space="preserve">considered </w:t>
      </w:r>
      <w:r w:rsidR="0016598A" w:rsidRPr="00CE7ECA">
        <w:rPr>
          <w:rFonts w:asciiTheme="minorHAnsi" w:eastAsiaTheme="minorHAnsi" w:hAnsiTheme="minorHAnsi" w:cstheme="minorBidi"/>
          <w:snapToGrid/>
          <w:sz w:val="24"/>
          <w:szCs w:val="22"/>
        </w:rPr>
        <w:t>that the changes made to the economic model to address the Committee’s previous concerns were reasonable</w:t>
      </w:r>
      <w:r w:rsidR="00006881" w:rsidRPr="00CE7ECA">
        <w:rPr>
          <w:rFonts w:asciiTheme="minorHAnsi" w:eastAsiaTheme="minorHAnsi" w:hAnsiTheme="minorHAnsi" w:cstheme="minorBidi"/>
          <w:snapToGrid/>
          <w:sz w:val="24"/>
          <w:szCs w:val="22"/>
        </w:rPr>
        <w:t>,</w:t>
      </w:r>
      <w:r w:rsidR="006A31AC" w:rsidRPr="00CE7ECA">
        <w:rPr>
          <w:rFonts w:asciiTheme="minorHAnsi" w:eastAsiaTheme="minorHAnsi" w:hAnsiTheme="minorHAnsi" w:cstheme="minorBidi"/>
          <w:snapToGrid/>
          <w:sz w:val="24"/>
          <w:szCs w:val="22"/>
        </w:rPr>
        <w:t xml:space="preserve"> and the </w:t>
      </w:r>
      <w:r w:rsidR="003C3296">
        <w:rPr>
          <w:rFonts w:asciiTheme="minorHAnsi" w:eastAsiaTheme="minorHAnsi" w:hAnsiTheme="minorHAnsi" w:cstheme="minorBidi"/>
          <w:snapToGrid/>
          <w:sz w:val="24"/>
          <w:szCs w:val="22"/>
        </w:rPr>
        <w:t xml:space="preserve">advised that the </w:t>
      </w:r>
      <w:r w:rsidR="006A31AC" w:rsidRPr="00CE7ECA">
        <w:rPr>
          <w:rFonts w:asciiTheme="minorHAnsi" w:eastAsiaTheme="minorHAnsi" w:hAnsiTheme="minorHAnsi" w:cstheme="minorBidi"/>
          <w:snapToGrid/>
          <w:sz w:val="24"/>
          <w:szCs w:val="22"/>
        </w:rPr>
        <w:t xml:space="preserve">resultant ICER was high but </w:t>
      </w:r>
      <w:r w:rsidR="00DD139A" w:rsidRPr="00CE7ECA">
        <w:rPr>
          <w:rFonts w:asciiTheme="minorHAnsi" w:eastAsiaTheme="minorHAnsi" w:hAnsiTheme="minorHAnsi" w:cstheme="minorBidi"/>
          <w:snapToGrid/>
          <w:sz w:val="24"/>
          <w:szCs w:val="22"/>
        </w:rPr>
        <w:t>acceptabl</w:t>
      </w:r>
      <w:r w:rsidR="00DD139A">
        <w:rPr>
          <w:rFonts w:asciiTheme="minorHAnsi" w:eastAsiaTheme="minorHAnsi" w:hAnsiTheme="minorHAnsi" w:cstheme="minorBidi"/>
          <w:snapToGrid/>
          <w:sz w:val="24"/>
          <w:szCs w:val="22"/>
        </w:rPr>
        <w:t>e</w:t>
      </w:r>
      <w:r w:rsidR="00DD139A" w:rsidRPr="00CE7ECA">
        <w:rPr>
          <w:rFonts w:asciiTheme="minorHAnsi" w:eastAsiaTheme="minorHAnsi" w:hAnsiTheme="minorHAnsi" w:cstheme="minorBidi"/>
          <w:snapToGrid/>
          <w:sz w:val="24"/>
          <w:szCs w:val="22"/>
        </w:rPr>
        <w:t xml:space="preserve"> </w:t>
      </w:r>
      <w:r w:rsidR="0016598A" w:rsidRPr="00CE7ECA">
        <w:rPr>
          <w:rFonts w:asciiTheme="minorHAnsi" w:eastAsiaTheme="minorHAnsi" w:hAnsiTheme="minorHAnsi" w:cstheme="minorBidi"/>
          <w:snapToGrid/>
          <w:sz w:val="24"/>
          <w:szCs w:val="22"/>
        </w:rPr>
        <w:t>at the price proposed in the minor resubmission</w:t>
      </w:r>
      <w:r w:rsidR="006A31AC" w:rsidRPr="00CE7ECA">
        <w:rPr>
          <w:rFonts w:asciiTheme="minorHAnsi" w:eastAsiaTheme="minorHAnsi" w:hAnsiTheme="minorHAnsi" w:cstheme="minorBidi"/>
          <w:snapToGrid/>
          <w:sz w:val="24"/>
          <w:szCs w:val="22"/>
        </w:rPr>
        <w:t>, noting the unmet clinical need in a small patient population.</w:t>
      </w:r>
    </w:p>
    <w:p w:rsidR="00B10B04" w:rsidRPr="00CE7ECA" w:rsidRDefault="00B10B04" w:rsidP="00730E38">
      <w:pPr>
        <w:pStyle w:val="ListParagraph"/>
        <w:numPr>
          <w:ilvl w:val="1"/>
          <w:numId w:val="1"/>
        </w:numPr>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PBAC </w:t>
      </w:r>
      <w:r w:rsidR="006A31AC" w:rsidRPr="00CE7ECA">
        <w:rPr>
          <w:rFonts w:asciiTheme="minorHAnsi" w:eastAsiaTheme="minorHAnsi" w:hAnsiTheme="minorHAnsi" w:cstheme="minorBidi"/>
          <w:snapToGrid/>
          <w:sz w:val="24"/>
          <w:szCs w:val="22"/>
        </w:rPr>
        <w:t>noted</w:t>
      </w:r>
      <w:r w:rsidRPr="00CE7ECA">
        <w:rPr>
          <w:rFonts w:asciiTheme="minorHAnsi" w:eastAsiaTheme="minorHAnsi" w:hAnsiTheme="minorHAnsi" w:cstheme="minorBidi"/>
          <w:snapToGrid/>
          <w:sz w:val="24"/>
          <w:szCs w:val="22"/>
        </w:rPr>
        <w:t xml:space="preserve"> that the minor resubmission request</w:t>
      </w:r>
      <w:r w:rsidR="006A31AC" w:rsidRPr="00CE7ECA">
        <w:rPr>
          <w:rFonts w:asciiTheme="minorHAnsi" w:eastAsiaTheme="minorHAnsi" w:hAnsiTheme="minorHAnsi" w:cstheme="minorBidi"/>
          <w:snapToGrid/>
          <w:sz w:val="24"/>
          <w:szCs w:val="22"/>
        </w:rPr>
        <w:t>ed</w:t>
      </w:r>
      <w:r w:rsidRPr="00CE7ECA">
        <w:rPr>
          <w:rFonts w:asciiTheme="minorHAnsi" w:eastAsiaTheme="minorHAnsi" w:hAnsiTheme="minorHAnsi" w:cstheme="minorBidi"/>
          <w:snapToGrid/>
          <w:sz w:val="24"/>
          <w:szCs w:val="22"/>
        </w:rPr>
        <w:t xml:space="preserve"> a single weighted average </w:t>
      </w:r>
      <w:r w:rsidRPr="00CE7ECA">
        <w:rPr>
          <w:rFonts w:asciiTheme="minorHAnsi" w:eastAsiaTheme="minorHAnsi" w:hAnsiTheme="minorHAnsi" w:cstheme="minorBidi"/>
          <w:snapToGrid/>
          <w:sz w:val="24"/>
          <w:szCs w:val="22"/>
        </w:rPr>
        <w:lastRenderedPageBreak/>
        <w:t>effective</w:t>
      </w:r>
      <w:r w:rsidR="006A31AC" w:rsidRPr="00CE7ECA">
        <w:rPr>
          <w:rFonts w:asciiTheme="minorHAnsi" w:eastAsiaTheme="minorHAnsi" w:hAnsiTheme="minorHAnsi" w:cstheme="minorBidi"/>
          <w:snapToGrid/>
          <w:sz w:val="24"/>
          <w:szCs w:val="22"/>
        </w:rPr>
        <w:t xml:space="preserve"> price</w:t>
      </w:r>
      <w:r w:rsidRPr="00CE7ECA">
        <w:rPr>
          <w:rFonts w:asciiTheme="minorHAnsi" w:eastAsiaTheme="minorHAnsi" w:hAnsiTheme="minorHAnsi" w:cstheme="minorBidi"/>
          <w:snapToGrid/>
          <w:sz w:val="24"/>
          <w:szCs w:val="22"/>
        </w:rPr>
        <w:t xml:space="preserve"> across the two reimbursed populations of NSCLC patients </w:t>
      </w:r>
      <w:r w:rsidR="006A31AC" w:rsidRPr="00CE7ECA">
        <w:rPr>
          <w:rFonts w:asciiTheme="minorHAnsi" w:eastAsiaTheme="minorHAnsi" w:hAnsiTheme="minorHAnsi" w:cstheme="minorBidi"/>
          <w:snapToGrid/>
          <w:sz w:val="24"/>
          <w:szCs w:val="22"/>
        </w:rPr>
        <w:t>and claimed</w:t>
      </w:r>
      <w:r w:rsidRPr="00CE7ECA">
        <w:rPr>
          <w:rFonts w:asciiTheme="minorHAnsi" w:eastAsiaTheme="minorHAnsi" w:hAnsiTheme="minorHAnsi" w:cstheme="minorBidi"/>
          <w:snapToGrid/>
          <w:sz w:val="24"/>
          <w:szCs w:val="22"/>
        </w:rPr>
        <w:t xml:space="preserve"> that this would simplify the Special Pricing Arrangements and associated contractual requirements.</w:t>
      </w:r>
      <w:r w:rsidR="006A31AC" w:rsidRPr="00CE7ECA">
        <w:rPr>
          <w:rFonts w:asciiTheme="minorHAnsi" w:eastAsiaTheme="minorHAnsi" w:hAnsiTheme="minorHAnsi" w:cstheme="minorBidi"/>
          <w:snapToGrid/>
          <w:sz w:val="24"/>
          <w:szCs w:val="22"/>
        </w:rPr>
        <w:t xml:space="preserve"> The PBAC noted that </w:t>
      </w:r>
      <w:r w:rsidR="003A21A9" w:rsidRPr="00CE7ECA">
        <w:rPr>
          <w:rFonts w:asciiTheme="minorHAnsi" w:eastAsiaTheme="minorHAnsi" w:hAnsiTheme="minorHAnsi" w:cstheme="minorBidi"/>
          <w:snapToGrid/>
          <w:sz w:val="24"/>
          <w:szCs w:val="22"/>
        </w:rPr>
        <w:t xml:space="preserve">by </w:t>
      </w:r>
      <w:r w:rsidR="006A31AC" w:rsidRPr="00CE7ECA">
        <w:rPr>
          <w:rFonts w:asciiTheme="minorHAnsi" w:eastAsiaTheme="minorHAnsi" w:hAnsiTheme="minorHAnsi" w:cstheme="minorBidi"/>
          <w:snapToGrid/>
          <w:sz w:val="24"/>
          <w:szCs w:val="22"/>
        </w:rPr>
        <w:t xml:space="preserve">applying a </w:t>
      </w:r>
      <w:r w:rsidR="00291DED">
        <w:rPr>
          <w:rFonts w:asciiTheme="minorHAnsi" w:eastAsiaTheme="minorHAnsi" w:hAnsiTheme="minorHAnsi" w:cstheme="minorBidi"/>
          <w:noProof/>
          <w:snapToGrid/>
          <w:color w:val="000000"/>
          <w:sz w:val="24"/>
          <w:szCs w:val="22"/>
          <w:highlight w:val="black"/>
        </w:rPr>
        <w:t>'''''</w:t>
      </w:r>
      <w:r w:rsidR="006A31AC" w:rsidRPr="00CE7ECA">
        <w:rPr>
          <w:rFonts w:asciiTheme="minorHAnsi" w:eastAsiaTheme="minorHAnsi" w:hAnsiTheme="minorHAnsi" w:cstheme="minorBidi"/>
          <w:snapToGrid/>
          <w:sz w:val="24"/>
          <w:szCs w:val="22"/>
        </w:rPr>
        <w:t>:</w:t>
      </w:r>
      <w:r w:rsidR="00291DED">
        <w:rPr>
          <w:rFonts w:asciiTheme="minorHAnsi" w:eastAsiaTheme="minorHAnsi" w:hAnsiTheme="minorHAnsi" w:cstheme="minorBidi"/>
          <w:noProof/>
          <w:snapToGrid/>
          <w:color w:val="000000"/>
          <w:sz w:val="24"/>
          <w:szCs w:val="22"/>
          <w:highlight w:val="black"/>
        </w:rPr>
        <w:t>''''''</w:t>
      </w:r>
      <w:r w:rsidR="006A31AC" w:rsidRPr="00CE7ECA">
        <w:rPr>
          <w:rFonts w:asciiTheme="minorHAnsi" w:eastAsiaTheme="minorHAnsi" w:hAnsiTheme="minorHAnsi" w:cstheme="minorBidi"/>
          <w:snapToGrid/>
          <w:sz w:val="24"/>
          <w:szCs w:val="22"/>
        </w:rPr>
        <w:t xml:space="preserve"> ratio across the ALK (effective AEMP = $</w:t>
      </w:r>
      <w:r w:rsidR="00291DED">
        <w:rPr>
          <w:rFonts w:asciiTheme="minorHAnsi" w:eastAsiaTheme="minorHAnsi" w:hAnsiTheme="minorHAnsi" w:cstheme="minorBidi"/>
          <w:noProof/>
          <w:snapToGrid/>
          <w:color w:val="000000"/>
          <w:sz w:val="24"/>
          <w:szCs w:val="22"/>
          <w:highlight w:val="black"/>
        </w:rPr>
        <w:t>''''''''''''''''</w:t>
      </w:r>
      <w:r w:rsidR="006A31AC" w:rsidRPr="00CE7ECA">
        <w:rPr>
          <w:rFonts w:ascii="Arial Narrow" w:hAnsi="Arial Narrow"/>
          <w:sz w:val="20"/>
        </w:rPr>
        <w:t xml:space="preserve">) </w:t>
      </w:r>
      <w:r w:rsidR="006A31AC" w:rsidRPr="00CE7ECA">
        <w:rPr>
          <w:rFonts w:asciiTheme="minorHAnsi" w:eastAsiaTheme="minorHAnsi" w:hAnsiTheme="minorHAnsi" w:cstheme="minorBidi"/>
          <w:snapToGrid/>
          <w:sz w:val="24"/>
          <w:szCs w:val="22"/>
        </w:rPr>
        <w:t>and ROS1 (effective AEMP = $</w:t>
      </w:r>
      <w:r w:rsidR="00291DED">
        <w:rPr>
          <w:rFonts w:asciiTheme="minorHAnsi" w:eastAsiaTheme="minorHAnsi" w:hAnsiTheme="minorHAnsi" w:cstheme="minorBidi"/>
          <w:noProof/>
          <w:snapToGrid/>
          <w:color w:val="000000"/>
          <w:sz w:val="24"/>
          <w:szCs w:val="22"/>
          <w:highlight w:val="black"/>
        </w:rPr>
        <w:t>''''''''''''''''</w:t>
      </w:r>
      <w:r w:rsidR="006A31AC" w:rsidRPr="00CE7ECA">
        <w:rPr>
          <w:rFonts w:asciiTheme="minorHAnsi" w:eastAsiaTheme="minorHAnsi" w:hAnsiTheme="minorHAnsi" w:cstheme="minorBidi"/>
          <w:snapToGrid/>
          <w:sz w:val="24"/>
          <w:szCs w:val="22"/>
        </w:rPr>
        <w:t>) indications, the minor resubmission proposed that crizotinib be listed at the proposed effective AEMP of $</w:t>
      </w:r>
      <w:r w:rsidR="00291DED">
        <w:rPr>
          <w:rFonts w:asciiTheme="minorHAnsi" w:eastAsiaTheme="minorHAnsi" w:hAnsiTheme="minorHAnsi" w:cstheme="minorBidi"/>
          <w:noProof/>
          <w:snapToGrid/>
          <w:color w:val="000000"/>
          <w:sz w:val="24"/>
          <w:szCs w:val="22"/>
          <w:highlight w:val="black"/>
        </w:rPr>
        <w:t>'''''''''''''''''</w:t>
      </w:r>
      <w:r w:rsidR="006A31AC" w:rsidRPr="00CE7ECA">
        <w:rPr>
          <w:rFonts w:asciiTheme="minorHAnsi" w:eastAsiaTheme="minorHAnsi" w:hAnsiTheme="minorHAnsi" w:cstheme="minorBidi"/>
          <w:snapToGrid/>
          <w:sz w:val="24"/>
          <w:szCs w:val="22"/>
        </w:rPr>
        <w:t>.</w:t>
      </w:r>
      <w:r w:rsidR="00C15AE0" w:rsidRPr="00CE7ECA">
        <w:rPr>
          <w:rFonts w:asciiTheme="minorHAnsi" w:eastAsiaTheme="minorHAnsi" w:hAnsiTheme="minorHAnsi" w:cstheme="minorBidi"/>
          <w:snapToGrid/>
          <w:sz w:val="24"/>
          <w:szCs w:val="22"/>
        </w:rPr>
        <w:t xml:space="preserve"> The PBAC considered that this was reasonable.</w:t>
      </w:r>
    </w:p>
    <w:p w:rsidR="009F1A55" w:rsidRPr="00CE7ECA" w:rsidRDefault="009F1A55" w:rsidP="00730E38">
      <w:pPr>
        <w:pStyle w:val="ListParagraph"/>
        <w:widowControl/>
        <w:numPr>
          <w:ilvl w:val="1"/>
          <w:numId w:val="1"/>
        </w:numPr>
        <w:spacing w:before="120"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The PBAC advised that the utilisation assumptions supporting the financial estimates were reasonable from a PBS perspective after adjusting the estimate of eligible patients in the first year to include patients who would receive treatment under the proposed grandfathering arrangement.</w:t>
      </w:r>
    </w:p>
    <w:p w:rsidR="009F1A55" w:rsidRPr="00CE7ECA" w:rsidRDefault="009F1A55"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 xml:space="preserve">The PBAC </w:t>
      </w:r>
      <w:r w:rsidR="009A09AF" w:rsidRPr="00CE7ECA">
        <w:rPr>
          <w:rFonts w:asciiTheme="minorHAnsi" w:eastAsiaTheme="minorHAnsi" w:hAnsiTheme="minorHAnsi" w:cstheme="minorBidi"/>
          <w:snapToGrid/>
          <w:sz w:val="24"/>
          <w:szCs w:val="22"/>
        </w:rPr>
        <w:t>maintained</w:t>
      </w:r>
      <w:r w:rsidRPr="00CE7ECA">
        <w:rPr>
          <w:rFonts w:asciiTheme="minorHAnsi" w:eastAsiaTheme="minorHAnsi" w:hAnsiTheme="minorHAnsi" w:cstheme="minorBidi"/>
          <w:snapToGrid/>
          <w:sz w:val="24"/>
          <w:szCs w:val="22"/>
        </w:rPr>
        <w:t xml:space="preserve"> that given the modest financial estimates in a relatively small population, a risk sharing arrangement would not be necessary</w:t>
      </w:r>
      <w:r w:rsidR="003C3296">
        <w:rPr>
          <w:rFonts w:asciiTheme="minorHAnsi" w:eastAsiaTheme="minorHAnsi" w:hAnsiTheme="minorHAnsi" w:cstheme="minorBidi"/>
          <w:snapToGrid/>
          <w:sz w:val="24"/>
          <w:szCs w:val="22"/>
        </w:rPr>
        <w:t>.</w:t>
      </w:r>
    </w:p>
    <w:p w:rsidR="009A09AF" w:rsidRPr="00CE7ECA" w:rsidRDefault="009A09AF" w:rsidP="00730E38">
      <w:pPr>
        <w:pStyle w:val="ListParagraph"/>
        <w:numPr>
          <w:ilvl w:val="1"/>
          <w:numId w:val="1"/>
        </w:numPr>
        <w:spacing w:before="120" w:after="160"/>
        <w:contextualSpacing w:val="0"/>
        <w:rPr>
          <w:rFonts w:asciiTheme="minorHAnsi" w:eastAsiaTheme="minorHAnsi" w:hAnsiTheme="minorHAnsi" w:cstheme="minorBidi"/>
          <w:sz w:val="24"/>
          <w:szCs w:val="24"/>
        </w:rPr>
      </w:pPr>
      <w:r w:rsidRPr="00CE7ECA">
        <w:rPr>
          <w:rFonts w:asciiTheme="minorHAnsi" w:eastAsiaTheme="minorHAnsi" w:hAnsiTheme="minorHAnsi" w:cstheme="minorBidi"/>
          <w:sz w:val="24"/>
          <w:szCs w:val="24"/>
        </w:rPr>
        <w:t>The PBAC advised that the Early Supply Rule should not apply to the listing of crizotinib.</w:t>
      </w:r>
    </w:p>
    <w:p w:rsidR="009A09AF" w:rsidRPr="00CE7ECA" w:rsidRDefault="009A09AF" w:rsidP="00730E38">
      <w:pPr>
        <w:pStyle w:val="ListParagraph"/>
        <w:numPr>
          <w:ilvl w:val="1"/>
          <w:numId w:val="1"/>
        </w:numPr>
        <w:spacing w:before="120" w:after="160"/>
        <w:contextualSpacing w:val="0"/>
        <w:rPr>
          <w:rFonts w:asciiTheme="minorHAnsi" w:eastAsiaTheme="minorHAnsi" w:hAnsiTheme="minorHAnsi" w:cstheme="minorBidi"/>
          <w:sz w:val="24"/>
          <w:szCs w:val="24"/>
        </w:rPr>
      </w:pPr>
      <w:r w:rsidRPr="00CE7ECA">
        <w:rPr>
          <w:rFonts w:asciiTheme="minorHAnsi" w:eastAsiaTheme="minorHAnsi" w:hAnsiTheme="minorHAnsi" w:cstheme="minorBidi"/>
          <w:sz w:val="24"/>
          <w:szCs w:val="24"/>
        </w:rPr>
        <w:t xml:space="preserve">The PBAC advised that under subsection 101(3BA) of the </w:t>
      </w:r>
      <w:r w:rsidRPr="00CE7ECA">
        <w:rPr>
          <w:rFonts w:asciiTheme="minorHAnsi" w:eastAsiaTheme="minorHAnsi" w:hAnsiTheme="minorHAnsi" w:cstheme="minorBidi"/>
          <w:i/>
          <w:sz w:val="24"/>
          <w:szCs w:val="24"/>
        </w:rPr>
        <w:t>National Health Act, 1953</w:t>
      </w:r>
      <w:r w:rsidRPr="00CE7ECA">
        <w:rPr>
          <w:rFonts w:asciiTheme="minorHAnsi" w:eastAsiaTheme="minorHAnsi" w:hAnsiTheme="minorHAnsi" w:cstheme="minorBidi"/>
          <w:sz w:val="24"/>
          <w:szCs w:val="24"/>
        </w:rPr>
        <w:t xml:space="preserve"> that crizotinib should not be treated as interchangeable on an individual patient basis with any other drugs.</w:t>
      </w:r>
    </w:p>
    <w:p w:rsidR="009A09AF" w:rsidRPr="00CE7ECA" w:rsidRDefault="009A09AF" w:rsidP="00730E38">
      <w:pPr>
        <w:pStyle w:val="ListParagraph"/>
        <w:numPr>
          <w:ilvl w:val="1"/>
          <w:numId w:val="1"/>
        </w:numPr>
        <w:spacing w:before="120" w:after="160"/>
        <w:contextualSpacing w:val="0"/>
        <w:rPr>
          <w:rFonts w:asciiTheme="minorHAnsi" w:eastAsiaTheme="minorHAnsi" w:hAnsiTheme="minorHAnsi" w:cstheme="minorBidi"/>
          <w:sz w:val="24"/>
          <w:szCs w:val="24"/>
        </w:rPr>
      </w:pPr>
      <w:r w:rsidRPr="00CE7ECA">
        <w:rPr>
          <w:rFonts w:asciiTheme="minorHAnsi" w:eastAsiaTheme="minorHAnsi" w:hAnsiTheme="minorHAnsi" w:cstheme="minorBidi"/>
          <w:sz w:val="24"/>
          <w:szCs w:val="24"/>
        </w:rPr>
        <w:t>The PBAC advised that crizotinib is not suitable for prescribing by nurse practitioners.</w:t>
      </w:r>
    </w:p>
    <w:p w:rsidR="009A09AF" w:rsidRPr="00CE7ECA" w:rsidRDefault="009A09AF" w:rsidP="00730E38">
      <w:pPr>
        <w:pStyle w:val="ListParagraph"/>
        <w:numPr>
          <w:ilvl w:val="1"/>
          <w:numId w:val="1"/>
        </w:numPr>
        <w:spacing w:before="120" w:after="160"/>
        <w:contextualSpacing w:val="0"/>
        <w:rPr>
          <w:rFonts w:asciiTheme="minorHAnsi" w:eastAsiaTheme="minorHAnsi" w:hAnsiTheme="minorHAnsi" w:cstheme="minorBidi"/>
          <w:sz w:val="24"/>
          <w:szCs w:val="24"/>
        </w:rPr>
      </w:pPr>
      <w:r w:rsidRPr="00CE7ECA">
        <w:rPr>
          <w:rFonts w:asciiTheme="minorHAnsi" w:eastAsiaTheme="minorHAnsi" w:hAnsiTheme="minorHAnsi" w:cstheme="minorBidi"/>
          <w:sz w:val="24"/>
          <w:szCs w:val="24"/>
        </w:rPr>
        <w:t>The PBAC noted that this submission is not eligible for an Independent Review because the PBAC has made a positive recommendation.</w:t>
      </w:r>
    </w:p>
    <w:p w:rsidR="009F1A55" w:rsidRPr="00CE7ECA" w:rsidRDefault="009F1A55" w:rsidP="009F1A55">
      <w:pPr>
        <w:spacing w:before="240"/>
        <w:jc w:val="both"/>
        <w:rPr>
          <w:rFonts w:asciiTheme="minorHAnsi" w:eastAsiaTheme="minorHAnsi" w:hAnsiTheme="minorHAnsi" w:cstheme="minorBidi"/>
          <w:b/>
          <w:szCs w:val="22"/>
          <w:lang w:eastAsia="en-US"/>
        </w:rPr>
      </w:pPr>
      <w:r w:rsidRPr="00CE7ECA">
        <w:rPr>
          <w:rFonts w:asciiTheme="minorHAnsi" w:eastAsiaTheme="minorHAnsi" w:hAnsiTheme="minorHAnsi" w:cstheme="minorBidi"/>
          <w:b/>
          <w:szCs w:val="22"/>
          <w:lang w:eastAsia="en-US"/>
        </w:rPr>
        <w:t>Outcome:</w:t>
      </w:r>
    </w:p>
    <w:p w:rsidR="009F1A55" w:rsidRPr="00CE7ECA" w:rsidRDefault="009F1A55" w:rsidP="009F1A55">
      <w:pPr>
        <w:jc w:val="both"/>
        <w:rPr>
          <w:rFonts w:asciiTheme="minorHAnsi" w:eastAsiaTheme="minorHAnsi" w:hAnsiTheme="minorHAnsi" w:cstheme="minorBidi"/>
          <w:szCs w:val="22"/>
          <w:lang w:eastAsia="en-US"/>
        </w:rPr>
      </w:pPr>
      <w:r w:rsidRPr="00CE7ECA">
        <w:rPr>
          <w:rFonts w:asciiTheme="minorHAnsi" w:eastAsiaTheme="minorHAnsi" w:hAnsiTheme="minorHAnsi" w:cstheme="minorBidi"/>
          <w:szCs w:val="22"/>
          <w:lang w:eastAsia="en-US"/>
        </w:rPr>
        <w:t xml:space="preserve">Recommended </w:t>
      </w:r>
    </w:p>
    <w:p w:rsidR="009F1A55" w:rsidRPr="00CE7ECA" w:rsidRDefault="009F1A55" w:rsidP="009F1A55">
      <w:pPr>
        <w:jc w:val="both"/>
        <w:rPr>
          <w:rFonts w:asciiTheme="minorHAnsi" w:eastAsiaTheme="minorHAnsi" w:hAnsiTheme="minorHAnsi" w:cstheme="minorBidi"/>
          <w:szCs w:val="22"/>
          <w:lang w:eastAsia="en-US"/>
        </w:rPr>
      </w:pPr>
    </w:p>
    <w:p w:rsidR="00EB72B9" w:rsidRDefault="00EB72B9">
      <w:pPr>
        <w:rPr>
          <w:rFonts w:asciiTheme="minorHAnsi" w:hAnsiTheme="minorHAnsi" w:cs="Arial"/>
          <w:b/>
          <w:snapToGrid w:val="0"/>
          <w:sz w:val="32"/>
          <w:szCs w:val="32"/>
          <w:lang w:eastAsia="en-US"/>
        </w:rPr>
      </w:pPr>
      <w:r>
        <w:rPr>
          <w:rFonts w:asciiTheme="minorHAnsi" w:hAnsiTheme="minorHAnsi"/>
          <w:sz w:val="32"/>
          <w:szCs w:val="32"/>
        </w:rPr>
        <w:br w:type="page"/>
      </w:r>
    </w:p>
    <w:p w:rsidR="009F1A55" w:rsidRPr="00CE7ECA" w:rsidRDefault="009F1A55" w:rsidP="00730E38">
      <w:pPr>
        <w:pStyle w:val="PBACHeading1"/>
        <w:spacing w:before="240" w:after="120"/>
        <w:rPr>
          <w:rFonts w:asciiTheme="minorHAnsi" w:hAnsiTheme="minorHAnsi"/>
          <w:sz w:val="32"/>
          <w:szCs w:val="32"/>
        </w:rPr>
      </w:pPr>
      <w:r w:rsidRPr="00CE7ECA">
        <w:rPr>
          <w:rFonts w:asciiTheme="minorHAnsi" w:hAnsiTheme="minorHAnsi"/>
          <w:sz w:val="32"/>
          <w:szCs w:val="32"/>
        </w:rPr>
        <w:lastRenderedPageBreak/>
        <w:t>Recommended listing</w:t>
      </w:r>
    </w:p>
    <w:p w:rsidR="009F1A55" w:rsidRPr="00CE7ECA" w:rsidRDefault="009F1A55" w:rsidP="00730E3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CE7ECA">
        <w:rPr>
          <w:rFonts w:asciiTheme="minorHAnsi" w:eastAsiaTheme="minorHAnsi" w:hAnsiTheme="minorHAnsi" w:cstheme="minorBidi"/>
          <w:snapToGrid/>
          <w:sz w:val="24"/>
          <w:szCs w:val="22"/>
        </w:rPr>
        <w:t>Add new item:</w:t>
      </w:r>
    </w:p>
    <w:tbl>
      <w:tblPr>
        <w:tblW w:w="4906" w:type="pct"/>
        <w:tblLook w:val="0000" w:firstRow="0" w:lastRow="0" w:firstColumn="0" w:lastColumn="0" w:noHBand="0" w:noVBand="0"/>
      </w:tblPr>
      <w:tblGrid>
        <w:gridCol w:w="1983"/>
        <w:gridCol w:w="2236"/>
        <w:gridCol w:w="711"/>
        <w:gridCol w:w="1277"/>
        <w:gridCol w:w="1416"/>
        <w:gridCol w:w="1445"/>
      </w:tblGrid>
      <w:tr w:rsidR="009D5628" w:rsidRPr="00CE7ECA" w:rsidTr="009D5628">
        <w:trPr>
          <w:cantSplit/>
          <w:trHeight w:val="465"/>
        </w:trPr>
        <w:tc>
          <w:tcPr>
            <w:tcW w:w="2326" w:type="pct"/>
            <w:gridSpan w:val="2"/>
            <w:tcBorders>
              <w:top w:val="single" w:sz="4" w:space="0" w:color="auto"/>
              <w:bottom w:val="single" w:sz="4" w:space="0" w:color="auto"/>
            </w:tcBorders>
          </w:tcPr>
          <w:p w:rsidR="009D5628" w:rsidRPr="00CE7ECA" w:rsidRDefault="009D5628" w:rsidP="001B18C3">
            <w:pPr>
              <w:keepNext/>
              <w:spacing w:before="40" w:after="40"/>
              <w:jc w:val="both"/>
              <w:rPr>
                <w:rFonts w:ascii="Arial Narrow" w:hAnsi="Arial Narrow" w:cs="Arial"/>
                <w:b/>
                <w:sz w:val="20"/>
                <w:szCs w:val="20"/>
              </w:rPr>
            </w:pPr>
            <w:r w:rsidRPr="00CE7ECA">
              <w:rPr>
                <w:rFonts w:ascii="Arial Narrow" w:hAnsi="Arial Narrow" w:cs="Arial"/>
                <w:b/>
                <w:sz w:val="20"/>
                <w:szCs w:val="20"/>
              </w:rPr>
              <w:t>Name, Restriction,</w:t>
            </w:r>
          </w:p>
          <w:p w:rsidR="009D5628" w:rsidRPr="00CE7ECA" w:rsidRDefault="009D5628" w:rsidP="001B18C3">
            <w:pPr>
              <w:keepNext/>
              <w:spacing w:before="40" w:after="40"/>
              <w:jc w:val="both"/>
              <w:rPr>
                <w:rFonts w:ascii="Arial Narrow" w:hAnsi="Arial Narrow" w:cs="Arial"/>
                <w:b/>
                <w:sz w:val="20"/>
                <w:szCs w:val="20"/>
              </w:rPr>
            </w:pPr>
            <w:r w:rsidRPr="00CE7ECA">
              <w:rPr>
                <w:rFonts w:ascii="Arial Narrow" w:hAnsi="Arial Narrow" w:cs="Arial"/>
                <w:b/>
                <w:sz w:val="20"/>
                <w:szCs w:val="20"/>
              </w:rPr>
              <w:t>Manner of administration and form</w:t>
            </w:r>
          </w:p>
        </w:tc>
        <w:tc>
          <w:tcPr>
            <w:tcW w:w="392" w:type="pct"/>
            <w:tcBorders>
              <w:top w:val="single" w:sz="4" w:space="0" w:color="auto"/>
              <w:bottom w:val="single" w:sz="4" w:space="0" w:color="auto"/>
            </w:tcBorders>
          </w:tcPr>
          <w:p w:rsidR="009D5628" w:rsidRPr="00CE7ECA" w:rsidRDefault="009D5628" w:rsidP="001B18C3">
            <w:pPr>
              <w:keepNext/>
              <w:spacing w:before="40" w:after="40"/>
              <w:jc w:val="both"/>
              <w:rPr>
                <w:rFonts w:ascii="Arial Narrow" w:hAnsi="Arial Narrow" w:cs="Arial"/>
                <w:b/>
                <w:sz w:val="20"/>
                <w:szCs w:val="20"/>
              </w:rPr>
            </w:pPr>
            <w:r w:rsidRPr="00CE7ECA">
              <w:rPr>
                <w:rFonts w:ascii="Arial Narrow" w:hAnsi="Arial Narrow" w:cs="Arial"/>
                <w:b/>
                <w:sz w:val="20"/>
                <w:szCs w:val="20"/>
              </w:rPr>
              <w:t>Max.</w:t>
            </w:r>
          </w:p>
          <w:p w:rsidR="009D5628" w:rsidRPr="00CE7ECA" w:rsidRDefault="009D5628" w:rsidP="001B18C3">
            <w:pPr>
              <w:keepNext/>
              <w:spacing w:before="40" w:after="40"/>
              <w:jc w:val="both"/>
              <w:rPr>
                <w:rFonts w:ascii="Arial Narrow" w:hAnsi="Arial Narrow" w:cs="Arial"/>
                <w:b/>
                <w:sz w:val="20"/>
                <w:szCs w:val="20"/>
              </w:rPr>
            </w:pPr>
            <w:r w:rsidRPr="00CE7ECA">
              <w:rPr>
                <w:rFonts w:ascii="Arial Narrow" w:hAnsi="Arial Narrow" w:cs="Arial"/>
                <w:b/>
                <w:sz w:val="20"/>
                <w:szCs w:val="20"/>
              </w:rPr>
              <w:t>Qty</w:t>
            </w:r>
          </w:p>
        </w:tc>
        <w:tc>
          <w:tcPr>
            <w:tcW w:w="704" w:type="pct"/>
            <w:tcBorders>
              <w:top w:val="single" w:sz="4" w:space="0" w:color="auto"/>
              <w:bottom w:val="single" w:sz="4" w:space="0" w:color="auto"/>
            </w:tcBorders>
          </w:tcPr>
          <w:p w:rsidR="009D5628" w:rsidRPr="00CE7ECA" w:rsidRDefault="009D5628" w:rsidP="001B18C3">
            <w:pPr>
              <w:keepNext/>
              <w:spacing w:before="40" w:after="40"/>
              <w:jc w:val="both"/>
              <w:rPr>
                <w:rFonts w:ascii="Arial Narrow" w:hAnsi="Arial Narrow" w:cs="Arial"/>
                <w:b/>
                <w:sz w:val="20"/>
                <w:szCs w:val="20"/>
              </w:rPr>
            </w:pPr>
            <w:r w:rsidRPr="00CE7ECA">
              <w:rPr>
                <w:rFonts w:ascii="Arial Narrow" w:hAnsi="Arial Narrow" w:cs="Arial"/>
                <w:b/>
                <w:sz w:val="20"/>
                <w:szCs w:val="20"/>
              </w:rPr>
              <w:t>№.of</w:t>
            </w:r>
          </w:p>
          <w:p w:rsidR="009D5628" w:rsidRPr="00CE7ECA" w:rsidRDefault="009D5628" w:rsidP="001B18C3">
            <w:pPr>
              <w:keepNext/>
              <w:spacing w:before="40" w:after="40"/>
              <w:rPr>
                <w:rFonts w:ascii="Arial Narrow" w:hAnsi="Arial Narrow" w:cs="Arial"/>
                <w:b/>
                <w:sz w:val="20"/>
                <w:szCs w:val="20"/>
              </w:rPr>
            </w:pPr>
            <w:r w:rsidRPr="00CE7ECA">
              <w:rPr>
                <w:rFonts w:ascii="Arial Narrow" w:hAnsi="Arial Narrow" w:cs="Arial"/>
                <w:b/>
                <w:sz w:val="20"/>
                <w:szCs w:val="20"/>
              </w:rPr>
              <w:t>Rpts</w:t>
            </w:r>
          </w:p>
        </w:tc>
        <w:tc>
          <w:tcPr>
            <w:tcW w:w="1578" w:type="pct"/>
            <w:gridSpan w:val="2"/>
            <w:tcBorders>
              <w:top w:val="single" w:sz="4" w:space="0" w:color="auto"/>
              <w:bottom w:val="single" w:sz="4" w:space="0" w:color="auto"/>
            </w:tcBorders>
          </w:tcPr>
          <w:p w:rsidR="009D5628" w:rsidRPr="00CE7ECA" w:rsidRDefault="009D5628" w:rsidP="001B18C3">
            <w:pPr>
              <w:keepNext/>
              <w:spacing w:before="40" w:after="40"/>
              <w:rPr>
                <w:rFonts w:ascii="Arial Narrow" w:hAnsi="Arial Narrow" w:cs="Arial"/>
                <w:b/>
                <w:sz w:val="20"/>
                <w:szCs w:val="20"/>
              </w:rPr>
            </w:pPr>
            <w:r w:rsidRPr="00CE7ECA">
              <w:rPr>
                <w:rFonts w:ascii="Arial Narrow" w:hAnsi="Arial Narrow" w:cs="Arial"/>
                <w:b/>
                <w:sz w:val="20"/>
                <w:szCs w:val="20"/>
              </w:rPr>
              <w:t>Proprietary Name and Manufacturer</w:t>
            </w:r>
          </w:p>
        </w:tc>
      </w:tr>
      <w:tr w:rsidR="009D5628" w:rsidRPr="00CE7ECA" w:rsidTr="009D5628">
        <w:trPr>
          <w:cantSplit/>
          <w:trHeight w:val="567"/>
        </w:trPr>
        <w:tc>
          <w:tcPr>
            <w:tcW w:w="2326" w:type="pct"/>
            <w:gridSpan w:val="2"/>
            <w:tcBorders>
              <w:top w:val="single" w:sz="4" w:space="0" w:color="auto"/>
            </w:tcBorders>
          </w:tcPr>
          <w:p w:rsidR="009D5628" w:rsidRPr="00CE7ECA" w:rsidRDefault="009D5628" w:rsidP="001B18C3">
            <w:pPr>
              <w:keepNext/>
              <w:spacing w:before="40" w:after="40"/>
              <w:jc w:val="both"/>
              <w:rPr>
                <w:rFonts w:ascii="Arial Narrow" w:hAnsi="Arial Narrow" w:cs="Arial"/>
                <w:sz w:val="20"/>
                <w:szCs w:val="20"/>
              </w:rPr>
            </w:pPr>
            <w:r w:rsidRPr="00CE7ECA">
              <w:rPr>
                <w:rFonts w:ascii="Arial Narrow" w:hAnsi="Arial Narrow" w:cs="Arial"/>
                <w:smallCaps/>
                <w:sz w:val="20"/>
                <w:szCs w:val="20"/>
              </w:rPr>
              <w:t>CRIZOTINIB</w:t>
            </w:r>
          </w:p>
          <w:p w:rsidR="009D5628" w:rsidRPr="00CE7ECA" w:rsidRDefault="009D5628" w:rsidP="00EE1D53">
            <w:pPr>
              <w:keepNext/>
              <w:spacing w:before="40" w:after="40"/>
              <w:jc w:val="both"/>
              <w:rPr>
                <w:rFonts w:ascii="Arial Narrow" w:hAnsi="Arial Narrow" w:cs="Arial"/>
                <w:sz w:val="20"/>
                <w:szCs w:val="20"/>
              </w:rPr>
            </w:pPr>
            <w:r w:rsidRPr="00CE7ECA">
              <w:rPr>
                <w:rFonts w:ascii="Arial Narrow" w:hAnsi="Arial Narrow" w:cs="Arial"/>
                <w:sz w:val="20"/>
                <w:szCs w:val="20"/>
              </w:rPr>
              <w:t>Capsule, 2</w:t>
            </w:r>
            <w:r w:rsidR="00EE1D53">
              <w:rPr>
                <w:rFonts w:ascii="Arial Narrow" w:hAnsi="Arial Narrow" w:cs="Arial"/>
                <w:sz w:val="20"/>
                <w:szCs w:val="20"/>
              </w:rPr>
              <w:t>0</w:t>
            </w:r>
            <w:r w:rsidRPr="00CE7ECA">
              <w:rPr>
                <w:rFonts w:ascii="Arial Narrow" w:hAnsi="Arial Narrow" w:cs="Arial"/>
                <w:sz w:val="20"/>
                <w:szCs w:val="20"/>
              </w:rPr>
              <w:t>0 mg, 60</w:t>
            </w:r>
          </w:p>
        </w:tc>
        <w:tc>
          <w:tcPr>
            <w:tcW w:w="392" w:type="pct"/>
            <w:tcBorders>
              <w:top w:val="single" w:sz="4" w:space="0" w:color="auto"/>
            </w:tcBorders>
          </w:tcPr>
          <w:p w:rsidR="009D5628" w:rsidRPr="00CE7ECA" w:rsidRDefault="009D5628" w:rsidP="001B18C3">
            <w:pPr>
              <w:keepNext/>
              <w:spacing w:before="40" w:after="40"/>
              <w:jc w:val="both"/>
              <w:rPr>
                <w:rFonts w:ascii="Arial Narrow" w:hAnsi="Arial Narrow" w:cs="Arial"/>
                <w:sz w:val="20"/>
                <w:szCs w:val="20"/>
              </w:rPr>
            </w:pPr>
          </w:p>
          <w:p w:rsidR="009D5628" w:rsidRPr="00CE7ECA" w:rsidRDefault="009D5628" w:rsidP="001B18C3">
            <w:pPr>
              <w:keepNext/>
              <w:spacing w:before="40" w:after="40"/>
              <w:jc w:val="both"/>
              <w:rPr>
                <w:rFonts w:ascii="Arial Narrow" w:hAnsi="Arial Narrow" w:cs="Arial"/>
                <w:sz w:val="20"/>
                <w:szCs w:val="20"/>
              </w:rPr>
            </w:pPr>
            <w:r w:rsidRPr="00CE7ECA">
              <w:rPr>
                <w:rFonts w:ascii="Arial Narrow" w:hAnsi="Arial Narrow" w:cs="Arial"/>
                <w:sz w:val="20"/>
                <w:szCs w:val="20"/>
              </w:rPr>
              <w:t>1</w:t>
            </w:r>
          </w:p>
        </w:tc>
        <w:tc>
          <w:tcPr>
            <w:tcW w:w="704" w:type="pct"/>
            <w:tcBorders>
              <w:top w:val="single" w:sz="4" w:space="0" w:color="auto"/>
            </w:tcBorders>
          </w:tcPr>
          <w:p w:rsidR="009D5628" w:rsidRPr="00CE7ECA" w:rsidRDefault="009D5628" w:rsidP="001B18C3">
            <w:pPr>
              <w:keepNext/>
              <w:spacing w:before="40" w:after="40"/>
              <w:jc w:val="both"/>
              <w:rPr>
                <w:rFonts w:ascii="Arial Narrow" w:hAnsi="Arial Narrow" w:cs="Arial"/>
                <w:sz w:val="20"/>
                <w:szCs w:val="20"/>
              </w:rPr>
            </w:pPr>
          </w:p>
          <w:p w:rsidR="009D5628" w:rsidRPr="00CE7ECA" w:rsidRDefault="009D5628" w:rsidP="001B18C3">
            <w:pPr>
              <w:keepNext/>
              <w:spacing w:before="40" w:after="40"/>
              <w:jc w:val="both"/>
              <w:rPr>
                <w:rFonts w:ascii="Arial Narrow" w:hAnsi="Arial Narrow" w:cs="Arial"/>
                <w:sz w:val="20"/>
                <w:szCs w:val="20"/>
              </w:rPr>
            </w:pPr>
            <w:r w:rsidRPr="00CE7ECA">
              <w:rPr>
                <w:rFonts w:ascii="Arial Narrow" w:hAnsi="Arial Narrow" w:cs="Arial"/>
                <w:sz w:val="20"/>
                <w:szCs w:val="20"/>
              </w:rPr>
              <w:t>1</w:t>
            </w:r>
          </w:p>
        </w:tc>
        <w:tc>
          <w:tcPr>
            <w:tcW w:w="781" w:type="pct"/>
            <w:tcBorders>
              <w:top w:val="single" w:sz="4" w:space="0" w:color="auto"/>
            </w:tcBorders>
          </w:tcPr>
          <w:p w:rsidR="009D5628" w:rsidRPr="00CE7ECA" w:rsidRDefault="009D5628" w:rsidP="001B18C3">
            <w:pPr>
              <w:keepNext/>
              <w:spacing w:before="40" w:after="40"/>
              <w:jc w:val="both"/>
              <w:rPr>
                <w:rFonts w:ascii="Arial Narrow" w:hAnsi="Arial Narrow" w:cs="Arial"/>
                <w:sz w:val="20"/>
                <w:szCs w:val="20"/>
              </w:rPr>
            </w:pPr>
          </w:p>
          <w:p w:rsidR="009D5628" w:rsidRPr="00CE7ECA" w:rsidRDefault="009D5628" w:rsidP="001B18C3">
            <w:pPr>
              <w:keepNext/>
              <w:spacing w:before="40" w:after="40"/>
              <w:jc w:val="both"/>
              <w:rPr>
                <w:rFonts w:ascii="Arial Narrow" w:hAnsi="Arial Narrow" w:cs="Arial"/>
                <w:sz w:val="20"/>
                <w:szCs w:val="20"/>
              </w:rPr>
            </w:pPr>
            <w:r w:rsidRPr="00CE7ECA">
              <w:rPr>
                <w:rFonts w:ascii="Arial Narrow" w:hAnsi="Arial Narrow" w:cs="Arial"/>
                <w:sz w:val="20"/>
                <w:szCs w:val="20"/>
              </w:rPr>
              <w:t xml:space="preserve">Xalkori </w:t>
            </w:r>
            <w:r w:rsidRPr="00CE7ECA">
              <w:rPr>
                <w:rFonts w:ascii="Arial Narrow" w:hAnsi="Arial Narrow" w:cs="Arial"/>
                <w:sz w:val="20"/>
                <w:szCs w:val="20"/>
                <w:vertAlign w:val="superscript"/>
              </w:rPr>
              <w:t>®</w:t>
            </w:r>
          </w:p>
        </w:tc>
        <w:tc>
          <w:tcPr>
            <w:tcW w:w="797" w:type="pct"/>
            <w:tcBorders>
              <w:top w:val="single" w:sz="4" w:space="0" w:color="auto"/>
            </w:tcBorders>
          </w:tcPr>
          <w:p w:rsidR="009D5628" w:rsidRPr="00CE7ECA" w:rsidRDefault="009D5628" w:rsidP="001B18C3">
            <w:pPr>
              <w:keepNext/>
              <w:spacing w:before="40" w:after="40"/>
              <w:jc w:val="both"/>
              <w:rPr>
                <w:rFonts w:ascii="Arial Narrow" w:hAnsi="Arial Narrow" w:cs="Arial"/>
                <w:sz w:val="20"/>
                <w:szCs w:val="20"/>
              </w:rPr>
            </w:pPr>
          </w:p>
          <w:p w:rsidR="009D5628" w:rsidRPr="00CE7ECA" w:rsidRDefault="009D5628" w:rsidP="001B18C3">
            <w:pPr>
              <w:keepNext/>
              <w:spacing w:before="40" w:after="40"/>
              <w:jc w:val="both"/>
              <w:rPr>
                <w:rFonts w:ascii="Arial Narrow" w:hAnsi="Arial Narrow" w:cs="Arial"/>
                <w:sz w:val="20"/>
                <w:szCs w:val="20"/>
              </w:rPr>
            </w:pPr>
            <w:r w:rsidRPr="00CE7ECA">
              <w:rPr>
                <w:rFonts w:ascii="Arial Narrow" w:hAnsi="Arial Narrow" w:cs="Arial"/>
                <w:sz w:val="20"/>
                <w:szCs w:val="20"/>
              </w:rPr>
              <w:t>Pfizer</w:t>
            </w:r>
          </w:p>
        </w:tc>
      </w:tr>
      <w:tr w:rsidR="009D5628" w:rsidRPr="00CE7ECA" w:rsidTr="009D5628">
        <w:trPr>
          <w:cantSplit/>
          <w:trHeight w:val="567"/>
        </w:trPr>
        <w:tc>
          <w:tcPr>
            <w:tcW w:w="2326" w:type="pct"/>
            <w:gridSpan w:val="2"/>
            <w:tcBorders>
              <w:bottom w:val="single" w:sz="4" w:space="0" w:color="auto"/>
            </w:tcBorders>
          </w:tcPr>
          <w:p w:rsidR="009D5628" w:rsidRPr="00CE7ECA" w:rsidRDefault="009D5628" w:rsidP="001B18C3">
            <w:pPr>
              <w:keepNext/>
              <w:spacing w:before="40" w:after="40"/>
              <w:jc w:val="both"/>
              <w:rPr>
                <w:rFonts w:ascii="Arial Narrow" w:hAnsi="Arial Narrow" w:cs="Arial"/>
                <w:smallCaps/>
                <w:sz w:val="20"/>
                <w:szCs w:val="20"/>
              </w:rPr>
            </w:pPr>
            <w:r w:rsidRPr="00CE7ECA">
              <w:rPr>
                <w:rFonts w:ascii="Arial Narrow" w:hAnsi="Arial Narrow" w:cs="Arial"/>
                <w:smallCaps/>
                <w:sz w:val="20"/>
                <w:szCs w:val="20"/>
              </w:rPr>
              <w:t>CRIZOTINIB</w:t>
            </w:r>
          </w:p>
          <w:p w:rsidR="009D5628" w:rsidRPr="00CE7ECA" w:rsidRDefault="009D5628" w:rsidP="001B18C3">
            <w:pPr>
              <w:keepNext/>
              <w:spacing w:before="40" w:after="40"/>
              <w:jc w:val="both"/>
              <w:rPr>
                <w:rFonts w:ascii="Arial Narrow" w:hAnsi="Arial Narrow" w:cs="Arial"/>
                <w:sz w:val="20"/>
                <w:szCs w:val="20"/>
              </w:rPr>
            </w:pPr>
            <w:r w:rsidRPr="00CE7ECA">
              <w:rPr>
                <w:rFonts w:ascii="Arial Narrow" w:hAnsi="Arial Narrow" w:cs="Arial"/>
                <w:sz w:val="20"/>
                <w:szCs w:val="20"/>
              </w:rPr>
              <w:t>Capsule, 250 mg, 60</w:t>
            </w:r>
          </w:p>
        </w:tc>
        <w:tc>
          <w:tcPr>
            <w:tcW w:w="392" w:type="pct"/>
            <w:tcBorders>
              <w:bottom w:val="single" w:sz="4" w:space="0" w:color="auto"/>
            </w:tcBorders>
          </w:tcPr>
          <w:p w:rsidR="009D5628" w:rsidRPr="00CE7ECA" w:rsidRDefault="009D5628" w:rsidP="001B18C3">
            <w:pPr>
              <w:keepNext/>
              <w:spacing w:before="40" w:after="40"/>
              <w:jc w:val="both"/>
              <w:rPr>
                <w:rFonts w:ascii="Arial Narrow" w:hAnsi="Arial Narrow" w:cs="Arial"/>
                <w:sz w:val="20"/>
                <w:szCs w:val="20"/>
              </w:rPr>
            </w:pPr>
          </w:p>
          <w:p w:rsidR="009D5628" w:rsidRPr="00CE7ECA" w:rsidRDefault="009D5628" w:rsidP="001B18C3">
            <w:pPr>
              <w:keepNext/>
              <w:spacing w:before="40" w:after="40"/>
              <w:jc w:val="both"/>
              <w:rPr>
                <w:rFonts w:ascii="Arial Narrow" w:hAnsi="Arial Narrow" w:cs="Arial"/>
                <w:sz w:val="20"/>
                <w:szCs w:val="20"/>
              </w:rPr>
            </w:pPr>
            <w:r w:rsidRPr="00CE7ECA">
              <w:rPr>
                <w:rFonts w:ascii="Arial Narrow" w:hAnsi="Arial Narrow" w:cs="Arial"/>
                <w:sz w:val="20"/>
                <w:szCs w:val="20"/>
              </w:rPr>
              <w:t>1</w:t>
            </w:r>
          </w:p>
        </w:tc>
        <w:tc>
          <w:tcPr>
            <w:tcW w:w="704" w:type="pct"/>
            <w:tcBorders>
              <w:bottom w:val="single" w:sz="4" w:space="0" w:color="auto"/>
            </w:tcBorders>
          </w:tcPr>
          <w:p w:rsidR="009D5628" w:rsidRPr="00CE7ECA" w:rsidRDefault="009D5628" w:rsidP="001B18C3">
            <w:pPr>
              <w:keepNext/>
              <w:spacing w:before="40" w:after="40"/>
              <w:jc w:val="both"/>
              <w:rPr>
                <w:rFonts w:ascii="Arial Narrow" w:hAnsi="Arial Narrow" w:cs="Arial"/>
                <w:sz w:val="20"/>
                <w:szCs w:val="20"/>
              </w:rPr>
            </w:pPr>
          </w:p>
          <w:p w:rsidR="009D5628" w:rsidRPr="00CE7ECA" w:rsidRDefault="009D5628" w:rsidP="001B18C3">
            <w:pPr>
              <w:keepNext/>
              <w:spacing w:before="40" w:after="40"/>
              <w:jc w:val="both"/>
              <w:rPr>
                <w:rFonts w:ascii="Arial Narrow" w:hAnsi="Arial Narrow" w:cs="Arial"/>
                <w:sz w:val="20"/>
                <w:szCs w:val="20"/>
              </w:rPr>
            </w:pPr>
            <w:r w:rsidRPr="00CE7ECA">
              <w:rPr>
                <w:rFonts w:ascii="Arial Narrow" w:hAnsi="Arial Narrow" w:cs="Arial"/>
                <w:sz w:val="20"/>
                <w:szCs w:val="20"/>
              </w:rPr>
              <w:t>1</w:t>
            </w:r>
          </w:p>
        </w:tc>
        <w:tc>
          <w:tcPr>
            <w:tcW w:w="781" w:type="pct"/>
            <w:tcBorders>
              <w:bottom w:val="single" w:sz="4" w:space="0" w:color="auto"/>
            </w:tcBorders>
          </w:tcPr>
          <w:p w:rsidR="009D5628" w:rsidRPr="00CE7ECA" w:rsidRDefault="009D5628" w:rsidP="001B18C3">
            <w:pPr>
              <w:keepNext/>
              <w:spacing w:before="40" w:after="40"/>
              <w:jc w:val="both"/>
              <w:rPr>
                <w:rFonts w:ascii="Arial Narrow" w:hAnsi="Arial Narrow" w:cs="Arial"/>
                <w:sz w:val="20"/>
                <w:szCs w:val="20"/>
              </w:rPr>
            </w:pPr>
          </w:p>
          <w:p w:rsidR="009D5628" w:rsidRPr="00CE7ECA" w:rsidRDefault="009D5628" w:rsidP="001B18C3">
            <w:pPr>
              <w:keepNext/>
              <w:spacing w:before="40" w:after="40"/>
              <w:jc w:val="both"/>
              <w:rPr>
                <w:rFonts w:ascii="Arial Narrow" w:hAnsi="Arial Narrow" w:cs="Arial"/>
                <w:sz w:val="20"/>
                <w:szCs w:val="20"/>
              </w:rPr>
            </w:pPr>
            <w:r w:rsidRPr="00CE7ECA">
              <w:rPr>
                <w:rFonts w:ascii="Arial Narrow" w:hAnsi="Arial Narrow" w:cs="Arial"/>
                <w:sz w:val="20"/>
                <w:szCs w:val="20"/>
              </w:rPr>
              <w:t xml:space="preserve">Xalkori </w:t>
            </w:r>
            <w:r w:rsidRPr="00CE7ECA">
              <w:rPr>
                <w:rFonts w:ascii="Arial Narrow" w:hAnsi="Arial Narrow" w:cs="Arial"/>
                <w:sz w:val="20"/>
                <w:szCs w:val="20"/>
                <w:vertAlign w:val="superscript"/>
              </w:rPr>
              <w:t>®</w:t>
            </w:r>
          </w:p>
        </w:tc>
        <w:tc>
          <w:tcPr>
            <w:tcW w:w="797" w:type="pct"/>
            <w:tcBorders>
              <w:bottom w:val="single" w:sz="4" w:space="0" w:color="auto"/>
            </w:tcBorders>
          </w:tcPr>
          <w:p w:rsidR="009D5628" w:rsidRPr="00CE7ECA" w:rsidRDefault="009D5628" w:rsidP="001B18C3">
            <w:pPr>
              <w:keepNext/>
              <w:spacing w:before="40" w:after="40"/>
              <w:jc w:val="both"/>
              <w:rPr>
                <w:rFonts w:ascii="Arial Narrow" w:hAnsi="Arial Narrow" w:cs="Arial"/>
                <w:sz w:val="20"/>
                <w:szCs w:val="20"/>
              </w:rPr>
            </w:pPr>
          </w:p>
          <w:p w:rsidR="009D5628" w:rsidRPr="00CE7ECA" w:rsidRDefault="009D5628" w:rsidP="001B18C3">
            <w:pPr>
              <w:keepNext/>
              <w:spacing w:before="40" w:after="40"/>
              <w:jc w:val="both"/>
              <w:rPr>
                <w:rFonts w:ascii="Arial Narrow" w:hAnsi="Arial Narrow" w:cs="Arial"/>
                <w:sz w:val="20"/>
                <w:szCs w:val="20"/>
              </w:rPr>
            </w:pPr>
            <w:r w:rsidRPr="00CE7ECA">
              <w:rPr>
                <w:rFonts w:ascii="Arial Narrow" w:hAnsi="Arial Narrow" w:cs="Arial"/>
                <w:sz w:val="20"/>
                <w:szCs w:val="20"/>
              </w:rPr>
              <w:t>Pfizer</w:t>
            </w:r>
          </w:p>
        </w:tc>
      </w:tr>
      <w:tr w:rsidR="009F1A55" w:rsidRPr="00CE7ECA" w:rsidTr="001B18C3">
        <w:trPr>
          <w:cantSplit/>
          <w:trHeight w:val="360"/>
        </w:trPr>
        <w:tc>
          <w:tcPr>
            <w:tcW w:w="5000" w:type="pct"/>
            <w:gridSpan w:val="6"/>
            <w:tcBorders>
              <w:top w:val="single" w:sz="4" w:space="0" w:color="auto"/>
              <w:bottom w:val="single" w:sz="4" w:space="0" w:color="auto"/>
            </w:tcBorders>
          </w:tcPr>
          <w:p w:rsidR="009F1A55" w:rsidRPr="00CE7ECA" w:rsidRDefault="009F1A55" w:rsidP="001B18C3">
            <w:pPr>
              <w:spacing w:before="40" w:after="40"/>
              <w:jc w:val="both"/>
              <w:rPr>
                <w:rFonts w:ascii="Arial Narrow" w:hAnsi="Arial Narrow" w:cs="Arial"/>
                <w:sz w:val="20"/>
                <w:szCs w:val="20"/>
              </w:rPr>
            </w:pPr>
          </w:p>
        </w:tc>
      </w:tr>
      <w:tr w:rsidR="009F1A55" w:rsidRPr="00CE7ECA" w:rsidTr="001B18C3">
        <w:trPr>
          <w:cantSplit/>
          <w:trHeight w:val="283"/>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Category / Program:</w:t>
            </w:r>
          </w:p>
        </w:tc>
        <w:tc>
          <w:tcPr>
            <w:tcW w:w="3907" w:type="pct"/>
            <w:gridSpan w:val="5"/>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GENERAL – General Schedule (Code GE)</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Prescriber type:</w:t>
            </w:r>
          </w:p>
        </w:tc>
        <w:tc>
          <w:tcPr>
            <w:tcW w:w="3907" w:type="pct"/>
            <w:gridSpan w:val="5"/>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1"/>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Dental  </w:t>
            </w:r>
            <w:r w:rsidRPr="00CE7ECA">
              <w:rPr>
                <w:rFonts w:ascii="Arial Narrow" w:hAnsi="Arial Narrow" w:cs="Arial"/>
                <w:sz w:val="20"/>
                <w:szCs w:val="20"/>
              </w:rPr>
              <w:fldChar w:fldCharType="begin">
                <w:ffData>
                  <w:name w:val=""/>
                  <w:enabled/>
                  <w:calcOnExit w:val="0"/>
                  <w:checkBox>
                    <w:sizeAuto/>
                    <w:default w:val="1"/>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Medical Practitioners  </w:t>
            </w:r>
            <w:r w:rsidRPr="00CE7ECA">
              <w:rPr>
                <w:rFonts w:ascii="Arial Narrow" w:hAnsi="Arial Narrow" w:cs="Arial"/>
                <w:sz w:val="20"/>
                <w:szCs w:val="20"/>
              </w:rPr>
              <w:fldChar w:fldCharType="begin">
                <w:ffData>
                  <w:name w:val="Check3"/>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Nurse practitioners  </w:t>
            </w: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Optometrists </w:t>
            </w: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Midwives</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Severity:</w:t>
            </w:r>
          </w:p>
        </w:tc>
        <w:tc>
          <w:tcPr>
            <w:tcW w:w="3907" w:type="pct"/>
            <w:gridSpan w:val="5"/>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Stage IIIB (locally advanced) or Stage IV (metastatic)</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Condition:</w:t>
            </w:r>
          </w:p>
        </w:tc>
        <w:tc>
          <w:tcPr>
            <w:tcW w:w="3907" w:type="pct"/>
            <w:gridSpan w:val="5"/>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Non-small cell lung cancer</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PBS Indication:</w:t>
            </w:r>
          </w:p>
        </w:tc>
        <w:tc>
          <w:tcPr>
            <w:tcW w:w="3907" w:type="pct"/>
            <w:gridSpan w:val="5"/>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Stage IIIB (locally advanced) or Stage IV (metastatic) non-small cell lung cancer</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Treatment phase:</w:t>
            </w:r>
          </w:p>
        </w:tc>
        <w:tc>
          <w:tcPr>
            <w:tcW w:w="3907" w:type="pct"/>
            <w:gridSpan w:val="5"/>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Initial treatment</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b/>
                <w:sz w:val="20"/>
                <w:szCs w:val="20"/>
              </w:rPr>
            </w:pPr>
            <w:r w:rsidRPr="00CE7ECA">
              <w:rPr>
                <w:rFonts w:ascii="Arial Narrow" w:hAnsi="Arial Narrow" w:cs="Arial"/>
                <w:b/>
                <w:sz w:val="20"/>
                <w:szCs w:val="20"/>
              </w:rPr>
              <w:t>Restriction Level / Method:</w:t>
            </w:r>
          </w:p>
          <w:p w:rsidR="009F1A55" w:rsidRPr="00CE7ECA" w:rsidRDefault="009F1A55" w:rsidP="001B18C3">
            <w:pPr>
              <w:spacing w:before="40" w:after="40"/>
              <w:rPr>
                <w:rFonts w:ascii="Arial Narrow" w:hAnsi="Arial Narrow" w:cs="Arial"/>
                <w:sz w:val="20"/>
                <w:szCs w:val="20"/>
              </w:rPr>
            </w:pPr>
          </w:p>
        </w:tc>
        <w:tc>
          <w:tcPr>
            <w:tcW w:w="3907" w:type="pct"/>
            <w:gridSpan w:val="5"/>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1"/>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Restricted benefit</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1"/>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In Writing</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3"/>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Telephone</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Emergency</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Electronic</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Streamlined</w:t>
            </w:r>
          </w:p>
        </w:tc>
      </w:tr>
      <w:tr w:rsidR="009F1A55" w:rsidRPr="00CE7ECA" w:rsidTr="001B18C3">
        <w:trPr>
          <w:cantSplit/>
          <w:trHeight w:val="157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Clinical criteria:</w:t>
            </w:r>
          </w:p>
        </w:tc>
        <w:tc>
          <w:tcPr>
            <w:tcW w:w="3907" w:type="pct"/>
            <w:gridSpan w:val="5"/>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The condition must be non-squamous type non-small cell lung cancer (NSCLC) or not otherwise specified type NSCLC,</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AND</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The treatment must be the sole PBS-subsidised therapy for this condition,</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AND</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Patient must have a WHO performance status of 2 or less.</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Population criteria:</w:t>
            </w:r>
          </w:p>
        </w:tc>
        <w:tc>
          <w:tcPr>
            <w:tcW w:w="3907" w:type="pct"/>
            <w:gridSpan w:val="5"/>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Patient must have evidence of ROS1 gene rearrangement in tumour material, defined as 15% (or greater) positive cells by fluorescence in situ hybridisation (FISH) testing.</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Prescriber instructions:</w:t>
            </w:r>
          </w:p>
        </w:tc>
        <w:tc>
          <w:tcPr>
            <w:tcW w:w="3907" w:type="pct"/>
            <w:gridSpan w:val="5"/>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The authority application must be made in writing and must include:</w:t>
            </w:r>
          </w:p>
          <w:p w:rsidR="009F1A55" w:rsidRPr="00CE7ECA" w:rsidRDefault="009F1A55" w:rsidP="00730E38">
            <w:pPr>
              <w:pStyle w:val="ListParagraph"/>
              <w:numPr>
                <w:ilvl w:val="0"/>
                <w:numId w:val="5"/>
              </w:numPr>
              <w:spacing w:before="40" w:after="40"/>
              <w:rPr>
                <w:rFonts w:ascii="Arial Narrow" w:hAnsi="Arial Narrow"/>
                <w:sz w:val="20"/>
              </w:rPr>
            </w:pPr>
            <w:r w:rsidRPr="00CE7ECA">
              <w:rPr>
                <w:rFonts w:ascii="Arial Narrow" w:hAnsi="Arial Narrow"/>
                <w:sz w:val="20"/>
              </w:rPr>
              <w:t xml:space="preserve">A completed authority prescription form; and </w:t>
            </w:r>
          </w:p>
          <w:p w:rsidR="009F1A55" w:rsidRPr="00CE7ECA" w:rsidRDefault="009F1A55" w:rsidP="00730E38">
            <w:pPr>
              <w:pStyle w:val="ListParagraph"/>
              <w:numPr>
                <w:ilvl w:val="0"/>
                <w:numId w:val="5"/>
              </w:numPr>
              <w:spacing w:before="40" w:after="40"/>
              <w:rPr>
                <w:rFonts w:ascii="Arial Narrow" w:hAnsi="Arial Narrow"/>
                <w:sz w:val="20"/>
              </w:rPr>
            </w:pPr>
            <w:r w:rsidRPr="00CE7ECA">
              <w:rPr>
                <w:rFonts w:ascii="Arial Narrow" w:hAnsi="Arial Narrow"/>
                <w:sz w:val="20"/>
              </w:rPr>
              <w:t>A completed ROS1-Positive Non-Small-Cell Lung Cancer Authority Application – Supporting Information Form, which includes details of ROS1 gene rearrangement in tumour material.</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Administrative advice:</w:t>
            </w:r>
          </w:p>
        </w:tc>
        <w:tc>
          <w:tcPr>
            <w:tcW w:w="3907" w:type="pct"/>
            <w:gridSpan w:val="5"/>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No increase in the maximum number of repeats may be authorised.</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Special Pricing Arrangements apply.</w:t>
            </w:r>
          </w:p>
        </w:tc>
      </w:tr>
    </w:tbl>
    <w:p w:rsidR="009F1A55" w:rsidRDefault="009F1A55" w:rsidP="009F1A55">
      <w:pPr>
        <w:rPr>
          <w:szCs w:val="22"/>
        </w:rPr>
      </w:pPr>
    </w:p>
    <w:p w:rsidR="00C3026B" w:rsidRPr="00CE7ECA" w:rsidRDefault="00C3026B" w:rsidP="009F1A55">
      <w:pPr>
        <w:rPr>
          <w:szCs w:val="22"/>
        </w:rPr>
      </w:pPr>
    </w:p>
    <w:p w:rsidR="00EB72B9" w:rsidRDefault="00EB72B9">
      <w:r>
        <w:br w:type="page"/>
      </w:r>
    </w:p>
    <w:tbl>
      <w:tblPr>
        <w:tblW w:w="4906" w:type="pct"/>
        <w:tblLook w:val="0000" w:firstRow="0" w:lastRow="0" w:firstColumn="0" w:lastColumn="0" w:noHBand="0" w:noVBand="0"/>
      </w:tblPr>
      <w:tblGrid>
        <w:gridCol w:w="1982"/>
        <w:gridCol w:w="7086"/>
      </w:tblGrid>
      <w:tr w:rsidR="009F1A55" w:rsidRPr="00CE7ECA" w:rsidTr="001B18C3">
        <w:trPr>
          <w:cantSplit/>
          <w:trHeight w:val="283"/>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lastRenderedPageBreak/>
              <w:t>Category / Program:</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GENERAL – General Schedule (Code GE)</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Prescriber type:</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1"/>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Dental  </w:t>
            </w:r>
            <w:r w:rsidRPr="00CE7ECA">
              <w:rPr>
                <w:rFonts w:ascii="Arial Narrow" w:hAnsi="Arial Narrow" w:cs="Arial"/>
                <w:sz w:val="20"/>
                <w:szCs w:val="20"/>
              </w:rPr>
              <w:fldChar w:fldCharType="begin">
                <w:ffData>
                  <w:name w:val=""/>
                  <w:enabled/>
                  <w:calcOnExit w:val="0"/>
                  <w:checkBox>
                    <w:sizeAuto/>
                    <w:default w:val="1"/>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Medical Practitioners  </w:t>
            </w:r>
            <w:r w:rsidRPr="00CE7ECA">
              <w:rPr>
                <w:rFonts w:ascii="Arial Narrow" w:hAnsi="Arial Narrow" w:cs="Arial"/>
                <w:sz w:val="20"/>
                <w:szCs w:val="20"/>
              </w:rPr>
              <w:fldChar w:fldCharType="begin">
                <w:ffData>
                  <w:name w:val="Check3"/>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Nurse practitioners  </w:t>
            </w: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Optometrists </w:t>
            </w: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Midwives</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Severity:</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Stage IIIB (locally advanced) or Stage IV (metastatic)</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Condition:</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Non-small cell lung cancer</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PBS Indication:</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Stage IIIB (locally advanced) or Stage IV (metastatic) non-small cell lung cancer</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Treatment phase:</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Continuing treatment</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b/>
                <w:sz w:val="20"/>
                <w:szCs w:val="20"/>
              </w:rPr>
            </w:pPr>
            <w:r w:rsidRPr="00CE7ECA">
              <w:rPr>
                <w:rFonts w:ascii="Arial Narrow" w:hAnsi="Arial Narrow" w:cs="Arial"/>
                <w:b/>
                <w:sz w:val="20"/>
                <w:szCs w:val="20"/>
              </w:rPr>
              <w:t>Restriction Level / Method:</w:t>
            </w:r>
          </w:p>
          <w:p w:rsidR="009F1A55" w:rsidRPr="00CE7ECA" w:rsidRDefault="009F1A55" w:rsidP="001B18C3">
            <w:pPr>
              <w:spacing w:before="40" w:after="40"/>
              <w:rPr>
                <w:rFonts w:ascii="Arial Narrow" w:hAnsi="Arial Narrow" w:cs="Arial"/>
                <w:sz w:val="20"/>
                <w:szCs w:val="20"/>
              </w:rPr>
            </w:pP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1"/>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Restricted benefit</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In Writing</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1"/>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Telephone</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Emergency</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Electronic</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Streamlined</w:t>
            </w:r>
          </w:p>
        </w:tc>
      </w:tr>
      <w:tr w:rsidR="009F1A55" w:rsidRPr="00CE7ECA" w:rsidTr="001B18C3">
        <w:trPr>
          <w:cantSplit/>
          <w:trHeight w:val="157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Clinical criteria:</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The treatment must be the sole PBS-subsidised therapy for this condition,</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AND</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Patient must have previously received PBS-subsidised treatment with this drug for this condition,</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AND</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Patient must not have progressive disease while receiving PBS-subsidised treatment with this drug for this condition.</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Prescriber instructions:</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sz w:val="20"/>
              </w:rPr>
            </w:pPr>
            <w:r w:rsidRPr="00CE7ECA">
              <w:rPr>
                <w:rFonts w:ascii="Arial Narrow" w:hAnsi="Arial Narrow"/>
                <w:sz w:val="20"/>
              </w:rPr>
              <w:t>Authority applications for continuing treatment may be made by telephone to the Department of Human Services on 1800 700 270 (hours of operation 8 a.m. to 5 p.m. EST Monday to Friday).</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Administrative advice:</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No increase in the maximum number of repeats may be authorised.</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Special Pricing Arrangements apply.</w:t>
            </w:r>
          </w:p>
        </w:tc>
      </w:tr>
    </w:tbl>
    <w:p w:rsidR="00EB72B9" w:rsidRDefault="00EB72B9">
      <w:pPr>
        <w:rPr>
          <w:szCs w:val="22"/>
        </w:rPr>
      </w:pPr>
    </w:p>
    <w:p w:rsidR="00730E38" w:rsidRDefault="00730E38"/>
    <w:tbl>
      <w:tblPr>
        <w:tblW w:w="4906" w:type="pct"/>
        <w:tblLook w:val="0000" w:firstRow="0" w:lastRow="0" w:firstColumn="0" w:lastColumn="0" w:noHBand="0" w:noVBand="0"/>
      </w:tblPr>
      <w:tblGrid>
        <w:gridCol w:w="1982"/>
        <w:gridCol w:w="7086"/>
      </w:tblGrid>
      <w:tr w:rsidR="009F1A55" w:rsidRPr="00CE7ECA" w:rsidTr="001B18C3">
        <w:trPr>
          <w:cantSplit/>
          <w:trHeight w:val="283"/>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Category / Program:</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GENERAL – General Schedule (Code GE)</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Prescriber type:</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1"/>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Dental  </w:t>
            </w:r>
            <w:r w:rsidRPr="00CE7ECA">
              <w:rPr>
                <w:rFonts w:ascii="Arial Narrow" w:hAnsi="Arial Narrow" w:cs="Arial"/>
                <w:sz w:val="20"/>
                <w:szCs w:val="20"/>
              </w:rPr>
              <w:fldChar w:fldCharType="begin">
                <w:ffData>
                  <w:name w:val=""/>
                  <w:enabled/>
                  <w:calcOnExit w:val="0"/>
                  <w:checkBox>
                    <w:sizeAuto/>
                    <w:default w:val="1"/>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Medical Practitioners  </w:t>
            </w:r>
            <w:r w:rsidRPr="00CE7ECA">
              <w:rPr>
                <w:rFonts w:ascii="Arial Narrow" w:hAnsi="Arial Narrow" w:cs="Arial"/>
                <w:sz w:val="20"/>
                <w:szCs w:val="20"/>
              </w:rPr>
              <w:fldChar w:fldCharType="begin">
                <w:ffData>
                  <w:name w:val="Check3"/>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Nurse practitioners  </w:t>
            </w: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 xml:space="preserve">Optometrists </w:t>
            </w: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Midwives</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Severity:</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Stage IIIB (locally advanced) or Stage IV (metastatic)</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Condition:</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Non-small cell lung cancer</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PBS Indication:</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Stage IIIB (locally advanced) or Stage IV (metastatic) non-small cell lung cancer</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Treatment phase:</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Grandfathering treatment</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b/>
                <w:sz w:val="20"/>
                <w:szCs w:val="20"/>
              </w:rPr>
            </w:pPr>
            <w:r w:rsidRPr="00CE7ECA">
              <w:rPr>
                <w:rFonts w:ascii="Arial Narrow" w:hAnsi="Arial Narrow" w:cs="Arial"/>
                <w:b/>
                <w:sz w:val="20"/>
                <w:szCs w:val="20"/>
              </w:rPr>
              <w:t>Restriction Level / Method:</w:t>
            </w:r>
          </w:p>
          <w:p w:rsidR="009F1A55" w:rsidRPr="00CE7ECA" w:rsidRDefault="009F1A55" w:rsidP="001B18C3">
            <w:pPr>
              <w:spacing w:before="40" w:after="40"/>
              <w:rPr>
                <w:rFonts w:ascii="Arial Narrow" w:hAnsi="Arial Narrow" w:cs="Arial"/>
                <w:sz w:val="20"/>
                <w:szCs w:val="20"/>
              </w:rPr>
            </w:pP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1"/>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Restricted benefit</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In Writing</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3"/>
                  <w:enabled/>
                  <w:calcOnExit w:val="0"/>
                  <w:checkBox>
                    <w:sizeAuto/>
                    <w:default w:val="1"/>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Telephone</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Emergency</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Authority Required - Electronic</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fldChar w:fldCharType="begin">
                <w:ffData>
                  <w:name w:val="Check5"/>
                  <w:enabled/>
                  <w:calcOnExit w:val="0"/>
                  <w:checkBox>
                    <w:sizeAuto/>
                    <w:default w:val="0"/>
                  </w:checkBox>
                </w:ffData>
              </w:fldChar>
            </w:r>
            <w:r w:rsidRPr="00CE7ECA">
              <w:rPr>
                <w:rFonts w:ascii="Arial Narrow" w:hAnsi="Arial Narrow" w:cs="Arial"/>
                <w:sz w:val="20"/>
                <w:szCs w:val="20"/>
              </w:rPr>
              <w:instrText xml:space="preserve"> FORMCHECKBOX </w:instrText>
            </w:r>
            <w:r w:rsidR="00044353">
              <w:rPr>
                <w:rFonts w:ascii="Arial Narrow" w:hAnsi="Arial Narrow" w:cs="Arial"/>
                <w:sz w:val="20"/>
                <w:szCs w:val="20"/>
              </w:rPr>
            </w:r>
            <w:r w:rsidR="00044353">
              <w:rPr>
                <w:rFonts w:ascii="Arial Narrow" w:hAnsi="Arial Narrow" w:cs="Arial"/>
                <w:sz w:val="20"/>
                <w:szCs w:val="20"/>
              </w:rPr>
              <w:fldChar w:fldCharType="separate"/>
            </w:r>
            <w:r w:rsidRPr="00CE7ECA">
              <w:rPr>
                <w:rFonts w:ascii="Arial Narrow" w:hAnsi="Arial Narrow" w:cs="Arial"/>
                <w:sz w:val="20"/>
                <w:szCs w:val="20"/>
              </w:rPr>
              <w:fldChar w:fldCharType="end"/>
            </w:r>
            <w:r w:rsidRPr="00CE7ECA">
              <w:rPr>
                <w:rFonts w:ascii="Arial Narrow" w:hAnsi="Arial Narrow" w:cs="Arial"/>
                <w:sz w:val="20"/>
                <w:szCs w:val="20"/>
              </w:rPr>
              <w:t>Streamlined</w:t>
            </w:r>
          </w:p>
        </w:tc>
      </w:tr>
      <w:tr w:rsidR="009F1A55" w:rsidRPr="00CE7ECA" w:rsidTr="001B18C3">
        <w:trPr>
          <w:cantSplit/>
          <w:trHeight w:val="157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lastRenderedPageBreak/>
              <w:t>Clinical criteria:</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 xml:space="preserve">Patient must have previously received non-PBS-subsidised treatment with this drug for this condition prior to [PBS listing date], </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AND</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The condition must be non-squamous type non-small cell lung cancer (NSCLC) or not otherwise specified type NSCLC,</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AND</w:t>
            </w:r>
          </w:p>
          <w:p w:rsidR="00880D97" w:rsidRPr="00CE7ECA" w:rsidRDefault="00880D97" w:rsidP="00880D97">
            <w:pPr>
              <w:spacing w:before="40" w:after="40"/>
              <w:rPr>
                <w:rFonts w:ascii="Arial Narrow" w:hAnsi="Arial Narrow" w:cs="Arial"/>
                <w:sz w:val="20"/>
                <w:szCs w:val="20"/>
              </w:rPr>
            </w:pPr>
            <w:r w:rsidRPr="00CE7ECA">
              <w:rPr>
                <w:rFonts w:ascii="Arial Narrow" w:hAnsi="Arial Narrow" w:cs="Arial"/>
                <w:sz w:val="20"/>
                <w:szCs w:val="20"/>
              </w:rPr>
              <w:t>Patient must have a WHO performance status of 2 or less,</w:t>
            </w:r>
          </w:p>
          <w:p w:rsidR="00880D97" w:rsidRPr="00CE7ECA" w:rsidRDefault="00880D97" w:rsidP="00880D97">
            <w:pPr>
              <w:spacing w:before="40" w:after="40"/>
              <w:rPr>
                <w:rFonts w:ascii="Arial Narrow" w:hAnsi="Arial Narrow" w:cs="Arial"/>
                <w:sz w:val="20"/>
                <w:szCs w:val="20"/>
              </w:rPr>
            </w:pPr>
            <w:r w:rsidRPr="00CE7ECA">
              <w:rPr>
                <w:rFonts w:ascii="Arial Narrow" w:hAnsi="Arial Narrow" w:cs="Arial"/>
                <w:sz w:val="20"/>
                <w:szCs w:val="20"/>
              </w:rPr>
              <w:t>AND</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The treatment must be the sole PBS-subsidised therapy for this condition,</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AND</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Patients may qualify for PBS-subsidised treatment under this restriction once only.</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Population criteria:</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Patient must have evidence of ROS1 gene rearrangement in tumour material, defined as 15% (or greater) positive cells by fluorescence in situ hybridisation (FISH) testing.</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Prescriber instructions:</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The authority application must be made in writing and must include:</w:t>
            </w:r>
          </w:p>
          <w:p w:rsidR="009F1A55" w:rsidRPr="00CE7ECA" w:rsidRDefault="009F1A55" w:rsidP="00730E38">
            <w:pPr>
              <w:pStyle w:val="ListParagraph"/>
              <w:numPr>
                <w:ilvl w:val="0"/>
                <w:numId w:val="6"/>
              </w:numPr>
              <w:spacing w:before="40" w:after="40"/>
              <w:rPr>
                <w:rFonts w:ascii="Arial Narrow" w:hAnsi="Arial Narrow"/>
                <w:sz w:val="20"/>
              </w:rPr>
            </w:pPr>
            <w:r w:rsidRPr="00CE7ECA">
              <w:rPr>
                <w:rFonts w:ascii="Arial Narrow" w:hAnsi="Arial Narrow"/>
                <w:sz w:val="20"/>
              </w:rPr>
              <w:t xml:space="preserve">A completed authority prescription form; and </w:t>
            </w:r>
          </w:p>
          <w:p w:rsidR="009F1A55" w:rsidRPr="00CE7ECA" w:rsidRDefault="009F1A55" w:rsidP="00730E38">
            <w:pPr>
              <w:pStyle w:val="ListParagraph"/>
              <w:numPr>
                <w:ilvl w:val="0"/>
                <w:numId w:val="6"/>
              </w:numPr>
              <w:spacing w:before="40" w:after="40"/>
              <w:rPr>
                <w:rFonts w:ascii="Arial Narrow" w:hAnsi="Arial Narrow"/>
                <w:sz w:val="20"/>
              </w:rPr>
            </w:pPr>
            <w:r w:rsidRPr="00CE7ECA">
              <w:rPr>
                <w:rFonts w:ascii="Arial Narrow" w:hAnsi="Arial Narrow"/>
                <w:sz w:val="20"/>
              </w:rPr>
              <w:t>A completed ROS1-Positive Non-Small-Cell Lung Cancer Authority Application – Supporting Information Form, which includes details of ROS1 gene rearrangement in tumour material.</w:t>
            </w:r>
          </w:p>
        </w:tc>
      </w:tr>
      <w:tr w:rsidR="009F1A55" w:rsidRPr="00CE7ECA" w:rsidTr="001B18C3">
        <w:trPr>
          <w:cantSplit/>
          <w:trHeight w:val="360"/>
        </w:trPr>
        <w:tc>
          <w:tcPr>
            <w:tcW w:w="1093"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jc w:val="both"/>
              <w:rPr>
                <w:rFonts w:ascii="Arial Narrow" w:hAnsi="Arial Narrow" w:cs="Arial"/>
                <w:b/>
                <w:sz w:val="20"/>
                <w:szCs w:val="20"/>
              </w:rPr>
            </w:pPr>
            <w:r w:rsidRPr="00CE7ECA">
              <w:rPr>
                <w:rFonts w:ascii="Arial Narrow" w:hAnsi="Arial Narrow" w:cs="Arial"/>
                <w:b/>
                <w:sz w:val="20"/>
                <w:szCs w:val="20"/>
              </w:rPr>
              <w:t>Administrative advice:</w:t>
            </w:r>
          </w:p>
        </w:tc>
        <w:tc>
          <w:tcPr>
            <w:tcW w:w="3907" w:type="pct"/>
            <w:tcBorders>
              <w:top w:val="single" w:sz="4" w:space="0" w:color="auto"/>
              <w:left w:val="single" w:sz="4" w:space="0" w:color="auto"/>
              <w:bottom w:val="single" w:sz="4" w:space="0" w:color="auto"/>
              <w:right w:val="single" w:sz="4" w:space="0" w:color="auto"/>
            </w:tcBorders>
          </w:tcPr>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No increase in the maximum number of repeats may be authorised.</w:t>
            </w:r>
          </w:p>
          <w:p w:rsidR="009F1A55" w:rsidRPr="00CE7ECA" w:rsidRDefault="009F1A55" w:rsidP="001B18C3">
            <w:pPr>
              <w:spacing w:before="40" w:after="40"/>
              <w:rPr>
                <w:rFonts w:ascii="Arial Narrow" w:hAnsi="Arial Narrow" w:cs="Arial"/>
                <w:sz w:val="20"/>
                <w:szCs w:val="20"/>
              </w:rPr>
            </w:pPr>
            <w:r w:rsidRPr="00CE7ECA">
              <w:rPr>
                <w:rFonts w:ascii="Arial Narrow" w:hAnsi="Arial Narrow" w:cs="Arial"/>
                <w:sz w:val="20"/>
                <w:szCs w:val="20"/>
              </w:rPr>
              <w:t>Special Pricing Arrangements apply.</w:t>
            </w:r>
          </w:p>
        </w:tc>
      </w:tr>
    </w:tbl>
    <w:p w:rsidR="00101DF7" w:rsidRPr="00CE7ECA" w:rsidRDefault="00101DF7" w:rsidP="00101DF7">
      <w:pPr>
        <w:rPr>
          <w:rFonts w:ascii="Calibri" w:hAnsi="Calibri" w:cs="Calibri"/>
        </w:rPr>
      </w:pPr>
    </w:p>
    <w:p w:rsidR="004E21D3" w:rsidRDefault="004E21D3" w:rsidP="004E21D3">
      <w:pPr>
        <w:pStyle w:val="PBACHeading1"/>
        <w:spacing w:before="240" w:after="120"/>
        <w:ind w:left="709" w:hanging="709"/>
        <w:rPr>
          <w:rFonts w:asciiTheme="minorHAnsi" w:hAnsiTheme="minorHAnsi"/>
          <w:sz w:val="32"/>
          <w:szCs w:val="32"/>
        </w:rPr>
      </w:pPr>
      <w:r>
        <w:rPr>
          <w:rFonts w:asciiTheme="minorHAnsi" w:hAnsiTheme="minorHAnsi"/>
          <w:sz w:val="32"/>
          <w:szCs w:val="32"/>
        </w:rPr>
        <w:t>Context for Decision</w:t>
      </w:r>
    </w:p>
    <w:p w:rsidR="00EB72B9" w:rsidRPr="00730E38" w:rsidRDefault="004E21D3" w:rsidP="00730E38">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E21D3" w:rsidRDefault="004E21D3" w:rsidP="004E21D3">
      <w:pPr>
        <w:pStyle w:val="PBACHeading1"/>
        <w:spacing w:before="240" w:after="120"/>
        <w:ind w:left="709" w:hanging="709"/>
        <w:rPr>
          <w:rFonts w:asciiTheme="minorHAnsi" w:hAnsiTheme="minorHAnsi"/>
          <w:sz w:val="32"/>
          <w:szCs w:val="32"/>
        </w:rPr>
      </w:pPr>
      <w:r>
        <w:rPr>
          <w:rFonts w:asciiTheme="minorHAnsi" w:hAnsiTheme="minorHAnsi"/>
          <w:sz w:val="32"/>
          <w:szCs w:val="32"/>
        </w:rPr>
        <w:t xml:space="preserve">Sponsor’s Comment </w:t>
      </w:r>
    </w:p>
    <w:p w:rsidR="004E21D3" w:rsidRPr="004E21D3" w:rsidRDefault="00B551D4" w:rsidP="00291DED">
      <w:pPr>
        <w:jc w:val="both"/>
      </w:pPr>
      <w:r w:rsidRPr="00B551D4">
        <w:rPr>
          <w:rFonts w:asciiTheme="minorHAnsi" w:hAnsiTheme="minorHAnsi" w:cs="Arial"/>
        </w:rPr>
        <w:t>Pfizer welcomes the PBAC’s recommendation to make crizotinib available for the treatment of advanced ROS1-positive non-small cell lung cancer; a rare disease with high unmet clinical need.</w:t>
      </w:r>
    </w:p>
    <w:p w:rsidR="009F1A55" w:rsidRPr="00CE7ECA" w:rsidRDefault="009F1A55" w:rsidP="009F1A55">
      <w:pPr>
        <w:rPr>
          <w:szCs w:val="22"/>
        </w:rPr>
      </w:pPr>
    </w:p>
    <w:sectPr w:rsidR="009F1A55" w:rsidRPr="00CE7ECA"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EF8" w:rsidRDefault="00FA7EF8">
      <w:r>
        <w:separator/>
      </w:r>
    </w:p>
    <w:p w:rsidR="00FA7EF8" w:rsidRDefault="00FA7EF8"/>
  </w:endnote>
  <w:endnote w:type="continuationSeparator" w:id="0">
    <w:p w:rsidR="00FA7EF8" w:rsidRDefault="00FA7EF8">
      <w:r>
        <w:continuationSeparator/>
      </w:r>
    </w:p>
    <w:p w:rsidR="00FA7EF8" w:rsidRDefault="00FA7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E4887" w:rsidTr="005A3173">
      <w:trPr>
        <w:trHeight w:val="151"/>
      </w:trPr>
      <w:tc>
        <w:tcPr>
          <w:tcW w:w="2250" w:type="pct"/>
          <w:tcBorders>
            <w:top w:val="nil"/>
            <w:left w:val="nil"/>
            <w:bottom w:val="single" w:sz="4" w:space="0" w:color="4F81BD"/>
            <w:right w:val="nil"/>
          </w:tcBorders>
        </w:tcPr>
        <w:p w:rsidR="00CE4887" w:rsidRPr="005A3173" w:rsidRDefault="00CE488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E4887" w:rsidRPr="005A3173" w:rsidRDefault="00CE488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E4887" w:rsidRPr="005A3173" w:rsidRDefault="00CE4887" w:rsidP="005A3173">
          <w:pPr>
            <w:pStyle w:val="Header"/>
            <w:spacing w:line="276" w:lineRule="auto"/>
            <w:rPr>
              <w:rFonts w:ascii="Calibri" w:eastAsia="MS Gothic" w:hAnsi="Calibri"/>
              <w:b/>
              <w:bCs/>
              <w:color w:val="4F81BD"/>
            </w:rPr>
          </w:pPr>
        </w:p>
      </w:tc>
    </w:tr>
    <w:tr w:rsidR="00CE4887" w:rsidTr="005A3173">
      <w:trPr>
        <w:trHeight w:val="150"/>
      </w:trPr>
      <w:tc>
        <w:tcPr>
          <w:tcW w:w="2250" w:type="pct"/>
          <w:tcBorders>
            <w:top w:val="single" w:sz="4" w:space="0" w:color="4F81BD"/>
            <w:left w:val="nil"/>
            <w:bottom w:val="nil"/>
            <w:right w:val="nil"/>
          </w:tcBorders>
        </w:tcPr>
        <w:p w:rsidR="00CE4887" w:rsidRPr="005A3173" w:rsidRDefault="00CE4887" w:rsidP="005A3173">
          <w:pPr>
            <w:pStyle w:val="Header"/>
            <w:spacing w:line="276" w:lineRule="auto"/>
            <w:rPr>
              <w:rFonts w:ascii="Calibri" w:eastAsia="MS Gothic" w:hAnsi="Calibri"/>
              <w:b/>
              <w:bCs/>
              <w:color w:val="4F81BD"/>
            </w:rPr>
          </w:pPr>
        </w:p>
      </w:tc>
      <w:tc>
        <w:tcPr>
          <w:tcW w:w="0" w:type="auto"/>
          <w:vMerge/>
          <w:vAlign w:val="center"/>
          <w:hideMark/>
        </w:tcPr>
        <w:p w:rsidR="00CE4887" w:rsidRPr="005A3173" w:rsidRDefault="00CE4887" w:rsidP="005A3173">
          <w:pPr>
            <w:rPr>
              <w:rFonts w:ascii="Calibri" w:hAnsi="Calibri"/>
              <w:color w:val="365F91"/>
              <w:sz w:val="22"/>
              <w:szCs w:val="22"/>
            </w:rPr>
          </w:pPr>
        </w:p>
      </w:tc>
      <w:tc>
        <w:tcPr>
          <w:tcW w:w="2250" w:type="pct"/>
          <w:tcBorders>
            <w:top w:val="single" w:sz="4" w:space="0" w:color="4F81BD"/>
            <w:left w:val="nil"/>
            <w:bottom w:val="nil"/>
            <w:right w:val="nil"/>
          </w:tcBorders>
        </w:tcPr>
        <w:p w:rsidR="00CE4887" w:rsidRPr="005A3173" w:rsidRDefault="00CE4887" w:rsidP="005A3173">
          <w:pPr>
            <w:pStyle w:val="Header"/>
            <w:spacing w:line="276" w:lineRule="auto"/>
            <w:rPr>
              <w:rFonts w:ascii="Calibri" w:eastAsia="MS Gothic" w:hAnsi="Calibri"/>
              <w:b/>
              <w:bCs/>
              <w:color w:val="4F81BD"/>
            </w:rPr>
          </w:pPr>
        </w:p>
      </w:tc>
    </w:tr>
  </w:tbl>
  <w:p w:rsidR="00CE4887" w:rsidRDefault="00CE488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4887" w:rsidRDefault="00CE4887">
    <w:pPr>
      <w:pStyle w:val="Footer"/>
    </w:pPr>
  </w:p>
  <w:p w:rsidR="00CE4887" w:rsidRDefault="00CE48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06835"/>
      <w:docPartObj>
        <w:docPartGallery w:val="Page Numbers (Bottom of Page)"/>
        <w:docPartUnique/>
      </w:docPartObj>
    </w:sdtPr>
    <w:sdtEndPr>
      <w:rPr>
        <w:rFonts w:ascii="Calibri" w:hAnsi="Calibri" w:cs="Arial"/>
        <w:b/>
        <w:noProof/>
        <w:sz w:val="20"/>
        <w:lang w:eastAsia="en-US"/>
      </w:rPr>
    </w:sdtEndPr>
    <w:sdtContent>
      <w:p w:rsidR="00CE4887" w:rsidRPr="00DB1662" w:rsidRDefault="00CE4887">
        <w:pPr>
          <w:pStyle w:val="Footer"/>
          <w:jc w:val="center"/>
          <w:rPr>
            <w:rFonts w:ascii="Calibri" w:hAnsi="Calibri" w:cs="Arial"/>
            <w:b/>
            <w:noProof/>
            <w:sz w:val="20"/>
            <w:lang w:eastAsia="en-US"/>
          </w:rPr>
        </w:pPr>
        <w:r w:rsidRPr="00DB1662">
          <w:rPr>
            <w:rFonts w:ascii="Calibri" w:hAnsi="Calibri" w:cs="Arial"/>
            <w:b/>
            <w:noProof/>
            <w:sz w:val="20"/>
            <w:lang w:eastAsia="en-US"/>
          </w:rPr>
          <w:fldChar w:fldCharType="begin"/>
        </w:r>
        <w:r w:rsidRPr="00DB1662">
          <w:rPr>
            <w:rFonts w:ascii="Calibri" w:hAnsi="Calibri" w:cs="Arial"/>
            <w:b/>
            <w:noProof/>
            <w:sz w:val="20"/>
            <w:lang w:eastAsia="en-US"/>
          </w:rPr>
          <w:instrText xml:space="preserve"> PAGE   \* MERGEFORMAT </w:instrText>
        </w:r>
        <w:r w:rsidRPr="00DB1662">
          <w:rPr>
            <w:rFonts w:ascii="Calibri" w:hAnsi="Calibri" w:cs="Arial"/>
            <w:b/>
            <w:noProof/>
            <w:sz w:val="20"/>
            <w:lang w:eastAsia="en-US"/>
          </w:rPr>
          <w:fldChar w:fldCharType="separate"/>
        </w:r>
        <w:r w:rsidR="00044353">
          <w:rPr>
            <w:rFonts w:ascii="Calibri" w:hAnsi="Calibri" w:cs="Arial"/>
            <w:b/>
            <w:noProof/>
            <w:sz w:val="20"/>
            <w:lang w:eastAsia="en-US"/>
          </w:rPr>
          <w:t>1</w:t>
        </w:r>
        <w:r w:rsidRPr="00DB1662">
          <w:rPr>
            <w:rFonts w:ascii="Calibri" w:hAnsi="Calibri" w:cs="Arial"/>
            <w:b/>
            <w:noProof/>
            <w:sz w:val="20"/>
            <w:lang w:eastAsia="en-US"/>
          </w:rPr>
          <w:fldChar w:fldCharType="end"/>
        </w:r>
      </w:p>
    </w:sdtContent>
  </w:sdt>
  <w:p w:rsidR="00CE4887" w:rsidRDefault="00CE4887"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E4887" w:rsidTr="005A3173">
      <w:trPr>
        <w:trHeight w:val="151"/>
      </w:trPr>
      <w:tc>
        <w:tcPr>
          <w:tcW w:w="2250" w:type="pct"/>
          <w:tcBorders>
            <w:top w:val="nil"/>
            <w:left w:val="nil"/>
            <w:bottom w:val="single" w:sz="4" w:space="0" w:color="4F81BD"/>
            <w:right w:val="nil"/>
          </w:tcBorders>
        </w:tcPr>
        <w:p w:rsidR="00CE4887" w:rsidRPr="005A3173" w:rsidRDefault="00CE488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E4887" w:rsidRPr="005A3173" w:rsidRDefault="00CE488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E4887" w:rsidRPr="005A3173" w:rsidRDefault="00CE4887" w:rsidP="005A3173">
          <w:pPr>
            <w:pStyle w:val="Header"/>
            <w:spacing w:line="276" w:lineRule="auto"/>
            <w:rPr>
              <w:rFonts w:ascii="Calibri" w:eastAsia="MS Gothic" w:hAnsi="Calibri"/>
              <w:b/>
              <w:bCs/>
              <w:color w:val="4F81BD"/>
            </w:rPr>
          </w:pPr>
        </w:p>
      </w:tc>
    </w:tr>
    <w:tr w:rsidR="00CE4887" w:rsidTr="005A3173">
      <w:trPr>
        <w:trHeight w:val="150"/>
      </w:trPr>
      <w:tc>
        <w:tcPr>
          <w:tcW w:w="2250" w:type="pct"/>
          <w:tcBorders>
            <w:top w:val="single" w:sz="4" w:space="0" w:color="4F81BD"/>
            <w:left w:val="nil"/>
            <w:bottom w:val="nil"/>
            <w:right w:val="nil"/>
          </w:tcBorders>
        </w:tcPr>
        <w:p w:rsidR="00CE4887" w:rsidRPr="005A3173" w:rsidRDefault="00CE4887" w:rsidP="005A3173">
          <w:pPr>
            <w:pStyle w:val="Header"/>
            <w:spacing w:line="276" w:lineRule="auto"/>
            <w:rPr>
              <w:rFonts w:ascii="Calibri" w:eastAsia="MS Gothic" w:hAnsi="Calibri"/>
              <w:b/>
              <w:bCs/>
              <w:color w:val="4F81BD"/>
            </w:rPr>
          </w:pPr>
        </w:p>
      </w:tc>
      <w:tc>
        <w:tcPr>
          <w:tcW w:w="0" w:type="auto"/>
          <w:vMerge/>
          <w:vAlign w:val="center"/>
          <w:hideMark/>
        </w:tcPr>
        <w:p w:rsidR="00CE4887" w:rsidRPr="005A3173" w:rsidRDefault="00CE4887" w:rsidP="005A3173">
          <w:pPr>
            <w:rPr>
              <w:rFonts w:ascii="Calibri" w:hAnsi="Calibri"/>
              <w:color w:val="365F91"/>
              <w:sz w:val="22"/>
              <w:szCs w:val="22"/>
            </w:rPr>
          </w:pPr>
        </w:p>
      </w:tc>
      <w:tc>
        <w:tcPr>
          <w:tcW w:w="2250" w:type="pct"/>
          <w:tcBorders>
            <w:top w:val="single" w:sz="4" w:space="0" w:color="4F81BD"/>
            <w:left w:val="nil"/>
            <w:bottom w:val="nil"/>
            <w:right w:val="nil"/>
          </w:tcBorders>
        </w:tcPr>
        <w:p w:rsidR="00CE4887" w:rsidRPr="005A3173" w:rsidRDefault="00CE488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E4887" w:rsidTr="005A3173">
      <w:trPr>
        <w:trHeight w:val="151"/>
      </w:trPr>
      <w:tc>
        <w:tcPr>
          <w:tcW w:w="2250" w:type="pct"/>
          <w:tcBorders>
            <w:top w:val="nil"/>
            <w:left w:val="nil"/>
            <w:bottom w:val="single" w:sz="4" w:space="0" w:color="4F81BD"/>
            <w:right w:val="nil"/>
          </w:tcBorders>
        </w:tcPr>
        <w:p w:rsidR="00CE4887" w:rsidRPr="005A3173" w:rsidRDefault="00CE488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E4887" w:rsidRPr="005A3173" w:rsidRDefault="00CE488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E4887" w:rsidRPr="005A3173" w:rsidRDefault="00CE4887" w:rsidP="005A3173">
          <w:pPr>
            <w:pStyle w:val="Header"/>
            <w:spacing w:line="276" w:lineRule="auto"/>
            <w:rPr>
              <w:rFonts w:ascii="Calibri" w:eastAsia="MS Gothic" w:hAnsi="Calibri"/>
              <w:b/>
              <w:bCs/>
              <w:color w:val="4F81BD"/>
            </w:rPr>
          </w:pPr>
        </w:p>
      </w:tc>
    </w:tr>
    <w:tr w:rsidR="00CE4887" w:rsidTr="005A3173">
      <w:trPr>
        <w:trHeight w:val="150"/>
      </w:trPr>
      <w:tc>
        <w:tcPr>
          <w:tcW w:w="2250" w:type="pct"/>
          <w:tcBorders>
            <w:top w:val="single" w:sz="4" w:space="0" w:color="4F81BD"/>
            <w:left w:val="nil"/>
            <w:bottom w:val="nil"/>
            <w:right w:val="nil"/>
          </w:tcBorders>
        </w:tcPr>
        <w:p w:rsidR="00CE4887" w:rsidRPr="005A3173" w:rsidRDefault="00CE4887" w:rsidP="005A3173">
          <w:pPr>
            <w:pStyle w:val="Header"/>
            <w:spacing w:line="276" w:lineRule="auto"/>
            <w:rPr>
              <w:rFonts w:ascii="Calibri" w:eastAsia="MS Gothic" w:hAnsi="Calibri"/>
              <w:b/>
              <w:bCs/>
              <w:color w:val="4F81BD"/>
            </w:rPr>
          </w:pPr>
        </w:p>
      </w:tc>
      <w:tc>
        <w:tcPr>
          <w:tcW w:w="0" w:type="auto"/>
          <w:vMerge/>
          <w:vAlign w:val="center"/>
          <w:hideMark/>
        </w:tcPr>
        <w:p w:rsidR="00CE4887" w:rsidRPr="005A3173" w:rsidRDefault="00CE4887" w:rsidP="005A3173">
          <w:pPr>
            <w:rPr>
              <w:rFonts w:ascii="Calibri" w:hAnsi="Calibri"/>
              <w:color w:val="365F91"/>
              <w:sz w:val="22"/>
              <w:szCs w:val="22"/>
            </w:rPr>
          </w:pPr>
        </w:p>
      </w:tc>
      <w:tc>
        <w:tcPr>
          <w:tcW w:w="2250" w:type="pct"/>
          <w:tcBorders>
            <w:top w:val="single" w:sz="4" w:space="0" w:color="4F81BD"/>
            <w:left w:val="nil"/>
            <w:bottom w:val="nil"/>
            <w:right w:val="nil"/>
          </w:tcBorders>
        </w:tcPr>
        <w:p w:rsidR="00CE4887" w:rsidRPr="005A3173" w:rsidRDefault="00CE4887" w:rsidP="005A3173">
          <w:pPr>
            <w:pStyle w:val="Header"/>
            <w:spacing w:line="276" w:lineRule="auto"/>
            <w:rPr>
              <w:rFonts w:ascii="Calibri" w:eastAsia="MS Gothic" w:hAnsi="Calibri"/>
              <w:b/>
              <w:bCs/>
              <w:color w:val="4F81BD"/>
            </w:rPr>
          </w:pPr>
        </w:p>
      </w:tc>
    </w:tr>
  </w:tbl>
  <w:p w:rsidR="00CE4887" w:rsidRPr="007C0F57" w:rsidRDefault="00CE488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E4887" w:rsidRPr="007C0F57" w:rsidRDefault="00CE4887" w:rsidP="007C0F57">
    <w:pPr>
      <w:pStyle w:val="Footer"/>
      <w:jc w:val="center"/>
      <w:rPr>
        <w:b/>
        <w:i/>
        <w:sz w:val="20"/>
        <w:szCs w:val="20"/>
      </w:rPr>
    </w:pPr>
    <w:r w:rsidRPr="007C0F57">
      <w:rPr>
        <w:b/>
        <w:i/>
        <w:sz w:val="20"/>
        <w:szCs w:val="20"/>
      </w:rPr>
      <w:t>Commercial-in-Confidence</w:t>
    </w:r>
  </w:p>
  <w:p w:rsidR="00CE4887" w:rsidRDefault="00CE48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EF8" w:rsidRDefault="00FA7EF8">
      <w:r>
        <w:separator/>
      </w:r>
    </w:p>
    <w:p w:rsidR="00FA7EF8" w:rsidRDefault="00FA7EF8"/>
  </w:footnote>
  <w:footnote w:type="continuationSeparator" w:id="0">
    <w:p w:rsidR="00FA7EF8" w:rsidRDefault="00FA7EF8">
      <w:r>
        <w:continuationSeparator/>
      </w:r>
    </w:p>
    <w:p w:rsidR="00FA7EF8" w:rsidRDefault="00FA7EF8"/>
  </w:footnote>
  <w:footnote w:id="1">
    <w:p w:rsidR="00CE4887" w:rsidRDefault="00CE4887">
      <w:pPr>
        <w:pStyle w:val="FootnoteText"/>
      </w:pPr>
      <w:r>
        <w:rPr>
          <w:rStyle w:val="FootnoteReference"/>
        </w:rPr>
        <w:footnoteRef/>
      </w:r>
      <w:r>
        <w:t xml:space="preserve"> </w:t>
      </w:r>
      <w:r w:rsidRPr="000C074C">
        <w:t>Cherny NI, Dafni U, Bogaerts J, et al: ESMO-Magnitude of Clinical Benefit Scale version 1.1. Annals of Oncology 28:2340-2366, 2017</w:t>
      </w:r>
    </w:p>
  </w:footnote>
  <w:footnote w:id="2">
    <w:p w:rsidR="00CE4887" w:rsidRDefault="00CE4887" w:rsidP="009A3942">
      <w:pPr>
        <w:pStyle w:val="FootnoteText"/>
      </w:pPr>
      <w:r>
        <w:rPr>
          <w:rStyle w:val="FootnoteReference"/>
        </w:rPr>
        <w:footnoteRef/>
      </w:r>
      <w:r>
        <w:t xml:space="preserve"> Expert Rev Anticancer Ther. 2012 Apr;12(4):447-56. doi: 10.1586/era.12.17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E4887" w:rsidRPr="008E0D90" w:rsidTr="00A06225">
      <w:trPr>
        <w:trHeight w:val="151"/>
      </w:trPr>
      <w:tc>
        <w:tcPr>
          <w:tcW w:w="2389" w:type="pct"/>
          <w:tcBorders>
            <w:top w:val="nil"/>
            <w:left w:val="nil"/>
            <w:bottom w:val="single" w:sz="4" w:space="0" w:color="4F81BD"/>
            <w:right w:val="nil"/>
          </w:tcBorders>
        </w:tcPr>
        <w:p w:rsidR="00CE4887" w:rsidRPr="00A06225" w:rsidRDefault="00CE4887">
          <w:pPr>
            <w:pStyle w:val="Header"/>
            <w:spacing w:line="276" w:lineRule="auto"/>
            <w:rPr>
              <w:rFonts w:ascii="Cambria" w:eastAsia="MS Gothic" w:hAnsi="Cambria"/>
              <w:b/>
              <w:bCs/>
              <w:color w:val="4F81BD"/>
            </w:rPr>
          </w:pPr>
        </w:p>
      </w:tc>
      <w:tc>
        <w:tcPr>
          <w:tcW w:w="333" w:type="pct"/>
          <w:vMerge w:val="restart"/>
          <w:noWrap/>
          <w:vAlign w:val="center"/>
          <w:hideMark/>
        </w:tcPr>
        <w:p w:rsidR="00CE4887" w:rsidRPr="00A06225" w:rsidRDefault="00CE488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E4887" w:rsidRPr="00A06225" w:rsidRDefault="00CE4887">
          <w:pPr>
            <w:pStyle w:val="Header"/>
            <w:spacing w:line="276" w:lineRule="auto"/>
            <w:rPr>
              <w:rFonts w:ascii="Cambria" w:eastAsia="MS Gothic" w:hAnsi="Cambria"/>
              <w:b/>
              <w:bCs/>
              <w:color w:val="4F81BD"/>
            </w:rPr>
          </w:pPr>
        </w:p>
      </w:tc>
    </w:tr>
    <w:tr w:rsidR="00CE4887" w:rsidRPr="008E0D90" w:rsidTr="00A06225">
      <w:trPr>
        <w:trHeight w:val="150"/>
      </w:trPr>
      <w:tc>
        <w:tcPr>
          <w:tcW w:w="2389" w:type="pct"/>
          <w:tcBorders>
            <w:top w:val="single" w:sz="4" w:space="0" w:color="4F81BD"/>
            <w:left w:val="nil"/>
            <w:bottom w:val="nil"/>
            <w:right w:val="nil"/>
          </w:tcBorders>
        </w:tcPr>
        <w:p w:rsidR="00CE4887" w:rsidRPr="00A06225" w:rsidRDefault="00CE4887">
          <w:pPr>
            <w:pStyle w:val="Header"/>
            <w:spacing w:line="276" w:lineRule="auto"/>
            <w:rPr>
              <w:rFonts w:ascii="Cambria" w:eastAsia="MS Gothic" w:hAnsi="Cambria"/>
              <w:b/>
              <w:bCs/>
              <w:color w:val="4F81BD"/>
            </w:rPr>
          </w:pPr>
        </w:p>
      </w:tc>
      <w:tc>
        <w:tcPr>
          <w:tcW w:w="0" w:type="auto"/>
          <w:vMerge/>
          <w:vAlign w:val="center"/>
          <w:hideMark/>
        </w:tcPr>
        <w:p w:rsidR="00CE4887" w:rsidRPr="00A06225" w:rsidRDefault="00CE4887">
          <w:pPr>
            <w:rPr>
              <w:rFonts w:ascii="Cambria" w:hAnsi="Cambria"/>
              <w:color w:val="4F81BD"/>
              <w:sz w:val="22"/>
              <w:szCs w:val="22"/>
            </w:rPr>
          </w:pPr>
        </w:p>
      </w:tc>
      <w:tc>
        <w:tcPr>
          <w:tcW w:w="2278" w:type="pct"/>
          <w:tcBorders>
            <w:top w:val="single" w:sz="4" w:space="0" w:color="4F81BD"/>
            <w:left w:val="nil"/>
            <w:bottom w:val="nil"/>
            <w:right w:val="nil"/>
          </w:tcBorders>
        </w:tcPr>
        <w:p w:rsidR="00CE4887" w:rsidRPr="00A06225" w:rsidRDefault="00CE4887">
          <w:pPr>
            <w:pStyle w:val="Header"/>
            <w:spacing w:line="276" w:lineRule="auto"/>
            <w:rPr>
              <w:rFonts w:ascii="Cambria" w:eastAsia="MS Gothic" w:hAnsi="Cambria"/>
              <w:b/>
              <w:bCs/>
              <w:color w:val="4F81BD"/>
            </w:rPr>
          </w:pPr>
        </w:p>
      </w:tc>
    </w:tr>
  </w:tbl>
  <w:p w:rsidR="00CE4887" w:rsidRDefault="00CE4887">
    <w:pPr>
      <w:pStyle w:val="Header"/>
    </w:pPr>
  </w:p>
  <w:p w:rsidR="00CE4887" w:rsidRDefault="00CE48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87" w:rsidRPr="00EA5923" w:rsidRDefault="00CE4887" w:rsidP="00EA5923">
    <w:pPr>
      <w:tabs>
        <w:tab w:val="center" w:pos="4513"/>
        <w:tab w:val="right" w:pos="9026"/>
      </w:tabs>
      <w:jc w:val="center"/>
      <w:rPr>
        <w:rFonts w:asciiTheme="minorHAnsi" w:eastAsiaTheme="minorHAnsi" w:hAnsiTheme="minorHAnsi" w:cstheme="minorHAnsi"/>
        <w:i/>
        <w:color w:val="808080"/>
        <w:sz w:val="22"/>
        <w:szCs w:val="22"/>
        <w:lang w:eastAsia="en-US"/>
      </w:rPr>
    </w:pPr>
    <w:r w:rsidRPr="00EA5923">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EA5923">
      <w:rPr>
        <w:rFonts w:asciiTheme="minorHAnsi" w:eastAsiaTheme="minorHAnsi" w:hAnsiTheme="minorHAnsi" w:cstheme="minorHAnsi"/>
        <w:i/>
        <w:color w:val="808080"/>
        <w:sz w:val="22"/>
        <w:szCs w:val="22"/>
        <w:lang w:eastAsia="en-US"/>
      </w:rPr>
      <w:t xml:space="preserve"> PBAC Meeting</w:t>
    </w:r>
  </w:p>
  <w:p w:rsidR="00CE4887" w:rsidRPr="00C41320" w:rsidRDefault="00CE4887" w:rsidP="00C413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nsid w:val="000B5062"/>
    <w:multiLevelType w:val="hybridMultilevel"/>
    <w:tmpl w:val="0F488312"/>
    <w:lvl w:ilvl="0" w:tplc="EC88CF0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31448A5"/>
    <w:multiLevelType w:val="multilevel"/>
    <w:tmpl w:val="F358147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A6B4CBB"/>
    <w:multiLevelType w:val="multilevel"/>
    <w:tmpl w:val="F358147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389736EB"/>
    <w:multiLevelType w:val="hybridMultilevel"/>
    <w:tmpl w:val="4FB2BB74"/>
    <w:lvl w:ilvl="0" w:tplc="0C24296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48B638ED"/>
    <w:multiLevelType w:val="multilevel"/>
    <w:tmpl w:val="473E65F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3EE1D20"/>
    <w:multiLevelType w:val="multilevel"/>
    <w:tmpl w:val="FA5E6A74"/>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6802462"/>
    <w:multiLevelType w:val="multilevel"/>
    <w:tmpl w:val="F1F2658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84D033C"/>
    <w:multiLevelType w:val="multilevel"/>
    <w:tmpl w:val="E046720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0"/>
  </w:num>
  <w:num w:numId="3">
    <w:abstractNumId w:val="4"/>
  </w:num>
  <w:num w:numId="4">
    <w:abstractNumId w:val="8"/>
  </w:num>
  <w:num w:numId="5">
    <w:abstractNumId w:val="5"/>
  </w:num>
  <w:num w:numId="6">
    <w:abstractNumId w:val="1"/>
  </w:num>
  <w:num w:numId="7">
    <w:abstractNumId w:val="7"/>
  </w:num>
  <w:num w:numId="8">
    <w:abstractNumId w:val="3"/>
  </w:num>
  <w:num w:numId="9">
    <w:abstractNumId w:val="2"/>
  </w:num>
  <w:num w:numId="10">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Grimison">
    <w15:presenceInfo w15:providerId="Windows Live" w15:userId="3f62feba80998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5831"/>
    <w:rsid w:val="00006881"/>
    <w:rsid w:val="00014A0F"/>
    <w:rsid w:val="0002464A"/>
    <w:rsid w:val="00024BD4"/>
    <w:rsid w:val="0003106B"/>
    <w:rsid w:val="000421A1"/>
    <w:rsid w:val="0004240E"/>
    <w:rsid w:val="00044353"/>
    <w:rsid w:val="0004540E"/>
    <w:rsid w:val="00045E26"/>
    <w:rsid w:val="000514B5"/>
    <w:rsid w:val="00060E64"/>
    <w:rsid w:val="0006607C"/>
    <w:rsid w:val="00066755"/>
    <w:rsid w:val="00077143"/>
    <w:rsid w:val="00082169"/>
    <w:rsid w:val="00082FBC"/>
    <w:rsid w:val="000969AD"/>
    <w:rsid w:val="000A1401"/>
    <w:rsid w:val="000A34A0"/>
    <w:rsid w:val="000A3EED"/>
    <w:rsid w:val="000B0702"/>
    <w:rsid w:val="000B1B38"/>
    <w:rsid w:val="000B558D"/>
    <w:rsid w:val="000B6902"/>
    <w:rsid w:val="000C02EE"/>
    <w:rsid w:val="000C074C"/>
    <w:rsid w:val="000C6996"/>
    <w:rsid w:val="000D23BA"/>
    <w:rsid w:val="000E480E"/>
    <w:rsid w:val="000E681E"/>
    <w:rsid w:val="000F0003"/>
    <w:rsid w:val="000F2ABF"/>
    <w:rsid w:val="000F4E6A"/>
    <w:rsid w:val="00101DF7"/>
    <w:rsid w:val="00104227"/>
    <w:rsid w:val="001107BF"/>
    <w:rsid w:val="00112426"/>
    <w:rsid w:val="0012417C"/>
    <w:rsid w:val="001338A7"/>
    <w:rsid w:val="00141367"/>
    <w:rsid w:val="00142395"/>
    <w:rsid w:val="00142714"/>
    <w:rsid w:val="001452ED"/>
    <w:rsid w:val="00163329"/>
    <w:rsid w:val="00164623"/>
    <w:rsid w:val="0016598A"/>
    <w:rsid w:val="00165B64"/>
    <w:rsid w:val="0017125F"/>
    <w:rsid w:val="00171AC0"/>
    <w:rsid w:val="001830CE"/>
    <w:rsid w:val="00185D95"/>
    <w:rsid w:val="0018643B"/>
    <w:rsid w:val="00187C36"/>
    <w:rsid w:val="00190BC1"/>
    <w:rsid w:val="00193AD2"/>
    <w:rsid w:val="00196307"/>
    <w:rsid w:val="001A33EA"/>
    <w:rsid w:val="001A5008"/>
    <w:rsid w:val="001A51E0"/>
    <w:rsid w:val="001A7F74"/>
    <w:rsid w:val="001B017F"/>
    <w:rsid w:val="001B18C3"/>
    <w:rsid w:val="001B2BBC"/>
    <w:rsid w:val="001B5129"/>
    <w:rsid w:val="001C1195"/>
    <w:rsid w:val="001D20B4"/>
    <w:rsid w:val="001E5F33"/>
    <w:rsid w:val="001F1850"/>
    <w:rsid w:val="001F201C"/>
    <w:rsid w:val="001F4998"/>
    <w:rsid w:val="001F62E9"/>
    <w:rsid w:val="00203FAC"/>
    <w:rsid w:val="00206672"/>
    <w:rsid w:val="00213CFB"/>
    <w:rsid w:val="00217BE1"/>
    <w:rsid w:val="00220942"/>
    <w:rsid w:val="002247A0"/>
    <w:rsid w:val="00232168"/>
    <w:rsid w:val="00232E2F"/>
    <w:rsid w:val="00235050"/>
    <w:rsid w:val="00245200"/>
    <w:rsid w:val="00247633"/>
    <w:rsid w:val="00260A3D"/>
    <w:rsid w:val="00271BA1"/>
    <w:rsid w:val="002762FA"/>
    <w:rsid w:val="00277505"/>
    <w:rsid w:val="002830E6"/>
    <w:rsid w:val="00287B47"/>
    <w:rsid w:val="00291DED"/>
    <w:rsid w:val="00292871"/>
    <w:rsid w:val="0029379A"/>
    <w:rsid w:val="0029458F"/>
    <w:rsid w:val="002A104C"/>
    <w:rsid w:val="002A33C5"/>
    <w:rsid w:val="002A4960"/>
    <w:rsid w:val="002B1AE6"/>
    <w:rsid w:val="002B2DE8"/>
    <w:rsid w:val="002B30F8"/>
    <w:rsid w:val="002B4221"/>
    <w:rsid w:val="002B5596"/>
    <w:rsid w:val="002B792F"/>
    <w:rsid w:val="002C08AF"/>
    <w:rsid w:val="002C212F"/>
    <w:rsid w:val="002C4F25"/>
    <w:rsid w:val="002C6128"/>
    <w:rsid w:val="002D4543"/>
    <w:rsid w:val="002E14F2"/>
    <w:rsid w:val="002E3153"/>
    <w:rsid w:val="002E61E8"/>
    <w:rsid w:val="002E72CA"/>
    <w:rsid w:val="002E7773"/>
    <w:rsid w:val="002F01EC"/>
    <w:rsid w:val="002F2188"/>
    <w:rsid w:val="002F5D76"/>
    <w:rsid w:val="00300AD6"/>
    <w:rsid w:val="00310F91"/>
    <w:rsid w:val="00317C6C"/>
    <w:rsid w:val="00326C9B"/>
    <w:rsid w:val="00326E79"/>
    <w:rsid w:val="00333425"/>
    <w:rsid w:val="0033518A"/>
    <w:rsid w:val="00335BA6"/>
    <w:rsid w:val="003367EF"/>
    <w:rsid w:val="00337D25"/>
    <w:rsid w:val="003405DF"/>
    <w:rsid w:val="00341AE4"/>
    <w:rsid w:val="00342495"/>
    <w:rsid w:val="00347050"/>
    <w:rsid w:val="003530EF"/>
    <w:rsid w:val="003532B4"/>
    <w:rsid w:val="003543E0"/>
    <w:rsid w:val="00360119"/>
    <w:rsid w:val="0036590E"/>
    <w:rsid w:val="003872CF"/>
    <w:rsid w:val="00390F39"/>
    <w:rsid w:val="00394602"/>
    <w:rsid w:val="00395A72"/>
    <w:rsid w:val="0039782C"/>
    <w:rsid w:val="00397FB0"/>
    <w:rsid w:val="003A21A9"/>
    <w:rsid w:val="003A5B4A"/>
    <w:rsid w:val="003A7C76"/>
    <w:rsid w:val="003B23C5"/>
    <w:rsid w:val="003B2A75"/>
    <w:rsid w:val="003B34C2"/>
    <w:rsid w:val="003B395F"/>
    <w:rsid w:val="003B6124"/>
    <w:rsid w:val="003C05D6"/>
    <w:rsid w:val="003C2FB5"/>
    <w:rsid w:val="003C3296"/>
    <w:rsid w:val="003C57C6"/>
    <w:rsid w:val="003C6587"/>
    <w:rsid w:val="003D4AC4"/>
    <w:rsid w:val="003D4C68"/>
    <w:rsid w:val="003D63B7"/>
    <w:rsid w:val="003D6886"/>
    <w:rsid w:val="003E468B"/>
    <w:rsid w:val="003E7397"/>
    <w:rsid w:val="003F112D"/>
    <w:rsid w:val="003F3228"/>
    <w:rsid w:val="003F5C8C"/>
    <w:rsid w:val="003F6CDC"/>
    <w:rsid w:val="00417E51"/>
    <w:rsid w:val="0042103E"/>
    <w:rsid w:val="004252A6"/>
    <w:rsid w:val="004252EC"/>
    <w:rsid w:val="00433F25"/>
    <w:rsid w:val="0043418E"/>
    <w:rsid w:val="0044239B"/>
    <w:rsid w:val="004445DF"/>
    <w:rsid w:val="00445FCD"/>
    <w:rsid w:val="004465BD"/>
    <w:rsid w:val="00454292"/>
    <w:rsid w:val="00454B33"/>
    <w:rsid w:val="00466ADA"/>
    <w:rsid w:val="00466DCE"/>
    <w:rsid w:val="00472713"/>
    <w:rsid w:val="004737EF"/>
    <w:rsid w:val="00476245"/>
    <w:rsid w:val="00483035"/>
    <w:rsid w:val="004834BB"/>
    <w:rsid w:val="00485940"/>
    <w:rsid w:val="004913B5"/>
    <w:rsid w:val="0049156E"/>
    <w:rsid w:val="004A2484"/>
    <w:rsid w:val="004A5A85"/>
    <w:rsid w:val="004A71D1"/>
    <w:rsid w:val="004B0C46"/>
    <w:rsid w:val="004B5640"/>
    <w:rsid w:val="004C1BD7"/>
    <w:rsid w:val="004C31FE"/>
    <w:rsid w:val="004C420C"/>
    <w:rsid w:val="004C691D"/>
    <w:rsid w:val="004C6C07"/>
    <w:rsid w:val="004C7967"/>
    <w:rsid w:val="004D4E6A"/>
    <w:rsid w:val="004D5F1C"/>
    <w:rsid w:val="004E21D3"/>
    <w:rsid w:val="004E692D"/>
    <w:rsid w:val="004F048D"/>
    <w:rsid w:val="004F5534"/>
    <w:rsid w:val="004F7201"/>
    <w:rsid w:val="00501554"/>
    <w:rsid w:val="005063B0"/>
    <w:rsid w:val="00514CD7"/>
    <w:rsid w:val="00525CAF"/>
    <w:rsid w:val="005319B2"/>
    <w:rsid w:val="00532402"/>
    <w:rsid w:val="00532C74"/>
    <w:rsid w:val="00534E2E"/>
    <w:rsid w:val="00537EBA"/>
    <w:rsid w:val="00541053"/>
    <w:rsid w:val="00544552"/>
    <w:rsid w:val="00561FBE"/>
    <w:rsid w:val="00577C4D"/>
    <w:rsid w:val="005803BC"/>
    <w:rsid w:val="00580E66"/>
    <w:rsid w:val="00581932"/>
    <w:rsid w:val="0058505D"/>
    <w:rsid w:val="005963BB"/>
    <w:rsid w:val="005973EE"/>
    <w:rsid w:val="005A3173"/>
    <w:rsid w:val="005A3223"/>
    <w:rsid w:val="005A3DA3"/>
    <w:rsid w:val="005A5119"/>
    <w:rsid w:val="005A524E"/>
    <w:rsid w:val="005A52C4"/>
    <w:rsid w:val="005B3CA5"/>
    <w:rsid w:val="005B7610"/>
    <w:rsid w:val="005D03AB"/>
    <w:rsid w:val="005D28F3"/>
    <w:rsid w:val="005D5017"/>
    <w:rsid w:val="005E1333"/>
    <w:rsid w:val="005E41A1"/>
    <w:rsid w:val="00601A91"/>
    <w:rsid w:val="00602BA3"/>
    <w:rsid w:val="00612E34"/>
    <w:rsid w:val="00614159"/>
    <w:rsid w:val="00617C00"/>
    <w:rsid w:val="00622BFA"/>
    <w:rsid w:val="006263BF"/>
    <w:rsid w:val="0062748A"/>
    <w:rsid w:val="00630A2C"/>
    <w:rsid w:val="0063682E"/>
    <w:rsid w:val="006430B0"/>
    <w:rsid w:val="006436CD"/>
    <w:rsid w:val="0064746D"/>
    <w:rsid w:val="00651169"/>
    <w:rsid w:val="0065266E"/>
    <w:rsid w:val="00653D69"/>
    <w:rsid w:val="00655B7E"/>
    <w:rsid w:val="0066350A"/>
    <w:rsid w:val="00663C6A"/>
    <w:rsid w:val="006670BE"/>
    <w:rsid w:val="00670A76"/>
    <w:rsid w:val="006711AA"/>
    <w:rsid w:val="00672B57"/>
    <w:rsid w:val="00675622"/>
    <w:rsid w:val="006906DB"/>
    <w:rsid w:val="00691E6C"/>
    <w:rsid w:val="006940F9"/>
    <w:rsid w:val="0069419C"/>
    <w:rsid w:val="00696129"/>
    <w:rsid w:val="00697CF2"/>
    <w:rsid w:val="006A0846"/>
    <w:rsid w:val="006A12A5"/>
    <w:rsid w:val="006A31AC"/>
    <w:rsid w:val="006A7055"/>
    <w:rsid w:val="006B0D94"/>
    <w:rsid w:val="006B485D"/>
    <w:rsid w:val="006B5996"/>
    <w:rsid w:val="006C56D3"/>
    <w:rsid w:val="006C5840"/>
    <w:rsid w:val="006C708E"/>
    <w:rsid w:val="006D023D"/>
    <w:rsid w:val="006D5A6B"/>
    <w:rsid w:val="006D6EC7"/>
    <w:rsid w:val="006D7D3B"/>
    <w:rsid w:val="006E1993"/>
    <w:rsid w:val="006F3E93"/>
    <w:rsid w:val="006F4983"/>
    <w:rsid w:val="006F5125"/>
    <w:rsid w:val="00702B6F"/>
    <w:rsid w:val="0071340B"/>
    <w:rsid w:val="007174BB"/>
    <w:rsid w:val="0072025D"/>
    <w:rsid w:val="0073087D"/>
    <w:rsid w:val="00730E38"/>
    <w:rsid w:val="00730E44"/>
    <w:rsid w:val="007353D3"/>
    <w:rsid w:val="00737742"/>
    <w:rsid w:val="00737AA3"/>
    <w:rsid w:val="00745776"/>
    <w:rsid w:val="0075514D"/>
    <w:rsid w:val="0076420C"/>
    <w:rsid w:val="00766E04"/>
    <w:rsid w:val="00773265"/>
    <w:rsid w:val="0077338D"/>
    <w:rsid w:val="007753C2"/>
    <w:rsid w:val="007830F4"/>
    <w:rsid w:val="007838B8"/>
    <w:rsid w:val="007A504E"/>
    <w:rsid w:val="007B5877"/>
    <w:rsid w:val="007B60BE"/>
    <w:rsid w:val="007C0F57"/>
    <w:rsid w:val="007C40B6"/>
    <w:rsid w:val="007C729F"/>
    <w:rsid w:val="007D16F1"/>
    <w:rsid w:val="007D6CA5"/>
    <w:rsid w:val="007E1D28"/>
    <w:rsid w:val="007E6110"/>
    <w:rsid w:val="007E7A70"/>
    <w:rsid w:val="007F2540"/>
    <w:rsid w:val="007F2641"/>
    <w:rsid w:val="007F6AFB"/>
    <w:rsid w:val="007F7885"/>
    <w:rsid w:val="007F7C36"/>
    <w:rsid w:val="008026BF"/>
    <w:rsid w:val="00806796"/>
    <w:rsid w:val="00807392"/>
    <w:rsid w:val="0080786F"/>
    <w:rsid w:val="008151D6"/>
    <w:rsid w:val="00817F79"/>
    <w:rsid w:val="00826A99"/>
    <w:rsid w:val="00826F6D"/>
    <w:rsid w:val="008306F3"/>
    <w:rsid w:val="00844964"/>
    <w:rsid w:val="00850A61"/>
    <w:rsid w:val="00856DDD"/>
    <w:rsid w:val="00862162"/>
    <w:rsid w:val="0086334D"/>
    <w:rsid w:val="00863E68"/>
    <w:rsid w:val="0086620D"/>
    <w:rsid w:val="00867525"/>
    <w:rsid w:val="00872A65"/>
    <w:rsid w:val="0087411A"/>
    <w:rsid w:val="00874648"/>
    <w:rsid w:val="00875CAC"/>
    <w:rsid w:val="0087631B"/>
    <w:rsid w:val="0088098A"/>
    <w:rsid w:val="00880D97"/>
    <w:rsid w:val="00882085"/>
    <w:rsid w:val="008822C3"/>
    <w:rsid w:val="00883188"/>
    <w:rsid w:val="00884ECA"/>
    <w:rsid w:val="00885153"/>
    <w:rsid w:val="00890B36"/>
    <w:rsid w:val="00891F69"/>
    <w:rsid w:val="00893B24"/>
    <w:rsid w:val="00893CD8"/>
    <w:rsid w:val="00897D58"/>
    <w:rsid w:val="00897F22"/>
    <w:rsid w:val="008A1956"/>
    <w:rsid w:val="008A4937"/>
    <w:rsid w:val="008A50F1"/>
    <w:rsid w:val="008A6254"/>
    <w:rsid w:val="008A721B"/>
    <w:rsid w:val="008B00E3"/>
    <w:rsid w:val="008B2231"/>
    <w:rsid w:val="008C3B41"/>
    <w:rsid w:val="008D0FE5"/>
    <w:rsid w:val="008D1B5C"/>
    <w:rsid w:val="008D3C82"/>
    <w:rsid w:val="008D447E"/>
    <w:rsid w:val="008D7A41"/>
    <w:rsid w:val="008E1B27"/>
    <w:rsid w:val="008E3680"/>
    <w:rsid w:val="008E5870"/>
    <w:rsid w:val="008F1434"/>
    <w:rsid w:val="008F42E6"/>
    <w:rsid w:val="008F7355"/>
    <w:rsid w:val="00900DEA"/>
    <w:rsid w:val="0090288E"/>
    <w:rsid w:val="00906641"/>
    <w:rsid w:val="009067B7"/>
    <w:rsid w:val="009105C9"/>
    <w:rsid w:val="00927B32"/>
    <w:rsid w:val="00930937"/>
    <w:rsid w:val="00933E6C"/>
    <w:rsid w:val="00937958"/>
    <w:rsid w:val="00942160"/>
    <w:rsid w:val="00943294"/>
    <w:rsid w:val="00944C02"/>
    <w:rsid w:val="00946336"/>
    <w:rsid w:val="009465B3"/>
    <w:rsid w:val="0095146F"/>
    <w:rsid w:val="009550D6"/>
    <w:rsid w:val="009602C5"/>
    <w:rsid w:val="00961994"/>
    <w:rsid w:val="00962223"/>
    <w:rsid w:val="00966D0D"/>
    <w:rsid w:val="00974C21"/>
    <w:rsid w:val="009768B3"/>
    <w:rsid w:val="0098456D"/>
    <w:rsid w:val="009A09AF"/>
    <w:rsid w:val="009A3942"/>
    <w:rsid w:val="009A4E1B"/>
    <w:rsid w:val="009B0F67"/>
    <w:rsid w:val="009C45FD"/>
    <w:rsid w:val="009C703C"/>
    <w:rsid w:val="009D2709"/>
    <w:rsid w:val="009D39EB"/>
    <w:rsid w:val="009D3CAA"/>
    <w:rsid w:val="009D5628"/>
    <w:rsid w:val="009E3BDD"/>
    <w:rsid w:val="009F1A55"/>
    <w:rsid w:val="009F4E46"/>
    <w:rsid w:val="009F5B65"/>
    <w:rsid w:val="009F5F2E"/>
    <w:rsid w:val="00A06225"/>
    <w:rsid w:val="00A11A22"/>
    <w:rsid w:val="00A128E6"/>
    <w:rsid w:val="00A2043D"/>
    <w:rsid w:val="00A3341E"/>
    <w:rsid w:val="00A335C4"/>
    <w:rsid w:val="00A34E6C"/>
    <w:rsid w:val="00A35992"/>
    <w:rsid w:val="00A37C8D"/>
    <w:rsid w:val="00A44841"/>
    <w:rsid w:val="00A5273B"/>
    <w:rsid w:val="00A53A9D"/>
    <w:rsid w:val="00A53EEF"/>
    <w:rsid w:val="00A55FEE"/>
    <w:rsid w:val="00A62C1A"/>
    <w:rsid w:val="00A63600"/>
    <w:rsid w:val="00A63899"/>
    <w:rsid w:val="00A6426D"/>
    <w:rsid w:val="00A64D36"/>
    <w:rsid w:val="00A665C1"/>
    <w:rsid w:val="00A66725"/>
    <w:rsid w:val="00A70622"/>
    <w:rsid w:val="00A70977"/>
    <w:rsid w:val="00A70CB0"/>
    <w:rsid w:val="00A77613"/>
    <w:rsid w:val="00A8390C"/>
    <w:rsid w:val="00A8441A"/>
    <w:rsid w:val="00A928BD"/>
    <w:rsid w:val="00A97E9E"/>
    <w:rsid w:val="00AA2DD7"/>
    <w:rsid w:val="00AA4D1C"/>
    <w:rsid w:val="00AB3083"/>
    <w:rsid w:val="00AB4D42"/>
    <w:rsid w:val="00AC193C"/>
    <w:rsid w:val="00AC5206"/>
    <w:rsid w:val="00AC696E"/>
    <w:rsid w:val="00AE11A5"/>
    <w:rsid w:val="00AE13E2"/>
    <w:rsid w:val="00AE22D3"/>
    <w:rsid w:val="00AF62DF"/>
    <w:rsid w:val="00AF68CC"/>
    <w:rsid w:val="00B008C6"/>
    <w:rsid w:val="00B03397"/>
    <w:rsid w:val="00B06B46"/>
    <w:rsid w:val="00B1059E"/>
    <w:rsid w:val="00B10B04"/>
    <w:rsid w:val="00B15FD5"/>
    <w:rsid w:val="00B176C8"/>
    <w:rsid w:val="00B205AA"/>
    <w:rsid w:val="00B22E84"/>
    <w:rsid w:val="00B25B80"/>
    <w:rsid w:val="00B25F75"/>
    <w:rsid w:val="00B26B3F"/>
    <w:rsid w:val="00B27E12"/>
    <w:rsid w:val="00B43641"/>
    <w:rsid w:val="00B43E90"/>
    <w:rsid w:val="00B467DC"/>
    <w:rsid w:val="00B5106D"/>
    <w:rsid w:val="00B551D4"/>
    <w:rsid w:val="00B56118"/>
    <w:rsid w:val="00B56DA5"/>
    <w:rsid w:val="00B57B32"/>
    <w:rsid w:val="00B6773F"/>
    <w:rsid w:val="00B73C05"/>
    <w:rsid w:val="00B77262"/>
    <w:rsid w:val="00B801BA"/>
    <w:rsid w:val="00B83303"/>
    <w:rsid w:val="00B84D5C"/>
    <w:rsid w:val="00B86A42"/>
    <w:rsid w:val="00B86BB0"/>
    <w:rsid w:val="00B950A5"/>
    <w:rsid w:val="00BA131A"/>
    <w:rsid w:val="00BA18C0"/>
    <w:rsid w:val="00BA301C"/>
    <w:rsid w:val="00BB3AEB"/>
    <w:rsid w:val="00BB69F5"/>
    <w:rsid w:val="00BB7EC3"/>
    <w:rsid w:val="00BC4B9A"/>
    <w:rsid w:val="00BD784C"/>
    <w:rsid w:val="00BF4CB6"/>
    <w:rsid w:val="00BF643C"/>
    <w:rsid w:val="00C00DA7"/>
    <w:rsid w:val="00C01D0B"/>
    <w:rsid w:val="00C12768"/>
    <w:rsid w:val="00C154C2"/>
    <w:rsid w:val="00C15AE0"/>
    <w:rsid w:val="00C243F2"/>
    <w:rsid w:val="00C24A2A"/>
    <w:rsid w:val="00C27B58"/>
    <w:rsid w:val="00C3026B"/>
    <w:rsid w:val="00C32009"/>
    <w:rsid w:val="00C32A9B"/>
    <w:rsid w:val="00C3460F"/>
    <w:rsid w:val="00C35996"/>
    <w:rsid w:val="00C37439"/>
    <w:rsid w:val="00C41320"/>
    <w:rsid w:val="00C43A1A"/>
    <w:rsid w:val="00C46E81"/>
    <w:rsid w:val="00C4747E"/>
    <w:rsid w:val="00C500B8"/>
    <w:rsid w:val="00C50166"/>
    <w:rsid w:val="00C50381"/>
    <w:rsid w:val="00C5342C"/>
    <w:rsid w:val="00C603D4"/>
    <w:rsid w:val="00C6071F"/>
    <w:rsid w:val="00C6256A"/>
    <w:rsid w:val="00C671A5"/>
    <w:rsid w:val="00C67D94"/>
    <w:rsid w:val="00C7122C"/>
    <w:rsid w:val="00C72225"/>
    <w:rsid w:val="00C72686"/>
    <w:rsid w:val="00C7512B"/>
    <w:rsid w:val="00C77891"/>
    <w:rsid w:val="00C83476"/>
    <w:rsid w:val="00C91449"/>
    <w:rsid w:val="00C92D10"/>
    <w:rsid w:val="00C937E4"/>
    <w:rsid w:val="00C969DC"/>
    <w:rsid w:val="00CA07C1"/>
    <w:rsid w:val="00CA767E"/>
    <w:rsid w:val="00CB128B"/>
    <w:rsid w:val="00CD64D2"/>
    <w:rsid w:val="00CE10C4"/>
    <w:rsid w:val="00CE27B5"/>
    <w:rsid w:val="00CE4887"/>
    <w:rsid w:val="00CE6088"/>
    <w:rsid w:val="00CE7ECA"/>
    <w:rsid w:val="00CF4B84"/>
    <w:rsid w:val="00CF7B7D"/>
    <w:rsid w:val="00D0321E"/>
    <w:rsid w:val="00D1342C"/>
    <w:rsid w:val="00D13E61"/>
    <w:rsid w:val="00D1455A"/>
    <w:rsid w:val="00D2136C"/>
    <w:rsid w:val="00D31150"/>
    <w:rsid w:val="00D3138B"/>
    <w:rsid w:val="00D3280C"/>
    <w:rsid w:val="00D3406A"/>
    <w:rsid w:val="00D40623"/>
    <w:rsid w:val="00D45376"/>
    <w:rsid w:val="00D4572C"/>
    <w:rsid w:val="00D469B2"/>
    <w:rsid w:val="00D5004D"/>
    <w:rsid w:val="00D516D7"/>
    <w:rsid w:val="00D528BF"/>
    <w:rsid w:val="00D70E66"/>
    <w:rsid w:val="00D71814"/>
    <w:rsid w:val="00D73F28"/>
    <w:rsid w:val="00D741EB"/>
    <w:rsid w:val="00D809CA"/>
    <w:rsid w:val="00D83605"/>
    <w:rsid w:val="00D84934"/>
    <w:rsid w:val="00D8623A"/>
    <w:rsid w:val="00D91271"/>
    <w:rsid w:val="00DA19A4"/>
    <w:rsid w:val="00DA1B18"/>
    <w:rsid w:val="00DA2CB5"/>
    <w:rsid w:val="00DA45F6"/>
    <w:rsid w:val="00DA4BAC"/>
    <w:rsid w:val="00DA574C"/>
    <w:rsid w:val="00DA63D9"/>
    <w:rsid w:val="00DB1662"/>
    <w:rsid w:val="00DB2A32"/>
    <w:rsid w:val="00DC2788"/>
    <w:rsid w:val="00DD139A"/>
    <w:rsid w:val="00DD3474"/>
    <w:rsid w:val="00DE0839"/>
    <w:rsid w:val="00DE4093"/>
    <w:rsid w:val="00DE6D27"/>
    <w:rsid w:val="00DF217D"/>
    <w:rsid w:val="00DF26A7"/>
    <w:rsid w:val="00E01B19"/>
    <w:rsid w:val="00E15627"/>
    <w:rsid w:val="00E164B3"/>
    <w:rsid w:val="00E16910"/>
    <w:rsid w:val="00E2228F"/>
    <w:rsid w:val="00E33780"/>
    <w:rsid w:val="00E42BDB"/>
    <w:rsid w:val="00E532B0"/>
    <w:rsid w:val="00E57EEB"/>
    <w:rsid w:val="00E57FD2"/>
    <w:rsid w:val="00E60788"/>
    <w:rsid w:val="00E62D94"/>
    <w:rsid w:val="00E63E18"/>
    <w:rsid w:val="00E64EDE"/>
    <w:rsid w:val="00E65E54"/>
    <w:rsid w:val="00E7044D"/>
    <w:rsid w:val="00E80155"/>
    <w:rsid w:val="00E8458F"/>
    <w:rsid w:val="00E848C0"/>
    <w:rsid w:val="00E902E9"/>
    <w:rsid w:val="00E91B96"/>
    <w:rsid w:val="00E941A1"/>
    <w:rsid w:val="00E95CE3"/>
    <w:rsid w:val="00E960F7"/>
    <w:rsid w:val="00EA2825"/>
    <w:rsid w:val="00EA4AB4"/>
    <w:rsid w:val="00EA5923"/>
    <w:rsid w:val="00EB0B63"/>
    <w:rsid w:val="00EB3307"/>
    <w:rsid w:val="00EB5088"/>
    <w:rsid w:val="00EB72B9"/>
    <w:rsid w:val="00EB792C"/>
    <w:rsid w:val="00EC2082"/>
    <w:rsid w:val="00EC4614"/>
    <w:rsid w:val="00EC4C9C"/>
    <w:rsid w:val="00ED0DAF"/>
    <w:rsid w:val="00ED1644"/>
    <w:rsid w:val="00ED2583"/>
    <w:rsid w:val="00ED2593"/>
    <w:rsid w:val="00ED771D"/>
    <w:rsid w:val="00ED7D9C"/>
    <w:rsid w:val="00EE1D53"/>
    <w:rsid w:val="00EE4906"/>
    <w:rsid w:val="00EF44A0"/>
    <w:rsid w:val="00EF4FED"/>
    <w:rsid w:val="00F036B5"/>
    <w:rsid w:val="00F04C80"/>
    <w:rsid w:val="00F050BD"/>
    <w:rsid w:val="00F05657"/>
    <w:rsid w:val="00F11BE8"/>
    <w:rsid w:val="00F17D1F"/>
    <w:rsid w:val="00F21CD9"/>
    <w:rsid w:val="00F22318"/>
    <w:rsid w:val="00F25578"/>
    <w:rsid w:val="00F258E5"/>
    <w:rsid w:val="00F300BC"/>
    <w:rsid w:val="00F307FF"/>
    <w:rsid w:val="00F3334E"/>
    <w:rsid w:val="00F36CCB"/>
    <w:rsid w:val="00F3738B"/>
    <w:rsid w:val="00F374E5"/>
    <w:rsid w:val="00F43AF2"/>
    <w:rsid w:val="00F50EC4"/>
    <w:rsid w:val="00F5332A"/>
    <w:rsid w:val="00F550CF"/>
    <w:rsid w:val="00F57A6D"/>
    <w:rsid w:val="00F57BF2"/>
    <w:rsid w:val="00F60559"/>
    <w:rsid w:val="00F62A68"/>
    <w:rsid w:val="00F638CC"/>
    <w:rsid w:val="00F64CC1"/>
    <w:rsid w:val="00F72317"/>
    <w:rsid w:val="00F77324"/>
    <w:rsid w:val="00F80475"/>
    <w:rsid w:val="00F8247A"/>
    <w:rsid w:val="00F91E59"/>
    <w:rsid w:val="00F925CF"/>
    <w:rsid w:val="00F9629A"/>
    <w:rsid w:val="00F97EFC"/>
    <w:rsid w:val="00FA5883"/>
    <w:rsid w:val="00FA6055"/>
    <w:rsid w:val="00FA7EF8"/>
    <w:rsid w:val="00FB322F"/>
    <w:rsid w:val="00FB4292"/>
    <w:rsid w:val="00FB442F"/>
    <w:rsid w:val="00FC0EEC"/>
    <w:rsid w:val="00FC1929"/>
    <w:rsid w:val="00FC5B46"/>
    <w:rsid w:val="00FD05FE"/>
    <w:rsid w:val="00FD0BB9"/>
    <w:rsid w:val="00FD0D33"/>
    <w:rsid w:val="00FD5478"/>
    <w:rsid w:val="00FD6D8E"/>
    <w:rsid w:val="00FE06E9"/>
    <w:rsid w:val="00FE0E94"/>
    <w:rsid w:val="00FE1E30"/>
    <w:rsid w:val="00FE24D7"/>
    <w:rsid w:val="00FF00BD"/>
    <w:rsid w:val="00FF1BDE"/>
    <w:rsid w:val="00FF1ED4"/>
    <w:rsid w:val="00FF2801"/>
    <w:rsid w:val="00FF3534"/>
    <w:rsid w:val="00FF42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footnote text" w:uiPriority="99"/>
    <w:lsdException w:name="header" w:uiPriority="99"/>
    <w:lsdException w:name="footer" w:uiPriority="99"/>
    <w:lsdException w:name="caption" w:uiPriority="35" w:qFormat="1"/>
    <w:lsdException w:name="footnote reference"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numPr>
        <w:numId w:val="3"/>
      </w:numPr>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310F91"/>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PBAC normal 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PBAC normal points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TabletextChar">
    <w:name w:val="Table text Char"/>
    <w:link w:val="Tabletext"/>
    <w:rsid w:val="009D2709"/>
    <w:rPr>
      <w:rFonts w:ascii="Arial" w:hAnsi="Arial"/>
      <w:lang w:eastAsia="en-US"/>
    </w:rPr>
  </w:style>
  <w:style w:type="paragraph" w:customStyle="1" w:styleId="TableText0">
    <w:name w:val="Table Text"/>
    <w:basedOn w:val="Normal"/>
    <w:link w:val="TableTextChar0"/>
    <w:qFormat/>
    <w:rsid w:val="00525CAF"/>
    <w:pPr>
      <w:keepNext/>
      <w:spacing w:before="40" w:after="40"/>
    </w:pPr>
    <w:rPr>
      <w:rFonts w:ascii="Arial Narrow" w:eastAsiaTheme="minorHAnsi" w:hAnsi="Arial Narrow" w:cstheme="minorBidi"/>
      <w:sz w:val="20"/>
      <w:szCs w:val="22"/>
      <w:lang w:eastAsia="en-US"/>
    </w:rPr>
  </w:style>
  <w:style w:type="paragraph" w:customStyle="1" w:styleId="TableFooter">
    <w:name w:val="Table Footer"/>
    <w:basedOn w:val="Normal"/>
    <w:link w:val="TableFooterChar"/>
    <w:qFormat/>
    <w:rsid w:val="00525CAF"/>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qFormat/>
    <w:rsid w:val="00525CAF"/>
    <w:rPr>
      <w:rFonts w:ascii="Arial Narrow" w:hAnsi="Arial Narrow" w:cs="Arial"/>
      <w:snapToGrid w:val="0"/>
      <w:sz w:val="18"/>
      <w:lang w:eastAsia="en-US"/>
    </w:rPr>
  </w:style>
  <w:style w:type="paragraph" w:customStyle="1" w:styleId="TableHeader">
    <w:name w:val="Table Header"/>
    <w:basedOn w:val="Normal"/>
    <w:next w:val="Normal"/>
    <w:uiPriority w:val="3"/>
    <w:qFormat/>
    <w:rsid w:val="00525CAF"/>
    <w:pPr>
      <w:widowControl w:val="0"/>
      <w:jc w:val="both"/>
    </w:pPr>
    <w:rPr>
      <w:rFonts w:ascii="Arial Narrow" w:hAnsi="Arial Narrow" w:cs="Arial"/>
      <w:b/>
      <w:snapToGrid w:val="0"/>
      <w:sz w:val="20"/>
      <w:szCs w:val="20"/>
      <w:lang w:eastAsia="en-US"/>
    </w:rPr>
  </w:style>
  <w:style w:type="paragraph" w:customStyle="1" w:styleId="TableHeading0">
    <w:name w:val="Table Heading"/>
    <w:basedOn w:val="Normal"/>
    <w:qFormat/>
    <w:rsid w:val="0004540E"/>
    <w:pPr>
      <w:keepNext/>
      <w:spacing w:after="60"/>
    </w:pPr>
    <w:rPr>
      <w:rFonts w:ascii="Arial Narrow" w:eastAsiaTheme="minorHAnsi" w:hAnsi="Arial Narrow" w:cstheme="minorBidi"/>
      <w:b/>
      <w:sz w:val="20"/>
      <w:szCs w:val="22"/>
      <w:lang w:eastAsia="en-US"/>
    </w:rPr>
  </w:style>
  <w:style w:type="character" w:customStyle="1" w:styleId="TableTextChar0">
    <w:name w:val="Table Text Char"/>
    <w:link w:val="TableText0"/>
    <w:rsid w:val="0004540E"/>
    <w:rPr>
      <w:rFonts w:ascii="Arial Narrow" w:eastAsiaTheme="minorHAnsi" w:hAnsi="Arial Narrow" w:cstheme="minorBidi"/>
      <w:szCs w:val="22"/>
      <w:lang w:eastAsia="en-US"/>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
    <w:basedOn w:val="Normal"/>
    <w:next w:val="Normal"/>
    <w:link w:val="CaptionChar"/>
    <w:uiPriority w:val="35"/>
    <w:unhideWhenUsed/>
    <w:qFormat/>
    <w:rsid w:val="00D73F28"/>
    <w:pPr>
      <w:spacing w:after="200"/>
    </w:pPr>
    <w:rPr>
      <w:b/>
      <w:bCs/>
      <w:color w:val="4F81BD" w:themeColor="accent1"/>
      <w:sz w:val="18"/>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35"/>
    <w:rsid w:val="00817F79"/>
    <w:rPr>
      <w:b/>
      <w:bCs/>
      <w:color w:val="4F81BD" w:themeColor="accent1"/>
      <w:sz w:val="18"/>
      <w:szCs w:val="18"/>
    </w:rPr>
  </w:style>
  <w:style w:type="paragraph" w:customStyle="1" w:styleId="Heading81">
    <w:name w:val="Heading 81"/>
    <w:basedOn w:val="Normal"/>
    <w:next w:val="Normal"/>
    <w:uiPriority w:val="7"/>
    <w:unhideWhenUsed/>
    <w:qFormat/>
    <w:rsid w:val="00187C36"/>
    <w:pPr>
      <w:keepNext/>
      <w:keepLines/>
      <w:tabs>
        <w:tab w:val="num" w:pos="5760"/>
      </w:tabs>
      <w:spacing w:before="40"/>
      <w:ind w:left="5760" w:hanging="360"/>
      <w:outlineLvl w:val="7"/>
    </w:pPr>
    <w:rPr>
      <w:rFonts w:ascii="Calibri Light" w:hAnsi="Calibri Light"/>
      <w:color w:val="272727"/>
      <w:sz w:val="21"/>
      <w:szCs w:val="21"/>
      <w:lang w:eastAsia="en-US"/>
    </w:rPr>
  </w:style>
  <w:style w:type="character" w:customStyle="1" w:styleId="Heading8Char">
    <w:name w:val="Heading 8 Char"/>
    <w:basedOn w:val="DefaultParagraphFont"/>
    <w:link w:val="Heading8"/>
    <w:uiPriority w:val="7"/>
    <w:rsid w:val="00310F91"/>
    <w:rPr>
      <w:rFonts w:asciiTheme="majorHAnsi" w:eastAsiaTheme="majorEastAsia" w:hAnsiTheme="majorHAnsi" w:cstheme="majorBidi"/>
      <w:color w:val="272727" w:themeColor="text1" w:themeTint="D8"/>
      <w:sz w:val="21"/>
      <w:szCs w:val="21"/>
      <w:lang w:eastAsia="en-US"/>
    </w:rPr>
  </w:style>
  <w:style w:type="paragraph" w:customStyle="1" w:styleId="Tablenotes0">
    <w:name w:val="Table notes"/>
    <w:basedOn w:val="Normal"/>
    <w:link w:val="TablenotesChar"/>
    <w:qFormat/>
    <w:rsid w:val="0075514D"/>
    <w:pPr>
      <w:jc w:val="both"/>
    </w:pPr>
    <w:rPr>
      <w:rFonts w:asciiTheme="minorHAnsi" w:eastAsiaTheme="minorHAnsi" w:hAnsiTheme="minorHAnsi" w:cstheme="minorBidi"/>
      <w:i/>
      <w:sz w:val="18"/>
      <w:szCs w:val="16"/>
      <w:lang w:eastAsia="en-US"/>
    </w:rPr>
  </w:style>
  <w:style w:type="character" w:customStyle="1" w:styleId="TablenotesChar">
    <w:name w:val="Table notes Char"/>
    <w:basedOn w:val="DefaultParagraphFont"/>
    <w:link w:val="Tablenotes0"/>
    <w:rsid w:val="0075514D"/>
    <w:rPr>
      <w:rFonts w:asciiTheme="minorHAnsi" w:eastAsiaTheme="minorHAnsi" w:hAnsiTheme="minorHAnsi" w:cstheme="minorBidi"/>
      <w:i/>
      <w:sz w:val="18"/>
      <w:szCs w:val="16"/>
      <w:lang w:eastAsia="en-US"/>
    </w:rPr>
  </w:style>
  <w:style w:type="paragraph" w:styleId="BodyText">
    <w:name w:val="Body Text"/>
    <w:basedOn w:val="Normal"/>
    <w:link w:val="BodyTextChar"/>
    <w:rsid w:val="00CF4B84"/>
    <w:pPr>
      <w:spacing w:after="120"/>
    </w:pPr>
    <w:rPr>
      <w:rFonts w:ascii="Arial" w:hAnsi="Arial"/>
      <w:sz w:val="22"/>
      <w:szCs w:val="22"/>
    </w:rPr>
  </w:style>
  <w:style w:type="character" w:customStyle="1" w:styleId="BodyTextChar">
    <w:name w:val="Body Text Char"/>
    <w:basedOn w:val="DefaultParagraphFont"/>
    <w:link w:val="BodyText"/>
    <w:rsid w:val="00CF4B84"/>
    <w:rPr>
      <w:rFonts w:ascii="Arial" w:hAnsi="Arial"/>
      <w:sz w:val="22"/>
      <w:szCs w:val="22"/>
    </w:rPr>
  </w:style>
  <w:style w:type="paragraph" w:styleId="FootnoteText">
    <w:name w:val="footnote text"/>
    <w:basedOn w:val="Normal"/>
    <w:link w:val="FootnoteTextChar"/>
    <w:uiPriority w:val="99"/>
    <w:unhideWhenUsed/>
    <w:rsid w:val="009A3942"/>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9A3942"/>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9A3942"/>
    <w:rPr>
      <w:vertAlign w:val="superscript"/>
    </w:rPr>
  </w:style>
  <w:style w:type="paragraph" w:styleId="NormalWeb">
    <w:name w:val="Normal (Web)"/>
    <w:basedOn w:val="Normal"/>
    <w:uiPriority w:val="99"/>
    <w:unhideWhenUsed/>
    <w:rsid w:val="002F01E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footnote text" w:uiPriority="99"/>
    <w:lsdException w:name="header" w:uiPriority="99"/>
    <w:lsdException w:name="footer" w:uiPriority="99"/>
    <w:lsdException w:name="caption" w:uiPriority="35" w:qFormat="1"/>
    <w:lsdException w:name="footnote reference"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numPr>
        <w:numId w:val="3"/>
      </w:numPr>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310F91"/>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PBAC normal 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PBAC normal points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TabletextChar">
    <w:name w:val="Table text Char"/>
    <w:link w:val="Tabletext"/>
    <w:rsid w:val="009D2709"/>
    <w:rPr>
      <w:rFonts w:ascii="Arial" w:hAnsi="Arial"/>
      <w:lang w:eastAsia="en-US"/>
    </w:rPr>
  </w:style>
  <w:style w:type="paragraph" w:customStyle="1" w:styleId="TableText0">
    <w:name w:val="Table Text"/>
    <w:basedOn w:val="Normal"/>
    <w:link w:val="TableTextChar0"/>
    <w:qFormat/>
    <w:rsid w:val="00525CAF"/>
    <w:pPr>
      <w:keepNext/>
      <w:spacing w:before="40" w:after="40"/>
    </w:pPr>
    <w:rPr>
      <w:rFonts w:ascii="Arial Narrow" w:eastAsiaTheme="minorHAnsi" w:hAnsi="Arial Narrow" w:cstheme="minorBidi"/>
      <w:sz w:val="20"/>
      <w:szCs w:val="22"/>
      <w:lang w:eastAsia="en-US"/>
    </w:rPr>
  </w:style>
  <w:style w:type="paragraph" w:customStyle="1" w:styleId="TableFooter">
    <w:name w:val="Table Footer"/>
    <w:basedOn w:val="Normal"/>
    <w:link w:val="TableFooterChar"/>
    <w:qFormat/>
    <w:rsid w:val="00525CAF"/>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qFormat/>
    <w:rsid w:val="00525CAF"/>
    <w:rPr>
      <w:rFonts w:ascii="Arial Narrow" w:hAnsi="Arial Narrow" w:cs="Arial"/>
      <w:snapToGrid w:val="0"/>
      <w:sz w:val="18"/>
      <w:lang w:eastAsia="en-US"/>
    </w:rPr>
  </w:style>
  <w:style w:type="paragraph" w:customStyle="1" w:styleId="TableHeader">
    <w:name w:val="Table Header"/>
    <w:basedOn w:val="Normal"/>
    <w:next w:val="Normal"/>
    <w:uiPriority w:val="3"/>
    <w:qFormat/>
    <w:rsid w:val="00525CAF"/>
    <w:pPr>
      <w:widowControl w:val="0"/>
      <w:jc w:val="both"/>
    </w:pPr>
    <w:rPr>
      <w:rFonts w:ascii="Arial Narrow" w:hAnsi="Arial Narrow" w:cs="Arial"/>
      <w:b/>
      <w:snapToGrid w:val="0"/>
      <w:sz w:val="20"/>
      <w:szCs w:val="20"/>
      <w:lang w:eastAsia="en-US"/>
    </w:rPr>
  </w:style>
  <w:style w:type="paragraph" w:customStyle="1" w:styleId="TableHeading0">
    <w:name w:val="Table Heading"/>
    <w:basedOn w:val="Normal"/>
    <w:qFormat/>
    <w:rsid w:val="0004540E"/>
    <w:pPr>
      <w:keepNext/>
      <w:spacing w:after="60"/>
    </w:pPr>
    <w:rPr>
      <w:rFonts w:ascii="Arial Narrow" w:eastAsiaTheme="minorHAnsi" w:hAnsi="Arial Narrow" w:cstheme="minorBidi"/>
      <w:b/>
      <w:sz w:val="20"/>
      <w:szCs w:val="22"/>
      <w:lang w:eastAsia="en-US"/>
    </w:rPr>
  </w:style>
  <w:style w:type="character" w:customStyle="1" w:styleId="TableTextChar0">
    <w:name w:val="Table Text Char"/>
    <w:link w:val="TableText0"/>
    <w:rsid w:val="0004540E"/>
    <w:rPr>
      <w:rFonts w:ascii="Arial Narrow" w:eastAsiaTheme="minorHAnsi" w:hAnsi="Arial Narrow" w:cstheme="minorBidi"/>
      <w:szCs w:val="22"/>
      <w:lang w:eastAsia="en-US"/>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
    <w:basedOn w:val="Normal"/>
    <w:next w:val="Normal"/>
    <w:link w:val="CaptionChar"/>
    <w:uiPriority w:val="35"/>
    <w:unhideWhenUsed/>
    <w:qFormat/>
    <w:rsid w:val="00D73F28"/>
    <w:pPr>
      <w:spacing w:after="200"/>
    </w:pPr>
    <w:rPr>
      <w:b/>
      <w:bCs/>
      <w:color w:val="4F81BD" w:themeColor="accent1"/>
      <w:sz w:val="18"/>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35"/>
    <w:rsid w:val="00817F79"/>
    <w:rPr>
      <w:b/>
      <w:bCs/>
      <w:color w:val="4F81BD" w:themeColor="accent1"/>
      <w:sz w:val="18"/>
      <w:szCs w:val="18"/>
    </w:rPr>
  </w:style>
  <w:style w:type="paragraph" w:customStyle="1" w:styleId="Heading81">
    <w:name w:val="Heading 81"/>
    <w:basedOn w:val="Normal"/>
    <w:next w:val="Normal"/>
    <w:uiPriority w:val="7"/>
    <w:unhideWhenUsed/>
    <w:qFormat/>
    <w:rsid w:val="00187C36"/>
    <w:pPr>
      <w:keepNext/>
      <w:keepLines/>
      <w:tabs>
        <w:tab w:val="num" w:pos="5760"/>
      </w:tabs>
      <w:spacing w:before="40"/>
      <w:ind w:left="5760" w:hanging="360"/>
      <w:outlineLvl w:val="7"/>
    </w:pPr>
    <w:rPr>
      <w:rFonts w:ascii="Calibri Light" w:hAnsi="Calibri Light"/>
      <w:color w:val="272727"/>
      <w:sz w:val="21"/>
      <w:szCs w:val="21"/>
      <w:lang w:eastAsia="en-US"/>
    </w:rPr>
  </w:style>
  <w:style w:type="character" w:customStyle="1" w:styleId="Heading8Char">
    <w:name w:val="Heading 8 Char"/>
    <w:basedOn w:val="DefaultParagraphFont"/>
    <w:link w:val="Heading8"/>
    <w:uiPriority w:val="7"/>
    <w:rsid w:val="00310F91"/>
    <w:rPr>
      <w:rFonts w:asciiTheme="majorHAnsi" w:eastAsiaTheme="majorEastAsia" w:hAnsiTheme="majorHAnsi" w:cstheme="majorBidi"/>
      <w:color w:val="272727" w:themeColor="text1" w:themeTint="D8"/>
      <w:sz w:val="21"/>
      <w:szCs w:val="21"/>
      <w:lang w:eastAsia="en-US"/>
    </w:rPr>
  </w:style>
  <w:style w:type="paragraph" w:customStyle="1" w:styleId="Tablenotes0">
    <w:name w:val="Table notes"/>
    <w:basedOn w:val="Normal"/>
    <w:link w:val="TablenotesChar"/>
    <w:qFormat/>
    <w:rsid w:val="0075514D"/>
    <w:pPr>
      <w:jc w:val="both"/>
    </w:pPr>
    <w:rPr>
      <w:rFonts w:asciiTheme="minorHAnsi" w:eastAsiaTheme="minorHAnsi" w:hAnsiTheme="minorHAnsi" w:cstheme="minorBidi"/>
      <w:i/>
      <w:sz w:val="18"/>
      <w:szCs w:val="16"/>
      <w:lang w:eastAsia="en-US"/>
    </w:rPr>
  </w:style>
  <w:style w:type="character" w:customStyle="1" w:styleId="TablenotesChar">
    <w:name w:val="Table notes Char"/>
    <w:basedOn w:val="DefaultParagraphFont"/>
    <w:link w:val="Tablenotes0"/>
    <w:rsid w:val="0075514D"/>
    <w:rPr>
      <w:rFonts w:asciiTheme="minorHAnsi" w:eastAsiaTheme="minorHAnsi" w:hAnsiTheme="minorHAnsi" w:cstheme="minorBidi"/>
      <w:i/>
      <w:sz w:val="18"/>
      <w:szCs w:val="16"/>
      <w:lang w:eastAsia="en-US"/>
    </w:rPr>
  </w:style>
  <w:style w:type="paragraph" w:styleId="BodyText">
    <w:name w:val="Body Text"/>
    <w:basedOn w:val="Normal"/>
    <w:link w:val="BodyTextChar"/>
    <w:rsid w:val="00CF4B84"/>
    <w:pPr>
      <w:spacing w:after="120"/>
    </w:pPr>
    <w:rPr>
      <w:rFonts w:ascii="Arial" w:hAnsi="Arial"/>
      <w:sz w:val="22"/>
      <w:szCs w:val="22"/>
    </w:rPr>
  </w:style>
  <w:style w:type="character" w:customStyle="1" w:styleId="BodyTextChar">
    <w:name w:val="Body Text Char"/>
    <w:basedOn w:val="DefaultParagraphFont"/>
    <w:link w:val="BodyText"/>
    <w:rsid w:val="00CF4B84"/>
    <w:rPr>
      <w:rFonts w:ascii="Arial" w:hAnsi="Arial"/>
      <w:sz w:val="22"/>
      <w:szCs w:val="22"/>
    </w:rPr>
  </w:style>
  <w:style w:type="paragraph" w:styleId="FootnoteText">
    <w:name w:val="footnote text"/>
    <w:basedOn w:val="Normal"/>
    <w:link w:val="FootnoteTextChar"/>
    <w:uiPriority w:val="99"/>
    <w:unhideWhenUsed/>
    <w:rsid w:val="009A3942"/>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9A3942"/>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9A3942"/>
    <w:rPr>
      <w:vertAlign w:val="superscript"/>
    </w:rPr>
  </w:style>
  <w:style w:type="paragraph" w:styleId="NormalWeb">
    <w:name w:val="Normal (Web)"/>
    <w:basedOn w:val="Normal"/>
    <w:uiPriority w:val="99"/>
    <w:unhideWhenUsed/>
    <w:rsid w:val="002F01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02855238">
      <w:bodyDiv w:val="1"/>
      <w:marLeft w:val="0"/>
      <w:marRight w:val="0"/>
      <w:marTop w:val="0"/>
      <w:marBottom w:val="0"/>
      <w:divBdr>
        <w:top w:val="none" w:sz="0" w:space="0" w:color="auto"/>
        <w:left w:val="none" w:sz="0" w:space="0" w:color="auto"/>
        <w:bottom w:val="none" w:sz="0" w:space="0" w:color="auto"/>
        <w:right w:val="none" w:sz="0" w:space="0" w:color="auto"/>
      </w:divBdr>
    </w:div>
    <w:div w:id="552352751">
      <w:bodyDiv w:val="1"/>
      <w:marLeft w:val="0"/>
      <w:marRight w:val="0"/>
      <w:marTop w:val="0"/>
      <w:marBottom w:val="0"/>
      <w:divBdr>
        <w:top w:val="none" w:sz="0" w:space="0" w:color="auto"/>
        <w:left w:val="none" w:sz="0" w:space="0" w:color="auto"/>
        <w:bottom w:val="none" w:sz="0" w:space="0" w:color="auto"/>
        <w:right w:val="none" w:sz="0" w:space="0" w:color="auto"/>
      </w:divBdr>
    </w:div>
    <w:div w:id="74195213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0823545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575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B4749-71BB-417A-8193-B9CDB7D9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4701</Words>
  <Characters>29349</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2018-10-28T22:14:00Z</dcterms:created>
  <dcterms:modified xsi:type="dcterms:W3CDTF">2018-10-28T22:17:00Z</dcterms:modified>
</cp:coreProperties>
</file>