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75" w:rsidRPr="007D7306" w:rsidRDefault="00194975" w:rsidP="00DA54EF">
      <w:pPr>
        <w:widowControl w:val="0"/>
        <w:jc w:val="both"/>
        <w:rPr>
          <w:rFonts w:asciiTheme="minorHAnsi" w:hAnsiTheme="minorHAnsi" w:cs="Arial"/>
          <w:snapToGrid w:val="0"/>
          <w:lang w:eastAsia="en-US"/>
        </w:rPr>
      </w:pPr>
      <w:bookmarkStart w:id="0" w:name="_GoBack"/>
      <w:bookmarkEnd w:id="0"/>
    </w:p>
    <w:p w:rsidR="006D6493" w:rsidRPr="007D7306" w:rsidRDefault="00016ABC" w:rsidP="006D6493">
      <w:pPr>
        <w:pStyle w:val="Title"/>
        <w:spacing w:before="120" w:after="160"/>
        <w:ind w:left="720" w:hanging="720"/>
        <w:rPr>
          <w:rFonts w:asciiTheme="minorHAnsi" w:hAnsiTheme="minorHAnsi"/>
          <w:sz w:val="36"/>
          <w:szCs w:val="36"/>
        </w:rPr>
      </w:pPr>
      <w:r w:rsidRPr="007D7306">
        <w:rPr>
          <w:rFonts w:asciiTheme="minorHAnsi" w:hAnsiTheme="minorHAnsi"/>
          <w:sz w:val="36"/>
          <w:szCs w:val="36"/>
        </w:rPr>
        <w:t>7.12</w:t>
      </w:r>
      <w:r w:rsidRPr="007D7306">
        <w:rPr>
          <w:rFonts w:asciiTheme="minorHAnsi" w:hAnsiTheme="minorHAnsi"/>
          <w:sz w:val="36"/>
          <w:szCs w:val="36"/>
        </w:rPr>
        <w:tab/>
        <w:t xml:space="preserve">CLADRIBINE </w:t>
      </w:r>
      <w:r w:rsidRPr="007D7306">
        <w:rPr>
          <w:rFonts w:asciiTheme="minorHAnsi" w:hAnsiTheme="minorHAnsi"/>
          <w:sz w:val="36"/>
          <w:szCs w:val="36"/>
        </w:rPr>
        <w:br/>
        <w:t>Tablet, 10 mg</w:t>
      </w:r>
      <w:r w:rsidR="006D6493" w:rsidRPr="007D7306">
        <w:rPr>
          <w:rFonts w:asciiTheme="minorHAnsi" w:hAnsiTheme="minorHAnsi"/>
          <w:sz w:val="36"/>
          <w:szCs w:val="36"/>
        </w:rPr>
        <w:t xml:space="preserve">, </w:t>
      </w:r>
      <w:r w:rsidR="006D6493" w:rsidRPr="007D7306">
        <w:rPr>
          <w:rFonts w:asciiTheme="minorHAnsi" w:hAnsiTheme="minorHAnsi"/>
          <w:sz w:val="36"/>
          <w:szCs w:val="36"/>
        </w:rPr>
        <w:br/>
      </w:r>
      <w:r w:rsidRPr="007D7306">
        <w:rPr>
          <w:rFonts w:asciiTheme="minorHAnsi" w:hAnsiTheme="minorHAnsi"/>
          <w:sz w:val="36"/>
          <w:szCs w:val="36"/>
        </w:rPr>
        <w:t>Mavenclad</w:t>
      </w:r>
      <w:r w:rsidR="006D6493" w:rsidRPr="007D7306">
        <w:rPr>
          <w:rFonts w:asciiTheme="minorHAnsi" w:hAnsiTheme="minorHAnsi"/>
          <w:sz w:val="36"/>
          <w:szCs w:val="36"/>
          <w:vertAlign w:val="superscript"/>
        </w:rPr>
        <w:t>®</w:t>
      </w:r>
      <w:r w:rsidRPr="007D7306">
        <w:rPr>
          <w:rFonts w:asciiTheme="minorHAnsi" w:hAnsiTheme="minorHAnsi"/>
          <w:sz w:val="36"/>
          <w:szCs w:val="36"/>
        </w:rPr>
        <w:t>, Merck Serono Australia</w:t>
      </w:r>
    </w:p>
    <w:p w:rsidR="008A50F1" w:rsidRPr="007D7306" w:rsidRDefault="00CE10C4" w:rsidP="00EB0B63">
      <w:pPr>
        <w:pStyle w:val="PBACHeading1"/>
        <w:spacing w:before="240" w:after="120"/>
        <w:ind w:left="709" w:hanging="709"/>
        <w:rPr>
          <w:rFonts w:asciiTheme="minorHAnsi" w:hAnsiTheme="minorHAnsi"/>
          <w:sz w:val="32"/>
          <w:szCs w:val="32"/>
        </w:rPr>
      </w:pPr>
      <w:r w:rsidRPr="007D7306">
        <w:rPr>
          <w:rFonts w:asciiTheme="minorHAnsi" w:hAnsiTheme="minorHAnsi"/>
          <w:sz w:val="32"/>
          <w:szCs w:val="32"/>
        </w:rPr>
        <w:t xml:space="preserve">Purpose of </w:t>
      </w:r>
      <w:r w:rsidR="0004240E" w:rsidRPr="007D7306">
        <w:rPr>
          <w:rFonts w:asciiTheme="minorHAnsi" w:hAnsiTheme="minorHAnsi"/>
          <w:sz w:val="32"/>
          <w:szCs w:val="32"/>
        </w:rPr>
        <w:t>Application</w:t>
      </w:r>
    </w:p>
    <w:p w:rsidR="00016ABC" w:rsidRPr="007D7306" w:rsidRDefault="00016ABC" w:rsidP="00016ABC">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minor resubmission requested a general schedule listing for cladribine tablets for the treatment of patients with relapsing remitting multiple sclerosis (RRMS). </w:t>
      </w:r>
    </w:p>
    <w:p w:rsidR="006A12A5" w:rsidRPr="007D7306" w:rsidRDefault="006A12A5" w:rsidP="00EB0B63">
      <w:pPr>
        <w:pStyle w:val="PBACHeading1"/>
        <w:spacing w:before="240" w:after="120"/>
        <w:ind w:left="709" w:hanging="709"/>
        <w:rPr>
          <w:rFonts w:asciiTheme="minorHAnsi" w:hAnsiTheme="minorHAnsi"/>
          <w:sz w:val="32"/>
          <w:szCs w:val="32"/>
        </w:rPr>
      </w:pPr>
      <w:r w:rsidRPr="007D7306">
        <w:rPr>
          <w:rFonts w:asciiTheme="minorHAnsi" w:hAnsiTheme="minorHAnsi"/>
          <w:sz w:val="32"/>
          <w:szCs w:val="32"/>
        </w:rPr>
        <w:t>Requested listing</w:t>
      </w:r>
    </w:p>
    <w:p w:rsidR="001378D3" w:rsidRPr="007D7306" w:rsidRDefault="001378D3" w:rsidP="00DA142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minor resubmission did not propose a revised listing. The sponsor had previously accepted the </w:t>
      </w:r>
      <w:r w:rsidR="007852A1" w:rsidRPr="007D7306">
        <w:rPr>
          <w:rFonts w:asciiTheme="minorHAnsi" w:eastAsiaTheme="minorHAnsi" w:hAnsiTheme="minorHAnsi" w:cstheme="minorBidi"/>
          <w:snapToGrid/>
          <w:sz w:val="24"/>
          <w:szCs w:val="22"/>
        </w:rPr>
        <w:t xml:space="preserve">additions and deletions proposed by the secretariat to the proposed listing presented in the March 2018 minor resubmission. </w:t>
      </w:r>
    </w:p>
    <w:p w:rsidR="00515174" w:rsidRDefault="007852A1" w:rsidP="00DA142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The proposed listing from the March 2018 minor resubmission with Secretariat suggested additions (in italics) and deletions (in strikethrough) are presented below</w:t>
      </w:r>
      <w:r w:rsidR="00515174">
        <w:rPr>
          <w:rFonts w:asciiTheme="minorHAnsi" w:eastAsiaTheme="minorHAnsi" w:hAnsiTheme="minorHAnsi" w:cstheme="minorBidi"/>
          <w:snapToGrid/>
          <w:sz w:val="24"/>
          <w:szCs w:val="22"/>
        </w:rPr>
        <w:t>.</w:t>
      </w:r>
    </w:p>
    <w:p w:rsidR="007852A1" w:rsidRPr="007D7306" w:rsidRDefault="00515174" w:rsidP="00DA142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dispensed price for maximum quantity (DPMQ) proposed in the minor resubmission for each pack </w:t>
      </w:r>
      <w:r w:rsidR="0080055B">
        <w:rPr>
          <w:rFonts w:asciiTheme="minorHAnsi" w:eastAsiaTheme="minorHAnsi" w:hAnsiTheme="minorHAnsi" w:cstheme="minorBidi"/>
          <w:snapToGrid/>
          <w:sz w:val="24"/>
          <w:szCs w:val="22"/>
        </w:rPr>
        <w:t>is</w:t>
      </w:r>
      <w:r>
        <w:rPr>
          <w:rFonts w:asciiTheme="minorHAnsi" w:eastAsiaTheme="minorHAnsi" w:hAnsiTheme="minorHAnsi" w:cstheme="minorBidi"/>
          <w:snapToGrid/>
          <w:sz w:val="24"/>
          <w:szCs w:val="22"/>
        </w:rPr>
        <w:t xml:space="preserve"> also included below.</w:t>
      </w:r>
    </w:p>
    <w:tbl>
      <w:tblPr>
        <w:tblW w:w="4942" w:type="pct"/>
        <w:tblInd w:w="108" w:type="dxa"/>
        <w:tblLook w:val="0000" w:firstRow="0" w:lastRow="0" w:firstColumn="0" w:lastColumn="0" w:noHBand="0" w:noVBand="0"/>
      </w:tblPr>
      <w:tblGrid>
        <w:gridCol w:w="1706"/>
        <w:gridCol w:w="1540"/>
        <w:gridCol w:w="581"/>
        <w:gridCol w:w="850"/>
        <w:gridCol w:w="1677"/>
        <w:gridCol w:w="1420"/>
        <w:gridCol w:w="1361"/>
      </w:tblGrid>
      <w:tr w:rsidR="00966250" w:rsidRPr="007D7306" w:rsidTr="003C4C42">
        <w:trPr>
          <w:trHeight w:val="465"/>
        </w:trPr>
        <w:tc>
          <w:tcPr>
            <w:tcW w:w="1777" w:type="pct"/>
            <w:gridSpan w:val="2"/>
            <w:tcBorders>
              <w:bottom w:val="single" w:sz="4" w:space="0" w:color="auto"/>
            </w:tcBorders>
          </w:tcPr>
          <w:p w:rsidR="00966250" w:rsidRPr="007D7306" w:rsidRDefault="00966250" w:rsidP="00544EB3">
            <w:pPr>
              <w:keepNext/>
              <w:spacing w:before="40" w:after="40"/>
              <w:jc w:val="both"/>
              <w:rPr>
                <w:rFonts w:ascii="Arial Narrow" w:hAnsi="Arial Narrow" w:cs="Arial"/>
                <w:b/>
                <w:sz w:val="20"/>
                <w:szCs w:val="20"/>
              </w:rPr>
            </w:pPr>
            <w:r w:rsidRPr="007D7306">
              <w:rPr>
                <w:rFonts w:ascii="Arial Narrow" w:hAnsi="Arial Narrow" w:cs="Arial"/>
                <w:b/>
                <w:sz w:val="20"/>
                <w:szCs w:val="20"/>
              </w:rPr>
              <w:t>Name, Restriction,</w:t>
            </w:r>
          </w:p>
          <w:p w:rsidR="00966250" w:rsidRPr="007D7306" w:rsidRDefault="00966250" w:rsidP="00544EB3">
            <w:pPr>
              <w:keepNext/>
              <w:spacing w:before="40" w:after="40"/>
              <w:jc w:val="both"/>
              <w:rPr>
                <w:rFonts w:ascii="Arial Narrow" w:hAnsi="Arial Narrow" w:cs="Arial"/>
                <w:b/>
                <w:sz w:val="20"/>
                <w:szCs w:val="20"/>
              </w:rPr>
            </w:pPr>
            <w:r w:rsidRPr="007D7306">
              <w:rPr>
                <w:rFonts w:ascii="Arial Narrow" w:hAnsi="Arial Narrow" w:cs="Arial"/>
                <w:b/>
                <w:sz w:val="20"/>
                <w:szCs w:val="20"/>
              </w:rPr>
              <w:t>Manner of administration and form</w:t>
            </w:r>
          </w:p>
        </w:tc>
        <w:tc>
          <w:tcPr>
            <w:tcW w:w="318" w:type="pct"/>
            <w:tcBorders>
              <w:bottom w:val="single" w:sz="4" w:space="0" w:color="auto"/>
            </w:tcBorders>
          </w:tcPr>
          <w:p w:rsidR="00966250" w:rsidRPr="007D7306" w:rsidRDefault="00966250"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Max.</w:t>
            </w:r>
          </w:p>
          <w:p w:rsidR="00966250" w:rsidRPr="007D7306" w:rsidRDefault="00966250"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Qty</w:t>
            </w:r>
          </w:p>
        </w:tc>
        <w:tc>
          <w:tcPr>
            <w:tcW w:w="465" w:type="pct"/>
            <w:tcBorders>
              <w:bottom w:val="single" w:sz="4" w:space="0" w:color="auto"/>
            </w:tcBorders>
          </w:tcPr>
          <w:p w:rsidR="00966250" w:rsidRPr="007D7306" w:rsidRDefault="00966250"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№.of</w:t>
            </w:r>
          </w:p>
          <w:p w:rsidR="00966250" w:rsidRPr="007D7306" w:rsidRDefault="00966250"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Rpts</w:t>
            </w:r>
          </w:p>
        </w:tc>
        <w:tc>
          <w:tcPr>
            <w:tcW w:w="918" w:type="pct"/>
            <w:tcBorders>
              <w:bottom w:val="single" w:sz="4" w:space="0" w:color="auto"/>
            </w:tcBorders>
          </w:tcPr>
          <w:p w:rsidR="00966250" w:rsidRPr="007D7306" w:rsidRDefault="00966250"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Dispensed Price for Max. Qty</w:t>
            </w:r>
          </w:p>
        </w:tc>
        <w:tc>
          <w:tcPr>
            <w:tcW w:w="1522" w:type="pct"/>
            <w:gridSpan w:val="2"/>
            <w:tcBorders>
              <w:bottom w:val="single" w:sz="4" w:space="0" w:color="auto"/>
            </w:tcBorders>
          </w:tcPr>
          <w:p w:rsidR="00966250" w:rsidRPr="00515174" w:rsidRDefault="00966250" w:rsidP="003C4C42">
            <w:pPr>
              <w:keepNext/>
              <w:spacing w:before="40" w:after="40"/>
              <w:rPr>
                <w:rFonts w:ascii="Arial Narrow" w:hAnsi="Arial Narrow" w:cs="Arial"/>
                <w:b/>
                <w:sz w:val="20"/>
                <w:szCs w:val="20"/>
              </w:rPr>
            </w:pPr>
            <w:r w:rsidRPr="007D7306">
              <w:rPr>
                <w:rFonts w:ascii="Arial Narrow" w:hAnsi="Arial Narrow" w:cs="Arial"/>
                <w:b/>
                <w:sz w:val="20"/>
                <w:szCs w:val="20"/>
              </w:rPr>
              <w:t>Proprietary Name and Manufacturer</w:t>
            </w:r>
          </w:p>
        </w:tc>
      </w:tr>
      <w:tr w:rsidR="00966250" w:rsidRPr="007D7306" w:rsidTr="003C4C42">
        <w:trPr>
          <w:trHeight w:val="567"/>
        </w:trPr>
        <w:tc>
          <w:tcPr>
            <w:tcW w:w="1777" w:type="pct"/>
            <w:gridSpan w:val="2"/>
          </w:tcPr>
          <w:p w:rsidR="00966250" w:rsidRPr="007D7306" w:rsidRDefault="00966250" w:rsidP="00544EB3">
            <w:pPr>
              <w:keepNext/>
              <w:spacing w:before="40" w:after="40"/>
              <w:jc w:val="both"/>
              <w:rPr>
                <w:rFonts w:ascii="Arial Narrow" w:hAnsi="Arial Narrow" w:cs="Arial"/>
                <w:sz w:val="20"/>
                <w:szCs w:val="20"/>
              </w:rPr>
            </w:pPr>
            <w:r w:rsidRPr="007D7306">
              <w:rPr>
                <w:rFonts w:ascii="Arial Narrow" w:hAnsi="Arial Narrow" w:cs="Arial"/>
                <w:smallCaps/>
                <w:sz w:val="20"/>
                <w:szCs w:val="20"/>
              </w:rPr>
              <w:t>CLADRIBINE</w:t>
            </w:r>
          </w:p>
          <w:p w:rsidR="00966250" w:rsidRPr="007D7306" w:rsidRDefault="003C4C42" w:rsidP="00544EB3">
            <w:pPr>
              <w:keepNext/>
              <w:spacing w:before="40" w:after="40"/>
              <w:jc w:val="both"/>
              <w:rPr>
                <w:rFonts w:ascii="Arial Narrow" w:hAnsi="Arial Narrow" w:cs="Arial"/>
                <w:i/>
                <w:sz w:val="20"/>
                <w:szCs w:val="20"/>
              </w:rPr>
            </w:pPr>
            <w:r>
              <w:rPr>
                <w:rFonts w:ascii="Arial Narrow" w:hAnsi="Arial Narrow" w:cs="Arial"/>
                <w:i/>
                <w:sz w:val="20"/>
                <w:szCs w:val="20"/>
              </w:rPr>
              <w:t xml:space="preserve">Tablet 10 mg, </w:t>
            </w:r>
            <w:r w:rsidR="00966250" w:rsidRPr="007D7306">
              <w:rPr>
                <w:rFonts w:ascii="Arial Narrow" w:hAnsi="Arial Narrow" w:cs="Arial"/>
                <w:i/>
                <w:sz w:val="20"/>
                <w:szCs w:val="20"/>
              </w:rPr>
              <w:t>1</w:t>
            </w:r>
          </w:p>
          <w:p w:rsidR="00966250" w:rsidRPr="007D7306" w:rsidRDefault="003C4C42" w:rsidP="00544EB3">
            <w:pPr>
              <w:keepNext/>
              <w:spacing w:before="40" w:after="40"/>
              <w:jc w:val="both"/>
              <w:rPr>
                <w:rFonts w:ascii="Arial Narrow" w:hAnsi="Arial Narrow" w:cs="Arial"/>
                <w:i/>
                <w:sz w:val="20"/>
                <w:szCs w:val="20"/>
              </w:rPr>
            </w:pPr>
            <w:r>
              <w:rPr>
                <w:rFonts w:ascii="Arial Narrow" w:hAnsi="Arial Narrow" w:cs="Arial"/>
                <w:i/>
                <w:sz w:val="20"/>
                <w:szCs w:val="20"/>
              </w:rPr>
              <w:t xml:space="preserve">Tablet 10 mg, </w:t>
            </w:r>
            <w:r w:rsidR="00966250" w:rsidRPr="007D7306">
              <w:rPr>
                <w:rFonts w:ascii="Arial Narrow" w:hAnsi="Arial Narrow" w:cs="Arial"/>
                <w:i/>
                <w:sz w:val="20"/>
                <w:szCs w:val="20"/>
              </w:rPr>
              <w:t>4</w:t>
            </w:r>
          </w:p>
          <w:p w:rsidR="00966250" w:rsidRPr="007D7306" w:rsidRDefault="003C4C42" w:rsidP="00544EB3">
            <w:pPr>
              <w:keepNext/>
              <w:spacing w:before="40" w:after="40"/>
              <w:jc w:val="both"/>
              <w:rPr>
                <w:rFonts w:ascii="Arial Narrow" w:hAnsi="Arial Narrow" w:cs="Arial"/>
                <w:i/>
                <w:sz w:val="20"/>
                <w:szCs w:val="20"/>
              </w:rPr>
            </w:pPr>
            <w:r>
              <w:rPr>
                <w:rFonts w:ascii="Arial Narrow" w:hAnsi="Arial Narrow" w:cs="Arial"/>
                <w:i/>
                <w:sz w:val="20"/>
                <w:szCs w:val="20"/>
              </w:rPr>
              <w:t xml:space="preserve">Tablet 10 mg, </w:t>
            </w:r>
            <w:r w:rsidR="00966250" w:rsidRPr="007D7306">
              <w:rPr>
                <w:rFonts w:ascii="Arial Narrow" w:hAnsi="Arial Narrow" w:cs="Arial"/>
                <w:i/>
                <w:sz w:val="20"/>
                <w:szCs w:val="20"/>
              </w:rPr>
              <w:t>6</w:t>
            </w:r>
          </w:p>
          <w:p w:rsidR="00966250" w:rsidRPr="007D7306" w:rsidRDefault="00966250" w:rsidP="00544EB3">
            <w:pPr>
              <w:keepNext/>
              <w:spacing w:before="40" w:after="40"/>
              <w:jc w:val="both"/>
              <w:rPr>
                <w:rFonts w:ascii="Arial Narrow" w:hAnsi="Arial Narrow" w:cs="Arial"/>
                <w:sz w:val="20"/>
                <w:szCs w:val="20"/>
              </w:rPr>
            </w:pPr>
          </w:p>
        </w:tc>
        <w:tc>
          <w:tcPr>
            <w:tcW w:w="318" w:type="pct"/>
          </w:tcPr>
          <w:p w:rsidR="00966250" w:rsidRPr="007D7306" w:rsidRDefault="00966250" w:rsidP="00544EB3">
            <w:pPr>
              <w:keepNext/>
              <w:spacing w:before="40" w:after="40"/>
              <w:jc w:val="center"/>
              <w:rPr>
                <w:rFonts w:ascii="Arial Narrow" w:hAnsi="Arial Narrow" w:cs="Arial"/>
                <w:i/>
                <w:sz w:val="20"/>
                <w:szCs w:val="20"/>
              </w:rPr>
            </w:pP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2</w:t>
            </w: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tc>
        <w:tc>
          <w:tcPr>
            <w:tcW w:w="465" w:type="pct"/>
          </w:tcPr>
          <w:p w:rsidR="00966250" w:rsidRPr="007D7306" w:rsidRDefault="00966250" w:rsidP="00544EB3">
            <w:pPr>
              <w:keepNext/>
              <w:spacing w:before="40" w:after="40"/>
              <w:jc w:val="center"/>
              <w:rPr>
                <w:rFonts w:ascii="Arial Narrow" w:hAnsi="Arial Narrow" w:cs="Arial"/>
                <w:i/>
                <w:sz w:val="20"/>
                <w:szCs w:val="20"/>
              </w:rPr>
            </w:pP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966250" w:rsidRPr="007D7306" w:rsidRDefault="00966250" w:rsidP="00544EB3">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tc>
        <w:tc>
          <w:tcPr>
            <w:tcW w:w="918" w:type="pct"/>
            <w:vAlign w:val="center"/>
          </w:tcPr>
          <w:p w:rsidR="00966250" w:rsidRPr="007D7306" w:rsidRDefault="00966250" w:rsidP="003C4C42">
            <w:pPr>
              <w:keepNext/>
              <w:spacing w:before="40" w:after="40"/>
              <w:jc w:val="center"/>
              <w:rPr>
                <w:rFonts w:ascii="Arial Narrow" w:hAnsi="Arial Narrow" w:cs="Arial"/>
                <w:sz w:val="20"/>
                <w:szCs w:val="20"/>
                <w:vertAlign w:val="superscript"/>
              </w:rPr>
            </w:pPr>
            <w:r w:rsidRPr="007D7306">
              <w:rPr>
                <w:rFonts w:ascii="Arial Narrow" w:hAnsi="Arial Narrow" w:cs="Arial"/>
                <w:sz w:val="20"/>
                <w:szCs w:val="20"/>
              </w:rPr>
              <w:t>$</w:t>
            </w:r>
            <w:r w:rsidR="0011292D" w:rsidRPr="007D7306">
              <w:rPr>
                <w:rFonts w:ascii="Arial Narrow" w:hAnsi="Arial Narrow" w:cs="Arial"/>
                <w:sz w:val="20"/>
                <w:szCs w:val="20"/>
              </w:rPr>
              <w:t>3,982.56</w:t>
            </w:r>
            <w:r w:rsidR="00E73C3F" w:rsidRPr="007D7306">
              <w:rPr>
                <w:rFonts w:ascii="Arial Narrow" w:hAnsi="Arial Narrow" w:cs="Arial"/>
                <w:sz w:val="20"/>
                <w:szCs w:val="20"/>
                <w:vertAlign w:val="superscript"/>
              </w:rPr>
              <w:t>a</w:t>
            </w:r>
          </w:p>
          <w:p w:rsidR="00966250" w:rsidRPr="007D7306" w:rsidRDefault="00966250" w:rsidP="003C4C42">
            <w:pPr>
              <w:keepNext/>
              <w:spacing w:before="40" w:after="40"/>
              <w:jc w:val="center"/>
              <w:rPr>
                <w:rFonts w:ascii="Arial Narrow" w:hAnsi="Arial Narrow" w:cs="Arial"/>
                <w:sz w:val="20"/>
                <w:szCs w:val="20"/>
                <w:vertAlign w:val="superscript"/>
              </w:rPr>
            </w:pPr>
            <w:r w:rsidRPr="007D7306">
              <w:rPr>
                <w:rFonts w:ascii="Arial Narrow" w:hAnsi="Arial Narrow" w:cs="Arial"/>
                <w:sz w:val="20"/>
                <w:szCs w:val="20"/>
              </w:rPr>
              <w:t>$</w:t>
            </w:r>
            <w:r w:rsidR="0011292D" w:rsidRPr="007D7306">
              <w:rPr>
                <w:rFonts w:ascii="Arial Narrow" w:hAnsi="Arial Narrow" w:cs="Arial"/>
                <w:sz w:val="20"/>
                <w:szCs w:val="20"/>
              </w:rPr>
              <w:t>30,813.84</w:t>
            </w:r>
            <w:r w:rsidR="00E73C3F" w:rsidRPr="007D7306">
              <w:rPr>
                <w:rFonts w:ascii="Arial Narrow" w:hAnsi="Arial Narrow" w:cs="Arial"/>
                <w:sz w:val="20"/>
                <w:szCs w:val="20"/>
                <w:vertAlign w:val="superscript"/>
              </w:rPr>
              <w:t>b</w:t>
            </w:r>
          </w:p>
          <w:p w:rsidR="00966250" w:rsidRPr="007D7306" w:rsidRDefault="00966250" w:rsidP="003C4C42">
            <w:pPr>
              <w:keepNext/>
              <w:spacing w:before="40" w:after="40"/>
              <w:jc w:val="center"/>
              <w:rPr>
                <w:rFonts w:ascii="Arial Narrow" w:hAnsi="Arial Narrow" w:cs="Arial"/>
                <w:sz w:val="20"/>
                <w:szCs w:val="20"/>
                <w:vertAlign w:val="superscript"/>
              </w:rPr>
            </w:pPr>
            <w:r w:rsidRPr="007D7306">
              <w:rPr>
                <w:rFonts w:ascii="Arial Narrow" w:hAnsi="Arial Narrow" w:cs="Arial"/>
                <w:sz w:val="20"/>
                <w:szCs w:val="20"/>
              </w:rPr>
              <w:t>$</w:t>
            </w:r>
            <w:r w:rsidR="0011292D" w:rsidRPr="007D7306">
              <w:rPr>
                <w:rFonts w:ascii="Arial Narrow" w:hAnsi="Arial Narrow" w:cs="Arial"/>
                <w:sz w:val="20"/>
                <w:szCs w:val="20"/>
              </w:rPr>
              <w:t>23,147.76</w:t>
            </w:r>
            <w:r w:rsidR="00E73C3F" w:rsidRPr="007D7306">
              <w:rPr>
                <w:rFonts w:ascii="Arial Narrow" w:hAnsi="Arial Narrow" w:cs="Arial"/>
                <w:sz w:val="20"/>
                <w:szCs w:val="20"/>
                <w:vertAlign w:val="superscript"/>
              </w:rPr>
              <w:t>c</w:t>
            </w:r>
          </w:p>
        </w:tc>
        <w:tc>
          <w:tcPr>
            <w:tcW w:w="777" w:type="pct"/>
          </w:tcPr>
          <w:p w:rsidR="00966250" w:rsidRPr="007D7306" w:rsidRDefault="00966250" w:rsidP="00544EB3">
            <w:pPr>
              <w:keepNext/>
              <w:spacing w:before="40" w:after="40"/>
              <w:jc w:val="center"/>
              <w:rPr>
                <w:rFonts w:ascii="Arial Narrow" w:hAnsi="Arial Narrow" w:cs="Arial"/>
                <w:sz w:val="20"/>
                <w:szCs w:val="20"/>
              </w:rPr>
            </w:pPr>
          </w:p>
          <w:p w:rsidR="00966250" w:rsidRPr="007D7306" w:rsidRDefault="00966250" w:rsidP="00544EB3">
            <w:pPr>
              <w:keepNext/>
              <w:spacing w:before="40" w:after="40"/>
              <w:jc w:val="center"/>
              <w:rPr>
                <w:rFonts w:ascii="Arial Narrow" w:hAnsi="Arial Narrow" w:cs="Arial"/>
                <w:sz w:val="20"/>
                <w:szCs w:val="20"/>
              </w:rPr>
            </w:pPr>
            <w:r w:rsidRPr="007D7306">
              <w:rPr>
                <w:rFonts w:ascii="Arial Narrow" w:hAnsi="Arial Narrow" w:cs="Arial"/>
                <w:sz w:val="20"/>
                <w:szCs w:val="20"/>
              </w:rPr>
              <w:t>MAVENCLAD</w:t>
            </w:r>
            <w:r w:rsidRPr="007D7306">
              <w:rPr>
                <w:rFonts w:ascii="Arial Narrow" w:hAnsi="Arial Narrow"/>
                <w:sz w:val="20"/>
                <w:szCs w:val="20"/>
                <w:vertAlign w:val="superscript"/>
              </w:rPr>
              <w:t>®</w:t>
            </w:r>
          </w:p>
        </w:tc>
        <w:tc>
          <w:tcPr>
            <w:tcW w:w="745" w:type="pct"/>
          </w:tcPr>
          <w:p w:rsidR="00966250" w:rsidRPr="007D7306" w:rsidRDefault="00966250" w:rsidP="00544EB3">
            <w:pPr>
              <w:keepNext/>
              <w:spacing w:before="40" w:after="40"/>
              <w:jc w:val="center"/>
              <w:rPr>
                <w:rFonts w:ascii="Arial Narrow" w:hAnsi="Arial Narrow" w:cs="Arial"/>
                <w:sz w:val="20"/>
                <w:szCs w:val="20"/>
              </w:rPr>
            </w:pPr>
          </w:p>
          <w:p w:rsidR="00966250" w:rsidRPr="007D7306" w:rsidRDefault="00966250" w:rsidP="003C4C42">
            <w:pPr>
              <w:keepNext/>
              <w:spacing w:before="40" w:after="40"/>
              <w:rPr>
                <w:rFonts w:ascii="Arial Narrow" w:hAnsi="Arial Narrow" w:cs="Arial"/>
                <w:sz w:val="20"/>
                <w:szCs w:val="20"/>
              </w:rPr>
            </w:pPr>
            <w:r w:rsidRPr="007D7306">
              <w:rPr>
                <w:rFonts w:ascii="Arial Narrow" w:hAnsi="Arial Narrow" w:cs="Arial"/>
                <w:sz w:val="20"/>
                <w:szCs w:val="20"/>
              </w:rPr>
              <w:t>Merck</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Category / Program</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7D7306">
              <w:rPr>
                <w:rFonts w:ascii="Arial Narrow" w:hAnsi="Arial Narrow" w:cs="Arial"/>
                <w:sz w:val="20"/>
                <w:szCs w:val="20"/>
              </w:rPr>
              <w:t>GENERAL – General Schedule (Code GE)</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Prescriber type:</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Dental  </w:t>
            </w: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Medical Practitioners  </w:t>
            </w:r>
            <w:r w:rsidRPr="00515174">
              <w:rPr>
                <w:rFonts w:ascii="Arial Narrow" w:hAnsi="Arial Narrow" w:cs="Arial"/>
                <w:sz w:val="20"/>
                <w:szCs w:val="20"/>
              </w:rPr>
              <w:fldChar w:fldCharType="begin">
                <w:ffData>
                  <w:name w:val="Check3"/>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Nurse practitioners  </w:t>
            </w:r>
            <w:r w:rsidRPr="00515174">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Optometrists </w:t>
            </w:r>
            <w:r w:rsidRPr="00515174">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Midwives</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Condition:</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7D7306">
              <w:rPr>
                <w:rFonts w:ascii="Arial Narrow" w:hAnsi="Arial Narrow" w:cs="Arial"/>
                <w:sz w:val="20"/>
                <w:szCs w:val="20"/>
              </w:rPr>
              <w:t>Relapsing remitting multiple sclerosis</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PBS Indication:</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7D7306">
              <w:rPr>
                <w:rFonts w:ascii="Arial Narrow" w:hAnsi="Arial Narrow" w:cs="Arial"/>
                <w:sz w:val="20"/>
                <w:szCs w:val="20"/>
              </w:rPr>
              <w:t>Relapsing remitting multiple sclerosis</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i/>
                <w:sz w:val="20"/>
                <w:szCs w:val="20"/>
              </w:rPr>
            </w:pPr>
            <w:r w:rsidRPr="007D7306">
              <w:rPr>
                <w:rFonts w:ascii="Arial Narrow" w:hAnsi="Arial Narrow" w:cs="Arial"/>
                <w:b/>
                <w:sz w:val="20"/>
                <w:szCs w:val="20"/>
              </w:rPr>
              <w:t>Treatment phase:</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7D7306">
              <w:rPr>
                <w:rFonts w:ascii="Arial Narrow" w:hAnsi="Arial Narrow" w:cs="Arial"/>
                <w:sz w:val="20"/>
                <w:szCs w:val="20"/>
              </w:rPr>
              <w:t>Initial treatment</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Restriction Level / Method:</w:t>
            </w:r>
          </w:p>
          <w:p w:rsidR="00966250" w:rsidRPr="007D7306" w:rsidRDefault="00966250" w:rsidP="00544EB3">
            <w:pPr>
              <w:spacing w:before="40" w:after="40"/>
              <w:rPr>
                <w:rFonts w:ascii="Arial Narrow" w:hAnsi="Arial Narrow" w:cs="Arial"/>
                <w:sz w:val="20"/>
                <w:szCs w:val="20"/>
              </w:rPr>
            </w:pP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Restricted benefit</w:t>
            </w:r>
          </w:p>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In Writing</w:t>
            </w:r>
          </w:p>
          <w:p w:rsidR="00966250" w:rsidRPr="00134010"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Check3"/>
                  <w:enabled/>
                  <w:calcOnExit w:val="0"/>
                  <w:checkBox>
                    <w:sizeAuto/>
                    <w:default w:val="1"/>
                  </w:checkBox>
                </w:ffData>
              </w:fldChar>
            </w:r>
            <w:bookmarkStart w:id="1" w:name="Check3"/>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bookmarkEnd w:id="1"/>
            <w:r w:rsidRPr="007D7306">
              <w:rPr>
                <w:rFonts w:ascii="Arial Narrow" w:hAnsi="Arial Narrow" w:cs="Arial"/>
                <w:sz w:val="20"/>
                <w:szCs w:val="20"/>
              </w:rPr>
              <w:t>Authority Required –</w:t>
            </w:r>
            <w:r w:rsidRPr="00134010">
              <w:rPr>
                <w:rFonts w:ascii="Arial Narrow" w:hAnsi="Arial Narrow" w:cs="Arial"/>
                <w:sz w:val="20"/>
                <w:szCs w:val="20"/>
              </w:rPr>
              <w:t xml:space="preserve"> Telephone</w:t>
            </w:r>
          </w:p>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Emergency</w:t>
            </w:r>
          </w:p>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Check5"/>
                  <w:enabled/>
                  <w:calcOnExit w:val="0"/>
                  <w:checkBox>
                    <w:sizeAuto/>
                    <w:default w:val="1"/>
                  </w:checkBox>
                </w:ffData>
              </w:fldChar>
            </w:r>
            <w:bookmarkStart w:id="2" w:name="Check5"/>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bookmarkEnd w:id="2"/>
            <w:r w:rsidRPr="007D7306">
              <w:rPr>
                <w:rFonts w:ascii="Arial Narrow" w:hAnsi="Arial Narrow" w:cs="Arial"/>
                <w:sz w:val="20"/>
                <w:szCs w:val="20"/>
              </w:rPr>
              <w:t>Authority Required - Electronic</w:t>
            </w:r>
          </w:p>
          <w:p w:rsidR="00966250" w:rsidRPr="007D7306" w:rsidRDefault="00966250" w:rsidP="00544EB3">
            <w:pPr>
              <w:spacing w:before="40" w:after="40"/>
              <w:rPr>
                <w:rFonts w:ascii="Arial Narrow" w:hAnsi="Arial Narrow" w:cs="Arial"/>
                <w:sz w:val="20"/>
                <w:szCs w:val="20"/>
              </w:rPr>
            </w:pPr>
            <w:r w:rsidRPr="00515174">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Streamlined</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b/>
                <w:sz w:val="20"/>
                <w:szCs w:val="20"/>
              </w:rPr>
            </w:pPr>
            <w:r w:rsidRPr="007D7306">
              <w:rPr>
                <w:rFonts w:ascii="Arial Narrow" w:hAnsi="Arial Narrow" w:cs="Arial"/>
                <w:b/>
                <w:sz w:val="20"/>
                <w:szCs w:val="20"/>
              </w:rPr>
              <w:t>Treatment criteria:</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rPr>
                <w:rFonts w:ascii="Arial Narrow" w:hAnsi="Arial Narrow" w:cs="Arial"/>
                <w:sz w:val="20"/>
                <w:szCs w:val="20"/>
              </w:rPr>
            </w:pPr>
            <w:r w:rsidRPr="007D7306">
              <w:rPr>
                <w:rFonts w:ascii="Arial Narrow" w:hAnsi="Arial Narrow" w:cs="Arial"/>
                <w:sz w:val="20"/>
                <w:szCs w:val="20"/>
              </w:rPr>
              <w:t xml:space="preserve">Must be </w:t>
            </w:r>
            <w:r w:rsidRPr="007D7306">
              <w:rPr>
                <w:rFonts w:ascii="Arial Narrow" w:hAnsi="Arial Narrow" w:cs="Arial"/>
                <w:strike/>
                <w:sz w:val="20"/>
                <w:szCs w:val="20"/>
              </w:rPr>
              <w:t>initiated</w:t>
            </w:r>
            <w:r w:rsidRPr="007D7306">
              <w:rPr>
                <w:rFonts w:ascii="Arial Narrow" w:hAnsi="Arial Narrow" w:cs="Arial"/>
                <w:sz w:val="20"/>
                <w:szCs w:val="20"/>
              </w:rPr>
              <w:t xml:space="preserve"> </w:t>
            </w:r>
            <w:r w:rsidR="007563D0" w:rsidRPr="007D7306">
              <w:rPr>
                <w:rFonts w:ascii="Arial Narrow" w:hAnsi="Arial Narrow" w:cs="Arial"/>
                <w:sz w:val="20"/>
                <w:szCs w:val="20"/>
              </w:rPr>
              <w:t xml:space="preserve">diagnosed </w:t>
            </w:r>
            <w:r w:rsidRPr="007D7306">
              <w:rPr>
                <w:rFonts w:ascii="Arial Narrow" w:hAnsi="Arial Narrow" w:cs="Arial"/>
                <w:sz w:val="20"/>
                <w:szCs w:val="20"/>
              </w:rPr>
              <w:t xml:space="preserve">by </w:t>
            </w:r>
            <w:r w:rsidRPr="007D7306">
              <w:rPr>
                <w:rFonts w:ascii="Arial Narrow" w:hAnsi="Arial Narrow" w:cs="Arial"/>
                <w:i/>
                <w:sz w:val="20"/>
                <w:szCs w:val="20"/>
              </w:rPr>
              <w:t>a</w:t>
            </w:r>
            <w:r w:rsidRPr="007D7306">
              <w:rPr>
                <w:rFonts w:ascii="Arial Narrow" w:hAnsi="Arial Narrow" w:cs="Arial"/>
                <w:sz w:val="20"/>
                <w:szCs w:val="20"/>
              </w:rPr>
              <w:t xml:space="preserve"> neurologist</w:t>
            </w:r>
            <w:r w:rsidR="00AB5366" w:rsidRPr="007D7306">
              <w:rPr>
                <w:rFonts w:ascii="Arial Narrow" w:hAnsi="Arial Narrow" w:cs="Arial"/>
                <w:strike/>
                <w:sz w:val="20"/>
                <w:szCs w:val="20"/>
              </w:rPr>
              <w:t>.</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b/>
                <w:sz w:val="20"/>
                <w:szCs w:val="20"/>
              </w:rPr>
            </w:pPr>
            <w:r w:rsidRPr="007D7306">
              <w:rPr>
                <w:rFonts w:ascii="Arial Narrow" w:hAnsi="Arial Narrow" w:cs="Arial"/>
                <w:b/>
                <w:sz w:val="20"/>
                <w:szCs w:val="20"/>
              </w:rPr>
              <w:t>Clinical criteria:</w:t>
            </w:r>
          </w:p>
          <w:p w:rsidR="00966250" w:rsidRPr="007D7306" w:rsidRDefault="00966250" w:rsidP="00544EB3">
            <w:pPr>
              <w:spacing w:before="40" w:after="40"/>
              <w:jc w:val="both"/>
              <w:rPr>
                <w:rFonts w:ascii="Arial Narrow" w:hAnsi="Arial Narrow" w:cs="Arial"/>
                <w:i/>
                <w:sz w:val="20"/>
                <w:szCs w:val="20"/>
              </w:rPr>
            </w:pPr>
          </w:p>
          <w:p w:rsidR="00966250" w:rsidRPr="007D7306" w:rsidRDefault="00966250" w:rsidP="00544EB3">
            <w:pPr>
              <w:spacing w:before="40" w:after="40"/>
              <w:jc w:val="both"/>
              <w:rPr>
                <w:rFonts w:ascii="Arial Narrow" w:hAnsi="Arial Narrow" w:cs="Arial"/>
                <w:sz w:val="20"/>
                <w:szCs w:val="20"/>
              </w:rPr>
            </w:pP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lastRenderedPageBreak/>
              <w:t xml:space="preserve">The condition must be diagnosed as clinically definite relapsing-remitting multiple sclerosis by magnetic resonance imaging of the brain and/or spinal cord; </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OR</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AND</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AND</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Patient must have experienced at least 2 documented attacks of neurological dysfunction, believed to be due to the multiple sclerosis, in the preceding 2 years,</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AND</w:t>
            </w:r>
          </w:p>
          <w:p w:rsidR="00966250" w:rsidRPr="007D7306" w:rsidRDefault="00966250" w:rsidP="00544EB3">
            <w:pPr>
              <w:rPr>
                <w:rFonts w:ascii="Arial Narrow" w:hAnsi="Arial Narrow" w:cs="Arial"/>
                <w:sz w:val="20"/>
                <w:szCs w:val="20"/>
              </w:rPr>
            </w:pP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Patient must be ambulatory (without assistance or support).</w:t>
            </w:r>
          </w:p>
          <w:p w:rsidR="00966250" w:rsidRPr="007D7306" w:rsidRDefault="00966250" w:rsidP="00544EB3">
            <w:pPr>
              <w:spacing w:before="40" w:after="40"/>
              <w:rPr>
                <w:rFonts w:ascii="Arial Narrow" w:hAnsi="Arial Narrow" w:cs="Arial"/>
                <w:sz w:val="20"/>
                <w:szCs w:val="20"/>
              </w:rPr>
            </w:pP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jc w:val="both"/>
              <w:rPr>
                <w:rFonts w:ascii="Arial Narrow" w:hAnsi="Arial Narrow" w:cs="Arial"/>
                <w:b/>
                <w:sz w:val="20"/>
                <w:szCs w:val="20"/>
              </w:rPr>
            </w:pPr>
            <w:r w:rsidRPr="007D7306">
              <w:rPr>
                <w:rFonts w:ascii="Arial Narrow" w:hAnsi="Arial Narrow" w:cs="Arial"/>
                <w:b/>
                <w:sz w:val="20"/>
                <w:szCs w:val="20"/>
              </w:rPr>
              <w:lastRenderedPageBreak/>
              <w:t>Prescriber Instructions</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Where applicable, the date of the magnetic resonance imaging scan must be recorded in the patient's medical records.</w:t>
            </w: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r w:rsidR="00966250" w:rsidRPr="007D7306" w:rsidTr="00194975">
        <w:trPr>
          <w:trHeight w:val="360"/>
        </w:trPr>
        <w:tc>
          <w:tcPr>
            <w:tcW w:w="934" w:type="pct"/>
            <w:tcBorders>
              <w:top w:val="single" w:sz="4" w:space="0" w:color="auto"/>
              <w:left w:val="single" w:sz="4" w:space="0" w:color="auto"/>
              <w:bottom w:val="single" w:sz="4" w:space="0" w:color="auto"/>
              <w:right w:val="single" w:sz="4" w:space="0" w:color="auto"/>
            </w:tcBorders>
          </w:tcPr>
          <w:p w:rsidR="00966250" w:rsidRPr="007D7306" w:rsidRDefault="00966250" w:rsidP="00544EB3">
            <w:pPr>
              <w:spacing w:before="40" w:after="40"/>
              <w:jc w:val="both"/>
              <w:rPr>
                <w:rFonts w:ascii="Arial Narrow" w:hAnsi="Arial Narrow" w:cs="Arial"/>
                <w:sz w:val="20"/>
                <w:szCs w:val="20"/>
              </w:rPr>
            </w:pPr>
            <w:r w:rsidRPr="007D7306">
              <w:rPr>
                <w:rFonts w:ascii="Arial Narrow" w:hAnsi="Arial Narrow" w:cs="Arial"/>
                <w:b/>
                <w:sz w:val="20"/>
                <w:szCs w:val="20"/>
              </w:rPr>
              <w:t>Administrative Advice:</w:t>
            </w:r>
          </w:p>
        </w:tc>
        <w:tc>
          <w:tcPr>
            <w:tcW w:w="4066" w:type="pct"/>
            <w:gridSpan w:val="6"/>
            <w:tcBorders>
              <w:top w:val="single" w:sz="4" w:space="0" w:color="auto"/>
              <w:left w:val="single" w:sz="4" w:space="0" w:color="auto"/>
              <w:bottom w:val="single" w:sz="4" w:space="0" w:color="auto"/>
              <w:right w:val="single" w:sz="4" w:space="0" w:color="auto"/>
            </w:tcBorders>
          </w:tcPr>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No increase in the maximum quantity may be authorised.</w:t>
            </w:r>
          </w:p>
          <w:p w:rsidR="00966250" w:rsidRPr="007D7306" w:rsidRDefault="00966250" w:rsidP="00544EB3">
            <w:pPr>
              <w:rPr>
                <w:rFonts w:ascii="Arial Narrow" w:hAnsi="Arial Narrow" w:cs="Arial"/>
                <w:sz w:val="20"/>
                <w:szCs w:val="20"/>
              </w:rPr>
            </w:pPr>
            <w:r w:rsidRPr="007D7306">
              <w:rPr>
                <w:rFonts w:ascii="Arial Narrow" w:hAnsi="Arial Narrow" w:cs="Arial"/>
                <w:sz w:val="20"/>
                <w:szCs w:val="20"/>
              </w:rPr>
              <w:t>No increase in the maximum number of repeats may be authorised.</w:t>
            </w:r>
          </w:p>
          <w:p w:rsidR="00966250" w:rsidRPr="007D7306" w:rsidRDefault="00966250" w:rsidP="00AB5366">
            <w:pPr>
              <w:rPr>
                <w:rFonts w:ascii="Arial Narrow" w:hAnsi="Arial Narrow" w:cs="Arial"/>
                <w:sz w:val="20"/>
                <w:szCs w:val="20"/>
              </w:rPr>
            </w:pPr>
            <w:r w:rsidRPr="007D7306">
              <w:rPr>
                <w:rFonts w:ascii="Arial Narrow" w:hAnsi="Arial Narrow" w:cs="Arial"/>
                <w:sz w:val="20"/>
                <w:szCs w:val="20"/>
              </w:rPr>
              <w:t>Special Pricing Arrangements apply.</w:t>
            </w:r>
          </w:p>
        </w:tc>
      </w:tr>
    </w:tbl>
    <w:p w:rsidR="0067747D" w:rsidRPr="007D7306" w:rsidRDefault="0067747D" w:rsidP="0067747D">
      <w:pPr>
        <w:pStyle w:val="ListParagraph"/>
        <w:widowControl/>
        <w:spacing w:after="120"/>
        <w:contextualSpacing w:val="0"/>
        <w:rPr>
          <w:rFonts w:eastAsiaTheme="minorHAnsi"/>
          <w:snapToGrid/>
          <w:sz w:val="18"/>
          <w:szCs w:val="22"/>
          <w:vertAlign w:val="superscript"/>
        </w:rPr>
      </w:pPr>
    </w:p>
    <w:tbl>
      <w:tblPr>
        <w:tblW w:w="4942" w:type="pct"/>
        <w:tblInd w:w="108" w:type="dxa"/>
        <w:tblLook w:val="0000" w:firstRow="0" w:lastRow="0" w:firstColumn="0" w:lastColumn="0" w:noHBand="0" w:noVBand="0"/>
      </w:tblPr>
      <w:tblGrid>
        <w:gridCol w:w="1843"/>
        <w:gridCol w:w="7292"/>
      </w:tblGrid>
      <w:tr w:rsidR="00AB5366" w:rsidRPr="007D7306" w:rsidTr="00194975">
        <w:trPr>
          <w:cantSplit/>
          <w:trHeight w:val="245"/>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Category / Program</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GENERAL – General Schedule (Code GE)</w:t>
            </w:r>
          </w:p>
        </w:tc>
      </w:tr>
      <w:tr w:rsidR="00AB5366" w:rsidRPr="007D7306" w:rsidTr="00194975">
        <w:trPr>
          <w:cantSplit/>
          <w:trHeight w:val="321"/>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Prescriber type:</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Dental  </w:t>
            </w: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Medical Practitioners  </w:t>
            </w:r>
            <w:r w:rsidRPr="00515174">
              <w:rPr>
                <w:rFonts w:ascii="Arial Narrow" w:hAnsi="Arial Narrow" w:cs="Arial"/>
                <w:sz w:val="20"/>
                <w:szCs w:val="20"/>
              </w:rPr>
              <w:fldChar w:fldCharType="begin">
                <w:ffData>
                  <w:name w:val="Check3"/>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Nurse practitioners  </w:t>
            </w:r>
            <w:r w:rsidRPr="00515174">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 xml:space="preserve">Optometrists </w:t>
            </w:r>
            <w:r w:rsidRPr="00515174">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Midwives</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Condition:</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Relapsing remitting multiple sclerosis</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PBS Indication:</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Relapsing remitting multiple sclerosis</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i/>
                <w:sz w:val="20"/>
                <w:szCs w:val="20"/>
              </w:rPr>
            </w:pPr>
            <w:r w:rsidRPr="007D7306">
              <w:rPr>
                <w:rFonts w:ascii="Arial Narrow" w:hAnsi="Arial Narrow" w:cs="Arial"/>
                <w:b/>
                <w:sz w:val="20"/>
                <w:szCs w:val="20"/>
              </w:rPr>
              <w:t>Treatment phase:</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Continuing treatment</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Restriction Level / Method:</w:t>
            </w:r>
          </w:p>
          <w:p w:rsidR="00AB5366" w:rsidRPr="007D7306" w:rsidRDefault="00AB5366" w:rsidP="00544EB3">
            <w:pPr>
              <w:rPr>
                <w:rFonts w:ascii="Arial Narrow" w:hAnsi="Arial Narrow" w:cs="Arial"/>
                <w:i/>
                <w:sz w:val="20"/>
                <w:szCs w:val="20"/>
              </w:rPr>
            </w:pPr>
          </w:p>
          <w:p w:rsidR="00AB5366" w:rsidRPr="007D7306" w:rsidRDefault="00AB5366" w:rsidP="00544EB3">
            <w:pPr>
              <w:rPr>
                <w:rFonts w:ascii="Arial Narrow" w:hAnsi="Arial Narrow" w:cs="Arial"/>
                <w:i/>
                <w:sz w:val="20"/>
                <w:szCs w:val="20"/>
              </w:rPr>
            </w:pP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Restricted benefit</w:t>
            </w:r>
          </w:p>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In Writing</w:t>
            </w:r>
          </w:p>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Telephone</w:t>
            </w:r>
          </w:p>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Emergency</w:t>
            </w:r>
          </w:p>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Authority Required - Electronic</w:t>
            </w:r>
          </w:p>
          <w:p w:rsidR="00AB5366" w:rsidRPr="007D7306" w:rsidRDefault="00AB5366" w:rsidP="00544EB3">
            <w:pPr>
              <w:rPr>
                <w:rFonts w:ascii="Arial Narrow" w:hAnsi="Arial Narrow" w:cs="Arial"/>
                <w:sz w:val="20"/>
                <w:szCs w:val="20"/>
              </w:rPr>
            </w:pPr>
            <w:r w:rsidRPr="00515174">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515174">
              <w:rPr>
                <w:rFonts w:ascii="Arial Narrow" w:hAnsi="Arial Narrow" w:cs="Arial"/>
                <w:sz w:val="20"/>
                <w:szCs w:val="20"/>
              </w:rPr>
              <w:fldChar w:fldCharType="end"/>
            </w:r>
            <w:r w:rsidRPr="007D7306">
              <w:rPr>
                <w:rFonts w:ascii="Arial Narrow" w:hAnsi="Arial Narrow" w:cs="Arial"/>
                <w:sz w:val="20"/>
                <w:szCs w:val="20"/>
              </w:rPr>
              <w:t>Streamlined</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b/>
                <w:sz w:val="20"/>
                <w:szCs w:val="20"/>
              </w:rPr>
            </w:pPr>
            <w:r w:rsidRPr="007D7306">
              <w:rPr>
                <w:rFonts w:ascii="Arial Narrow" w:hAnsi="Arial Narrow" w:cs="Arial"/>
                <w:b/>
                <w:sz w:val="20"/>
                <w:szCs w:val="20"/>
              </w:rPr>
              <w:t>Treatment criteria:</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 xml:space="preserve">Must be </w:t>
            </w:r>
            <w:r w:rsidRPr="007D7306">
              <w:rPr>
                <w:rFonts w:ascii="Arial Narrow" w:hAnsi="Arial Narrow" w:cs="Arial"/>
                <w:strike/>
                <w:sz w:val="20"/>
                <w:szCs w:val="20"/>
              </w:rPr>
              <w:t>supervised</w:t>
            </w:r>
            <w:r w:rsidR="007563D0" w:rsidRPr="007D7306">
              <w:rPr>
                <w:rFonts w:ascii="Arial Narrow" w:hAnsi="Arial Narrow" w:cs="Arial"/>
                <w:sz w:val="20"/>
                <w:szCs w:val="20"/>
              </w:rPr>
              <w:t xml:space="preserve"> </w:t>
            </w:r>
            <w:r w:rsidR="00C25CD7" w:rsidRPr="007D7306">
              <w:rPr>
                <w:rFonts w:ascii="Arial Narrow" w:hAnsi="Arial Narrow" w:cs="Arial"/>
                <w:sz w:val="20"/>
                <w:szCs w:val="20"/>
              </w:rPr>
              <w:t>treated by</w:t>
            </w:r>
            <w:r w:rsidRPr="007D7306">
              <w:rPr>
                <w:rFonts w:ascii="Arial Narrow" w:hAnsi="Arial Narrow" w:cs="Arial"/>
                <w:sz w:val="20"/>
                <w:szCs w:val="20"/>
              </w:rPr>
              <w:t xml:space="preserve"> </w:t>
            </w:r>
            <w:r w:rsidRPr="007D7306">
              <w:rPr>
                <w:rFonts w:ascii="Arial Narrow" w:hAnsi="Arial Narrow" w:cs="Arial"/>
                <w:i/>
                <w:sz w:val="20"/>
                <w:szCs w:val="20"/>
              </w:rPr>
              <w:t xml:space="preserve">a </w:t>
            </w:r>
            <w:r w:rsidRPr="007D7306">
              <w:rPr>
                <w:rFonts w:ascii="Arial Narrow" w:hAnsi="Arial Narrow" w:cs="Arial"/>
                <w:sz w:val="20"/>
                <w:szCs w:val="20"/>
              </w:rPr>
              <w:t>neurologist</w:t>
            </w:r>
            <w:r w:rsidRPr="007D7306">
              <w:rPr>
                <w:rFonts w:ascii="Arial Narrow" w:hAnsi="Arial Narrow" w:cs="Arial"/>
                <w:strike/>
                <w:sz w:val="20"/>
                <w:szCs w:val="20"/>
              </w:rPr>
              <w:t>.</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Clinical criteria:</w:t>
            </w:r>
          </w:p>
          <w:p w:rsidR="00AB5366" w:rsidRPr="007D7306" w:rsidRDefault="00AB5366" w:rsidP="00544EB3">
            <w:pPr>
              <w:jc w:val="both"/>
              <w:rPr>
                <w:rFonts w:ascii="Arial Narrow" w:hAnsi="Arial Narrow" w:cs="Arial"/>
                <w:i/>
                <w:sz w:val="20"/>
                <w:szCs w:val="20"/>
              </w:rPr>
            </w:pPr>
          </w:p>
          <w:p w:rsidR="00AB5366" w:rsidRPr="007D7306" w:rsidRDefault="00AB5366" w:rsidP="00544EB3">
            <w:pPr>
              <w:jc w:val="both"/>
              <w:rPr>
                <w:rFonts w:ascii="Arial Narrow" w:hAnsi="Arial Narrow" w:cs="Arial"/>
                <w:sz w:val="20"/>
                <w:szCs w:val="20"/>
              </w:rPr>
            </w:pP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have previously received PBS-subsidised treatment with this drug for this condition,</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lastRenderedPageBreak/>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not show continuing progression of disability while on treatment with this drug,</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have demonstrated compliance with, and an ability to tolerate this therapy.</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lastRenderedPageBreak/>
              <w:t>Prescriber Instructions</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r w:rsidR="00AB5366" w:rsidRPr="007D7306" w:rsidTr="00194975">
        <w:trPr>
          <w:cantSplit/>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sz w:val="20"/>
                <w:szCs w:val="20"/>
              </w:rPr>
            </w:pPr>
            <w:r w:rsidRPr="007D7306">
              <w:rPr>
                <w:rFonts w:ascii="Arial Narrow" w:hAnsi="Arial Narrow" w:cs="Arial"/>
                <w:b/>
                <w:sz w:val="20"/>
                <w:szCs w:val="20"/>
              </w:rPr>
              <w:t>Administrative Advice</w:t>
            </w:r>
          </w:p>
          <w:p w:rsidR="00AB5366" w:rsidRPr="007D7306" w:rsidRDefault="00AB5366" w:rsidP="00544EB3">
            <w:pPr>
              <w:jc w:val="both"/>
              <w:rPr>
                <w:rFonts w:ascii="Arial Narrow" w:hAnsi="Arial Narrow" w:cs="Arial"/>
                <w:i/>
                <w:sz w:val="20"/>
                <w:szCs w:val="20"/>
              </w:rPr>
            </w:pP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No increase in the maximum quantity may be authorised.</w:t>
            </w: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No increase in the maximum number of repeats may be authorised.</w:t>
            </w: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Special Pricing Arrangements apply.</w:t>
            </w:r>
          </w:p>
        </w:tc>
      </w:tr>
    </w:tbl>
    <w:p w:rsidR="00AB5366" w:rsidRPr="007D7306" w:rsidRDefault="00AB5366" w:rsidP="0067747D">
      <w:pPr>
        <w:pStyle w:val="ListParagraph"/>
        <w:widowControl/>
        <w:spacing w:after="120"/>
        <w:contextualSpacing w:val="0"/>
        <w:rPr>
          <w:rFonts w:asciiTheme="minorHAnsi" w:eastAsiaTheme="minorHAnsi" w:hAnsiTheme="minorHAnsi" w:cstheme="minorBidi"/>
          <w:snapToGrid/>
          <w:sz w:val="24"/>
          <w:szCs w:val="22"/>
        </w:rPr>
      </w:pPr>
    </w:p>
    <w:tbl>
      <w:tblPr>
        <w:tblW w:w="4942" w:type="pct"/>
        <w:tblInd w:w="108" w:type="dxa"/>
        <w:tblLook w:val="0000" w:firstRow="0" w:lastRow="0" w:firstColumn="0" w:lastColumn="0" w:noHBand="0" w:noVBand="0"/>
      </w:tblPr>
      <w:tblGrid>
        <w:gridCol w:w="1843"/>
        <w:gridCol w:w="7292"/>
      </w:tblGrid>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t>Category / Program</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i/>
                <w:sz w:val="20"/>
                <w:szCs w:val="20"/>
              </w:rPr>
            </w:pPr>
            <w:r w:rsidRPr="007D7306">
              <w:rPr>
                <w:rFonts w:ascii="Arial Narrow" w:hAnsi="Arial Narrow" w:cs="Arial"/>
                <w:i/>
                <w:sz w:val="20"/>
                <w:szCs w:val="20"/>
              </w:rPr>
              <w:t>GENERAL – General Schedule (Code GE)</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t>Prescriber type:</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i/>
                <w:sz w:val="20"/>
                <w:szCs w:val="20"/>
              </w:rPr>
            </w:pPr>
            <w:r w:rsidRPr="00515174">
              <w:rPr>
                <w:rFonts w:ascii="Arial Narrow" w:hAnsi="Arial Narrow" w:cs="Arial"/>
                <w:i/>
                <w:sz w:val="20"/>
                <w:szCs w:val="20"/>
              </w:rPr>
              <w:fldChar w:fldCharType="begin">
                <w:ffData>
                  <w:name w:val="Check1"/>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515174">
              <w:rPr>
                <w:rFonts w:ascii="Arial Narrow" w:hAnsi="Arial Narrow" w:cs="Arial"/>
                <w:i/>
                <w:sz w:val="20"/>
                <w:szCs w:val="20"/>
              </w:rPr>
              <w:fldChar w:fldCharType="end"/>
            </w:r>
            <w:r w:rsidRPr="007D7306">
              <w:rPr>
                <w:rFonts w:ascii="Arial Narrow" w:hAnsi="Arial Narrow" w:cs="Arial"/>
                <w:i/>
                <w:sz w:val="20"/>
                <w:szCs w:val="20"/>
              </w:rPr>
              <w:t xml:space="preserve">Dental  </w:t>
            </w:r>
            <w:r w:rsidRPr="00515174">
              <w:rPr>
                <w:rFonts w:ascii="Arial Narrow" w:hAnsi="Arial Narrow" w:cs="Arial"/>
                <w:i/>
                <w:sz w:val="20"/>
                <w:szCs w:val="20"/>
              </w:rPr>
              <w:fldChar w:fldCharType="begin">
                <w:ffData>
                  <w:name w:val=""/>
                  <w:enabled/>
                  <w:calcOnExit w:val="0"/>
                  <w:checkBox>
                    <w:sizeAuto/>
                    <w:default w:val="1"/>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515174">
              <w:rPr>
                <w:rFonts w:ascii="Arial Narrow" w:hAnsi="Arial Narrow" w:cs="Arial"/>
                <w:i/>
                <w:sz w:val="20"/>
                <w:szCs w:val="20"/>
              </w:rPr>
              <w:fldChar w:fldCharType="end"/>
            </w:r>
            <w:r w:rsidRPr="007D7306">
              <w:rPr>
                <w:rFonts w:ascii="Arial Narrow" w:hAnsi="Arial Narrow" w:cs="Arial"/>
                <w:i/>
                <w:sz w:val="20"/>
                <w:szCs w:val="20"/>
              </w:rPr>
              <w:t xml:space="preserve">Medical Practitioners  </w:t>
            </w:r>
            <w:r w:rsidRPr="00515174">
              <w:rPr>
                <w:rFonts w:ascii="Arial Narrow" w:hAnsi="Arial Narrow" w:cs="Arial"/>
                <w:i/>
                <w:sz w:val="20"/>
                <w:szCs w:val="20"/>
              </w:rPr>
              <w:fldChar w:fldCharType="begin">
                <w:ffData>
                  <w:name w:val="Check3"/>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515174">
              <w:rPr>
                <w:rFonts w:ascii="Arial Narrow" w:hAnsi="Arial Narrow" w:cs="Arial"/>
                <w:i/>
                <w:sz w:val="20"/>
                <w:szCs w:val="20"/>
              </w:rPr>
              <w:fldChar w:fldCharType="end"/>
            </w:r>
            <w:r w:rsidRPr="007D7306">
              <w:rPr>
                <w:rFonts w:ascii="Arial Narrow" w:hAnsi="Arial Narrow" w:cs="Arial"/>
                <w:i/>
                <w:sz w:val="20"/>
                <w:szCs w:val="20"/>
              </w:rPr>
              <w:t xml:space="preserve">Nurse practitioners  </w:t>
            </w:r>
            <w:r w:rsidRPr="00515174">
              <w:rPr>
                <w:rFonts w:ascii="Arial Narrow" w:hAnsi="Arial Narrow" w:cs="Arial"/>
                <w:i/>
                <w:sz w:val="20"/>
                <w:szCs w:val="20"/>
              </w:rPr>
              <w:fldChar w:fldCharType="begin">
                <w:ffData>
                  <w:name w:val=""/>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515174">
              <w:rPr>
                <w:rFonts w:ascii="Arial Narrow" w:hAnsi="Arial Narrow" w:cs="Arial"/>
                <w:i/>
                <w:sz w:val="20"/>
                <w:szCs w:val="20"/>
              </w:rPr>
              <w:fldChar w:fldCharType="end"/>
            </w:r>
            <w:r w:rsidRPr="007D7306">
              <w:rPr>
                <w:rFonts w:ascii="Arial Narrow" w:hAnsi="Arial Narrow" w:cs="Arial"/>
                <w:i/>
                <w:sz w:val="20"/>
                <w:szCs w:val="20"/>
              </w:rPr>
              <w:t xml:space="preserve">Optometrists </w:t>
            </w:r>
            <w:r w:rsidRPr="00515174">
              <w:rPr>
                <w:rFonts w:ascii="Arial Narrow" w:hAnsi="Arial Narrow" w:cs="Arial"/>
                <w:i/>
                <w:sz w:val="20"/>
                <w:szCs w:val="20"/>
              </w:rPr>
              <w:fldChar w:fldCharType="begin">
                <w:ffData>
                  <w:name w:val="Check5"/>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515174">
              <w:rPr>
                <w:rFonts w:ascii="Arial Narrow" w:hAnsi="Arial Narrow" w:cs="Arial"/>
                <w:i/>
                <w:sz w:val="20"/>
                <w:szCs w:val="20"/>
              </w:rPr>
              <w:fldChar w:fldCharType="end"/>
            </w:r>
            <w:r w:rsidRPr="007D7306">
              <w:rPr>
                <w:rFonts w:ascii="Arial Narrow" w:hAnsi="Arial Narrow" w:cs="Arial"/>
                <w:i/>
                <w:sz w:val="20"/>
                <w:szCs w:val="20"/>
              </w:rPr>
              <w:t>Midwives</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t>Condition:</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Relapsing remitting multiple sclerosis</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t>PBS Indication:</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Relapsing remitting multiple sclerosis</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i/>
                <w:sz w:val="20"/>
                <w:szCs w:val="20"/>
              </w:rPr>
            </w:pPr>
            <w:r w:rsidRPr="007D7306">
              <w:rPr>
                <w:rFonts w:ascii="Arial Narrow" w:hAnsi="Arial Narrow" w:cs="Arial"/>
                <w:b/>
                <w:i/>
                <w:sz w:val="20"/>
                <w:szCs w:val="20"/>
              </w:rPr>
              <w:t>Treatment phase:</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Grandfather treatment</w:t>
            </w: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t>Clinical criteria:</w:t>
            </w:r>
          </w:p>
          <w:p w:rsidR="00AB5366" w:rsidRPr="007D7306" w:rsidRDefault="00AB5366" w:rsidP="00544EB3">
            <w:pPr>
              <w:jc w:val="both"/>
              <w:rPr>
                <w:rFonts w:ascii="Arial Narrow" w:hAnsi="Arial Narrow" w:cs="Arial"/>
                <w:b/>
                <w:i/>
                <w:sz w:val="20"/>
                <w:szCs w:val="20"/>
              </w:rPr>
            </w:pP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 xml:space="preserve">The condition must be diagnosed as clinically definite relapsing-remitting multiple sclerosis by magnetic resonance imaging of the brain and/or spinal cord; </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OR</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have received treatment with this drug for this condition prior to (listing date);</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have experienced at least 2 documented attacks of neurological dysfunction, believed to be due to the multiple sclerosis, in the 2 years preceding when this drug was initiated for this condition;</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be ambulatory (without assistance or support);</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Patient must not show continuing progression of disability while on treatment with this drug;</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AND</w:t>
            </w:r>
          </w:p>
          <w:p w:rsidR="00AB5366" w:rsidRPr="007D7306" w:rsidRDefault="00AB5366" w:rsidP="00544EB3">
            <w:pPr>
              <w:rPr>
                <w:rFonts w:ascii="Arial Narrow" w:hAnsi="Arial Narrow" w:cs="Arial"/>
                <w:sz w:val="20"/>
                <w:szCs w:val="20"/>
              </w:rPr>
            </w:pPr>
          </w:p>
          <w:p w:rsidR="00AB5366" w:rsidRPr="007D7306" w:rsidRDefault="00AB5366" w:rsidP="00544EB3">
            <w:pPr>
              <w:rPr>
                <w:rFonts w:ascii="Arial Narrow" w:hAnsi="Arial Narrow" w:cs="Arial"/>
                <w:i/>
                <w:sz w:val="20"/>
                <w:szCs w:val="20"/>
              </w:rPr>
            </w:pPr>
            <w:r w:rsidRPr="007D7306">
              <w:rPr>
                <w:rFonts w:ascii="Arial Narrow" w:hAnsi="Arial Narrow" w:cs="Arial"/>
                <w:sz w:val="20"/>
                <w:szCs w:val="20"/>
              </w:rPr>
              <w:t>Patient must have demonstrated compliance with, and an ability to tolerate this therapy</w:t>
            </w:r>
            <w:r w:rsidRPr="007D7306">
              <w:rPr>
                <w:rFonts w:ascii="Arial Narrow" w:hAnsi="Arial Narrow" w:cs="Arial"/>
                <w:i/>
                <w:sz w:val="20"/>
                <w:szCs w:val="20"/>
              </w:rPr>
              <w:t>.</w:t>
            </w:r>
          </w:p>
          <w:p w:rsidR="00AB5366" w:rsidRPr="007D7306" w:rsidRDefault="00AB5366" w:rsidP="00544EB3">
            <w:pPr>
              <w:rPr>
                <w:rFonts w:ascii="Arial Narrow" w:hAnsi="Arial Narrow" w:cs="Arial"/>
                <w:i/>
                <w:sz w:val="20"/>
                <w:szCs w:val="20"/>
              </w:rPr>
            </w:pPr>
          </w:p>
        </w:tc>
      </w:tr>
      <w:tr w:rsidR="00AB5366" w:rsidRPr="007D7306" w:rsidTr="00194975">
        <w:trPr>
          <w:trHeight w:val="360"/>
        </w:trPr>
        <w:tc>
          <w:tcPr>
            <w:tcW w:w="1009"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jc w:val="both"/>
              <w:rPr>
                <w:rFonts w:ascii="Arial Narrow" w:hAnsi="Arial Narrow" w:cs="Arial"/>
                <w:b/>
                <w:i/>
                <w:sz w:val="20"/>
                <w:szCs w:val="20"/>
              </w:rPr>
            </w:pPr>
            <w:r w:rsidRPr="007D7306">
              <w:rPr>
                <w:rFonts w:ascii="Arial Narrow" w:hAnsi="Arial Narrow" w:cs="Arial"/>
                <w:b/>
                <w:i/>
                <w:sz w:val="20"/>
                <w:szCs w:val="20"/>
              </w:rPr>
              <w:lastRenderedPageBreak/>
              <w:t>Prescriber Instructions</w:t>
            </w:r>
          </w:p>
        </w:tc>
        <w:tc>
          <w:tcPr>
            <w:tcW w:w="3991" w:type="pct"/>
            <w:tcBorders>
              <w:top w:val="single" w:sz="4" w:space="0" w:color="auto"/>
              <w:left w:val="single" w:sz="4" w:space="0" w:color="auto"/>
              <w:bottom w:val="single" w:sz="4" w:space="0" w:color="auto"/>
              <w:right w:val="single" w:sz="4" w:space="0" w:color="auto"/>
            </w:tcBorders>
          </w:tcPr>
          <w:p w:rsidR="00AB5366" w:rsidRPr="007D7306" w:rsidRDefault="00AB5366" w:rsidP="00544EB3">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bl>
    <w:p w:rsidR="00AB5366" w:rsidRPr="00194975" w:rsidRDefault="00E73C3F" w:rsidP="00194975">
      <w:pPr>
        <w:spacing w:after="120"/>
        <w:rPr>
          <w:rFonts w:ascii="Arial Narrow" w:eastAsiaTheme="minorHAnsi" w:hAnsi="Arial Narrow" w:cstheme="minorBidi"/>
          <w:szCs w:val="22"/>
        </w:rPr>
      </w:pPr>
      <w:r w:rsidRPr="00194975">
        <w:rPr>
          <w:rFonts w:ascii="Arial Narrow" w:eastAsiaTheme="minorHAnsi" w:hAnsi="Arial Narrow"/>
          <w:sz w:val="18"/>
          <w:szCs w:val="22"/>
          <w:vertAlign w:val="superscript"/>
        </w:rPr>
        <w:t>a</w:t>
      </w:r>
      <w:r w:rsidRPr="00194975">
        <w:rPr>
          <w:rFonts w:ascii="Arial Narrow" w:eastAsiaTheme="minorHAnsi" w:hAnsi="Arial Narrow"/>
          <w:sz w:val="18"/>
          <w:szCs w:val="22"/>
        </w:rPr>
        <w:t xml:space="preserve"> Effective price = $</w:t>
      </w:r>
      <w:r w:rsidR="007439F8">
        <w:rPr>
          <w:rFonts w:ascii="Arial Narrow" w:eastAsiaTheme="minorHAnsi" w:hAnsi="Arial Narrow"/>
          <w:noProof/>
          <w:color w:val="000000"/>
          <w:sz w:val="18"/>
          <w:szCs w:val="22"/>
          <w:highlight w:val="black"/>
        </w:rPr>
        <w:t>''''''''''''''''''''</w:t>
      </w:r>
      <w:r w:rsidRPr="00194975">
        <w:rPr>
          <w:rFonts w:ascii="Arial Narrow" w:eastAsiaTheme="minorHAnsi" w:hAnsi="Arial Narrow"/>
          <w:sz w:val="18"/>
          <w:szCs w:val="22"/>
        </w:rPr>
        <w:t xml:space="preserve">; </w:t>
      </w:r>
      <w:r w:rsidRPr="00194975">
        <w:rPr>
          <w:rFonts w:ascii="Arial Narrow" w:eastAsiaTheme="minorHAnsi" w:hAnsi="Arial Narrow"/>
          <w:sz w:val="18"/>
          <w:szCs w:val="22"/>
          <w:vertAlign w:val="superscript"/>
        </w:rPr>
        <w:t>b</w:t>
      </w:r>
      <w:r w:rsidRPr="00194975">
        <w:rPr>
          <w:rFonts w:ascii="Arial Narrow" w:eastAsiaTheme="minorHAnsi" w:hAnsi="Arial Narrow"/>
          <w:sz w:val="18"/>
          <w:szCs w:val="22"/>
        </w:rPr>
        <w:t xml:space="preserve"> Effective price = </w:t>
      </w:r>
      <w:r w:rsidRPr="00194975">
        <w:rPr>
          <w:rFonts w:ascii="Arial Narrow" w:hAnsi="Arial Narrow"/>
          <w:sz w:val="18"/>
        </w:rPr>
        <w:t>$</w:t>
      </w:r>
      <w:r w:rsidR="007439F8">
        <w:rPr>
          <w:rFonts w:ascii="Arial Narrow" w:hAnsi="Arial Narrow"/>
          <w:noProof/>
          <w:color w:val="000000"/>
          <w:sz w:val="18"/>
          <w:highlight w:val="black"/>
        </w:rPr>
        <w:t>''''''''''''''''''''''''</w:t>
      </w:r>
      <w:r w:rsidRPr="00194975">
        <w:rPr>
          <w:rFonts w:ascii="Arial Narrow" w:hAnsi="Arial Narrow"/>
          <w:sz w:val="18"/>
        </w:rPr>
        <w:t xml:space="preserve">; </w:t>
      </w:r>
      <w:r w:rsidRPr="00194975">
        <w:rPr>
          <w:rFonts w:ascii="Arial Narrow" w:hAnsi="Arial Narrow"/>
          <w:sz w:val="18"/>
          <w:vertAlign w:val="superscript"/>
        </w:rPr>
        <w:t>c</w:t>
      </w:r>
      <w:r w:rsidRPr="00194975">
        <w:rPr>
          <w:rFonts w:ascii="Arial Narrow" w:hAnsi="Arial Narrow"/>
          <w:sz w:val="18"/>
        </w:rPr>
        <w:t xml:space="preserve"> Effective price = $</w:t>
      </w:r>
      <w:r w:rsidR="007439F8">
        <w:rPr>
          <w:rFonts w:ascii="Arial Narrow" w:hAnsi="Arial Narrow"/>
          <w:noProof/>
          <w:color w:val="000000"/>
          <w:sz w:val="18"/>
          <w:highlight w:val="black"/>
        </w:rPr>
        <w:t>'''''''''''''''''''''''''</w:t>
      </w:r>
    </w:p>
    <w:p w:rsidR="00E238E0" w:rsidRPr="007D7306" w:rsidRDefault="00F6487E" w:rsidP="00B4393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The March 2018 minor</w:t>
      </w:r>
      <w:r w:rsidR="00B43936" w:rsidRPr="007D7306">
        <w:rPr>
          <w:rFonts w:asciiTheme="minorHAnsi" w:eastAsiaTheme="minorHAnsi" w:hAnsiTheme="minorHAnsi" w:cstheme="minorBidi"/>
          <w:snapToGrid/>
          <w:sz w:val="24"/>
          <w:szCs w:val="22"/>
        </w:rPr>
        <w:t xml:space="preserve"> resubmission proposed</w:t>
      </w:r>
      <w:r w:rsidRPr="007D7306">
        <w:rPr>
          <w:rFonts w:asciiTheme="minorHAnsi" w:eastAsiaTheme="minorHAnsi" w:hAnsiTheme="minorHAnsi" w:cstheme="minorBidi"/>
          <w:snapToGrid/>
          <w:sz w:val="24"/>
          <w:szCs w:val="22"/>
        </w:rPr>
        <w:t xml:space="preserve"> a</w:t>
      </w:r>
      <w:r w:rsidR="00B43936" w:rsidRPr="007D7306">
        <w:rPr>
          <w:rFonts w:asciiTheme="minorHAnsi" w:eastAsiaTheme="minorHAnsi" w:hAnsiTheme="minorHAnsi" w:cstheme="minorBidi"/>
          <w:snapToGrid/>
          <w:sz w:val="24"/>
          <w:szCs w:val="22"/>
        </w:rPr>
        <w:t xml:space="preserve"> DMPQ of $</w:t>
      </w:r>
      <w:r w:rsidR="007439F8">
        <w:rPr>
          <w:rFonts w:asciiTheme="minorHAnsi" w:eastAsiaTheme="minorHAnsi" w:hAnsiTheme="minorHAnsi" w:cstheme="minorBidi"/>
          <w:noProof/>
          <w:snapToGrid/>
          <w:color w:val="000000"/>
          <w:sz w:val="24"/>
          <w:szCs w:val="22"/>
          <w:highlight w:val="black"/>
        </w:rPr>
        <w:t>''''''''''''''''''''</w:t>
      </w:r>
      <w:r w:rsidRPr="007D7306">
        <w:rPr>
          <w:rFonts w:asciiTheme="minorHAnsi" w:eastAsiaTheme="minorHAnsi" w:hAnsiTheme="minorHAnsi" w:cstheme="minorBidi"/>
          <w:snapToGrid/>
          <w:sz w:val="24"/>
          <w:szCs w:val="22"/>
        </w:rPr>
        <w:t xml:space="preserve"> for seven tablets of cladribine, based on a cost-minimisation analysis versus the published price of fingolimod, and the application of two rebates (</w:t>
      </w:r>
      <w:r w:rsidR="007439F8">
        <w:rPr>
          <w:rFonts w:asciiTheme="minorHAnsi" w:eastAsiaTheme="minorHAnsi" w:hAnsiTheme="minorHAnsi" w:cstheme="minorBidi"/>
          <w:noProof/>
          <w:snapToGrid/>
          <w:color w:val="000000"/>
          <w:sz w:val="24"/>
          <w:szCs w:val="22"/>
          <w:highlight w:val="black"/>
        </w:rPr>
        <w:t>'''''''''</w:t>
      </w:r>
      <w:r w:rsidRPr="007D7306">
        <w:rPr>
          <w:rFonts w:asciiTheme="minorHAnsi" w:eastAsiaTheme="minorHAnsi" w:hAnsiTheme="minorHAnsi" w:cstheme="minorBidi"/>
          <w:snapToGrid/>
          <w:sz w:val="24"/>
          <w:szCs w:val="22"/>
        </w:rPr>
        <w:t xml:space="preserve">% and </w:t>
      </w:r>
      <w:r w:rsidR="007439F8">
        <w:rPr>
          <w:rFonts w:asciiTheme="minorHAnsi" w:eastAsiaTheme="minorHAnsi" w:hAnsiTheme="minorHAnsi" w:cstheme="minorBidi"/>
          <w:noProof/>
          <w:snapToGrid/>
          <w:color w:val="000000"/>
          <w:sz w:val="24"/>
          <w:szCs w:val="22"/>
          <w:highlight w:val="black"/>
        </w:rPr>
        <w:t>'''''''''</w:t>
      </w:r>
      <w:r w:rsidRPr="007D7306">
        <w:rPr>
          <w:rFonts w:asciiTheme="minorHAnsi" w:eastAsiaTheme="minorHAnsi" w:hAnsiTheme="minorHAnsi" w:cstheme="minorBidi"/>
          <w:snapToGrid/>
          <w:sz w:val="24"/>
          <w:szCs w:val="22"/>
        </w:rPr>
        <w:t>%). However the March 2018 minor resubmission did not propose a DPMQ for each of the three different pack sizes for cladribine</w:t>
      </w:r>
      <w:r w:rsidR="00B43936" w:rsidRPr="007D7306">
        <w:rPr>
          <w:rFonts w:asciiTheme="minorHAnsi" w:eastAsiaTheme="minorHAnsi" w:hAnsiTheme="minorHAnsi" w:cstheme="minorBidi"/>
          <w:snapToGrid/>
          <w:sz w:val="24"/>
          <w:szCs w:val="22"/>
        </w:rPr>
        <w:t>.</w:t>
      </w:r>
    </w:p>
    <w:p w:rsidR="00B43936" w:rsidRPr="007D7306" w:rsidRDefault="00E238E0" w:rsidP="00B43936">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The minor resubmission proposed</w:t>
      </w:r>
      <w:r w:rsidR="002D28BE" w:rsidRPr="007D7306">
        <w:rPr>
          <w:rFonts w:asciiTheme="minorHAnsi" w:eastAsiaTheme="minorHAnsi" w:hAnsiTheme="minorHAnsi" w:cstheme="minorBidi"/>
          <w:snapToGrid/>
          <w:sz w:val="24"/>
          <w:szCs w:val="22"/>
        </w:rPr>
        <w:t xml:space="preserve"> a DPMQ of $</w:t>
      </w:r>
      <w:r w:rsidR="007439F8">
        <w:rPr>
          <w:rFonts w:asciiTheme="minorHAnsi" w:eastAsiaTheme="minorHAnsi" w:hAnsiTheme="minorHAnsi" w:cstheme="minorBidi"/>
          <w:noProof/>
          <w:snapToGrid/>
          <w:color w:val="000000"/>
          <w:sz w:val="24"/>
          <w:szCs w:val="22"/>
          <w:highlight w:val="black"/>
        </w:rPr>
        <w:t>'''''''''''''''</w:t>
      </w:r>
      <w:r w:rsidR="002D28BE" w:rsidRPr="007D7306">
        <w:rPr>
          <w:rFonts w:asciiTheme="minorHAnsi" w:eastAsiaTheme="minorHAnsi" w:hAnsiTheme="minorHAnsi" w:cstheme="minorBidi"/>
          <w:snapToGrid/>
          <w:sz w:val="24"/>
          <w:szCs w:val="22"/>
        </w:rPr>
        <w:t xml:space="preserve"> for a pack containing one tablet, a DPMQ of $</w:t>
      </w:r>
      <w:r w:rsidR="007439F8">
        <w:rPr>
          <w:rFonts w:asciiTheme="minorHAnsi" w:eastAsiaTheme="minorHAnsi" w:hAnsiTheme="minorHAnsi" w:cstheme="minorBidi"/>
          <w:noProof/>
          <w:snapToGrid/>
          <w:color w:val="000000"/>
          <w:sz w:val="24"/>
          <w:szCs w:val="22"/>
          <w:highlight w:val="black"/>
        </w:rPr>
        <w:t>'''''''''''''''''</w:t>
      </w:r>
      <w:r w:rsidR="00EA01AD" w:rsidRPr="007D7306">
        <w:rPr>
          <w:rFonts w:asciiTheme="minorHAnsi" w:eastAsiaTheme="minorHAnsi" w:hAnsiTheme="minorHAnsi" w:cstheme="minorBidi"/>
          <w:snapToGrid/>
          <w:sz w:val="24"/>
          <w:szCs w:val="22"/>
        </w:rPr>
        <w:t xml:space="preserve"> for </w:t>
      </w:r>
      <w:r w:rsidR="00715440" w:rsidRPr="007D7306">
        <w:rPr>
          <w:rFonts w:asciiTheme="minorHAnsi" w:eastAsiaTheme="minorHAnsi" w:hAnsiTheme="minorHAnsi" w:cstheme="minorBidi"/>
          <w:snapToGrid/>
          <w:sz w:val="24"/>
          <w:szCs w:val="22"/>
        </w:rPr>
        <w:t>two</w:t>
      </w:r>
      <w:r w:rsidR="00EA01AD" w:rsidRPr="007D7306">
        <w:rPr>
          <w:rFonts w:asciiTheme="minorHAnsi" w:eastAsiaTheme="minorHAnsi" w:hAnsiTheme="minorHAnsi" w:cstheme="minorBidi"/>
          <w:snapToGrid/>
          <w:sz w:val="24"/>
          <w:szCs w:val="22"/>
        </w:rPr>
        <w:t xml:space="preserve"> pack</w:t>
      </w:r>
      <w:r w:rsidR="00715440" w:rsidRPr="007D7306">
        <w:rPr>
          <w:rFonts w:asciiTheme="minorHAnsi" w:eastAsiaTheme="minorHAnsi" w:hAnsiTheme="minorHAnsi" w:cstheme="minorBidi"/>
          <w:snapToGrid/>
          <w:sz w:val="24"/>
          <w:szCs w:val="22"/>
        </w:rPr>
        <w:t>s</w:t>
      </w:r>
      <w:r w:rsidR="00EA01AD" w:rsidRPr="007D7306">
        <w:rPr>
          <w:rFonts w:asciiTheme="minorHAnsi" w:eastAsiaTheme="minorHAnsi" w:hAnsiTheme="minorHAnsi" w:cstheme="minorBidi"/>
          <w:snapToGrid/>
          <w:sz w:val="24"/>
          <w:szCs w:val="22"/>
        </w:rPr>
        <w:t xml:space="preserve"> containing four tablets and a DPMQ of $</w:t>
      </w:r>
      <w:r w:rsidR="007439F8">
        <w:rPr>
          <w:rFonts w:asciiTheme="minorHAnsi" w:eastAsiaTheme="minorHAnsi" w:hAnsiTheme="minorHAnsi" w:cstheme="minorBidi"/>
          <w:noProof/>
          <w:snapToGrid/>
          <w:color w:val="000000"/>
          <w:sz w:val="24"/>
          <w:szCs w:val="22"/>
          <w:highlight w:val="black"/>
        </w:rPr>
        <w:t>'''''''''''''''''''''</w:t>
      </w:r>
      <w:r w:rsidR="00EA01AD" w:rsidRPr="007D7306">
        <w:rPr>
          <w:rFonts w:asciiTheme="minorHAnsi" w:eastAsiaTheme="minorHAnsi" w:hAnsiTheme="minorHAnsi" w:cstheme="minorBidi"/>
          <w:snapToGrid/>
          <w:sz w:val="24"/>
          <w:szCs w:val="22"/>
        </w:rPr>
        <w:t xml:space="preserve"> for a pack containing six tablets</w:t>
      </w:r>
      <w:r w:rsidR="004F5320" w:rsidRPr="007D7306">
        <w:rPr>
          <w:rFonts w:asciiTheme="minorHAnsi" w:eastAsiaTheme="minorHAnsi" w:hAnsiTheme="minorHAnsi" w:cstheme="minorBidi"/>
          <w:snapToGrid/>
          <w:sz w:val="24"/>
          <w:szCs w:val="22"/>
        </w:rPr>
        <w:t xml:space="preserve"> based on a revised cost-minimisation analysis versus the published price of fingolimod</w:t>
      </w:r>
      <w:r w:rsidR="007055D0" w:rsidRPr="007D7306">
        <w:rPr>
          <w:rFonts w:asciiTheme="minorHAnsi" w:eastAsiaTheme="minorHAnsi" w:hAnsiTheme="minorHAnsi" w:cstheme="minorBidi"/>
          <w:snapToGrid/>
          <w:sz w:val="24"/>
          <w:szCs w:val="22"/>
        </w:rPr>
        <w:t xml:space="preserve"> and application of a </w:t>
      </w:r>
      <w:r w:rsidR="007439F8">
        <w:rPr>
          <w:rFonts w:asciiTheme="minorHAnsi" w:eastAsiaTheme="minorHAnsi" w:hAnsiTheme="minorHAnsi" w:cstheme="minorBidi"/>
          <w:noProof/>
          <w:snapToGrid/>
          <w:color w:val="000000"/>
          <w:sz w:val="24"/>
          <w:szCs w:val="22"/>
          <w:highlight w:val="black"/>
        </w:rPr>
        <w:t>'''''''''</w:t>
      </w:r>
      <w:r w:rsidR="007055D0" w:rsidRPr="007D7306">
        <w:rPr>
          <w:rFonts w:asciiTheme="minorHAnsi" w:eastAsiaTheme="minorHAnsi" w:hAnsiTheme="minorHAnsi" w:cstheme="minorBidi"/>
          <w:snapToGrid/>
          <w:sz w:val="24"/>
          <w:szCs w:val="22"/>
        </w:rPr>
        <w:t>% rebate</w:t>
      </w:r>
      <w:r w:rsidR="00EA01AD" w:rsidRPr="007D7306">
        <w:rPr>
          <w:rFonts w:asciiTheme="minorHAnsi" w:eastAsiaTheme="minorHAnsi" w:hAnsiTheme="minorHAnsi" w:cstheme="minorBidi"/>
          <w:snapToGrid/>
          <w:sz w:val="24"/>
          <w:szCs w:val="22"/>
        </w:rPr>
        <w:t>. The proposed DPMQs equate to an ex- manufacturer price of $</w:t>
      </w:r>
      <w:r w:rsidR="007439F8">
        <w:rPr>
          <w:rFonts w:asciiTheme="minorHAnsi" w:eastAsiaTheme="minorHAnsi" w:hAnsiTheme="minorHAnsi" w:cstheme="minorBidi"/>
          <w:noProof/>
          <w:snapToGrid/>
          <w:color w:val="000000"/>
          <w:sz w:val="24"/>
          <w:szCs w:val="22"/>
          <w:highlight w:val="black"/>
        </w:rPr>
        <w:t xml:space="preserve">'''''''''''''''' </w:t>
      </w:r>
      <w:r w:rsidR="00EA01AD" w:rsidRPr="007D7306">
        <w:rPr>
          <w:rFonts w:asciiTheme="minorHAnsi" w:eastAsiaTheme="minorHAnsi" w:hAnsiTheme="minorHAnsi" w:cstheme="minorBidi"/>
          <w:snapToGrid/>
          <w:sz w:val="24"/>
          <w:szCs w:val="22"/>
        </w:rPr>
        <w:t xml:space="preserve">per tablet.  </w:t>
      </w:r>
    </w:p>
    <w:p w:rsidR="00C603D4" w:rsidRPr="007D7306" w:rsidRDefault="00CE10C4" w:rsidP="00696129">
      <w:pPr>
        <w:pStyle w:val="PBACHeading1"/>
        <w:spacing w:before="240" w:after="120"/>
        <w:ind w:left="709" w:hanging="709"/>
        <w:rPr>
          <w:rFonts w:asciiTheme="minorHAnsi" w:hAnsiTheme="minorHAnsi"/>
          <w:sz w:val="32"/>
          <w:szCs w:val="32"/>
        </w:rPr>
      </w:pPr>
      <w:r w:rsidRPr="007D7306">
        <w:rPr>
          <w:rFonts w:asciiTheme="minorHAnsi" w:hAnsiTheme="minorHAnsi"/>
          <w:sz w:val="32"/>
          <w:szCs w:val="32"/>
        </w:rPr>
        <w:t>Background</w:t>
      </w:r>
    </w:p>
    <w:p w:rsidR="004937F5" w:rsidRPr="007D7306" w:rsidRDefault="00E63DA2" w:rsidP="004937F5">
      <w:pPr>
        <w:spacing w:after="120"/>
        <w:rPr>
          <w:rFonts w:asciiTheme="minorHAnsi" w:hAnsiTheme="minorHAnsi" w:cs="Arial"/>
          <w:b/>
          <w:i/>
          <w:snapToGrid w:val="0"/>
          <w:sz w:val="28"/>
          <w:szCs w:val="32"/>
          <w:lang w:eastAsia="en-US"/>
        </w:rPr>
      </w:pPr>
      <w:r w:rsidRPr="007D7306">
        <w:rPr>
          <w:rFonts w:asciiTheme="minorHAnsi" w:hAnsiTheme="minorHAnsi" w:cs="Arial"/>
          <w:b/>
          <w:i/>
          <w:snapToGrid w:val="0"/>
          <w:sz w:val="28"/>
          <w:szCs w:val="32"/>
          <w:lang w:eastAsia="en-US"/>
        </w:rPr>
        <w:t>Registration status</w:t>
      </w:r>
    </w:p>
    <w:p w:rsidR="00D668C3" w:rsidRPr="007D7306" w:rsidRDefault="00D668C3" w:rsidP="00E63DA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Cladribine is TGA registered for the treatment of RRMS for the following indication:</w:t>
      </w:r>
    </w:p>
    <w:p w:rsidR="00E63DA2" w:rsidRPr="007D7306" w:rsidRDefault="00D668C3" w:rsidP="00D668C3">
      <w:pPr>
        <w:pStyle w:val="ListParagraph"/>
        <w:widowControl/>
        <w:numPr>
          <w:ilvl w:val="0"/>
          <w:numId w:val="17"/>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The treatment of relapsing-remitting multiple sclerosis (RRMS) to reduce the frequency of clinical relapses and to delay the progression of physical disability. Following completion of the 2 treatment courses, no further cladribine treatment is required in years 3 and 4. Re-initiation of therapy after year 4 has not been studied.</w:t>
      </w:r>
    </w:p>
    <w:p w:rsidR="009F5069" w:rsidRPr="007D7306" w:rsidRDefault="009F5069" w:rsidP="004937F5">
      <w:pPr>
        <w:pStyle w:val="PBACHeading1"/>
        <w:keepNext/>
        <w:numPr>
          <w:ilvl w:val="0"/>
          <w:numId w:val="0"/>
        </w:numPr>
        <w:spacing w:before="240" w:after="120"/>
        <w:ind w:left="720" w:hanging="720"/>
        <w:rPr>
          <w:rFonts w:asciiTheme="minorHAnsi" w:hAnsiTheme="minorHAnsi"/>
          <w:i/>
          <w:sz w:val="28"/>
          <w:szCs w:val="32"/>
        </w:rPr>
      </w:pPr>
      <w:r w:rsidRPr="007D7306">
        <w:rPr>
          <w:rFonts w:asciiTheme="minorHAnsi" w:hAnsiTheme="minorHAnsi"/>
          <w:i/>
          <w:sz w:val="28"/>
          <w:szCs w:val="32"/>
        </w:rPr>
        <w:t>Previous PBAC consideration</w:t>
      </w:r>
    </w:p>
    <w:p w:rsidR="008B0919" w:rsidRPr="007D7306" w:rsidRDefault="00CE524B" w:rsidP="008B091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C</w:t>
      </w:r>
      <w:r w:rsidR="00B71C9C" w:rsidRPr="007D7306">
        <w:rPr>
          <w:rFonts w:asciiTheme="minorHAnsi" w:eastAsiaTheme="minorHAnsi" w:hAnsiTheme="minorHAnsi" w:cstheme="minorBidi"/>
          <w:snapToGrid/>
          <w:sz w:val="24"/>
          <w:szCs w:val="22"/>
        </w:rPr>
        <w:t>ladribine</w:t>
      </w:r>
      <w:r w:rsidR="00A42157" w:rsidRPr="007D7306">
        <w:rPr>
          <w:rFonts w:asciiTheme="minorHAnsi" w:eastAsiaTheme="minorHAnsi" w:hAnsiTheme="minorHAnsi" w:cstheme="minorBidi"/>
          <w:snapToGrid/>
          <w:sz w:val="24"/>
          <w:szCs w:val="22"/>
        </w:rPr>
        <w:t xml:space="preserve"> </w:t>
      </w:r>
      <w:r w:rsidR="00B71C9C" w:rsidRPr="007D7306">
        <w:rPr>
          <w:rFonts w:asciiTheme="minorHAnsi" w:eastAsiaTheme="minorHAnsi" w:hAnsiTheme="minorHAnsi" w:cstheme="minorBidi"/>
          <w:snapToGrid/>
          <w:sz w:val="24"/>
          <w:szCs w:val="22"/>
        </w:rPr>
        <w:t>was first considered by the PBAC at the March 2011 meeting. The PBAC did not recommend</w:t>
      </w:r>
      <w:r w:rsidR="00BC5C37" w:rsidRPr="007D7306">
        <w:rPr>
          <w:rFonts w:asciiTheme="minorHAnsi" w:eastAsiaTheme="minorHAnsi" w:hAnsiTheme="minorHAnsi" w:cstheme="minorBidi"/>
          <w:snapToGrid/>
          <w:sz w:val="24"/>
          <w:szCs w:val="22"/>
        </w:rPr>
        <w:t xml:space="preserve"> listing</w:t>
      </w:r>
      <w:r w:rsidR="00B71C9C" w:rsidRPr="007D7306">
        <w:rPr>
          <w:rFonts w:asciiTheme="minorHAnsi" w:eastAsiaTheme="minorHAnsi" w:hAnsiTheme="minorHAnsi" w:cstheme="minorBidi"/>
          <w:snapToGrid/>
          <w:sz w:val="24"/>
          <w:szCs w:val="22"/>
        </w:rPr>
        <w:t xml:space="preserve"> cladribine</w:t>
      </w:r>
      <w:r w:rsidR="00BC5C37" w:rsidRPr="007D7306">
        <w:rPr>
          <w:rFonts w:asciiTheme="minorHAnsi" w:eastAsiaTheme="minorHAnsi" w:hAnsiTheme="minorHAnsi" w:cstheme="minorBidi"/>
          <w:snapToGrid/>
          <w:sz w:val="24"/>
          <w:szCs w:val="22"/>
        </w:rPr>
        <w:t xml:space="preserve"> for the treatment of RRMS</w:t>
      </w:r>
      <w:r w:rsidR="00B71C9C" w:rsidRPr="007D7306">
        <w:rPr>
          <w:rFonts w:asciiTheme="minorHAnsi" w:eastAsiaTheme="minorHAnsi" w:hAnsiTheme="minorHAnsi" w:cstheme="minorBidi"/>
          <w:snapToGrid/>
          <w:sz w:val="24"/>
          <w:szCs w:val="22"/>
        </w:rPr>
        <w:t xml:space="preserve"> o</w:t>
      </w:r>
      <w:r w:rsidR="00970535" w:rsidRPr="007D7306">
        <w:rPr>
          <w:rFonts w:asciiTheme="minorHAnsi" w:eastAsiaTheme="minorHAnsi" w:hAnsiTheme="minorHAnsi" w:cstheme="minorBidi"/>
          <w:snapToGrid/>
          <w:sz w:val="24"/>
          <w:szCs w:val="22"/>
        </w:rPr>
        <w:t>n the ground</w:t>
      </w:r>
      <w:r w:rsidR="00850ADF" w:rsidRPr="007D7306">
        <w:rPr>
          <w:rFonts w:asciiTheme="minorHAnsi" w:eastAsiaTheme="minorHAnsi" w:hAnsiTheme="minorHAnsi" w:cstheme="minorBidi"/>
          <w:snapToGrid/>
          <w:sz w:val="24"/>
          <w:szCs w:val="22"/>
        </w:rPr>
        <w:t>s</w:t>
      </w:r>
      <w:r w:rsidR="00970535" w:rsidRPr="007D7306">
        <w:rPr>
          <w:rFonts w:asciiTheme="minorHAnsi" w:eastAsiaTheme="minorHAnsi" w:hAnsiTheme="minorHAnsi" w:cstheme="minorBidi"/>
          <w:snapToGrid/>
          <w:sz w:val="24"/>
          <w:szCs w:val="22"/>
        </w:rPr>
        <w:t xml:space="preserve"> of</w:t>
      </w:r>
      <w:r w:rsidR="00850ADF" w:rsidRPr="007D7306">
        <w:rPr>
          <w:rFonts w:asciiTheme="minorHAnsi" w:eastAsiaTheme="minorHAnsi" w:hAnsiTheme="minorHAnsi" w:cstheme="minorBidi"/>
          <w:snapToGrid/>
          <w:sz w:val="24"/>
          <w:szCs w:val="22"/>
        </w:rPr>
        <w:t xml:space="preserve"> several concerns including</w:t>
      </w:r>
      <w:r w:rsidR="00970535" w:rsidRPr="007D7306">
        <w:rPr>
          <w:rFonts w:asciiTheme="minorHAnsi" w:eastAsiaTheme="minorHAnsi" w:hAnsiTheme="minorHAnsi" w:cstheme="minorBidi"/>
          <w:snapToGrid/>
          <w:sz w:val="24"/>
          <w:szCs w:val="22"/>
        </w:rPr>
        <w:t xml:space="preserve"> </w:t>
      </w:r>
      <w:r w:rsidR="00731DC5" w:rsidRPr="007D7306">
        <w:rPr>
          <w:rFonts w:asciiTheme="minorHAnsi" w:eastAsiaTheme="minorHAnsi" w:hAnsiTheme="minorHAnsi" w:cstheme="minorBidi"/>
          <w:snapToGrid/>
          <w:sz w:val="24"/>
          <w:szCs w:val="22"/>
        </w:rPr>
        <w:t xml:space="preserve">inappropriate </w:t>
      </w:r>
      <w:r w:rsidR="00970535" w:rsidRPr="007D7306">
        <w:rPr>
          <w:rFonts w:asciiTheme="minorHAnsi" w:eastAsiaTheme="minorHAnsi" w:hAnsiTheme="minorHAnsi" w:cstheme="minorBidi"/>
          <w:snapToGrid/>
          <w:sz w:val="24"/>
          <w:szCs w:val="22"/>
        </w:rPr>
        <w:t xml:space="preserve">comparator (natalizumab) choice, </w:t>
      </w:r>
      <w:r w:rsidR="00731DC5" w:rsidRPr="007D7306">
        <w:rPr>
          <w:rFonts w:asciiTheme="minorHAnsi" w:eastAsiaTheme="minorHAnsi" w:hAnsiTheme="minorHAnsi" w:cstheme="minorBidi"/>
          <w:snapToGrid/>
          <w:sz w:val="24"/>
          <w:szCs w:val="22"/>
        </w:rPr>
        <w:t xml:space="preserve">uncertain </w:t>
      </w:r>
      <w:r w:rsidR="00970535" w:rsidRPr="007D7306">
        <w:rPr>
          <w:rFonts w:asciiTheme="minorHAnsi" w:eastAsiaTheme="minorHAnsi" w:hAnsiTheme="minorHAnsi" w:cstheme="minorBidi"/>
          <w:snapToGrid/>
          <w:sz w:val="24"/>
          <w:szCs w:val="22"/>
        </w:rPr>
        <w:t>claim of the superio</w:t>
      </w:r>
      <w:r w:rsidR="004B1011" w:rsidRPr="007D7306">
        <w:rPr>
          <w:rFonts w:asciiTheme="minorHAnsi" w:eastAsiaTheme="minorHAnsi" w:hAnsiTheme="minorHAnsi" w:cstheme="minorBidi"/>
          <w:snapToGrid/>
          <w:sz w:val="24"/>
          <w:szCs w:val="22"/>
        </w:rPr>
        <w:t>ri</w:t>
      </w:r>
      <w:r w:rsidR="00970535" w:rsidRPr="007D7306">
        <w:rPr>
          <w:rFonts w:asciiTheme="minorHAnsi" w:eastAsiaTheme="minorHAnsi" w:hAnsiTheme="minorHAnsi" w:cstheme="minorBidi"/>
          <w:snapToGrid/>
          <w:sz w:val="24"/>
          <w:szCs w:val="22"/>
        </w:rPr>
        <w:t>ty over interfe</w:t>
      </w:r>
      <w:r w:rsidR="00752473" w:rsidRPr="007D7306">
        <w:rPr>
          <w:rFonts w:asciiTheme="minorHAnsi" w:eastAsiaTheme="minorHAnsi" w:hAnsiTheme="minorHAnsi" w:cstheme="minorBidi"/>
          <w:snapToGrid/>
          <w:sz w:val="24"/>
          <w:szCs w:val="22"/>
        </w:rPr>
        <w:t xml:space="preserve">ron beta 1a and non-inferiority </w:t>
      </w:r>
      <w:r w:rsidR="00970535" w:rsidRPr="007D7306">
        <w:rPr>
          <w:rFonts w:asciiTheme="minorHAnsi" w:eastAsiaTheme="minorHAnsi" w:hAnsiTheme="minorHAnsi" w:cstheme="minorBidi"/>
          <w:snapToGrid/>
          <w:sz w:val="24"/>
          <w:szCs w:val="22"/>
        </w:rPr>
        <w:t>to natalizumab and</w:t>
      </w:r>
      <w:r w:rsidR="00731DC5" w:rsidRPr="007D7306">
        <w:rPr>
          <w:rFonts w:asciiTheme="minorHAnsi" w:eastAsiaTheme="minorHAnsi" w:hAnsiTheme="minorHAnsi" w:cstheme="minorBidi"/>
          <w:snapToGrid/>
          <w:sz w:val="24"/>
          <w:szCs w:val="22"/>
        </w:rPr>
        <w:t xml:space="preserve"> uncertainty of usefulness of cladribine given treatment is limited to two years</w:t>
      </w:r>
      <w:r w:rsidR="00970535" w:rsidRPr="007D7306">
        <w:rPr>
          <w:rFonts w:asciiTheme="minorHAnsi" w:eastAsiaTheme="minorHAnsi" w:hAnsiTheme="minorHAnsi" w:cstheme="minorBidi"/>
          <w:snapToGrid/>
          <w:sz w:val="24"/>
          <w:szCs w:val="22"/>
        </w:rPr>
        <w:t xml:space="preserve"> </w:t>
      </w:r>
      <w:r w:rsidR="00EA731D" w:rsidRPr="007D7306">
        <w:rPr>
          <w:rFonts w:asciiTheme="minorHAnsi" w:eastAsiaTheme="minorHAnsi" w:hAnsiTheme="minorHAnsi" w:cstheme="minorBidi"/>
          <w:snapToGrid/>
          <w:sz w:val="24"/>
          <w:szCs w:val="22"/>
        </w:rPr>
        <w:t xml:space="preserve">due to </w:t>
      </w:r>
      <w:r w:rsidR="00970535" w:rsidRPr="007D7306">
        <w:rPr>
          <w:rFonts w:asciiTheme="minorHAnsi" w:eastAsiaTheme="minorHAnsi" w:hAnsiTheme="minorHAnsi" w:cstheme="minorBidi"/>
          <w:snapToGrid/>
          <w:sz w:val="24"/>
          <w:szCs w:val="22"/>
        </w:rPr>
        <w:t>safety concerns</w:t>
      </w:r>
      <w:r w:rsidR="00B71C9C" w:rsidRPr="007D7306">
        <w:rPr>
          <w:rFonts w:asciiTheme="minorHAnsi" w:eastAsiaTheme="minorHAnsi" w:hAnsiTheme="minorHAnsi" w:cstheme="minorBidi"/>
          <w:snapToGrid/>
          <w:sz w:val="24"/>
          <w:szCs w:val="22"/>
        </w:rPr>
        <w:t>.</w:t>
      </w:r>
    </w:p>
    <w:p w:rsidR="008B0919" w:rsidRPr="007D7306" w:rsidRDefault="008B0919" w:rsidP="008B0919">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A major resubmission for cladribine was considered at the November 2017 PBAC meeting. The PBAC did not recommend the listing of cladribine, on the basis of uncertainty in the non-inferior efficacy claim of cladribine versus the comparator, fingolimod, over two and four years. The PBAC considered there was insufficient clinical evidence to support the time horizon of four years for estimating the equi-effective doses of cladribine and fingolimod. The PBAC also considered that it was unrealistic to assume that patients who receive cladribine and experience disease </w:t>
      </w:r>
      <w:r w:rsidRPr="007D7306">
        <w:rPr>
          <w:rFonts w:asciiTheme="minorHAnsi" w:eastAsiaTheme="minorHAnsi" w:hAnsiTheme="minorHAnsi" w:cstheme="minorBidi"/>
          <w:snapToGrid/>
          <w:sz w:val="24"/>
          <w:szCs w:val="22"/>
        </w:rPr>
        <w:lastRenderedPageBreak/>
        <w:t xml:space="preserve">relapse would not be prescribed another medicine for RRMS before the four-year period or that patients would </w:t>
      </w:r>
      <w:r w:rsidR="007439F8">
        <w:rPr>
          <w:rFonts w:asciiTheme="minorHAnsi" w:eastAsiaTheme="minorHAnsi" w:hAnsiTheme="minorHAnsi" w:cstheme="minorBidi"/>
          <w:noProof/>
          <w:snapToGrid/>
          <w:color w:val="000000"/>
          <w:sz w:val="24"/>
          <w:szCs w:val="22"/>
          <w:highlight w:val="black"/>
        </w:rPr>
        <w:t>'''''' ''''''''</w:t>
      </w:r>
      <w:r w:rsidRPr="007D7306">
        <w:rPr>
          <w:rFonts w:asciiTheme="minorHAnsi" w:eastAsiaTheme="minorHAnsi" w:hAnsiTheme="minorHAnsi" w:cstheme="minorBidi"/>
          <w:snapToGrid/>
          <w:sz w:val="24"/>
          <w:szCs w:val="22"/>
        </w:rPr>
        <w:t xml:space="preserve">% persistent to fingolimod. Therefore, the PBAC did not accept two years of cladribine treatment versus four years of fingolimod treatment as the basis for the cost-minimisation analysis. The PBAC noted that there were significant uncertainties in the financial analysis, including the persistence rates assumed by the resubmission. The PBAC further noted that the financial analysis estimated a significant net cost to the PBS, which undermined the first principles of a cost minimisation analysis. </w:t>
      </w:r>
    </w:p>
    <w:p w:rsidR="006A12A5" w:rsidRPr="007D7306" w:rsidRDefault="00F21AEB" w:rsidP="000C623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A minor resubmission for</w:t>
      </w:r>
      <w:r w:rsidR="00BB69B5" w:rsidRPr="007D7306">
        <w:rPr>
          <w:rFonts w:asciiTheme="minorHAnsi" w:eastAsiaTheme="minorHAnsi" w:hAnsiTheme="minorHAnsi" w:cstheme="minorBidi"/>
          <w:snapToGrid/>
          <w:sz w:val="24"/>
          <w:szCs w:val="22"/>
        </w:rPr>
        <w:t xml:space="preserve"> </w:t>
      </w:r>
      <w:r w:rsidR="00FB06B1" w:rsidRPr="007D7306">
        <w:rPr>
          <w:rFonts w:asciiTheme="minorHAnsi" w:eastAsiaTheme="minorHAnsi" w:hAnsiTheme="minorHAnsi" w:cstheme="minorBidi"/>
          <w:snapToGrid/>
          <w:sz w:val="24"/>
          <w:szCs w:val="22"/>
        </w:rPr>
        <w:t xml:space="preserve">cladribine was </w:t>
      </w:r>
      <w:r w:rsidRPr="007D7306">
        <w:rPr>
          <w:rFonts w:asciiTheme="minorHAnsi" w:eastAsiaTheme="minorHAnsi" w:hAnsiTheme="minorHAnsi" w:cstheme="minorBidi"/>
          <w:snapToGrid/>
          <w:sz w:val="24"/>
          <w:szCs w:val="22"/>
        </w:rPr>
        <w:t>considered by the PBAC at the</w:t>
      </w:r>
      <w:r w:rsidR="00F96CB3" w:rsidRPr="007D7306">
        <w:rPr>
          <w:rFonts w:asciiTheme="minorHAnsi" w:eastAsiaTheme="minorHAnsi" w:hAnsiTheme="minorHAnsi" w:cstheme="minorBidi"/>
          <w:snapToGrid/>
          <w:sz w:val="24"/>
          <w:szCs w:val="22"/>
        </w:rPr>
        <w:t xml:space="preserve"> March 2018 meeting</w:t>
      </w:r>
      <w:r w:rsidR="00CB7BEC" w:rsidRPr="007D7306">
        <w:rPr>
          <w:rFonts w:asciiTheme="minorHAnsi" w:eastAsiaTheme="minorHAnsi" w:hAnsiTheme="minorHAnsi" w:cstheme="minorBidi"/>
          <w:snapToGrid/>
          <w:sz w:val="24"/>
          <w:szCs w:val="22"/>
        </w:rPr>
        <w:t xml:space="preserve"> where</w:t>
      </w:r>
      <w:r w:rsidR="00F96CB3" w:rsidRPr="007D7306">
        <w:rPr>
          <w:rFonts w:asciiTheme="minorHAnsi" w:eastAsiaTheme="minorHAnsi" w:hAnsiTheme="minorHAnsi" w:cstheme="minorBidi"/>
          <w:snapToGrid/>
          <w:sz w:val="24"/>
          <w:szCs w:val="22"/>
        </w:rPr>
        <w:t xml:space="preserve"> </w:t>
      </w:r>
      <w:r w:rsidR="00CB7BEC" w:rsidRPr="007D7306">
        <w:rPr>
          <w:rFonts w:asciiTheme="minorHAnsi" w:eastAsiaTheme="minorHAnsi" w:hAnsiTheme="minorHAnsi" w:cstheme="minorBidi"/>
          <w:snapToGrid/>
          <w:sz w:val="24"/>
          <w:szCs w:val="22"/>
        </w:rPr>
        <w:t>t</w:t>
      </w:r>
      <w:r w:rsidR="00F96CB3" w:rsidRPr="007D7306">
        <w:rPr>
          <w:rFonts w:asciiTheme="minorHAnsi" w:eastAsiaTheme="minorHAnsi" w:hAnsiTheme="minorHAnsi" w:cstheme="minorBidi"/>
          <w:snapToGrid/>
          <w:sz w:val="24"/>
          <w:szCs w:val="22"/>
        </w:rPr>
        <w:t>he sponsor proposed two rebates</w:t>
      </w:r>
      <w:r w:rsidR="00CB7BEC" w:rsidRPr="007D7306">
        <w:rPr>
          <w:rFonts w:asciiTheme="minorHAnsi" w:eastAsiaTheme="minorHAnsi" w:hAnsiTheme="minorHAnsi" w:cstheme="minorBidi"/>
          <w:snapToGrid/>
          <w:sz w:val="24"/>
          <w:szCs w:val="22"/>
        </w:rPr>
        <w:t xml:space="preserve"> (</w:t>
      </w:r>
      <w:r w:rsidR="007439F8">
        <w:rPr>
          <w:rFonts w:asciiTheme="minorHAnsi" w:eastAsiaTheme="minorHAnsi" w:hAnsiTheme="minorHAnsi" w:cstheme="minorBidi"/>
          <w:noProof/>
          <w:snapToGrid/>
          <w:color w:val="000000"/>
          <w:sz w:val="24"/>
          <w:szCs w:val="22"/>
          <w:highlight w:val="black"/>
        </w:rPr>
        <w:t>''''''''</w:t>
      </w:r>
      <w:r w:rsidR="00CB7BEC" w:rsidRPr="007D7306">
        <w:rPr>
          <w:rFonts w:asciiTheme="minorHAnsi" w:eastAsiaTheme="minorHAnsi" w:hAnsiTheme="minorHAnsi" w:cstheme="minorBidi"/>
          <w:snapToGrid/>
          <w:sz w:val="24"/>
          <w:szCs w:val="22"/>
        </w:rPr>
        <w:t xml:space="preserve">% and </w:t>
      </w:r>
      <w:r w:rsidR="007439F8">
        <w:rPr>
          <w:rFonts w:asciiTheme="minorHAnsi" w:eastAsiaTheme="minorHAnsi" w:hAnsiTheme="minorHAnsi" w:cstheme="minorBidi"/>
          <w:noProof/>
          <w:snapToGrid/>
          <w:color w:val="000000"/>
          <w:sz w:val="24"/>
          <w:szCs w:val="22"/>
          <w:highlight w:val="black"/>
        </w:rPr>
        <w:t>'''''''''</w:t>
      </w:r>
      <w:r w:rsidR="00CB7BEC" w:rsidRPr="007D7306">
        <w:rPr>
          <w:rFonts w:asciiTheme="minorHAnsi" w:eastAsiaTheme="minorHAnsi" w:hAnsiTheme="minorHAnsi" w:cstheme="minorBidi"/>
          <w:snapToGrid/>
          <w:sz w:val="24"/>
          <w:szCs w:val="22"/>
        </w:rPr>
        <w:t>%)</w:t>
      </w:r>
      <w:r w:rsidR="00F96CB3" w:rsidRPr="007D7306">
        <w:rPr>
          <w:rFonts w:asciiTheme="minorHAnsi" w:eastAsiaTheme="minorHAnsi" w:hAnsiTheme="minorHAnsi" w:cstheme="minorBidi"/>
          <w:snapToGrid/>
          <w:sz w:val="24"/>
          <w:szCs w:val="22"/>
        </w:rPr>
        <w:t xml:space="preserve"> to </w:t>
      </w:r>
      <w:r w:rsidR="007911BD" w:rsidRPr="007D7306">
        <w:rPr>
          <w:rFonts w:asciiTheme="minorHAnsi" w:eastAsiaTheme="minorHAnsi" w:hAnsiTheme="minorHAnsi" w:cstheme="minorBidi"/>
          <w:snapToGrid/>
          <w:sz w:val="24"/>
          <w:szCs w:val="22"/>
        </w:rPr>
        <w:t xml:space="preserve">address concerns regarding </w:t>
      </w:r>
      <w:r w:rsidR="00354CAD" w:rsidRPr="007D7306">
        <w:rPr>
          <w:rFonts w:asciiTheme="minorHAnsi" w:eastAsiaTheme="minorHAnsi" w:hAnsiTheme="minorHAnsi" w:cstheme="minorBidi"/>
          <w:snapToGrid/>
          <w:sz w:val="24"/>
          <w:szCs w:val="22"/>
        </w:rPr>
        <w:t xml:space="preserve">the </w:t>
      </w:r>
      <w:r w:rsidR="007911BD" w:rsidRPr="007D7306">
        <w:rPr>
          <w:rFonts w:asciiTheme="minorHAnsi" w:eastAsiaTheme="minorHAnsi" w:hAnsiTheme="minorHAnsi" w:cstheme="minorBidi"/>
          <w:snapToGrid/>
          <w:sz w:val="24"/>
          <w:szCs w:val="22"/>
        </w:rPr>
        <w:t>compliance</w:t>
      </w:r>
      <w:r w:rsidR="00354CAD" w:rsidRPr="007D7306">
        <w:rPr>
          <w:rFonts w:asciiTheme="minorHAnsi" w:eastAsiaTheme="minorHAnsi" w:hAnsiTheme="minorHAnsi" w:cstheme="minorBidi"/>
          <w:snapToGrid/>
          <w:sz w:val="24"/>
          <w:szCs w:val="22"/>
        </w:rPr>
        <w:t xml:space="preserve"> </w:t>
      </w:r>
      <w:r w:rsidR="007911BD" w:rsidRPr="007D7306">
        <w:rPr>
          <w:rFonts w:asciiTheme="minorHAnsi" w:eastAsiaTheme="minorHAnsi" w:hAnsiTheme="minorHAnsi" w:cstheme="minorBidi"/>
          <w:snapToGrid/>
          <w:sz w:val="24"/>
          <w:szCs w:val="22"/>
        </w:rPr>
        <w:t xml:space="preserve">and </w:t>
      </w:r>
      <w:r w:rsidR="00F96CB3" w:rsidRPr="007D7306">
        <w:rPr>
          <w:rFonts w:asciiTheme="minorHAnsi" w:eastAsiaTheme="minorHAnsi" w:hAnsiTheme="minorHAnsi" w:cstheme="minorBidi"/>
          <w:snapToGrid/>
          <w:sz w:val="24"/>
          <w:szCs w:val="22"/>
        </w:rPr>
        <w:t>the persistence rates</w:t>
      </w:r>
      <w:r w:rsidR="00E653C1" w:rsidRPr="007D7306">
        <w:rPr>
          <w:rFonts w:asciiTheme="minorHAnsi" w:eastAsiaTheme="minorHAnsi" w:hAnsiTheme="minorHAnsi" w:cstheme="minorBidi"/>
          <w:snapToGrid/>
          <w:sz w:val="24"/>
          <w:szCs w:val="22"/>
        </w:rPr>
        <w:t>.</w:t>
      </w:r>
      <w:r w:rsidR="000E0496" w:rsidRPr="007D7306">
        <w:rPr>
          <w:rFonts w:asciiTheme="minorHAnsi" w:eastAsiaTheme="minorHAnsi" w:hAnsiTheme="minorHAnsi" w:cstheme="minorBidi"/>
          <w:snapToGrid/>
          <w:sz w:val="24"/>
          <w:szCs w:val="22"/>
        </w:rPr>
        <w:t xml:space="preserve"> </w:t>
      </w:r>
      <w:r w:rsidR="00FA62E4" w:rsidRPr="007D7306">
        <w:rPr>
          <w:rFonts w:asciiTheme="minorHAnsi" w:eastAsiaTheme="minorHAnsi" w:hAnsiTheme="minorHAnsi" w:cstheme="minorBidi"/>
          <w:snapToGrid/>
          <w:sz w:val="24"/>
          <w:szCs w:val="22"/>
        </w:rPr>
        <w:t xml:space="preserve">The PBAC did not recommend </w:t>
      </w:r>
      <w:r w:rsidR="002078C9" w:rsidRPr="007D7306">
        <w:rPr>
          <w:rFonts w:asciiTheme="minorHAnsi" w:eastAsiaTheme="minorHAnsi" w:hAnsiTheme="minorHAnsi" w:cstheme="minorBidi"/>
          <w:snapToGrid/>
          <w:sz w:val="24"/>
          <w:szCs w:val="22"/>
        </w:rPr>
        <w:t>the listing of cladribine on the basis</w:t>
      </w:r>
      <w:r w:rsidR="00BB69B5" w:rsidRPr="007D7306">
        <w:rPr>
          <w:rFonts w:asciiTheme="minorHAnsi" w:eastAsiaTheme="minorHAnsi" w:hAnsiTheme="minorHAnsi" w:cstheme="minorBidi"/>
          <w:snapToGrid/>
          <w:sz w:val="24"/>
          <w:szCs w:val="22"/>
        </w:rPr>
        <w:t xml:space="preserve"> that no additional clinical evidence was provided to address its remaining concern around</w:t>
      </w:r>
      <w:r w:rsidR="002078C9" w:rsidRPr="007D7306">
        <w:rPr>
          <w:rFonts w:asciiTheme="minorHAnsi" w:eastAsiaTheme="minorHAnsi" w:hAnsiTheme="minorHAnsi" w:cstheme="minorBidi"/>
          <w:snapToGrid/>
          <w:sz w:val="24"/>
          <w:szCs w:val="22"/>
        </w:rPr>
        <w:t xml:space="preserve"> the time horizon of four years for estimating the equi-</w:t>
      </w:r>
      <w:r w:rsidR="00CB7129" w:rsidRPr="007D7306">
        <w:rPr>
          <w:rFonts w:asciiTheme="minorHAnsi" w:eastAsiaTheme="minorHAnsi" w:hAnsiTheme="minorHAnsi" w:cstheme="minorBidi"/>
          <w:snapToGrid/>
          <w:sz w:val="24"/>
          <w:szCs w:val="22"/>
        </w:rPr>
        <w:t>effective</w:t>
      </w:r>
      <w:r w:rsidR="002078C9" w:rsidRPr="007D7306">
        <w:rPr>
          <w:rFonts w:asciiTheme="minorHAnsi" w:eastAsiaTheme="minorHAnsi" w:hAnsiTheme="minorHAnsi" w:cstheme="minorBidi"/>
          <w:snapToGrid/>
          <w:sz w:val="24"/>
          <w:szCs w:val="22"/>
        </w:rPr>
        <w:t xml:space="preserve"> doses of cladribine and fingolimod.</w:t>
      </w:r>
      <w:r w:rsidR="00077D70" w:rsidRPr="007D7306">
        <w:rPr>
          <w:rFonts w:asciiTheme="minorHAnsi" w:eastAsiaTheme="minorHAnsi" w:hAnsiTheme="minorHAnsi" w:cstheme="minorBidi"/>
          <w:snapToGrid/>
          <w:sz w:val="24"/>
          <w:szCs w:val="22"/>
        </w:rPr>
        <w:t xml:space="preserve"> </w:t>
      </w:r>
      <w:r w:rsidR="00E653C1" w:rsidRPr="007D7306">
        <w:rPr>
          <w:rFonts w:asciiTheme="minorHAnsi" w:eastAsiaTheme="minorHAnsi" w:hAnsiTheme="minorHAnsi" w:cstheme="minorBidi"/>
          <w:snapToGrid/>
          <w:sz w:val="24"/>
          <w:szCs w:val="22"/>
        </w:rPr>
        <w:t>The PBAC</w:t>
      </w:r>
      <w:r w:rsidR="000E0496" w:rsidRPr="007D7306">
        <w:rPr>
          <w:rFonts w:asciiTheme="minorHAnsi" w:eastAsiaTheme="minorHAnsi" w:hAnsiTheme="minorHAnsi" w:cstheme="minorBidi"/>
          <w:snapToGrid/>
          <w:sz w:val="24"/>
          <w:szCs w:val="22"/>
        </w:rPr>
        <w:t xml:space="preserve"> </w:t>
      </w:r>
      <w:r w:rsidR="00E653C1" w:rsidRPr="007D7306">
        <w:rPr>
          <w:rFonts w:asciiTheme="minorHAnsi" w:eastAsiaTheme="minorHAnsi" w:hAnsiTheme="minorHAnsi" w:cstheme="minorBidi"/>
          <w:snapToGrid/>
          <w:sz w:val="24"/>
          <w:szCs w:val="22"/>
        </w:rPr>
        <w:t xml:space="preserve">noted that the </w:t>
      </w:r>
      <w:r w:rsidR="002078C9" w:rsidRPr="007D7306">
        <w:rPr>
          <w:rFonts w:asciiTheme="minorHAnsi" w:eastAsiaTheme="minorHAnsi" w:hAnsiTheme="minorHAnsi" w:cstheme="minorBidi"/>
          <w:snapToGrid/>
          <w:sz w:val="24"/>
          <w:szCs w:val="22"/>
        </w:rPr>
        <w:t>reduced DPMQ</w:t>
      </w:r>
      <w:r w:rsidR="00E653C1" w:rsidRPr="007D7306">
        <w:rPr>
          <w:rFonts w:asciiTheme="minorHAnsi" w:eastAsiaTheme="minorHAnsi" w:hAnsiTheme="minorHAnsi" w:cstheme="minorBidi"/>
          <w:snapToGrid/>
          <w:sz w:val="24"/>
          <w:szCs w:val="22"/>
        </w:rPr>
        <w:t xml:space="preserve"> was </w:t>
      </w:r>
      <w:r w:rsidR="002078C9" w:rsidRPr="007D7306">
        <w:rPr>
          <w:rFonts w:asciiTheme="minorHAnsi" w:eastAsiaTheme="minorHAnsi" w:hAnsiTheme="minorHAnsi" w:cstheme="minorBidi"/>
          <w:snapToGrid/>
          <w:sz w:val="24"/>
          <w:szCs w:val="22"/>
        </w:rPr>
        <w:t xml:space="preserve">predominantly </w:t>
      </w:r>
      <w:r w:rsidR="00E653C1" w:rsidRPr="007D7306">
        <w:rPr>
          <w:rFonts w:asciiTheme="minorHAnsi" w:eastAsiaTheme="minorHAnsi" w:hAnsiTheme="minorHAnsi" w:cstheme="minorBidi"/>
          <w:snapToGrid/>
          <w:sz w:val="24"/>
          <w:szCs w:val="22"/>
        </w:rPr>
        <w:t>due to a lower number of tablets (from ten to seven)</w:t>
      </w:r>
      <w:r w:rsidR="00077D70" w:rsidRPr="007D7306">
        <w:rPr>
          <w:rFonts w:asciiTheme="minorHAnsi" w:eastAsiaTheme="minorHAnsi" w:hAnsiTheme="minorHAnsi" w:cstheme="minorBidi"/>
          <w:snapToGrid/>
          <w:sz w:val="24"/>
          <w:szCs w:val="22"/>
        </w:rPr>
        <w:t xml:space="preserve"> for the maximum quantity requested, rather than a reduction in the price per tablet of cladribine</w:t>
      </w:r>
      <w:r w:rsidR="00E653C1" w:rsidRPr="007D7306">
        <w:rPr>
          <w:rFonts w:asciiTheme="minorHAnsi" w:eastAsiaTheme="minorHAnsi" w:hAnsiTheme="minorHAnsi" w:cstheme="minorBidi"/>
          <w:snapToGrid/>
          <w:sz w:val="24"/>
          <w:szCs w:val="22"/>
        </w:rPr>
        <w:t>.</w:t>
      </w:r>
      <w:r w:rsidR="000C623F" w:rsidRPr="007D7306">
        <w:rPr>
          <w:rFonts w:asciiTheme="minorHAnsi" w:eastAsiaTheme="minorHAnsi" w:hAnsiTheme="minorHAnsi" w:cstheme="minorBidi"/>
          <w:snapToGrid/>
          <w:sz w:val="24"/>
          <w:szCs w:val="22"/>
        </w:rPr>
        <w:t xml:space="preserve"> Further, the PBAC noted there remained significant uncertainties in the financial analysis, including the persistence rates assumed by the resubmission.</w:t>
      </w:r>
      <w:r w:rsidR="00BB69B5" w:rsidRPr="007D7306">
        <w:rPr>
          <w:rFonts w:asciiTheme="minorHAnsi" w:eastAsiaTheme="minorHAnsi" w:hAnsiTheme="minorHAnsi" w:cstheme="minorBidi"/>
          <w:snapToGrid/>
          <w:sz w:val="24"/>
          <w:szCs w:val="22"/>
        </w:rPr>
        <w:t xml:space="preserve"> </w:t>
      </w:r>
      <w:r w:rsidR="00E653C1" w:rsidRPr="007D7306">
        <w:rPr>
          <w:rFonts w:asciiTheme="minorHAnsi" w:eastAsiaTheme="minorHAnsi" w:hAnsiTheme="minorHAnsi" w:cstheme="minorBidi"/>
          <w:snapToGrid/>
          <w:sz w:val="24"/>
          <w:szCs w:val="22"/>
        </w:rPr>
        <w:t xml:space="preserve"> </w:t>
      </w:r>
    </w:p>
    <w:p w:rsidR="008A1956" w:rsidRPr="007D7306" w:rsidRDefault="003B3FD2" w:rsidP="000E0496">
      <w:pPr>
        <w:spacing w:before="120" w:after="160"/>
        <w:rPr>
          <w:rFonts w:asciiTheme="minorHAnsi" w:eastAsiaTheme="minorHAnsi" w:hAnsiTheme="minorHAnsi" w:cstheme="minorBidi"/>
          <w:szCs w:val="22"/>
        </w:rPr>
      </w:pPr>
      <w:r w:rsidRPr="007D7306">
        <w:rPr>
          <w:rFonts w:asciiTheme="minorHAnsi" w:hAnsiTheme="minorHAnsi"/>
          <w:i/>
        </w:rPr>
        <w:t>For more deta</w:t>
      </w:r>
      <w:r w:rsidR="00194975">
        <w:rPr>
          <w:rFonts w:asciiTheme="minorHAnsi" w:hAnsiTheme="minorHAnsi"/>
          <w:i/>
        </w:rPr>
        <w:t>il on PBAC’s view, see section 6</w:t>
      </w:r>
      <w:r w:rsidRPr="007D7306">
        <w:rPr>
          <w:rFonts w:asciiTheme="minorHAnsi" w:hAnsiTheme="minorHAnsi"/>
          <w:i/>
        </w:rPr>
        <w:t xml:space="preserve"> PBAC outcome</w:t>
      </w:r>
      <w:r w:rsidR="00194975">
        <w:rPr>
          <w:rFonts w:asciiTheme="minorHAnsi" w:hAnsiTheme="minorHAnsi"/>
          <w:i/>
        </w:rPr>
        <w:t>.</w:t>
      </w:r>
    </w:p>
    <w:p w:rsidR="005A3173" w:rsidRPr="007D7306" w:rsidRDefault="005A3173" w:rsidP="00D31150">
      <w:pPr>
        <w:pStyle w:val="PBACHeading1"/>
        <w:spacing w:before="240" w:after="120"/>
        <w:ind w:left="709" w:hanging="709"/>
        <w:rPr>
          <w:rFonts w:asciiTheme="minorHAnsi" w:hAnsiTheme="minorHAnsi"/>
          <w:sz w:val="32"/>
          <w:szCs w:val="32"/>
        </w:rPr>
      </w:pPr>
      <w:r w:rsidRPr="007D7306">
        <w:rPr>
          <w:rFonts w:asciiTheme="minorHAnsi" w:hAnsiTheme="minorHAnsi"/>
          <w:sz w:val="32"/>
          <w:szCs w:val="32"/>
        </w:rPr>
        <w:t>Comparator</w:t>
      </w:r>
    </w:p>
    <w:p w:rsidR="00C911D6" w:rsidRPr="007D7306" w:rsidRDefault="00FF2801" w:rsidP="00C911D6">
      <w:pPr>
        <w:pStyle w:val="ListParagraph"/>
        <w:numPr>
          <w:ilvl w:val="1"/>
          <w:numId w:val="14"/>
        </w:numPr>
        <w:rPr>
          <w:rFonts w:asciiTheme="minorHAnsi" w:eastAsiaTheme="minorHAnsi" w:hAnsiTheme="minorHAnsi" w:cstheme="minorBidi"/>
          <w:snapToGrid/>
          <w:sz w:val="24"/>
          <w:szCs w:val="24"/>
        </w:rPr>
      </w:pPr>
      <w:r w:rsidRPr="007D7306">
        <w:rPr>
          <w:rFonts w:asciiTheme="minorHAnsi" w:eastAsiaTheme="minorHAnsi" w:hAnsiTheme="minorHAnsi" w:cstheme="minorBidi"/>
          <w:snapToGrid/>
          <w:sz w:val="24"/>
          <w:szCs w:val="24"/>
        </w:rPr>
        <w:t xml:space="preserve">The </w:t>
      </w:r>
      <w:r w:rsidR="00B21C12" w:rsidRPr="007D7306">
        <w:rPr>
          <w:rFonts w:asciiTheme="minorHAnsi" w:eastAsiaTheme="minorHAnsi" w:hAnsiTheme="minorHAnsi" w:cstheme="minorBidi"/>
          <w:snapToGrid/>
          <w:sz w:val="24"/>
          <w:szCs w:val="24"/>
        </w:rPr>
        <w:t xml:space="preserve">comparator, fingolimod, </w:t>
      </w:r>
      <w:r w:rsidR="001F5D49" w:rsidRPr="007D7306">
        <w:rPr>
          <w:rFonts w:asciiTheme="minorHAnsi" w:eastAsiaTheme="minorHAnsi" w:hAnsiTheme="minorHAnsi" w:cstheme="minorBidi"/>
          <w:snapToGrid/>
          <w:sz w:val="24"/>
          <w:szCs w:val="24"/>
        </w:rPr>
        <w:t xml:space="preserve">remained unchanged </w:t>
      </w:r>
      <w:r w:rsidR="00F446F3" w:rsidRPr="007D7306">
        <w:rPr>
          <w:rFonts w:asciiTheme="minorHAnsi" w:eastAsiaTheme="minorHAnsi" w:hAnsiTheme="minorHAnsi" w:cstheme="minorBidi"/>
          <w:snapToGrid/>
          <w:sz w:val="24"/>
          <w:szCs w:val="24"/>
        </w:rPr>
        <w:t>from</w:t>
      </w:r>
      <w:r w:rsidR="008C2D47" w:rsidRPr="007D7306">
        <w:rPr>
          <w:rFonts w:asciiTheme="minorHAnsi" w:eastAsiaTheme="minorHAnsi" w:hAnsiTheme="minorHAnsi" w:cstheme="minorBidi"/>
          <w:snapToGrid/>
          <w:sz w:val="24"/>
          <w:szCs w:val="24"/>
        </w:rPr>
        <w:t xml:space="preserve"> the November 2017</w:t>
      </w:r>
      <w:r w:rsidR="000C623F" w:rsidRPr="007D7306">
        <w:rPr>
          <w:rFonts w:asciiTheme="minorHAnsi" w:eastAsiaTheme="minorHAnsi" w:hAnsiTheme="minorHAnsi" w:cstheme="minorBidi"/>
          <w:snapToGrid/>
          <w:sz w:val="24"/>
          <w:szCs w:val="24"/>
        </w:rPr>
        <w:t xml:space="preserve"> PBAC</w:t>
      </w:r>
      <w:r w:rsidR="008C2D47" w:rsidRPr="007D7306">
        <w:rPr>
          <w:rFonts w:asciiTheme="minorHAnsi" w:eastAsiaTheme="minorHAnsi" w:hAnsiTheme="minorHAnsi" w:cstheme="minorBidi"/>
          <w:snapToGrid/>
          <w:sz w:val="24"/>
          <w:szCs w:val="24"/>
        </w:rPr>
        <w:t xml:space="preserve"> </w:t>
      </w:r>
      <w:r w:rsidR="009D3627" w:rsidRPr="007D7306">
        <w:rPr>
          <w:rFonts w:asciiTheme="minorHAnsi" w:eastAsiaTheme="minorHAnsi" w:hAnsiTheme="minorHAnsi" w:cstheme="minorBidi"/>
          <w:snapToGrid/>
          <w:sz w:val="24"/>
          <w:szCs w:val="24"/>
        </w:rPr>
        <w:t xml:space="preserve">and March 2018 </w:t>
      </w:r>
      <w:r w:rsidR="00EA731D" w:rsidRPr="007D7306">
        <w:rPr>
          <w:rFonts w:asciiTheme="minorHAnsi" w:eastAsiaTheme="minorHAnsi" w:hAnsiTheme="minorHAnsi" w:cstheme="minorBidi"/>
          <w:snapToGrid/>
          <w:sz w:val="24"/>
          <w:szCs w:val="24"/>
        </w:rPr>
        <w:t>submission</w:t>
      </w:r>
      <w:r w:rsidR="009D3627" w:rsidRPr="007D7306">
        <w:rPr>
          <w:rFonts w:asciiTheme="minorHAnsi" w:eastAsiaTheme="minorHAnsi" w:hAnsiTheme="minorHAnsi" w:cstheme="minorBidi"/>
          <w:snapToGrid/>
          <w:sz w:val="24"/>
          <w:szCs w:val="24"/>
        </w:rPr>
        <w:t>s</w:t>
      </w:r>
      <w:r w:rsidR="008C2D47" w:rsidRPr="007D7306">
        <w:rPr>
          <w:rFonts w:asciiTheme="minorHAnsi" w:eastAsiaTheme="minorHAnsi" w:hAnsiTheme="minorHAnsi" w:cstheme="minorBidi"/>
          <w:snapToGrid/>
          <w:sz w:val="24"/>
          <w:szCs w:val="24"/>
        </w:rPr>
        <w:t>.</w:t>
      </w:r>
      <w:r w:rsidR="007B150D" w:rsidRPr="007D7306">
        <w:rPr>
          <w:rFonts w:asciiTheme="minorHAnsi" w:eastAsiaTheme="minorHAnsi" w:hAnsiTheme="minorHAnsi" w:cstheme="minorBidi"/>
          <w:snapToGrid/>
          <w:sz w:val="24"/>
          <w:szCs w:val="24"/>
        </w:rPr>
        <w:t xml:space="preserve"> At </w:t>
      </w:r>
      <w:r w:rsidR="009D3627" w:rsidRPr="007D7306">
        <w:rPr>
          <w:rFonts w:asciiTheme="minorHAnsi" w:eastAsiaTheme="minorHAnsi" w:hAnsiTheme="minorHAnsi" w:cstheme="minorBidi"/>
          <w:snapToGrid/>
          <w:sz w:val="24"/>
          <w:szCs w:val="24"/>
        </w:rPr>
        <w:t>the November 2017 meeting</w:t>
      </w:r>
      <w:r w:rsidR="007B150D" w:rsidRPr="007D7306">
        <w:rPr>
          <w:rFonts w:asciiTheme="minorHAnsi" w:eastAsiaTheme="minorHAnsi" w:hAnsiTheme="minorHAnsi" w:cstheme="minorBidi"/>
          <w:snapToGrid/>
          <w:sz w:val="24"/>
          <w:szCs w:val="24"/>
        </w:rPr>
        <w:t>, t</w:t>
      </w:r>
      <w:r w:rsidR="00B21C12" w:rsidRPr="007D7306">
        <w:rPr>
          <w:rFonts w:asciiTheme="minorHAnsi" w:eastAsiaTheme="minorHAnsi" w:hAnsiTheme="minorHAnsi" w:cstheme="minorBidi"/>
          <w:snapToGrid/>
          <w:sz w:val="24"/>
          <w:szCs w:val="24"/>
        </w:rPr>
        <w:t xml:space="preserve">he PBAC accepted fingolimod as </w:t>
      </w:r>
      <w:r w:rsidR="00D526BA" w:rsidRPr="007D7306">
        <w:rPr>
          <w:rFonts w:asciiTheme="minorHAnsi" w:eastAsiaTheme="minorHAnsi" w:hAnsiTheme="minorHAnsi" w:cstheme="minorBidi"/>
          <w:snapToGrid/>
          <w:sz w:val="24"/>
          <w:szCs w:val="24"/>
        </w:rPr>
        <w:t xml:space="preserve">the </w:t>
      </w:r>
      <w:r w:rsidR="00B21C12" w:rsidRPr="007D7306">
        <w:rPr>
          <w:rFonts w:asciiTheme="minorHAnsi" w:eastAsiaTheme="minorHAnsi" w:hAnsiTheme="minorHAnsi" w:cstheme="minorBidi"/>
          <w:snapToGrid/>
          <w:sz w:val="24"/>
          <w:szCs w:val="24"/>
        </w:rPr>
        <w:t>appropriate</w:t>
      </w:r>
      <w:r w:rsidR="00D526BA" w:rsidRPr="007D7306">
        <w:rPr>
          <w:rFonts w:asciiTheme="minorHAnsi" w:eastAsiaTheme="minorHAnsi" w:hAnsiTheme="minorHAnsi" w:cstheme="minorBidi"/>
          <w:snapToGrid/>
          <w:sz w:val="24"/>
          <w:szCs w:val="24"/>
        </w:rPr>
        <w:t xml:space="preserve"> main</w:t>
      </w:r>
      <w:r w:rsidR="00B21C12" w:rsidRPr="007D7306">
        <w:rPr>
          <w:rFonts w:asciiTheme="minorHAnsi" w:eastAsiaTheme="minorHAnsi" w:hAnsiTheme="minorHAnsi" w:cstheme="minorBidi"/>
          <w:snapToGrid/>
          <w:sz w:val="24"/>
          <w:szCs w:val="24"/>
        </w:rPr>
        <w:t xml:space="preserve"> comparator</w:t>
      </w:r>
      <w:r w:rsidR="00D526BA" w:rsidRPr="007D7306">
        <w:rPr>
          <w:rFonts w:asciiTheme="minorHAnsi" w:eastAsiaTheme="minorHAnsi" w:hAnsiTheme="minorHAnsi" w:cstheme="minorBidi"/>
          <w:snapToGrid/>
          <w:sz w:val="24"/>
          <w:szCs w:val="24"/>
        </w:rPr>
        <w:t>,</w:t>
      </w:r>
      <w:r w:rsidR="007B150D" w:rsidRPr="007D7306">
        <w:rPr>
          <w:rFonts w:asciiTheme="minorHAnsi" w:eastAsiaTheme="minorHAnsi" w:hAnsiTheme="minorHAnsi" w:cstheme="minorBidi"/>
          <w:snapToGrid/>
          <w:sz w:val="24"/>
          <w:szCs w:val="24"/>
        </w:rPr>
        <w:t xml:space="preserve"> however</w:t>
      </w:r>
      <w:r w:rsidR="00D526BA" w:rsidRPr="007D7306">
        <w:rPr>
          <w:rFonts w:asciiTheme="minorHAnsi" w:eastAsiaTheme="minorHAnsi" w:hAnsiTheme="minorHAnsi" w:cstheme="minorBidi"/>
          <w:snapToGrid/>
          <w:sz w:val="24"/>
          <w:szCs w:val="24"/>
        </w:rPr>
        <w:t>,</w:t>
      </w:r>
      <w:r w:rsidR="007B150D" w:rsidRPr="007D7306">
        <w:rPr>
          <w:rFonts w:asciiTheme="minorHAnsi" w:eastAsiaTheme="minorHAnsi" w:hAnsiTheme="minorHAnsi" w:cstheme="minorBidi"/>
          <w:snapToGrid/>
          <w:sz w:val="24"/>
          <w:szCs w:val="24"/>
        </w:rPr>
        <w:t xml:space="preserve"> </w:t>
      </w:r>
      <w:r w:rsidR="00D526BA" w:rsidRPr="007D7306">
        <w:rPr>
          <w:rFonts w:asciiTheme="minorHAnsi" w:eastAsiaTheme="minorHAnsi" w:hAnsiTheme="minorHAnsi" w:cstheme="minorBidi"/>
          <w:snapToGrid/>
          <w:sz w:val="24"/>
          <w:szCs w:val="24"/>
        </w:rPr>
        <w:t xml:space="preserve">considered </w:t>
      </w:r>
      <w:r w:rsidR="007B150D" w:rsidRPr="007D7306">
        <w:rPr>
          <w:rFonts w:asciiTheme="minorHAnsi" w:eastAsiaTheme="minorHAnsi" w:hAnsiTheme="minorHAnsi" w:cstheme="minorBidi"/>
          <w:snapToGrid/>
          <w:sz w:val="24"/>
          <w:szCs w:val="24"/>
        </w:rPr>
        <w:t>that cladribine may replace or displace all PBS listed RRMS treatments to some extent</w:t>
      </w:r>
      <w:r w:rsidR="00591F0C" w:rsidRPr="007D7306">
        <w:rPr>
          <w:rFonts w:asciiTheme="minorHAnsi" w:eastAsiaTheme="minorHAnsi" w:hAnsiTheme="minorHAnsi" w:cstheme="minorBidi"/>
          <w:snapToGrid/>
          <w:sz w:val="24"/>
          <w:szCs w:val="24"/>
        </w:rPr>
        <w:t xml:space="preserve">. </w:t>
      </w:r>
      <w:r w:rsidR="00C911D6" w:rsidRPr="007D7306">
        <w:rPr>
          <w:rFonts w:asciiTheme="minorHAnsi" w:eastAsiaTheme="minorHAnsi" w:hAnsiTheme="minorHAnsi" w:cstheme="minorBidi"/>
          <w:snapToGrid/>
          <w:sz w:val="24"/>
          <w:szCs w:val="24"/>
        </w:rPr>
        <w:t xml:space="preserve">The PBAC noted that if treatment with cladribine is substantially more costly than an alternative therapy or alternative therapies, the Committee could only recommend listing of cladribine if it is satisfied that cladribine provides, for some patients, a significant improvement in efficacy or reduction of toxicity over the alternative therapy or therapies. The alternative therapies in this case may include interferon beta, dimethyl fumarate and teriflunomide. The PBAC recalled it was uncertain whether cladribine was superior over interferon beta 1a in terms of efficacy, however, the Committee recalled that cladribine was superior over interferon beta 1a in terms of safety. </w:t>
      </w:r>
      <w:r w:rsidR="009D3627" w:rsidRPr="007D7306">
        <w:rPr>
          <w:rFonts w:asciiTheme="minorHAnsi" w:eastAsiaTheme="minorHAnsi" w:hAnsiTheme="minorHAnsi" w:cstheme="minorBidi"/>
          <w:snapToGrid/>
          <w:sz w:val="24"/>
          <w:szCs w:val="24"/>
        </w:rPr>
        <w:t>At the November 2017 m</w:t>
      </w:r>
      <w:r w:rsidR="00E03C36" w:rsidRPr="007D7306">
        <w:rPr>
          <w:rFonts w:asciiTheme="minorHAnsi" w:eastAsiaTheme="minorHAnsi" w:hAnsiTheme="minorHAnsi" w:cstheme="minorBidi"/>
          <w:snapToGrid/>
          <w:sz w:val="24"/>
          <w:szCs w:val="24"/>
        </w:rPr>
        <w:t>eeting</w:t>
      </w:r>
      <w:r w:rsidR="009D3627" w:rsidRPr="007D7306">
        <w:rPr>
          <w:rFonts w:asciiTheme="minorHAnsi" w:eastAsiaTheme="minorHAnsi" w:hAnsiTheme="minorHAnsi" w:cstheme="minorBidi"/>
          <w:snapToGrid/>
          <w:sz w:val="24"/>
          <w:szCs w:val="24"/>
        </w:rPr>
        <w:t xml:space="preserve"> t</w:t>
      </w:r>
      <w:r w:rsidR="00C911D6" w:rsidRPr="007D7306">
        <w:rPr>
          <w:rFonts w:asciiTheme="minorHAnsi" w:eastAsiaTheme="minorHAnsi" w:hAnsiTheme="minorHAnsi" w:cstheme="minorBidi"/>
          <w:snapToGrid/>
          <w:sz w:val="24"/>
          <w:szCs w:val="24"/>
        </w:rPr>
        <w:t xml:space="preserve">he PBAC recalled </w:t>
      </w:r>
      <w:r w:rsidR="00E03C36" w:rsidRPr="007D7306">
        <w:rPr>
          <w:rFonts w:asciiTheme="minorHAnsi" w:eastAsiaTheme="minorHAnsi" w:hAnsiTheme="minorHAnsi" w:cstheme="minorBidi"/>
          <w:snapToGrid/>
          <w:sz w:val="24"/>
          <w:szCs w:val="24"/>
        </w:rPr>
        <w:t>that</w:t>
      </w:r>
      <w:r w:rsidR="00C911D6" w:rsidRPr="007D7306">
        <w:rPr>
          <w:rFonts w:asciiTheme="minorHAnsi" w:eastAsiaTheme="minorHAnsi" w:hAnsiTheme="minorHAnsi" w:cstheme="minorBidi"/>
          <w:snapToGrid/>
          <w:sz w:val="24"/>
          <w:szCs w:val="24"/>
        </w:rPr>
        <w:t xml:space="preserve"> </w:t>
      </w:r>
      <w:r w:rsidR="00E03C36" w:rsidRPr="007D7306">
        <w:rPr>
          <w:rFonts w:asciiTheme="minorHAnsi" w:eastAsiaTheme="minorHAnsi" w:hAnsiTheme="minorHAnsi" w:cstheme="minorBidi"/>
          <w:snapToGrid/>
          <w:sz w:val="24"/>
          <w:szCs w:val="24"/>
        </w:rPr>
        <w:t>non-inferior efficacy of cladribine to natalizumab, as noted at the March 2011 meeting, remained</w:t>
      </w:r>
      <w:r w:rsidR="00C911D6" w:rsidRPr="007D7306">
        <w:rPr>
          <w:rFonts w:asciiTheme="minorHAnsi" w:eastAsiaTheme="minorHAnsi" w:hAnsiTheme="minorHAnsi" w:cstheme="minorBidi"/>
          <w:snapToGrid/>
          <w:sz w:val="24"/>
          <w:szCs w:val="24"/>
        </w:rPr>
        <w:t xml:space="preserve"> (paragraph 7.5, November 2017 </w:t>
      </w:r>
      <w:r w:rsidR="001B1253">
        <w:rPr>
          <w:rFonts w:asciiTheme="minorHAnsi" w:eastAsiaTheme="minorHAnsi" w:hAnsiTheme="minorHAnsi" w:cstheme="minorBidi"/>
          <w:snapToGrid/>
          <w:sz w:val="24"/>
          <w:szCs w:val="24"/>
        </w:rPr>
        <w:t>PSD</w:t>
      </w:r>
      <w:r w:rsidR="00C911D6" w:rsidRPr="007D7306">
        <w:rPr>
          <w:rFonts w:asciiTheme="minorHAnsi" w:eastAsiaTheme="minorHAnsi" w:hAnsiTheme="minorHAnsi" w:cstheme="minorBidi"/>
          <w:snapToGrid/>
          <w:sz w:val="24"/>
          <w:szCs w:val="24"/>
        </w:rPr>
        <w:t>).</w:t>
      </w:r>
    </w:p>
    <w:p w:rsidR="008C2D47" w:rsidRPr="007D7306" w:rsidRDefault="008C2D47" w:rsidP="00C911D6">
      <w:pPr>
        <w:pStyle w:val="ListParagraph"/>
        <w:widowControl/>
        <w:spacing w:before="120" w:after="160"/>
        <w:rPr>
          <w:rFonts w:asciiTheme="minorHAnsi" w:eastAsiaTheme="minorHAnsi" w:hAnsiTheme="minorHAnsi" w:cstheme="minorBidi"/>
          <w:snapToGrid/>
          <w:sz w:val="24"/>
          <w:szCs w:val="22"/>
        </w:rPr>
      </w:pPr>
    </w:p>
    <w:p w:rsidR="00C35996" w:rsidRPr="00194975" w:rsidRDefault="003B3FD2" w:rsidP="00C911D6">
      <w:pPr>
        <w:pStyle w:val="ListParagraph"/>
        <w:widowControl/>
        <w:spacing w:before="120" w:after="160"/>
        <w:rPr>
          <w:rFonts w:asciiTheme="minorHAnsi" w:hAnsiTheme="minorHAnsi"/>
          <w:b/>
          <w:sz w:val="32"/>
          <w:szCs w:val="32"/>
        </w:rPr>
      </w:pPr>
      <w:r w:rsidRPr="00194975">
        <w:rPr>
          <w:rFonts w:asciiTheme="minorHAnsi" w:hAnsiTheme="minorHAnsi"/>
          <w:i/>
          <w:sz w:val="24"/>
          <w:szCs w:val="24"/>
        </w:rPr>
        <w:t>For more deta</w:t>
      </w:r>
      <w:r w:rsidR="00194975">
        <w:rPr>
          <w:rFonts w:asciiTheme="minorHAnsi" w:hAnsiTheme="minorHAnsi"/>
          <w:i/>
          <w:sz w:val="24"/>
          <w:szCs w:val="24"/>
        </w:rPr>
        <w:t>il on PBAC’s view, see section 6</w:t>
      </w:r>
      <w:r w:rsidRPr="00194975">
        <w:rPr>
          <w:rFonts w:asciiTheme="minorHAnsi" w:hAnsiTheme="minorHAnsi"/>
          <w:i/>
          <w:sz w:val="24"/>
          <w:szCs w:val="24"/>
        </w:rPr>
        <w:t xml:space="preserve"> PBAC outcome</w:t>
      </w:r>
      <w:r w:rsidR="00194975">
        <w:rPr>
          <w:rFonts w:asciiTheme="minorHAnsi" w:eastAsiaTheme="minorHAnsi" w:hAnsiTheme="minorHAnsi" w:cstheme="minorBidi"/>
          <w:snapToGrid/>
          <w:sz w:val="24"/>
          <w:szCs w:val="24"/>
        </w:rPr>
        <w:t>.</w:t>
      </w:r>
      <w:r w:rsidR="00B21C12" w:rsidRPr="00194975">
        <w:rPr>
          <w:rFonts w:asciiTheme="minorHAnsi" w:hAnsiTheme="minorHAnsi"/>
          <w:b/>
          <w:sz w:val="32"/>
          <w:szCs w:val="32"/>
        </w:rPr>
        <w:t xml:space="preserve"> </w:t>
      </w:r>
    </w:p>
    <w:p w:rsidR="000B558D" w:rsidRPr="007D7306"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7D7306">
        <w:rPr>
          <w:rFonts w:asciiTheme="minorHAnsi" w:hAnsiTheme="minorHAnsi"/>
          <w:sz w:val="32"/>
          <w:szCs w:val="32"/>
        </w:rPr>
        <w:lastRenderedPageBreak/>
        <w:t>C</w:t>
      </w:r>
      <w:r w:rsidR="00D84934" w:rsidRPr="007D7306">
        <w:rPr>
          <w:rFonts w:asciiTheme="minorHAnsi" w:hAnsiTheme="minorHAnsi"/>
          <w:sz w:val="32"/>
          <w:szCs w:val="32"/>
        </w:rPr>
        <w:t>onsideration of the evidence</w:t>
      </w:r>
    </w:p>
    <w:p w:rsidR="003B3FD2" w:rsidRPr="007D7306" w:rsidRDefault="003B3FD2" w:rsidP="00CD78B7">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Sponsor hearing</w:t>
      </w:r>
    </w:p>
    <w:p w:rsidR="003B3FD2" w:rsidRPr="007D7306" w:rsidRDefault="003B3FD2" w:rsidP="003B3FD2">
      <w:pPr>
        <w:widowControl w:val="0"/>
        <w:numPr>
          <w:ilvl w:val="1"/>
          <w:numId w:val="5"/>
        </w:numPr>
        <w:spacing w:after="120"/>
        <w:jc w:val="both"/>
        <w:rPr>
          <w:rFonts w:asciiTheme="minorHAnsi" w:hAnsiTheme="minorHAnsi" w:cs="Arial"/>
          <w:bCs/>
          <w:snapToGrid w:val="0"/>
        </w:rPr>
      </w:pPr>
      <w:r w:rsidRPr="007D7306">
        <w:rPr>
          <w:rFonts w:asciiTheme="minorHAnsi" w:hAnsiTheme="minorHAnsi" w:cs="Arial"/>
          <w:bCs/>
          <w:snapToGrid w:val="0"/>
        </w:rPr>
        <w:t>There was no hearing for this ite</w:t>
      </w:r>
      <w:r w:rsidR="0011292D" w:rsidRPr="007D7306">
        <w:rPr>
          <w:rFonts w:asciiTheme="minorHAnsi" w:hAnsiTheme="minorHAnsi" w:cs="Arial"/>
          <w:bCs/>
          <w:snapToGrid w:val="0"/>
        </w:rPr>
        <w:t>m as it was a minor submission.</w:t>
      </w:r>
    </w:p>
    <w:p w:rsidR="003B3FD2" w:rsidRPr="007D7306" w:rsidRDefault="003B3FD2" w:rsidP="00CD78B7">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Consumer comments</w:t>
      </w:r>
    </w:p>
    <w:p w:rsidR="003B3FD2" w:rsidRPr="007D7306" w:rsidRDefault="00534FC0" w:rsidP="003B3FD2">
      <w:pPr>
        <w:widowControl w:val="0"/>
        <w:numPr>
          <w:ilvl w:val="1"/>
          <w:numId w:val="5"/>
        </w:numPr>
        <w:spacing w:after="120"/>
        <w:jc w:val="both"/>
        <w:rPr>
          <w:rFonts w:asciiTheme="minorHAnsi" w:hAnsiTheme="minorHAnsi" w:cs="Arial"/>
          <w:bCs/>
          <w:snapToGrid w:val="0"/>
        </w:rPr>
      </w:pPr>
      <w:r w:rsidRPr="007D7306">
        <w:rPr>
          <w:rFonts w:asciiTheme="minorHAnsi" w:hAnsiTheme="minorHAnsi" w:cs="Arial"/>
          <w:bCs/>
          <w:snapToGrid w:val="0"/>
        </w:rPr>
        <w:t xml:space="preserve">The PBAC noted and welcomed the input from </w:t>
      </w:r>
      <w:r w:rsidR="002A3708" w:rsidRPr="007D7306">
        <w:rPr>
          <w:rFonts w:asciiTheme="minorHAnsi" w:hAnsiTheme="minorHAnsi" w:cs="Arial"/>
          <w:bCs/>
          <w:snapToGrid w:val="0"/>
        </w:rPr>
        <w:t>individuals</w:t>
      </w:r>
      <w:r w:rsidRPr="007D7306">
        <w:rPr>
          <w:rFonts w:asciiTheme="minorHAnsi" w:hAnsiTheme="minorHAnsi" w:cs="Arial"/>
          <w:bCs/>
          <w:snapToGrid w:val="0"/>
        </w:rPr>
        <w:t xml:space="preserve"> (8), health care professionals (6) and organisations (3) via the Consumer Comments facility on the PBS website. </w:t>
      </w:r>
      <w:r w:rsidR="00230D5A" w:rsidRPr="007D7306">
        <w:rPr>
          <w:rFonts w:asciiTheme="minorHAnsi" w:hAnsiTheme="minorHAnsi" w:cs="Arial"/>
          <w:bCs/>
          <w:snapToGrid w:val="0"/>
        </w:rPr>
        <w:t>The comments described a range of benefits of treatment with cladribine including</w:t>
      </w:r>
      <w:r w:rsidR="0079053F" w:rsidRPr="007D7306">
        <w:rPr>
          <w:rFonts w:asciiTheme="minorHAnsi" w:hAnsiTheme="minorHAnsi" w:cs="Arial"/>
          <w:bCs/>
          <w:snapToGrid w:val="0"/>
        </w:rPr>
        <w:t xml:space="preserve"> the short duration of dosing,</w:t>
      </w:r>
      <w:r w:rsidR="007B7CE6" w:rsidRPr="007D7306">
        <w:rPr>
          <w:rFonts w:asciiTheme="minorHAnsi" w:hAnsiTheme="minorHAnsi" w:cs="Arial"/>
          <w:bCs/>
          <w:snapToGrid w:val="0"/>
        </w:rPr>
        <w:t xml:space="preserve"> slowing of disease progression, </w:t>
      </w:r>
      <w:r w:rsidR="00230D5A" w:rsidRPr="007D7306">
        <w:rPr>
          <w:rFonts w:asciiTheme="minorHAnsi" w:hAnsiTheme="minorHAnsi" w:cs="Arial"/>
          <w:bCs/>
          <w:snapToGrid w:val="0"/>
        </w:rPr>
        <w:t>low monitoring burden</w:t>
      </w:r>
      <w:r w:rsidR="003879DF" w:rsidRPr="007D7306">
        <w:rPr>
          <w:rFonts w:asciiTheme="minorHAnsi" w:hAnsiTheme="minorHAnsi" w:cs="Arial"/>
          <w:bCs/>
          <w:snapToGrid w:val="0"/>
        </w:rPr>
        <w:t>,</w:t>
      </w:r>
      <w:r w:rsidR="007E4228" w:rsidRPr="007D7306">
        <w:rPr>
          <w:rFonts w:asciiTheme="minorHAnsi" w:hAnsiTheme="minorHAnsi" w:cs="Arial"/>
          <w:bCs/>
          <w:snapToGrid w:val="0"/>
        </w:rPr>
        <w:t xml:space="preserve"> </w:t>
      </w:r>
      <w:r w:rsidR="000136A7" w:rsidRPr="007D7306">
        <w:rPr>
          <w:rFonts w:asciiTheme="minorHAnsi" w:hAnsiTheme="minorHAnsi" w:cs="Arial"/>
          <w:bCs/>
          <w:snapToGrid w:val="0"/>
        </w:rPr>
        <w:t>tolerable safety profile</w:t>
      </w:r>
      <w:r w:rsidR="003879DF" w:rsidRPr="007D7306">
        <w:rPr>
          <w:rFonts w:asciiTheme="minorHAnsi" w:hAnsiTheme="minorHAnsi" w:cs="Arial"/>
          <w:bCs/>
          <w:snapToGrid w:val="0"/>
        </w:rPr>
        <w:t xml:space="preserve"> </w:t>
      </w:r>
      <w:r w:rsidR="00230D5A" w:rsidRPr="007D7306">
        <w:rPr>
          <w:rFonts w:asciiTheme="minorHAnsi" w:hAnsiTheme="minorHAnsi" w:cs="Arial"/>
          <w:bCs/>
          <w:snapToGrid w:val="0"/>
        </w:rPr>
        <w:t>and relief of symptoms</w:t>
      </w:r>
      <w:r w:rsidR="007B7CE6" w:rsidRPr="007D7306">
        <w:rPr>
          <w:rFonts w:asciiTheme="minorHAnsi" w:hAnsiTheme="minorHAnsi" w:cs="Arial"/>
          <w:bCs/>
          <w:snapToGrid w:val="0"/>
        </w:rPr>
        <w:t xml:space="preserve"> associated with MS (fatigue, pain and loss of mobility)</w:t>
      </w:r>
      <w:r w:rsidR="00E13975">
        <w:rPr>
          <w:rFonts w:asciiTheme="minorHAnsi" w:hAnsiTheme="minorHAnsi" w:cs="Arial"/>
          <w:bCs/>
          <w:snapToGrid w:val="0"/>
        </w:rPr>
        <w:t>.</w:t>
      </w:r>
    </w:p>
    <w:p w:rsidR="003B3FD2" w:rsidRPr="007D7306" w:rsidRDefault="003B3FD2" w:rsidP="003B3FD2">
      <w:pPr>
        <w:widowControl w:val="0"/>
        <w:numPr>
          <w:ilvl w:val="1"/>
          <w:numId w:val="5"/>
        </w:numPr>
        <w:spacing w:after="120"/>
        <w:jc w:val="both"/>
        <w:rPr>
          <w:rFonts w:asciiTheme="minorHAnsi" w:hAnsiTheme="minorHAnsi" w:cs="Arial"/>
          <w:bCs/>
          <w:snapToGrid w:val="0"/>
        </w:rPr>
      </w:pPr>
      <w:r w:rsidRPr="007D7306">
        <w:rPr>
          <w:rFonts w:asciiTheme="minorHAnsi" w:hAnsiTheme="minorHAnsi" w:cs="Arial"/>
          <w:bCs/>
          <w:snapToGrid w:val="0"/>
        </w:rPr>
        <w:t>The PBAC noted</w:t>
      </w:r>
      <w:r w:rsidR="00D73B68" w:rsidRPr="007D7306">
        <w:rPr>
          <w:rFonts w:asciiTheme="minorHAnsi" w:hAnsiTheme="minorHAnsi" w:cs="Arial"/>
          <w:bCs/>
          <w:snapToGrid w:val="0"/>
        </w:rPr>
        <w:t xml:space="preserve"> input received from MS Research Australia, Carers Australia and</w:t>
      </w:r>
      <w:r w:rsidR="007E4228" w:rsidRPr="007D7306">
        <w:rPr>
          <w:rFonts w:asciiTheme="minorHAnsi" w:hAnsiTheme="minorHAnsi" w:cs="Arial"/>
          <w:bCs/>
          <w:snapToGrid w:val="0"/>
        </w:rPr>
        <w:t xml:space="preserve"> the</w:t>
      </w:r>
      <w:r w:rsidR="00D73B68" w:rsidRPr="007D7306">
        <w:rPr>
          <w:rFonts w:asciiTheme="minorHAnsi" w:hAnsiTheme="minorHAnsi" w:cs="Arial"/>
          <w:bCs/>
          <w:snapToGrid w:val="0"/>
        </w:rPr>
        <w:t xml:space="preserve"> MS Neurology </w:t>
      </w:r>
      <w:r w:rsidR="007E4228" w:rsidRPr="007D7306">
        <w:rPr>
          <w:rFonts w:asciiTheme="minorHAnsi" w:hAnsiTheme="minorHAnsi" w:cs="Arial"/>
          <w:bCs/>
          <w:snapToGrid w:val="0"/>
        </w:rPr>
        <w:t>subspecialty group of the Australian and New Zealand Association of Neurologists</w:t>
      </w:r>
      <w:r w:rsidR="00D73B68" w:rsidRPr="007D7306">
        <w:rPr>
          <w:rFonts w:asciiTheme="minorHAnsi" w:hAnsiTheme="minorHAnsi" w:cs="Arial"/>
          <w:bCs/>
          <w:snapToGrid w:val="0"/>
        </w:rPr>
        <w:t xml:space="preserve"> </w:t>
      </w:r>
      <w:r w:rsidR="007E4228" w:rsidRPr="007D7306">
        <w:rPr>
          <w:rFonts w:asciiTheme="minorHAnsi" w:hAnsiTheme="minorHAnsi" w:cs="Arial"/>
          <w:bCs/>
          <w:snapToGrid w:val="0"/>
        </w:rPr>
        <w:t>(</w:t>
      </w:r>
      <w:r w:rsidR="00D73B68" w:rsidRPr="007D7306">
        <w:rPr>
          <w:rFonts w:asciiTheme="minorHAnsi" w:hAnsiTheme="minorHAnsi" w:cs="Arial"/>
          <w:bCs/>
          <w:snapToGrid w:val="0"/>
        </w:rPr>
        <w:t>ANZAN</w:t>
      </w:r>
      <w:r w:rsidR="007E4228" w:rsidRPr="007D7306">
        <w:rPr>
          <w:rFonts w:asciiTheme="minorHAnsi" w:hAnsiTheme="minorHAnsi" w:cs="Arial"/>
          <w:bCs/>
          <w:snapToGrid w:val="0"/>
        </w:rPr>
        <w:t>)</w:t>
      </w:r>
      <w:r w:rsidR="00D951CC" w:rsidRPr="007D7306">
        <w:rPr>
          <w:rFonts w:asciiTheme="minorHAnsi" w:hAnsiTheme="minorHAnsi" w:cs="Arial"/>
          <w:bCs/>
          <w:snapToGrid w:val="0"/>
        </w:rPr>
        <w:t xml:space="preserve"> in support of subsidising cladribine through the PBS. The organisations described the impact of MS on the patient’s lives and their </w:t>
      </w:r>
      <w:r w:rsidR="007A3AC9" w:rsidRPr="007D7306">
        <w:rPr>
          <w:rFonts w:asciiTheme="minorHAnsi" w:hAnsiTheme="minorHAnsi" w:cs="Arial"/>
          <w:bCs/>
          <w:snapToGrid w:val="0"/>
        </w:rPr>
        <w:t>families</w:t>
      </w:r>
      <w:r w:rsidR="005718B7" w:rsidRPr="007D7306">
        <w:rPr>
          <w:rFonts w:asciiTheme="minorHAnsi" w:hAnsiTheme="minorHAnsi" w:cs="Arial"/>
          <w:bCs/>
          <w:snapToGrid w:val="0"/>
        </w:rPr>
        <w:t>. MS Research Australia and the MS Neurology subspecialty group</w:t>
      </w:r>
      <w:r w:rsidR="007A3AC9" w:rsidRPr="007D7306">
        <w:rPr>
          <w:rFonts w:asciiTheme="minorHAnsi" w:hAnsiTheme="minorHAnsi" w:cs="Arial"/>
          <w:bCs/>
          <w:snapToGrid w:val="0"/>
        </w:rPr>
        <w:t xml:space="preserve"> emphasised the significance of a new effective treatment option, with </w:t>
      </w:r>
      <w:r w:rsidR="00AB6002" w:rsidRPr="007D7306">
        <w:rPr>
          <w:rFonts w:asciiTheme="minorHAnsi" w:hAnsiTheme="minorHAnsi" w:cs="Arial"/>
          <w:bCs/>
          <w:snapToGrid w:val="0"/>
        </w:rPr>
        <w:t>the</w:t>
      </w:r>
      <w:r w:rsidR="007A3AC9" w:rsidRPr="007D7306">
        <w:rPr>
          <w:rFonts w:asciiTheme="minorHAnsi" w:hAnsiTheme="minorHAnsi" w:cs="Arial"/>
          <w:bCs/>
          <w:snapToGrid w:val="0"/>
        </w:rPr>
        <w:t xml:space="preserve"> benefit of oral administratio</w:t>
      </w:r>
      <w:r w:rsidR="00E13975">
        <w:rPr>
          <w:rFonts w:asciiTheme="minorHAnsi" w:hAnsiTheme="minorHAnsi" w:cs="Arial"/>
          <w:bCs/>
          <w:snapToGrid w:val="0"/>
        </w:rPr>
        <w:t>n and a short treatment course.</w:t>
      </w:r>
    </w:p>
    <w:p w:rsidR="00D84934" w:rsidRPr="007D7306" w:rsidRDefault="00D84934" w:rsidP="00937958">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Clinical trials</w:t>
      </w:r>
    </w:p>
    <w:p w:rsidR="00A970E3" w:rsidRPr="007D7306" w:rsidRDefault="00A970E3" w:rsidP="00A970E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As a minor submission, no new clinical trials were presented in the resubmission.</w:t>
      </w:r>
    </w:p>
    <w:p w:rsidR="00C30AAF" w:rsidRPr="007D7306" w:rsidRDefault="00C30AAF" w:rsidP="00C30AAF">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 xml:space="preserve">Clinical claim </w:t>
      </w:r>
    </w:p>
    <w:p w:rsidR="009807F8" w:rsidRPr="007D7306" w:rsidRDefault="009807F8" w:rsidP="009807F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minor resubmission acknowledged the uncertainties associated with the naive indirect comparison of efficacy endpoints in the CLARITY and fingolimod extension studies, which formed the basis of the claim of non-inferior efficacy of cladribine tablets versus fingolimod over two and four years in the November 2017 and March 2018 submissions. However, the minor resubmission noted that formal indirect comparisons of cladribine tablets and fingolimod </w:t>
      </w:r>
      <w:r w:rsidR="000E4E95" w:rsidRPr="007D7306">
        <w:rPr>
          <w:rFonts w:asciiTheme="minorHAnsi" w:eastAsiaTheme="minorHAnsi" w:hAnsiTheme="minorHAnsi" w:cstheme="minorBidi"/>
          <w:snapToGrid/>
          <w:sz w:val="24"/>
          <w:szCs w:val="22"/>
        </w:rPr>
        <w:t>over</w:t>
      </w:r>
      <w:r w:rsidRPr="007D7306">
        <w:rPr>
          <w:rFonts w:asciiTheme="minorHAnsi" w:eastAsiaTheme="minorHAnsi" w:hAnsiTheme="minorHAnsi" w:cstheme="minorBidi"/>
          <w:snapToGrid/>
          <w:sz w:val="24"/>
          <w:szCs w:val="22"/>
        </w:rPr>
        <w:t xml:space="preserve"> two years using placebo as a common reference, have also been presented in previous submissions. The minor resubmission presented results of all indirect comparisons previously presented in the November 2017 major resubmission (see below).</w:t>
      </w:r>
      <w:r w:rsidR="00C73C5F" w:rsidRPr="007D7306">
        <w:rPr>
          <w:rFonts w:asciiTheme="minorHAnsi" w:eastAsiaTheme="minorHAnsi" w:hAnsiTheme="minorHAnsi" w:cstheme="minorBidi"/>
          <w:snapToGrid/>
          <w:sz w:val="24"/>
          <w:szCs w:val="22"/>
        </w:rPr>
        <w:t xml:space="preserve"> The Pre-PBAC response  reiterated that indirect comparison of cladribine and fingolimod versus placebo demonstrated no indication that cladribine reduce relapse rates more effectively than </w:t>
      </w:r>
      <w:r w:rsidR="00A82F0C" w:rsidRPr="007D7306">
        <w:rPr>
          <w:rFonts w:asciiTheme="minorHAnsi" w:eastAsiaTheme="minorHAnsi" w:hAnsiTheme="minorHAnsi" w:cstheme="minorBidi"/>
          <w:snapToGrid/>
          <w:sz w:val="24"/>
          <w:szCs w:val="22"/>
        </w:rPr>
        <w:t>fingolimod</w:t>
      </w:r>
      <w:r w:rsidR="00C73C5F" w:rsidRPr="007D7306">
        <w:rPr>
          <w:rFonts w:asciiTheme="minorHAnsi" w:eastAsiaTheme="minorHAnsi" w:hAnsiTheme="minorHAnsi" w:cstheme="minorBidi"/>
          <w:snapToGrid/>
          <w:sz w:val="24"/>
          <w:szCs w:val="22"/>
        </w:rPr>
        <w:t xml:space="preserve">, thus the conclusion drawn that is reasonable to </w:t>
      </w:r>
      <w:r w:rsidR="00C73C5F" w:rsidRPr="004820EA">
        <w:rPr>
          <w:rFonts w:asciiTheme="minorHAnsi" w:eastAsiaTheme="minorHAnsi" w:hAnsiTheme="minorHAnsi" w:cstheme="minorBidi"/>
          <w:snapToGrid/>
          <w:sz w:val="24"/>
          <w:szCs w:val="22"/>
        </w:rPr>
        <w:t>assume two year treatment of cladribine i</w:t>
      </w:r>
      <w:r w:rsidR="00933EF6" w:rsidRPr="004820EA">
        <w:rPr>
          <w:rFonts w:asciiTheme="minorHAnsi" w:eastAsiaTheme="minorHAnsi" w:hAnsiTheme="minorHAnsi" w:cstheme="minorBidi"/>
          <w:snapToGrid/>
          <w:sz w:val="24"/>
          <w:szCs w:val="22"/>
        </w:rPr>
        <w:t>s non inferior to</w:t>
      </w:r>
      <w:r w:rsidR="00C73C5F" w:rsidRPr="004820EA">
        <w:rPr>
          <w:rFonts w:asciiTheme="minorHAnsi" w:eastAsiaTheme="minorHAnsi" w:hAnsiTheme="minorHAnsi" w:cstheme="minorBidi"/>
          <w:snapToGrid/>
          <w:sz w:val="24"/>
          <w:szCs w:val="22"/>
        </w:rPr>
        <w:t xml:space="preserve"> two year treatment with fingolimod. </w:t>
      </w:r>
    </w:p>
    <w:p w:rsidR="00F04F83" w:rsidRPr="007D7306" w:rsidRDefault="00F04F83" w:rsidP="009807F8">
      <w:pPr>
        <w:rPr>
          <w:rFonts w:eastAsiaTheme="minorHAnsi"/>
          <w:lang w:eastAsia="en-US"/>
        </w:rPr>
      </w:pPr>
      <w:r w:rsidRPr="007D7306">
        <w:rPr>
          <w:rFonts w:eastAsiaTheme="minorHAnsi"/>
        </w:rPr>
        <w:br w:type="page"/>
      </w:r>
    </w:p>
    <w:p w:rsidR="00E361DE" w:rsidRPr="007D7306" w:rsidRDefault="00E361DE" w:rsidP="00F04F83">
      <w:pPr>
        <w:pStyle w:val="ListParagraph"/>
        <w:widowControl/>
        <w:spacing w:before="120" w:after="160"/>
        <w:contextualSpacing w:val="0"/>
        <w:rPr>
          <w:rFonts w:asciiTheme="minorHAnsi" w:eastAsiaTheme="minorHAnsi" w:hAnsiTheme="minorHAnsi" w:cstheme="minorBidi"/>
          <w:snapToGrid/>
          <w:sz w:val="24"/>
          <w:szCs w:val="22"/>
        </w:rPr>
      </w:pPr>
    </w:p>
    <w:p w:rsidR="005A49DC" w:rsidRPr="007D7306" w:rsidRDefault="005A49DC" w:rsidP="00142C44">
      <w:pPr>
        <w:pStyle w:val="TableHeading0"/>
      </w:pPr>
      <w:r w:rsidRPr="007D7306">
        <w:t xml:space="preserve">Table 1. Results of the indirect comparison of cladribine versus fingolimod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7"/>
        <w:gridCol w:w="1430"/>
        <w:gridCol w:w="1428"/>
        <w:gridCol w:w="1904"/>
        <w:gridCol w:w="2043"/>
      </w:tblGrid>
      <w:tr w:rsidR="005A49DC" w:rsidRPr="007D7306" w:rsidTr="00E065BC">
        <w:trPr>
          <w:tblHeader/>
        </w:trPr>
        <w:tc>
          <w:tcPr>
            <w:tcW w:w="1254"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rPr>
                <w:rFonts w:cstheme="minorHAnsi"/>
                <w:b/>
                <w:szCs w:val="20"/>
              </w:rPr>
            </w:pPr>
            <w:r w:rsidRPr="006E57FB">
              <w:rPr>
                <w:rFonts w:cstheme="minorHAnsi"/>
                <w:b/>
                <w:szCs w:val="20"/>
              </w:rPr>
              <w:t>Endpoint</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color w:val="4BACC6" w:themeColor="accent5"/>
                <w:szCs w:val="20"/>
              </w:rPr>
            </w:pPr>
            <w:r w:rsidRPr="006E57FB">
              <w:rPr>
                <w:rFonts w:cstheme="minorHAnsi"/>
                <w:b/>
                <w:iCs/>
                <w:szCs w:val="20"/>
              </w:rPr>
              <w:t>Active treatment</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Placebo</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Relative risk (95% CI)</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Risk difference (95% CI)</w:t>
            </w:r>
          </w:p>
        </w:tc>
      </w:tr>
      <w:tr w:rsidR="005A49DC" w:rsidRPr="007D7306" w:rsidTr="00906E7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49DC" w:rsidRPr="006E57FB" w:rsidRDefault="005A49DC" w:rsidP="00906E7D">
            <w:pPr>
              <w:pStyle w:val="TableText0"/>
              <w:keepNext w:val="0"/>
              <w:spacing w:before="0" w:after="0" w:line="276" w:lineRule="auto"/>
              <w:rPr>
                <w:rFonts w:eastAsia="Times New Roman" w:cstheme="minorHAnsi"/>
                <w:b/>
                <w:szCs w:val="20"/>
              </w:rPr>
            </w:pPr>
            <w:r w:rsidRPr="006E57FB">
              <w:rPr>
                <w:rFonts w:eastAsia="Times New Roman" w:cstheme="minorHAnsi"/>
                <w:b/>
                <w:szCs w:val="20"/>
              </w:rPr>
              <w:t>Annualised relapse rate (95% CI)</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eastAsia="Times New Roman" w:cstheme="minorHAnsi"/>
                <w:szCs w:val="20"/>
              </w:rPr>
            </w:pPr>
            <w:r w:rsidRPr="006E57FB">
              <w:rPr>
                <w:rFonts w:eastAsia="Times New Roman" w:cstheme="minorHAnsi"/>
                <w:szCs w:val="20"/>
              </w:rPr>
              <w:t>CLARITY</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cstheme="minorHAnsi"/>
                <w:iCs/>
                <w:szCs w:val="20"/>
              </w:rPr>
              <w:t>0.14 (0.12, 0.17)</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cstheme="minorHAnsi"/>
                <w:iCs/>
                <w:szCs w:val="20"/>
              </w:rPr>
              <w:t>0.33 (0.29, 0.38)</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b/>
                <w:szCs w:val="20"/>
              </w:rPr>
            </w:pPr>
            <w:r w:rsidRPr="006E57FB">
              <w:rPr>
                <w:rFonts w:eastAsia="Times New Roman" w:cstheme="minorHAnsi"/>
                <w:b/>
                <w:szCs w:val="20"/>
              </w:rPr>
              <w:t>0.43 (0.34, 0.54)</w:t>
            </w:r>
          </w:p>
        </w:tc>
        <w:tc>
          <w:tcPr>
            <w:tcW w:w="1125" w:type="pct"/>
            <w:vMerge w:val="restar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eastAsia="Times New Roman" w:cstheme="minorHAnsi"/>
                <w:szCs w:val="20"/>
              </w:rPr>
              <w:t>NR</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eastAsia="Times New Roman" w:cstheme="minorHAnsi"/>
                <w:szCs w:val="20"/>
              </w:rPr>
            </w:pPr>
            <w:r w:rsidRPr="006E57FB">
              <w:rPr>
                <w:rFonts w:cstheme="minorHAnsi"/>
                <w:szCs w:val="20"/>
              </w:rPr>
              <w:t>FREEDOMS</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cstheme="minorHAnsi"/>
                <w:iCs/>
                <w:szCs w:val="20"/>
              </w:rPr>
              <w:t>0.18 (0.15, 0.22)</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eastAsia="Times New Roman" w:cstheme="minorHAnsi"/>
                <w:szCs w:val="20"/>
              </w:rPr>
              <w:t>0.40 (0.34, 0.47)</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b/>
                <w:szCs w:val="20"/>
              </w:rPr>
            </w:pPr>
            <w:r w:rsidRPr="006E57FB">
              <w:rPr>
                <w:rFonts w:eastAsia="Times New Roman" w:cstheme="minorHAnsi"/>
                <w:b/>
                <w:szCs w:val="20"/>
              </w:rPr>
              <w:t>0.46 (0.37, 0.57)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spacing w:line="276" w:lineRule="auto"/>
              <w:rPr>
                <w:rFonts w:ascii="Arial Narrow" w:hAnsi="Arial Narrow" w:cstheme="minorHAnsi"/>
                <w:sz w:val="20"/>
                <w:szCs w:val="20"/>
              </w:rPr>
            </w:pP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eastAsia="Times New Roman" w:cstheme="minorHAnsi"/>
                <w:szCs w:val="20"/>
              </w:rPr>
            </w:pPr>
            <w:r w:rsidRPr="006E57FB">
              <w:rPr>
                <w:rFonts w:cstheme="minorHAnsi"/>
                <w:szCs w:val="20"/>
              </w:rPr>
              <w:t>FREEDOMS II</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cstheme="minorHAnsi"/>
                <w:szCs w:val="20"/>
              </w:rPr>
              <w:t>0.21 (0.17, 0.25)</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szCs w:val="20"/>
              </w:rPr>
            </w:pPr>
            <w:r w:rsidRPr="006E57FB">
              <w:rPr>
                <w:rFonts w:cstheme="minorHAnsi"/>
                <w:szCs w:val="20"/>
              </w:rPr>
              <w:t>0.40 (0.34, 0.48)</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eastAsia="Times New Roman" w:cstheme="minorHAnsi"/>
                <w:b/>
                <w:szCs w:val="20"/>
              </w:rPr>
            </w:pPr>
            <w:r w:rsidRPr="006E57FB">
              <w:rPr>
                <w:rFonts w:eastAsia="Times New Roman" w:cstheme="minorHAnsi"/>
                <w:b/>
                <w:szCs w:val="20"/>
              </w:rPr>
              <w:t>0.52 (0.40, 0.66)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spacing w:line="276" w:lineRule="auto"/>
              <w:rPr>
                <w:rFonts w:ascii="Arial Narrow" w:hAnsi="Arial Narrow" w:cstheme="minorHAnsi"/>
                <w:sz w:val="20"/>
                <w:szCs w:val="20"/>
              </w:rPr>
            </w:pP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right"/>
              <w:rPr>
                <w:rFonts w:cstheme="minorHAnsi"/>
                <w:szCs w:val="20"/>
              </w:rPr>
            </w:pPr>
            <w:r w:rsidRPr="006E57FB">
              <w:rPr>
                <w:rFonts w:cstheme="minorHAnsi"/>
                <w:szCs w:val="20"/>
              </w:rPr>
              <w:t>Fingolimod pooled</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0.48 (0.41, 0.57)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spacing w:line="276" w:lineRule="auto"/>
              <w:rPr>
                <w:rFonts w:ascii="Arial Narrow" w:hAnsi="Arial Narrow" w:cstheme="minorHAnsi"/>
                <w:sz w:val="20"/>
                <w:szCs w:val="20"/>
              </w:rPr>
            </w:pPr>
          </w:p>
        </w:tc>
      </w:tr>
      <w:tr w:rsidR="00E065B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E065BC" w:rsidRPr="006E57FB" w:rsidRDefault="00E065BC" w:rsidP="00906E7D">
            <w:pPr>
              <w:pStyle w:val="TableText0"/>
              <w:keepNext w:val="0"/>
              <w:spacing w:before="0" w:after="0" w:line="276" w:lineRule="auto"/>
              <w:rPr>
                <w:rFonts w:cstheme="minorHAnsi"/>
                <w:szCs w:val="20"/>
              </w:rPr>
            </w:pPr>
            <w:r w:rsidRPr="006E57FB">
              <w:rPr>
                <w:rFonts w:cstheme="minorHAnsi"/>
                <w:szCs w:val="20"/>
              </w:rPr>
              <w:t>Indirect comparison CLARITY vs FREEDOMS</w:t>
            </w:r>
          </w:p>
        </w:tc>
        <w:tc>
          <w:tcPr>
            <w:tcW w:w="1048" w:type="pct"/>
            <w:tcBorders>
              <w:top w:val="single" w:sz="4" w:space="0" w:color="auto"/>
              <w:left w:val="single" w:sz="4" w:space="0" w:color="auto"/>
              <w:bottom w:val="single" w:sz="4" w:space="0" w:color="auto"/>
              <w:right w:val="single" w:sz="4" w:space="0" w:color="auto"/>
            </w:tcBorders>
            <w:vAlign w:val="center"/>
            <w:hideMark/>
          </w:tcPr>
          <w:p w:rsidR="00E065BC" w:rsidRPr="00E065BC" w:rsidRDefault="007439F8" w:rsidP="001060A9">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E065BC" w:rsidRPr="00E065BC">
              <w:rPr>
                <w:rFonts w:cstheme="minorHAnsi"/>
                <w:szCs w:val="20"/>
              </w:rPr>
              <w:t xml:space="preserve"> (</w:t>
            </w:r>
            <w:r>
              <w:rPr>
                <w:rFonts w:cstheme="minorHAnsi"/>
                <w:noProof/>
                <w:color w:val="000000"/>
                <w:szCs w:val="20"/>
                <w:highlight w:val="black"/>
              </w:rPr>
              <w:t>'''''''''''</w:t>
            </w:r>
            <w:r w:rsidR="00E065BC" w:rsidRPr="00E065BC">
              <w:rPr>
                <w:rFonts w:cstheme="minorHAnsi"/>
                <w:szCs w:val="20"/>
              </w:rPr>
              <w:t xml:space="preserve">, </w:t>
            </w:r>
            <w:r>
              <w:rPr>
                <w:rFonts w:cstheme="minorHAnsi"/>
                <w:noProof/>
                <w:color w:val="000000"/>
                <w:szCs w:val="20"/>
                <w:highlight w:val="black"/>
              </w:rPr>
              <w:t>''''''''''</w:t>
            </w:r>
            <w:r w:rsidR="00E065BC" w:rsidRPr="00E065BC">
              <w:rPr>
                <w:rFonts w:cstheme="minorHAnsi"/>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65BC" w:rsidRPr="006E57FB" w:rsidRDefault="00E065BC" w:rsidP="00906E7D">
            <w:pPr>
              <w:spacing w:line="276" w:lineRule="auto"/>
              <w:rPr>
                <w:rFonts w:ascii="Arial Narrow" w:hAnsi="Arial Narrow" w:cstheme="minorHAnsi"/>
                <w:sz w:val="20"/>
                <w:szCs w:val="20"/>
              </w:rPr>
            </w:pPr>
          </w:p>
        </w:tc>
      </w:tr>
      <w:tr w:rsidR="00E065B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E065BC" w:rsidRPr="006E57FB" w:rsidRDefault="00E065BC" w:rsidP="00906E7D">
            <w:pPr>
              <w:pStyle w:val="TableText0"/>
              <w:keepNext w:val="0"/>
              <w:spacing w:before="0" w:after="0" w:line="276" w:lineRule="auto"/>
              <w:rPr>
                <w:rFonts w:cstheme="minorHAnsi"/>
                <w:szCs w:val="20"/>
              </w:rPr>
            </w:pPr>
            <w:r w:rsidRPr="006E57FB">
              <w:rPr>
                <w:rFonts w:cstheme="minorHAnsi"/>
                <w:szCs w:val="20"/>
              </w:rPr>
              <w:t>Indirect comparison CLARITY vs FREEDOMS II</w:t>
            </w:r>
          </w:p>
        </w:tc>
        <w:tc>
          <w:tcPr>
            <w:tcW w:w="1048" w:type="pct"/>
            <w:tcBorders>
              <w:top w:val="single" w:sz="4" w:space="0" w:color="auto"/>
              <w:left w:val="single" w:sz="4" w:space="0" w:color="auto"/>
              <w:bottom w:val="single" w:sz="4" w:space="0" w:color="auto"/>
              <w:right w:val="single" w:sz="4" w:space="0" w:color="auto"/>
            </w:tcBorders>
            <w:vAlign w:val="center"/>
            <w:hideMark/>
          </w:tcPr>
          <w:p w:rsidR="00E065BC" w:rsidRPr="00E065BC" w:rsidRDefault="007439F8" w:rsidP="001060A9">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E065BC" w:rsidRPr="00E065BC">
              <w:rPr>
                <w:rFonts w:cstheme="minorHAnsi"/>
                <w:szCs w:val="20"/>
              </w:rPr>
              <w:t xml:space="preserve"> (</w:t>
            </w:r>
            <w:r>
              <w:rPr>
                <w:rFonts w:cstheme="minorHAnsi"/>
                <w:noProof/>
                <w:color w:val="000000"/>
                <w:szCs w:val="20"/>
                <w:highlight w:val="black"/>
              </w:rPr>
              <w:t>'''''''''''</w:t>
            </w:r>
            <w:r w:rsidR="00E065BC" w:rsidRPr="00E065BC">
              <w:rPr>
                <w:rFonts w:cstheme="minorHAnsi"/>
                <w:szCs w:val="20"/>
              </w:rPr>
              <w:t xml:space="preserve">, </w:t>
            </w:r>
            <w:r>
              <w:rPr>
                <w:rFonts w:cstheme="minorHAnsi"/>
                <w:noProof/>
                <w:color w:val="000000"/>
                <w:szCs w:val="20"/>
                <w:highlight w:val="black"/>
              </w:rPr>
              <w:t>''''''''''</w:t>
            </w:r>
            <w:r w:rsidR="00E065BC" w:rsidRPr="00E065BC">
              <w:rPr>
                <w:rFonts w:cstheme="minorHAnsi"/>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65BC" w:rsidRPr="006E57FB" w:rsidRDefault="00E065BC" w:rsidP="00906E7D">
            <w:pPr>
              <w:spacing w:line="276" w:lineRule="auto"/>
              <w:rPr>
                <w:rFonts w:ascii="Arial Narrow" w:hAnsi="Arial Narrow" w:cstheme="minorHAnsi"/>
                <w:sz w:val="20"/>
                <w:szCs w:val="20"/>
              </w:rPr>
            </w:pPr>
          </w:p>
        </w:tc>
      </w:tr>
      <w:tr w:rsidR="00E065B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E065BC" w:rsidRPr="006E57FB" w:rsidRDefault="00E065BC" w:rsidP="00906E7D">
            <w:pPr>
              <w:pStyle w:val="TableText0"/>
              <w:keepNext w:val="0"/>
              <w:spacing w:before="0" w:after="0" w:line="276" w:lineRule="auto"/>
              <w:rPr>
                <w:rFonts w:cstheme="minorHAnsi"/>
                <w:szCs w:val="20"/>
              </w:rPr>
            </w:pPr>
            <w:r w:rsidRPr="006E57FB">
              <w:rPr>
                <w:rFonts w:cstheme="minorHAnsi"/>
                <w:szCs w:val="20"/>
              </w:rPr>
              <w:t>Indirect comparison CLARITY vs pooled fingolimod trials</w:t>
            </w:r>
          </w:p>
        </w:tc>
        <w:tc>
          <w:tcPr>
            <w:tcW w:w="1048" w:type="pct"/>
            <w:tcBorders>
              <w:top w:val="single" w:sz="4" w:space="0" w:color="auto"/>
              <w:left w:val="single" w:sz="4" w:space="0" w:color="auto"/>
              <w:bottom w:val="single" w:sz="4" w:space="0" w:color="auto"/>
              <w:right w:val="single" w:sz="4" w:space="0" w:color="auto"/>
            </w:tcBorders>
            <w:vAlign w:val="center"/>
            <w:hideMark/>
          </w:tcPr>
          <w:p w:rsidR="00E065BC" w:rsidRPr="00E065BC" w:rsidRDefault="007439F8" w:rsidP="001060A9">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E065BC" w:rsidRPr="00E065BC">
              <w:rPr>
                <w:rFonts w:cstheme="minorHAnsi"/>
                <w:szCs w:val="20"/>
              </w:rPr>
              <w:t xml:space="preserve"> (</w:t>
            </w:r>
            <w:r>
              <w:rPr>
                <w:rFonts w:cstheme="minorHAnsi"/>
                <w:noProof/>
                <w:color w:val="000000"/>
                <w:szCs w:val="20"/>
                <w:highlight w:val="black"/>
              </w:rPr>
              <w:t>''''''''''</w:t>
            </w:r>
            <w:r w:rsidR="00E065BC" w:rsidRPr="00E065BC">
              <w:rPr>
                <w:rFonts w:cstheme="minorHAnsi"/>
                <w:szCs w:val="20"/>
              </w:rPr>
              <w:t>,</w:t>
            </w:r>
            <w:r>
              <w:rPr>
                <w:rFonts w:cstheme="minorHAnsi"/>
                <w:noProof/>
                <w:color w:val="000000"/>
                <w:szCs w:val="20"/>
                <w:highlight w:val="black"/>
              </w:rPr>
              <w:t>''''''''''</w:t>
            </w:r>
            <w:r w:rsidR="00E065BC" w:rsidRPr="00E065BC">
              <w:rPr>
                <w:rFonts w:cstheme="minorHAnsi"/>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65BC" w:rsidRPr="006E57FB" w:rsidRDefault="00E065BC" w:rsidP="00906E7D">
            <w:pPr>
              <w:spacing w:line="276" w:lineRule="auto"/>
              <w:rPr>
                <w:rFonts w:ascii="Arial Narrow" w:hAnsi="Arial Narrow" w:cstheme="minorHAnsi"/>
                <w:sz w:val="20"/>
                <w:szCs w:val="20"/>
              </w:rPr>
            </w:pPr>
          </w:p>
        </w:tc>
      </w:tr>
      <w:tr w:rsidR="005A49DC" w:rsidRPr="007D7306" w:rsidTr="00906E7D">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rPr>
                <w:rFonts w:eastAsia="Times New Roman" w:cstheme="minorHAnsi"/>
                <w:b/>
                <w:szCs w:val="20"/>
              </w:rPr>
            </w:pPr>
            <w:r w:rsidRPr="006E57FB">
              <w:rPr>
                <w:rFonts w:cstheme="minorHAnsi"/>
                <w:b/>
                <w:szCs w:val="20"/>
              </w:rPr>
              <w:t>Proportion of patients remaining relapse free</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eastAsia="Times New Roman" w:cstheme="minorHAnsi"/>
                <w:szCs w:val="20"/>
              </w:rPr>
              <w:t>CLARITY,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345/433 (79.7%)</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226/437 (60.9%)</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1.31 (1.2, 1.43)</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18.8 (12.9, 24.7)</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229/425 (70.4%)</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191/418 (45.7%)</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1.54 (1.36,1.74)</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24.7 (18.2, 31.1)</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II,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256/358 (71.5%)</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187/355 (52.7%)</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1.36 (1.21, 1.53)</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18.8 (11.8, 25.8)</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right"/>
              <w:rPr>
                <w:rFonts w:cstheme="minorHAnsi"/>
                <w:szCs w:val="20"/>
              </w:rPr>
            </w:pPr>
            <w:r w:rsidRPr="006E57FB">
              <w:rPr>
                <w:rFonts w:cstheme="minorHAnsi"/>
                <w:szCs w:val="20"/>
              </w:rPr>
              <w:t>Fingolimod pooled</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1.45 (1.28, 1.64)</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21.9 (16.2, 27.6)</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FREEDOMS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b/>
                <w:szCs w:val="20"/>
              </w:rPr>
            </w:pPr>
            <w:r>
              <w:rPr>
                <w:rFonts w:cstheme="minorHAnsi"/>
                <w:b/>
                <w:noProof/>
                <w:color w:val="000000"/>
                <w:szCs w:val="20"/>
                <w:highlight w:val="black"/>
              </w:rPr>
              <w:t xml:space="preserve">''''''''' </w:t>
            </w:r>
            <w:r w:rsidR="005A49DC" w:rsidRPr="00E065BC">
              <w:rPr>
                <w:rFonts w:cstheme="minorHAnsi"/>
                <w:b/>
                <w:szCs w:val="20"/>
              </w:rPr>
              <w:t>(</w:t>
            </w:r>
            <w:r>
              <w:rPr>
                <w:rFonts w:cstheme="minorHAnsi"/>
                <w:b/>
                <w:noProof/>
                <w:color w:val="000000"/>
                <w:szCs w:val="20"/>
                <w:highlight w:val="black"/>
              </w:rPr>
              <w:t>''''''''</w:t>
            </w:r>
            <w:r w:rsidR="005A49DC" w:rsidRPr="00E065BC">
              <w:rPr>
                <w:rFonts w:cstheme="minorHAnsi"/>
                <w:b/>
                <w:szCs w:val="20"/>
              </w:rPr>
              <w:t xml:space="preserve">, </w:t>
            </w:r>
            <w:r>
              <w:rPr>
                <w:rFonts w:cstheme="minorHAnsi"/>
                <w:b/>
                <w:noProof/>
                <w:color w:val="000000"/>
                <w:szCs w:val="20"/>
                <w:highlight w:val="black"/>
              </w:rPr>
              <w:t>''''''''''</w:t>
            </w:r>
            <w:r w:rsidR="005A49DC" w:rsidRPr="00E065BC">
              <w:rPr>
                <w:rFonts w:cstheme="minorHAnsi"/>
                <w:b/>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sidR="005A49DC" w:rsidRPr="00E42693">
              <w:rPr>
                <w:rFonts w:cstheme="minorHAnsi"/>
                <w:szCs w:val="20"/>
              </w:rPr>
              <w:t>(</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FREEDOMS II</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pooled fingolimod trials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5A49DC" w:rsidP="00906E7D">
            <w:pPr>
              <w:pStyle w:val="TableText0"/>
              <w:keepNext w:val="0"/>
              <w:spacing w:before="0" w:after="0" w:line="276" w:lineRule="auto"/>
              <w:jc w:val="center"/>
              <w:rPr>
                <w:rFonts w:cstheme="minorHAnsi"/>
                <w:szCs w:val="20"/>
              </w:rPr>
            </w:pPr>
            <w:r w:rsidRPr="00E065BC">
              <w:rPr>
                <w:rFonts w:cstheme="minorHAnsi"/>
                <w:szCs w:val="20"/>
              </w:rPr>
              <w:t>-</w:t>
            </w:r>
            <w:r w:rsidR="007439F8">
              <w:rPr>
                <w:rFonts w:cstheme="minorHAnsi"/>
                <w:noProof/>
                <w:color w:val="000000"/>
                <w:szCs w:val="20"/>
                <w:highlight w:val="black"/>
              </w:rPr>
              <w:t>'''''''''</w:t>
            </w:r>
            <w:r w:rsidRPr="00E065BC">
              <w:rPr>
                <w:rFonts w:cstheme="minorHAnsi"/>
                <w:szCs w:val="20"/>
              </w:rPr>
              <w:t xml:space="preserve"> (-</w:t>
            </w:r>
            <w:r w:rsidR="007439F8">
              <w:rPr>
                <w:rFonts w:cstheme="minorHAnsi"/>
                <w:noProof/>
                <w:color w:val="000000"/>
                <w:szCs w:val="20"/>
                <w:highlight w:val="black"/>
              </w:rPr>
              <w:t>'''''''''''</w:t>
            </w:r>
            <w:r w:rsidRPr="00E065BC">
              <w:rPr>
                <w:rFonts w:cstheme="minorHAnsi"/>
                <w:szCs w:val="20"/>
              </w:rPr>
              <w:t xml:space="preserve">, </w:t>
            </w:r>
            <w:r w:rsidR="007439F8">
              <w:rPr>
                <w:rFonts w:cstheme="minorHAnsi"/>
                <w:noProof/>
                <w:color w:val="000000"/>
                <w:szCs w:val="20"/>
                <w:highlight w:val="black"/>
              </w:rPr>
              <w:t>''''''''</w:t>
            </w:r>
            <w:r w:rsidRPr="00E065BC">
              <w:rPr>
                <w:rFonts w:cstheme="minorHAnsi"/>
                <w:szCs w:val="20"/>
              </w:rPr>
              <w:t>)</w:t>
            </w:r>
          </w:p>
        </w:tc>
      </w:tr>
      <w:tr w:rsidR="005A49DC" w:rsidRPr="007D7306" w:rsidTr="00906E7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49DC" w:rsidRPr="006E57FB" w:rsidRDefault="005A49DC" w:rsidP="00906E7D">
            <w:pPr>
              <w:pStyle w:val="TableText0"/>
              <w:keepNext w:val="0"/>
              <w:spacing w:before="0" w:after="0" w:line="276" w:lineRule="auto"/>
              <w:rPr>
                <w:rFonts w:cstheme="minorHAnsi"/>
                <w:b/>
                <w:szCs w:val="20"/>
              </w:rPr>
            </w:pPr>
            <w:r w:rsidRPr="006E57FB">
              <w:rPr>
                <w:rFonts w:cstheme="minorHAnsi"/>
                <w:b/>
                <w:szCs w:val="20"/>
              </w:rPr>
              <w:t>Proportion of patients free from 3 month confirmed progression of disability</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eastAsia="Times New Roman" w:cstheme="minorHAnsi"/>
                <w:szCs w:val="20"/>
              </w:rPr>
              <w:t>CLARITY (post-hoc),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349/407 (85.7%)</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306/388 (78.9%)</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1.09 (1.02, 1.16)</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6.9 (1.6, 12.2)</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eastAsia="Times New Roman" w:cstheme="minorHAnsi"/>
                <w:szCs w:val="20"/>
              </w:rPr>
            </w:pPr>
            <w:r w:rsidRPr="006E57FB">
              <w:rPr>
                <w:rFonts w:eastAsia="Times New Roman" w:cstheme="minorHAnsi"/>
                <w:szCs w:val="20"/>
              </w:rPr>
              <w:t>CLARITY (ITT)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eastAsia="Times New Roman" w:cstheme="minorHAnsi"/>
                <w:bCs/>
                <w:iCs/>
                <w:color w:val="000000"/>
                <w:szCs w:val="20"/>
              </w:rPr>
              <w:t>375/433 (86.6)</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eastAsia="Times New Roman" w:cstheme="minorHAnsi"/>
                <w:bCs/>
                <w:iCs/>
                <w:color w:val="000000"/>
                <w:szCs w:val="20"/>
              </w:rPr>
              <w:t>355/437 (81.2)</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1.07 (1.01, 1.13)</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5.4 (0.5, 10.3)</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350/425 (82.4%)</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317/418 (75.8%)</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1.09 (1.01, 1.16)</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6.5 (1.0, 12.0)</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II,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267/358 (74.6%)</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252/355 (71%)</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1.05 (0.96, 1.15)</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3.6 (-2.9, 10.1)</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right"/>
              <w:rPr>
                <w:rFonts w:cstheme="minorHAnsi"/>
                <w:szCs w:val="20"/>
              </w:rPr>
            </w:pPr>
            <w:r w:rsidRPr="006E57FB">
              <w:rPr>
                <w:rFonts w:cstheme="minorHAnsi"/>
                <w:szCs w:val="20"/>
              </w:rPr>
              <w:t>Fingolimod pooled</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1.07 (1.02, 1.13)</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5.3 (1.1, 9.5)</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(post-hoc) vs FREEDOMS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(post-hoc) vs FREEDOMS II</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(post-hoc) vs pooled fingolimod trials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(ITT) vs FREEDOMS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(ITT) vs FREEDOMS II</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(ITT) vs pooled fingolimod trials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A49DC" w:rsidRPr="006E57FB" w:rsidRDefault="005A49DC" w:rsidP="00906E7D">
            <w:pPr>
              <w:pStyle w:val="TableText0"/>
              <w:keepNext w:val="0"/>
              <w:spacing w:before="0" w:after="0" w:line="276" w:lineRule="auto"/>
              <w:rPr>
                <w:rFonts w:cstheme="minorHAnsi"/>
                <w:b/>
                <w:szCs w:val="20"/>
              </w:rPr>
            </w:pPr>
            <w:r w:rsidRPr="006E57FB">
              <w:rPr>
                <w:rFonts w:cstheme="minorHAnsi"/>
                <w:b/>
                <w:szCs w:val="20"/>
              </w:rPr>
              <w:t>Proportion of patients free from 6 month confirmed progression of disability</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eastAsia="Times New Roman" w:cstheme="minorHAnsi"/>
                <w:szCs w:val="20"/>
              </w:rPr>
              <w:t>CLARITY,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358/393 (91.1%)</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310/366 (84.7%)</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1.08 (1.02, 1.13)</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6.4 (1.8, 11)</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372/425 (87.5%)</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339/418 (81.1%)</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1.08 (1.02, 1.14)</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b/>
                <w:szCs w:val="20"/>
              </w:rPr>
            </w:pPr>
            <w:r w:rsidRPr="006E57FB">
              <w:rPr>
                <w:rFonts w:cstheme="minorHAnsi"/>
                <w:b/>
                <w:szCs w:val="20"/>
              </w:rPr>
              <w:t>6.4 (1.5, 11.3)</w:t>
            </w:r>
          </w:p>
        </w:tc>
      </w:tr>
      <w:tr w:rsidR="005A49DC" w:rsidRPr="007D7306" w:rsidTr="00E065BC">
        <w:tc>
          <w:tcPr>
            <w:tcW w:w="1254" w:type="pct"/>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FREEDOMS II, n/N (%)</w:t>
            </w:r>
          </w:p>
        </w:tc>
        <w:tc>
          <w:tcPr>
            <w:tcW w:w="787"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309/358 (86.3%)</w:t>
            </w:r>
          </w:p>
        </w:tc>
        <w:tc>
          <w:tcPr>
            <w:tcW w:w="786"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292/355 (82.3%)</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1.05 (0.98, 1.12)</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4.1 (-1.3, 9.4)</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right"/>
              <w:rPr>
                <w:rFonts w:cstheme="minorHAnsi"/>
                <w:szCs w:val="20"/>
              </w:rPr>
            </w:pPr>
            <w:r w:rsidRPr="006E57FB">
              <w:rPr>
                <w:rFonts w:cstheme="minorHAnsi"/>
                <w:szCs w:val="20"/>
              </w:rPr>
              <w:t>Fingolimod pooled</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1.07 (1.02, 1.11)</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6E57FB" w:rsidRDefault="005A49DC" w:rsidP="00906E7D">
            <w:pPr>
              <w:pStyle w:val="TableText0"/>
              <w:keepNext w:val="0"/>
              <w:spacing w:before="0" w:after="0" w:line="276" w:lineRule="auto"/>
              <w:jc w:val="center"/>
              <w:rPr>
                <w:rFonts w:cstheme="minorHAnsi"/>
                <w:szCs w:val="20"/>
              </w:rPr>
            </w:pPr>
            <w:r w:rsidRPr="006E57FB">
              <w:rPr>
                <w:rFonts w:cstheme="minorHAnsi"/>
                <w:szCs w:val="20"/>
              </w:rPr>
              <w:t>5.3 (1.7, 9.0)</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FREEDOMS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FREEDOMS II</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r w:rsidR="005A49DC" w:rsidRPr="007D7306" w:rsidTr="00906E7D">
        <w:tc>
          <w:tcPr>
            <w:tcW w:w="2827" w:type="pct"/>
            <w:gridSpan w:val="3"/>
            <w:tcBorders>
              <w:top w:val="single" w:sz="4" w:space="0" w:color="auto"/>
              <w:left w:val="single" w:sz="4" w:space="0" w:color="auto"/>
              <w:bottom w:val="single" w:sz="4" w:space="0" w:color="auto"/>
              <w:right w:val="single" w:sz="4" w:space="0" w:color="auto"/>
            </w:tcBorders>
            <w:hideMark/>
          </w:tcPr>
          <w:p w:rsidR="005A49DC" w:rsidRPr="006E57FB" w:rsidRDefault="005A49DC" w:rsidP="00906E7D">
            <w:pPr>
              <w:pStyle w:val="TableText0"/>
              <w:keepNext w:val="0"/>
              <w:spacing w:before="0" w:after="0" w:line="276" w:lineRule="auto"/>
              <w:rPr>
                <w:rFonts w:cstheme="minorHAnsi"/>
                <w:szCs w:val="20"/>
              </w:rPr>
            </w:pPr>
            <w:r w:rsidRPr="006E57FB">
              <w:rPr>
                <w:rFonts w:cstheme="minorHAnsi"/>
                <w:szCs w:val="20"/>
              </w:rPr>
              <w:t>Indirect comparison CLARITY vs pooled fingolimod trials</w:t>
            </w:r>
          </w:p>
        </w:tc>
        <w:tc>
          <w:tcPr>
            <w:tcW w:w="1048"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c>
          <w:tcPr>
            <w:tcW w:w="1125" w:type="pct"/>
            <w:tcBorders>
              <w:top w:val="single" w:sz="4" w:space="0" w:color="auto"/>
              <w:left w:val="single" w:sz="4" w:space="0" w:color="auto"/>
              <w:bottom w:val="single" w:sz="4" w:space="0" w:color="auto"/>
              <w:right w:val="single" w:sz="4" w:space="0" w:color="auto"/>
            </w:tcBorders>
            <w:vAlign w:val="center"/>
            <w:hideMark/>
          </w:tcPr>
          <w:p w:rsidR="005A49DC" w:rsidRPr="00E065BC" w:rsidRDefault="007439F8" w:rsidP="00906E7D">
            <w:pPr>
              <w:pStyle w:val="TableText0"/>
              <w:keepNext w:val="0"/>
              <w:spacing w:before="0" w:after="0" w:line="276" w:lineRule="auto"/>
              <w:jc w:val="center"/>
              <w:rPr>
                <w:rFonts w:cstheme="minorHAnsi"/>
                <w:szCs w:val="20"/>
              </w:rPr>
            </w:pP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 xml:space="preserve">, </w:t>
            </w:r>
            <w:r>
              <w:rPr>
                <w:rFonts w:cstheme="minorHAnsi"/>
                <w:noProof/>
                <w:color w:val="000000"/>
                <w:szCs w:val="20"/>
                <w:highlight w:val="black"/>
              </w:rPr>
              <w:t>''''''''</w:t>
            </w:r>
            <w:r w:rsidR="005A49DC" w:rsidRPr="00E065BC">
              <w:rPr>
                <w:rFonts w:cstheme="minorHAnsi"/>
                <w:szCs w:val="20"/>
              </w:rPr>
              <w:t>)</w:t>
            </w:r>
          </w:p>
        </w:tc>
      </w:tr>
    </w:tbl>
    <w:p w:rsidR="0076420C" w:rsidRPr="007D7306" w:rsidRDefault="005267A4" w:rsidP="00DE528F">
      <w:pPr>
        <w:jc w:val="both"/>
        <w:rPr>
          <w:rFonts w:ascii="Arial Narrow" w:hAnsi="Arial Narrow"/>
          <w:sz w:val="18"/>
        </w:rPr>
      </w:pPr>
      <w:r w:rsidRPr="007D7306">
        <w:rPr>
          <w:rFonts w:ascii="Arial Narrow" w:hAnsi="Arial Narrow"/>
          <w:sz w:val="18"/>
        </w:rPr>
        <w:t>Source: Table 1 p5 of the minor resubmission</w:t>
      </w:r>
    </w:p>
    <w:p w:rsidR="00D84934" w:rsidRPr="007D7306" w:rsidRDefault="005267A4" w:rsidP="005267A4">
      <w:pPr>
        <w:rPr>
          <w:rFonts w:ascii="Arial Narrow" w:hAnsi="Arial Narrow"/>
          <w:sz w:val="20"/>
        </w:rPr>
      </w:pPr>
      <w:r w:rsidRPr="007D7306">
        <w:rPr>
          <w:rFonts w:ascii="Arial Narrow" w:hAnsi="Arial Narrow"/>
          <w:sz w:val="20"/>
        </w:rPr>
        <w:t xml:space="preserve">CI = confidence interval; n = number of participants with event; N = total number of participants in group; NR = not reported; RR = relative risk </w:t>
      </w:r>
    </w:p>
    <w:p w:rsidR="005267A4" w:rsidRPr="007D7306" w:rsidRDefault="005267A4" w:rsidP="005267A4">
      <w:pPr>
        <w:widowControl w:val="0"/>
        <w:spacing w:after="120"/>
        <w:contextualSpacing/>
        <w:jc w:val="both"/>
        <w:rPr>
          <w:rFonts w:ascii="Arial Narrow" w:hAnsi="Arial Narrow" w:cs="Arial"/>
          <w:snapToGrid w:val="0"/>
          <w:sz w:val="18"/>
          <w:szCs w:val="20"/>
          <w:lang w:eastAsia="en-US"/>
        </w:rPr>
      </w:pPr>
      <w:r w:rsidRPr="007D7306">
        <w:rPr>
          <w:rFonts w:ascii="Arial Narrow" w:hAnsi="Arial Narrow" w:cs="Arial"/>
          <w:snapToGrid w:val="0"/>
          <w:sz w:val="18"/>
          <w:szCs w:val="20"/>
          <w:lang w:eastAsia="en-US"/>
        </w:rPr>
        <w:t>Bold typography indicates statistically significant differences</w:t>
      </w:r>
    </w:p>
    <w:p w:rsidR="005F670B" w:rsidRPr="007D7306" w:rsidRDefault="000E4E95" w:rsidP="005F670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minor resubmission </w:t>
      </w:r>
      <w:r w:rsidR="00E13C1C" w:rsidRPr="007D7306">
        <w:rPr>
          <w:rFonts w:asciiTheme="minorHAnsi" w:eastAsiaTheme="minorHAnsi" w:hAnsiTheme="minorHAnsi" w:cstheme="minorBidi"/>
          <w:snapToGrid/>
          <w:sz w:val="24"/>
          <w:szCs w:val="22"/>
        </w:rPr>
        <w:t xml:space="preserve">claimed </w:t>
      </w:r>
      <w:r w:rsidRPr="007D7306">
        <w:rPr>
          <w:rFonts w:asciiTheme="minorHAnsi" w:eastAsiaTheme="minorHAnsi" w:hAnsiTheme="minorHAnsi" w:cstheme="minorBidi"/>
          <w:snapToGrid/>
          <w:sz w:val="24"/>
          <w:szCs w:val="22"/>
        </w:rPr>
        <w:t>that based on the minimal clinically important difference (MCID) of 1.46</w:t>
      </w:r>
      <w:r w:rsidR="00AE3958" w:rsidRPr="007D7306">
        <w:rPr>
          <w:rFonts w:asciiTheme="minorHAnsi" w:eastAsiaTheme="minorHAnsi" w:hAnsiTheme="minorHAnsi" w:cstheme="minorBidi"/>
          <w:snapToGrid/>
          <w:sz w:val="24"/>
          <w:szCs w:val="22"/>
        </w:rPr>
        <w:t xml:space="preserve"> nominated in the November 2017 submission</w:t>
      </w:r>
      <w:r w:rsidRPr="007D7306">
        <w:rPr>
          <w:rFonts w:asciiTheme="minorHAnsi" w:eastAsiaTheme="minorHAnsi" w:hAnsiTheme="minorHAnsi" w:cstheme="minorBidi"/>
          <w:snapToGrid/>
          <w:sz w:val="24"/>
          <w:szCs w:val="22"/>
        </w:rPr>
        <w:t xml:space="preserve"> and 1.23</w:t>
      </w:r>
      <w:r w:rsidR="00C21E17" w:rsidRPr="007D7306">
        <w:rPr>
          <w:rFonts w:asciiTheme="minorHAnsi" w:eastAsiaTheme="minorHAnsi" w:hAnsiTheme="minorHAnsi" w:cstheme="minorBidi"/>
          <w:snapToGrid/>
          <w:sz w:val="24"/>
          <w:szCs w:val="22"/>
        </w:rPr>
        <w:t xml:space="preserve"> nominated in the July 2017 ocrelizumab submission </w:t>
      </w:r>
      <w:r w:rsidRPr="007D7306">
        <w:rPr>
          <w:rFonts w:asciiTheme="minorHAnsi" w:eastAsiaTheme="minorHAnsi" w:hAnsiTheme="minorHAnsi" w:cstheme="minorBidi"/>
          <w:snapToGrid/>
          <w:sz w:val="24"/>
          <w:szCs w:val="22"/>
        </w:rPr>
        <w:t xml:space="preserve"> for the annualised relapse r</w:t>
      </w:r>
      <w:r w:rsidR="00C21E17" w:rsidRPr="007D7306">
        <w:rPr>
          <w:rFonts w:asciiTheme="minorHAnsi" w:eastAsiaTheme="minorHAnsi" w:hAnsiTheme="minorHAnsi" w:cstheme="minorBidi"/>
          <w:snapToGrid/>
          <w:sz w:val="24"/>
          <w:szCs w:val="22"/>
        </w:rPr>
        <w:t xml:space="preserve">ate, </w:t>
      </w:r>
      <w:r w:rsidR="00E13C1C" w:rsidRPr="007D7306">
        <w:rPr>
          <w:rFonts w:asciiTheme="minorHAnsi" w:eastAsiaTheme="minorHAnsi" w:hAnsiTheme="minorHAnsi" w:cstheme="minorBidi"/>
          <w:snapToGrid/>
          <w:sz w:val="24"/>
          <w:szCs w:val="22"/>
        </w:rPr>
        <w:lastRenderedPageBreak/>
        <w:t>it can be concluded that cladribine tablets are non-inferior to fingolimod</w:t>
      </w:r>
      <w:r w:rsidR="00AE3958" w:rsidRPr="007D7306">
        <w:rPr>
          <w:rFonts w:asciiTheme="minorHAnsi" w:eastAsiaTheme="minorHAnsi" w:hAnsiTheme="minorHAnsi" w:cstheme="minorBidi"/>
          <w:snapToGrid/>
          <w:sz w:val="24"/>
          <w:szCs w:val="22"/>
        </w:rPr>
        <w:t xml:space="preserve"> at 96 weeks</w:t>
      </w:r>
      <w:r w:rsidR="00AE1C5D" w:rsidRPr="007D7306">
        <w:rPr>
          <w:rFonts w:asciiTheme="minorHAnsi" w:eastAsiaTheme="minorHAnsi" w:hAnsiTheme="minorHAnsi" w:cstheme="minorBidi"/>
          <w:snapToGrid/>
          <w:sz w:val="24"/>
          <w:szCs w:val="22"/>
        </w:rPr>
        <w:t xml:space="preserve">. </w:t>
      </w:r>
      <w:r w:rsidR="00AE3958" w:rsidRPr="007D7306">
        <w:rPr>
          <w:rFonts w:asciiTheme="minorHAnsi" w:eastAsiaTheme="minorHAnsi" w:hAnsiTheme="minorHAnsi" w:cstheme="minorBidi"/>
          <w:snapToGrid/>
          <w:sz w:val="24"/>
          <w:szCs w:val="22"/>
        </w:rPr>
        <w:t xml:space="preserve">The minor resubmission acknowledged the PBAC </w:t>
      </w:r>
      <w:r w:rsidR="00C21E17" w:rsidRPr="007D7306">
        <w:rPr>
          <w:rFonts w:asciiTheme="minorHAnsi" w:eastAsiaTheme="minorHAnsi" w:hAnsiTheme="minorHAnsi" w:cstheme="minorBidi"/>
          <w:snapToGrid/>
          <w:sz w:val="24"/>
          <w:szCs w:val="22"/>
        </w:rPr>
        <w:t>previously considered that the method of calculating the MCID of 1.46 was not adequately justified, and that the PBAC did not explicitly accept</w:t>
      </w:r>
      <w:r w:rsidR="00AE1C5D" w:rsidRPr="007D7306">
        <w:rPr>
          <w:rFonts w:asciiTheme="minorHAnsi" w:eastAsiaTheme="minorHAnsi" w:hAnsiTheme="minorHAnsi" w:cstheme="minorBidi"/>
          <w:snapToGrid/>
          <w:sz w:val="24"/>
          <w:szCs w:val="22"/>
        </w:rPr>
        <w:t xml:space="preserve"> the MCID of 1.23 </w:t>
      </w:r>
      <w:r w:rsidR="00C21E17" w:rsidRPr="007D7306">
        <w:rPr>
          <w:rFonts w:asciiTheme="minorHAnsi" w:eastAsiaTheme="minorHAnsi" w:hAnsiTheme="minorHAnsi" w:cstheme="minorBidi"/>
          <w:snapToGrid/>
          <w:sz w:val="24"/>
          <w:szCs w:val="22"/>
        </w:rPr>
        <w:t>as a criterion to determine non-inferiority between ocrelizumab and fingolimod.</w:t>
      </w:r>
      <w:r w:rsidR="00AE1C5D" w:rsidRPr="007D7306">
        <w:rPr>
          <w:rFonts w:asciiTheme="minorHAnsi" w:eastAsiaTheme="minorHAnsi" w:hAnsiTheme="minorHAnsi" w:cstheme="minorBidi"/>
          <w:snapToGrid/>
          <w:sz w:val="24"/>
          <w:szCs w:val="22"/>
        </w:rPr>
        <w:t xml:space="preserve"> However, the minor resubmission argued that given the consistent non-statistically significant difference between cladribine tablets and fingolimod for the outcomes </w:t>
      </w:r>
      <w:r w:rsidR="007502F1" w:rsidRPr="007D7306">
        <w:rPr>
          <w:rFonts w:asciiTheme="minorHAnsi" w:eastAsiaTheme="minorHAnsi" w:hAnsiTheme="minorHAnsi" w:cstheme="minorBidi"/>
          <w:snapToGrid/>
          <w:sz w:val="24"/>
          <w:szCs w:val="22"/>
        </w:rPr>
        <w:t xml:space="preserve">(i) </w:t>
      </w:r>
      <w:r w:rsidR="00AE1C5D" w:rsidRPr="007D7306">
        <w:rPr>
          <w:rFonts w:asciiTheme="minorHAnsi" w:eastAsiaTheme="minorHAnsi" w:hAnsiTheme="minorHAnsi" w:cstheme="minorBidi"/>
          <w:snapToGrid/>
          <w:sz w:val="24"/>
          <w:szCs w:val="22"/>
        </w:rPr>
        <w:t>annualised relapse rate</w:t>
      </w:r>
      <w:r w:rsidR="007502F1" w:rsidRPr="007D7306">
        <w:rPr>
          <w:rFonts w:asciiTheme="minorHAnsi" w:eastAsiaTheme="minorHAnsi" w:hAnsiTheme="minorHAnsi" w:cstheme="minorBidi"/>
          <w:snapToGrid/>
          <w:sz w:val="24"/>
          <w:szCs w:val="22"/>
        </w:rPr>
        <w:t>, (ii)</w:t>
      </w:r>
      <w:r w:rsidR="00AE1C5D" w:rsidRPr="007D7306">
        <w:rPr>
          <w:rFonts w:asciiTheme="minorHAnsi" w:eastAsiaTheme="minorHAnsi" w:hAnsiTheme="minorHAnsi" w:cstheme="minorBidi"/>
          <w:snapToGrid/>
          <w:sz w:val="24"/>
          <w:szCs w:val="22"/>
        </w:rPr>
        <w:t xml:space="preserve"> </w:t>
      </w:r>
      <w:r w:rsidR="00AE1C5D" w:rsidRPr="00E065BC">
        <w:rPr>
          <w:rFonts w:asciiTheme="minorHAnsi" w:eastAsiaTheme="minorHAnsi" w:hAnsiTheme="minorHAnsi" w:cstheme="minorBidi"/>
          <w:snapToGrid/>
          <w:sz w:val="24"/>
          <w:szCs w:val="22"/>
        </w:rPr>
        <w:t>proportion of patients remaining relapse free</w:t>
      </w:r>
      <w:r w:rsidR="00826E7C" w:rsidRPr="00E065BC">
        <w:rPr>
          <w:rFonts w:asciiTheme="minorHAnsi" w:eastAsiaTheme="minorHAnsi" w:hAnsiTheme="minorHAnsi" w:cstheme="minorBidi"/>
          <w:snapToGrid/>
          <w:sz w:val="24"/>
          <w:szCs w:val="22"/>
        </w:rPr>
        <w:t>,</w:t>
      </w:r>
      <w:r w:rsidR="007502F1" w:rsidRPr="00E065BC">
        <w:rPr>
          <w:rFonts w:asciiTheme="minorHAnsi" w:eastAsiaTheme="minorHAnsi" w:hAnsiTheme="minorHAnsi" w:cstheme="minorBidi"/>
          <w:snapToGrid/>
          <w:sz w:val="24"/>
          <w:szCs w:val="22"/>
        </w:rPr>
        <w:t xml:space="preserve"> and (iii)</w:t>
      </w:r>
      <w:r w:rsidR="00826E7C" w:rsidRPr="00E065BC">
        <w:rPr>
          <w:rFonts w:asciiTheme="minorHAnsi" w:eastAsiaTheme="minorHAnsi" w:hAnsiTheme="minorHAnsi" w:cstheme="minorBidi"/>
          <w:snapToGrid/>
          <w:sz w:val="24"/>
          <w:szCs w:val="22"/>
        </w:rPr>
        <w:t xml:space="preserve"> proportion of patients </w:t>
      </w:r>
      <w:r w:rsidR="00AE1C5D" w:rsidRPr="00E065BC">
        <w:rPr>
          <w:rFonts w:asciiTheme="minorHAnsi" w:eastAsiaTheme="minorHAnsi" w:hAnsiTheme="minorHAnsi" w:cstheme="minorBidi"/>
          <w:snapToGrid/>
          <w:sz w:val="24"/>
          <w:szCs w:val="22"/>
        </w:rPr>
        <w:t xml:space="preserve">free from confirmed disability progression at 3 and 6 months, </w:t>
      </w:r>
      <w:r w:rsidR="00AE1C5D" w:rsidRPr="00DA20D5">
        <w:rPr>
          <w:rFonts w:asciiTheme="minorHAnsi" w:eastAsiaTheme="minorHAnsi" w:hAnsiTheme="minorHAnsi" w:cstheme="minorBidi"/>
          <w:snapToGrid/>
          <w:sz w:val="24"/>
          <w:szCs w:val="22"/>
        </w:rPr>
        <w:t>a claim that a 2-year treatment course with cladribine tablets is non-inferior to two years of treatment with fingolimod in terms of efficacy is reasonable.</w:t>
      </w:r>
      <w:r w:rsidR="005F670B" w:rsidRPr="00DA20D5">
        <w:rPr>
          <w:rFonts w:asciiTheme="minorHAnsi" w:eastAsiaTheme="minorHAnsi" w:hAnsiTheme="minorHAnsi" w:cstheme="minorBidi"/>
          <w:snapToGrid/>
          <w:sz w:val="24"/>
          <w:szCs w:val="22"/>
        </w:rPr>
        <w:t xml:space="preserve"> The </w:t>
      </w:r>
      <w:r w:rsidR="005B253A" w:rsidRPr="00DA20D5">
        <w:rPr>
          <w:rFonts w:asciiTheme="minorHAnsi" w:eastAsiaTheme="minorHAnsi" w:hAnsiTheme="minorHAnsi" w:cstheme="minorBidi"/>
          <w:snapToGrid/>
          <w:sz w:val="24"/>
          <w:szCs w:val="22"/>
        </w:rPr>
        <w:t>clinica</w:t>
      </w:r>
      <w:r w:rsidR="0062542A" w:rsidRPr="00DA20D5">
        <w:rPr>
          <w:rFonts w:asciiTheme="minorHAnsi" w:eastAsiaTheme="minorHAnsi" w:hAnsiTheme="minorHAnsi" w:cstheme="minorBidi"/>
          <w:snapToGrid/>
          <w:sz w:val="24"/>
          <w:szCs w:val="22"/>
        </w:rPr>
        <w:t xml:space="preserve">l claim in </w:t>
      </w:r>
      <w:r w:rsidR="005F670B" w:rsidRPr="00DA20D5">
        <w:rPr>
          <w:rFonts w:asciiTheme="minorHAnsi" w:eastAsiaTheme="minorHAnsi" w:hAnsiTheme="minorHAnsi" w:cstheme="minorBidi"/>
          <w:snapToGrid/>
          <w:sz w:val="24"/>
          <w:szCs w:val="22"/>
        </w:rPr>
        <w:t xml:space="preserve">the minor </w:t>
      </w:r>
      <w:r w:rsidR="0062542A" w:rsidRPr="00DA20D5">
        <w:rPr>
          <w:rFonts w:asciiTheme="minorHAnsi" w:eastAsiaTheme="minorHAnsi" w:hAnsiTheme="minorHAnsi" w:cstheme="minorBidi"/>
          <w:snapToGrid/>
          <w:sz w:val="24"/>
          <w:szCs w:val="22"/>
        </w:rPr>
        <w:t xml:space="preserve">resubmission </w:t>
      </w:r>
      <w:r w:rsidR="005F670B" w:rsidRPr="00DA20D5">
        <w:rPr>
          <w:rFonts w:asciiTheme="minorHAnsi" w:eastAsiaTheme="minorHAnsi" w:hAnsiTheme="minorHAnsi" w:cstheme="minorBidi"/>
          <w:snapToGrid/>
          <w:sz w:val="24"/>
          <w:szCs w:val="22"/>
        </w:rPr>
        <w:t>was therefore that</w:t>
      </w:r>
      <w:r w:rsidR="005B253A" w:rsidRPr="00DA20D5">
        <w:rPr>
          <w:rFonts w:asciiTheme="minorHAnsi" w:eastAsiaTheme="minorHAnsi" w:hAnsiTheme="minorHAnsi" w:cstheme="minorBidi"/>
          <w:snapToGrid/>
          <w:sz w:val="24"/>
          <w:szCs w:val="22"/>
        </w:rPr>
        <w:t xml:space="preserve"> </w:t>
      </w:r>
      <w:r w:rsidR="007439F8">
        <w:rPr>
          <w:rFonts w:asciiTheme="minorHAnsi" w:eastAsiaTheme="minorHAnsi" w:hAnsiTheme="minorHAnsi" w:cstheme="minorBidi"/>
          <w:noProof/>
          <w:snapToGrid/>
          <w:color w:val="000000"/>
          <w:sz w:val="24"/>
          <w:szCs w:val="22"/>
          <w:highlight w:val="black"/>
        </w:rPr>
        <w:t>'''''' ''''''' ''''''''' '''''''''''''''''''''</w:t>
      </w:r>
      <w:r w:rsidR="005B253A" w:rsidRPr="00DA20D5">
        <w:rPr>
          <w:rFonts w:asciiTheme="minorHAnsi" w:eastAsiaTheme="minorHAnsi" w:hAnsiTheme="minorHAnsi" w:cstheme="minorBidi"/>
          <w:snapToGrid/>
          <w:sz w:val="24"/>
          <w:szCs w:val="22"/>
        </w:rPr>
        <w:t xml:space="preserve"> course of cladribine is non-inferior in terms of efficacy and safety </w:t>
      </w:r>
      <w:r w:rsidR="005D421B" w:rsidRPr="00DA20D5">
        <w:rPr>
          <w:rFonts w:asciiTheme="minorHAnsi" w:eastAsiaTheme="minorHAnsi" w:hAnsiTheme="minorHAnsi" w:cstheme="minorBidi"/>
          <w:snapToGrid/>
          <w:sz w:val="24"/>
          <w:szCs w:val="22"/>
        </w:rPr>
        <w:t>compare</w:t>
      </w:r>
      <w:r w:rsidR="005B253A" w:rsidRPr="00DA20D5">
        <w:rPr>
          <w:rFonts w:asciiTheme="minorHAnsi" w:eastAsiaTheme="minorHAnsi" w:hAnsiTheme="minorHAnsi" w:cstheme="minorBidi"/>
          <w:snapToGrid/>
          <w:sz w:val="24"/>
          <w:szCs w:val="22"/>
        </w:rPr>
        <w:t xml:space="preserve"> to </w:t>
      </w:r>
      <w:r w:rsidR="007439F8">
        <w:rPr>
          <w:rFonts w:asciiTheme="minorHAnsi" w:eastAsiaTheme="minorHAnsi" w:hAnsiTheme="minorHAnsi" w:cstheme="minorBidi"/>
          <w:noProof/>
          <w:snapToGrid/>
          <w:color w:val="000000"/>
          <w:sz w:val="24"/>
          <w:szCs w:val="22"/>
          <w:highlight w:val="black"/>
        </w:rPr>
        <w:t>''''''' '''''''''</w:t>
      </w:r>
      <w:r w:rsidR="005B253A" w:rsidRPr="00DA20D5">
        <w:rPr>
          <w:rFonts w:asciiTheme="minorHAnsi" w:eastAsiaTheme="minorHAnsi" w:hAnsiTheme="minorHAnsi" w:cstheme="minorBidi"/>
          <w:snapToGrid/>
          <w:sz w:val="24"/>
          <w:szCs w:val="22"/>
        </w:rPr>
        <w:t xml:space="preserve"> treatment </w:t>
      </w:r>
      <w:r w:rsidR="005F670B" w:rsidRPr="00DA20D5">
        <w:rPr>
          <w:rFonts w:asciiTheme="minorHAnsi" w:eastAsiaTheme="minorHAnsi" w:hAnsiTheme="minorHAnsi" w:cstheme="minorBidi"/>
          <w:snapToGrid/>
          <w:sz w:val="24"/>
          <w:szCs w:val="22"/>
        </w:rPr>
        <w:t>with</w:t>
      </w:r>
      <w:r w:rsidR="005B253A" w:rsidRPr="00DA20D5">
        <w:rPr>
          <w:rFonts w:asciiTheme="minorHAnsi" w:eastAsiaTheme="minorHAnsi" w:hAnsiTheme="minorHAnsi" w:cstheme="minorBidi"/>
          <w:snapToGrid/>
          <w:sz w:val="24"/>
          <w:szCs w:val="22"/>
        </w:rPr>
        <w:t xml:space="preserve"> fingolimod.</w:t>
      </w:r>
    </w:p>
    <w:p w:rsidR="006F5B4A" w:rsidRPr="007D7306" w:rsidRDefault="006F5B4A" w:rsidP="004201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At the March 2018 meeting, the PBAC noted that the minor resubmission did not address its concerns regarding the uncertainty in the non-inferior efficacy between cladribine and fingolimod over four years</w:t>
      </w:r>
      <w:r w:rsidR="00B01ED3" w:rsidRPr="007D7306">
        <w:rPr>
          <w:rFonts w:asciiTheme="minorHAnsi" w:eastAsiaTheme="minorHAnsi" w:hAnsiTheme="minorHAnsi" w:cstheme="minorBidi"/>
          <w:snapToGrid/>
          <w:sz w:val="24"/>
          <w:szCs w:val="22"/>
        </w:rPr>
        <w:t xml:space="preserve"> (paragraph 6.3, March 2018 </w:t>
      </w:r>
      <w:r w:rsidR="00142C44">
        <w:rPr>
          <w:rFonts w:asciiTheme="minorHAnsi" w:eastAsiaTheme="minorHAnsi" w:hAnsiTheme="minorHAnsi" w:cstheme="minorBidi"/>
          <w:snapToGrid/>
          <w:sz w:val="24"/>
          <w:szCs w:val="22"/>
        </w:rPr>
        <w:t>Public Summary Document (PSD)</w:t>
      </w:r>
      <w:r w:rsidR="00B01ED3" w:rsidRPr="007D7306">
        <w:rPr>
          <w:rFonts w:asciiTheme="minorHAnsi" w:eastAsiaTheme="minorHAnsi" w:hAnsiTheme="minorHAnsi" w:cstheme="minorBidi"/>
          <w:snapToGrid/>
          <w:sz w:val="24"/>
          <w:szCs w:val="22"/>
        </w:rPr>
        <w:t>)</w:t>
      </w:r>
      <w:r w:rsidRPr="007D7306">
        <w:rPr>
          <w:rFonts w:asciiTheme="minorHAnsi" w:eastAsiaTheme="minorHAnsi" w:hAnsiTheme="minorHAnsi" w:cstheme="minorBidi"/>
          <w:snapToGrid/>
          <w:sz w:val="24"/>
          <w:szCs w:val="22"/>
        </w:rPr>
        <w:t xml:space="preserve">.  </w:t>
      </w:r>
      <w:r w:rsidR="007439F8">
        <w:rPr>
          <w:rFonts w:asciiTheme="minorHAnsi" w:eastAsiaTheme="minorHAnsi" w:hAnsiTheme="minorHAnsi" w:cstheme="minorBidi"/>
          <w:noProof/>
          <w:snapToGrid/>
          <w:color w:val="000000"/>
          <w:sz w:val="24"/>
          <w:szCs w:val="22"/>
          <w:highlight w:val="black"/>
        </w:rPr>
        <w:t>'''''''' ''''''''''''''' ''''''''''' ''''''''''''''''''''''''' '''''' ''''''' ''''''''''''' ''' '''''''''''''' '''''''''' '''''' ''' ''''''''''' ''''' '''''''''''''''''''''</w:t>
      </w:r>
    </w:p>
    <w:p w:rsidR="004201BB" w:rsidRPr="007D7306" w:rsidRDefault="004201BB" w:rsidP="004201B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At the November 2017 meeting, the PBAC considered that there was uncertainty in the claim that cladribine is non-inferior to fingolimod in terms of efficacy over two years. The PBAC noted that the basis of the claim over two years was an indirect comparison of one cladribine (CLARITY) and two fingolimod (FREEDOMS and FREEDOMS II) trials. Although no statistically significant differences between cladribine and fingolimod were observed in the indirect comparison for the annualised relapse rate, proportion of patients remaining relapse-free; and proportion of patients free from confirmed disability progression at 3 and 6 months; this was based on a minimal clinically important difference (MCID) nominated by the resubmission of 1.46 for the relapse ratio. The PBAC considered that the method of calculating this MCID was not adequately justified. The PBAC therefore considered that the possibility that cladribine was inferior to fingolimod over two years could not be excluded (paragraph 7.6, November 2017 </w:t>
      </w:r>
      <w:r w:rsidR="00142C44">
        <w:rPr>
          <w:rFonts w:asciiTheme="minorHAnsi" w:eastAsiaTheme="minorHAnsi" w:hAnsiTheme="minorHAnsi" w:cstheme="minorBidi"/>
          <w:snapToGrid/>
          <w:sz w:val="24"/>
          <w:szCs w:val="22"/>
        </w:rPr>
        <w:t>PSD</w:t>
      </w:r>
      <w:r w:rsidRPr="007D7306">
        <w:rPr>
          <w:rFonts w:asciiTheme="minorHAnsi" w:eastAsiaTheme="minorHAnsi" w:hAnsiTheme="minorHAnsi" w:cstheme="minorBidi"/>
          <w:snapToGrid/>
          <w:sz w:val="24"/>
          <w:szCs w:val="22"/>
        </w:rPr>
        <w:t>).</w:t>
      </w:r>
    </w:p>
    <w:p w:rsidR="008911A6" w:rsidRPr="007D7306" w:rsidRDefault="008911A6" w:rsidP="00B01ED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At the March 2018 meeting, the PBAC noted the resubmission’s arguments for the use of the MCID (1.23) used in the July 2017 ocrelizumab submission for RRMS</w:t>
      </w:r>
      <w:r w:rsidR="00CB67B1" w:rsidRPr="007D7306">
        <w:rPr>
          <w:rFonts w:asciiTheme="minorHAnsi" w:eastAsiaTheme="minorHAnsi" w:hAnsiTheme="minorHAnsi" w:cstheme="minorBidi"/>
          <w:snapToGrid/>
          <w:sz w:val="24"/>
          <w:szCs w:val="22"/>
        </w:rPr>
        <w:t xml:space="preserve"> in assessing the efficacy of cladribine, however it recalled that the Committee recommended ocrelizumab based on the totality of the evidence presented in that submission, and not on the basis of the proposed MCID</w:t>
      </w:r>
      <w:r w:rsidR="00B01ED3" w:rsidRPr="007D7306">
        <w:rPr>
          <w:rFonts w:asciiTheme="minorHAnsi" w:eastAsiaTheme="minorHAnsi" w:hAnsiTheme="minorHAnsi" w:cstheme="minorBidi"/>
          <w:snapToGrid/>
          <w:sz w:val="24"/>
          <w:szCs w:val="22"/>
        </w:rPr>
        <w:t xml:space="preserve"> (paragraph 5.8, March 2018 </w:t>
      </w:r>
      <w:r w:rsidR="00142C44">
        <w:rPr>
          <w:rFonts w:asciiTheme="minorHAnsi" w:eastAsiaTheme="minorHAnsi" w:hAnsiTheme="minorHAnsi" w:cstheme="minorBidi"/>
          <w:snapToGrid/>
          <w:sz w:val="24"/>
          <w:szCs w:val="22"/>
        </w:rPr>
        <w:t>PSD</w:t>
      </w:r>
      <w:r w:rsidR="00B01ED3" w:rsidRPr="007D7306">
        <w:rPr>
          <w:rFonts w:asciiTheme="minorHAnsi" w:eastAsiaTheme="minorHAnsi" w:hAnsiTheme="minorHAnsi" w:cstheme="minorBidi"/>
          <w:snapToGrid/>
          <w:sz w:val="24"/>
          <w:szCs w:val="22"/>
        </w:rPr>
        <w:t>)</w:t>
      </w:r>
      <w:r w:rsidR="00CB67B1" w:rsidRPr="007D7306">
        <w:rPr>
          <w:rFonts w:asciiTheme="minorHAnsi" w:eastAsiaTheme="minorHAnsi" w:hAnsiTheme="minorHAnsi" w:cstheme="minorBidi"/>
          <w:snapToGrid/>
          <w:sz w:val="24"/>
          <w:szCs w:val="22"/>
        </w:rPr>
        <w:t>.</w:t>
      </w:r>
    </w:p>
    <w:p w:rsidR="004201BB" w:rsidRPr="007D7306" w:rsidRDefault="004201BB" w:rsidP="004201BB">
      <w:pPr>
        <w:pStyle w:val="ListParagraph"/>
        <w:numPr>
          <w:ilvl w:val="1"/>
          <w:numId w:val="14"/>
        </w:numPr>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PBAC previously also considered that there was insufficient data to accurately assess the claim of non-inferior safety of cladribine versus fingolimod. The PBAC considered that while it had previously noted cladribine to be generally well </w:t>
      </w:r>
      <w:r w:rsidRPr="007D7306">
        <w:rPr>
          <w:rFonts w:asciiTheme="minorHAnsi" w:eastAsiaTheme="minorHAnsi" w:hAnsiTheme="minorHAnsi" w:cstheme="minorBidi"/>
          <w:snapToGrid/>
          <w:sz w:val="24"/>
          <w:szCs w:val="22"/>
        </w:rPr>
        <w:lastRenderedPageBreak/>
        <w:t xml:space="preserve">tolerated, cladribine was associated with important adverse events (paragraphs 7.7 – 7.8, November 2017 </w:t>
      </w:r>
      <w:r w:rsidR="00142C44">
        <w:rPr>
          <w:rFonts w:asciiTheme="minorHAnsi" w:eastAsiaTheme="minorHAnsi" w:hAnsiTheme="minorHAnsi" w:cstheme="minorBidi"/>
          <w:snapToGrid/>
          <w:sz w:val="24"/>
          <w:szCs w:val="22"/>
        </w:rPr>
        <w:t>PSD</w:t>
      </w:r>
      <w:r w:rsidRPr="007D7306">
        <w:rPr>
          <w:rFonts w:asciiTheme="minorHAnsi" w:eastAsiaTheme="minorHAnsi" w:hAnsiTheme="minorHAnsi" w:cstheme="minorBidi"/>
          <w:snapToGrid/>
          <w:sz w:val="24"/>
          <w:szCs w:val="22"/>
        </w:rPr>
        <w:t xml:space="preserve">). The minor resubmission did not address these concerns. </w:t>
      </w:r>
    </w:p>
    <w:p w:rsidR="009B0F67" w:rsidRPr="007D7306" w:rsidRDefault="003B3FD2" w:rsidP="00826E7C">
      <w:pPr>
        <w:spacing w:before="120" w:after="160"/>
        <w:rPr>
          <w:rFonts w:asciiTheme="minorHAnsi" w:eastAsiaTheme="minorHAnsi" w:hAnsiTheme="minorHAnsi" w:cstheme="minorBidi"/>
          <w:szCs w:val="22"/>
        </w:rPr>
      </w:pPr>
      <w:r w:rsidRPr="007D7306">
        <w:rPr>
          <w:rFonts w:asciiTheme="minorHAnsi" w:eastAsiaTheme="minorHAnsi" w:hAnsiTheme="minorHAnsi" w:cstheme="minorBidi"/>
          <w:i/>
          <w:szCs w:val="22"/>
        </w:rPr>
        <w:t>For more deta</w:t>
      </w:r>
      <w:r w:rsidR="00194975">
        <w:rPr>
          <w:rFonts w:asciiTheme="minorHAnsi" w:eastAsiaTheme="minorHAnsi" w:hAnsiTheme="minorHAnsi" w:cstheme="minorBidi"/>
          <w:i/>
          <w:szCs w:val="22"/>
        </w:rPr>
        <w:t>il on PBAC’s view, see section 6</w:t>
      </w:r>
      <w:r w:rsidRPr="007D7306">
        <w:rPr>
          <w:rFonts w:asciiTheme="minorHAnsi" w:eastAsiaTheme="minorHAnsi" w:hAnsiTheme="minorHAnsi" w:cstheme="minorBidi"/>
          <w:i/>
          <w:szCs w:val="22"/>
        </w:rPr>
        <w:t xml:space="preserve"> PBAC outcome</w:t>
      </w:r>
      <w:r w:rsidR="00194975">
        <w:rPr>
          <w:rFonts w:asciiTheme="minorHAnsi" w:eastAsiaTheme="minorHAnsi" w:hAnsiTheme="minorHAnsi" w:cstheme="minorBidi"/>
          <w:i/>
          <w:szCs w:val="22"/>
        </w:rPr>
        <w:t>.</w:t>
      </w:r>
    </w:p>
    <w:p w:rsidR="005A3173" w:rsidRPr="007D7306" w:rsidRDefault="005A3173" w:rsidP="00966D0D">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Economic analysis</w:t>
      </w:r>
    </w:p>
    <w:p w:rsidR="00541155" w:rsidRPr="007D7306" w:rsidRDefault="005D421B" w:rsidP="00541155">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7D7306">
        <w:rPr>
          <w:rFonts w:asciiTheme="minorHAnsi" w:eastAsiaTheme="minorHAnsi" w:hAnsiTheme="minorHAnsi" w:cstheme="minorBidi"/>
          <w:snapToGrid/>
          <w:sz w:val="24"/>
          <w:szCs w:val="22"/>
        </w:rPr>
        <w:t xml:space="preserve">At the </w:t>
      </w:r>
      <w:r w:rsidR="00CB67B1" w:rsidRPr="007D7306">
        <w:rPr>
          <w:rFonts w:asciiTheme="minorHAnsi" w:eastAsiaTheme="minorHAnsi" w:hAnsiTheme="minorHAnsi" w:cstheme="minorBidi"/>
          <w:snapToGrid/>
          <w:sz w:val="24"/>
          <w:szCs w:val="22"/>
        </w:rPr>
        <w:t xml:space="preserve">November 2017 and </w:t>
      </w:r>
      <w:r w:rsidRPr="007D7306">
        <w:rPr>
          <w:rFonts w:asciiTheme="minorHAnsi" w:eastAsiaTheme="minorHAnsi" w:hAnsiTheme="minorHAnsi" w:cstheme="minorBidi"/>
          <w:snapToGrid/>
          <w:sz w:val="24"/>
          <w:szCs w:val="22"/>
        </w:rPr>
        <w:t>March 2018 PBAC meeting</w:t>
      </w:r>
      <w:r w:rsidR="00CB67B1" w:rsidRPr="007D7306">
        <w:rPr>
          <w:rFonts w:asciiTheme="minorHAnsi" w:eastAsiaTheme="minorHAnsi" w:hAnsiTheme="minorHAnsi" w:cstheme="minorBidi"/>
          <w:snapToGrid/>
          <w:sz w:val="24"/>
          <w:szCs w:val="22"/>
        </w:rPr>
        <w:t>s</w:t>
      </w:r>
      <w:r w:rsidR="0036394F" w:rsidRPr="007D7306">
        <w:rPr>
          <w:rFonts w:asciiTheme="minorHAnsi" w:eastAsiaTheme="minorHAnsi" w:hAnsiTheme="minorHAnsi" w:cstheme="minorBidi"/>
          <w:snapToGrid/>
          <w:sz w:val="24"/>
          <w:szCs w:val="22"/>
        </w:rPr>
        <w:t xml:space="preserve">, the </w:t>
      </w:r>
      <w:r w:rsidR="00541155" w:rsidRPr="007D7306">
        <w:rPr>
          <w:rFonts w:asciiTheme="minorHAnsi" w:eastAsiaTheme="minorHAnsi" w:hAnsiTheme="minorHAnsi" w:cstheme="minorBidi"/>
          <w:snapToGrid/>
          <w:sz w:val="24"/>
          <w:szCs w:val="22"/>
        </w:rPr>
        <w:t xml:space="preserve">PBAC considered there was insufficient clinical evidence to support the time horizon of four years for estimating the equi-effective doses of cladribine and fingolimod. </w:t>
      </w:r>
      <w:r w:rsidR="00CB67B1" w:rsidRPr="007D7306">
        <w:rPr>
          <w:rFonts w:asciiTheme="minorHAnsi" w:eastAsiaTheme="minorHAnsi" w:hAnsiTheme="minorHAnsi" w:cstheme="minorBidi"/>
          <w:snapToGrid/>
          <w:sz w:val="24"/>
          <w:szCs w:val="22"/>
        </w:rPr>
        <w:t xml:space="preserve"> </w:t>
      </w:r>
    </w:p>
    <w:p w:rsidR="00B9666A" w:rsidRPr="007D7306" w:rsidRDefault="00D756CD" w:rsidP="00541155">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7D7306">
        <w:rPr>
          <w:rFonts w:asciiTheme="minorHAnsi" w:eastAsiaTheme="minorHAnsi" w:hAnsiTheme="minorHAnsi" w:cstheme="minorBidi"/>
          <w:snapToGrid/>
          <w:sz w:val="24"/>
          <w:szCs w:val="22"/>
        </w:rPr>
        <w:t>The comparison of the equi-effective doses proposed by previous resubmission</w:t>
      </w:r>
      <w:r w:rsidR="00030C3A" w:rsidRPr="007D7306">
        <w:rPr>
          <w:rFonts w:asciiTheme="minorHAnsi" w:eastAsiaTheme="minorHAnsi" w:hAnsiTheme="minorHAnsi" w:cstheme="minorBidi"/>
          <w:snapToGrid/>
          <w:sz w:val="24"/>
          <w:szCs w:val="22"/>
        </w:rPr>
        <w:t>s</w:t>
      </w:r>
      <w:r w:rsidRPr="007D7306">
        <w:rPr>
          <w:rFonts w:asciiTheme="minorHAnsi" w:eastAsiaTheme="minorHAnsi" w:hAnsiTheme="minorHAnsi" w:cstheme="minorBidi"/>
          <w:snapToGrid/>
          <w:sz w:val="24"/>
          <w:szCs w:val="22"/>
        </w:rPr>
        <w:t xml:space="preserve"> and the current</w:t>
      </w:r>
      <w:r w:rsidR="00030C3A" w:rsidRPr="007D7306">
        <w:rPr>
          <w:rFonts w:asciiTheme="minorHAnsi" w:eastAsiaTheme="minorHAnsi" w:hAnsiTheme="minorHAnsi" w:cstheme="minorBidi"/>
          <w:snapToGrid/>
          <w:sz w:val="24"/>
          <w:szCs w:val="22"/>
        </w:rPr>
        <w:t xml:space="preserve"> minor</w:t>
      </w:r>
      <w:r w:rsidRPr="007D7306">
        <w:rPr>
          <w:rFonts w:asciiTheme="minorHAnsi" w:eastAsiaTheme="minorHAnsi" w:hAnsiTheme="minorHAnsi" w:cstheme="minorBidi"/>
          <w:snapToGrid/>
          <w:sz w:val="24"/>
          <w:szCs w:val="22"/>
        </w:rPr>
        <w:t xml:space="preserve"> resubmission </w:t>
      </w:r>
      <w:r w:rsidR="0080055B">
        <w:rPr>
          <w:rFonts w:asciiTheme="minorHAnsi" w:eastAsiaTheme="minorHAnsi" w:hAnsiTheme="minorHAnsi" w:cstheme="minorBidi"/>
          <w:snapToGrid/>
          <w:sz w:val="24"/>
          <w:szCs w:val="22"/>
        </w:rPr>
        <w:t>is</w:t>
      </w:r>
      <w:r w:rsidR="0080055B" w:rsidRPr="007D7306">
        <w:rPr>
          <w:rFonts w:asciiTheme="minorHAnsi" w:eastAsiaTheme="minorHAnsi" w:hAnsiTheme="minorHAnsi" w:cstheme="minorBidi"/>
          <w:snapToGrid/>
          <w:sz w:val="24"/>
          <w:szCs w:val="22"/>
        </w:rPr>
        <w:t xml:space="preserve"> </w:t>
      </w:r>
      <w:r w:rsidRPr="007D7306">
        <w:rPr>
          <w:rFonts w:asciiTheme="minorHAnsi" w:eastAsiaTheme="minorHAnsi" w:hAnsiTheme="minorHAnsi" w:cstheme="minorBidi"/>
          <w:snapToGrid/>
          <w:sz w:val="24"/>
          <w:szCs w:val="22"/>
        </w:rPr>
        <w:t xml:space="preserve">presented </w:t>
      </w:r>
      <w:r w:rsidR="00B9666A" w:rsidRPr="007D7306">
        <w:rPr>
          <w:rFonts w:asciiTheme="minorHAnsi" w:eastAsiaTheme="minorHAnsi" w:hAnsiTheme="minorHAnsi" w:cstheme="minorBidi"/>
          <w:snapToGrid/>
          <w:sz w:val="24"/>
          <w:szCs w:val="22"/>
        </w:rPr>
        <w:t>below.</w:t>
      </w:r>
      <w:r w:rsidRPr="007D7306">
        <w:rPr>
          <w:rFonts w:asciiTheme="minorHAnsi" w:eastAsiaTheme="minorHAnsi" w:hAnsiTheme="minorHAnsi" w:cstheme="minorBidi"/>
          <w:snapToGrid/>
          <w:sz w:val="24"/>
          <w:szCs w:val="22"/>
        </w:rPr>
        <w:t xml:space="preserve"> </w:t>
      </w:r>
    </w:p>
    <w:p w:rsidR="00D756CD" w:rsidRPr="007D7306" w:rsidRDefault="00D756CD" w:rsidP="00D756CD">
      <w:pPr>
        <w:pStyle w:val="TableHeading0"/>
      </w:pPr>
      <w:r w:rsidRPr="007D7306">
        <w:t>Table 2: Comparison of the equi-effective doses proposed for cladribine vs</w:t>
      </w:r>
      <w:r w:rsidR="006E7DB3" w:rsidRPr="007D7306">
        <w:t xml:space="preserve"> fingolimod in the Nov 2017, </w:t>
      </w:r>
      <w:r w:rsidRPr="007D7306">
        <w:t xml:space="preserve">March </w:t>
      </w:r>
      <w:r w:rsidR="004937F5" w:rsidRPr="007D7306">
        <w:t>2018 and</w:t>
      </w:r>
      <w:r w:rsidR="006E7DB3" w:rsidRPr="007D7306">
        <w:t xml:space="preserve"> July 2018 </w:t>
      </w:r>
      <w:r w:rsidRPr="007D7306">
        <w:t>submissions</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2: Comparison of the equi-effective doses proposed for cladribine vs fingolimod in the Nov 2017, March 2018 and July 2018 submissions"/>
      </w:tblPr>
      <w:tblGrid>
        <w:gridCol w:w="1655"/>
        <w:gridCol w:w="2349"/>
        <w:gridCol w:w="2539"/>
        <w:gridCol w:w="2539"/>
      </w:tblGrid>
      <w:tr w:rsidR="00D756CD" w:rsidRPr="007D7306" w:rsidTr="00E13975">
        <w:trPr>
          <w:tblHeader/>
        </w:trPr>
        <w:tc>
          <w:tcPr>
            <w:tcW w:w="911" w:type="pct"/>
            <w:vMerge w:val="restart"/>
            <w:vAlign w:val="center"/>
          </w:tcPr>
          <w:p w:rsidR="00D756CD" w:rsidRPr="007D7306" w:rsidRDefault="00D756CD" w:rsidP="007563D0">
            <w:pPr>
              <w:pStyle w:val="TableText0"/>
              <w:spacing w:before="0" w:after="0"/>
              <w:rPr>
                <w:b/>
              </w:rPr>
            </w:pPr>
            <w:r w:rsidRPr="007D7306">
              <w:rPr>
                <w:b/>
              </w:rPr>
              <w:t>Cladribine dose</w:t>
            </w:r>
          </w:p>
        </w:tc>
        <w:tc>
          <w:tcPr>
            <w:tcW w:w="4089" w:type="pct"/>
            <w:gridSpan w:val="3"/>
            <w:vAlign w:val="center"/>
          </w:tcPr>
          <w:p w:rsidR="00D756CD" w:rsidRPr="007D7306" w:rsidRDefault="00D756CD" w:rsidP="007563D0">
            <w:pPr>
              <w:pStyle w:val="TableText0"/>
              <w:spacing w:before="0" w:after="0"/>
              <w:jc w:val="center"/>
              <w:rPr>
                <w:b/>
              </w:rPr>
            </w:pPr>
            <w:r w:rsidRPr="007D7306">
              <w:rPr>
                <w:b/>
              </w:rPr>
              <w:t>Fingolimod dose</w:t>
            </w:r>
          </w:p>
        </w:tc>
      </w:tr>
      <w:tr w:rsidR="00D756CD" w:rsidRPr="007D7306" w:rsidTr="00E13975">
        <w:trPr>
          <w:trHeight w:val="476"/>
          <w:tblHeader/>
        </w:trPr>
        <w:tc>
          <w:tcPr>
            <w:tcW w:w="911" w:type="pct"/>
            <w:vMerge/>
          </w:tcPr>
          <w:p w:rsidR="00D756CD" w:rsidRPr="007D7306" w:rsidRDefault="00D756CD" w:rsidP="007563D0">
            <w:pPr>
              <w:pStyle w:val="TableText0"/>
              <w:spacing w:before="0" w:after="0"/>
            </w:pPr>
          </w:p>
        </w:tc>
        <w:tc>
          <w:tcPr>
            <w:tcW w:w="1293" w:type="pct"/>
            <w:vAlign w:val="center"/>
          </w:tcPr>
          <w:p w:rsidR="00D756CD" w:rsidRPr="007D7306" w:rsidRDefault="00D756CD" w:rsidP="007563D0">
            <w:pPr>
              <w:pStyle w:val="TableText0"/>
              <w:spacing w:before="0" w:after="0"/>
              <w:jc w:val="center"/>
              <w:rPr>
                <w:b/>
              </w:rPr>
            </w:pPr>
            <w:r w:rsidRPr="007D7306">
              <w:rPr>
                <w:b/>
              </w:rPr>
              <w:t>November 2017 major resubmission</w:t>
            </w:r>
          </w:p>
        </w:tc>
        <w:tc>
          <w:tcPr>
            <w:tcW w:w="1398" w:type="pct"/>
            <w:vAlign w:val="center"/>
          </w:tcPr>
          <w:p w:rsidR="00D756CD" w:rsidRPr="007D7306" w:rsidRDefault="00D756CD" w:rsidP="007563D0">
            <w:pPr>
              <w:pStyle w:val="TableText0"/>
              <w:spacing w:before="0" w:after="0"/>
              <w:jc w:val="center"/>
              <w:rPr>
                <w:b/>
              </w:rPr>
            </w:pPr>
            <w:r w:rsidRPr="007D7306">
              <w:rPr>
                <w:b/>
              </w:rPr>
              <w:t>March 2018 minor resubmission</w:t>
            </w:r>
          </w:p>
        </w:tc>
        <w:tc>
          <w:tcPr>
            <w:tcW w:w="1398" w:type="pct"/>
            <w:vAlign w:val="center"/>
          </w:tcPr>
          <w:p w:rsidR="00D756CD" w:rsidRPr="007D7306" w:rsidRDefault="00D756CD" w:rsidP="00541155">
            <w:pPr>
              <w:pStyle w:val="TableText0"/>
              <w:spacing w:before="0" w:after="0"/>
              <w:jc w:val="center"/>
              <w:rPr>
                <w:b/>
              </w:rPr>
            </w:pPr>
            <w:r w:rsidRPr="007D7306">
              <w:rPr>
                <w:b/>
              </w:rPr>
              <w:t>July 2018 minor</w:t>
            </w:r>
          </w:p>
          <w:p w:rsidR="00D756CD" w:rsidRPr="007D7306" w:rsidRDefault="00D756CD" w:rsidP="00D54016">
            <w:pPr>
              <w:pStyle w:val="TableText0"/>
              <w:spacing w:before="0" w:after="0"/>
              <w:jc w:val="center"/>
              <w:rPr>
                <w:b/>
              </w:rPr>
            </w:pPr>
            <w:r w:rsidRPr="007D7306">
              <w:rPr>
                <w:b/>
              </w:rPr>
              <w:t>resubmission</w:t>
            </w:r>
          </w:p>
        </w:tc>
      </w:tr>
      <w:tr w:rsidR="00D756CD" w:rsidRPr="007D7306" w:rsidTr="00194975">
        <w:trPr>
          <w:trHeight w:val="782"/>
        </w:trPr>
        <w:tc>
          <w:tcPr>
            <w:tcW w:w="911" w:type="pct"/>
          </w:tcPr>
          <w:p w:rsidR="00D756CD" w:rsidRPr="007D7306" w:rsidRDefault="00D756CD" w:rsidP="00D756CD">
            <w:pPr>
              <w:pStyle w:val="TableText0"/>
              <w:spacing w:before="0" w:after="0"/>
              <w:jc w:val="center"/>
            </w:pPr>
            <w:r w:rsidRPr="007D7306">
              <w:t>280 mg</w:t>
            </w:r>
          </w:p>
          <w:p w:rsidR="00D756CD" w:rsidRPr="007D7306" w:rsidRDefault="00D756CD" w:rsidP="00D756CD">
            <w:pPr>
              <w:pStyle w:val="TableText0"/>
              <w:spacing w:before="0" w:after="0"/>
              <w:jc w:val="center"/>
            </w:pPr>
            <w:r w:rsidRPr="007D7306">
              <w:t>(28 tablets; assuming average weight of 76.6kg)</w:t>
            </w:r>
          </w:p>
        </w:tc>
        <w:tc>
          <w:tcPr>
            <w:tcW w:w="1293" w:type="pct"/>
            <w:vAlign w:val="center"/>
          </w:tcPr>
          <w:p w:rsidR="00D756CD" w:rsidRPr="007D7306" w:rsidRDefault="00D756CD" w:rsidP="00D756CD">
            <w:pPr>
              <w:pStyle w:val="TableText0"/>
              <w:spacing w:before="0" w:after="0"/>
              <w:jc w:val="center"/>
            </w:pPr>
            <w:r w:rsidRPr="007D7306">
              <w:t>730 mg</w:t>
            </w:r>
          </w:p>
          <w:p w:rsidR="00D756CD" w:rsidRPr="007D7306" w:rsidRDefault="00D756CD" w:rsidP="00D756CD">
            <w:pPr>
              <w:pStyle w:val="TableText0"/>
              <w:spacing w:before="0" w:after="0"/>
              <w:jc w:val="center"/>
            </w:pPr>
            <w:r w:rsidRPr="007D7306">
              <w:rPr>
                <w:rFonts w:cstheme="minorHAnsi"/>
              </w:rPr>
              <w:t>(365 days x four years x 0.5mg/day)</w:t>
            </w:r>
          </w:p>
        </w:tc>
        <w:tc>
          <w:tcPr>
            <w:tcW w:w="1398" w:type="pct"/>
            <w:vAlign w:val="center"/>
          </w:tcPr>
          <w:p w:rsidR="00D756CD" w:rsidRPr="007D7306" w:rsidRDefault="00D756CD" w:rsidP="00D756CD">
            <w:pPr>
              <w:pStyle w:val="TableText0"/>
              <w:spacing w:before="0" w:after="0"/>
              <w:jc w:val="center"/>
            </w:pPr>
            <w:r w:rsidRPr="007D7306">
              <w:t>697 mg</w:t>
            </w:r>
          </w:p>
          <w:p w:rsidR="00D756CD" w:rsidRPr="007D7306" w:rsidRDefault="00D756CD" w:rsidP="00D756CD">
            <w:pPr>
              <w:pStyle w:val="TableText0"/>
              <w:spacing w:before="0" w:after="0"/>
              <w:jc w:val="center"/>
            </w:pPr>
            <w:r w:rsidRPr="007D7306">
              <w:rPr>
                <w:rFonts w:cstheme="minorHAnsi"/>
              </w:rPr>
              <w:t>(365 days x four years x 0.5mg/day x 95.48%)</w:t>
            </w:r>
          </w:p>
        </w:tc>
        <w:tc>
          <w:tcPr>
            <w:tcW w:w="1398" w:type="pct"/>
          </w:tcPr>
          <w:p w:rsidR="00D756CD" w:rsidRPr="007D7306" w:rsidRDefault="00D756CD" w:rsidP="00D756CD">
            <w:pPr>
              <w:pStyle w:val="TableText0"/>
              <w:spacing w:before="0" w:after="0"/>
              <w:jc w:val="center"/>
            </w:pPr>
            <w:r w:rsidRPr="007D7306">
              <w:t>348 mg</w:t>
            </w:r>
          </w:p>
          <w:p w:rsidR="00D756CD" w:rsidRPr="007D7306" w:rsidRDefault="00D756CD" w:rsidP="00D756CD">
            <w:pPr>
              <w:pStyle w:val="TableText0"/>
              <w:spacing w:before="0" w:after="0"/>
              <w:jc w:val="center"/>
            </w:pPr>
            <w:r w:rsidRPr="007D7306">
              <w:t xml:space="preserve">(365 days x two years x 0.5 mg/day x </w:t>
            </w:r>
            <w:r w:rsidR="007439F8">
              <w:rPr>
                <w:noProof/>
                <w:color w:val="000000"/>
                <w:highlight w:val="black"/>
              </w:rPr>
              <w:t>''''''''''''</w:t>
            </w:r>
            <w:r w:rsidRPr="007D7306">
              <w:t>%)</w:t>
            </w:r>
          </w:p>
        </w:tc>
      </w:tr>
    </w:tbl>
    <w:p w:rsidR="00F02665" w:rsidRPr="007D7306" w:rsidRDefault="00F02665" w:rsidP="00843FA5"/>
    <w:p w:rsidR="009D5A42" w:rsidRPr="00E13975" w:rsidRDefault="0036394F" w:rsidP="00E13975">
      <w:pPr>
        <w:pStyle w:val="ListParagraph"/>
        <w:numPr>
          <w:ilvl w:val="1"/>
          <w:numId w:val="14"/>
        </w:numPr>
        <w:spacing w:after="120"/>
        <w:contextualSpacing w:val="0"/>
        <w:rPr>
          <w:rFonts w:asciiTheme="minorHAnsi" w:hAnsiTheme="minorHAnsi" w:cstheme="minorHAnsi"/>
          <w:sz w:val="24"/>
          <w:szCs w:val="24"/>
        </w:rPr>
      </w:pPr>
      <w:r w:rsidRPr="007D7306">
        <w:rPr>
          <w:rFonts w:asciiTheme="minorHAnsi" w:hAnsiTheme="minorHAnsi" w:cstheme="minorHAnsi"/>
          <w:sz w:val="24"/>
          <w:szCs w:val="24"/>
        </w:rPr>
        <w:t>The minor resubmission proposed a new equi-effective dose</w:t>
      </w:r>
      <w:r w:rsidR="00FB01DA" w:rsidRPr="007D7306">
        <w:rPr>
          <w:rFonts w:asciiTheme="minorHAnsi" w:hAnsiTheme="minorHAnsi" w:cstheme="minorHAnsi"/>
          <w:sz w:val="24"/>
          <w:szCs w:val="24"/>
        </w:rPr>
        <w:t xml:space="preserve"> for fingolimod, based on two years of treatment</w:t>
      </w:r>
      <w:r w:rsidR="001B5022" w:rsidRPr="007D7306">
        <w:rPr>
          <w:rFonts w:asciiTheme="minorHAnsi" w:hAnsiTheme="minorHAnsi" w:cstheme="minorHAnsi"/>
          <w:sz w:val="24"/>
          <w:szCs w:val="24"/>
        </w:rPr>
        <w:t xml:space="preserve"> rather than four years. As per the March 2018 submission, the equi-effective dose</w:t>
      </w:r>
      <w:r w:rsidR="00265661" w:rsidRPr="007D7306">
        <w:rPr>
          <w:rFonts w:asciiTheme="minorHAnsi" w:hAnsiTheme="minorHAnsi" w:cstheme="minorHAnsi"/>
          <w:sz w:val="24"/>
          <w:szCs w:val="24"/>
        </w:rPr>
        <w:t xml:space="preserve"> was adjusted to account for compliance (</w:t>
      </w:r>
      <w:r w:rsidR="007439F8">
        <w:rPr>
          <w:rFonts w:asciiTheme="minorHAnsi" w:hAnsiTheme="minorHAnsi" w:cstheme="minorHAnsi"/>
          <w:noProof/>
          <w:color w:val="000000"/>
          <w:sz w:val="24"/>
          <w:szCs w:val="24"/>
          <w:highlight w:val="black"/>
        </w:rPr>
        <w:t>'''''''''''</w:t>
      </w:r>
      <w:r w:rsidR="00265661" w:rsidRPr="007D7306">
        <w:rPr>
          <w:rFonts w:asciiTheme="minorHAnsi" w:hAnsiTheme="minorHAnsi" w:cstheme="minorHAnsi"/>
          <w:sz w:val="24"/>
          <w:szCs w:val="24"/>
        </w:rPr>
        <w:t xml:space="preserve">%) </w:t>
      </w:r>
      <w:r w:rsidR="00CB67B1" w:rsidRPr="007D7306">
        <w:rPr>
          <w:rFonts w:asciiTheme="minorHAnsi" w:hAnsiTheme="minorHAnsi" w:cstheme="minorHAnsi"/>
          <w:sz w:val="24"/>
          <w:szCs w:val="24"/>
        </w:rPr>
        <w:t xml:space="preserve">with </w:t>
      </w:r>
      <w:r w:rsidR="00265661" w:rsidRPr="007D7306">
        <w:rPr>
          <w:rFonts w:asciiTheme="minorHAnsi" w:hAnsiTheme="minorHAnsi" w:cstheme="minorHAnsi"/>
          <w:sz w:val="24"/>
          <w:szCs w:val="24"/>
        </w:rPr>
        <w:t xml:space="preserve">fingolimod. This compliance rate was </w:t>
      </w:r>
      <w:r w:rsidRPr="007D7306">
        <w:rPr>
          <w:rFonts w:asciiTheme="minorHAnsi" w:hAnsiTheme="minorHAnsi" w:cstheme="minorHAnsi"/>
          <w:sz w:val="24"/>
          <w:szCs w:val="24"/>
        </w:rPr>
        <w:t>based on</w:t>
      </w:r>
      <w:r w:rsidR="00265661" w:rsidRPr="007D7306">
        <w:rPr>
          <w:sz w:val="24"/>
          <w:szCs w:val="24"/>
        </w:rPr>
        <w:t xml:space="preserve"> </w:t>
      </w:r>
      <w:r w:rsidR="00265661" w:rsidRPr="007D7306">
        <w:rPr>
          <w:rFonts w:asciiTheme="minorHAnsi" w:hAnsiTheme="minorHAnsi" w:cstheme="minorHAnsi"/>
          <w:sz w:val="24"/>
          <w:szCs w:val="24"/>
        </w:rPr>
        <w:t>calculating the mean duration of exposure of 1394 days out of 1460 days for fingolimod in the FREEDOMS extension trial.</w:t>
      </w:r>
      <w:r w:rsidR="00427B63" w:rsidRPr="007D7306">
        <w:rPr>
          <w:rFonts w:asciiTheme="minorHAnsi" w:hAnsiTheme="minorHAnsi" w:cstheme="minorHAnsi"/>
          <w:sz w:val="24"/>
          <w:szCs w:val="24"/>
        </w:rPr>
        <w:t xml:space="preserve"> </w:t>
      </w:r>
      <w:r w:rsidR="008727CB" w:rsidRPr="007D7306">
        <w:rPr>
          <w:rFonts w:asciiTheme="minorHAnsi" w:hAnsiTheme="minorHAnsi" w:cstheme="minorHAnsi"/>
          <w:sz w:val="24"/>
          <w:szCs w:val="24"/>
        </w:rPr>
        <w:t xml:space="preserve">The minor resubmission claimed the FREEDOMS trial does not report relevant data from which a </w:t>
      </w:r>
      <w:r w:rsidR="008727CB" w:rsidRPr="007922C4">
        <w:rPr>
          <w:rFonts w:asciiTheme="minorHAnsi" w:hAnsiTheme="minorHAnsi" w:cstheme="minorHAnsi"/>
          <w:sz w:val="24"/>
          <w:szCs w:val="24"/>
        </w:rPr>
        <w:t>two-year</w:t>
      </w:r>
      <w:r w:rsidR="008727CB" w:rsidRPr="007D7306">
        <w:rPr>
          <w:rFonts w:asciiTheme="minorHAnsi" w:hAnsiTheme="minorHAnsi" w:cstheme="minorHAnsi"/>
          <w:sz w:val="24"/>
          <w:szCs w:val="24"/>
        </w:rPr>
        <w:t xml:space="preserve"> compliance rate can be estimated. The minor resubmission claimed it was likely that the compliance rate over </w:t>
      </w:r>
      <w:r w:rsidR="008727CB" w:rsidRPr="007922C4">
        <w:rPr>
          <w:rFonts w:asciiTheme="minorHAnsi" w:hAnsiTheme="minorHAnsi" w:cstheme="minorHAnsi"/>
          <w:sz w:val="24"/>
          <w:szCs w:val="24"/>
        </w:rPr>
        <w:t>two years</w:t>
      </w:r>
      <w:r w:rsidR="008727CB" w:rsidRPr="007D7306">
        <w:rPr>
          <w:rFonts w:asciiTheme="minorHAnsi" w:hAnsiTheme="minorHAnsi" w:cstheme="minorHAnsi"/>
          <w:sz w:val="24"/>
          <w:szCs w:val="24"/>
        </w:rPr>
        <w:t xml:space="preserve"> is greater than that over four years however and therefore indicated that application of this compliance r</w:t>
      </w:r>
      <w:r w:rsidR="00E13975">
        <w:rPr>
          <w:rFonts w:asciiTheme="minorHAnsi" w:hAnsiTheme="minorHAnsi" w:cstheme="minorHAnsi"/>
          <w:sz w:val="24"/>
          <w:szCs w:val="24"/>
        </w:rPr>
        <w:t>ate is a conservative approach.</w:t>
      </w:r>
    </w:p>
    <w:p w:rsidR="00A00D68" w:rsidRPr="00E13975" w:rsidRDefault="00920B68" w:rsidP="00E13975">
      <w:pPr>
        <w:pStyle w:val="ListParagraph"/>
        <w:numPr>
          <w:ilvl w:val="1"/>
          <w:numId w:val="14"/>
        </w:numPr>
        <w:spacing w:after="120"/>
        <w:contextualSpacing w:val="0"/>
        <w:rPr>
          <w:rFonts w:asciiTheme="minorHAnsi" w:hAnsiTheme="minorHAnsi" w:cstheme="minorHAnsi"/>
          <w:sz w:val="24"/>
          <w:szCs w:val="24"/>
        </w:rPr>
      </w:pPr>
      <w:r w:rsidRPr="007D7306">
        <w:rPr>
          <w:rFonts w:asciiTheme="minorHAnsi" w:hAnsiTheme="minorHAnsi" w:cstheme="minorHAnsi"/>
          <w:sz w:val="24"/>
          <w:szCs w:val="24"/>
        </w:rPr>
        <w:t xml:space="preserve">In the March 2018 and November 2017 submissions (unchanged in the current minor resubmission)  the base case financial analysis assumed cladribine and fingolimod persistence rates of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xml:space="preserve">%,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xml:space="preserve">%,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xml:space="preserve">%,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xml:space="preserve">%,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xml:space="preserve">% and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in Years 1 to 6. This was based on a Prospection analysis of the fingolimod Medicare prescription data for the persistence rates of fingolimod.  The cost-minimisation analysis does not include persistence.</w:t>
      </w:r>
    </w:p>
    <w:p w:rsidR="00491CA0" w:rsidRPr="007D7306" w:rsidRDefault="00A00D68" w:rsidP="00E13975">
      <w:pPr>
        <w:pStyle w:val="ListParagraph"/>
        <w:widowControl/>
        <w:numPr>
          <w:ilvl w:val="1"/>
          <w:numId w:val="14"/>
        </w:numPr>
        <w:spacing w:after="120"/>
        <w:contextualSpacing w:val="0"/>
        <w:rPr>
          <w:rFonts w:asciiTheme="minorHAnsi" w:hAnsiTheme="minorHAnsi" w:cstheme="minorHAnsi"/>
          <w:sz w:val="24"/>
        </w:rPr>
      </w:pPr>
      <w:r w:rsidRPr="007D7306">
        <w:rPr>
          <w:rFonts w:asciiTheme="minorHAnsi" w:eastAsiaTheme="minorHAnsi" w:hAnsiTheme="minorHAnsi" w:cstheme="minorBidi"/>
          <w:snapToGrid/>
          <w:sz w:val="24"/>
          <w:szCs w:val="22"/>
        </w:rPr>
        <w:t>The</w:t>
      </w:r>
      <w:r w:rsidRPr="007D7306">
        <w:rPr>
          <w:rFonts w:asciiTheme="minorHAnsi" w:hAnsiTheme="minorHAnsi" w:cstheme="minorHAnsi"/>
          <w:sz w:val="24"/>
          <w:szCs w:val="24"/>
        </w:rPr>
        <w:t xml:space="preserve"> March 2018 minor resubmission proposed a second rebate of </w:t>
      </w:r>
      <w:r w:rsidR="007439F8">
        <w:rPr>
          <w:rFonts w:asciiTheme="minorHAnsi" w:hAnsiTheme="minorHAnsi" w:cstheme="minorHAnsi"/>
          <w:noProof/>
          <w:color w:val="000000"/>
          <w:sz w:val="24"/>
          <w:szCs w:val="24"/>
          <w:highlight w:val="black"/>
        </w:rPr>
        <w:t>'''''''''</w:t>
      </w:r>
      <w:r w:rsidRPr="007D7306">
        <w:rPr>
          <w:rFonts w:asciiTheme="minorHAnsi" w:hAnsiTheme="minorHAnsi" w:cstheme="minorHAnsi"/>
          <w:sz w:val="24"/>
          <w:szCs w:val="24"/>
        </w:rPr>
        <w:t>% to account for any treatment switching</w:t>
      </w:r>
      <w:r w:rsidR="0092280A" w:rsidRPr="007D7306">
        <w:rPr>
          <w:rFonts w:asciiTheme="minorHAnsi" w:hAnsiTheme="minorHAnsi" w:cstheme="minorHAnsi"/>
          <w:sz w:val="24"/>
          <w:szCs w:val="24"/>
        </w:rPr>
        <w:t xml:space="preserve"> that may occur for patients who experience disease relapse prior to the four-year period with cladribine treatment. </w:t>
      </w:r>
      <w:r w:rsidR="00E263C3" w:rsidRPr="007D7306">
        <w:rPr>
          <w:rFonts w:asciiTheme="minorHAnsi" w:hAnsiTheme="minorHAnsi" w:cstheme="minorHAnsi"/>
          <w:sz w:val="24"/>
          <w:szCs w:val="24"/>
        </w:rPr>
        <w:t xml:space="preserve">The proposed price for cladribine tablets in the current minor resubmission does not incorporate a rebate to account for treatment switching. </w:t>
      </w:r>
    </w:p>
    <w:p w:rsidR="004C7C76" w:rsidRPr="007D7306" w:rsidRDefault="004C7C76" w:rsidP="004C7C76">
      <w:pPr>
        <w:pStyle w:val="ListParagraph"/>
        <w:numPr>
          <w:ilvl w:val="1"/>
          <w:numId w:val="14"/>
        </w:numPr>
        <w:spacing w:after="120"/>
        <w:rPr>
          <w:rFonts w:asciiTheme="minorHAnsi" w:hAnsiTheme="minorHAnsi" w:cstheme="minorHAnsi"/>
          <w:sz w:val="24"/>
        </w:rPr>
      </w:pPr>
      <w:r w:rsidRPr="007D7306">
        <w:rPr>
          <w:rFonts w:asciiTheme="minorHAnsi" w:hAnsiTheme="minorHAnsi" w:cstheme="minorHAnsi"/>
          <w:sz w:val="24"/>
        </w:rPr>
        <w:t xml:space="preserve">The minor resubmission </w:t>
      </w:r>
      <w:r w:rsidR="007439F8">
        <w:rPr>
          <w:rFonts w:asciiTheme="minorHAnsi" w:hAnsiTheme="minorHAnsi" w:cstheme="minorHAnsi"/>
          <w:noProof/>
          <w:color w:val="000000"/>
          <w:sz w:val="24"/>
          <w:highlight w:val="black"/>
        </w:rPr>
        <w:t xml:space="preserve">'''''''''''' '''''' ''''''''''''''''' ''''' '''''' ''''''''''''''''' '''''''''' ''''''''''''''''''' '''''''' </w:t>
      </w:r>
      <w:r w:rsidR="007439F8">
        <w:rPr>
          <w:rFonts w:asciiTheme="minorHAnsi" w:hAnsiTheme="minorHAnsi" w:cstheme="minorHAnsi"/>
          <w:noProof/>
          <w:color w:val="000000"/>
          <w:sz w:val="24"/>
          <w:highlight w:val="black"/>
        </w:rPr>
        <w:lastRenderedPageBreak/>
        <w:t>'''''' '''''''''''''''''''''''' ''''''''''''''''' ''''''''''''' ''''''''' '''''''''' '''''''''''''''' ''''''''''''''' '''''''''''''''''''''''''''' '''' '''''''''''' ''''''''''' ''''''''''''''''''' ''''''''</w:t>
      </w:r>
      <w:r w:rsidRPr="007D7306">
        <w:rPr>
          <w:rFonts w:asciiTheme="minorHAnsi" w:hAnsiTheme="minorHAnsi" w:cstheme="minorHAnsi"/>
          <w:sz w:val="24"/>
        </w:rPr>
        <w:t xml:space="preserve"> requested, if recommended, the Department of Health to consider using the following wording:</w:t>
      </w:r>
    </w:p>
    <w:p w:rsidR="004C7C76" w:rsidRPr="007D7306" w:rsidRDefault="004C7C76" w:rsidP="00194975">
      <w:pPr>
        <w:pStyle w:val="ListParagraph"/>
        <w:widowControl/>
        <w:numPr>
          <w:ilvl w:val="0"/>
          <w:numId w:val="17"/>
        </w:numPr>
        <w:spacing w:before="120" w:after="120"/>
        <w:ind w:left="1066" w:hanging="357"/>
        <w:contextualSpacing w:val="0"/>
        <w:rPr>
          <w:rFonts w:asciiTheme="minorHAnsi" w:hAnsiTheme="minorHAnsi" w:cstheme="minorHAnsi"/>
          <w:sz w:val="24"/>
        </w:rPr>
      </w:pPr>
      <w:r w:rsidRPr="007D7306">
        <w:rPr>
          <w:rFonts w:asciiTheme="minorHAnsi" w:hAnsiTheme="minorHAnsi" w:cstheme="minorHAnsi"/>
          <w:sz w:val="24"/>
        </w:rPr>
        <w:t>‘</w:t>
      </w:r>
      <w:r w:rsidRPr="007D7306">
        <w:rPr>
          <w:rFonts w:asciiTheme="minorHAnsi" w:eastAsiaTheme="minorHAnsi" w:hAnsiTheme="minorHAnsi" w:cstheme="minorBidi"/>
          <w:snapToGrid/>
          <w:sz w:val="24"/>
          <w:szCs w:val="22"/>
        </w:rPr>
        <w:t>Cladribine</w:t>
      </w:r>
      <w:r w:rsidRPr="007D7306">
        <w:rPr>
          <w:rFonts w:asciiTheme="minorHAnsi" w:hAnsiTheme="minorHAnsi" w:cstheme="minorHAnsi"/>
          <w:sz w:val="24"/>
        </w:rPr>
        <w:t xml:space="preserve"> tablets were recommended for listing for the treatment of RRMS, on the basis of non-inferiority to fingolimod.  The equi-effective doses are 280 mg cla</w:t>
      </w:r>
      <w:r w:rsidR="00E13975">
        <w:rPr>
          <w:rFonts w:asciiTheme="minorHAnsi" w:hAnsiTheme="minorHAnsi" w:cstheme="minorHAnsi"/>
          <w:sz w:val="24"/>
        </w:rPr>
        <w:t xml:space="preserve">dribine = 348.5 mg fingolimod. </w:t>
      </w:r>
      <w:r w:rsidRPr="007D7306">
        <w:rPr>
          <w:rFonts w:asciiTheme="minorHAnsi" w:hAnsiTheme="minorHAnsi" w:cstheme="minorHAnsi"/>
          <w:sz w:val="24"/>
        </w:rPr>
        <w:t>Special pricing arrangements apply.’</w:t>
      </w:r>
    </w:p>
    <w:p w:rsidR="003C2FB5" w:rsidRPr="007D7306" w:rsidRDefault="00A55FEE" w:rsidP="00E263C3">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Drug c</w:t>
      </w:r>
      <w:r w:rsidR="005E3A65" w:rsidRPr="007D7306">
        <w:rPr>
          <w:rFonts w:asciiTheme="minorHAnsi" w:eastAsiaTheme="majorEastAsia" w:hAnsiTheme="minorHAnsi" w:cstheme="majorBidi"/>
          <w:sz w:val="28"/>
          <w:szCs w:val="28"/>
          <w:lang w:eastAsia="en-US"/>
        </w:rPr>
        <w:t>ost/patient/course:</w:t>
      </w:r>
      <w:r w:rsidR="00200E9D" w:rsidRPr="007D7306">
        <w:rPr>
          <w:rFonts w:asciiTheme="minorHAnsi" w:eastAsiaTheme="majorEastAsia" w:hAnsiTheme="minorHAnsi" w:cstheme="majorBidi"/>
          <w:sz w:val="28"/>
          <w:szCs w:val="28"/>
          <w:lang w:eastAsia="en-US"/>
        </w:rPr>
        <w:t xml:space="preserve"> </w:t>
      </w:r>
      <w:r w:rsidR="005E3A65" w:rsidRPr="007D7306">
        <w:rPr>
          <w:rFonts w:asciiTheme="minorHAnsi" w:eastAsiaTheme="majorEastAsia" w:hAnsiTheme="minorHAnsi" w:cstheme="majorBidi"/>
          <w:sz w:val="28"/>
          <w:szCs w:val="28"/>
          <w:lang w:eastAsia="en-US"/>
        </w:rPr>
        <w:t>$</w:t>
      </w:r>
      <w:r w:rsidR="007439F8">
        <w:rPr>
          <w:rFonts w:asciiTheme="minorHAnsi" w:eastAsiaTheme="majorEastAsia" w:hAnsiTheme="minorHAnsi" w:cstheme="majorBidi"/>
          <w:noProof/>
          <w:color w:val="000000"/>
          <w:sz w:val="28"/>
          <w:szCs w:val="28"/>
          <w:highlight w:val="black"/>
          <w:lang w:eastAsia="en-US"/>
        </w:rPr>
        <w:t>''''''''''''''''''</w:t>
      </w:r>
      <w:r w:rsidR="000F426C" w:rsidRPr="007D7306">
        <w:rPr>
          <w:rFonts w:asciiTheme="minorHAnsi" w:eastAsiaTheme="majorEastAsia" w:hAnsiTheme="minorHAnsi" w:cstheme="majorBidi"/>
          <w:sz w:val="28"/>
          <w:szCs w:val="28"/>
          <w:lang w:eastAsia="en-US"/>
        </w:rPr>
        <w:t xml:space="preserve"> </w:t>
      </w:r>
    </w:p>
    <w:p w:rsidR="00A55FEE" w:rsidRPr="007D7306" w:rsidRDefault="005E3A65" w:rsidP="00A6269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D7306">
        <w:rPr>
          <w:rFonts w:asciiTheme="minorHAnsi" w:eastAsiaTheme="minorHAnsi" w:hAnsiTheme="minorHAnsi" w:cstheme="minorBidi"/>
          <w:snapToGrid/>
          <w:sz w:val="24"/>
          <w:szCs w:val="22"/>
        </w:rPr>
        <w:t xml:space="preserve">The drug cost per patient was calculated based on </w:t>
      </w:r>
      <w:r w:rsidR="00A62699" w:rsidRPr="007D7306">
        <w:rPr>
          <w:rFonts w:asciiTheme="minorHAnsi" w:eastAsiaTheme="minorHAnsi" w:hAnsiTheme="minorHAnsi" w:cstheme="minorBidi"/>
          <w:snapToGrid/>
          <w:sz w:val="24"/>
          <w:szCs w:val="22"/>
        </w:rPr>
        <w:t>a</w:t>
      </w:r>
      <w:r w:rsidRPr="007D7306">
        <w:rPr>
          <w:rFonts w:asciiTheme="minorHAnsi" w:eastAsiaTheme="minorHAnsi" w:hAnsiTheme="minorHAnsi" w:cstheme="minorBidi"/>
          <w:snapToGrid/>
          <w:sz w:val="24"/>
          <w:szCs w:val="22"/>
        </w:rPr>
        <w:t xml:space="preserve"> two year course of fingolimod trea</w:t>
      </w:r>
      <w:r w:rsidR="00B232D2" w:rsidRPr="007D7306">
        <w:rPr>
          <w:rFonts w:asciiTheme="minorHAnsi" w:eastAsiaTheme="minorHAnsi" w:hAnsiTheme="minorHAnsi" w:cstheme="minorBidi"/>
          <w:snapToGrid/>
          <w:sz w:val="24"/>
          <w:szCs w:val="22"/>
        </w:rPr>
        <w:t>tment</w:t>
      </w:r>
      <w:r w:rsidR="00A62699" w:rsidRPr="007D7306">
        <w:rPr>
          <w:rFonts w:asciiTheme="minorHAnsi" w:eastAsiaTheme="minorHAnsi" w:hAnsiTheme="minorHAnsi" w:cstheme="minorBidi"/>
          <w:snapToGrid/>
          <w:sz w:val="24"/>
          <w:szCs w:val="22"/>
        </w:rPr>
        <w:t xml:space="preserve">, assuming an average requirement of seven tablets per patient, based on the average weight (76.6kg) of patients in an Australian MS longitudinal study receiving cladribine and a </w:t>
      </w:r>
      <w:r w:rsidR="00B232D2" w:rsidRPr="007D7306">
        <w:rPr>
          <w:rFonts w:asciiTheme="minorHAnsi" w:eastAsiaTheme="minorHAnsi" w:hAnsiTheme="minorHAnsi" w:cstheme="minorBidi"/>
          <w:snapToGrid/>
          <w:sz w:val="24"/>
          <w:szCs w:val="22"/>
        </w:rPr>
        <w:t>DPMQ per maximum quantity of 7 tablets</w:t>
      </w:r>
      <w:r w:rsidR="002B6F3E" w:rsidRPr="007D7306">
        <w:rPr>
          <w:rFonts w:asciiTheme="minorHAnsi" w:eastAsiaTheme="minorHAnsi" w:hAnsiTheme="minorHAnsi" w:cstheme="minorBidi"/>
          <w:snapToGrid/>
          <w:sz w:val="24"/>
          <w:szCs w:val="22"/>
        </w:rPr>
        <w:t xml:space="preserve"> for cladribine</w:t>
      </w:r>
      <w:r w:rsidR="00B232D2" w:rsidRPr="007D7306">
        <w:rPr>
          <w:rFonts w:asciiTheme="minorHAnsi" w:eastAsiaTheme="minorHAnsi" w:hAnsiTheme="minorHAnsi" w:cstheme="minorBidi"/>
          <w:snapToGrid/>
          <w:sz w:val="24"/>
          <w:szCs w:val="22"/>
        </w:rPr>
        <w:t xml:space="preserve"> </w:t>
      </w:r>
      <w:r w:rsidR="00304935" w:rsidRPr="007D7306">
        <w:rPr>
          <w:rFonts w:asciiTheme="minorHAnsi" w:eastAsiaTheme="minorHAnsi" w:hAnsiTheme="minorHAnsi" w:cstheme="minorBidi"/>
          <w:snapToGrid/>
          <w:sz w:val="24"/>
          <w:szCs w:val="22"/>
        </w:rPr>
        <w:t xml:space="preserve">of  </w:t>
      </w:r>
      <w:r w:rsidR="00B232D2" w:rsidRPr="007D7306">
        <w:rPr>
          <w:rFonts w:asciiTheme="minorHAnsi" w:eastAsiaTheme="minorHAnsi" w:hAnsiTheme="minorHAnsi" w:cstheme="minorBidi"/>
          <w:snapToGrid/>
          <w:sz w:val="24"/>
          <w:szCs w:val="22"/>
        </w:rPr>
        <w:t>$</w:t>
      </w:r>
      <w:r w:rsidR="007439F8">
        <w:rPr>
          <w:rFonts w:asciiTheme="minorHAnsi" w:eastAsiaTheme="minorHAnsi" w:hAnsiTheme="minorHAnsi" w:cstheme="minorBidi"/>
          <w:noProof/>
          <w:snapToGrid/>
          <w:color w:val="000000"/>
          <w:sz w:val="24"/>
          <w:szCs w:val="22"/>
          <w:highlight w:val="black"/>
        </w:rPr>
        <w:t>'''''''''''''''''</w:t>
      </w:r>
      <w:r w:rsidR="00304935" w:rsidRPr="007D7306">
        <w:rPr>
          <w:rFonts w:asciiTheme="minorHAnsi" w:eastAsiaTheme="minorHAnsi" w:hAnsiTheme="minorHAnsi" w:cstheme="minorBidi"/>
          <w:snapToGrid/>
          <w:sz w:val="24"/>
          <w:szCs w:val="22"/>
        </w:rPr>
        <w:t>.</w:t>
      </w:r>
      <w:r w:rsidR="00B232D2" w:rsidRPr="007D7306">
        <w:rPr>
          <w:rFonts w:asciiTheme="minorHAnsi" w:eastAsiaTheme="minorHAnsi" w:hAnsiTheme="minorHAnsi" w:cstheme="minorBidi"/>
          <w:snapToGrid/>
          <w:sz w:val="24"/>
          <w:szCs w:val="22"/>
        </w:rPr>
        <w:t xml:space="preserve"> </w:t>
      </w:r>
      <w:r w:rsidR="00304935" w:rsidRPr="007D7306">
        <w:rPr>
          <w:rFonts w:asciiTheme="minorHAnsi" w:eastAsiaTheme="minorHAnsi" w:hAnsiTheme="minorHAnsi" w:cstheme="minorBidi"/>
          <w:snapToGrid/>
          <w:sz w:val="24"/>
          <w:szCs w:val="22"/>
        </w:rPr>
        <w:t xml:space="preserve">This also includes the proposed </w:t>
      </w:r>
      <w:r w:rsidR="007439F8">
        <w:rPr>
          <w:rFonts w:asciiTheme="minorHAnsi" w:eastAsiaTheme="minorHAnsi" w:hAnsiTheme="minorHAnsi" w:cstheme="minorBidi"/>
          <w:noProof/>
          <w:snapToGrid/>
          <w:color w:val="000000"/>
          <w:sz w:val="24"/>
          <w:szCs w:val="22"/>
          <w:highlight w:val="black"/>
        </w:rPr>
        <w:t>''''''''</w:t>
      </w:r>
      <w:r w:rsidR="00304935" w:rsidRPr="007D7306">
        <w:rPr>
          <w:rFonts w:asciiTheme="minorHAnsi" w:eastAsiaTheme="minorHAnsi" w:hAnsiTheme="minorHAnsi" w:cstheme="minorBidi"/>
          <w:snapToGrid/>
          <w:sz w:val="24"/>
          <w:szCs w:val="22"/>
        </w:rPr>
        <w:t xml:space="preserve">% rebate for the cost of cladribine tablets. This </w:t>
      </w:r>
      <w:r w:rsidR="00B232D2" w:rsidRPr="007D7306">
        <w:rPr>
          <w:rFonts w:asciiTheme="minorHAnsi" w:eastAsiaTheme="minorHAnsi" w:hAnsiTheme="minorHAnsi" w:cstheme="minorBidi"/>
          <w:snapToGrid/>
          <w:sz w:val="24"/>
          <w:szCs w:val="22"/>
        </w:rPr>
        <w:t>compar</w:t>
      </w:r>
      <w:r w:rsidR="00304935" w:rsidRPr="007D7306">
        <w:rPr>
          <w:rFonts w:asciiTheme="minorHAnsi" w:eastAsiaTheme="minorHAnsi" w:hAnsiTheme="minorHAnsi" w:cstheme="minorBidi"/>
          <w:snapToGrid/>
          <w:sz w:val="24"/>
          <w:szCs w:val="22"/>
        </w:rPr>
        <w:t>es</w:t>
      </w:r>
      <w:r w:rsidR="00B232D2" w:rsidRPr="007D7306">
        <w:rPr>
          <w:rFonts w:asciiTheme="minorHAnsi" w:eastAsiaTheme="minorHAnsi" w:hAnsiTheme="minorHAnsi" w:cstheme="minorBidi"/>
          <w:snapToGrid/>
          <w:sz w:val="24"/>
          <w:szCs w:val="22"/>
        </w:rPr>
        <w:t xml:space="preserve"> to </w:t>
      </w:r>
      <w:r w:rsidR="00304935" w:rsidRPr="007D7306">
        <w:rPr>
          <w:rFonts w:asciiTheme="minorHAnsi" w:eastAsiaTheme="minorHAnsi" w:hAnsiTheme="minorHAnsi" w:cstheme="minorBidi"/>
          <w:snapToGrid/>
          <w:sz w:val="24"/>
          <w:szCs w:val="22"/>
        </w:rPr>
        <w:t>a</w:t>
      </w:r>
      <w:r w:rsidR="00B232D2" w:rsidRPr="007D7306">
        <w:rPr>
          <w:rFonts w:asciiTheme="minorHAnsi" w:eastAsiaTheme="minorHAnsi" w:hAnsiTheme="minorHAnsi" w:cstheme="minorBidi"/>
          <w:snapToGrid/>
          <w:sz w:val="24"/>
          <w:szCs w:val="22"/>
        </w:rPr>
        <w:t xml:space="preserve"> </w:t>
      </w:r>
      <w:r w:rsidR="002B6F3E" w:rsidRPr="007D7306">
        <w:rPr>
          <w:rFonts w:asciiTheme="minorHAnsi" w:eastAsiaTheme="minorHAnsi" w:hAnsiTheme="minorHAnsi" w:cstheme="minorBidi"/>
          <w:snapToGrid/>
          <w:sz w:val="24"/>
          <w:szCs w:val="22"/>
        </w:rPr>
        <w:t xml:space="preserve">cost of </w:t>
      </w:r>
      <w:r w:rsidR="00B232D2" w:rsidRPr="007D7306">
        <w:rPr>
          <w:rFonts w:asciiTheme="minorHAnsi" w:eastAsiaTheme="minorHAnsi" w:hAnsiTheme="minorHAnsi" w:cstheme="minorBidi"/>
          <w:snapToGrid/>
          <w:sz w:val="24"/>
          <w:szCs w:val="22"/>
        </w:rPr>
        <w:t>$</w:t>
      </w:r>
      <w:r w:rsidR="007439F8">
        <w:rPr>
          <w:rFonts w:asciiTheme="minorHAnsi" w:eastAsiaTheme="minorHAnsi" w:hAnsiTheme="minorHAnsi" w:cstheme="minorBidi"/>
          <w:noProof/>
          <w:snapToGrid/>
          <w:color w:val="000000"/>
          <w:sz w:val="24"/>
          <w:szCs w:val="22"/>
          <w:highlight w:val="black"/>
        </w:rPr>
        <w:t>'''''''''''''''''''</w:t>
      </w:r>
      <w:r w:rsidR="00304935" w:rsidRPr="007D7306">
        <w:rPr>
          <w:rFonts w:asciiTheme="minorHAnsi" w:eastAsiaTheme="minorHAnsi" w:hAnsiTheme="minorHAnsi" w:cstheme="minorBidi"/>
          <w:snapToGrid/>
          <w:sz w:val="24"/>
          <w:szCs w:val="22"/>
        </w:rPr>
        <w:t xml:space="preserve"> for </w:t>
      </w:r>
      <w:r w:rsidR="00304935" w:rsidRPr="00C171C3">
        <w:rPr>
          <w:rFonts w:asciiTheme="minorHAnsi" w:eastAsiaTheme="minorHAnsi" w:hAnsiTheme="minorHAnsi" w:cstheme="minorBidi"/>
          <w:snapToGrid/>
          <w:sz w:val="24"/>
          <w:szCs w:val="22"/>
        </w:rPr>
        <w:t>two years</w:t>
      </w:r>
      <w:r w:rsidR="00304935" w:rsidRPr="007D7306">
        <w:rPr>
          <w:rFonts w:asciiTheme="minorHAnsi" w:eastAsiaTheme="minorHAnsi" w:hAnsiTheme="minorHAnsi" w:cstheme="minorBidi"/>
          <w:snapToGrid/>
          <w:sz w:val="24"/>
          <w:szCs w:val="22"/>
        </w:rPr>
        <w:t xml:space="preserve"> treatment with fingolimod, based on the published price of fingolimod, and </w:t>
      </w:r>
      <w:r w:rsidR="007439F8">
        <w:rPr>
          <w:rFonts w:asciiTheme="minorHAnsi" w:eastAsiaTheme="minorHAnsi" w:hAnsiTheme="minorHAnsi" w:cstheme="minorBidi"/>
          <w:noProof/>
          <w:snapToGrid/>
          <w:color w:val="000000"/>
          <w:sz w:val="24"/>
          <w:szCs w:val="22"/>
          <w:highlight w:val="black"/>
        </w:rPr>
        <w:t>''''''''''''''''''' '''''''</w:t>
      </w:r>
      <w:r w:rsidR="00304935" w:rsidRPr="007D7306">
        <w:rPr>
          <w:rFonts w:asciiTheme="minorHAnsi" w:eastAsiaTheme="minorHAnsi" w:hAnsiTheme="minorHAnsi" w:cstheme="minorBidi"/>
          <w:snapToGrid/>
          <w:sz w:val="24"/>
          <w:szCs w:val="22"/>
        </w:rPr>
        <w:t>% compliance with fingolimod</w:t>
      </w:r>
      <w:r w:rsidR="00E13975">
        <w:rPr>
          <w:rFonts w:asciiTheme="minorHAnsi" w:eastAsiaTheme="minorHAnsi" w:hAnsiTheme="minorHAnsi" w:cstheme="minorBidi"/>
          <w:snapToGrid/>
          <w:sz w:val="24"/>
          <w:szCs w:val="22"/>
        </w:rPr>
        <w:t>.</w:t>
      </w:r>
    </w:p>
    <w:p w:rsidR="005A3173" w:rsidRPr="007D7306" w:rsidRDefault="005A3173" w:rsidP="008306F3">
      <w:pPr>
        <w:pStyle w:val="Heading2"/>
        <w:keepLines/>
        <w:spacing w:before="240" w:after="120"/>
        <w:rPr>
          <w:rFonts w:asciiTheme="minorHAnsi" w:eastAsiaTheme="majorEastAsia" w:hAnsiTheme="minorHAnsi" w:cstheme="majorBidi"/>
          <w:sz w:val="28"/>
          <w:szCs w:val="28"/>
          <w:lang w:eastAsia="en-US"/>
        </w:rPr>
      </w:pPr>
      <w:r w:rsidRPr="007D7306">
        <w:rPr>
          <w:rFonts w:asciiTheme="minorHAnsi" w:eastAsiaTheme="majorEastAsia" w:hAnsiTheme="minorHAnsi" w:cstheme="majorBidi"/>
          <w:sz w:val="28"/>
          <w:szCs w:val="28"/>
          <w:lang w:eastAsia="en-US"/>
        </w:rPr>
        <w:t>Estimated PBS usage &amp; financial implications</w:t>
      </w:r>
    </w:p>
    <w:p w:rsidR="0096289A" w:rsidRPr="007D7306" w:rsidRDefault="0096289A" w:rsidP="005B6380">
      <w:pPr>
        <w:pStyle w:val="ListParagraph"/>
        <w:widowControl/>
        <w:numPr>
          <w:ilvl w:val="1"/>
          <w:numId w:val="14"/>
        </w:numPr>
        <w:spacing w:after="120"/>
        <w:contextualSpacing w:val="0"/>
        <w:rPr>
          <w:rFonts w:asciiTheme="minorHAnsi" w:hAnsiTheme="minorHAnsi"/>
          <w:b/>
          <w:sz w:val="24"/>
          <w:szCs w:val="24"/>
        </w:rPr>
      </w:pPr>
      <w:r w:rsidRPr="007D7306">
        <w:rPr>
          <w:rFonts w:asciiTheme="minorHAnsi" w:hAnsiTheme="minorHAnsi"/>
          <w:sz w:val="24"/>
          <w:szCs w:val="24"/>
        </w:rPr>
        <w:t xml:space="preserve">The estimated utilisation and financial implication were revised from the </w:t>
      </w:r>
      <w:r w:rsidR="000358F5" w:rsidRPr="007D7306">
        <w:rPr>
          <w:rFonts w:asciiTheme="minorHAnsi" w:hAnsiTheme="minorHAnsi"/>
          <w:sz w:val="24"/>
          <w:szCs w:val="24"/>
        </w:rPr>
        <w:t xml:space="preserve">March 2018 </w:t>
      </w:r>
      <w:r w:rsidRPr="007D7306">
        <w:rPr>
          <w:rFonts w:asciiTheme="minorHAnsi" w:hAnsiTheme="minorHAnsi"/>
          <w:sz w:val="24"/>
          <w:szCs w:val="24"/>
        </w:rPr>
        <w:t>submission by updating the cost of cladribine only</w:t>
      </w:r>
      <w:r w:rsidR="00843FA5" w:rsidRPr="007D7306">
        <w:rPr>
          <w:rFonts w:asciiTheme="minorHAnsi" w:hAnsiTheme="minorHAnsi"/>
          <w:sz w:val="24"/>
          <w:szCs w:val="24"/>
        </w:rPr>
        <w:t>,</w:t>
      </w:r>
      <w:r w:rsidRPr="007D7306">
        <w:rPr>
          <w:rFonts w:asciiTheme="minorHAnsi" w:hAnsiTheme="minorHAnsi"/>
          <w:sz w:val="24"/>
          <w:szCs w:val="24"/>
        </w:rPr>
        <w:t xml:space="preserve"> which </w:t>
      </w:r>
      <w:r w:rsidR="0080055B">
        <w:rPr>
          <w:rFonts w:asciiTheme="minorHAnsi" w:hAnsiTheme="minorHAnsi"/>
          <w:sz w:val="24"/>
          <w:szCs w:val="24"/>
        </w:rPr>
        <w:t>is</w:t>
      </w:r>
      <w:r w:rsidR="0080055B" w:rsidRPr="007D7306">
        <w:rPr>
          <w:rFonts w:asciiTheme="minorHAnsi" w:hAnsiTheme="minorHAnsi"/>
          <w:sz w:val="24"/>
          <w:szCs w:val="24"/>
        </w:rPr>
        <w:t xml:space="preserve"> </w:t>
      </w:r>
      <w:r w:rsidRPr="007D7306">
        <w:rPr>
          <w:rFonts w:asciiTheme="minorHAnsi" w:hAnsiTheme="minorHAnsi"/>
          <w:sz w:val="24"/>
          <w:szCs w:val="24"/>
        </w:rPr>
        <w:t>informed based on the revised cost-minimisation analysis.</w:t>
      </w:r>
    </w:p>
    <w:p w:rsidR="00C00DA7" w:rsidRPr="007D7306" w:rsidRDefault="00FF2801" w:rsidP="005B6380">
      <w:pPr>
        <w:pStyle w:val="ListParagraph"/>
        <w:widowControl/>
        <w:numPr>
          <w:ilvl w:val="1"/>
          <w:numId w:val="14"/>
        </w:numPr>
        <w:spacing w:after="120"/>
        <w:contextualSpacing w:val="0"/>
        <w:rPr>
          <w:rFonts w:asciiTheme="minorHAnsi" w:hAnsiTheme="minorHAnsi"/>
          <w:sz w:val="24"/>
          <w:szCs w:val="24"/>
        </w:rPr>
      </w:pPr>
      <w:r w:rsidRPr="007D7306">
        <w:rPr>
          <w:rFonts w:asciiTheme="minorHAnsi" w:hAnsiTheme="minorHAnsi"/>
          <w:sz w:val="24"/>
          <w:szCs w:val="24"/>
        </w:rPr>
        <w:t xml:space="preserve">The minor </w:t>
      </w:r>
      <w:r w:rsidR="005B6380" w:rsidRPr="007D7306">
        <w:rPr>
          <w:rFonts w:asciiTheme="minorHAnsi" w:hAnsiTheme="minorHAnsi"/>
          <w:sz w:val="24"/>
          <w:szCs w:val="24"/>
        </w:rPr>
        <w:t>re</w:t>
      </w:r>
      <w:r w:rsidRPr="007D7306">
        <w:rPr>
          <w:rFonts w:asciiTheme="minorHAnsi" w:hAnsiTheme="minorHAnsi"/>
          <w:sz w:val="24"/>
          <w:szCs w:val="24"/>
        </w:rPr>
        <w:t>submission estimated</w:t>
      </w:r>
      <w:r w:rsidR="005B6380" w:rsidRPr="007D7306">
        <w:rPr>
          <w:rFonts w:asciiTheme="minorHAnsi" w:hAnsiTheme="minorHAnsi"/>
          <w:sz w:val="24"/>
          <w:szCs w:val="24"/>
        </w:rPr>
        <w:t xml:space="preserve"> a net </w:t>
      </w:r>
      <w:r w:rsidR="008E45E5" w:rsidRPr="007D7306">
        <w:rPr>
          <w:rFonts w:asciiTheme="minorHAnsi" w:hAnsiTheme="minorHAnsi"/>
          <w:sz w:val="24"/>
          <w:szCs w:val="24"/>
        </w:rPr>
        <w:t>sav</w:t>
      </w:r>
      <w:r w:rsidR="009F72E2" w:rsidRPr="007D7306">
        <w:rPr>
          <w:rFonts w:asciiTheme="minorHAnsi" w:hAnsiTheme="minorHAnsi"/>
          <w:sz w:val="24"/>
          <w:szCs w:val="24"/>
        </w:rPr>
        <w:t>e</w:t>
      </w:r>
      <w:r w:rsidR="008E45E5" w:rsidRPr="007D7306">
        <w:rPr>
          <w:rFonts w:asciiTheme="minorHAnsi" w:hAnsiTheme="minorHAnsi"/>
          <w:sz w:val="24"/>
          <w:szCs w:val="24"/>
        </w:rPr>
        <w:t xml:space="preserve"> to the PBS</w:t>
      </w:r>
      <w:r w:rsidR="009F72E2" w:rsidRPr="007D7306">
        <w:rPr>
          <w:rFonts w:asciiTheme="minorHAnsi" w:hAnsiTheme="minorHAnsi"/>
          <w:sz w:val="24"/>
          <w:szCs w:val="24"/>
        </w:rPr>
        <w:t xml:space="preserve"> of $3</w:t>
      </w:r>
      <w:r w:rsidR="002E0AA6" w:rsidRPr="007D7306">
        <w:rPr>
          <w:rFonts w:asciiTheme="minorHAnsi" w:hAnsiTheme="minorHAnsi"/>
          <w:sz w:val="24"/>
          <w:szCs w:val="24"/>
        </w:rPr>
        <w:t>0</w:t>
      </w:r>
      <w:r w:rsidR="00142C44">
        <w:rPr>
          <w:rFonts w:asciiTheme="minorHAnsi" w:hAnsiTheme="minorHAnsi"/>
          <w:sz w:val="24"/>
          <w:szCs w:val="24"/>
        </w:rPr>
        <w:t xml:space="preserve"> - $60 million </w:t>
      </w:r>
      <w:r w:rsidR="009F72E2" w:rsidRPr="007D7306">
        <w:rPr>
          <w:rFonts w:asciiTheme="minorHAnsi" w:hAnsiTheme="minorHAnsi"/>
          <w:sz w:val="24"/>
          <w:szCs w:val="24"/>
        </w:rPr>
        <w:t>in Year 6 of listing, with a total net save to the PBS of</w:t>
      </w:r>
      <w:r w:rsidR="00142C44">
        <w:rPr>
          <w:rFonts w:asciiTheme="minorHAnsi" w:hAnsiTheme="minorHAnsi"/>
          <w:sz w:val="24"/>
          <w:szCs w:val="24"/>
        </w:rPr>
        <w:t xml:space="preserve"> more than</w:t>
      </w:r>
      <w:r w:rsidR="009F72E2" w:rsidRPr="007D7306">
        <w:rPr>
          <w:rFonts w:asciiTheme="minorHAnsi" w:hAnsiTheme="minorHAnsi"/>
          <w:sz w:val="24"/>
          <w:szCs w:val="24"/>
        </w:rPr>
        <w:t xml:space="preserve"> $</w:t>
      </w:r>
      <w:r w:rsidR="00142C44">
        <w:rPr>
          <w:rFonts w:asciiTheme="minorHAnsi" w:hAnsiTheme="minorHAnsi"/>
          <w:sz w:val="24"/>
          <w:szCs w:val="24"/>
        </w:rPr>
        <w:t xml:space="preserve">100 million </w:t>
      </w:r>
      <w:r w:rsidR="009F72E2" w:rsidRPr="007D7306">
        <w:rPr>
          <w:rFonts w:asciiTheme="minorHAnsi" w:hAnsiTheme="minorHAnsi"/>
          <w:sz w:val="24"/>
          <w:szCs w:val="24"/>
        </w:rPr>
        <w:t>over the first 6 years of listing</w:t>
      </w:r>
      <w:r w:rsidR="008E45E5" w:rsidRPr="007D7306">
        <w:rPr>
          <w:rFonts w:asciiTheme="minorHAnsi" w:hAnsiTheme="minorHAnsi"/>
          <w:sz w:val="24"/>
          <w:szCs w:val="24"/>
        </w:rPr>
        <w:t xml:space="preserve">. The savings </w:t>
      </w:r>
      <w:r w:rsidR="0058147A" w:rsidRPr="007D7306">
        <w:rPr>
          <w:rFonts w:asciiTheme="minorHAnsi" w:hAnsiTheme="minorHAnsi"/>
          <w:sz w:val="24"/>
          <w:szCs w:val="24"/>
        </w:rPr>
        <w:t>were</w:t>
      </w:r>
      <w:r w:rsidR="008E45E5" w:rsidRPr="007D7306">
        <w:rPr>
          <w:rFonts w:asciiTheme="minorHAnsi" w:hAnsiTheme="minorHAnsi"/>
          <w:sz w:val="24"/>
          <w:szCs w:val="24"/>
        </w:rPr>
        <w:t xml:space="preserve"> derived due to </w:t>
      </w:r>
      <w:r w:rsidR="002E7F75" w:rsidRPr="007D7306">
        <w:rPr>
          <w:rFonts w:asciiTheme="minorHAnsi" w:hAnsiTheme="minorHAnsi"/>
          <w:sz w:val="24"/>
          <w:szCs w:val="24"/>
        </w:rPr>
        <w:t xml:space="preserve">the cost of cladribine being calculated over a </w:t>
      </w:r>
      <w:r w:rsidR="0080055B">
        <w:rPr>
          <w:rFonts w:asciiTheme="minorHAnsi" w:hAnsiTheme="minorHAnsi"/>
          <w:sz w:val="24"/>
          <w:szCs w:val="24"/>
        </w:rPr>
        <w:t xml:space="preserve">two year </w:t>
      </w:r>
      <w:r w:rsidR="002E7F75" w:rsidRPr="007D7306">
        <w:rPr>
          <w:rFonts w:asciiTheme="minorHAnsi" w:hAnsiTheme="minorHAnsi"/>
          <w:sz w:val="24"/>
          <w:szCs w:val="24"/>
        </w:rPr>
        <w:t xml:space="preserve">period whereas the financial analyses assume patients treated with cladribine require no further treatment in year 3 and 4.  </w:t>
      </w:r>
      <w:r w:rsidR="00BB65DE" w:rsidRPr="007D7306">
        <w:rPr>
          <w:rFonts w:asciiTheme="minorHAnsi" w:hAnsiTheme="minorHAnsi"/>
          <w:sz w:val="24"/>
          <w:szCs w:val="24"/>
        </w:rPr>
        <w:t xml:space="preserve">Due to </w:t>
      </w:r>
      <w:r w:rsidR="001C7C3C" w:rsidRPr="007D7306">
        <w:rPr>
          <w:rFonts w:asciiTheme="minorHAnsi" w:hAnsiTheme="minorHAnsi"/>
          <w:sz w:val="24"/>
          <w:szCs w:val="24"/>
        </w:rPr>
        <w:t>fewer scripts</w:t>
      </w:r>
      <w:r w:rsidR="008E45E5" w:rsidRPr="007D7306">
        <w:rPr>
          <w:rFonts w:asciiTheme="minorHAnsi" w:hAnsiTheme="minorHAnsi"/>
          <w:sz w:val="24"/>
          <w:szCs w:val="24"/>
        </w:rPr>
        <w:t xml:space="preserve"> required for patients per </w:t>
      </w:r>
      <w:r w:rsidR="008E45E5" w:rsidRPr="00083822">
        <w:rPr>
          <w:rFonts w:asciiTheme="minorHAnsi" w:hAnsiTheme="minorHAnsi"/>
          <w:sz w:val="24"/>
          <w:szCs w:val="24"/>
        </w:rPr>
        <w:t>two years</w:t>
      </w:r>
      <w:r w:rsidR="008E45E5" w:rsidRPr="007D7306">
        <w:rPr>
          <w:rFonts w:asciiTheme="minorHAnsi" w:hAnsiTheme="minorHAnsi"/>
          <w:sz w:val="24"/>
          <w:szCs w:val="24"/>
        </w:rPr>
        <w:t xml:space="preserve"> of treatment</w:t>
      </w:r>
      <w:r w:rsidR="0058147A" w:rsidRPr="007D7306">
        <w:rPr>
          <w:rFonts w:asciiTheme="minorHAnsi" w:hAnsiTheme="minorHAnsi"/>
          <w:sz w:val="24"/>
          <w:szCs w:val="24"/>
        </w:rPr>
        <w:t xml:space="preserve"> with cladribine compared to fingolimod</w:t>
      </w:r>
      <w:r w:rsidR="00BB65DE" w:rsidRPr="007D7306">
        <w:rPr>
          <w:rFonts w:asciiTheme="minorHAnsi" w:hAnsiTheme="minorHAnsi"/>
          <w:sz w:val="24"/>
          <w:szCs w:val="24"/>
        </w:rPr>
        <w:t xml:space="preserve"> the total patient co-payments decrease</w:t>
      </w:r>
      <w:r w:rsidR="008E45E5" w:rsidRPr="007D7306">
        <w:rPr>
          <w:rFonts w:asciiTheme="minorHAnsi" w:hAnsiTheme="minorHAnsi"/>
          <w:sz w:val="24"/>
          <w:szCs w:val="24"/>
        </w:rPr>
        <w:t xml:space="preserve">. </w:t>
      </w:r>
      <w:r w:rsidR="001C7C3C" w:rsidRPr="007D7306">
        <w:rPr>
          <w:rFonts w:asciiTheme="minorHAnsi" w:hAnsiTheme="minorHAnsi"/>
          <w:sz w:val="24"/>
          <w:szCs w:val="24"/>
        </w:rPr>
        <w:t xml:space="preserve">The table below presents </w:t>
      </w:r>
      <w:r w:rsidR="00D84FC7" w:rsidRPr="007D7306">
        <w:rPr>
          <w:rFonts w:asciiTheme="minorHAnsi" w:hAnsiTheme="minorHAnsi"/>
          <w:sz w:val="24"/>
          <w:szCs w:val="24"/>
        </w:rPr>
        <w:t xml:space="preserve">a </w:t>
      </w:r>
      <w:r w:rsidR="001C7C3C" w:rsidRPr="007D7306">
        <w:rPr>
          <w:rFonts w:asciiTheme="minorHAnsi" w:hAnsiTheme="minorHAnsi"/>
          <w:sz w:val="24"/>
          <w:szCs w:val="24"/>
        </w:rPr>
        <w:t>summary of</w:t>
      </w:r>
      <w:r w:rsidR="0081540F" w:rsidRPr="007D7306">
        <w:rPr>
          <w:rFonts w:asciiTheme="minorHAnsi" w:hAnsiTheme="minorHAnsi"/>
          <w:sz w:val="24"/>
          <w:szCs w:val="24"/>
        </w:rPr>
        <w:t xml:space="preserve"> the estimated</w:t>
      </w:r>
      <w:r w:rsidR="001C7C3C" w:rsidRPr="007D7306">
        <w:rPr>
          <w:rFonts w:asciiTheme="minorHAnsi" w:hAnsiTheme="minorHAnsi"/>
          <w:sz w:val="24"/>
          <w:szCs w:val="24"/>
        </w:rPr>
        <w:t xml:space="preserve"> financial impact in </w:t>
      </w:r>
      <w:r w:rsidR="0081540F" w:rsidRPr="007D7306">
        <w:rPr>
          <w:rFonts w:asciiTheme="minorHAnsi" w:hAnsiTheme="minorHAnsi"/>
          <w:sz w:val="24"/>
          <w:szCs w:val="24"/>
        </w:rPr>
        <w:t xml:space="preserve">the current minor resubmission compared </w:t>
      </w:r>
      <w:r w:rsidR="001C7C3C" w:rsidRPr="007D7306">
        <w:rPr>
          <w:rFonts w:asciiTheme="minorHAnsi" w:hAnsiTheme="minorHAnsi"/>
          <w:sz w:val="24"/>
          <w:szCs w:val="24"/>
        </w:rPr>
        <w:t>to previous resubmissions.</w:t>
      </w:r>
    </w:p>
    <w:p w:rsidR="00BB65DE" w:rsidRPr="007D7306" w:rsidRDefault="00E3769F" w:rsidP="00BB65DE">
      <w:pPr>
        <w:pStyle w:val="ListParagraph"/>
        <w:widowControl/>
        <w:numPr>
          <w:ilvl w:val="1"/>
          <w:numId w:val="14"/>
        </w:numPr>
        <w:spacing w:after="120"/>
        <w:contextualSpacing w:val="0"/>
        <w:rPr>
          <w:rFonts w:asciiTheme="minorHAnsi" w:hAnsiTheme="minorHAnsi"/>
          <w:sz w:val="24"/>
          <w:szCs w:val="24"/>
        </w:rPr>
      </w:pPr>
      <w:r w:rsidRPr="007D7306">
        <w:rPr>
          <w:rFonts w:asciiTheme="minorHAnsi" w:hAnsiTheme="minorHAnsi"/>
          <w:sz w:val="24"/>
          <w:szCs w:val="24"/>
        </w:rPr>
        <w:t xml:space="preserve">The minor resubmission </w:t>
      </w:r>
      <w:r w:rsidR="00D23BCE" w:rsidRPr="007D7306">
        <w:rPr>
          <w:rFonts w:asciiTheme="minorHAnsi" w:hAnsiTheme="minorHAnsi"/>
          <w:sz w:val="24"/>
          <w:szCs w:val="24"/>
        </w:rPr>
        <w:t xml:space="preserve">claimed that </w:t>
      </w:r>
      <w:r w:rsidR="00BB65DE" w:rsidRPr="007D7306">
        <w:rPr>
          <w:rFonts w:asciiTheme="minorHAnsi" w:hAnsiTheme="minorHAnsi"/>
          <w:sz w:val="24"/>
          <w:szCs w:val="24"/>
        </w:rPr>
        <w:t>due to the cost of a course of cladribine treatment being estimated based on two years of fingolimod treatment, different assumptions of persistence do not change the overall conclusion that listing cladribine tablets on the PBS is associated with cost savings in all years of the financial analysis.</w:t>
      </w:r>
    </w:p>
    <w:p w:rsidR="005B6380" w:rsidRPr="00E13975" w:rsidRDefault="00286CDF" w:rsidP="00843FA5">
      <w:pPr>
        <w:pStyle w:val="ListParagraph"/>
        <w:widowControl/>
        <w:numPr>
          <w:ilvl w:val="1"/>
          <w:numId w:val="14"/>
        </w:numPr>
        <w:spacing w:after="120"/>
        <w:contextualSpacing w:val="0"/>
        <w:rPr>
          <w:rFonts w:asciiTheme="minorHAnsi" w:hAnsiTheme="minorHAnsi"/>
          <w:sz w:val="24"/>
          <w:szCs w:val="24"/>
        </w:rPr>
      </w:pPr>
      <w:r w:rsidRPr="007D7306">
        <w:rPr>
          <w:rFonts w:asciiTheme="minorHAnsi" w:hAnsiTheme="minorHAnsi"/>
          <w:sz w:val="24"/>
          <w:szCs w:val="24"/>
        </w:rPr>
        <w:t>The cladribine price was based on a cost-minimisation analysis versus the published price for fingolimod, and the cost offsets for fingolimod were estimated based on the published fingolimod DPMQ. A Special Pricing Arrangement applies to fingolimod.</w:t>
      </w:r>
    </w:p>
    <w:p w:rsidR="005B6380" w:rsidRPr="007D7306" w:rsidRDefault="00D54016" w:rsidP="00764FD3">
      <w:pPr>
        <w:pStyle w:val="TableHeading0"/>
        <w:keepLines/>
        <w:spacing w:before="100" w:beforeAutospacing="1"/>
      </w:pPr>
      <w:r w:rsidRPr="007D7306">
        <w:lastRenderedPageBreak/>
        <w:t xml:space="preserve">Table </w:t>
      </w:r>
      <w:r w:rsidR="00014966" w:rsidRPr="007D7306">
        <w:t>3</w:t>
      </w:r>
      <w:r w:rsidRPr="007D7306">
        <w:t>: Summary of the estimated use and financial implications presented in the previous submissions and the March 2018 minor resubmission</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3: Summary of the estimated use and financial implications presented in the previous submissions and the March 2018 minor resubmission"/>
      </w:tblPr>
      <w:tblGrid>
        <w:gridCol w:w="1579"/>
        <w:gridCol w:w="1252"/>
        <w:gridCol w:w="1252"/>
        <w:gridCol w:w="1251"/>
        <w:gridCol w:w="1251"/>
        <w:gridCol w:w="1251"/>
        <w:gridCol w:w="1246"/>
      </w:tblGrid>
      <w:tr w:rsidR="0069578C" w:rsidRPr="007D7306" w:rsidTr="00E13975">
        <w:trPr>
          <w:tblHeader/>
        </w:trPr>
        <w:tc>
          <w:tcPr>
            <w:tcW w:w="869" w:type="pct"/>
          </w:tcPr>
          <w:p w:rsidR="005B6380" w:rsidRPr="007D7306" w:rsidRDefault="005B6380" w:rsidP="00764FD3">
            <w:pPr>
              <w:keepNext/>
              <w:keepLines/>
              <w:spacing w:before="100" w:beforeAutospacing="1"/>
              <w:rPr>
                <w:rFonts w:ascii="Arial Narrow" w:eastAsiaTheme="minorHAnsi" w:hAnsi="Arial Narrow" w:cstheme="minorBidi"/>
                <w:sz w:val="20"/>
                <w:szCs w:val="20"/>
              </w:rPr>
            </w:pPr>
          </w:p>
        </w:tc>
        <w:tc>
          <w:tcPr>
            <w:tcW w:w="689"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1</w:t>
            </w:r>
          </w:p>
        </w:tc>
        <w:tc>
          <w:tcPr>
            <w:tcW w:w="689"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2</w:t>
            </w:r>
          </w:p>
        </w:tc>
        <w:tc>
          <w:tcPr>
            <w:tcW w:w="689"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3</w:t>
            </w:r>
          </w:p>
        </w:tc>
        <w:tc>
          <w:tcPr>
            <w:tcW w:w="689"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4</w:t>
            </w:r>
          </w:p>
        </w:tc>
        <w:tc>
          <w:tcPr>
            <w:tcW w:w="689"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5</w:t>
            </w:r>
          </w:p>
        </w:tc>
        <w:tc>
          <w:tcPr>
            <w:tcW w:w="686" w:type="pct"/>
            <w:vAlign w:val="center"/>
          </w:tcPr>
          <w:p w:rsidR="005B6380" w:rsidRPr="007D7306" w:rsidRDefault="005B6380" w:rsidP="00764FD3">
            <w:pPr>
              <w:pStyle w:val="TableText0"/>
              <w:keepLines/>
              <w:spacing w:before="100" w:beforeAutospacing="1" w:after="0"/>
              <w:jc w:val="center"/>
              <w:rPr>
                <w:b/>
                <w:szCs w:val="20"/>
              </w:rPr>
            </w:pPr>
            <w:r w:rsidRPr="007D7306">
              <w:rPr>
                <w:b/>
                <w:szCs w:val="20"/>
              </w:rPr>
              <w:t>Year 6</w:t>
            </w:r>
          </w:p>
        </w:tc>
      </w:tr>
      <w:tr w:rsidR="005B6380" w:rsidRPr="007D7306" w:rsidTr="007563D0">
        <w:tc>
          <w:tcPr>
            <w:tcW w:w="5000" w:type="pct"/>
            <w:gridSpan w:val="7"/>
          </w:tcPr>
          <w:p w:rsidR="005B6380" w:rsidRPr="007D7306" w:rsidRDefault="005B6380" w:rsidP="00764FD3">
            <w:pPr>
              <w:keepNext/>
              <w:keepLines/>
              <w:spacing w:before="100" w:beforeAutospacing="1"/>
              <w:rPr>
                <w:rFonts w:ascii="Arial Narrow" w:eastAsiaTheme="minorHAnsi" w:hAnsi="Arial Narrow" w:cstheme="minorBidi"/>
                <w:b/>
                <w:sz w:val="20"/>
                <w:szCs w:val="20"/>
              </w:rPr>
            </w:pPr>
            <w:r w:rsidRPr="007D7306">
              <w:rPr>
                <w:rFonts w:ascii="Arial Narrow" w:eastAsiaTheme="minorHAnsi" w:hAnsi="Arial Narrow" w:cstheme="minorBidi"/>
                <w:b/>
                <w:sz w:val="20"/>
                <w:szCs w:val="20"/>
              </w:rPr>
              <w:t>Estimated extent of use of cladribine</w:t>
            </w:r>
            <w:r w:rsidRPr="007D7306">
              <w:rPr>
                <w:rFonts w:ascii="Arial Narrow" w:eastAsiaTheme="minorHAnsi" w:hAnsi="Arial Narrow" w:cstheme="minorBidi"/>
                <w:sz w:val="20"/>
                <w:szCs w:val="20"/>
              </w:rPr>
              <w:t xml:space="preserve"> (unchanged between November 2017 and July  2018 resubmissions)</w:t>
            </w:r>
          </w:p>
        </w:tc>
      </w:tr>
      <w:tr w:rsidR="0069578C" w:rsidRPr="007D7306" w:rsidTr="00302C39">
        <w:tc>
          <w:tcPr>
            <w:tcW w:w="869" w:type="pct"/>
            <w:vAlign w:val="center"/>
          </w:tcPr>
          <w:p w:rsidR="005B6380" w:rsidRPr="007D7306" w:rsidRDefault="005B6380" w:rsidP="00764FD3">
            <w:pPr>
              <w:pStyle w:val="TableText0"/>
              <w:keepLines/>
              <w:spacing w:before="100" w:beforeAutospacing="1" w:after="0"/>
              <w:rPr>
                <w:rFonts w:eastAsia="Times New Roman" w:cs="Times New Roman"/>
                <w:szCs w:val="20"/>
              </w:rPr>
            </w:pPr>
            <w:r w:rsidRPr="007D7306">
              <w:rPr>
                <w:szCs w:val="20"/>
              </w:rPr>
              <w:t>Number of patients</w:t>
            </w:r>
          </w:p>
        </w:tc>
        <w:tc>
          <w:tcPr>
            <w:tcW w:w="689"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c>
          <w:tcPr>
            <w:tcW w:w="686" w:type="pct"/>
            <w:vAlign w:val="center"/>
          </w:tcPr>
          <w:p w:rsidR="005B6380" w:rsidRPr="007439F8" w:rsidRDefault="007439F8" w:rsidP="00764FD3">
            <w:pPr>
              <w:pStyle w:val="TableText0"/>
              <w:keepLines/>
              <w:spacing w:before="100" w:beforeAutospacing="1" w:after="0"/>
              <w:jc w:val="center"/>
              <w:rPr>
                <w:bCs/>
                <w:color w:val="000000"/>
                <w:szCs w:val="20"/>
                <w:highlight w:val="black"/>
              </w:rPr>
            </w:pPr>
            <w:r>
              <w:rPr>
                <w:rFonts w:eastAsia="Times New Roman" w:cs="Arial"/>
                <w:bCs/>
                <w:noProof/>
                <w:color w:val="000000"/>
                <w:szCs w:val="20"/>
                <w:highlight w:val="black"/>
              </w:rPr>
              <w:t>'''''''''''''''</w:t>
            </w:r>
          </w:p>
        </w:tc>
      </w:tr>
      <w:tr w:rsidR="0069578C" w:rsidRPr="007D7306" w:rsidTr="00302C39">
        <w:tc>
          <w:tcPr>
            <w:tcW w:w="869" w:type="pct"/>
            <w:vAlign w:val="center"/>
          </w:tcPr>
          <w:p w:rsidR="005B6380" w:rsidRPr="007D7306" w:rsidRDefault="005B6380" w:rsidP="00764FD3">
            <w:pPr>
              <w:pStyle w:val="TableText0"/>
              <w:keepLines/>
              <w:spacing w:before="100" w:beforeAutospacing="1" w:after="0"/>
              <w:rPr>
                <w:rFonts w:eastAsia="Times New Roman" w:cs="Times New Roman"/>
                <w:szCs w:val="20"/>
              </w:rPr>
            </w:pPr>
            <w:r w:rsidRPr="007D7306">
              <w:rPr>
                <w:szCs w:val="20"/>
              </w:rPr>
              <w:t>Number of scripts</w:t>
            </w:r>
            <w:r w:rsidRPr="007D7306">
              <w:rPr>
                <w:szCs w:val="20"/>
                <w:vertAlign w:val="superscript"/>
              </w:rPr>
              <w:t>a</w:t>
            </w:r>
          </w:p>
        </w:tc>
        <w:tc>
          <w:tcPr>
            <w:tcW w:w="689"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c>
          <w:tcPr>
            <w:tcW w:w="689"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c>
          <w:tcPr>
            <w:tcW w:w="686" w:type="pct"/>
            <w:vAlign w:val="center"/>
          </w:tcPr>
          <w:p w:rsidR="005B6380" w:rsidRPr="007439F8" w:rsidRDefault="007439F8" w:rsidP="00764FD3">
            <w:pPr>
              <w:pStyle w:val="TableText0"/>
              <w:keepLines/>
              <w:spacing w:before="100" w:beforeAutospacing="1" w:after="0"/>
              <w:jc w:val="center"/>
              <w:rPr>
                <w:bCs/>
                <w:szCs w:val="20"/>
                <w:highlight w:val="black"/>
              </w:rPr>
            </w:pPr>
            <w:r>
              <w:rPr>
                <w:rFonts w:eastAsia="Times New Roman" w:cs="Arial"/>
                <w:noProof/>
                <w:color w:val="000000"/>
                <w:szCs w:val="20"/>
                <w:highlight w:val="black"/>
              </w:rPr>
              <w:t>''''''''''''''</w:t>
            </w:r>
          </w:p>
        </w:tc>
      </w:tr>
      <w:tr w:rsidR="005B6380" w:rsidRPr="007D7306" w:rsidTr="007563D0">
        <w:tc>
          <w:tcPr>
            <w:tcW w:w="5000" w:type="pct"/>
            <w:gridSpan w:val="7"/>
          </w:tcPr>
          <w:p w:rsidR="005B6380" w:rsidRPr="007D7306" w:rsidRDefault="005B6380" w:rsidP="00764FD3">
            <w:pPr>
              <w:pStyle w:val="TableText0"/>
              <w:keepLines/>
              <w:spacing w:before="100" w:beforeAutospacing="1" w:after="0"/>
              <w:rPr>
                <w:rFonts w:eastAsia="Times New Roman" w:cs="Arial"/>
                <w:b/>
                <w:szCs w:val="20"/>
              </w:rPr>
            </w:pPr>
            <w:r w:rsidRPr="007D7306">
              <w:rPr>
                <w:rFonts w:eastAsia="Times New Roman" w:cs="Arial"/>
                <w:b/>
                <w:szCs w:val="20"/>
              </w:rPr>
              <w:t xml:space="preserve">Estimated cost of cladribine to the PBS </w:t>
            </w:r>
            <w:r w:rsidRPr="007D7306">
              <w:rPr>
                <w:rFonts w:eastAsia="Times New Roman" w:cs="Arial"/>
                <w:szCs w:val="20"/>
              </w:rPr>
              <w:t>(less copayments)</w:t>
            </w:r>
          </w:p>
        </w:tc>
      </w:tr>
      <w:tr w:rsidR="0069578C" w:rsidRPr="007D7306" w:rsidTr="00302C39">
        <w:tc>
          <w:tcPr>
            <w:tcW w:w="869" w:type="pct"/>
          </w:tcPr>
          <w:p w:rsidR="005B6380" w:rsidRPr="007D7306" w:rsidRDefault="005B6380" w:rsidP="00764FD3">
            <w:pPr>
              <w:pStyle w:val="TableText0"/>
              <w:keepLines/>
              <w:spacing w:before="100" w:beforeAutospacing="1" w:after="0"/>
              <w:rPr>
                <w:szCs w:val="20"/>
              </w:rPr>
            </w:pPr>
            <w:r w:rsidRPr="007D7306">
              <w:rPr>
                <w:szCs w:val="20"/>
              </w:rPr>
              <w:t>November 2017</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6"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r>
      <w:tr w:rsidR="0069578C" w:rsidRPr="007D7306" w:rsidTr="00194975">
        <w:trPr>
          <w:trHeight w:val="138"/>
        </w:trPr>
        <w:tc>
          <w:tcPr>
            <w:tcW w:w="869" w:type="pct"/>
          </w:tcPr>
          <w:p w:rsidR="005B6380" w:rsidRPr="007D7306" w:rsidRDefault="005B6380" w:rsidP="00764FD3">
            <w:pPr>
              <w:keepNext/>
              <w:keepLines/>
              <w:spacing w:before="100" w:beforeAutospacing="1"/>
              <w:rPr>
                <w:rFonts w:ascii="Arial Narrow" w:eastAsiaTheme="minorHAnsi" w:hAnsi="Arial Narrow" w:cstheme="minorBidi"/>
                <w:sz w:val="20"/>
                <w:szCs w:val="20"/>
              </w:rPr>
            </w:pPr>
            <w:r w:rsidRPr="007D7306">
              <w:rPr>
                <w:rFonts w:ascii="Arial Narrow" w:hAnsi="Arial Narrow"/>
                <w:sz w:val="20"/>
                <w:szCs w:val="20"/>
              </w:rPr>
              <w:t>March 2018</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r w:rsidR="0069578C" w:rsidRPr="007D7306" w:rsidTr="00302C39">
        <w:tc>
          <w:tcPr>
            <w:tcW w:w="869" w:type="pct"/>
          </w:tcPr>
          <w:p w:rsidR="00841E25" w:rsidRPr="007D7306" w:rsidRDefault="00841E25" w:rsidP="00764FD3">
            <w:pPr>
              <w:keepNext/>
              <w:keepLines/>
              <w:spacing w:before="100" w:beforeAutospacing="1"/>
              <w:rPr>
                <w:rFonts w:ascii="Arial Narrow" w:hAnsi="Arial Narrow"/>
                <w:b/>
                <w:sz w:val="20"/>
                <w:szCs w:val="20"/>
              </w:rPr>
            </w:pPr>
            <w:r w:rsidRPr="007D7306">
              <w:rPr>
                <w:rFonts w:ascii="Arial Narrow" w:hAnsi="Arial Narrow"/>
                <w:b/>
                <w:sz w:val="20"/>
                <w:szCs w:val="20"/>
              </w:rPr>
              <w:t>July 2018</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r w:rsidR="005B6380" w:rsidRPr="007D7306" w:rsidTr="007563D0">
        <w:tc>
          <w:tcPr>
            <w:tcW w:w="5000" w:type="pct"/>
            <w:gridSpan w:val="7"/>
          </w:tcPr>
          <w:p w:rsidR="005B6380" w:rsidRPr="007D7306" w:rsidRDefault="005B6380" w:rsidP="00764FD3">
            <w:pPr>
              <w:keepNext/>
              <w:keepLines/>
              <w:spacing w:before="100" w:beforeAutospacing="1"/>
              <w:rPr>
                <w:rFonts w:ascii="Arial Narrow" w:hAnsi="Arial Narrow"/>
                <w:b/>
                <w:sz w:val="20"/>
                <w:szCs w:val="20"/>
              </w:rPr>
            </w:pPr>
            <w:r w:rsidRPr="007D7306">
              <w:rPr>
                <w:rFonts w:ascii="Arial Narrow" w:hAnsi="Arial Narrow"/>
                <w:b/>
                <w:sz w:val="20"/>
                <w:szCs w:val="20"/>
              </w:rPr>
              <w:t xml:space="preserve">Estimated PBS cost offsets for fingolimod </w:t>
            </w:r>
            <w:r w:rsidRPr="007D7306">
              <w:rPr>
                <w:rFonts w:ascii="Arial Narrow" w:hAnsi="Arial Narrow"/>
                <w:sz w:val="20"/>
                <w:szCs w:val="20"/>
              </w:rPr>
              <w:t>(published price, less copayments)</w:t>
            </w:r>
          </w:p>
        </w:tc>
      </w:tr>
      <w:tr w:rsidR="0069578C" w:rsidRPr="007D7306" w:rsidTr="00302C39">
        <w:tc>
          <w:tcPr>
            <w:tcW w:w="869" w:type="pct"/>
          </w:tcPr>
          <w:p w:rsidR="005B6380" w:rsidRPr="007D7306" w:rsidRDefault="005B6380" w:rsidP="00764FD3">
            <w:pPr>
              <w:pStyle w:val="TableText0"/>
              <w:keepLines/>
              <w:spacing w:before="100" w:beforeAutospacing="1" w:after="0"/>
              <w:rPr>
                <w:szCs w:val="20"/>
              </w:rPr>
            </w:pPr>
            <w:r w:rsidRPr="007D7306">
              <w:rPr>
                <w:szCs w:val="20"/>
              </w:rPr>
              <w:t>November 2017</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c>
          <w:tcPr>
            <w:tcW w:w="686"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szCs w:val="20"/>
              </w:rPr>
              <w:t>$</w:t>
            </w:r>
            <w:r w:rsidR="007439F8">
              <w:rPr>
                <w:rFonts w:eastAsia="Times New Roman" w:cs="Arial"/>
                <w:noProof/>
                <w:color w:val="000000"/>
                <w:szCs w:val="20"/>
                <w:highlight w:val="black"/>
              </w:rPr>
              <w:t>'''''''''''''''''''''''''</w:t>
            </w:r>
          </w:p>
        </w:tc>
      </w:tr>
      <w:tr w:rsidR="0069578C" w:rsidRPr="007D7306" w:rsidTr="00302C39">
        <w:tc>
          <w:tcPr>
            <w:tcW w:w="869" w:type="pct"/>
          </w:tcPr>
          <w:p w:rsidR="005B6380" w:rsidRPr="007D7306" w:rsidRDefault="005B6380" w:rsidP="00764FD3">
            <w:pPr>
              <w:keepNext/>
              <w:keepLines/>
              <w:spacing w:before="100" w:beforeAutospacing="1"/>
              <w:rPr>
                <w:rFonts w:ascii="Arial Narrow" w:eastAsiaTheme="minorHAnsi" w:hAnsi="Arial Narrow" w:cstheme="minorBidi"/>
                <w:sz w:val="20"/>
                <w:szCs w:val="20"/>
              </w:rPr>
            </w:pPr>
            <w:r w:rsidRPr="007D7306">
              <w:rPr>
                <w:rFonts w:ascii="Arial Narrow" w:hAnsi="Arial Narrow"/>
                <w:sz w:val="20"/>
                <w:szCs w:val="20"/>
              </w:rPr>
              <w:t>March 2018</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r w:rsidR="0069578C" w:rsidRPr="007D7306" w:rsidTr="00302C39">
        <w:tc>
          <w:tcPr>
            <w:tcW w:w="869" w:type="pct"/>
          </w:tcPr>
          <w:p w:rsidR="00841E25" w:rsidRPr="007D7306" w:rsidRDefault="00841E25" w:rsidP="00764FD3">
            <w:pPr>
              <w:keepNext/>
              <w:keepLines/>
              <w:spacing w:before="100" w:beforeAutospacing="1"/>
              <w:rPr>
                <w:rFonts w:ascii="Arial Narrow" w:hAnsi="Arial Narrow"/>
                <w:b/>
                <w:sz w:val="20"/>
                <w:szCs w:val="20"/>
              </w:rPr>
            </w:pPr>
            <w:r w:rsidRPr="007D7306">
              <w:rPr>
                <w:rFonts w:ascii="Arial Narrow" w:hAnsi="Arial Narrow"/>
                <w:b/>
                <w:sz w:val="20"/>
                <w:szCs w:val="20"/>
              </w:rPr>
              <w:t>July 2018</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841E25" w:rsidRPr="007D7306" w:rsidRDefault="003007BB"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r w:rsidR="005B6380" w:rsidRPr="007D7306" w:rsidTr="007563D0">
        <w:tc>
          <w:tcPr>
            <w:tcW w:w="5000" w:type="pct"/>
            <w:gridSpan w:val="7"/>
          </w:tcPr>
          <w:p w:rsidR="005B6380" w:rsidRPr="007D7306" w:rsidRDefault="005B6380" w:rsidP="00764FD3">
            <w:pPr>
              <w:keepNext/>
              <w:keepLines/>
              <w:spacing w:before="100" w:beforeAutospacing="1"/>
              <w:rPr>
                <w:rFonts w:ascii="Arial Narrow" w:hAnsi="Arial Narrow"/>
                <w:b/>
                <w:sz w:val="20"/>
                <w:szCs w:val="20"/>
              </w:rPr>
            </w:pPr>
            <w:r w:rsidRPr="007D7306">
              <w:rPr>
                <w:rFonts w:ascii="Arial Narrow" w:hAnsi="Arial Narrow"/>
                <w:b/>
                <w:sz w:val="20"/>
                <w:szCs w:val="20"/>
              </w:rPr>
              <w:t>Estimated net cost to the PBS</w:t>
            </w:r>
          </w:p>
        </w:tc>
      </w:tr>
      <w:tr w:rsidR="0069578C" w:rsidRPr="007D7306" w:rsidTr="00302C39">
        <w:tc>
          <w:tcPr>
            <w:tcW w:w="869" w:type="pct"/>
          </w:tcPr>
          <w:p w:rsidR="005B6380" w:rsidRPr="007D7306" w:rsidRDefault="005B6380" w:rsidP="00764FD3">
            <w:pPr>
              <w:pStyle w:val="TableText0"/>
              <w:keepLines/>
              <w:spacing w:before="100" w:beforeAutospacing="1" w:after="0"/>
              <w:rPr>
                <w:szCs w:val="20"/>
              </w:rPr>
            </w:pPr>
            <w:r w:rsidRPr="007D7306">
              <w:rPr>
                <w:szCs w:val="20"/>
              </w:rPr>
              <w:t>November 2017</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color w:val="000000"/>
                <w:szCs w:val="20"/>
              </w:rPr>
              <w:t>$</w:t>
            </w:r>
            <w:r w:rsidR="007439F8">
              <w:rPr>
                <w:rFonts w:eastAsia="Times New Roman" w:cs="Arial"/>
                <w:bCs/>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color w:val="000000"/>
                <w:szCs w:val="20"/>
              </w:rPr>
              <w:t>$</w:t>
            </w:r>
            <w:r w:rsidR="007439F8">
              <w:rPr>
                <w:rFonts w:eastAsia="Times New Roman" w:cs="Arial"/>
                <w:bCs/>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color w:val="000000"/>
                <w:szCs w:val="20"/>
              </w:rPr>
              <w:t>$</w:t>
            </w:r>
            <w:r w:rsidR="007439F8">
              <w:rPr>
                <w:rFonts w:eastAsia="Times New Roman" w:cs="Arial"/>
                <w:bCs/>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szCs w:val="20"/>
              </w:rPr>
              <w:t>–$</w:t>
            </w:r>
            <w:r w:rsidR="007439F8">
              <w:rPr>
                <w:rFonts w:eastAsia="Times New Roman" w:cs="Arial"/>
                <w:bCs/>
                <w:noProof/>
                <w:color w:val="000000"/>
                <w:szCs w:val="20"/>
                <w:highlight w:val="black"/>
              </w:rPr>
              <w:t>''''''''''''''''''''''''''</w:t>
            </w:r>
          </w:p>
        </w:tc>
        <w:tc>
          <w:tcPr>
            <w:tcW w:w="689"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color w:val="000000"/>
                <w:szCs w:val="20"/>
              </w:rPr>
              <w:t>$</w:t>
            </w:r>
            <w:r w:rsidR="007439F8">
              <w:rPr>
                <w:rFonts w:eastAsia="Times New Roman" w:cs="Arial"/>
                <w:bCs/>
                <w:noProof/>
                <w:color w:val="000000"/>
                <w:szCs w:val="20"/>
                <w:highlight w:val="black"/>
              </w:rPr>
              <w:t>''''''''''''''''''''''</w:t>
            </w:r>
          </w:p>
        </w:tc>
        <w:tc>
          <w:tcPr>
            <w:tcW w:w="686" w:type="pct"/>
            <w:vAlign w:val="center"/>
          </w:tcPr>
          <w:p w:rsidR="005B6380" w:rsidRPr="007D7306" w:rsidRDefault="005B6380" w:rsidP="00764FD3">
            <w:pPr>
              <w:pStyle w:val="TableText0"/>
              <w:keepLines/>
              <w:spacing w:before="100" w:beforeAutospacing="1" w:after="0"/>
              <w:jc w:val="center"/>
              <w:rPr>
                <w:bCs/>
                <w:color w:val="000000"/>
                <w:szCs w:val="20"/>
              </w:rPr>
            </w:pPr>
            <w:r w:rsidRPr="007D7306">
              <w:rPr>
                <w:rFonts w:eastAsia="Times New Roman" w:cs="Arial"/>
                <w:bCs/>
                <w:color w:val="000000"/>
                <w:szCs w:val="20"/>
              </w:rPr>
              <w:t>$</w:t>
            </w:r>
            <w:r w:rsidR="007439F8">
              <w:rPr>
                <w:rFonts w:eastAsia="Times New Roman" w:cs="Arial"/>
                <w:bCs/>
                <w:noProof/>
                <w:color w:val="000000"/>
                <w:szCs w:val="20"/>
                <w:highlight w:val="black"/>
              </w:rPr>
              <w:t>''''''''''''''''''''''''''''</w:t>
            </w:r>
          </w:p>
        </w:tc>
      </w:tr>
      <w:tr w:rsidR="0069578C" w:rsidRPr="007D7306" w:rsidTr="00194975">
        <w:trPr>
          <w:trHeight w:val="30"/>
        </w:trPr>
        <w:tc>
          <w:tcPr>
            <w:tcW w:w="869" w:type="pct"/>
          </w:tcPr>
          <w:p w:rsidR="005B6380" w:rsidRPr="007D7306" w:rsidRDefault="005B6380" w:rsidP="00764FD3">
            <w:pPr>
              <w:keepNext/>
              <w:keepLines/>
              <w:spacing w:before="100" w:beforeAutospacing="1"/>
              <w:rPr>
                <w:rFonts w:ascii="Arial Narrow" w:eastAsiaTheme="minorHAnsi" w:hAnsi="Arial Narrow" w:cstheme="minorBidi"/>
                <w:sz w:val="20"/>
                <w:szCs w:val="20"/>
              </w:rPr>
            </w:pPr>
            <w:r w:rsidRPr="007D7306">
              <w:rPr>
                <w:rFonts w:ascii="Arial Narrow" w:hAnsi="Arial Narrow"/>
                <w:sz w:val="20"/>
                <w:szCs w:val="20"/>
              </w:rPr>
              <w:t>March 2018</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194975" w:rsidRDefault="005B7A4A" w:rsidP="00764FD3">
            <w:pPr>
              <w:keepNext/>
              <w:keepLines/>
              <w:spacing w:before="100" w:beforeAutospacing="1"/>
              <w:jc w:val="center"/>
              <w:rPr>
                <w:rFonts w:ascii="Arial Narrow" w:hAnsi="Arial Narrow"/>
                <w:sz w:val="20"/>
                <w:szCs w:val="20"/>
              </w:rPr>
            </w:pPr>
            <w:r w:rsidRPr="00194975">
              <w:rPr>
                <w:rFonts w:ascii="Arial Narrow" w:hAnsi="Arial Narrow"/>
                <w:bCs/>
                <w:sz w:val="20"/>
                <w:szCs w:val="20"/>
              </w:rPr>
              <w:t>-</w:t>
            </w:r>
            <w:r w:rsidR="005B6380" w:rsidRPr="00194975">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5B6380" w:rsidRPr="00194975" w:rsidRDefault="005B7A4A" w:rsidP="00764FD3">
            <w:pPr>
              <w:keepNext/>
              <w:keepLines/>
              <w:spacing w:before="100" w:beforeAutospacing="1"/>
              <w:jc w:val="center"/>
              <w:rPr>
                <w:rFonts w:ascii="Arial Narrow" w:hAnsi="Arial Narrow"/>
                <w:sz w:val="20"/>
                <w:szCs w:val="20"/>
              </w:rPr>
            </w:pPr>
            <w:r w:rsidRPr="00194975">
              <w:rPr>
                <w:rFonts w:ascii="Arial Narrow" w:hAnsi="Arial Narrow"/>
                <w:bCs/>
                <w:sz w:val="20"/>
                <w:szCs w:val="20"/>
              </w:rPr>
              <w:t>-</w:t>
            </w:r>
            <w:r w:rsidR="005B6380" w:rsidRPr="00194975">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5B6380" w:rsidRPr="007D7306" w:rsidRDefault="005B6380"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r w:rsidR="0069578C" w:rsidRPr="007D7306" w:rsidTr="00302C39">
        <w:tc>
          <w:tcPr>
            <w:tcW w:w="869" w:type="pct"/>
          </w:tcPr>
          <w:p w:rsidR="00841E25" w:rsidRPr="007D7306" w:rsidRDefault="00841E25" w:rsidP="00764FD3">
            <w:pPr>
              <w:keepNext/>
              <w:keepLines/>
              <w:spacing w:before="100" w:beforeAutospacing="1"/>
              <w:rPr>
                <w:rFonts w:ascii="Arial Narrow" w:hAnsi="Arial Narrow"/>
                <w:b/>
                <w:sz w:val="20"/>
                <w:szCs w:val="20"/>
              </w:rPr>
            </w:pPr>
            <w:r w:rsidRPr="007D7306">
              <w:rPr>
                <w:rFonts w:ascii="Arial Narrow" w:hAnsi="Arial Narrow"/>
                <w:b/>
                <w:sz w:val="20"/>
                <w:szCs w:val="20"/>
              </w:rPr>
              <w:t>July 2018</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9"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c>
          <w:tcPr>
            <w:tcW w:w="686" w:type="pct"/>
            <w:vAlign w:val="center"/>
          </w:tcPr>
          <w:p w:rsidR="00841E25" w:rsidRPr="007D7306" w:rsidRDefault="00841E25" w:rsidP="00764FD3">
            <w:pPr>
              <w:keepNext/>
              <w:keepLines/>
              <w:spacing w:before="100" w:beforeAutospacing="1"/>
              <w:jc w:val="center"/>
              <w:rPr>
                <w:rFonts w:ascii="Arial Narrow" w:hAnsi="Arial Narrow"/>
                <w:sz w:val="20"/>
                <w:szCs w:val="20"/>
              </w:rPr>
            </w:pPr>
            <w:r w:rsidRPr="007D7306">
              <w:rPr>
                <w:rFonts w:ascii="Arial Narrow" w:hAnsi="Arial Narrow"/>
                <w:sz w:val="20"/>
                <w:szCs w:val="20"/>
              </w:rPr>
              <w:t>-$</w:t>
            </w:r>
            <w:r w:rsidR="007439F8">
              <w:rPr>
                <w:rFonts w:ascii="Arial Narrow" w:hAnsi="Arial Narrow"/>
                <w:noProof/>
                <w:color w:val="000000"/>
                <w:sz w:val="20"/>
                <w:szCs w:val="20"/>
                <w:highlight w:val="black"/>
              </w:rPr>
              <w:t>''''''''''''''''''''''''''''</w:t>
            </w:r>
          </w:p>
        </w:tc>
      </w:tr>
    </w:tbl>
    <w:p w:rsidR="00302C39" w:rsidRPr="007D7306" w:rsidRDefault="00302C39" w:rsidP="00764FD3">
      <w:pPr>
        <w:pStyle w:val="TableFooter"/>
        <w:keepNext/>
        <w:keepLines/>
        <w:tabs>
          <w:tab w:val="left" w:pos="284"/>
        </w:tabs>
        <w:spacing w:before="100" w:beforeAutospacing="1"/>
      </w:pPr>
      <w:r w:rsidRPr="007D7306">
        <w:rPr>
          <w:rFonts w:asciiTheme="minorHAnsi" w:eastAsiaTheme="minorHAnsi" w:hAnsiTheme="minorHAnsi" w:cstheme="minorBidi"/>
          <w:szCs w:val="22"/>
          <w:vertAlign w:val="superscript"/>
        </w:rPr>
        <w:t>a</w:t>
      </w:r>
      <w:r w:rsidRPr="007D7306">
        <w:rPr>
          <w:rFonts w:asciiTheme="minorHAnsi" w:eastAsiaTheme="minorHAnsi" w:hAnsiTheme="minorHAnsi" w:cstheme="minorBidi"/>
          <w:szCs w:val="22"/>
        </w:rPr>
        <w:t xml:space="preserve"> </w:t>
      </w:r>
      <w:r w:rsidRPr="007D7306">
        <w:t>Assuming 2 scripts per year of treatment as estimated by the resubmissions.</w:t>
      </w:r>
    </w:p>
    <w:p w:rsidR="001B1253" w:rsidRPr="001B1253" w:rsidRDefault="001B1253" w:rsidP="00AE22D3">
      <w:pPr>
        <w:rPr>
          <w:rFonts w:asciiTheme="minorHAnsi" w:hAnsiTheme="minorHAnsi"/>
        </w:rPr>
      </w:pPr>
      <w:r>
        <w:rPr>
          <w:rFonts w:asciiTheme="minorHAnsi" w:hAnsiTheme="minorHAnsi"/>
        </w:rPr>
        <w:t xml:space="preserve">The redacted table shows that at Year 6, the estimated number of patients was less than 10,000. </w:t>
      </w:r>
    </w:p>
    <w:p w:rsidR="001B1253" w:rsidRDefault="001B1253" w:rsidP="00AE22D3">
      <w:pPr>
        <w:rPr>
          <w:rFonts w:asciiTheme="minorHAnsi" w:hAnsiTheme="minorHAnsi"/>
          <w:i/>
        </w:rPr>
      </w:pPr>
    </w:p>
    <w:p w:rsidR="003B3FD2" w:rsidRPr="007D7306" w:rsidRDefault="003B3FD2" w:rsidP="00AE22D3">
      <w:pPr>
        <w:rPr>
          <w:rFonts w:asciiTheme="minorHAnsi" w:hAnsiTheme="minorHAnsi"/>
          <w:sz w:val="22"/>
          <w:szCs w:val="22"/>
        </w:rPr>
      </w:pPr>
      <w:r w:rsidRPr="007D7306">
        <w:rPr>
          <w:rFonts w:asciiTheme="minorHAnsi" w:hAnsiTheme="minorHAnsi"/>
          <w:i/>
        </w:rPr>
        <w:t>For more deta</w:t>
      </w:r>
      <w:r w:rsidR="00194975">
        <w:rPr>
          <w:rFonts w:asciiTheme="minorHAnsi" w:hAnsiTheme="minorHAnsi"/>
          <w:i/>
        </w:rPr>
        <w:t>il on PBAC’s view, see section 6</w:t>
      </w:r>
      <w:r w:rsidRPr="007D7306">
        <w:rPr>
          <w:rFonts w:asciiTheme="minorHAnsi" w:hAnsiTheme="minorHAnsi"/>
          <w:i/>
        </w:rPr>
        <w:t xml:space="preserve"> PBAC outcome</w:t>
      </w:r>
      <w:r w:rsidR="00194975">
        <w:rPr>
          <w:rFonts w:asciiTheme="minorHAnsi" w:hAnsiTheme="minorHAnsi"/>
          <w:sz w:val="22"/>
          <w:szCs w:val="22"/>
        </w:rPr>
        <w:t>.</w:t>
      </w:r>
    </w:p>
    <w:p w:rsidR="003B3FD2" w:rsidRPr="007D7306" w:rsidRDefault="003B3FD2" w:rsidP="00AB600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7D7306">
        <w:rPr>
          <w:rFonts w:asciiTheme="minorHAnsi" w:hAnsiTheme="minorHAnsi"/>
          <w:sz w:val="32"/>
          <w:szCs w:val="32"/>
        </w:rPr>
        <w:t>PBAC Outcome</w:t>
      </w:r>
    </w:p>
    <w:p w:rsidR="003B3FD2" w:rsidRPr="00515174" w:rsidRDefault="0041506B" w:rsidP="00194975">
      <w:pPr>
        <w:numPr>
          <w:ilvl w:val="1"/>
          <w:numId w:val="5"/>
        </w:numPr>
        <w:jc w:val="both"/>
        <w:rPr>
          <w:rFonts w:asciiTheme="minorHAnsi" w:hAnsiTheme="minorHAnsi"/>
          <w:bCs/>
          <w:szCs w:val="22"/>
        </w:rPr>
      </w:pPr>
      <w:r w:rsidRPr="00515174">
        <w:rPr>
          <w:rFonts w:asciiTheme="minorHAnsi" w:hAnsiTheme="minorHAnsi"/>
          <w:bCs/>
          <w:szCs w:val="22"/>
        </w:rPr>
        <w:t>The PBAC recommended the</w:t>
      </w:r>
      <w:r w:rsidR="00A82F0C" w:rsidRPr="00515174">
        <w:rPr>
          <w:rFonts w:asciiTheme="minorHAnsi" w:hAnsiTheme="minorHAnsi"/>
          <w:bCs/>
          <w:szCs w:val="22"/>
        </w:rPr>
        <w:t xml:space="preserve"> Authority Required</w:t>
      </w:r>
      <w:r w:rsidRPr="00515174">
        <w:rPr>
          <w:rFonts w:asciiTheme="minorHAnsi" w:hAnsiTheme="minorHAnsi"/>
          <w:bCs/>
          <w:szCs w:val="22"/>
        </w:rPr>
        <w:t xml:space="preserve"> listing of cladribine for the treatment of relapsing-remitting multiple sclerosis</w:t>
      </w:r>
      <w:r w:rsidR="00A82F0C" w:rsidRPr="00515174">
        <w:rPr>
          <w:rFonts w:asciiTheme="minorHAnsi" w:hAnsiTheme="minorHAnsi"/>
          <w:bCs/>
          <w:szCs w:val="22"/>
        </w:rPr>
        <w:t xml:space="preserve"> (RRMS)</w:t>
      </w:r>
      <w:r w:rsidRPr="00515174">
        <w:rPr>
          <w:rFonts w:asciiTheme="minorHAnsi" w:hAnsiTheme="minorHAnsi"/>
          <w:bCs/>
          <w:szCs w:val="22"/>
        </w:rPr>
        <w:t xml:space="preserve"> </w:t>
      </w:r>
      <w:r w:rsidR="000529F0">
        <w:rPr>
          <w:rFonts w:asciiTheme="minorHAnsi" w:hAnsiTheme="minorHAnsi"/>
          <w:bCs/>
          <w:szCs w:val="22"/>
        </w:rPr>
        <w:t>T</w:t>
      </w:r>
      <w:r w:rsidR="00912676" w:rsidRPr="00515174">
        <w:rPr>
          <w:rFonts w:asciiTheme="minorHAnsi" w:hAnsiTheme="minorHAnsi"/>
          <w:bCs/>
          <w:szCs w:val="22"/>
        </w:rPr>
        <w:t>he PBAC</w:t>
      </w:r>
      <w:r w:rsidR="000529F0">
        <w:rPr>
          <w:rFonts w:asciiTheme="minorHAnsi" w:hAnsiTheme="minorHAnsi"/>
          <w:bCs/>
          <w:szCs w:val="22"/>
        </w:rPr>
        <w:t>’s recommendation for listing was based on, amon</w:t>
      </w:r>
      <w:r w:rsidR="001D68DA">
        <w:rPr>
          <w:rFonts w:asciiTheme="minorHAnsi" w:hAnsiTheme="minorHAnsi"/>
          <w:bCs/>
          <w:szCs w:val="22"/>
        </w:rPr>
        <w:t>gs</w:t>
      </w:r>
      <w:r w:rsidR="000529F0">
        <w:rPr>
          <w:rFonts w:asciiTheme="minorHAnsi" w:hAnsiTheme="minorHAnsi"/>
          <w:bCs/>
          <w:szCs w:val="22"/>
        </w:rPr>
        <w:t xml:space="preserve">t other matters, its assessment than the cost-effectiveness of cladribine would be acceptable if it were cost-minimised against </w:t>
      </w:r>
      <w:r w:rsidR="00524013">
        <w:rPr>
          <w:rFonts w:asciiTheme="minorHAnsi" w:hAnsiTheme="minorHAnsi"/>
          <w:bCs/>
          <w:szCs w:val="22"/>
        </w:rPr>
        <w:t xml:space="preserve">fingolimod </w:t>
      </w:r>
      <w:r w:rsidR="002916B7" w:rsidRPr="00515174">
        <w:rPr>
          <w:rFonts w:asciiTheme="minorHAnsi" w:hAnsiTheme="minorHAnsi"/>
          <w:bCs/>
          <w:szCs w:val="22"/>
        </w:rPr>
        <w:t>based</w:t>
      </w:r>
      <w:r w:rsidR="003F4C1F" w:rsidRPr="00515174">
        <w:rPr>
          <w:rFonts w:asciiTheme="minorHAnsi" w:hAnsiTheme="minorHAnsi"/>
          <w:bCs/>
          <w:szCs w:val="22"/>
        </w:rPr>
        <w:t xml:space="preserve"> on a claim that two years of cladribine treatment is </w:t>
      </w:r>
      <w:r w:rsidR="0050780D" w:rsidRPr="00515174">
        <w:rPr>
          <w:rFonts w:asciiTheme="minorHAnsi" w:hAnsiTheme="minorHAnsi"/>
          <w:bCs/>
          <w:szCs w:val="22"/>
        </w:rPr>
        <w:t>non-inferior</w:t>
      </w:r>
      <w:r w:rsidR="003F4C1F" w:rsidRPr="00515174">
        <w:rPr>
          <w:rFonts w:asciiTheme="minorHAnsi" w:hAnsiTheme="minorHAnsi"/>
          <w:bCs/>
          <w:szCs w:val="22"/>
        </w:rPr>
        <w:t xml:space="preserve"> in efficacy</w:t>
      </w:r>
      <w:r w:rsidR="0050780D" w:rsidRPr="00515174">
        <w:rPr>
          <w:rFonts w:asciiTheme="minorHAnsi" w:hAnsiTheme="minorHAnsi"/>
          <w:bCs/>
          <w:szCs w:val="22"/>
        </w:rPr>
        <w:t xml:space="preserve"> </w:t>
      </w:r>
      <w:r w:rsidR="003F4C1F" w:rsidRPr="00515174">
        <w:rPr>
          <w:rFonts w:asciiTheme="minorHAnsi" w:hAnsiTheme="minorHAnsi"/>
          <w:bCs/>
          <w:szCs w:val="22"/>
        </w:rPr>
        <w:t>to</w:t>
      </w:r>
      <w:r w:rsidR="0050780D" w:rsidRPr="00515174">
        <w:rPr>
          <w:rFonts w:asciiTheme="minorHAnsi" w:hAnsiTheme="minorHAnsi"/>
          <w:bCs/>
          <w:szCs w:val="22"/>
        </w:rPr>
        <w:t xml:space="preserve"> two years</w:t>
      </w:r>
      <w:r w:rsidR="00183A96" w:rsidRPr="00515174">
        <w:rPr>
          <w:rFonts w:asciiTheme="minorHAnsi" w:hAnsiTheme="minorHAnsi"/>
          <w:bCs/>
          <w:szCs w:val="22"/>
        </w:rPr>
        <w:t>’</w:t>
      </w:r>
      <w:r w:rsidR="0050780D" w:rsidRPr="00515174">
        <w:rPr>
          <w:rFonts w:asciiTheme="minorHAnsi" w:hAnsiTheme="minorHAnsi"/>
          <w:bCs/>
          <w:szCs w:val="22"/>
        </w:rPr>
        <w:t xml:space="preserve"> of </w:t>
      </w:r>
      <w:r w:rsidR="00E13975">
        <w:rPr>
          <w:rFonts w:asciiTheme="minorHAnsi" w:hAnsiTheme="minorHAnsi"/>
          <w:bCs/>
          <w:szCs w:val="22"/>
        </w:rPr>
        <w:t>fingolimod treatment.</w:t>
      </w:r>
    </w:p>
    <w:p w:rsidR="00912676" w:rsidRPr="00515174" w:rsidRDefault="00912676" w:rsidP="00194975">
      <w:pPr>
        <w:jc w:val="both"/>
        <w:rPr>
          <w:rFonts w:asciiTheme="minorHAnsi" w:hAnsiTheme="minorHAnsi"/>
          <w:bCs/>
          <w:szCs w:val="22"/>
        </w:rPr>
      </w:pPr>
    </w:p>
    <w:p w:rsidR="003B3FD2" w:rsidRPr="00515174" w:rsidRDefault="00631225" w:rsidP="00194975">
      <w:pPr>
        <w:numPr>
          <w:ilvl w:val="1"/>
          <w:numId w:val="5"/>
        </w:numPr>
        <w:jc w:val="both"/>
        <w:rPr>
          <w:rFonts w:asciiTheme="minorHAnsi" w:hAnsiTheme="minorHAnsi"/>
          <w:bCs/>
          <w:szCs w:val="22"/>
        </w:rPr>
      </w:pPr>
      <w:r w:rsidRPr="00515174">
        <w:rPr>
          <w:rFonts w:asciiTheme="minorHAnsi" w:hAnsiTheme="minorHAnsi"/>
          <w:bCs/>
          <w:szCs w:val="22"/>
        </w:rPr>
        <w:t>The PBAC noted</w:t>
      </w:r>
      <w:r w:rsidR="00CE17DC" w:rsidRPr="00515174">
        <w:rPr>
          <w:rFonts w:asciiTheme="minorHAnsi" w:hAnsiTheme="minorHAnsi"/>
          <w:bCs/>
          <w:szCs w:val="22"/>
        </w:rPr>
        <w:t xml:space="preserve"> and welcomed</w:t>
      </w:r>
      <w:r w:rsidRPr="00515174">
        <w:rPr>
          <w:rFonts w:asciiTheme="minorHAnsi" w:hAnsiTheme="minorHAnsi"/>
          <w:bCs/>
          <w:szCs w:val="22"/>
        </w:rPr>
        <w:t xml:space="preserve"> the consumer comments</w:t>
      </w:r>
      <w:r w:rsidR="00CE17DC" w:rsidRPr="00515174">
        <w:rPr>
          <w:rFonts w:asciiTheme="minorHAnsi" w:hAnsiTheme="minorHAnsi"/>
          <w:bCs/>
          <w:szCs w:val="22"/>
        </w:rPr>
        <w:t xml:space="preserve"> received, including those from MS Research Australia, Carers Australia and the MS Neurology subspecialty group of the Australian and New Zealand Association of Neurologists (ANZAN) in support of </w:t>
      </w:r>
      <w:r w:rsidR="008D67B6" w:rsidRPr="00515174">
        <w:rPr>
          <w:rFonts w:asciiTheme="minorHAnsi" w:hAnsiTheme="minorHAnsi"/>
          <w:bCs/>
          <w:szCs w:val="22"/>
        </w:rPr>
        <w:t>subsidy of cladribine</w:t>
      </w:r>
      <w:r w:rsidR="00CE17DC" w:rsidRPr="00515174">
        <w:rPr>
          <w:rFonts w:asciiTheme="minorHAnsi" w:hAnsiTheme="minorHAnsi"/>
          <w:bCs/>
          <w:szCs w:val="22"/>
        </w:rPr>
        <w:t>.</w:t>
      </w:r>
      <w:r w:rsidR="008D67B6" w:rsidRPr="00515174">
        <w:rPr>
          <w:rFonts w:asciiTheme="minorHAnsi" w:hAnsiTheme="minorHAnsi"/>
          <w:bCs/>
          <w:szCs w:val="22"/>
        </w:rPr>
        <w:t xml:space="preserve"> The PBAC noted</w:t>
      </w:r>
      <w:r w:rsidRPr="00515174">
        <w:rPr>
          <w:rFonts w:asciiTheme="minorHAnsi" w:hAnsiTheme="minorHAnsi"/>
          <w:bCs/>
          <w:szCs w:val="22"/>
        </w:rPr>
        <w:t xml:space="preserve"> that</w:t>
      </w:r>
      <w:r w:rsidR="008D67B6" w:rsidRPr="00515174">
        <w:rPr>
          <w:rFonts w:asciiTheme="minorHAnsi" w:hAnsiTheme="minorHAnsi"/>
          <w:bCs/>
          <w:szCs w:val="22"/>
        </w:rPr>
        <w:t xml:space="preserve"> the comments</w:t>
      </w:r>
      <w:r w:rsidR="00DE399C" w:rsidRPr="00515174">
        <w:rPr>
          <w:rFonts w:asciiTheme="minorHAnsi" w:hAnsiTheme="minorHAnsi"/>
          <w:bCs/>
          <w:szCs w:val="22"/>
        </w:rPr>
        <w:t xml:space="preserve"> indicated</w:t>
      </w:r>
      <w:r w:rsidRPr="00515174">
        <w:rPr>
          <w:rFonts w:asciiTheme="minorHAnsi" w:hAnsiTheme="minorHAnsi"/>
          <w:bCs/>
          <w:szCs w:val="22"/>
        </w:rPr>
        <w:t xml:space="preserve"> </w:t>
      </w:r>
      <w:r w:rsidR="007D7306" w:rsidRPr="007D7306">
        <w:rPr>
          <w:rFonts w:asciiTheme="minorHAnsi" w:hAnsiTheme="minorHAnsi"/>
          <w:bCs/>
          <w:szCs w:val="22"/>
        </w:rPr>
        <w:t>patients and clinicians value additional treatment options for multiple sclerosis</w:t>
      </w:r>
      <w:r w:rsidRPr="00515174">
        <w:rPr>
          <w:rFonts w:asciiTheme="minorHAnsi" w:hAnsiTheme="minorHAnsi"/>
          <w:bCs/>
          <w:szCs w:val="22"/>
        </w:rPr>
        <w:t xml:space="preserve">. </w:t>
      </w:r>
      <w:r w:rsidR="007D7306" w:rsidRPr="007D7306">
        <w:rPr>
          <w:rFonts w:asciiTheme="minorHAnsi" w:hAnsiTheme="minorHAnsi"/>
          <w:bCs/>
          <w:szCs w:val="22"/>
        </w:rPr>
        <w:t>Further,</w:t>
      </w:r>
      <w:r w:rsidR="005267B5" w:rsidRPr="00515174">
        <w:rPr>
          <w:rFonts w:asciiTheme="minorHAnsi" w:hAnsiTheme="minorHAnsi"/>
          <w:bCs/>
          <w:szCs w:val="22"/>
        </w:rPr>
        <w:t xml:space="preserve"> the PBAC acknowledged</w:t>
      </w:r>
      <w:r w:rsidR="008D67B6" w:rsidRPr="00515174">
        <w:rPr>
          <w:rFonts w:asciiTheme="minorHAnsi" w:hAnsiTheme="minorHAnsi"/>
          <w:bCs/>
          <w:szCs w:val="22"/>
        </w:rPr>
        <w:t xml:space="preserve"> that consumers’ perceived cladribine as a drug with a good safety profile</w:t>
      </w:r>
      <w:r w:rsidR="005267B5" w:rsidRPr="00515174">
        <w:rPr>
          <w:rFonts w:asciiTheme="minorHAnsi" w:hAnsiTheme="minorHAnsi"/>
          <w:bCs/>
          <w:szCs w:val="22"/>
        </w:rPr>
        <w:t>, low monitoring burden</w:t>
      </w:r>
      <w:r w:rsidR="008D67B6" w:rsidRPr="00515174">
        <w:rPr>
          <w:rFonts w:asciiTheme="minorHAnsi" w:hAnsiTheme="minorHAnsi"/>
          <w:bCs/>
          <w:szCs w:val="22"/>
        </w:rPr>
        <w:t xml:space="preserve"> an</w:t>
      </w:r>
      <w:r w:rsidR="003C69EC" w:rsidRPr="00515174">
        <w:rPr>
          <w:rFonts w:asciiTheme="minorHAnsi" w:hAnsiTheme="minorHAnsi"/>
          <w:bCs/>
          <w:szCs w:val="22"/>
        </w:rPr>
        <w:t>d</w:t>
      </w:r>
      <w:r w:rsidR="00E13975">
        <w:rPr>
          <w:rFonts w:asciiTheme="minorHAnsi" w:hAnsiTheme="minorHAnsi"/>
          <w:bCs/>
          <w:szCs w:val="22"/>
        </w:rPr>
        <w:t xml:space="preserve"> favourable dosing regimen.</w:t>
      </w:r>
    </w:p>
    <w:p w:rsidR="00DE399C" w:rsidRPr="00515174" w:rsidRDefault="00DE399C" w:rsidP="00194975">
      <w:pPr>
        <w:jc w:val="both"/>
        <w:rPr>
          <w:rFonts w:asciiTheme="minorHAnsi" w:hAnsiTheme="minorHAnsi"/>
          <w:bCs/>
          <w:szCs w:val="22"/>
        </w:rPr>
      </w:pPr>
    </w:p>
    <w:p w:rsidR="003E4FEA" w:rsidRPr="00E13975" w:rsidRDefault="00A84E3F" w:rsidP="00E13975">
      <w:pPr>
        <w:numPr>
          <w:ilvl w:val="1"/>
          <w:numId w:val="5"/>
        </w:numPr>
        <w:spacing w:after="120"/>
        <w:jc w:val="both"/>
        <w:rPr>
          <w:rFonts w:asciiTheme="minorHAnsi" w:hAnsiTheme="minorHAnsi"/>
          <w:bCs/>
          <w:szCs w:val="22"/>
        </w:rPr>
      </w:pPr>
      <w:r w:rsidRPr="00515174">
        <w:rPr>
          <w:rFonts w:asciiTheme="minorHAnsi" w:hAnsiTheme="minorHAnsi"/>
          <w:bCs/>
          <w:szCs w:val="22"/>
        </w:rPr>
        <w:t xml:space="preserve">The PBAC noted that minor resubmission presented a revised claim of non-inferior efficacy between cladribine and fingolimod over </w:t>
      </w:r>
      <w:r w:rsidR="007439F8">
        <w:rPr>
          <w:rFonts w:asciiTheme="minorHAnsi" w:hAnsiTheme="minorHAnsi"/>
          <w:bCs/>
          <w:noProof/>
          <w:color w:val="000000"/>
          <w:szCs w:val="22"/>
          <w:highlight w:val="black"/>
        </w:rPr>
        <w:t xml:space="preserve">''''''' </w:t>
      </w:r>
      <w:r w:rsidRPr="00515174">
        <w:rPr>
          <w:rFonts w:asciiTheme="minorHAnsi" w:hAnsiTheme="minorHAnsi"/>
          <w:bCs/>
          <w:szCs w:val="22"/>
        </w:rPr>
        <w:t>years.</w:t>
      </w:r>
      <w:r w:rsidR="00113D6B" w:rsidRPr="00515174">
        <w:rPr>
          <w:rFonts w:asciiTheme="minorHAnsi" w:hAnsiTheme="minorHAnsi"/>
          <w:bCs/>
          <w:szCs w:val="22"/>
        </w:rPr>
        <w:t xml:space="preserve"> The PBAC recalled it </w:t>
      </w:r>
      <w:r w:rsidR="00113D6B" w:rsidRPr="00515174">
        <w:rPr>
          <w:rFonts w:asciiTheme="minorHAnsi" w:hAnsiTheme="minorHAnsi"/>
          <w:bCs/>
          <w:szCs w:val="22"/>
        </w:rPr>
        <w:lastRenderedPageBreak/>
        <w:t xml:space="preserve">previously considered that there was uncertainty in the claim that cladribine is non-inferior to fingolimod in terms of efficacy over two years as this was based on a minimal clinically important difference (1.46) with a calculation methodology that the </w:t>
      </w:r>
      <w:r w:rsidR="003E4FEA" w:rsidRPr="00515174">
        <w:rPr>
          <w:rFonts w:asciiTheme="minorHAnsi" w:hAnsiTheme="minorHAnsi"/>
          <w:bCs/>
          <w:szCs w:val="22"/>
        </w:rPr>
        <w:t>C</w:t>
      </w:r>
      <w:r w:rsidR="00113D6B" w:rsidRPr="00515174">
        <w:rPr>
          <w:rFonts w:asciiTheme="minorHAnsi" w:hAnsiTheme="minorHAnsi"/>
          <w:bCs/>
          <w:szCs w:val="22"/>
        </w:rPr>
        <w:t xml:space="preserve">ommittee considered was not adequately justified (paragraph 7.6, November 2017 Public Summary Document). However, the PBAC considered that the </w:t>
      </w:r>
      <w:r w:rsidR="007439F8">
        <w:rPr>
          <w:rFonts w:asciiTheme="minorHAnsi" w:hAnsiTheme="minorHAnsi"/>
          <w:bCs/>
          <w:noProof/>
          <w:color w:val="000000"/>
          <w:szCs w:val="22"/>
          <w:highlight w:val="black"/>
        </w:rPr>
        <w:t>'''''''''''''''''''</w:t>
      </w:r>
      <w:r w:rsidR="00113D6B" w:rsidRPr="00515174">
        <w:rPr>
          <w:rFonts w:asciiTheme="minorHAnsi" w:hAnsiTheme="minorHAnsi"/>
          <w:bCs/>
          <w:szCs w:val="22"/>
        </w:rPr>
        <w:t xml:space="preserve"> reduction in the proposed price for cladribine was adequate to address the remaining uncertainty</w:t>
      </w:r>
      <w:r w:rsidR="003E4FEA" w:rsidRPr="00515174">
        <w:rPr>
          <w:rFonts w:asciiTheme="minorHAnsi" w:hAnsiTheme="minorHAnsi"/>
          <w:bCs/>
          <w:szCs w:val="22"/>
        </w:rPr>
        <w:t xml:space="preserve"> in cost-effectiveness</w:t>
      </w:r>
      <w:r w:rsidR="000529F0">
        <w:rPr>
          <w:rFonts w:asciiTheme="minorHAnsi" w:hAnsiTheme="minorHAnsi"/>
          <w:bCs/>
          <w:szCs w:val="22"/>
        </w:rPr>
        <w:t>.</w:t>
      </w:r>
    </w:p>
    <w:p w:rsidR="00113D6B" w:rsidRPr="00E13975" w:rsidRDefault="00065022" w:rsidP="00E13975">
      <w:pPr>
        <w:numPr>
          <w:ilvl w:val="1"/>
          <w:numId w:val="5"/>
        </w:numPr>
        <w:spacing w:after="120"/>
        <w:jc w:val="both"/>
        <w:rPr>
          <w:rFonts w:asciiTheme="minorHAnsi" w:hAnsiTheme="minorHAnsi"/>
          <w:bCs/>
          <w:szCs w:val="22"/>
        </w:rPr>
      </w:pPr>
      <w:r w:rsidRPr="00515174">
        <w:rPr>
          <w:rFonts w:asciiTheme="minorHAnsi" w:hAnsiTheme="minorHAnsi"/>
          <w:bCs/>
          <w:szCs w:val="22"/>
        </w:rPr>
        <w:t>The PBAC recalled that cladribine</w:t>
      </w:r>
      <w:r w:rsidR="0036378B" w:rsidRPr="00515174">
        <w:rPr>
          <w:rFonts w:asciiTheme="minorHAnsi" w:hAnsiTheme="minorHAnsi"/>
          <w:bCs/>
          <w:szCs w:val="22"/>
        </w:rPr>
        <w:t xml:space="preserve"> is</w:t>
      </w:r>
      <w:r w:rsidRPr="00515174">
        <w:rPr>
          <w:rFonts w:asciiTheme="minorHAnsi" w:hAnsiTheme="minorHAnsi"/>
          <w:bCs/>
          <w:szCs w:val="22"/>
        </w:rPr>
        <w:t xml:space="preserve"> associated with important adverse events</w:t>
      </w:r>
      <w:r w:rsidR="0036378B" w:rsidRPr="00515174">
        <w:rPr>
          <w:rFonts w:asciiTheme="minorHAnsi" w:hAnsiTheme="minorHAnsi"/>
          <w:bCs/>
          <w:szCs w:val="22"/>
        </w:rPr>
        <w:t xml:space="preserve"> including lymphopenia and </w:t>
      </w:r>
      <w:r w:rsidR="001F019F" w:rsidRPr="00515174">
        <w:rPr>
          <w:rFonts w:asciiTheme="minorHAnsi" w:hAnsiTheme="minorHAnsi"/>
          <w:bCs/>
          <w:szCs w:val="22"/>
        </w:rPr>
        <w:t>malignancy,</w:t>
      </w:r>
      <w:r w:rsidRPr="00515174">
        <w:rPr>
          <w:rFonts w:asciiTheme="minorHAnsi" w:hAnsiTheme="minorHAnsi"/>
          <w:bCs/>
          <w:szCs w:val="22"/>
        </w:rPr>
        <w:t xml:space="preserve"> however the PBAC accepted that cladribine overall </w:t>
      </w:r>
      <w:r w:rsidR="00DE208F" w:rsidRPr="00515174">
        <w:rPr>
          <w:rFonts w:asciiTheme="minorHAnsi" w:hAnsiTheme="minorHAnsi"/>
          <w:bCs/>
          <w:szCs w:val="22"/>
        </w:rPr>
        <w:t>is well tolerated and</w:t>
      </w:r>
      <w:r w:rsidR="0036378B" w:rsidRPr="00515174">
        <w:rPr>
          <w:rFonts w:asciiTheme="minorHAnsi" w:hAnsiTheme="minorHAnsi"/>
          <w:bCs/>
          <w:szCs w:val="22"/>
        </w:rPr>
        <w:t xml:space="preserve"> as such, considered that</w:t>
      </w:r>
      <w:r w:rsidR="00DE208F" w:rsidRPr="00515174">
        <w:rPr>
          <w:rFonts w:asciiTheme="minorHAnsi" w:hAnsiTheme="minorHAnsi"/>
          <w:bCs/>
          <w:szCs w:val="22"/>
        </w:rPr>
        <w:t xml:space="preserve"> cost-</w:t>
      </w:r>
      <w:r w:rsidRPr="00515174">
        <w:rPr>
          <w:rFonts w:asciiTheme="minorHAnsi" w:hAnsiTheme="minorHAnsi"/>
          <w:bCs/>
          <w:szCs w:val="22"/>
        </w:rPr>
        <w:t>minimisation</w:t>
      </w:r>
      <w:r w:rsidR="00DE208F" w:rsidRPr="00515174">
        <w:rPr>
          <w:rFonts w:asciiTheme="minorHAnsi" w:hAnsiTheme="minorHAnsi"/>
          <w:bCs/>
          <w:szCs w:val="22"/>
        </w:rPr>
        <w:t xml:space="preserve"> </w:t>
      </w:r>
      <w:r w:rsidRPr="00515174">
        <w:rPr>
          <w:rFonts w:asciiTheme="minorHAnsi" w:hAnsiTheme="minorHAnsi"/>
          <w:bCs/>
          <w:szCs w:val="22"/>
        </w:rPr>
        <w:t xml:space="preserve">to fingolimod over </w:t>
      </w:r>
      <w:r w:rsidRPr="00083822">
        <w:rPr>
          <w:rFonts w:asciiTheme="minorHAnsi" w:hAnsiTheme="minorHAnsi"/>
          <w:bCs/>
          <w:szCs w:val="22"/>
        </w:rPr>
        <w:t>two years</w:t>
      </w:r>
      <w:r w:rsidRPr="00515174">
        <w:rPr>
          <w:rFonts w:asciiTheme="minorHAnsi" w:hAnsiTheme="minorHAnsi"/>
          <w:bCs/>
          <w:szCs w:val="22"/>
        </w:rPr>
        <w:t xml:space="preserve"> without offsets for adverse events was </w:t>
      </w:r>
      <w:r w:rsidR="00183A96" w:rsidRPr="00515174">
        <w:rPr>
          <w:rFonts w:asciiTheme="minorHAnsi" w:hAnsiTheme="minorHAnsi"/>
          <w:bCs/>
          <w:szCs w:val="22"/>
        </w:rPr>
        <w:t>reasonable</w:t>
      </w:r>
    </w:p>
    <w:p w:rsidR="003C69EC" w:rsidRPr="00515174" w:rsidRDefault="00E658DA" w:rsidP="00E13975">
      <w:pPr>
        <w:numPr>
          <w:ilvl w:val="1"/>
          <w:numId w:val="5"/>
        </w:numPr>
        <w:spacing w:after="120"/>
        <w:jc w:val="both"/>
        <w:rPr>
          <w:rFonts w:asciiTheme="minorHAnsi" w:hAnsiTheme="minorHAnsi"/>
          <w:bCs/>
          <w:szCs w:val="22"/>
        </w:rPr>
      </w:pPr>
      <w:r w:rsidRPr="00515174">
        <w:rPr>
          <w:rFonts w:asciiTheme="minorHAnsi" w:hAnsiTheme="minorHAnsi"/>
          <w:bCs/>
          <w:szCs w:val="22"/>
        </w:rPr>
        <w:t xml:space="preserve">The PBAC </w:t>
      </w:r>
      <w:r w:rsidR="003C69EC" w:rsidRPr="00515174">
        <w:rPr>
          <w:rFonts w:asciiTheme="minorHAnsi" w:hAnsiTheme="minorHAnsi"/>
          <w:bCs/>
          <w:szCs w:val="22"/>
        </w:rPr>
        <w:t>considered the</w:t>
      </w:r>
      <w:r w:rsidRPr="00515174">
        <w:rPr>
          <w:rFonts w:asciiTheme="minorHAnsi" w:hAnsiTheme="minorHAnsi"/>
          <w:bCs/>
          <w:szCs w:val="22"/>
        </w:rPr>
        <w:t xml:space="preserve"> equi-effective doses</w:t>
      </w:r>
      <w:r w:rsidR="003C69EC" w:rsidRPr="00515174">
        <w:rPr>
          <w:rFonts w:asciiTheme="minorHAnsi" w:hAnsiTheme="minorHAnsi"/>
          <w:bCs/>
          <w:szCs w:val="22"/>
        </w:rPr>
        <w:t xml:space="preserve"> for the treatment of RRMS </w:t>
      </w:r>
      <w:r w:rsidR="00183A96" w:rsidRPr="00515174">
        <w:rPr>
          <w:rFonts w:asciiTheme="minorHAnsi" w:hAnsiTheme="minorHAnsi"/>
          <w:bCs/>
          <w:szCs w:val="22"/>
        </w:rPr>
        <w:t>were</w:t>
      </w:r>
      <w:r w:rsidR="003C69EC" w:rsidRPr="00515174">
        <w:rPr>
          <w:rFonts w:asciiTheme="minorHAnsi" w:hAnsiTheme="minorHAnsi"/>
          <w:bCs/>
          <w:szCs w:val="22"/>
        </w:rPr>
        <w:t>:</w:t>
      </w:r>
    </w:p>
    <w:p w:rsidR="00CA5076" w:rsidRPr="00515174" w:rsidRDefault="00AB51A4" w:rsidP="00E13975">
      <w:pPr>
        <w:pStyle w:val="ListParagraph"/>
        <w:numPr>
          <w:ilvl w:val="0"/>
          <w:numId w:val="17"/>
        </w:numPr>
        <w:spacing w:after="120"/>
        <w:ind w:left="1077" w:hanging="357"/>
        <w:rPr>
          <w:rFonts w:asciiTheme="minorHAnsi" w:hAnsiTheme="minorHAnsi"/>
          <w:bCs/>
          <w:sz w:val="24"/>
          <w:szCs w:val="24"/>
        </w:rPr>
      </w:pPr>
      <w:r w:rsidRPr="00515174">
        <w:rPr>
          <w:rFonts w:asciiTheme="minorHAnsi" w:hAnsiTheme="minorHAnsi"/>
          <w:bCs/>
          <w:sz w:val="24"/>
          <w:szCs w:val="24"/>
        </w:rPr>
        <w:t xml:space="preserve">Cladribine 3.5 mg/kg </w:t>
      </w:r>
      <w:r w:rsidRPr="00B76A26">
        <w:rPr>
          <w:rFonts w:asciiTheme="minorHAnsi" w:hAnsiTheme="minorHAnsi"/>
          <w:bCs/>
          <w:sz w:val="24"/>
          <w:szCs w:val="24"/>
        </w:rPr>
        <w:t>over 2 years</w:t>
      </w:r>
      <w:r w:rsidRPr="00515174">
        <w:rPr>
          <w:rFonts w:asciiTheme="minorHAnsi" w:hAnsiTheme="minorHAnsi"/>
          <w:bCs/>
          <w:sz w:val="24"/>
          <w:szCs w:val="24"/>
        </w:rPr>
        <w:t xml:space="preserve"> administered as 1 treatmen</w:t>
      </w:r>
      <w:r w:rsidR="00CA5076" w:rsidRPr="00515174">
        <w:rPr>
          <w:rFonts w:asciiTheme="minorHAnsi" w:hAnsiTheme="minorHAnsi"/>
          <w:bCs/>
          <w:sz w:val="24"/>
          <w:szCs w:val="24"/>
        </w:rPr>
        <w:t>t course of 1.75 mg/kg per year</w:t>
      </w:r>
      <w:r w:rsidR="00183A96" w:rsidRPr="00515174">
        <w:rPr>
          <w:rFonts w:asciiTheme="minorHAnsi" w:hAnsiTheme="minorHAnsi"/>
          <w:bCs/>
          <w:sz w:val="24"/>
          <w:szCs w:val="24"/>
        </w:rPr>
        <w:t xml:space="preserve"> (</w:t>
      </w:r>
      <w:r w:rsidR="00CA5076" w:rsidRPr="00515174">
        <w:rPr>
          <w:rFonts w:asciiTheme="minorHAnsi" w:hAnsiTheme="minorHAnsi"/>
          <w:bCs/>
          <w:sz w:val="24"/>
          <w:szCs w:val="24"/>
        </w:rPr>
        <w:t>consisting of 2 treatment weeks</w:t>
      </w:r>
      <w:r w:rsidR="00183A96" w:rsidRPr="00515174">
        <w:rPr>
          <w:rFonts w:asciiTheme="minorHAnsi" w:hAnsiTheme="minorHAnsi"/>
          <w:bCs/>
          <w:sz w:val="24"/>
          <w:szCs w:val="24"/>
        </w:rPr>
        <w:t>)</w:t>
      </w:r>
      <w:r w:rsidR="00CA5076" w:rsidRPr="00515174">
        <w:rPr>
          <w:rFonts w:asciiTheme="minorHAnsi" w:hAnsiTheme="minorHAnsi"/>
          <w:bCs/>
          <w:sz w:val="24"/>
          <w:szCs w:val="24"/>
        </w:rPr>
        <w:t xml:space="preserve"> and</w:t>
      </w:r>
    </w:p>
    <w:p w:rsidR="0006060D" w:rsidRPr="00E13975" w:rsidRDefault="00CA5076" w:rsidP="00E13975">
      <w:pPr>
        <w:pStyle w:val="ListParagraph"/>
        <w:numPr>
          <w:ilvl w:val="0"/>
          <w:numId w:val="17"/>
        </w:numPr>
        <w:spacing w:after="120"/>
        <w:ind w:left="1077" w:hanging="357"/>
        <w:rPr>
          <w:rFonts w:asciiTheme="minorHAnsi" w:hAnsiTheme="minorHAnsi"/>
          <w:bCs/>
          <w:sz w:val="24"/>
          <w:szCs w:val="24"/>
        </w:rPr>
      </w:pPr>
      <w:r w:rsidRPr="00515174">
        <w:rPr>
          <w:rFonts w:asciiTheme="minorHAnsi" w:hAnsiTheme="minorHAnsi"/>
          <w:bCs/>
          <w:sz w:val="24"/>
          <w:szCs w:val="24"/>
        </w:rPr>
        <w:t>Fingolimod 500 m</w:t>
      </w:r>
      <w:r w:rsidR="000529F0">
        <w:rPr>
          <w:rFonts w:asciiTheme="minorHAnsi" w:hAnsiTheme="minorHAnsi"/>
          <w:bCs/>
          <w:sz w:val="24"/>
          <w:szCs w:val="24"/>
        </w:rPr>
        <w:t>c</w:t>
      </w:r>
      <w:r w:rsidRPr="00515174">
        <w:rPr>
          <w:rFonts w:asciiTheme="minorHAnsi" w:hAnsiTheme="minorHAnsi"/>
          <w:bCs/>
          <w:sz w:val="24"/>
          <w:szCs w:val="24"/>
        </w:rPr>
        <w:t xml:space="preserve">g once daily over 2 years. </w:t>
      </w:r>
    </w:p>
    <w:p w:rsidR="003B3FD2" w:rsidRPr="00FF4F4B" w:rsidRDefault="0052528B" w:rsidP="00194975">
      <w:pPr>
        <w:numPr>
          <w:ilvl w:val="1"/>
          <w:numId w:val="5"/>
        </w:numPr>
        <w:jc w:val="both"/>
        <w:rPr>
          <w:rFonts w:asciiTheme="minorHAnsi" w:hAnsiTheme="minorHAnsi"/>
          <w:bCs/>
          <w:szCs w:val="22"/>
        </w:rPr>
      </w:pPr>
      <w:r w:rsidRPr="00515174">
        <w:rPr>
          <w:rFonts w:asciiTheme="minorHAnsi" w:hAnsiTheme="minorHAnsi"/>
          <w:bCs/>
          <w:szCs w:val="22"/>
        </w:rPr>
        <w:t>The PBAC noted that</w:t>
      </w:r>
      <w:r w:rsidR="00323C44" w:rsidRPr="00515174">
        <w:rPr>
          <w:rFonts w:asciiTheme="minorHAnsi" w:hAnsiTheme="minorHAnsi"/>
          <w:bCs/>
          <w:szCs w:val="22"/>
        </w:rPr>
        <w:t xml:space="preserve"> the</w:t>
      </w:r>
      <w:r w:rsidRPr="00515174">
        <w:rPr>
          <w:rFonts w:asciiTheme="minorHAnsi" w:hAnsiTheme="minorHAnsi"/>
          <w:bCs/>
          <w:szCs w:val="22"/>
        </w:rPr>
        <w:t xml:space="preserve"> </w:t>
      </w:r>
      <w:r w:rsidR="005D2BA3" w:rsidRPr="00515174">
        <w:rPr>
          <w:rFonts w:asciiTheme="minorHAnsi" w:hAnsiTheme="minorHAnsi"/>
          <w:bCs/>
          <w:szCs w:val="22"/>
        </w:rPr>
        <w:t xml:space="preserve">proposed </w:t>
      </w:r>
      <w:r w:rsidRPr="00515174">
        <w:rPr>
          <w:rFonts w:asciiTheme="minorHAnsi" w:hAnsiTheme="minorHAnsi"/>
          <w:bCs/>
          <w:szCs w:val="22"/>
        </w:rPr>
        <w:t>DPMQ</w:t>
      </w:r>
      <w:r w:rsidR="00323C44" w:rsidRPr="00515174">
        <w:rPr>
          <w:rFonts w:asciiTheme="minorHAnsi" w:hAnsiTheme="minorHAnsi"/>
          <w:bCs/>
          <w:szCs w:val="22"/>
        </w:rPr>
        <w:t xml:space="preserve"> for seven tablets</w:t>
      </w:r>
      <w:r w:rsidRPr="00515174">
        <w:rPr>
          <w:rFonts w:asciiTheme="minorHAnsi" w:hAnsiTheme="minorHAnsi"/>
          <w:bCs/>
          <w:szCs w:val="22"/>
        </w:rPr>
        <w:t xml:space="preserve"> </w:t>
      </w:r>
      <w:r w:rsidR="00323C44" w:rsidRPr="00515174">
        <w:rPr>
          <w:rFonts w:asciiTheme="minorHAnsi" w:hAnsiTheme="minorHAnsi"/>
          <w:bCs/>
          <w:szCs w:val="22"/>
        </w:rPr>
        <w:t>was</w:t>
      </w:r>
      <w:r w:rsidRPr="00515174">
        <w:rPr>
          <w:rFonts w:asciiTheme="minorHAnsi" w:hAnsiTheme="minorHAnsi"/>
          <w:bCs/>
          <w:szCs w:val="22"/>
        </w:rPr>
        <w:t xml:space="preserve"> reduced </w:t>
      </w:r>
      <w:r w:rsidR="00664D90" w:rsidRPr="00515174">
        <w:rPr>
          <w:rFonts w:asciiTheme="minorHAnsi" w:hAnsiTheme="minorHAnsi"/>
          <w:bCs/>
          <w:szCs w:val="22"/>
        </w:rPr>
        <w:t xml:space="preserve">by approximately </w:t>
      </w:r>
      <w:r w:rsidR="007439F8">
        <w:rPr>
          <w:rFonts w:asciiTheme="minorHAnsi" w:hAnsiTheme="minorHAnsi"/>
          <w:bCs/>
          <w:noProof/>
          <w:color w:val="000000"/>
          <w:szCs w:val="22"/>
          <w:highlight w:val="black"/>
        </w:rPr>
        <w:t>'''''''''</w:t>
      </w:r>
      <w:r w:rsidR="00664D90" w:rsidRPr="00515174">
        <w:rPr>
          <w:rFonts w:asciiTheme="minorHAnsi" w:hAnsiTheme="minorHAnsi"/>
          <w:bCs/>
          <w:szCs w:val="22"/>
        </w:rPr>
        <w:t xml:space="preserve">% </w:t>
      </w:r>
      <w:r w:rsidRPr="00515174">
        <w:rPr>
          <w:rFonts w:asciiTheme="minorHAnsi" w:hAnsiTheme="minorHAnsi"/>
          <w:bCs/>
          <w:szCs w:val="22"/>
        </w:rPr>
        <w:t xml:space="preserve">from </w:t>
      </w:r>
      <w:r w:rsidR="00323C44" w:rsidRPr="00515174">
        <w:rPr>
          <w:rFonts w:asciiTheme="minorHAnsi" w:hAnsiTheme="minorHAnsi"/>
          <w:bCs/>
          <w:szCs w:val="22"/>
        </w:rPr>
        <w:t>$</w:t>
      </w:r>
      <w:r w:rsidR="007439F8">
        <w:rPr>
          <w:rFonts w:asciiTheme="minorHAnsi" w:hAnsiTheme="minorHAnsi"/>
          <w:bCs/>
          <w:noProof/>
          <w:color w:val="000000"/>
          <w:szCs w:val="22"/>
          <w:highlight w:val="black"/>
        </w:rPr>
        <w:t>'''''''''''''''''''</w:t>
      </w:r>
      <w:r w:rsidRPr="00515174">
        <w:rPr>
          <w:rFonts w:asciiTheme="minorHAnsi" w:hAnsiTheme="minorHAnsi"/>
          <w:bCs/>
          <w:szCs w:val="22"/>
        </w:rPr>
        <w:t xml:space="preserve"> </w:t>
      </w:r>
      <w:r w:rsidR="00E0552D" w:rsidRPr="00515174">
        <w:rPr>
          <w:rFonts w:asciiTheme="minorHAnsi" w:hAnsiTheme="minorHAnsi"/>
          <w:bCs/>
          <w:szCs w:val="22"/>
        </w:rPr>
        <w:t>in the March 2018 resubmission to $</w:t>
      </w:r>
      <w:r w:rsidR="007439F8">
        <w:rPr>
          <w:rFonts w:asciiTheme="minorHAnsi" w:hAnsiTheme="minorHAnsi"/>
          <w:bCs/>
          <w:noProof/>
          <w:color w:val="000000"/>
          <w:szCs w:val="22"/>
          <w:highlight w:val="black"/>
        </w:rPr>
        <w:t>'''''''''''''''''</w:t>
      </w:r>
      <w:r w:rsidR="00E0552D" w:rsidRPr="00515174">
        <w:rPr>
          <w:rFonts w:asciiTheme="minorHAnsi" w:hAnsiTheme="minorHAnsi"/>
          <w:bCs/>
          <w:szCs w:val="22"/>
        </w:rPr>
        <w:t xml:space="preserve"> </w:t>
      </w:r>
      <w:r w:rsidR="00323C44" w:rsidRPr="00515174">
        <w:rPr>
          <w:rFonts w:asciiTheme="minorHAnsi" w:hAnsiTheme="minorHAnsi"/>
          <w:bCs/>
          <w:szCs w:val="22"/>
        </w:rPr>
        <w:t>in</w:t>
      </w:r>
      <w:r w:rsidR="00E0552D" w:rsidRPr="00515174">
        <w:rPr>
          <w:rFonts w:asciiTheme="minorHAnsi" w:hAnsiTheme="minorHAnsi"/>
          <w:bCs/>
          <w:szCs w:val="22"/>
        </w:rPr>
        <w:t xml:space="preserve"> the current minor resubmission.</w:t>
      </w:r>
      <w:r w:rsidR="00D86679" w:rsidRPr="00515174">
        <w:rPr>
          <w:rFonts w:asciiTheme="minorHAnsi" w:hAnsiTheme="minorHAnsi"/>
          <w:bCs/>
          <w:szCs w:val="22"/>
        </w:rPr>
        <w:t xml:space="preserve"> </w:t>
      </w:r>
      <w:r w:rsidR="00B455C3" w:rsidRPr="00515174">
        <w:rPr>
          <w:rFonts w:asciiTheme="minorHAnsi" w:hAnsiTheme="minorHAnsi"/>
          <w:bCs/>
          <w:szCs w:val="22"/>
        </w:rPr>
        <w:t xml:space="preserve">The PBAC </w:t>
      </w:r>
      <w:r w:rsidR="003A3BF1" w:rsidRPr="00515174">
        <w:rPr>
          <w:rFonts w:asciiTheme="minorHAnsi" w:hAnsiTheme="minorHAnsi"/>
          <w:bCs/>
          <w:szCs w:val="22"/>
        </w:rPr>
        <w:t xml:space="preserve">further </w:t>
      </w:r>
      <w:r w:rsidR="00B455C3" w:rsidRPr="00515174">
        <w:rPr>
          <w:rFonts w:asciiTheme="minorHAnsi" w:hAnsiTheme="minorHAnsi"/>
          <w:bCs/>
          <w:szCs w:val="22"/>
        </w:rPr>
        <w:t>noted</w:t>
      </w:r>
      <w:r w:rsidR="003A3BF1" w:rsidRPr="00515174">
        <w:rPr>
          <w:rFonts w:asciiTheme="minorHAnsi" w:hAnsiTheme="minorHAnsi"/>
          <w:bCs/>
          <w:szCs w:val="22"/>
        </w:rPr>
        <w:t xml:space="preserve"> that </w:t>
      </w:r>
      <w:r w:rsidR="00DD223D" w:rsidRPr="00515174">
        <w:rPr>
          <w:rFonts w:asciiTheme="minorHAnsi" w:hAnsiTheme="minorHAnsi"/>
          <w:bCs/>
          <w:szCs w:val="22"/>
        </w:rPr>
        <w:t xml:space="preserve">the </w:t>
      </w:r>
      <w:r w:rsidR="003A3BF1" w:rsidRPr="00515174">
        <w:rPr>
          <w:rFonts w:asciiTheme="minorHAnsi" w:hAnsiTheme="minorHAnsi"/>
          <w:bCs/>
          <w:szCs w:val="22"/>
        </w:rPr>
        <w:t xml:space="preserve">proposed cost-minimised price for cladribine included a </w:t>
      </w:r>
      <w:r w:rsidR="007439F8">
        <w:rPr>
          <w:rFonts w:asciiTheme="minorHAnsi" w:hAnsiTheme="minorHAnsi"/>
          <w:bCs/>
          <w:noProof/>
          <w:color w:val="000000"/>
          <w:szCs w:val="22"/>
          <w:highlight w:val="black"/>
        </w:rPr>
        <w:t>'''''''''</w:t>
      </w:r>
      <w:r w:rsidR="00165993" w:rsidRPr="00515174">
        <w:rPr>
          <w:rFonts w:asciiTheme="minorHAnsi" w:hAnsiTheme="minorHAnsi"/>
          <w:bCs/>
          <w:szCs w:val="22"/>
        </w:rPr>
        <w:t>% rebate to account for a lower compliance rate of fingolimod</w:t>
      </w:r>
      <w:r w:rsidR="00656243" w:rsidRPr="00515174">
        <w:rPr>
          <w:rFonts w:asciiTheme="minorHAnsi" w:hAnsiTheme="minorHAnsi"/>
          <w:bCs/>
          <w:szCs w:val="22"/>
        </w:rPr>
        <w:t xml:space="preserve"> (</w:t>
      </w:r>
      <w:r w:rsidR="007439F8">
        <w:rPr>
          <w:rFonts w:asciiTheme="minorHAnsi" w:hAnsiTheme="minorHAnsi"/>
          <w:bCs/>
          <w:noProof/>
          <w:color w:val="000000"/>
          <w:szCs w:val="22"/>
          <w:highlight w:val="black"/>
        </w:rPr>
        <w:t>'''''''''''</w:t>
      </w:r>
      <w:r w:rsidR="00656243" w:rsidRPr="00515174">
        <w:rPr>
          <w:rFonts w:asciiTheme="minorHAnsi" w:hAnsiTheme="minorHAnsi"/>
          <w:bCs/>
          <w:szCs w:val="22"/>
        </w:rPr>
        <w:t>%)</w:t>
      </w:r>
      <w:r w:rsidR="007D7306">
        <w:rPr>
          <w:rFonts w:asciiTheme="minorHAnsi" w:hAnsiTheme="minorHAnsi"/>
          <w:bCs/>
          <w:szCs w:val="22"/>
        </w:rPr>
        <w:t>.</w:t>
      </w:r>
      <w:r w:rsidR="00DD223D" w:rsidRPr="00FF4F4B">
        <w:rPr>
          <w:rFonts w:asciiTheme="minorHAnsi" w:hAnsiTheme="minorHAnsi"/>
          <w:bCs/>
          <w:szCs w:val="22"/>
        </w:rPr>
        <w:t xml:space="preserve"> </w:t>
      </w:r>
      <w:r w:rsidR="007D7306">
        <w:rPr>
          <w:rFonts w:asciiTheme="minorHAnsi" w:hAnsiTheme="minorHAnsi"/>
          <w:bCs/>
          <w:szCs w:val="22"/>
        </w:rPr>
        <w:t xml:space="preserve">This </w:t>
      </w:r>
      <w:r w:rsidR="00D06681" w:rsidRPr="00FF4F4B">
        <w:rPr>
          <w:rFonts w:asciiTheme="minorHAnsi" w:hAnsiTheme="minorHAnsi"/>
          <w:bCs/>
          <w:szCs w:val="22"/>
        </w:rPr>
        <w:t>was</w:t>
      </w:r>
      <w:r w:rsidR="00656243" w:rsidRPr="00FF4F4B">
        <w:rPr>
          <w:rFonts w:asciiTheme="minorHAnsi" w:hAnsiTheme="minorHAnsi"/>
          <w:bCs/>
          <w:szCs w:val="22"/>
        </w:rPr>
        <w:t xml:space="preserve"> derived from calculating the mean duration of exposure of 1</w:t>
      </w:r>
      <w:r w:rsidR="007D7306">
        <w:rPr>
          <w:rFonts w:asciiTheme="minorHAnsi" w:hAnsiTheme="minorHAnsi"/>
          <w:bCs/>
          <w:szCs w:val="22"/>
        </w:rPr>
        <w:t>,</w:t>
      </w:r>
      <w:r w:rsidR="00656243" w:rsidRPr="00FF4F4B">
        <w:rPr>
          <w:rFonts w:asciiTheme="minorHAnsi" w:hAnsiTheme="minorHAnsi"/>
          <w:bCs/>
          <w:szCs w:val="22"/>
        </w:rPr>
        <w:t>394 days out of 1</w:t>
      </w:r>
      <w:r w:rsidR="007D7306">
        <w:rPr>
          <w:rFonts w:asciiTheme="minorHAnsi" w:hAnsiTheme="minorHAnsi"/>
          <w:bCs/>
          <w:szCs w:val="22"/>
        </w:rPr>
        <w:t>,</w:t>
      </w:r>
      <w:r w:rsidR="00656243" w:rsidRPr="00FF4F4B">
        <w:rPr>
          <w:rFonts w:asciiTheme="minorHAnsi" w:hAnsiTheme="minorHAnsi"/>
          <w:bCs/>
          <w:szCs w:val="22"/>
        </w:rPr>
        <w:t>460 days in the FREEDOMS extension trial</w:t>
      </w:r>
      <w:r w:rsidR="00D06681" w:rsidRPr="00FF4F4B">
        <w:rPr>
          <w:rFonts w:asciiTheme="minorHAnsi" w:hAnsiTheme="minorHAnsi"/>
          <w:bCs/>
          <w:szCs w:val="22"/>
        </w:rPr>
        <w:t xml:space="preserve"> </w:t>
      </w:r>
      <w:r w:rsidR="00FF4F4B">
        <w:rPr>
          <w:rFonts w:asciiTheme="minorHAnsi" w:hAnsiTheme="minorHAnsi"/>
          <w:bCs/>
          <w:szCs w:val="22"/>
        </w:rPr>
        <w:t>which the sponsor contended</w:t>
      </w:r>
      <w:r w:rsidR="00D06681" w:rsidRPr="00FF4F4B">
        <w:rPr>
          <w:rFonts w:asciiTheme="minorHAnsi" w:hAnsiTheme="minorHAnsi"/>
          <w:bCs/>
          <w:szCs w:val="22"/>
        </w:rPr>
        <w:t xml:space="preserve"> was likely to be conservative when applied to a treatment period over </w:t>
      </w:r>
      <w:r w:rsidR="00D06681" w:rsidRPr="00591DCA">
        <w:rPr>
          <w:rFonts w:asciiTheme="minorHAnsi" w:hAnsiTheme="minorHAnsi"/>
          <w:bCs/>
          <w:szCs w:val="22"/>
        </w:rPr>
        <w:t>two years</w:t>
      </w:r>
      <w:r w:rsidR="00D06681" w:rsidRPr="00FF4F4B">
        <w:rPr>
          <w:rFonts w:asciiTheme="minorHAnsi" w:hAnsiTheme="minorHAnsi"/>
          <w:bCs/>
          <w:szCs w:val="22"/>
        </w:rPr>
        <w:t>.</w:t>
      </w:r>
    </w:p>
    <w:p w:rsidR="00D06681" w:rsidRPr="00FF4F4B" w:rsidRDefault="00D06681" w:rsidP="00194975">
      <w:pPr>
        <w:ind w:left="720"/>
        <w:jc w:val="both"/>
        <w:rPr>
          <w:rFonts w:asciiTheme="minorHAnsi" w:hAnsiTheme="minorHAnsi"/>
          <w:bCs/>
          <w:szCs w:val="22"/>
        </w:rPr>
      </w:pPr>
    </w:p>
    <w:p w:rsidR="005B7A4A" w:rsidRPr="00FF4F4B" w:rsidRDefault="000F58C0" w:rsidP="00194975">
      <w:pPr>
        <w:numPr>
          <w:ilvl w:val="1"/>
          <w:numId w:val="5"/>
        </w:numPr>
        <w:jc w:val="both"/>
        <w:rPr>
          <w:rFonts w:asciiTheme="minorHAnsi" w:hAnsiTheme="minorHAnsi"/>
          <w:bCs/>
          <w:szCs w:val="22"/>
        </w:rPr>
      </w:pPr>
      <w:r w:rsidRPr="00FF4F4B">
        <w:rPr>
          <w:rFonts w:asciiTheme="minorHAnsi" w:hAnsiTheme="minorHAnsi"/>
          <w:bCs/>
          <w:szCs w:val="22"/>
        </w:rPr>
        <w:t xml:space="preserve">The PBAC noted that the </w:t>
      </w:r>
      <w:r w:rsidR="000529F0">
        <w:rPr>
          <w:rFonts w:asciiTheme="minorHAnsi" w:hAnsiTheme="minorHAnsi"/>
          <w:bCs/>
          <w:szCs w:val="22"/>
        </w:rPr>
        <w:t xml:space="preserve">estimated </w:t>
      </w:r>
      <w:r w:rsidRPr="00FF4F4B">
        <w:rPr>
          <w:rFonts w:asciiTheme="minorHAnsi" w:hAnsiTheme="minorHAnsi"/>
          <w:bCs/>
          <w:szCs w:val="22"/>
        </w:rPr>
        <w:t>total financial impact was reduced substantially from a</w:t>
      </w:r>
      <w:r w:rsidR="003C0490" w:rsidRPr="00FF4F4B">
        <w:rPr>
          <w:rFonts w:asciiTheme="minorHAnsi" w:hAnsiTheme="minorHAnsi"/>
          <w:bCs/>
          <w:szCs w:val="22"/>
        </w:rPr>
        <w:t xml:space="preserve"> net</w:t>
      </w:r>
      <w:r w:rsidRPr="00FF4F4B">
        <w:rPr>
          <w:rFonts w:asciiTheme="minorHAnsi" w:hAnsiTheme="minorHAnsi"/>
          <w:bCs/>
          <w:szCs w:val="22"/>
        </w:rPr>
        <w:t xml:space="preserve"> cost of $</w:t>
      </w:r>
      <w:r w:rsidR="008842BE">
        <w:rPr>
          <w:rFonts w:asciiTheme="minorHAnsi" w:hAnsiTheme="minorHAnsi"/>
          <w:bCs/>
          <w:szCs w:val="22"/>
        </w:rPr>
        <w:t xml:space="preserve">30 - $60 </w:t>
      </w:r>
      <w:r w:rsidRPr="00FF4F4B">
        <w:rPr>
          <w:rFonts w:asciiTheme="minorHAnsi" w:hAnsiTheme="minorHAnsi"/>
          <w:bCs/>
          <w:szCs w:val="22"/>
        </w:rPr>
        <w:t>million</w:t>
      </w:r>
      <w:r w:rsidR="003C0490" w:rsidRPr="00FF4F4B">
        <w:rPr>
          <w:rFonts w:asciiTheme="minorHAnsi" w:hAnsiTheme="minorHAnsi"/>
          <w:bCs/>
          <w:szCs w:val="22"/>
        </w:rPr>
        <w:t xml:space="preserve"> over six years to a net save of</w:t>
      </w:r>
      <w:r w:rsidR="008842BE">
        <w:rPr>
          <w:rFonts w:asciiTheme="minorHAnsi" w:hAnsiTheme="minorHAnsi"/>
          <w:bCs/>
          <w:szCs w:val="22"/>
        </w:rPr>
        <w:t xml:space="preserve"> more than </w:t>
      </w:r>
      <w:r w:rsidR="003C0490" w:rsidRPr="00FF4F4B">
        <w:rPr>
          <w:rFonts w:asciiTheme="minorHAnsi" w:hAnsiTheme="minorHAnsi"/>
          <w:bCs/>
          <w:szCs w:val="22"/>
        </w:rPr>
        <w:t xml:space="preserve"> $</w:t>
      </w:r>
      <w:r w:rsidR="008842BE">
        <w:rPr>
          <w:rFonts w:asciiTheme="minorHAnsi" w:hAnsiTheme="minorHAnsi"/>
          <w:bCs/>
          <w:szCs w:val="22"/>
        </w:rPr>
        <w:t>100</w:t>
      </w:r>
      <w:r w:rsidR="003C0490" w:rsidRPr="00FF4F4B">
        <w:rPr>
          <w:rFonts w:asciiTheme="minorHAnsi" w:hAnsiTheme="minorHAnsi"/>
          <w:bCs/>
          <w:szCs w:val="22"/>
        </w:rPr>
        <w:t xml:space="preserve"> million over six years. </w:t>
      </w:r>
      <w:r w:rsidR="005B7A4A" w:rsidRPr="00FF4F4B">
        <w:rPr>
          <w:rFonts w:asciiTheme="minorHAnsi" w:hAnsiTheme="minorHAnsi"/>
          <w:bCs/>
          <w:szCs w:val="22"/>
        </w:rPr>
        <w:t>The PBAC considered the estimated</w:t>
      </w:r>
      <w:r w:rsidR="00D43293" w:rsidRPr="00FF4F4B">
        <w:rPr>
          <w:rFonts w:asciiTheme="minorHAnsi" w:hAnsiTheme="minorHAnsi"/>
          <w:bCs/>
          <w:szCs w:val="22"/>
        </w:rPr>
        <w:t xml:space="preserve"> magnitude of</w:t>
      </w:r>
      <w:r w:rsidR="005B7A4A" w:rsidRPr="00FF4F4B">
        <w:rPr>
          <w:rFonts w:asciiTheme="minorHAnsi" w:hAnsiTheme="minorHAnsi"/>
          <w:bCs/>
          <w:szCs w:val="22"/>
        </w:rPr>
        <w:t xml:space="preserve"> cost savings </w:t>
      </w:r>
      <w:r w:rsidR="001028F4" w:rsidRPr="00FF4F4B">
        <w:rPr>
          <w:rFonts w:asciiTheme="minorHAnsi" w:hAnsiTheme="minorHAnsi"/>
          <w:bCs/>
          <w:szCs w:val="22"/>
        </w:rPr>
        <w:t>to be</w:t>
      </w:r>
      <w:r w:rsidR="005B7A4A" w:rsidRPr="00FF4F4B">
        <w:rPr>
          <w:rFonts w:asciiTheme="minorHAnsi" w:hAnsiTheme="minorHAnsi"/>
          <w:bCs/>
          <w:szCs w:val="22"/>
        </w:rPr>
        <w:t xml:space="preserve"> uncertain </w:t>
      </w:r>
      <w:r w:rsidR="001028F4" w:rsidRPr="00FF4F4B">
        <w:rPr>
          <w:rFonts w:asciiTheme="minorHAnsi" w:hAnsiTheme="minorHAnsi"/>
          <w:bCs/>
          <w:szCs w:val="22"/>
        </w:rPr>
        <w:t>as</w:t>
      </w:r>
      <w:r w:rsidR="005B7A4A" w:rsidRPr="00FF4F4B">
        <w:rPr>
          <w:rFonts w:asciiTheme="minorHAnsi" w:hAnsiTheme="minorHAnsi"/>
          <w:bCs/>
          <w:szCs w:val="22"/>
        </w:rPr>
        <w:t>:</w:t>
      </w:r>
    </w:p>
    <w:p w:rsidR="001028F4" w:rsidRPr="00194975" w:rsidRDefault="001028F4" w:rsidP="00194975">
      <w:pPr>
        <w:pStyle w:val="ListParagraph"/>
        <w:numPr>
          <w:ilvl w:val="0"/>
          <w:numId w:val="24"/>
        </w:numPr>
        <w:ind w:left="1077" w:hanging="357"/>
        <w:rPr>
          <w:rFonts w:asciiTheme="minorHAnsi" w:hAnsiTheme="minorHAnsi"/>
          <w:bCs/>
          <w:sz w:val="24"/>
          <w:szCs w:val="24"/>
        </w:rPr>
      </w:pPr>
      <w:r w:rsidRPr="00194975">
        <w:rPr>
          <w:rFonts w:asciiTheme="minorHAnsi" w:hAnsiTheme="minorHAnsi"/>
          <w:bCs/>
          <w:sz w:val="24"/>
          <w:szCs w:val="24"/>
        </w:rPr>
        <w:t xml:space="preserve">The financial estimates assumed </w:t>
      </w:r>
      <w:r w:rsidR="007D7306" w:rsidRPr="00194975">
        <w:rPr>
          <w:rFonts w:asciiTheme="minorHAnsi" w:hAnsiTheme="minorHAnsi"/>
          <w:bCs/>
          <w:sz w:val="24"/>
          <w:szCs w:val="24"/>
        </w:rPr>
        <w:t>the listing of cladribine tablets would only displace fingolimod</w:t>
      </w:r>
      <w:r w:rsidRPr="00194975">
        <w:rPr>
          <w:rFonts w:asciiTheme="minorHAnsi" w:hAnsiTheme="minorHAnsi"/>
          <w:bCs/>
          <w:sz w:val="24"/>
          <w:szCs w:val="24"/>
        </w:rPr>
        <w:t xml:space="preserve">. </w:t>
      </w:r>
      <w:r w:rsidR="00056B1C" w:rsidRPr="00194975">
        <w:rPr>
          <w:rFonts w:asciiTheme="minorHAnsi" w:hAnsiTheme="minorHAnsi"/>
          <w:bCs/>
          <w:sz w:val="24"/>
          <w:szCs w:val="24"/>
        </w:rPr>
        <w:t xml:space="preserve">The PBAC considered that cladribine may replace or displace all PBS listed </w:t>
      </w:r>
      <w:r w:rsidR="00091EAF" w:rsidRPr="00194975">
        <w:rPr>
          <w:rFonts w:asciiTheme="minorHAnsi" w:hAnsiTheme="minorHAnsi"/>
          <w:bCs/>
          <w:sz w:val="24"/>
          <w:szCs w:val="24"/>
        </w:rPr>
        <w:t>RRMS treatments</w:t>
      </w:r>
      <w:r w:rsidR="00C66315" w:rsidRPr="00194975">
        <w:rPr>
          <w:rFonts w:asciiTheme="minorHAnsi" w:hAnsiTheme="minorHAnsi"/>
          <w:bCs/>
          <w:sz w:val="24"/>
          <w:szCs w:val="24"/>
        </w:rPr>
        <w:t xml:space="preserve"> (many of which are lower cost)</w:t>
      </w:r>
      <w:r w:rsidR="00091EAF" w:rsidRPr="00194975">
        <w:rPr>
          <w:rFonts w:asciiTheme="minorHAnsi" w:hAnsiTheme="minorHAnsi"/>
          <w:bCs/>
          <w:sz w:val="24"/>
          <w:szCs w:val="24"/>
        </w:rPr>
        <w:t xml:space="preserve"> to some extent;</w:t>
      </w:r>
    </w:p>
    <w:p w:rsidR="00B20812" w:rsidRPr="00194975" w:rsidRDefault="001028F4" w:rsidP="00194975">
      <w:pPr>
        <w:pStyle w:val="ListParagraph"/>
        <w:numPr>
          <w:ilvl w:val="0"/>
          <w:numId w:val="24"/>
        </w:numPr>
        <w:ind w:left="1077" w:hanging="357"/>
        <w:rPr>
          <w:rFonts w:asciiTheme="minorHAnsi" w:hAnsiTheme="minorHAnsi"/>
          <w:bCs/>
          <w:sz w:val="24"/>
          <w:szCs w:val="24"/>
        </w:rPr>
      </w:pPr>
      <w:r w:rsidRPr="00194975">
        <w:rPr>
          <w:rFonts w:asciiTheme="minorHAnsi" w:hAnsiTheme="minorHAnsi"/>
          <w:bCs/>
          <w:sz w:val="24"/>
          <w:szCs w:val="24"/>
        </w:rPr>
        <w:t xml:space="preserve">The financial estimates did not account for </w:t>
      </w:r>
      <w:r w:rsidR="00696DF0" w:rsidRPr="00194975">
        <w:rPr>
          <w:rFonts w:asciiTheme="minorHAnsi" w:hAnsiTheme="minorHAnsi"/>
          <w:bCs/>
          <w:sz w:val="24"/>
          <w:szCs w:val="24"/>
        </w:rPr>
        <w:t>costs in Y</w:t>
      </w:r>
      <w:r w:rsidR="00B20812" w:rsidRPr="00194975">
        <w:rPr>
          <w:rFonts w:asciiTheme="minorHAnsi" w:hAnsiTheme="minorHAnsi"/>
          <w:bCs/>
          <w:sz w:val="24"/>
          <w:szCs w:val="24"/>
        </w:rPr>
        <w:t>ears 3 and 4 from patients who do not persist on therapy</w:t>
      </w:r>
      <w:r w:rsidR="00696DF0" w:rsidRPr="00194975">
        <w:rPr>
          <w:rFonts w:asciiTheme="minorHAnsi" w:hAnsiTheme="minorHAnsi"/>
          <w:bCs/>
          <w:sz w:val="24"/>
          <w:szCs w:val="24"/>
        </w:rPr>
        <w:t xml:space="preserve"> due to relapse</w:t>
      </w:r>
      <w:r w:rsidR="00B20812" w:rsidRPr="00194975">
        <w:rPr>
          <w:rFonts w:asciiTheme="minorHAnsi" w:hAnsiTheme="minorHAnsi"/>
          <w:bCs/>
          <w:sz w:val="24"/>
          <w:szCs w:val="24"/>
        </w:rPr>
        <w:t xml:space="preserve"> and switch to </w:t>
      </w:r>
      <w:r w:rsidR="00696DF0" w:rsidRPr="00194975">
        <w:rPr>
          <w:rFonts w:asciiTheme="minorHAnsi" w:hAnsiTheme="minorHAnsi"/>
          <w:bCs/>
          <w:sz w:val="24"/>
          <w:szCs w:val="24"/>
        </w:rPr>
        <w:t>other treatments</w:t>
      </w:r>
      <w:r w:rsidR="00091EAF" w:rsidRPr="00194975">
        <w:rPr>
          <w:rFonts w:asciiTheme="minorHAnsi" w:hAnsiTheme="minorHAnsi"/>
          <w:bCs/>
          <w:sz w:val="24"/>
          <w:szCs w:val="24"/>
        </w:rPr>
        <w:t>; and</w:t>
      </w:r>
    </w:p>
    <w:p w:rsidR="00D43293" w:rsidRPr="00E13975" w:rsidRDefault="00056B1C" w:rsidP="00E13975">
      <w:pPr>
        <w:pStyle w:val="ListParagraph"/>
        <w:numPr>
          <w:ilvl w:val="0"/>
          <w:numId w:val="24"/>
        </w:numPr>
        <w:spacing w:after="120"/>
        <w:ind w:left="1077" w:hanging="357"/>
        <w:rPr>
          <w:rFonts w:asciiTheme="minorHAnsi" w:hAnsiTheme="minorHAnsi"/>
          <w:bCs/>
          <w:sz w:val="24"/>
          <w:szCs w:val="24"/>
        </w:rPr>
      </w:pPr>
      <w:r w:rsidRPr="00194975">
        <w:rPr>
          <w:rFonts w:asciiTheme="minorHAnsi" w:hAnsiTheme="minorHAnsi"/>
          <w:bCs/>
          <w:sz w:val="24"/>
          <w:szCs w:val="24"/>
        </w:rPr>
        <w:t xml:space="preserve">The assumed cladribine persistence rates were based on a </w:t>
      </w:r>
      <w:r w:rsidR="007D7306" w:rsidRPr="00194975">
        <w:rPr>
          <w:rFonts w:asciiTheme="minorHAnsi" w:hAnsiTheme="minorHAnsi"/>
          <w:bCs/>
          <w:sz w:val="24"/>
          <w:szCs w:val="24"/>
        </w:rPr>
        <w:t xml:space="preserve">Prospection </w:t>
      </w:r>
      <w:r w:rsidRPr="00194975">
        <w:rPr>
          <w:rFonts w:asciiTheme="minorHAnsi" w:hAnsiTheme="minorHAnsi"/>
          <w:bCs/>
          <w:sz w:val="24"/>
          <w:szCs w:val="24"/>
        </w:rPr>
        <w:t xml:space="preserve">analysis of </w:t>
      </w:r>
      <w:r w:rsidR="007D7306" w:rsidRPr="00194975">
        <w:rPr>
          <w:rFonts w:asciiTheme="minorHAnsi" w:hAnsiTheme="minorHAnsi"/>
          <w:bCs/>
          <w:sz w:val="24"/>
          <w:szCs w:val="24"/>
        </w:rPr>
        <w:t xml:space="preserve">Medicare </w:t>
      </w:r>
      <w:r w:rsidRPr="00194975">
        <w:rPr>
          <w:rFonts w:asciiTheme="minorHAnsi" w:hAnsiTheme="minorHAnsi"/>
          <w:bCs/>
          <w:sz w:val="24"/>
          <w:szCs w:val="24"/>
        </w:rPr>
        <w:t xml:space="preserve">prescription data </w:t>
      </w:r>
      <w:r w:rsidR="007D7306" w:rsidRPr="00194975">
        <w:rPr>
          <w:rFonts w:asciiTheme="minorHAnsi" w:hAnsiTheme="minorHAnsi"/>
          <w:bCs/>
          <w:sz w:val="24"/>
          <w:szCs w:val="24"/>
        </w:rPr>
        <w:t xml:space="preserve">to determine </w:t>
      </w:r>
      <w:r w:rsidRPr="00194975">
        <w:rPr>
          <w:rFonts w:asciiTheme="minorHAnsi" w:hAnsiTheme="minorHAnsi"/>
          <w:bCs/>
          <w:sz w:val="24"/>
          <w:szCs w:val="24"/>
        </w:rPr>
        <w:t xml:space="preserve">the persistence rates of fingolimod. </w:t>
      </w:r>
    </w:p>
    <w:p w:rsidR="005B7A4A" w:rsidRPr="00FF4F4B" w:rsidRDefault="00D43293" w:rsidP="00E13975">
      <w:pPr>
        <w:numPr>
          <w:ilvl w:val="1"/>
          <w:numId w:val="5"/>
        </w:numPr>
        <w:spacing w:after="120"/>
        <w:jc w:val="both"/>
        <w:rPr>
          <w:rFonts w:asciiTheme="minorHAnsi" w:hAnsiTheme="minorHAnsi"/>
          <w:bCs/>
          <w:szCs w:val="22"/>
        </w:rPr>
      </w:pPr>
      <w:r w:rsidRPr="00FF4F4B">
        <w:rPr>
          <w:rFonts w:asciiTheme="minorHAnsi" w:hAnsiTheme="minorHAnsi"/>
          <w:bCs/>
          <w:szCs w:val="22"/>
        </w:rPr>
        <w:t>Further, th</w:t>
      </w:r>
      <w:r w:rsidR="000560CA" w:rsidRPr="00FF4F4B">
        <w:rPr>
          <w:rFonts w:asciiTheme="minorHAnsi" w:hAnsiTheme="minorHAnsi"/>
          <w:bCs/>
          <w:szCs w:val="22"/>
        </w:rPr>
        <w:t xml:space="preserve">e PBAC considered </w:t>
      </w:r>
      <w:r w:rsidR="00091EAF" w:rsidRPr="00FF4F4B">
        <w:rPr>
          <w:rFonts w:asciiTheme="minorHAnsi" w:hAnsiTheme="minorHAnsi"/>
          <w:bCs/>
          <w:szCs w:val="22"/>
        </w:rPr>
        <w:t xml:space="preserve">that the </w:t>
      </w:r>
      <w:r w:rsidR="007439F8">
        <w:rPr>
          <w:rFonts w:asciiTheme="minorHAnsi" w:hAnsiTheme="minorHAnsi"/>
          <w:bCs/>
          <w:noProof/>
          <w:color w:val="000000"/>
          <w:szCs w:val="22"/>
          <w:highlight w:val="black"/>
        </w:rPr>
        <w:t>''''''''''</w:t>
      </w:r>
      <w:r w:rsidR="00091EAF" w:rsidRPr="00FF4F4B">
        <w:rPr>
          <w:rFonts w:asciiTheme="minorHAnsi" w:hAnsiTheme="minorHAnsi"/>
          <w:bCs/>
          <w:szCs w:val="22"/>
        </w:rPr>
        <w:t xml:space="preserve"> difference in estimated financial impact between the current, March 2018 and November 2017 resubmission</w:t>
      </w:r>
      <w:r w:rsidR="00A84E3F" w:rsidRPr="00FF4F4B">
        <w:rPr>
          <w:rFonts w:asciiTheme="minorHAnsi" w:hAnsiTheme="minorHAnsi"/>
          <w:bCs/>
          <w:szCs w:val="22"/>
        </w:rPr>
        <w:t>s</w:t>
      </w:r>
      <w:r w:rsidR="00091EAF" w:rsidRPr="00FF4F4B">
        <w:rPr>
          <w:rFonts w:asciiTheme="minorHAnsi" w:hAnsiTheme="minorHAnsi"/>
          <w:bCs/>
          <w:szCs w:val="22"/>
        </w:rPr>
        <w:t xml:space="preserve"> </w:t>
      </w:r>
      <w:r w:rsidR="00C66315" w:rsidRPr="00FF4F4B">
        <w:rPr>
          <w:rFonts w:asciiTheme="minorHAnsi" w:hAnsiTheme="minorHAnsi"/>
          <w:bCs/>
          <w:szCs w:val="22"/>
        </w:rPr>
        <w:t>was</w:t>
      </w:r>
      <w:r w:rsidR="00A84E3F" w:rsidRPr="00FF4F4B">
        <w:rPr>
          <w:rFonts w:asciiTheme="minorHAnsi" w:hAnsiTheme="minorHAnsi"/>
          <w:bCs/>
          <w:szCs w:val="22"/>
        </w:rPr>
        <w:t xml:space="preserve"> also</w:t>
      </w:r>
      <w:r w:rsidR="00091EAF" w:rsidRPr="00FF4F4B">
        <w:rPr>
          <w:rFonts w:asciiTheme="minorHAnsi" w:hAnsiTheme="minorHAnsi"/>
          <w:bCs/>
          <w:szCs w:val="22"/>
        </w:rPr>
        <w:t xml:space="preserve"> indic</w:t>
      </w:r>
      <w:r w:rsidR="00A84E3F" w:rsidRPr="00FF4F4B">
        <w:rPr>
          <w:rFonts w:asciiTheme="minorHAnsi" w:hAnsiTheme="minorHAnsi"/>
          <w:bCs/>
          <w:szCs w:val="22"/>
        </w:rPr>
        <w:t xml:space="preserve">ative of the uncertainty in the estimates. </w:t>
      </w:r>
    </w:p>
    <w:p w:rsidR="005B7A4A" w:rsidRPr="00FF4F4B" w:rsidRDefault="005B7A4A" w:rsidP="00194975">
      <w:pPr>
        <w:pStyle w:val="ListParagraph"/>
        <w:rPr>
          <w:rFonts w:asciiTheme="minorHAnsi" w:hAnsiTheme="minorHAnsi"/>
          <w:bCs/>
          <w:szCs w:val="22"/>
        </w:rPr>
      </w:pPr>
    </w:p>
    <w:p w:rsidR="006B6E0D" w:rsidRPr="00FF4F4B" w:rsidRDefault="006B6E0D" w:rsidP="00E13975">
      <w:pPr>
        <w:numPr>
          <w:ilvl w:val="1"/>
          <w:numId w:val="5"/>
        </w:numPr>
        <w:spacing w:after="120"/>
        <w:jc w:val="both"/>
        <w:rPr>
          <w:rFonts w:asciiTheme="minorHAnsi" w:hAnsiTheme="minorHAnsi"/>
          <w:bCs/>
        </w:rPr>
      </w:pPr>
      <w:r w:rsidRPr="00FF4F4B">
        <w:rPr>
          <w:rFonts w:asciiTheme="minorHAnsi" w:hAnsiTheme="minorHAnsi"/>
          <w:bCs/>
        </w:rPr>
        <w:lastRenderedPageBreak/>
        <w:t xml:space="preserve">The PBAC noted that the sponsor has requested a Special Pricing Arrangement (SPA) and that there was currently a SPA in place for fingolimod. </w:t>
      </w:r>
      <w:r w:rsidR="009C593B" w:rsidRPr="00FF4F4B">
        <w:rPr>
          <w:rFonts w:asciiTheme="minorHAnsi" w:hAnsiTheme="minorHAnsi"/>
          <w:bCs/>
        </w:rPr>
        <w:t xml:space="preserve">The PBAC noted that SPAs are given effect through a deed made under Section 85E of the </w:t>
      </w:r>
      <w:r w:rsidR="009C593B" w:rsidRPr="00FF4F4B">
        <w:rPr>
          <w:rFonts w:asciiTheme="minorHAnsi" w:hAnsiTheme="minorHAnsi"/>
          <w:bCs/>
          <w:i/>
        </w:rPr>
        <w:t>National Health Act 1953</w:t>
      </w:r>
      <w:r w:rsidR="009C593B" w:rsidRPr="00FF4F4B">
        <w:rPr>
          <w:rFonts w:asciiTheme="minorHAnsi" w:hAnsiTheme="minorHAnsi"/>
          <w:bCs/>
        </w:rPr>
        <w:t xml:space="preserve"> </w:t>
      </w:r>
      <w:r w:rsidR="000F4A08" w:rsidRPr="00FF4F4B">
        <w:rPr>
          <w:rFonts w:asciiTheme="minorHAnsi" w:hAnsiTheme="minorHAnsi"/>
          <w:bCs/>
        </w:rPr>
        <w:t xml:space="preserve">(the Act) </w:t>
      </w:r>
      <w:r w:rsidR="009C593B" w:rsidRPr="00FF4F4B">
        <w:rPr>
          <w:rFonts w:asciiTheme="minorHAnsi" w:hAnsiTheme="minorHAnsi"/>
          <w:bCs/>
        </w:rPr>
        <w:t>between the Minister (or his delegate) and the responsible person.</w:t>
      </w:r>
      <w:r w:rsidR="00B95909" w:rsidRPr="00FF4F4B">
        <w:rPr>
          <w:rFonts w:asciiTheme="minorHAnsi" w:hAnsiTheme="minorHAnsi"/>
          <w:bCs/>
        </w:rPr>
        <w:t xml:space="preserve"> </w:t>
      </w:r>
      <w:r w:rsidR="000F4A08" w:rsidRPr="00FF4F4B">
        <w:rPr>
          <w:rFonts w:asciiTheme="minorHAnsi" w:hAnsiTheme="minorHAnsi"/>
          <w:bCs/>
        </w:rPr>
        <w:t xml:space="preserve">The PBAC further noted that the Minister (or his delegate) has requested advice under section 101(3) of the Act as to whether cladribine meets criteria 1 and 2(a) of the SPA criteria when used for the treatment of RRMS. The PBAC </w:t>
      </w:r>
      <w:r w:rsidR="00CE233B" w:rsidRPr="00FF4F4B">
        <w:rPr>
          <w:rFonts w:asciiTheme="minorHAnsi" w:hAnsiTheme="minorHAnsi"/>
          <w:bCs/>
        </w:rPr>
        <w:t>advised in relation to the SPA criteria that:</w:t>
      </w:r>
    </w:p>
    <w:p w:rsidR="00CE233B" w:rsidRPr="00FF4F4B" w:rsidRDefault="005D541F" w:rsidP="00E13975">
      <w:pPr>
        <w:pStyle w:val="ListParagraph"/>
        <w:numPr>
          <w:ilvl w:val="0"/>
          <w:numId w:val="25"/>
        </w:numPr>
        <w:spacing w:after="120"/>
        <w:ind w:left="1077" w:hanging="357"/>
        <w:rPr>
          <w:rFonts w:asciiTheme="minorHAnsi" w:hAnsiTheme="minorHAnsi"/>
          <w:bCs/>
          <w:sz w:val="24"/>
          <w:szCs w:val="24"/>
        </w:rPr>
      </w:pPr>
      <w:r w:rsidRPr="00FF4F4B">
        <w:rPr>
          <w:rFonts w:asciiTheme="minorHAnsi" w:hAnsiTheme="minorHAnsi"/>
          <w:bCs/>
          <w:sz w:val="24"/>
          <w:szCs w:val="24"/>
        </w:rPr>
        <w:t xml:space="preserve">Criterion 1, that the medicine treats a significant medical condition was met. The PBAC advised it considered that cladribine generates substantial incremental benefit for patients with RRMS. </w:t>
      </w:r>
    </w:p>
    <w:p w:rsidR="006B6E0D" w:rsidRPr="00E13975" w:rsidRDefault="005D541F" w:rsidP="00E13975">
      <w:pPr>
        <w:pStyle w:val="ListParagraph"/>
        <w:numPr>
          <w:ilvl w:val="0"/>
          <w:numId w:val="25"/>
        </w:numPr>
        <w:spacing w:after="120"/>
        <w:ind w:left="1077" w:hanging="357"/>
        <w:rPr>
          <w:rFonts w:asciiTheme="minorHAnsi" w:hAnsiTheme="minorHAnsi"/>
          <w:bCs/>
          <w:sz w:val="24"/>
          <w:szCs w:val="24"/>
        </w:rPr>
      </w:pPr>
      <w:r w:rsidRPr="00FF4F4B">
        <w:rPr>
          <w:rFonts w:asciiTheme="minorHAnsi" w:hAnsiTheme="minorHAnsi"/>
          <w:bCs/>
          <w:sz w:val="24"/>
          <w:szCs w:val="24"/>
        </w:rPr>
        <w:t xml:space="preserve">Criterion 2, that the medicine has unique characteristics compared to any alternative therapies was met given </w:t>
      </w:r>
      <w:r w:rsidR="000529F0">
        <w:rPr>
          <w:rFonts w:asciiTheme="minorHAnsi" w:hAnsiTheme="minorHAnsi"/>
          <w:bCs/>
          <w:sz w:val="24"/>
          <w:szCs w:val="24"/>
        </w:rPr>
        <w:t>the unique</w:t>
      </w:r>
      <w:r w:rsidR="00FF4F4B">
        <w:rPr>
          <w:rFonts w:asciiTheme="minorHAnsi" w:hAnsiTheme="minorHAnsi"/>
          <w:bCs/>
          <w:sz w:val="24"/>
          <w:szCs w:val="24"/>
        </w:rPr>
        <w:t xml:space="preserve"> dosing regimen of cladribine.</w:t>
      </w:r>
      <w:r w:rsidRPr="00FF4F4B">
        <w:rPr>
          <w:rFonts w:asciiTheme="minorHAnsi" w:hAnsiTheme="minorHAnsi"/>
          <w:bCs/>
          <w:sz w:val="24"/>
          <w:szCs w:val="24"/>
        </w:rPr>
        <w:t xml:space="preserve"> </w:t>
      </w:r>
    </w:p>
    <w:p w:rsidR="00840B58" w:rsidRPr="00E13975" w:rsidRDefault="00091EAF" w:rsidP="00E13975">
      <w:pPr>
        <w:numPr>
          <w:ilvl w:val="1"/>
          <w:numId w:val="5"/>
        </w:numPr>
        <w:spacing w:after="120"/>
        <w:jc w:val="both"/>
        <w:rPr>
          <w:rFonts w:asciiTheme="minorHAnsi" w:hAnsiTheme="minorHAnsi"/>
          <w:bCs/>
          <w:szCs w:val="22"/>
        </w:rPr>
      </w:pPr>
      <w:r w:rsidRPr="00FF4F4B">
        <w:rPr>
          <w:rFonts w:asciiTheme="minorHAnsi" w:hAnsiTheme="minorHAnsi"/>
          <w:bCs/>
          <w:szCs w:val="22"/>
        </w:rPr>
        <w:t>The PBAC reiterated that a General Schedule (Section 85) listing</w:t>
      </w:r>
      <w:r w:rsidR="00E13975">
        <w:rPr>
          <w:rFonts w:asciiTheme="minorHAnsi" w:hAnsiTheme="minorHAnsi"/>
          <w:bCs/>
          <w:szCs w:val="22"/>
        </w:rPr>
        <w:t xml:space="preserve"> is appropriate for cladribine.</w:t>
      </w:r>
    </w:p>
    <w:p w:rsidR="003B3FD2" w:rsidRPr="00E13975" w:rsidRDefault="00EA746C" w:rsidP="00E13975">
      <w:pPr>
        <w:numPr>
          <w:ilvl w:val="1"/>
          <w:numId w:val="5"/>
        </w:numPr>
        <w:spacing w:after="120"/>
        <w:jc w:val="both"/>
        <w:rPr>
          <w:rFonts w:asciiTheme="minorHAnsi" w:hAnsiTheme="minorHAnsi"/>
          <w:bCs/>
          <w:szCs w:val="22"/>
        </w:rPr>
      </w:pPr>
      <w:r w:rsidRPr="00FF4F4B">
        <w:rPr>
          <w:rFonts w:asciiTheme="minorHAnsi" w:hAnsiTheme="minorHAnsi"/>
          <w:bCs/>
          <w:szCs w:val="22"/>
        </w:rPr>
        <w:t>The Commi</w:t>
      </w:r>
      <w:r w:rsidR="002A7728" w:rsidRPr="00FF4F4B">
        <w:rPr>
          <w:rFonts w:asciiTheme="minorHAnsi" w:hAnsiTheme="minorHAnsi"/>
          <w:bCs/>
          <w:szCs w:val="22"/>
        </w:rPr>
        <w:t>ttee reiterated</w:t>
      </w:r>
      <w:r w:rsidR="00E72A22" w:rsidRPr="00FF4F4B">
        <w:rPr>
          <w:rFonts w:asciiTheme="minorHAnsi" w:hAnsiTheme="minorHAnsi"/>
          <w:bCs/>
          <w:szCs w:val="22"/>
        </w:rPr>
        <w:t xml:space="preserve"> its previous advice</w:t>
      </w:r>
      <w:r w:rsidRPr="00FF4F4B">
        <w:rPr>
          <w:rFonts w:asciiTheme="minorHAnsi" w:hAnsiTheme="minorHAnsi"/>
          <w:bCs/>
          <w:szCs w:val="22"/>
        </w:rPr>
        <w:t xml:space="preserve"> </w:t>
      </w:r>
      <w:r w:rsidR="00E72A22" w:rsidRPr="00FF4F4B">
        <w:rPr>
          <w:rFonts w:asciiTheme="minorHAnsi" w:hAnsiTheme="minorHAnsi"/>
          <w:bCs/>
          <w:szCs w:val="22"/>
        </w:rPr>
        <w:t xml:space="preserve">that </w:t>
      </w:r>
      <w:r w:rsidRPr="00FF4F4B">
        <w:rPr>
          <w:rFonts w:asciiTheme="minorHAnsi" w:hAnsiTheme="minorHAnsi"/>
          <w:bCs/>
          <w:szCs w:val="22"/>
        </w:rPr>
        <w:t>the</w:t>
      </w:r>
      <w:r w:rsidR="00E72A22" w:rsidRPr="00FF4F4B">
        <w:rPr>
          <w:rFonts w:asciiTheme="minorHAnsi" w:hAnsiTheme="minorHAnsi"/>
          <w:bCs/>
          <w:szCs w:val="22"/>
        </w:rPr>
        <w:t xml:space="preserve"> pack of one tablet should be listed with a maximum quantity of one pack and one repeat; the pack of four tablets with a maximum quantity of two packs and one repeat; and the pack of six tablets with a maximum quantity of one pack and one repeat.</w:t>
      </w:r>
      <w:r w:rsidRPr="00FF4F4B">
        <w:rPr>
          <w:rFonts w:asciiTheme="minorHAnsi" w:hAnsiTheme="minorHAnsi"/>
          <w:bCs/>
          <w:szCs w:val="22"/>
        </w:rPr>
        <w:t xml:space="preserve"> </w:t>
      </w:r>
      <w:r w:rsidR="00E72A22" w:rsidRPr="00FF4F4B">
        <w:rPr>
          <w:rFonts w:asciiTheme="minorHAnsi" w:hAnsiTheme="minorHAnsi"/>
          <w:bCs/>
          <w:szCs w:val="22"/>
        </w:rPr>
        <w:t xml:space="preserve">The PBAC also reiterated its previous </w:t>
      </w:r>
      <w:r w:rsidR="003C0490" w:rsidRPr="00FF4F4B">
        <w:rPr>
          <w:rFonts w:asciiTheme="minorHAnsi" w:hAnsiTheme="minorHAnsi"/>
          <w:bCs/>
          <w:szCs w:val="22"/>
        </w:rPr>
        <w:t>advice that</w:t>
      </w:r>
      <w:r w:rsidR="00E72A22" w:rsidRPr="00FF4F4B">
        <w:rPr>
          <w:rFonts w:asciiTheme="minorHAnsi" w:hAnsiTheme="minorHAnsi"/>
          <w:bCs/>
          <w:szCs w:val="22"/>
        </w:rPr>
        <w:t xml:space="preserve"> a statement be included in the proposed PBS restriction to indicate that the prescriber should prescribe the appropriate combination of packs to achieve a dose in accordance with the P</w:t>
      </w:r>
      <w:r w:rsidR="00B95909" w:rsidRPr="00FF4F4B">
        <w:rPr>
          <w:rFonts w:asciiTheme="minorHAnsi" w:hAnsiTheme="minorHAnsi"/>
          <w:bCs/>
          <w:szCs w:val="22"/>
        </w:rPr>
        <w:t>roduct Information</w:t>
      </w:r>
      <w:r w:rsidR="00E72A22" w:rsidRPr="00FF4F4B">
        <w:rPr>
          <w:rFonts w:asciiTheme="minorHAnsi" w:hAnsiTheme="minorHAnsi"/>
          <w:bCs/>
          <w:szCs w:val="22"/>
        </w:rPr>
        <w:t>.</w:t>
      </w:r>
      <w:r w:rsidR="00E72A22" w:rsidRPr="00FF4F4B" w:rsidDel="00E72A22">
        <w:rPr>
          <w:rFonts w:asciiTheme="minorHAnsi" w:hAnsiTheme="minorHAnsi"/>
          <w:bCs/>
          <w:szCs w:val="22"/>
        </w:rPr>
        <w:t xml:space="preserve"> </w:t>
      </w:r>
    </w:p>
    <w:p w:rsidR="001472B9" w:rsidRPr="00E13975" w:rsidRDefault="003B3FD2" w:rsidP="00E13975">
      <w:pPr>
        <w:numPr>
          <w:ilvl w:val="1"/>
          <w:numId w:val="5"/>
        </w:numPr>
        <w:spacing w:after="120"/>
        <w:jc w:val="both"/>
        <w:rPr>
          <w:rFonts w:asciiTheme="minorHAnsi" w:hAnsiTheme="minorHAnsi"/>
          <w:bCs/>
          <w:szCs w:val="22"/>
        </w:rPr>
      </w:pPr>
      <w:r w:rsidRPr="00FF4F4B">
        <w:rPr>
          <w:rFonts w:asciiTheme="minorHAnsi" w:hAnsiTheme="minorHAnsi"/>
          <w:bCs/>
          <w:szCs w:val="22"/>
        </w:rPr>
        <w:t xml:space="preserve">The PBAC </w:t>
      </w:r>
      <w:r w:rsidR="001472B9" w:rsidRPr="00FF4F4B">
        <w:rPr>
          <w:rFonts w:asciiTheme="minorHAnsi" w:hAnsiTheme="minorHAnsi"/>
          <w:bCs/>
          <w:szCs w:val="22"/>
        </w:rPr>
        <w:t xml:space="preserve">advised that, under subsection 101(3BA) of the </w:t>
      </w:r>
      <w:r w:rsidR="001472B9" w:rsidRPr="00FF4F4B">
        <w:rPr>
          <w:rFonts w:asciiTheme="minorHAnsi" w:hAnsiTheme="minorHAnsi"/>
          <w:bCs/>
          <w:i/>
          <w:szCs w:val="22"/>
        </w:rPr>
        <w:t xml:space="preserve">National Health Act, 1953 </w:t>
      </w:r>
      <w:r w:rsidR="001472B9" w:rsidRPr="00FF4F4B">
        <w:rPr>
          <w:rFonts w:asciiTheme="minorHAnsi" w:hAnsiTheme="minorHAnsi"/>
          <w:bCs/>
          <w:szCs w:val="22"/>
        </w:rPr>
        <w:t>cladribine</w:t>
      </w:r>
      <w:r w:rsidR="008D51EC" w:rsidRPr="00FF4F4B">
        <w:rPr>
          <w:rFonts w:asciiTheme="minorHAnsi" w:hAnsiTheme="minorHAnsi"/>
          <w:bCs/>
          <w:szCs w:val="22"/>
        </w:rPr>
        <w:t xml:space="preserve"> </w:t>
      </w:r>
      <w:r w:rsidR="001472B9" w:rsidRPr="00FF4F4B">
        <w:rPr>
          <w:rFonts w:asciiTheme="minorHAnsi" w:hAnsiTheme="minorHAnsi"/>
          <w:bCs/>
          <w:szCs w:val="22"/>
        </w:rPr>
        <w:t xml:space="preserve">should not be treated as interchangeable on an individual patient basis with any other drugs. </w:t>
      </w:r>
    </w:p>
    <w:p w:rsidR="008D3027" w:rsidRPr="00E13975" w:rsidRDefault="003B3FD2" w:rsidP="00E13975">
      <w:pPr>
        <w:numPr>
          <w:ilvl w:val="1"/>
          <w:numId w:val="5"/>
        </w:numPr>
        <w:spacing w:after="120"/>
        <w:jc w:val="both"/>
        <w:rPr>
          <w:rFonts w:asciiTheme="minorHAnsi" w:hAnsiTheme="minorHAnsi"/>
          <w:bCs/>
          <w:szCs w:val="22"/>
        </w:rPr>
      </w:pPr>
      <w:r w:rsidRPr="00FF4F4B">
        <w:rPr>
          <w:rFonts w:asciiTheme="minorHAnsi" w:hAnsiTheme="minorHAnsi"/>
          <w:bCs/>
          <w:szCs w:val="22"/>
        </w:rPr>
        <w:t xml:space="preserve">The PBAC advised that </w:t>
      </w:r>
      <w:r w:rsidR="001472B9" w:rsidRPr="00FF4F4B">
        <w:rPr>
          <w:rFonts w:asciiTheme="minorHAnsi" w:hAnsiTheme="minorHAnsi"/>
          <w:bCs/>
          <w:szCs w:val="22"/>
        </w:rPr>
        <w:t>cladribine</w:t>
      </w:r>
      <w:r w:rsidR="008D51EC" w:rsidRPr="00FF4F4B">
        <w:rPr>
          <w:rFonts w:asciiTheme="minorHAnsi" w:hAnsiTheme="minorHAnsi"/>
          <w:bCs/>
          <w:szCs w:val="22"/>
        </w:rPr>
        <w:t xml:space="preserve"> tablet</w:t>
      </w:r>
      <w:r w:rsidR="001472B9" w:rsidRPr="00FF4F4B">
        <w:rPr>
          <w:rFonts w:asciiTheme="minorHAnsi" w:hAnsiTheme="minorHAnsi"/>
          <w:bCs/>
          <w:szCs w:val="22"/>
        </w:rPr>
        <w:t xml:space="preserve"> is</w:t>
      </w:r>
      <w:r w:rsidRPr="00FF4F4B">
        <w:rPr>
          <w:rFonts w:asciiTheme="minorHAnsi" w:hAnsiTheme="minorHAnsi"/>
          <w:bCs/>
          <w:szCs w:val="22"/>
        </w:rPr>
        <w:t xml:space="preserve"> not suitable for prescribing by nurse practitioners.</w:t>
      </w:r>
    </w:p>
    <w:p w:rsidR="000F58C0" w:rsidRPr="00E13975" w:rsidRDefault="003B3FD2" w:rsidP="00E13975">
      <w:pPr>
        <w:numPr>
          <w:ilvl w:val="1"/>
          <w:numId w:val="5"/>
        </w:numPr>
        <w:spacing w:after="120"/>
        <w:jc w:val="both"/>
        <w:rPr>
          <w:rFonts w:asciiTheme="minorHAnsi" w:hAnsiTheme="minorHAnsi"/>
          <w:bCs/>
          <w:szCs w:val="22"/>
        </w:rPr>
      </w:pPr>
      <w:r w:rsidRPr="00FF4F4B">
        <w:rPr>
          <w:rFonts w:asciiTheme="minorHAnsi" w:hAnsiTheme="minorHAnsi"/>
          <w:bCs/>
          <w:szCs w:val="22"/>
        </w:rPr>
        <w:t xml:space="preserve">The PBAC recommended that the Early Supply Rule should not apply. </w:t>
      </w:r>
    </w:p>
    <w:p w:rsidR="003B3FD2" w:rsidRPr="00FF4F4B" w:rsidRDefault="003B3FD2" w:rsidP="00E13975">
      <w:pPr>
        <w:numPr>
          <w:ilvl w:val="1"/>
          <w:numId w:val="5"/>
        </w:numPr>
        <w:spacing w:after="120"/>
        <w:jc w:val="both"/>
        <w:rPr>
          <w:rFonts w:asciiTheme="minorHAnsi" w:hAnsiTheme="minorHAnsi"/>
          <w:bCs/>
          <w:szCs w:val="22"/>
        </w:rPr>
      </w:pPr>
      <w:r w:rsidRPr="00FF4F4B">
        <w:rPr>
          <w:rFonts w:asciiTheme="minorHAnsi" w:hAnsiTheme="minorHAnsi"/>
          <w:bCs/>
          <w:szCs w:val="22"/>
        </w:rPr>
        <w:t>The PBAC noted that this submission is not eligible for an Independent Review</w:t>
      </w:r>
      <w:r w:rsidR="00E81987" w:rsidRPr="00FF4F4B">
        <w:rPr>
          <w:rFonts w:asciiTheme="minorHAnsi" w:hAnsiTheme="minorHAnsi"/>
          <w:bCs/>
          <w:szCs w:val="22"/>
        </w:rPr>
        <w:t xml:space="preserve"> as it rece</w:t>
      </w:r>
      <w:r w:rsidR="00E13975">
        <w:rPr>
          <w:rFonts w:asciiTheme="minorHAnsi" w:hAnsiTheme="minorHAnsi"/>
          <w:bCs/>
          <w:szCs w:val="22"/>
        </w:rPr>
        <w:t>ived a positive recommendation.</w:t>
      </w:r>
    </w:p>
    <w:p w:rsidR="00193EDF" w:rsidRPr="00FF4F4B" w:rsidRDefault="00193EDF" w:rsidP="00194975">
      <w:pPr>
        <w:pStyle w:val="ListParagraph"/>
        <w:rPr>
          <w:rFonts w:asciiTheme="minorHAnsi" w:hAnsiTheme="minorHAnsi"/>
          <w:bCs/>
          <w:szCs w:val="22"/>
        </w:rPr>
      </w:pPr>
    </w:p>
    <w:p w:rsidR="003B3FD2" w:rsidRPr="00FF4F4B" w:rsidRDefault="003B3FD2" w:rsidP="00194975">
      <w:pPr>
        <w:jc w:val="both"/>
        <w:rPr>
          <w:rFonts w:asciiTheme="minorHAnsi" w:hAnsiTheme="minorHAnsi"/>
          <w:b/>
          <w:bCs/>
          <w:szCs w:val="22"/>
        </w:rPr>
      </w:pPr>
      <w:r w:rsidRPr="00FF4F4B">
        <w:rPr>
          <w:rFonts w:asciiTheme="minorHAnsi" w:hAnsiTheme="minorHAnsi"/>
          <w:b/>
          <w:bCs/>
          <w:szCs w:val="22"/>
        </w:rPr>
        <w:t>Outcome:</w:t>
      </w:r>
    </w:p>
    <w:p w:rsidR="003B3FD2" w:rsidRPr="00FF4F4B" w:rsidRDefault="003B3FD2" w:rsidP="00194975">
      <w:pPr>
        <w:jc w:val="both"/>
        <w:rPr>
          <w:rFonts w:asciiTheme="minorHAnsi" w:hAnsiTheme="minorHAnsi"/>
          <w:bCs/>
          <w:szCs w:val="22"/>
        </w:rPr>
      </w:pPr>
      <w:r w:rsidRPr="00FF4F4B">
        <w:rPr>
          <w:rFonts w:asciiTheme="minorHAnsi" w:hAnsiTheme="minorHAnsi"/>
          <w:bCs/>
          <w:szCs w:val="22"/>
        </w:rPr>
        <w:t xml:space="preserve">Recommended </w:t>
      </w:r>
    </w:p>
    <w:p w:rsidR="003B3FD2" w:rsidRPr="007D7306" w:rsidRDefault="003B3FD2" w:rsidP="006B6E0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7D7306">
        <w:rPr>
          <w:rFonts w:asciiTheme="minorHAnsi" w:hAnsiTheme="minorHAnsi"/>
          <w:sz w:val="32"/>
          <w:szCs w:val="32"/>
        </w:rPr>
        <w:t>Recommended listing</w:t>
      </w:r>
    </w:p>
    <w:p w:rsidR="003B3FD2" w:rsidRPr="00194975" w:rsidRDefault="003B3FD2" w:rsidP="00194975">
      <w:pPr>
        <w:pStyle w:val="ListParagraph"/>
        <w:numPr>
          <w:ilvl w:val="1"/>
          <w:numId w:val="14"/>
        </w:numPr>
        <w:rPr>
          <w:rFonts w:asciiTheme="minorHAnsi" w:hAnsiTheme="minorHAnsi"/>
          <w:bCs/>
          <w:sz w:val="24"/>
          <w:szCs w:val="24"/>
        </w:rPr>
      </w:pPr>
      <w:r w:rsidRPr="00194975">
        <w:rPr>
          <w:rFonts w:asciiTheme="minorHAnsi" w:hAnsiTheme="minorHAnsi"/>
          <w:bCs/>
          <w:sz w:val="24"/>
          <w:szCs w:val="24"/>
        </w:rPr>
        <w:t>Add new item:</w:t>
      </w:r>
    </w:p>
    <w:p w:rsidR="00194975" w:rsidRPr="00194975" w:rsidRDefault="00194975" w:rsidP="00194975">
      <w:pPr>
        <w:rPr>
          <w:rFonts w:asciiTheme="minorHAnsi" w:hAnsiTheme="minorHAnsi"/>
          <w:bCs/>
          <w:szCs w:val="22"/>
        </w:rPr>
      </w:pPr>
    </w:p>
    <w:tbl>
      <w:tblPr>
        <w:tblW w:w="5000" w:type="pct"/>
        <w:tblLook w:val="0000" w:firstRow="0" w:lastRow="0" w:firstColumn="0" w:lastColumn="0" w:noHBand="0" w:noVBand="0"/>
      </w:tblPr>
      <w:tblGrid>
        <w:gridCol w:w="1810"/>
        <w:gridCol w:w="1699"/>
        <w:gridCol w:w="993"/>
        <w:gridCol w:w="1274"/>
        <w:gridCol w:w="1845"/>
        <w:gridCol w:w="1621"/>
      </w:tblGrid>
      <w:tr w:rsidR="003C4C42" w:rsidRPr="007D7306" w:rsidTr="003C4C42">
        <w:trPr>
          <w:trHeight w:val="465"/>
        </w:trPr>
        <w:tc>
          <w:tcPr>
            <w:tcW w:w="1899" w:type="pct"/>
            <w:gridSpan w:val="2"/>
            <w:tcBorders>
              <w:bottom w:val="single" w:sz="4" w:space="0" w:color="auto"/>
            </w:tcBorders>
          </w:tcPr>
          <w:p w:rsidR="003C4C42" w:rsidRPr="00134010" w:rsidRDefault="003C4C42" w:rsidP="0052528B">
            <w:pPr>
              <w:keepNext/>
              <w:spacing w:before="40" w:after="40"/>
              <w:jc w:val="both"/>
              <w:rPr>
                <w:rFonts w:ascii="Arial Narrow" w:hAnsi="Arial Narrow" w:cs="Arial"/>
                <w:b/>
                <w:sz w:val="20"/>
                <w:szCs w:val="20"/>
              </w:rPr>
            </w:pPr>
            <w:r w:rsidRPr="00134010">
              <w:rPr>
                <w:rFonts w:ascii="Arial Narrow" w:hAnsi="Arial Narrow" w:cs="Arial"/>
                <w:b/>
                <w:sz w:val="20"/>
                <w:szCs w:val="20"/>
              </w:rPr>
              <w:lastRenderedPageBreak/>
              <w:t>Name, Restriction,</w:t>
            </w:r>
          </w:p>
          <w:p w:rsidR="003C4C42" w:rsidRPr="007D7306" w:rsidRDefault="003C4C42" w:rsidP="0052528B">
            <w:pPr>
              <w:keepNext/>
              <w:spacing w:before="40" w:after="40"/>
              <w:jc w:val="both"/>
              <w:rPr>
                <w:rFonts w:ascii="Arial Narrow" w:hAnsi="Arial Narrow" w:cs="Arial"/>
                <w:b/>
                <w:sz w:val="20"/>
                <w:szCs w:val="20"/>
              </w:rPr>
            </w:pPr>
            <w:r w:rsidRPr="007D7306">
              <w:rPr>
                <w:rFonts w:ascii="Arial Narrow" w:hAnsi="Arial Narrow" w:cs="Arial"/>
                <w:b/>
                <w:sz w:val="20"/>
                <w:szCs w:val="20"/>
              </w:rPr>
              <w:t>Manner of administration and form</w:t>
            </w:r>
          </w:p>
        </w:tc>
        <w:tc>
          <w:tcPr>
            <w:tcW w:w="537" w:type="pct"/>
            <w:tcBorders>
              <w:bottom w:val="single" w:sz="4" w:space="0" w:color="auto"/>
            </w:tcBorders>
          </w:tcPr>
          <w:p w:rsidR="003C4C42" w:rsidRPr="007D7306" w:rsidRDefault="003C4C42"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Max.</w:t>
            </w:r>
          </w:p>
          <w:p w:rsidR="003C4C42" w:rsidRPr="007D7306" w:rsidRDefault="003C4C42"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Qty</w:t>
            </w:r>
          </w:p>
        </w:tc>
        <w:tc>
          <w:tcPr>
            <w:tcW w:w="689" w:type="pct"/>
            <w:tcBorders>
              <w:bottom w:val="single" w:sz="4" w:space="0" w:color="auto"/>
            </w:tcBorders>
          </w:tcPr>
          <w:p w:rsidR="003C4C42" w:rsidRPr="007D7306" w:rsidRDefault="003C4C42"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№.of</w:t>
            </w:r>
          </w:p>
          <w:p w:rsidR="003C4C42" w:rsidRPr="007D7306" w:rsidRDefault="003C4C42" w:rsidP="003C4C42">
            <w:pPr>
              <w:keepNext/>
              <w:spacing w:before="40" w:after="40"/>
              <w:jc w:val="center"/>
              <w:rPr>
                <w:rFonts w:ascii="Arial Narrow" w:hAnsi="Arial Narrow" w:cs="Arial"/>
                <w:b/>
                <w:sz w:val="20"/>
                <w:szCs w:val="20"/>
              </w:rPr>
            </w:pPr>
            <w:r w:rsidRPr="007D7306">
              <w:rPr>
                <w:rFonts w:ascii="Arial Narrow" w:hAnsi="Arial Narrow" w:cs="Arial"/>
                <w:b/>
                <w:sz w:val="20"/>
                <w:szCs w:val="20"/>
              </w:rPr>
              <w:t>Rpts</w:t>
            </w:r>
          </w:p>
        </w:tc>
        <w:tc>
          <w:tcPr>
            <w:tcW w:w="1875" w:type="pct"/>
            <w:gridSpan w:val="2"/>
            <w:tcBorders>
              <w:bottom w:val="single" w:sz="4" w:space="0" w:color="auto"/>
            </w:tcBorders>
          </w:tcPr>
          <w:p w:rsidR="003C4C42" w:rsidRPr="00602B89" w:rsidRDefault="003C4C42" w:rsidP="0052528B">
            <w:pPr>
              <w:keepNext/>
              <w:spacing w:before="40" w:after="40"/>
              <w:jc w:val="both"/>
              <w:rPr>
                <w:rFonts w:ascii="Arial Narrow" w:hAnsi="Arial Narrow" w:cs="Arial"/>
                <w:b/>
                <w:sz w:val="20"/>
                <w:szCs w:val="20"/>
              </w:rPr>
            </w:pPr>
            <w:r w:rsidRPr="007D7306">
              <w:rPr>
                <w:rFonts w:ascii="Arial Narrow" w:hAnsi="Arial Narrow" w:cs="Arial"/>
                <w:b/>
                <w:sz w:val="20"/>
                <w:szCs w:val="20"/>
              </w:rPr>
              <w:t>Proprietary Name and Manufacturer</w:t>
            </w:r>
          </w:p>
        </w:tc>
      </w:tr>
      <w:tr w:rsidR="003C4C42" w:rsidRPr="007D7306" w:rsidTr="003C4C42">
        <w:trPr>
          <w:trHeight w:val="567"/>
        </w:trPr>
        <w:tc>
          <w:tcPr>
            <w:tcW w:w="1899" w:type="pct"/>
            <w:gridSpan w:val="2"/>
          </w:tcPr>
          <w:p w:rsidR="003C4C42" w:rsidRPr="007D7306" w:rsidRDefault="003C4C42" w:rsidP="0052528B">
            <w:pPr>
              <w:keepNext/>
              <w:spacing w:before="40" w:after="40"/>
              <w:jc w:val="both"/>
              <w:rPr>
                <w:rFonts w:ascii="Arial Narrow" w:hAnsi="Arial Narrow" w:cs="Arial"/>
                <w:sz w:val="20"/>
                <w:szCs w:val="20"/>
              </w:rPr>
            </w:pPr>
            <w:r w:rsidRPr="007D7306">
              <w:rPr>
                <w:rFonts w:ascii="Arial Narrow" w:hAnsi="Arial Narrow" w:cs="Arial"/>
                <w:smallCaps/>
                <w:sz w:val="20"/>
                <w:szCs w:val="20"/>
              </w:rPr>
              <w:t>CLADRIBINE</w:t>
            </w:r>
          </w:p>
          <w:p w:rsidR="003C4C42" w:rsidRPr="007D7306" w:rsidRDefault="003C4C42" w:rsidP="0052528B">
            <w:pPr>
              <w:keepNext/>
              <w:spacing w:before="40" w:after="40"/>
              <w:jc w:val="both"/>
              <w:rPr>
                <w:rFonts w:ascii="Arial Narrow" w:hAnsi="Arial Narrow" w:cs="Arial"/>
                <w:i/>
                <w:sz w:val="20"/>
                <w:szCs w:val="20"/>
              </w:rPr>
            </w:pPr>
            <w:r w:rsidRPr="007D7306">
              <w:rPr>
                <w:rFonts w:ascii="Arial Narrow" w:hAnsi="Arial Narrow" w:cs="Arial"/>
                <w:i/>
                <w:sz w:val="20"/>
                <w:szCs w:val="20"/>
              </w:rPr>
              <w:t>Ta</w:t>
            </w:r>
            <w:r>
              <w:rPr>
                <w:rFonts w:ascii="Arial Narrow" w:hAnsi="Arial Narrow" w:cs="Arial"/>
                <w:i/>
                <w:sz w:val="20"/>
                <w:szCs w:val="20"/>
              </w:rPr>
              <w:t xml:space="preserve">blet 10 mg, </w:t>
            </w:r>
            <w:r w:rsidRPr="007D7306">
              <w:rPr>
                <w:rFonts w:ascii="Arial Narrow" w:hAnsi="Arial Narrow" w:cs="Arial"/>
                <w:i/>
                <w:sz w:val="20"/>
                <w:szCs w:val="20"/>
              </w:rPr>
              <w:t>1</w:t>
            </w:r>
          </w:p>
          <w:p w:rsidR="003C4C42" w:rsidRPr="007D7306" w:rsidRDefault="003C4C42" w:rsidP="0052528B">
            <w:pPr>
              <w:keepNext/>
              <w:spacing w:before="40" w:after="40"/>
              <w:jc w:val="both"/>
              <w:rPr>
                <w:rFonts w:ascii="Arial Narrow" w:hAnsi="Arial Narrow" w:cs="Arial"/>
                <w:i/>
                <w:sz w:val="20"/>
                <w:szCs w:val="20"/>
              </w:rPr>
            </w:pPr>
            <w:r>
              <w:rPr>
                <w:rFonts w:ascii="Arial Narrow" w:hAnsi="Arial Narrow" w:cs="Arial"/>
                <w:i/>
                <w:sz w:val="20"/>
                <w:szCs w:val="20"/>
              </w:rPr>
              <w:t xml:space="preserve">Tablet 10 mg, </w:t>
            </w:r>
            <w:r w:rsidRPr="007D7306">
              <w:rPr>
                <w:rFonts w:ascii="Arial Narrow" w:hAnsi="Arial Narrow" w:cs="Arial"/>
                <w:i/>
                <w:sz w:val="20"/>
                <w:szCs w:val="20"/>
              </w:rPr>
              <w:t>4</w:t>
            </w:r>
          </w:p>
          <w:p w:rsidR="003C4C42" w:rsidRPr="007D7306" w:rsidRDefault="003C4C42" w:rsidP="0052528B">
            <w:pPr>
              <w:keepNext/>
              <w:spacing w:before="40" w:after="40"/>
              <w:jc w:val="both"/>
              <w:rPr>
                <w:rFonts w:ascii="Arial Narrow" w:hAnsi="Arial Narrow" w:cs="Arial"/>
                <w:i/>
                <w:sz w:val="20"/>
                <w:szCs w:val="20"/>
              </w:rPr>
            </w:pPr>
            <w:r>
              <w:rPr>
                <w:rFonts w:ascii="Arial Narrow" w:hAnsi="Arial Narrow" w:cs="Arial"/>
                <w:i/>
                <w:sz w:val="20"/>
                <w:szCs w:val="20"/>
              </w:rPr>
              <w:t xml:space="preserve">Tablet 10 mg, </w:t>
            </w:r>
            <w:r w:rsidRPr="007D7306">
              <w:rPr>
                <w:rFonts w:ascii="Arial Narrow" w:hAnsi="Arial Narrow" w:cs="Arial"/>
                <w:i/>
                <w:sz w:val="20"/>
                <w:szCs w:val="20"/>
              </w:rPr>
              <w:t>6</w:t>
            </w:r>
          </w:p>
          <w:p w:rsidR="003C4C42" w:rsidRPr="007D7306" w:rsidRDefault="003C4C42" w:rsidP="0052528B">
            <w:pPr>
              <w:keepNext/>
              <w:spacing w:before="40" w:after="40"/>
              <w:jc w:val="both"/>
              <w:rPr>
                <w:rFonts w:ascii="Arial Narrow" w:hAnsi="Arial Narrow" w:cs="Arial"/>
                <w:sz w:val="20"/>
                <w:szCs w:val="20"/>
              </w:rPr>
            </w:pPr>
          </w:p>
        </w:tc>
        <w:tc>
          <w:tcPr>
            <w:tcW w:w="537" w:type="pct"/>
          </w:tcPr>
          <w:p w:rsidR="003C4C42" w:rsidRPr="007D7306" w:rsidRDefault="003C4C42" w:rsidP="003C4C42">
            <w:pPr>
              <w:keepNext/>
              <w:spacing w:before="40" w:after="40"/>
              <w:jc w:val="center"/>
              <w:rPr>
                <w:rFonts w:ascii="Arial Narrow" w:hAnsi="Arial Narrow" w:cs="Arial"/>
                <w:i/>
                <w:sz w:val="20"/>
                <w:szCs w:val="20"/>
              </w:rPr>
            </w:pPr>
          </w:p>
          <w:p w:rsidR="003C4C42" w:rsidRPr="007D7306" w:rsidRDefault="003C4C42" w:rsidP="003C4C42">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3C4C42" w:rsidRPr="007D7306" w:rsidRDefault="003C4C42" w:rsidP="003C4C42">
            <w:pPr>
              <w:keepNext/>
              <w:spacing w:before="40" w:after="40"/>
              <w:jc w:val="center"/>
              <w:rPr>
                <w:rFonts w:ascii="Arial Narrow" w:hAnsi="Arial Narrow" w:cs="Arial"/>
                <w:i/>
                <w:sz w:val="20"/>
                <w:szCs w:val="20"/>
              </w:rPr>
            </w:pPr>
            <w:r w:rsidRPr="007D7306">
              <w:rPr>
                <w:rFonts w:ascii="Arial Narrow" w:hAnsi="Arial Narrow" w:cs="Arial"/>
                <w:i/>
                <w:sz w:val="20"/>
                <w:szCs w:val="20"/>
              </w:rPr>
              <w:t>2</w:t>
            </w:r>
          </w:p>
          <w:p w:rsidR="003C4C42" w:rsidRPr="007D7306" w:rsidRDefault="003C4C42" w:rsidP="003C4C42">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tc>
        <w:tc>
          <w:tcPr>
            <w:tcW w:w="689" w:type="pct"/>
          </w:tcPr>
          <w:p w:rsidR="003C4C42" w:rsidRPr="007D7306" w:rsidRDefault="003C4C42" w:rsidP="003C4C42">
            <w:pPr>
              <w:keepNext/>
              <w:spacing w:before="40" w:after="40"/>
              <w:jc w:val="center"/>
              <w:rPr>
                <w:rFonts w:ascii="Arial Narrow" w:hAnsi="Arial Narrow" w:cs="Arial"/>
                <w:i/>
                <w:sz w:val="20"/>
                <w:szCs w:val="20"/>
              </w:rPr>
            </w:pPr>
          </w:p>
          <w:p w:rsidR="003C4C42" w:rsidRPr="007D7306" w:rsidRDefault="003C4C42" w:rsidP="003C4C42">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3C4C42" w:rsidRPr="007D7306" w:rsidRDefault="003C4C42" w:rsidP="003C4C42">
            <w:pPr>
              <w:keepNext/>
              <w:spacing w:before="40" w:after="40"/>
              <w:jc w:val="center"/>
              <w:rPr>
                <w:rFonts w:ascii="Arial Narrow" w:hAnsi="Arial Narrow" w:cs="Arial"/>
                <w:i/>
                <w:sz w:val="20"/>
                <w:szCs w:val="20"/>
              </w:rPr>
            </w:pPr>
            <w:r w:rsidRPr="007D7306">
              <w:rPr>
                <w:rFonts w:ascii="Arial Narrow" w:hAnsi="Arial Narrow" w:cs="Arial"/>
                <w:i/>
                <w:sz w:val="20"/>
                <w:szCs w:val="20"/>
              </w:rPr>
              <w:t>1</w:t>
            </w:r>
          </w:p>
          <w:p w:rsidR="003C4C42" w:rsidRPr="007D7306" w:rsidRDefault="003C4C42" w:rsidP="003C4C42">
            <w:pPr>
              <w:keepNext/>
              <w:spacing w:before="40" w:after="40"/>
              <w:jc w:val="center"/>
              <w:rPr>
                <w:rFonts w:ascii="Arial Narrow" w:hAnsi="Arial Narrow" w:cs="Arial"/>
                <w:sz w:val="20"/>
                <w:szCs w:val="20"/>
                <w:vertAlign w:val="superscript"/>
              </w:rPr>
            </w:pPr>
            <w:r w:rsidRPr="007D7306">
              <w:rPr>
                <w:rFonts w:ascii="Arial Narrow" w:hAnsi="Arial Narrow" w:cs="Arial"/>
                <w:i/>
                <w:sz w:val="20"/>
                <w:szCs w:val="20"/>
              </w:rPr>
              <w:t>1</w:t>
            </w:r>
          </w:p>
        </w:tc>
        <w:tc>
          <w:tcPr>
            <w:tcW w:w="998" w:type="pct"/>
          </w:tcPr>
          <w:p w:rsidR="003C4C42" w:rsidRPr="007D7306" w:rsidRDefault="003C4C42" w:rsidP="0052528B">
            <w:pPr>
              <w:keepNext/>
              <w:spacing w:before="40" w:after="40"/>
              <w:jc w:val="center"/>
              <w:rPr>
                <w:rFonts w:ascii="Arial Narrow" w:hAnsi="Arial Narrow" w:cs="Arial"/>
                <w:sz w:val="20"/>
                <w:szCs w:val="20"/>
              </w:rPr>
            </w:pPr>
          </w:p>
          <w:p w:rsidR="003C4C42" w:rsidRPr="007D7306" w:rsidRDefault="003C4C42" w:rsidP="00194975">
            <w:pPr>
              <w:keepNext/>
              <w:spacing w:before="40" w:after="40"/>
              <w:rPr>
                <w:rFonts w:ascii="Arial Narrow" w:hAnsi="Arial Narrow" w:cs="Arial"/>
                <w:sz w:val="20"/>
                <w:szCs w:val="20"/>
              </w:rPr>
            </w:pPr>
            <w:r w:rsidRPr="007D7306">
              <w:rPr>
                <w:rFonts w:ascii="Arial Narrow" w:hAnsi="Arial Narrow" w:cs="Arial"/>
                <w:sz w:val="20"/>
                <w:szCs w:val="20"/>
              </w:rPr>
              <w:t>MAVENCLAD</w:t>
            </w:r>
            <w:r w:rsidRPr="007D7306">
              <w:rPr>
                <w:rFonts w:ascii="Arial Narrow" w:hAnsi="Arial Narrow"/>
                <w:sz w:val="20"/>
                <w:szCs w:val="20"/>
                <w:vertAlign w:val="superscript"/>
              </w:rPr>
              <w:t>®</w:t>
            </w:r>
          </w:p>
        </w:tc>
        <w:tc>
          <w:tcPr>
            <w:tcW w:w="877" w:type="pct"/>
          </w:tcPr>
          <w:p w:rsidR="003C4C42" w:rsidRPr="007D7306" w:rsidRDefault="003C4C42" w:rsidP="0052528B">
            <w:pPr>
              <w:keepNext/>
              <w:spacing w:before="40" w:after="40"/>
              <w:jc w:val="center"/>
              <w:rPr>
                <w:rFonts w:ascii="Arial Narrow" w:hAnsi="Arial Narrow" w:cs="Arial"/>
                <w:sz w:val="20"/>
                <w:szCs w:val="20"/>
              </w:rPr>
            </w:pPr>
          </w:p>
          <w:p w:rsidR="003C4C42" w:rsidRPr="007D7306" w:rsidRDefault="003C4C42" w:rsidP="003C4C42">
            <w:pPr>
              <w:keepNext/>
              <w:spacing w:before="40" w:after="40"/>
              <w:rPr>
                <w:rFonts w:ascii="Arial Narrow" w:hAnsi="Arial Narrow" w:cs="Arial"/>
                <w:sz w:val="20"/>
                <w:szCs w:val="20"/>
              </w:rPr>
            </w:pPr>
            <w:r w:rsidRPr="007D7306">
              <w:rPr>
                <w:rFonts w:ascii="Arial Narrow" w:hAnsi="Arial Narrow" w:cs="Arial"/>
                <w:sz w:val="20"/>
                <w:szCs w:val="20"/>
              </w:rPr>
              <w:t>Merck</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Category / Program</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7D7306">
              <w:rPr>
                <w:rFonts w:ascii="Arial Narrow" w:hAnsi="Arial Narrow" w:cs="Arial"/>
                <w:sz w:val="20"/>
                <w:szCs w:val="20"/>
              </w:rPr>
              <w:t>GENERAL – General Schedule (Code GE)</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Prescriber type:</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Dental  </w:t>
            </w: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Medical Practitioners  </w:t>
            </w:r>
            <w:r w:rsidRPr="00E50BAD">
              <w:rPr>
                <w:rFonts w:ascii="Arial Narrow" w:hAnsi="Arial Narrow" w:cs="Arial"/>
                <w:sz w:val="20"/>
                <w:szCs w:val="20"/>
              </w:rPr>
              <w:fldChar w:fldCharType="begin">
                <w:ffData>
                  <w:name w:val="Check3"/>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Nurse practitioners  </w:t>
            </w:r>
            <w:r w:rsidRPr="00E50BAD">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Optometrists </w:t>
            </w:r>
            <w:r w:rsidRPr="00E50BAD">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Midwives</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Condition:</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PBS Indication:</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i/>
                <w:sz w:val="20"/>
                <w:szCs w:val="20"/>
              </w:rPr>
            </w:pPr>
            <w:r w:rsidRPr="007D7306">
              <w:rPr>
                <w:rFonts w:ascii="Arial Narrow" w:hAnsi="Arial Narrow" w:cs="Arial"/>
                <w:b/>
                <w:sz w:val="20"/>
                <w:szCs w:val="20"/>
              </w:rPr>
              <w:t>Treatment phase:</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7D7306">
              <w:rPr>
                <w:rFonts w:ascii="Arial Narrow" w:hAnsi="Arial Narrow" w:cs="Arial"/>
                <w:sz w:val="20"/>
                <w:szCs w:val="20"/>
              </w:rPr>
              <w:t>Initial treatment</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Restriction Level / Method:</w:t>
            </w:r>
          </w:p>
          <w:p w:rsidR="003F70EC" w:rsidRPr="007D7306" w:rsidRDefault="003F70EC" w:rsidP="0052528B">
            <w:pPr>
              <w:spacing w:before="40" w:after="40"/>
              <w:rPr>
                <w:rFonts w:ascii="Arial Narrow" w:hAnsi="Arial Narrow" w:cs="Arial"/>
                <w:sz w:val="20"/>
                <w:szCs w:val="20"/>
              </w:rPr>
            </w:pP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Restricted benefit</w:t>
            </w:r>
          </w:p>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In Writing</w:t>
            </w:r>
          </w:p>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Check3"/>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Telephone</w:t>
            </w:r>
          </w:p>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Emergency</w:t>
            </w:r>
          </w:p>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Check5"/>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Electronic</w:t>
            </w:r>
          </w:p>
          <w:p w:rsidR="003F70EC" w:rsidRPr="007D7306" w:rsidRDefault="003F70EC" w:rsidP="0052528B">
            <w:pPr>
              <w:spacing w:before="40" w:after="40"/>
              <w:rPr>
                <w:rFonts w:ascii="Arial Narrow" w:hAnsi="Arial Narrow" w:cs="Arial"/>
                <w:sz w:val="20"/>
                <w:szCs w:val="20"/>
              </w:rPr>
            </w:pPr>
            <w:r w:rsidRPr="00E50BAD">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Streamlined</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rPr>
                <w:rFonts w:ascii="Arial Narrow" w:hAnsi="Arial Narrow" w:cs="Arial"/>
                <w:b/>
                <w:sz w:val="20"/>
                <w:szCs w:val="20"/>
              </w:rPr>
            </w:pPr>
            <w:r w:rsidRPr="007D7306">
              <w:rPr>
                <w:rFonts w:ascii="Arial Narrow" w:hAnsi="Arial Narrow" w:cs="Arial"/>
                <w:b/>
                <w:sz w:val="20"/>
                <w:szCs w:val="20"/>
              </w:rPr>
              <w:t>Treatment criteria:</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C7582A">
            <w:pPr>
              <w:spacing w:before="40" w:after="40"/>
              <w:rPr>
                <w:rFonts w:ascii="Arial Narrow" w:hAnsi="Arial Narrow" w:cs="Arial"/>
                <w:sz w:val="20"/>
                <w:szCs w:val="20"/>
              </w:rPr>
            </w:pPr>
            <w:r w:rsidRPr="007D7306">
              <w:rPr>
                <w:rFonts w:ascii="Arial Narrow" w:hAnsi="Arial Narrow" w:cs="Arial"/>
                <w:sz w:val="20"/>
                <w:szCs w:val="20"/>
              </w:rPr>
              <w:t xml:space="preserve">Must be diagnosed by </w:t>
            </w:r>
            <w:r w:rsidRPr="007D7306">
              <w:rPr>
                <w:rFonts w:ascii="Arial Narrow" w:hAnsi="Arial Narrow" w:cs="Arial"/>
                <w:i/>
                <w:sz w:val="20"/>
                <w:szCs w:val="20"/>
              </w:rPr>
              <w:t>a</w:t>
            </w:r>
            <w:r w:rsidRPr="007D7306">
              <w:rPr>
                <w:rFonts w:ascii="Arial Narrow" w:hAnsi="Arial Narrow" w:cs="Arial"/>
                <w:sz w:val="20"/>
                <w:szCs w:val="20"/>
              </w:rPr>
              <w:t xml:space="preserve"> neurologist</w:t>
            </w:r>
            <w:r w:rsidRPr="007D7306">
              <w:rPr>
                <w:rFonts w:ascii="Arial Narrow" w:hAnsi="Arial Narrow" w:cs="Arial"/>
                <w:strike/>
                <w:sz w:val="20"/>
                <w:szCs w:val="20"/>
              </w:rPr>
              <w:t>.</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b/>
                <w:sz w:val="20"/>
                <w:szCs w:val="20"/>
              </w:rPr>
            </w:pPr>
            <w:r w:rsidRPr="007D7306">
              <w:rPr>
                <w:rFonts w:ascii="Arial Narrow" w:hAnsi="Arial Narrow" w:cs="Arial"/>
                <w:b/>
                <w:sz w:val="20"/>
                <w:szCs w:val="20"/>
              </w:rPr>
              <w:t>Clinical criteria:</w:t>
            </w:r>
          </w:p>
          <w:p w:rsidR="003F70EC" w:rsidRPr="007D7306" w:rsidRDefault="003F70EC" w:rsidP="0052528B">
            <w:pPr>
              <w:spacing w:before="40" w:after="40"/>
              <w:jc w:val="both"/>
              <w:rPr>
                <w:rFonts w:ascii="Arial Narrow" w:hAnsi="Arial Narrow" w:cs="Arial"/>
                <w:i/>
                <w:sz w:val="20"/>
                <w:szCs w:val="20"/>
              </w:rPr>
            </w:pPr>
          </w:p>
          <w:p w:rsidR="003F70EC" w:rsidRPr="007D7306" w:rsidRDefault="003F70EC" w:rsidP="0052528B">
            <w:pPr>
              <w:spacing w:before="40" w:after="40"/>
              <w:jc w:val="both"/>
              <w:rPr>
                <w:rFonts w:ascii="Arial Narrow" w:hAnsi="Arial Narrow" w:cs="Arial"/>
                <w:sz w:val="20"/>
                <w:szCs w:val="20"/>
              </w:rPr>
            </w:pP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 xml:space="preserve">The condition must be diagnosed as clinically definite relapsing-remitting multiple sclerosis by magnetic resonance imaging of the brain and/or spinal cord; </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OR</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have experienced at least 2 documented attacks of neurological dysfunction, believed to be due to the multiple sclerosis, in the preceding 2 years,</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be ambulatory (without assistance or support).</w:t>
            </w:r>
          </w:p>
          <w:p w:rsidR="003F70EC" w:rsidRPr="007D7306" w:rsidRDefault="003F70EC" w:rsidP="0052528B">
            <w:pPr>
              <w:spacing w:before="40" w:after="40"/>
              <w:rPr>
                <w:rFonts w:ascii="Arial Narrow" w:hAnsi="Arial Narrow" w:cs="Arial"/>
                <w:sz w:val="20"/>
                <w:szCs w:val="20"/>
              </w:rPr>
            </w:pP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Prescriber Instructions</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Where applicable, the date of the magnetic resonance imaging scan must be recorded in the patient's medical records.</w:t>
            </w: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r w:rsidR="003F70EC" w:rsidRPr="007D7306" w:rsidTr="003C4C42">
        <w:trPr>
          <w:trHeight w:val="360"/>
        </w:trPr>
        <w:tc>
          <w:tcPr>
            <w:tcW w:w="980"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spacing w:before="40" w:after="40"/>
              <w:jc w:val="both"/>
              <w:rPr>
                <w:rFonts w:ascii="Arial Narrow" w:hAnsi="Arial Narrow" w:cs="Arial"/>
                <w:sz w:val="20"/>
                <w:szCs w:val="20"/>
              </w:rPr>
            </w:pPr>
            <w:r w:rsidRPr="007D7306">
              <w:rPr>
                <w:rFonts w:ascii="Arial Narrow" w:hAnsi="Arial Narrow" w:cs="Arial"/>
                <w:b/>
                <w:sz w:val="20"/>
                <w:szCs w:val="20"/>
              </w:rPr>
              <w:t xml:space="preserve">Administrative </w:t>
            </w:r>
            <w:r w:rsidRPr="007D7306">
              <w:rPr>
                <w:rFonts w:ascii="Arial Narrow" w:hAnsi="Arial Narrow" w:cs="Arial"/>
                <w:b/>
                <w:sz w:val="20"/>
                <w:szCs w:val="20"/>
              </w:rPr>
              <w:lastRenderedPageBreak/>
              <w:t>Advice:</w:t>
            </w:r>
          </w:p>
        </w:tc>
        <w:tc>
          <w:tcPr>
            <w:tcW w:w="4020" w:type="pct"/>
            <w:gridSpan w:val="5"/>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lastRenderedPageBreak/>
              <w:t>No increase in the maximum quantity may be authorised.</w:t>
            </w: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No increase in the maximum number of repeats may be authorised.</w:t>
            </w: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lastRenderedPageBreak/>
              <w:t>Special Pricing Arrangements apply.</w:t>
            </w:r>
          </w:p>
        </w:tc>
      </w:tr>
    </w:tbl>
    <w:p w:rsidR="003F70EC" w:rsidRPr="007D7306" w:rsidRDefault="003F70EC" w:rsidP="003B3FD2">
      <w:pPr>
        <w:rPr>
          <w:rFonts w:asciiTheme="minorHAnsi" w:hAnsiTheme="minorHAnsi"/>
          <w:bCs/>
          <w:szCs w:val="22"/>
          <w:highlight w:val="yellow"/>
        </w:rPr>
      </w:pPr>
    </w:p>
    <w:tbl>
      <w:tblPr>
        <w:tblW w:w="5000" w:type="pct"/>
        <w:tblLook w:val="0000" w:firstRow="0" w:lastRow="0" w:firstColumn="0" w:lastColumn="0" w:noHBand="0" w:noVBand="0"/>
      </w:tblPr>
      <w:tblGrid>
        <w:gridCol w:w="1952"/>
        <w:gridCol w:w="7290"/>
      </w:tblGrid>
      <w:tr w:rsidR="003F70EC" w:rsidRPr="007D7306" w:rsidTr="0052528B">
        <w:trPr>
          <w:cantSplit/>
          <w:trHeight w:val="245"/>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Category / Program</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GENERAL – General Schedule (Code GE)</w:t>
            </w:r>
          </w:p>
        </w:tc>
      </w:tr>
      <w:tr w:rsidR="003F70EC" w:rsidRPr="007D7306" w:rsidTr="0052528B">
        <w:trPr>
          <w:cantSplit/>
          <w:trHeight w:val="321"/>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Prescriber type:</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Dental  </w:t>
            </w: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Medical Practitioners  </w:t>
            </w:r>
            <w:r w:rsidRPr="00E50BAD">
              <w:rPr>
                <w:rFonts w:ascii="Arial Narrow" w:hAnsi="Arial Narrow" w:cs="Arial"/>
                <w:sz w:val="20"/>
                <w:szCs w:val="20"/>
              </w:rPr>
              <w:fldChar w:fldCharType="begin">
                <w:ffData>
                  <w:name w:val="Check3"/>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Nurse practitioners  </w:t>
            </w:r>
            <w:r w:rsidRPr="00E50BAD">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 xml:space="preserve">Optometrists </w:t>
            </w:r>
            <w:r w:rsidRPr="00E50BAD">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Midwives</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Condition:</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PBS Indication:</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i/>
                <w:sz w:val="20"/>
                <w:szCs w:val="20"/>
              </w:rPr>
            </w:pPr>
            <w:r w:rsidRPr="007D7306">
              <w:rPr>
                <w:rFonts w:ascii="Arial Narrow" w:hAnsi="Arial Narrow" w:cs="Arial"/>
                <w:b/>
                <w:sz w:val="20"/>
                <w:szCs w:val="20"/>
              </w:rPr>
              <w:t>Treatment phase:</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Continuing treatment</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Restriction Level / Method:</w:t>
            </w:r>
          </w:p>
          <w:p w:rsidR="003F70EC" w:rsidRPr="007D7306" w:rsidRDefault="003F70EC" w:rsidP="0052528B">
            <w:pPr>
              <w:rPr>
                <w:rFonts w:ascii="Arial Narrow" w:hAnsi="Arial Narrow" w:cs="Arial"/>
                <w:i/>
                <w:sz w:val="20"/>
                <w:szCs w:val="20"/>
              </w:rPr>
            </w:pPr>
          </w:p>
          <w:p w:rsidR="003F70EC" w:rsidRPr="007D7306" w:rsidRDefault="003F70EC" w:rsidP="0052528B">
            <w:pPr>
              <w:rPr>
                <w:rFonts w:ascii="Arial Narrow" w:hAnsi="Arial Narrow" w:cs="Arial"/>
                <w:i/>
                <w:sz w:val="20"/>
                <w:szCs w:val="20"/>
              </w:rPr>
            </w:pP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Check1"/>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Restricted benefit</w:t>
            </w:r>
          </w:p>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In Writing</w:t>
            </w:r>
          </w:p>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Telephone</w:t>
            </w:r>
          </w:p>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Emergency</w:t>
            </w:r>
          </w:p>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
                  <w:enabled/>
                  <w:calcOnExit w:val="0"/>
                  <w:checkBox>
                    <w:sizeAuto/>
                    <w:default w:val="1"/>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Authority Required - Electronic</w:t>
            </w:r>
          </w:p>
          <w:p w:rsidR="003F70EC" w:rsidRPr="007D7306" w:rsidRDefault="003F70EC" w:rsidP="0052528B">
            <w:pPr>
              <w:rPr>
                <w:rFonts w:ascii="Arial Narrow" w:hAnsi="Arial Narrow" w:cs="Arial"/>
                <w:sz w:val="20"/>
                <w:szCs w:val="20"/>
              </w:rPr>
            </w:pPr>
            <w:r w:rsidRPr="00E50BAD">
              <w:rPr>
                <w:rFonts w:ascii="Arial Narrow" w:hAnsi="Arial Narrow" w:cs="Arial"/>
                <w:sz w:val="20"/>
                <w:szCs w:val="20"/>
              </w:rPr>
              <w:fldChar w:fldCharType="begin">
                <w:ffData>
                  <w:name w:val="Check5"/>
                  <w:enabled/>
                  <w:calcOnExit w:val="0"/>
                  <w:checkBox>
                    <w:sizeAuto/>
                    <w:default w:val="0"/>
                  </w:checkBox>
                </w:ffData>
              </w:fldChar>
            </w:r>
            <w:r w:rsidRPr="007D7306">
              <w:rPr>
                <w:rFonts w:ascii="Arial Narrow" w:hAnsi="Arial Narrow" w:cs="Arial"/>
                <w:sz w:val="20"/>
                <w:szCs w:val="20"/>
              </w:rPr>
              <w:instrText xml:space="preserve"> FORMCHECKBOX </w:instrText>
            </w:r>
            <w:r w:rsidR="007439F8">
              <w:rPr>
                <w:rFonts w:ascii="Arial Narrow" w:hAnsi="Arial Narrow" w:cs="Arial"/>
                <w:sz w:val="20"/>
                <w:szCs w:val="20"/>
              </w:rPr>
            </w:r>
            <w:r w:rsidR="007439F8">
              <w:rPr>
                <w:rFonts w:ascii="Arial Narrow" w:hAnsi="Arial Narrow" w:cs="Arial"/>
                <w:sz w:val="20"/>
                <w:szCs w:val="20"/>
              </w:rPr>
              <w:fldChar w:fldCharType="separate"/>
            </w:r>
            <w:r w:rsidRPr="00E50BAD">
              <w:rPr>
                <w:rFonts w:ascii="Arial Narrow" w:hAnsi="Arial Narrow" w:cs="Arial"/>
                <w:sz w:val="20"/>
                <w:szCs w:val="20"/>
              </w:rPr>
              <w:fldChar w:fldCharType="end"/>
            </w:r>
            <w:r w:rsidRPr="007D7306">
              <w:rPr>
                <w:rFonts w:ascii="Arial Narrow" w:hAnsi="Arial Narrow" w:cs="Arial"/>
                <w:sz w:val="20"/>
                <w:szCs w:val="20"/>
              </w:rPr>
              <w:t>Streamlined</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b/>
                <w:sz w:val="20"/>
                <w:szCs w:val="20"/>
              </w:rPr>
            </w:pPr>
            <w:r w:rsidRPr="007D7306">
              <w:rPr>
                <w:rFonts w:ascii="Arial Narrow" w:hAnsi="Arial Narrow" w:cs="Arial"/>
                <w:b/>
                <w:sz w:val="20"/>
                <w:szCs w:val="20"/>
              </w:rPr>
              <w:t>Treatment criteria:</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C7582A">
            <w:pPr>
              <w:rPr>
                <w:rFonts w:ascii="Arial Narrow" w:hAnsi="Arial Narrow" w:cs="Arial"/>
                <w:sz w:val="20"/>
                <w:szCs w:val="20"/>
              </w:rPr>
            </w:pPr>
            <w:r w:rsidRPr="007D7306">
              <w:rPr>
                <w:rFonts w:ascii="Arial Narrow" w:hAnsi="Arial Narrow" w:cs="Arial"/>
                <w:sz w:val="20"/>
                <w:szCs w:val="20"/>
              </w:rPr>
              <w:t xml:space="preserve">Must be treated by </w:t>
            </w:r>
            <w:r w:rsidRPr="007D7306">
              <w:rPr>
                <w:rFonts w:ascii="Arial Narrow" w:hAnsi="Arial Narrow" w:cs="Arial"/>
                <w:i/>
                <w:sz w:val="20"/>
                <w:szCs w:val="20"/>
              </w:rPr>
              <w:t xml:space="preserve">a </w:t>
            </w:r>
            <w:r w:rsidRPr="007D7306">
              <w:rPr>
                <w:rFonts w:ascii="Arial Narrow" w:hAnsi="Arial Narrow" w:cs="Arial"/>
                <w:sz w:val="20"/>
                <w:szCs w:val="20"/>
              </w:rPr>
              <w:t>neurologist</w:t>
            </w:r>
            <w:r w:rsidRPr="007D7306">
              <w:rPr>
                <w:rFonts w:ascii="Arial Narrow" w:hAnsi="Arial Narrow" w:cs="Arial"/>
                <w:strike/>
                <w:sz w:val="20"/>
                <w:szCs w:val="20"/>
              </w:rPr>
              <w:t>.</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Clinical criteria:</w:t>
            </w:r>
          </w:p>
          <w:p w:rsidR="003F70EC" w:rsidRPr="007D7306" w:rsidRDefault="003F70EC" w:rsidP="0052528B">
            <w:pPr>
              <w:jc w:val="both"/>
              <w:rPr>
                <w:rFonts w:ascii="Arial Narrow" w:hAnsi="Arial Narrow" w:cs="Arial"/>
                <w:i/>
                <w:sz w:val="20"/>
                <w:szCs w:val="20"/>
              </w:rPr>
            </w:pPr>
          </w:p>
          <w:p w:rsidR="003F70EC" w:rsidRPr="007D7306" w:rsidRDefault="003F70EC" w:rsidP="0052528B">
            <w:pPr>
              <w:jc w:val="both"/>
              <w:rPr>
                <w:rFonts w:ascii="Arial Narrow" w:hAnsi="Arial Narrow" w:cs="Arial"/>
                <w:sz w:val="20"/>
                <w:szCs w:val="20"/>
              </w:rPr>
            </w:pP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have previously received PBS-subsidised treatment with this drug for this condition,</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not show continuing progression of disability while on treatment with this drug,</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have demonstrated compliance with, and an ability to tolerate this therapy.</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Prescriber Instructions</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r w:rsidR="003F70EC" w:rsidRPr="007D7306" w:rsidTr="0052528B">
        <w:trPr>
          <w:cantSplit/>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sz w:val="20"/>
                <w:szCs w:val="20"/>
              </w:rPr>
            </w:pPr>
            <w:r w:rsidRPr="007D7306">
              <w:rPr>
                <w:rFonts w:ascii="Arial Narrow" w:hAnsi="Arial Narrow" w:cs="Arial"/>
                <w:b/>
                <w:sz w:val="20"/>
                <w:szCs w:val="20"/>
              </w:rPr>
              <w:t>Administrative Advice</w:t>
            </w:r>
          </w:p>
          <w:p w:rsidR="003F70EC" w:rsidRPr="007D7306" w:rsidRDefault="003F70EC" w:rsidP="0052528B">
            <w:pPr>
              <w:jc w:val="both"/>
              <w:rPr>
                <w:rFonts w:ascii="Arial Narrow" w:hAnsi="Arial Narrow" w:cs="Arial"/>
                <w:i/>
                <w:sz w:val="20"/>
                <w:szCs w:val="20"/>
              </w:rPr>
            </w:pP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No increase in the maximum quantity may be authorised.</w:t>
            </w: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No increase in the maximum number of repeats may be authorised.</w:t>
            </w: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Special Pricing Arrangements apply.</w:t>
            </w:r>
          </w:p>
        </w:tc>
      </w:tr>
    </w:tbl>
    <w:p w:rsidR="003F70EC" w:rsidRPr="007D7306" w:rsidRDefault="003F70EC" w:rsidP="003B3FD2">
      <w:pPr>
        <w:rPr>
          <w:rFonts w:asciiTheme="minorHAnsi" w:hAnsiTheme="minorHAnsi"/>
          <w:bCs/>
          <w:szCs w:val="22"/>
          <w:highlight w:val="yellow"/>
        </w:rPr>
      </w:pPr>
    </w:p>
    <w:tbl>
      <w:tblPr>
        <w:tblW w:w="5000" w:type="pct"/>
        <w:tblLook w:val="0000" w:firstRow="0" w:lastRow="0" w:firstColumn="0" w:lastColumn="0" w:noHBand="0" w:noVBand="0"/>
      </w:tblPr>
      <w:tblGrid>
        <w:gridCol w:w="1952"/>
        <w:gridCol w:w="7290"/>
      </w:tblGrid>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Category / Program</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i/>
                <w:sz w:val="20"/>
                <w:szCs w:val="20"/>
              </w:rPr>
            </w:pPr>
            <w:r w:rsidRPr="007D7306">
              <w:rPr>
                <w:rFonts w:ascii="Arial Narrow" w:hAnsi="Arial Narrow" w:cs="Arial"/>
                <w:i/>
                <w:sz w:val="20"/>
                <w:szCs w:val="20"/>
              </w:rPr>
              <w:t>GENERAL – General Schedule (Code GE)</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Prescriber type:</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i/>
                <w:sz w:val="20"/>
                <w:szCs w:val="20"/>
              </w:rPr>
            </w:pPr>
            <w:r w:rsidRPr="00E50BAD">
              <w:rPr>
                <w:rFonts w:ascii="Arial Narrow" w:hAnsi="Arial Narrow" w:cs="Arial"/>
                <w:i/>
                <w:sz w:val="20"/>
                <w:szCs w:val="20"/>
              </w:rPr>
              <w:fldChar w:fldCharType="begin">
                <w:ffData>
                  <w:name w:val="Check1"/>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E50BAD">
              <w:rPr>
                <w:rFonts w:ascii="Arial Narrow" w:hAnsi="Arial Narrow" w:cs="Arial"/>
                <w:i/>
                <w:sz w:val="20"/>
                <w:szCs w:val="20"/>
              </w:rPr>
              <w:fldChar w:fldCharType="end"/>
            </w:r>
            <w:r w:rsidRPr="007D7306">
              <w:rPr>
                <w:rFonts w:ascii="Arial Narrow" w:hAnsi="Arial Narrow" w:cs="Arial"/>
                <w:i/>
                <w:sz w:val="20"/>
                <w:szCs w:val="20"/>
              </w:rPr>
              <w:t xml:space="preserve">Dental  </w:t>
            </w:r>
            <w:r w:rsidRPr="00E50BAD">
              <w:rPr>
                <w:rFonts w:ascii="Arial Narrow" w:hAnsi="Arial Narrow" w:cs="Arial"/>
                <w:i/>
                <w:sz w:val="20"/>
                <w:szCs w:val="20"/>
              </w:rPr>
              <w:fldChar w:fldCharType="begin">
                <w:ffData>
                  <w:name w:val=""/>
                  <w:enabled/>
                  <w:calcOnExit w:val="0"/>
                  <w:checkBox>
                    <w:sizeAuto/>
                    <w:default w:val="1"/>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E50BAD">
              <w:rPr>
                <w:rFonts w:ascii="Arial Narrow" w:hAnsi="Arial Narrow" w:cs="Arial"/>
                <w:i/>
                <w:sz w:val="20"/>
                <w:szCs w:val="20"/>
              </w:rPr>
              <w:fldChar w:fldCharType="end"/>
            </w:r>
            <w:r w:rsidRPr="007D7306">
              <w:rPr>
                <w:rFonts w:ascii="Arial Narrow" w:hAnsi="Arial Narrow" w:cs="Arial"/>
                <w:i/>
                <w:sz w:val="20"/>
                <w:szCs w:val="20"/>
              </w:rPr>
              <w:t xml:space="preserve">Medical Practitioners  </w:t>
            </w:r>
            <w:r w:rsidRPr="00E50BAD">
              <w:rPr>
                <w:rFonts w:ascii="Arial Narrow" w:hAnsi="Arial Narrow" w:cs="Arial"/>
                <w:i/>
                <w:sz w:val="20"/>
                <w:szCs w:val="20"/>
              </w:rPr>
              <w:fldChar w:fldCharType="begin">
                <w:ffData>
                  <w:name w:val="Check3"/>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E50BAD">
              <w:rPr>
                <w:rFonts w:ascii="Arial Narrow" w:hAnsi="Arial Narrow" w:cs="Arial"/>
                <w:i/>
                <w:sz w:val="20"/>
                <w:szCs w:val="20"/>
              </w:rPr>
              <w:fldChar w:fldCharType="end"/>
            </w:r>
            <w:r w:rsidRPr="007D7306">
              <w:rPr>
                <w:rFonts w:ascii="Arial Narrow" w:hAnsi="Arial Narrow" w:cs="Arial"/>
                <w:i/>
                <w:sz w:val="20"/>
                <w:szCs w:val="20"/>
              </w:rPr>
              <w:t xml:space="preserve">Nurse practitioners  </w:t>
            </w:r>
            <w:r w:rsidRPr="00E50BAD">
              <w:rPr>
                <w:rFonts w:ascii="Arial Narrow" w:hAnsi="Arial Narrow" w:cs="Arial"/>
                <w:i/>
                <w:sz w:val="20"/>
                <w:szCs w:val="20"/>
              </w:rPr>
              <w:fldChar w:fldCharType="begin">
                <w:ffData>
                  <w:name w:val=""/>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E50BAD">
              <w:rPr>
                <w:rFonts w:ascii="Arial Narrow" w:hAnsi="Arial Narrow" w:cs="Arial"/>
                <w:i/>
                <w:sz w:val="20"/>
                <w:szCs w:val="20"/>
              </w:rPr>
              <w:fldChar w:fldCharType="end"/>
            </w:r>
            <w:r w:rsidRPr="007D7306">
              <w:rPr>
                <w:rFonts w:ascii="Arial Narrow" w:hAnsi="Arial Narrow" w:cs="Arial"/>
                <w:i/>
                <w:sz w:val="20"/>
                <w:szCs w:val="20"/>
              </w:rPr>
              <w:t xml:space="preserve">Optometrists </w:t>
            </w:r>
            <w:r w:rsidRPr="00E50BAD">
              <w:rPr>
                <w:rFonts w:ascii="Arial Narrow" w:hAnsi="Arial Narrow" w:cs="Arial"/>
                <w:i/>
                <w:sz w:val="20"/>
                <w:szCs w:val="20"/>
              </w:rPr>
              <w:fldChar w:fldCharType="begin">
                <w:ffData>
                  <w:name w:val="Check5"/>
                  <w:enabled/>
                  <w:calcOnExit w:val="0"/>
                  <w:checkBox>
                    <w:sizeAuto/>
                    <w:default w:val="0"/>
                  </w:checkBox>
                </w:ffData>
              </w:fldChar>
            </w:r>
            <w:r w:rsidRPr="007D7306">
              <w:rPr>
                <w:rFonts w:ascii="Arial Narrow" w:hAnsi="Arial Narrow" w:cs="Arial"/>
                <w:i/>
                <w:sz w:val="20"/>
                <w:szCs w:val="20"/>
              </w:rPr>
              <w:instrText xml:space="preserve"> FORMCHECKBOX </w:instrText>
            </w:r>
            <w:r w:rsidR="007439F8">
              <w:rPr>
                <w:rFonts w:ascii="Arial Narrow" w:hAnsi="Arial Narrow" w:cs="Arial"/>
                <w:i/>
                <w:sz w:val="20"/>
                <w:szCs w:val="20"/>
              </w:rPr>
            </w:r>
            <w:r w:rsidR="007439F8">
              <w:rPr>
                <w:rFonts w:ascii="Arial Narrow" w:hAnsi="Arial Narrow" w:cs="Arial"/>
                <w:i/>
                <w:sz w:val="20"/>
                <w:szCs w:val="20"/>
              </w:rPr>
              <w:fldChar w:fldCharType="separate"/>
            </w:r>
            <w:r w:rsidRPr="00E50BAD">
              <w:rPr>
                <w:rFonts w:ascii="Arial Narrow" w:hAnsi="Arial Narrow" w:cs="Arial"/>
                <w:i/>
                <w:sz w:val="20"/>
                <w:szCs w:val="20"/>
              </w:rPr>
              <w:fldChar w:fldCharType="end"/>
            </w:r>
            <w:r w:rsidRPr="007D7306">
              <w:rPr>
                <w:rFonts w:ascii="Arial Narrow" w:hAnsi="Arial Narrow" w:cs="Arial"/>
                <w:i/>
                <w:sz w:val="20"/>
                <w:szCs w:val="20"/>
              </w:rPr>
              <w:t>Midwives</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Condition:</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PBS Indication:</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Relapsing remitting multiple sclerosis</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i/>
                <w:sz w:val="20"/>
                <w:szCs w:val="20"/>
              </w:rPr>
            </w:pPr>
            <w:r w:rsidRPr="007D7306">
              <w:rPr>
                <w:rFonts w:ascii="Arial Narrow" w:hAnsi="Arial Narrow" w:cs="Arial"/>
                <w:b/>
                <w:i/>
                <w:sz w:val="20"/>
                <w:szCs w:val="20"/>
              </w:rPr>
              <w:t>Treatment phase:</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Grandfather treatment</w:t>
            </w: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t>Clinical criteria:</w:t>
            </w:r>
          </w:p>
          <w:p w:rsidR="003F70EC" w:rsidRPr="007D7306" w:rsidRDefault="003F70EC" w:rsidP="0052528B">
            <w:pPr>
              <w:jc w:val="both"/>
              <w:rPr>
                <w:rFonts w:ascii="Arial Narrow" w:hAnsi="Arial Narrow" w:cs="Arial"/>
                <w:b/>
                <w:i/>
                <w:sz w:val="20"/>
                <w:szCs w:val="20"/>
              </w:rPr>
            </w:pP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 xml:space="preserve">The condition must be diagnosed as clinically definite relapsing-remitting multiple sclerosis by magnetic resonance imaging of the brain and/or spinal cord; </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OR</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have received treatment with this drug for this condition prior to (listing date);</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treatment must be a sole PBS-subsidised disease modifying therapy for this condition;</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have experienced at least 2 documented attacks of neurological dysfunction, believed to be due to the multiple sclerosis, in the 2 years preceding when this drug was initiated for this condition;</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be ambulatory (without assistance or support);</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Patient must not show continuing progression of disability while on treatment with this drug;</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AND</w:t>
            </w:r>
          </w:p>
          <w:p w:rsidR="003F70EC" w:rsidRPr="007D7306" w:rsidRDefault="003F70EC" w:rsidP="0052528B">
            <w:pPr>
              <w:rPr>
                <w:rFonts w:ascii="Arial Narrow" w:hAnsi="Arial Narrow" w:cs="Arial"/>
                <w:sz w:val="20"/>
                <w:szCs w:val="20"/>
              </w:rPr>
            </w:pPr>
          </w:p>
          <w:p w:rsidR="003F70EC" w:rsidRPr="007D7306" w:rsidRDefault="003F70EC" w:rsidP="0052528B">
            <w:pPr>
              <w:rPr>
                <w:rFonts w:ascii="Arial Narrow" w:hAnsi="Arial Narrow" w:cs="Arial"/>
                <w:i/>
                <w:sz w:val="20"/>
                <w:szCs w:val="20"/>
              </w:rPr>
            </w:pPr>
            <w:r w:rsidRPr="007D7306">
              <w:rPr>
                <w:rFonts w:ascii="Arial Narrow" w:hAnsi="Arial Narrow" w:cs="Arial"/>
                <w:sz w:val="20"/>
                <w:szCs w:val="20"/>
              </w:rPr>
              <w:t>Patient must have demonstrated compliance with, and an ability to tolerate this therapy</w:t>
            </w:r>
            <w:r w:rsidRPr="007D7306">
              <w:rPr>
                <w:rFonts w:ascii="Arial Narrow" w:hAnsi="Arial Narrow" w:cs="Arial"/>
                <w:i/>
                <w:sz w:val="20"/>
                <w:szCs w:val="20"/>
              </w:rPr>
              <w:t>.</w:t>
            </w:r>
          </w:p>
          <w:p w:rsidR="003F70EC" w:rsidRPr="007D7306" w:rsidRDefault="003F70EC" w:rsidP="0052528B">
            <w:pPr>
              <w:rPr>
                <w:rFonts w:ascii="Arial Narrow" w:hAnsi="Arial Narrow" w:cs="Arial"/>
                <w:i/>
                <w:sz w:val="20"/>
                <w:szCs w:val="20"/>
              </w:rPr>
            </w:pPr>
          </w:p>
        </w:tc>
      </w:tr>
      <w:tr w:rsidR="003F70EC" w:rsidRPr="007D7306" w:rsidTr="0052528B">
        <w:trPr>
          <w:trHeight w:val="360"/>
        </w:trPr>
        <w:tc>
          <w:tcPr>
            <w:tcW w:w="1056"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jc w:val="both"/>
              <w:rPr>
                <w:rFonts w:ascii="Arial Narrow" w:hAnsi="Arial Narrow" w:cs="Arial"/>
                <w:b/>
                <w:i/>
                <w:sz w:val="20"/>
                <w:szCs w:val="20"/>
              </w:rPr>
            </w:pPr>
            <w:r w:rsidRPr="007D7306">
              <w:rPr>
                <w:rFonts w:ascii="Arial Narrow" w:hAnsi="Arial Narrow" w:cs="Arial"/>
                <w:b/>
                <w:i/>
                <w:sz w:val="20"/>
                <w:szCs w:val="20"/>
              </w:rPr>
              <w:lastRenderedPageBreak/>
              <w:t>Prescriber Instructions</w:t>
            </w:r>
          </w:p>
        </w:tc>
        <w:tc>
          <w:tcPr>
            <w:tcW w:w="3944" w:type="pct"/>
            <w:tcBorders>
              <w:top w:val="single" w:sz="4" w:space="0" w:color="auto"/>
              <w:left w:val="single" w:sz="4" w:space="0" w:color="auto"/>
              <w:bottom w:val="single" w:sz="4" w:space="0" w:color="auto"/>
              <w:right w:val="single" w:sz="4" w:space="0" w:color="auto"/>
            </w:tcBorders>
          </w:tcPr>
          <w:p w:rsidR="003F70EC" w:rsidRPr="007D7306" w:rsidRDefault="003F70EC" w:rsidP="0052528B">
            <w:pPr>
              <w:rPr>
                <w:rFonts w:ascii="Arial Narrow" w:hAnsi="Arial Narrow" w:cs="Arial"/>
                <w:sz w:val="20"/>
                <w:szCs w:val="20"/>
              </w:rPr>
            </w:pPr>
            <w:r w:rsidRPr="007D7306">
              <w:rPr>
                <w:rFonts w:ascii="Arial Narrow" w:hAnsi="Arial Narrow" w:cs="Arial"/>
                <w:sz w:val="20"/>
                <w:szCs w:val="20"/>
              </w:rPr>
              <w:t>The prescriber should request authority approval for the appropriate combination of packs (1, 4 or 6 tablets) to provide sufficient drug for a treatment week based on the weight of the patient in accordance with the TGA approved Product Information. Separate authority prescriptions may be required where the dose for treatment week 5 is different to the dose for treatment week 1.</w:t>
            </w:r>
          </w:p>
        </w:tc>
      </w:tr>
    </w:tbl>
    <w:p w:rsidR="00142C44" w:rsidRDefault="00142C44" w:rsidP="00142C44">
      <w:pPr>
        <w:rPr>
          <w:rFonts w:asciiTheme="minorHAnsi" w:hAnsiTheme="minorHAnsi"/>
          <w:sz w:val="22"/>
          <w:szCs w:val="22"/>
        </w:rPr>
      </w:pPr>
    </w:p>
    <w:p w:rsidR="00142C44" w:rsidRPr="00142C44" w:rsidRDefault="00142C44" w:rsidP="00142C44">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Context for Decision </w:t>
      </w:r>
    </w:p>
    <w:p w:rsidR="00142C44" w:rsidRPr="00142C44" w:rsidRDefault="00142C44" w:rsidP="00142C44">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42C44" w:rsidRDefault="00142C44" w:rsidP="00142C44">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Sponsor’s Comment </w:t>
      </w:r>
    </w:p>
    <w:p w:rsidR="00CE10C4" w:rsidRPr="00F30F8E" w:rsidRDefault="005F5BF9" w:rsidP="00F30F8E">
      <w:pPr>
        <w:spacing w:after="120" w:line="276" w:lineRule="auto"/>
        <w:jc w:val="both"/>
        <w:rPr>
          <w:rFonts w:asciiTheme="minorHAnsi" w:eastAsiaTheme="minorHAnsi" w:hAnsiTheme="minorHAnsi" w:cs="Arial"/>
          <w:bCs/>
          <w:szCs w:val="22"/>
          <w:lang w:eastAsia="en-US"/>
        </w:rPr>
      </w:pPr>
      <w:r w:rsidRPr="005F5BF9">
        <w:rPr>
          <w:rFonts w:asciiTheme="minorHAnsi" w:eastAsiaTheme="minorHAnsi" w:hAnsiTheme="minorHAnsi" w:cs="Arial"/>
          <w:bCs/>
          <w:szCs w:val="22"/>
          <w:lang w:val="en-GB" w:eastAsia="en-US"/>
        </w:rPr>
        <w:t>Merck is delighted that reimbursed access to the unique benefits of Mavenclad (</w:t>
      </w:r>
      <w:r w:rsidR="00581011">
        <w:rPr>
          <w:rFonts w:asciiTheme="minorHAnsi" w:eastAsiaTheme="minorHAnsi" w:hAnsiTheme="minorHAnsi" w:cs="Arial"/>
          <w:bCs/>
          <w:szCs w:val="22"/>
          <w:lang w:val="en-GB" w:eastAsia="en-US"/>
        </w:rPr>
        <w:t xml:space="preserve">2 courses of </w:t>
      </w:r>
      <w:r w:rsidRPr="005F5BF9">
        <w:rPr>
          <w:rFonts w:asciiTheme="minorHAnsi" w:eastAsiaTheme="minorHAnsi" w:hAnsiTheme="minorHAnsi" w:cs="Arial"/>
          <w:bCs/>
          <w:szCs w:val="22"/>
          <w:lang w:val="en-GB" w:eastAsia="en-US"/>
        </w:rPr>
        <w:t xml:space="preserve">oral </w:t>
      </w:r>
      <w:r w:rsidR="00581011">
        <w:rPr>
          <w:rFonts w:asciiTheme="minorHAnsi" w:eastAsiaTheme="minorHAnsi" w:hAnsiTheme="minorHAnsi" w:cs="Arial"/>
          <w:bCs/>
          <w:szCs w:val="22"/>
          <w:lang w:val="en-GB" w:eastAsia="en-US"/>
        </w:rPr>
        <w:t>treatment</w:t>
      </w:r>
      <w:r w:rsidRPr="005F5BF9">
        <w:rPr>
          <w:rFonts w:asciiTheme="minorHAnsi" w:eastAsiaTheme="minorHAnsi" w:hAnsiTheme="minorHAnsi" w:cs="Arial"/>
          <w:bCs/>
          <w:szCs w:val="22"/>
          <w:lang w:val="en-GB" w:eastAsia="en-US"/>
        </w:rPr>
        <w:t xml:space="preserve"> over 4 years) will now be available for people with RRMS. Merck would like to thank the MS Community for their ongoing support. </w:t>
      </w:r>
    </w:p>
    <w:sectPr w:rsidR="00CE10C4" w:rsidRPr="00F30F8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3B6433" w15:done="0"/>
  <w15:commentEx w15:paraId="318E9CD2" w15:done="0"/>
  <w15:commentEx w15:paraId="12459386" w15:done="0"/>
  <w15:commentEx w15:paraId="29E5474E" w15:paraIdParent="12459386" w15:done="0"/>
  <w15:commentEx w15:paraId="4018714B" w15:done="0"/>
  <w15:commentEx w15:paraId="6C359452" w15:paraIdParent="4018714B" w15:done="0"/>
  <w15:commentEx w15:paraId="55A0827D" w15:done="0"/>
  <w15:commentEx w15:paraId="2933D062" w15:paraIdParent="55A0827D" w15:done="0"/>
  <w15:commentEx w15:paraId="130C2C50" w15:done="0"/>
  <w15:commentEx w15:paraId="297FB5D8" w15:paraIdParent="130C2C50" w15:done="0"/>
  <w15:commentEx w15:paraId="1F90C9F7" w15:done="0"/>
  <w15:commentEx w15:paraId="4DB735E4" w15:paraIdParent="1F90C9F7" w15:done="0"/>
  <w15:commentEx w15:paraId="5965B238" w15:done="0"/>
  <w15:commentEx w15:paraId="42C75156" w15:done="0"/>
  <w15:commentEx w15:paraId="1BA4BBC2" w15:paraIdParent="42C75156" w15:done="0"/>
  <w15:commentEx w15:paraId="4C0D9EEB" w15:done="0"/>
  <w15:commentEx w15:paraId="3F4E508A" w15:paraIdParent="4C0D9EEB" w15:done="0"/>
  <w15:commentEx w15:paraId="44DB1F1E" w15:done="0"/>
  <w15:commentEx w15:paraId="5E222AE2" w15:paraIdParent="44DB1F1E" w15:done="0"/>
  <w15:commentEx w15:paraId="5104028B" w15:done="0"/>
  <w15:commentEx w15:paraId="325F7960" w15:paraIdParent="5104028B" w15:done="0"/>
  <w15:commentEx w15:paraId="13CB0DA7" w15:done="0"/>
  <w15:commentEx w15:paraId="60FE9D36" w15:done="0"/>
  <w15:commentEx w15:paraId="68066E62" w15:paraIdParent="60FE9D36" w15:done="0"/>
  <w15:commentEx w15:paraId="15B1128B" w15:done="0"/>
  <w15:commentEx w15:paraId="77B44489" w15:paraIdParent="15B1128B" w15:done="0"/>
  <w15:commentEx w15:paraId="5C8B1351" w15:done="0"/>
  <w15:commentEx w15:paraId="5DD81A25" w15:paraIdParent="5C8B1351" w15:done="0"/>
  <w15:commentEx w15:paraId="034A1DE4" w15:done="0"/>
  <w15:commentEx w15:paraId="22E6E8D6" w15:paraIdParent="034A1DE4" w15:done="0"/>
  <w15:commentEx w15:paraId="5FBB57DC" w15:done="0"/>
  <w15:commentEx w15:paraId="47F389C8" w15:paraIdParent="5FBB57DC" w15:done="0"/>
  <w15:commentEx w15:paraId="25644BBE" w15:done="0"/>
  <w15:commentEx w15:paraId="6A01C75B" w15:paraIdParent="25644BBE" w15:done="0"/>
  <w15:commentEx w15:paraId="09805541" w15:done="0"/>
  <w15:commentEx w15:paraId="4C5D3AF9" w15:paraIdParent="09805541" w15:done="0"/>
  <w15:commentEx w15:paraId="6D61C9F9" w15:done="0"/>
  <w15:commentEx w15:paraId="65AF8632" w15:paraIdParent="6D61C9F9" w15:done="0"/>
  <w15:commentEx w15:paraId="018B230F" w15:done="0"/>
  <w15:commentEx w15:paraId="6178CC01" w15:paraIdParent="018B230F" w15:done="0"/>
  <w15:commentEx w15:paraId="35210B88" w15:done="0"/>
  <w15:commentEx w15:paraId="11FE601A" w15:paraIdParent="35210B88" w15:done="0"/>
  <w15:commentEx w15:paraId="5A7BB78B" w15:done="0"/>
  <w15:commentEx w15:paraId="2F28D072" w15:paraIdParent="5A7BB78B" w15:done="0"/>
  <w15:commentEx w15:paraId="15BB2155" w15:done="0"/>
  <w15:commentEx w15:paraId="408754EB" w15:paraIdParent="15BB2155" w15:done="0"/>
  <w15:commentEx w15:paraId="10161FCA" w15:done="0"/>
  <w15:commentEx w15:paraId="5FAC886A" w15:paraIdParent="10161FCA" w15:done="0"/>
  <w15:commentEx w15:paraId="4FF7505D" w15:done="0"/>
  <w15:commentEx w15:paraId="329C0BE4" w15:paraIdParent="4FF7505D" w15:done="0"/>
  <w15:commentEx w15:paraId="3C00FA2E" w15:done="0"/>
  <w15:commentEx w15:paraId="57F9C85B" w15:paraIdParent="3C00FA2E" w15:done="0"/>
  <w15:commentEx w15:paraId="0022E374" w15:done="0"/>
  <w15:commentEx w15:paraId="69494364" w15:paraIdParent="0022E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B6433" w16cid:durableId="1F71956D"/>
  <w16cid:commentId w16cid:paraId="318E9CD2" w16cid:durableId="1F71956E"/>
  <w16cid:commentId w16cid:paraId="12459386" w16cid:durableId="1F71956F"/>
  <w16cid:commentId w16cid:paraId="29E5474E" w16cid:durableId="1F71A6EE"/>
  <w16cid:commentId w16cid:paraId="4018714B" w16cid:durableId="1F719571"/>
  <w16cid:commentId w16cid:paraId="6C359452" w16cid:durableId="1F719AE3"/>
  <w16cid:commentId w16cid:paraId="55A0827D" w16cid:durableId="1F719574"/>
  <w16cid:commentId w16cid:paraId="2933D062" w16cid:durableId="1F719956"/>
  <w16cid:commentId w16cid:paraId="130C2C50" w16cid:durableId="1F719576"/>
  <w16cid:commentId w16cid:paraId="297FB5D8" w16cid:durableId="1F719947"/>
  <w16cid:commentId w16cid:paraId="1F90C9F7" w16cid:durableId="1F719578"/>
  <w16cid:commentId w16cid:paraId="4DB735E4" w16cid:durableId="1F7199F4"/>
  <w16cid:commentId w16cid:paraId="5965B238" w16cid:durableId="1F719579"/>
  <w16cid:commentId w16cid:paraId="42C75156" w16cid:durableId="1F71957A"/>
  <w16cid:commentId w16cid:paraId="1BA4BBC2" w16cid:durableId="1F719A8B"/>
  <w16cid:commentId w16cid:paraId="4C0D9EEB" w16cid:durableId="1F71957C"/>
  <w16cid:commentId w16cid:paraId="3F4E508A" w16cid:durableId="1F719A48"/>
  <w16cid:commentId w16cid:paraId="44DB1F1E" w16cid:durableId="1F71957E"/>
  <w16cid:commentId w16cid:paraId="5E222AE2" w16cid:durableId="1F719A5E"/>
  <w16cid:commentId w16cid:paraId="5104028B" w16cid:durableId="1F71957F"/>
  <w16cid:commentId w16cid:paraId="325F7960" w16cid:durableId="1F719A63"/>
  <w16cid:commentId w16cid:paraId="13CB0DA7" w16cid:durableId="1F719580"/>
  <w16cid:commentId w16cid:paraId="60FE9D36" w16cid:durableId="1F719581"/>
  <w16cid:commentId w16cid:paraId="68066E62" w16cid:durableId="1F719BE2"/>
  <w16cid:commentId w16cid:paraId="15B1128B" w16cid:durableId="1F719584"/>
  <w16cid:commentId w16cid:paraId="77B44489" w16cid:durableId="1F719C3A"/>
  <w16cid:commentId w16cid:paraId="5C8B1351" w16cid:durableId="1F719585"/>
  <w16cid:commentId w16cid:paraId="5DD81A25" w16cid:durableId="1F719CBD"/>
  <w16cid:commentId w16cid:paraId="034A1DE4" w16cid:durableId="1F719587"/>
  <w16cid:commentId w16cid:paraId="22E6E8D6" w16cid:durableId="1F719CE2"/>
  <w16cid:commentId w16cid:paraId="5FBB57DC" w16cid:durableId="1F719589"/>
  <w16cid:commentId w16cid:paraId="47F389C8" w16cid:durableId="1F719CFB"/>
  <w16cid:commentId w16cid:paraId="25644BBE" w16cid:durableId="1F71958B"/>
  <w16cid:commentId w16cid:paraId="6A01C75B" w16cid:durableId="1F719D28"/>
  <w16cid:commentId w16cid:paraId="09805541" w16cid:durableId="1F71958D"/>
  <w16cid:commentId w16cid:paraId="4C5D3AF9" w16cid:durableId="1F719D43"/>
  <w16cid:commentId w16cid:paraId="6D61C9F9" w16cid:durableId="1F71958F"/>
  <w16cid:commentId w16cid:paraId="65AF8632" w16cid:durableId="1F719DDA"/>
  <w16cid:commentId w16cid:paraId="018B230F" w16cid:durableId="1F719591"/>
  <w16cid:commentId w16cid:paraId="6178CC01" w16cid:durableId="1F719E56"/>
  <w16cid:commentId w16cid:paraId="35210B88" w16cid:durableId="1F719592"/>
  <w16cid:commentId w16cid:paraId="11FE601A" w16cid:durableId="1F719F28"/>
  <w16cid:commentId w16cid:paraId="5A7BB78B" w16cid:durableId="1F719595"/>
  <w16cid:commentId w16cid:paraId="2F28D072" w16cid:durableId="1F719F67"/>
  <w16cid:commentId w16cid:paraId="15BB2155" w16cid:durableId="1F719597"/>
  <w16cid:commentId w16cid:paraId="408754EB" w16cid:durableId="1F719FD6"/>
  <w16cid:commentId w16cid:paraId="10161FCA" w16cid:durableId="1F71959A"/>
  <w16cid:commentId w16cid:paraId="5FAC886A" w16cid:durableId="1F71A069"/>
  <w16cid:commentId w16cid:paraId="4FF7505D" w16cid:durableId="1F71959D"/>
  <w16cid:commentId w16cid:paraId="329C0BE4" w16cid:durableId="1F71A089"/>
  <w16cid:commentId w16cid:paraId="3C00FA2E" w16cid:durableId="1F71959F"/>
  <w16cid:commentId w16cid:paraId="57F9C85B" w16cid:durableId="1F71A0B0"/>
  <w16cid:commentId w16cid:paraId="0022E374" w16cid:durableId="1F7195A0"/>
  <w16cid:commentId w16cid:paraId="69494364" w16cid:durableId="1F71A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9F8" w:rsidRDefault="007439F8">
      <w:r>
        <w:separator/>
      </w:r>
    </w:p>
    <w:p w:rsidR="007439F8" w:rsidRDefault="007439F8"/>
  </w:endnote>
  <w:endnote w:type="continuationSeparator" w:id="0">
    <w:p w:rsidR="007439F8" w:rsidRDefault="007439F8">
      <w:r>
        <w:continuationSeparator/>
      </w:r>
    </w:p>
    <w:p w:rsidR="007439F8" w:rsidRDefault="0074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42693" w:rsidTr="005A3173">
      <w:trPr>
        <w:trHeight w:val="151"/>
      </w:trPr>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2693" w:rsidRPr="005A3173" w:rsidRDefault="00E4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r>
    <w:tr w:rsidR="00E42693" w:rsidTr="005A3173">
      <w:trPr>
        <w:trHeight w:val="150"/>
      </w:trPr>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0" w:type="auto"/>
          <w:vMerge/>
          <w:vAlign w:val="center"/>
          <w:hideMark/>
        </w:tcPr>
        <w:p w:rsidR="00E42693" w:rsidRPr="005A3173" w:rsidRDefault="00E426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r>
  </w:tbl>
  <w:p w:rsidR="00E42693" w:rsidRDefault="00E4269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2693" w:rsidRDefault="00E42693">
    <w:pPr>
      <w:pStyle w:val="Footer"/>
    </w:pPr>
  </w:p>
  <w:p w:rsidR="00E42693" w:rsidRDefault="00E426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05671"/>
      <w:docPartObj>
        <w:docPartGallery w:val="Page Numbers (Bottom of Page)"/>
        <w:docPartUnique/>
      </w:docPartObj>
    </w:sdtPr>
    <w:sdtEndPr>
      <w:rPr>
        <w:rFonts w:ascii="Calibri" w:hAnsi="Calibri" w:cs="Calibri"/>
        <w:b/>
        <w:noProof/>
        <w:sz w:val="16"/>
      </w:rPr>
    </w:sdtEndPr>
    <w:sdtContent>
      <w:p w:rsidR="00E42693" w:rsidRPr="005A51A5" w:rsidRDefault="00E42693">
        <w:pPr>
          <w:pStyle w:val="Footer"/>
          <w:jc w:val="center"/>
          <w:rPr>
            <w:rFonts w:ascii="Calibri" w:hAnsi="Calibri" w:cs="Calibri"/>
            <w:b/>
            <w:sz w:val="16"/>
          </w:rPr>
        </w:pPr>
        <w:r w:rsidRPr="005A51A5">
          <w:rPr>
            <w:rFonts w:ascii="Calibri" w:hAnsi="Calibri" w:cs="Calibri"/>
            <w:b/>
            <w:sz w:val="20"/>
          </w:rPr>
          <w:fldChar w:fldCharType="begin"/>
        </w:r>
        <w:r w:rsidRPr="005A51A5">
          <w:rPr>
            <w:rFonts w:ascii="Calibri" w:hAnsi="Calibri" w:cs="Calibri"/>
            <w:b/>
            <w:sz w:val="20"/>
          </w:rPr>
          <w:instrText xml:space="preserve"> PAGE   \* MERGEFORMAT </w:instrText>
        </w:r>
        <w:r w:rsidRPr="005A51A5">
          <w:rPr>
            <w:rFonts w:ascii="Calibri" w:hAnsi="Calibri" w:cs="Calibri"/>
            <w:b/>
            <w:sz w:val="20"/>
          </w:rPr>
          <w:fldChar w:fldCharType="separate"/>
        </w:r>
        <w:r w:rsidR="007439F8">
          <w:rPr>
            <w:rFonts w:ascii="Calibri" w:hAnsi="Calibri" w:cs="Calibri"/>
            <w:b/>
            <w:noProof/>
            <w:sz w:val="20"/>
          </w:rPr>
          <w:t>1</w:t>
        </w:r>
        <w:r w:rsidRPr="005A51A5">
          <w:rPr>
            <w:rFonts w:ascii="Calibri" w:hAnsi="Calibri" w:cs="Calibri"/>
            <w:b/>
            <w:noProof/>
            <w:sz w:val="20"/>
          </w:rPr>
          <w:fldChar w:fldCharType="end"/>
        </w:r>
      </w:p>
    </w:sdtContent>
  </w:sdt>
  <w:p w:rsidR="00E42693" w:rsidRPr="005E1333" w:rsidRDefault="00E42693"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42693" w:rsidTr="005A3173">
      <w:trPr>
        <w:trHeight w:val="151"/>
      </w:trPr>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2693" w:rsidRPr="005A3173" w:rsidRDefault="00E4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r>
    <w:tr w:rsidR="00E42693" w:rsidTr="005A3173">
      <w:trPr>
        <w:trHeight w:val="150"/>
      </w:trPr>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0" w:type="auto"/>
          <w:vMerge/>
          <w:vAlign w:val="center"/>
          <w:hideMark/>
        </w:tcPr>
        <w:p w:rsidR="00E42693" w:rsidRPr="005A3173" w:rsidRDefault="00E426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42693" w:rsidTr="005A3173">
      <w:trPr>
        <w:trHeight w:val="151"/>
      </w:trPr>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42693" w:rsidRPr="005A3173" w:rsidRDefault="00E4269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42693" w:rsidRPr="005A3173" w:rsidRDefault="00E42693" w:rsidP="005A3173">
          <w:pPr>
            <w:pStyle w:val="Header"/>
            <w:spacing w:line="276" w:lineRule="auto"/>
            <w:rPr>
              <w:rFonts w:ascii="Calibri" w:eastAsia="MS Gothic" w:hAnsi="Calibri"/>
              <w:b/>
              <w:bCs/>
              <w:color w:val="4F81BD"/>
            </w:rPr>
          </w:pPr>
        </w:p>
      </w:tc>
    </w:tr>
    <w:tr w:rsidR="00E42693" w:rsidTr="005A3173">
      <w:trPr>
        <w:trHeight w:val="150"/>
      </w:trPr>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c>
        <w:tcPr>
          <w:tcW w:w="0" w:type="auto"/>
          <w:vMerge/>
          <w:vAlign w:val="center"/>
          <w:hideMark/>
        </w:tcPr>
        <w:p w:rsidR="00E42693" w:rsidRPr="005A3173" w:rsidRDefault="00E4269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42693" w:rsidRPr="005A3173" w:rsidRDefault="00E42693" w:rsidP="005A3173">
          <w:pPr>
            <w:pStyle w:val="Header"/>
            <w:spacing w:line="276" w:lineRule="auto"/>
            <w:rPr>
              <w:rFonts w:ascii="Calibri" w:eastAsia="MS Gothic" w:hAnsi="Calibri"/>
              <w:b/>
              <w:bCs/>
              <w:color w:val="4F81BD"/>
            </w:rPr>
          </w:pPr>
        </w:p>
      </w:tc>
    </w:tr>
  </w:tbl>
  <w:p w:rsidR="00E42693" w:rsidRPr="007C0F57" w:rsidRDefault="00E4269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42693" w:rsidRPr="007C0F57" w:rsidRDefault="00E42693" w:rsidP="007C0F57">
    <w:pPr>
      <w:pStyle w:val="Footer"/>
      <w:jc w:val="center"/>
      <w:rPr>
        <w:b/>
        <w:i/>
        <w:sz w:val="20"/>
        <w:szCs w:val="20"/>
      </w:rPr>
    </w:pPr>
    <w:r w:rsidRPr="007C0F57">
      <w:rPr>
        <w:b/>
        <w:i/>
        <w:sz w:val="20"/>
        <w:szCs w:val="20"/>
      </w:rPr>
      <w:t>Commercial-in-Confidence</w:t>
    </w:r>
  </w:p>
  <w:p w:rsidR="00E42693" w:rsidRDefault="00E426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9F8" w:rsidRDefault="007439F8">
      <w:r>
        <w:separator/>
      </w:r>
    </w:p>
    <w:p w:rsidR="007439F8" w:rsidRDefault="007439F8"/>
  </w:footnote>
  <w:footnote w:type="continuationSeparator" w:id="0">
    <w:p w:rsidR="007439F8" w:rsidRDefault="007439F8">
      <w:r>
        <w:continuationSeparator/>
      </w:r>
    </w:p>
    <w:p w:rsidR="007439F8" w:rsidRDefault="007439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42693" w:rsidRPr="008E0D90" w:rsidTr="00A06225">
      <w:trPr>
        <w:trHeight w:val="151"/>
      </w:trPr>
      <w:tc>
        <w:tcPr>
          <w:tcW w:w="2389" w:type="pct"/>
          <w:tcBorders>
            <w:top w:val="nil"/>
            <w:left w:val="nil"/>
            <w:bottom w:val="single" w:sz="4" w:space="0" w:color="4F81BD"/>
            <w:right w:val="nil"/>
          </w:tcBorders>
        </w:tcPr>
        <w:p w:rsidR="00E42693" w:rsidRPr="00A06225" w:rsidRDefault="00E42693">
          <w:pPr>
            <w:pStyle w:val="Header"/>
            <w:spacing w:line="276" w:lineRule="auto"/>
            <w:rPr>
              <w:rFonts w:ascii="Cambria" w:eastAsia="MS Gothic" w:hAnsi="Cambria"/>
              <w:b/>
              <w:bCs/>
              <w:color w:val="4F81BD"/>
            </w:rPr>
          </w:pPr>
        </w:p>
      </w:tc>
      <w:tc>
        <w:tcPr>
          <w:tcW w:w="333" w:type="pct"/>
          <w:vMerge w:val="restart"/>
          <w:noWrap/>
          <w:vAlign w:val="center"/>
          <w:hideMark/>
        </w:tcPr>
        <w:p w:rsidR="00E42693" w:rsidRPr="00A06225" w:rsidRDefault="00E4269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42693" w:rsidRPr="00A06225" w:rsidRDefault="00E42693">
          <w:pPr>
            <w:pStyle w:val="Header"/>
            <w:spacing w:line="276" w:lineRule="auto"/>
            <w:rPr>
              <w:rFonts w:ascii="Cambria" w:eastAsia="MS Gothic" w:hAnsi="Cambria"/>
              <w:b/>
              <w:bCs/>
              <w:color w:val="4F81BD"/>
            </w:rPr>
          </w:pPr>
        </w:p>
      </w:tc>
    </w:tr>
    <w:tr w:rsidR="00E42693" w:rsidRPr="008E0D90" w:rsidTr="00A06225">
      <w:trPr>
        <w:trHeight w:val="150"/>
      </w:trPr>
      <w:tc>
        <w:tcPr>
          <w:tcW w:w="2389" w:type="pct"/>
          <w:tcBorders>
            <w:top w:val="single" w:sz="4" w:space="0" w:color="4F81BD"/>
            <w:left w:val="nil"/>
            <w:bottom w:val="nil"/>
            <w:right w:val="nil"/>
          </w:tcBorders>
        </w:tcPr>
        <w:p w:rsidR="00E42693" w:rsidRPr="00A06225" w:rsidRDefault="00E42693">
          <w:pPr>
            <w:pStyle w:val="Header"/>
            <w:spacing w:line="276" w:lineRule="auto"/>
            <w:rPr>
              <w:rFonts w:ascii="Cambria" w:eastAsia="MS Gothic" w:hAnsi="Cambria"/>
              <w:b/>
              <w:bCs/>
              <w:color w:val="4F81BD"/>
            </w:rPr>
          </w:pPr>
        </w:p>
      </w:tc>
      <w:tc>
        <w:tcPr>
          <w:tcW w:w="0" w:type="auto"/>
          <w:vMerge/>
          <w:vAlign w:val="center"/>
          <w:hideMark/>
        </w:tcPr>
        <w:p w:rsidR="00E42693" w:rsidRPr="00A06225" w:rsidRDefault="00E42693">
          <w:pPr>
            <w:rPr>
              <w:rFonts w:ascii="Cambria" w:hAnsi="Cambria"/>
              <w:color w:val="4F81BD"/>
              <w:sz w:val="22"/>
              <w:szCs w:val="22"/>
            </w:rPr>
          </w:pPr>
        </w:p>
      </w:tc>
      <w:tc>
        <w:tcPr>
          <w:tcW w:w="2278" w:type="pct"/>
          <w:tcBorders>
            <w:top w:val="single" w:sz="4" w:space="0" w:color="4F81BD"/>
            <w:left w:val="nil"/>
            <w:bottom w:val="nil"/>
            <w:right w:val="nil"/>
          </w:tcBorders>
        </w:tcPr>
        <w:p w:rsidR="00E42693" w:rsidRPr="00A06225" w:rsidRDefault="00E42693">
          <w:pPr>
            <w:pStyle w:val="Header"/>
            <w:spacing w:line="276" w:lineRule="auto"/>
            <w:rPr>
              <w:rFonts w:ascii="Cambria" w:eastAsia="MS Gothic" w:hAnsi="Cambria"/>
              <w:b/>
              <w:bCs/>
              <w:color w:val="4F81BD"/>
            </w:rPr>
          </w:pPr>
        </w:p>
      </w:tc>
    </w:tr>
  </w:tbl>
  <w:p w:rsidR="00E42693" w:rsidRDefault="00E42693">
    <w:pPr>
      <w:pStyle w:val="Header"/>
    </w:pPr>
  </w:p>
  <w:p w:rsidR="00E42693" w:rsidRDefault="00E426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93" w:rsidRPr="00B90176" w:rsidRDefault="00E42693" w:rsidP="00B90176">
    <w:pPr>
      <w:tabs>
        <w:tab w:val="center" w:pos="4513"/>
        <w:tab w:val="right" w:pos="9026"/>
      </w:tabs>
      <w:jc w:val="center"/>
      <w:rPr>
        <w:rFonts w:asciiTheme="minorHAnsi" w:eastAsiaTheme="minorHAnsi" w:hAnsiTheme="minorHAnsi" w:cstheme="minorHAnsi"/>
        <w:i/>
        <w:color w:val="808080"/>
        <w:sz w:val="22"/>
        <w:szCs w:val="22"/>
        <w:lang w:eastAsia="en-US"/>
      </w:rPr>
    </w:pPr>
    <w:r w:rsidRPr="00B90176">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B90176">
      <w:rPr>
        <w:rFonts w:asciiTheme="minorHAnsi" w:eastAsiaTheme="minorHAnsi" w:hAnsiTheme="minorHAnsi" w:cstheme="minorHAnsi"/>
        <w:i/>
        <w:color w:val="808080"/>
        <w:sz w:val="22"/>
        <w:szCs w:val="22"/>
        <w:lang w:eastAsia="en-US"/>
      </w:rPr>
      <w:t xml:space="preserve"> PBAC Meeting</w:t>
    </w:r>
  </w:p>
  <w:p w:rsidR="00E42693" w:rsidRDefault="00E42693"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FF4296"/>
    <w:multiLevelType w:val="hybridMultilevel"/>
    <w:tmpl w:val="77A2E458"/>
    <w:lvl w:ilvl="0" w:tplc="C4CA06B4">
      <w:start w:val="1"/>
      <w:numFmt w:val="bullet"/>
      <w:lvlText w:val="•"/>
      <w:lvlJc w:val="left"/>
      <w:pPr>
        <w:tabs>
          <w:tab w:val="num" w:pos="720"/>
        </w:tabs>
        <w:ind w:left="720" w:hanging="360"/>
      </w:pPr>
      <w:rPr>
        <w:rFonts w:ascii="Times New Roman" w:hAnsi="Times New Roman" w:hint="default"/>
      </w:rPr>
    </w:lvl>
    <w:lvl w:ilvl="1" w:tplc="70E690A2" w:tentative="1">
      <w:start w:val="1"/>
      <w:numFmt w:val="bullet"/>
      <w:lvlText w:val="•"/>
      <w:lvlJc w:val="left"/>
      <w:pPr>
        <w:tabs>
          <w:tab w:val="num" w:pos="1440"/>
        </w:tabs>
        <w:ind w:left="1440" w:hanging="360"/>
      </w:pPr>
      <w:rPr>
        <w:rFonts w:ascii="Times New Roman" w:hAnsi="Times New Roman" w:hint="default"/>
      </w:rPr>
    </w:lvl>
    <w:lvl w:ilvl="2" w:tplc="2A72BEA0" w:tentative="1">
      <w:start w:val="1"/>
      <w:numFmt w:val="bullet"/>
      <w:lvlText w:val="•"/>
      <w:lvlJc w:val="left"/>
      <w:pPr>
        <w:tabs>
          <w:tab w:val="num" w:pos="2160"/>
        </w:tabs>
        <w:ind w:left="2160" w:hanging="360"/>
      </w:pPr>
      <w:rPr>
        <w:rFonts w:ascii="Times New Roman" w:hAnsi="Times New Roman" w:hint="default"/>
      </w:rPr>
    </w:lvl>
    <w:lvl w:ilvl="3" w:tplc="A166768A" w:tentative="1">
      <w:start w:val="1"/>
      <w:numFmt w:val="bullet"/>
      <w:lvlText w:val="•"/>
      <w:lvlJc w:val="left"/>
      <w:pPr>
        <w:tabs>
          <w:tab w:val="num" w:pos="2880"/>
        </w:tabs>
        <w:ind w:left="2880" w:hanging="360"/>
      </w:pPr>
      <w:rPr>
        <w:rFonts w:ascii="Times New Roman" w:hAnsi="Times New Roman" w:hint="default"/>
      </w:rPr>
    </w:lvl>
    <w:lvl w:ilvl="4" w:tplc="2482E6BC" w:tentative="1">
      <w:start w:val="1"/>
      <w:numFmt w:val="bullet"/>
      <w:lvlText w:val="•"/>
      <w:lvlJc w:val="left"/>
      <w:pPr>
        <w:tabs>
          <w:tab w:val="num" w:pos="3600"/>
        </w:tabs>
        <w:ind w:left="3600" w:hanging="360"/>
      </w:pPr>
      <w:rPr>
        <w:rFonts w:ascii="Times New Roman" w:hAnsi="Times New Roman" w:hint="default"/>
      </w:rPr>
    </w:lvl>
    <w:lvl w:ilvl="5" w:tplc="389AF8EE" w:tentative="1">
      <w:start w:val="1"/>
      <w:numFmt w:val="bullet"/>
      <w:lvlText w:val="•"/>
      <w:lvlJc w:val="left"/>
      <w:pPr>
        <w:tabs>
          <w:tab w:val="num" w:pos="4320"/>
        </w:tabs>
        <w:ind w:left="4320" w:hanging="360"/>
      </w:pPr>
      <w:rPr>
        <w:rFonts w:ascii="Times New Roman" w:hAnsi="Times New Roman" w:hint="default"/>
      </w:rPr>
    </w:lvl>
    <w:lvl w:ilvl="6" w:tplc="4F9A5244" w:tentative="1">
      <w:start w:val="1"/>
      <w:numFmt w:val="bullet"/>
      <w:lvlText w:val="•"/>
      <w:lvlJc w:val="left"/>
      <w:pPr>
        <w:tabs>
          <w:tab w:val="num" w:pos="5040"/>
        </w:tabs>
        <w:ind w:left="5040" w:hanging="360"/>
      </w:pPr>
      <w:rPr>
        <w:rFonts w:ascii="Times New Roman" w:hAnsi="Times New Roman" w:hint="default"/>
      </w:rPr>
    </w:lvl>
    <w:lvl w:ilvl="7" w:tplc="913AF6E2" w:tentative="1">
      <w:start w:val="1"/>
      <w:numFmt w:val="bullet"/>
      <w:lvlText w:val="•"/>
      <w:lvlJc w:val="left"/>
      <w:pPr>
        <w:tabs>
          <w:tab w:val="num" w:pos="5760"/>
        </w:tabs>
        <w:ind w:left="5760" w:hanging="360"/>
      </w:pPr>
      <w:rPr>
        <w:rFonts w:ascii="Times New Roman" w:hAnsi="Times New Roman" w:hint="default"/>
      </w:rPr>
    </w:lvl>
    <w:lvl w:ilvl="8" w:tplc="FAFC321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7786247"/>
    <w:multiLevelType w:val="hybridMultilevel"/>
    <w:tmpl w:val="305453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ADC04A6"/>
    <w:multiLevelType w:val="hybridMultilevel"/>
    <w:tmpl w:val="23749F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2E567F"/>
    <w:multiLevelType w:val="hybridMultilevel"/>
    <w:tmpl w:val="1D2226F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21367B6"/>
    <w:multiLevelType w:val="hybridMultilevel"/>
    <w:tmpl w:val="1A8486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4D033C"/>
    <w:multiLevelType w:val="multilevel"/>
    <w:tmpl w:val="BB94C8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9"/>
  </w:num>
  <w:num w:numId="5">
    <w:abstractNumId w:val="23"/>
  </w:num>
  <w:num w:numId="6">
    <w:abstractNumId w:val="7"/>
  </w:num>
  <w:num w:numId="7">
    <w:abstractNumId w:val="18"/>
  </w:num>
  <w:num w:numId="8">
    <w:abstractNumId w:val="4"/>
  </w:num>
  <w:num w:numId="9">
    <w:abstractNumId w:val="17"/>
  </w:num>
  <w:num w:numId="10">
    <w:abstractNumId w:val="15"/>
  </w:num>
  <w:num w:numId="11">
    <w:abstractNumId w:val="14"/>
  </w:num>
  <w:num w:numId="12">
    <w:abstractNumId w:val="1"/>
  </w:num>
  <w:num w:numId="13">
    <w:abstractNumId w:val="0"/>
  </w:num>
  <w:num w:numId="14">
    <w:abstractNumId w:val="23"/>
  </w:num>
  <w:num w:numId="15">
    <w:abstractNumId w:val="11"/>
  </w:num>
  <w:num w:numId="16">
    <w:abstractNumId w:val="12"/>
  </w:num>
  <w:num w:numId="17">
    <w:abstractNumId w:val="16"/>
  </w:num>
  <w:num w:numId="18">
    <w:abstractNumId w:val="21"/>
  </w:num>
  <w:num w:numId="19">
    <w:abstractNumId w:val="22"/>
  </w:num>
  <w:num w:numId="20">
    <w:abstractNumId w:val="5"/>
  </w:num>
  <w:num w:numId="21">
    <w:abstractNumId w:val="2"/>
  </w:num>
  <w:num w:numId="22">
    <w:abstractNumId w:val="9"/>
  </w:num>
  <w:num w:numId="23">
    <w:abstractNumId w:val="10"/>
  </w:num>
  <w:num w:numId="24">
    <w:abstractNumId w:val="20"/>
  </w:num>
  <w:num w:numId="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5E0"/>
    <w:rsid w:val="000025AD"/>
    <w:rsid w:val="0000335D"/>
    <w:rsid w:val="000034A8"/>
    <w:rsid w:val="00004F78"/>
    <w:rsid w:val="00006211"/>
    <w:rsid w:val="000136A7"/>
    <w:rsid w:val="00014966"/>
    <w:rsid w:val="000168EF"/>
    <w:rsid w:val="00016ABC"/>
    <w:rsid w:val="000204F0"/>
    <w:rsid w:val="0002464A"/>
    <w:rsid w:val="000246BE"/>
    <w:rsid w:val="00024DB0"/>
    <w:rsid w:val="00030C3A"/>
    <w:rsid w:val="0003106B"/>
    <w:rsid w:val="000313E5"/>
    <w:rsid w:val="000358F5"/>
    <w:rsid w:val="000371BD"/>
    <w:rsid w:val="000421A1"/>
    <w:rsid w:val="0004240E"/>
    <w:rsid w:val="000440BE"/>
    <w:rsid w:val="00044EFE"/>
    <w:rsid w:val="00045AC4"/>
    <w:rsid w:val="00045E26"/>
    <w:rsid w:val="000514B5"/>
    <w:rsid w:val="000529F0"/>
    <w:rsid w:val="00055A5A"/>
    <w:rsid w:val="000560CA"/>
    <w:rsid w:val="00056B1C"/>
    <w:rsid w:val="0006060D"/>
    <w:rsid w:val="00060E64"/>
    <w:rsid w:val="00063E2F"/>
    <w:rsid w:val="00065022"/>
    <w:rsid w:val="00066755"/>
    <w:rsid w:val="000667B2"/>
    <w:rsid w:val="00077143"/>
    <w:rsid w:val="00077D70"/>
    <w:rsid w:val="00081B19"/>
    <w:rsid w:val="00082169"/>
    <w:rsid w:val="00083822"/>
    <w:rsid w:val="00091EAF"/>
    <w:rsid w:val="000969AD"/>
    <w:rsid w:val="00097ADA"/>
    <w:rsid w:val="000A7AC1"/>
    <w:rsid w:val="000B558D"/>
    <w:rsid w:val="000C623F"/>
    <w:rsid w:val="000C6996"/>
    <w:rsid w:val="000D14A4"/>
    <w:rsid w:val="000D23BA"/>
    <w:rsid w:val="000D2D26"/>
    <w:rsid w:val="000E0496"/>
    <w:rsid w:val="000E4E95"/>
    <w:rsid w:val="000E681E"/>
    <w:rsid w:val="000E7DAB"/>
    <w:rsid w:val="000F0003"/>
    <w:rsid w:val="000F426C"/>
    <w:rsid w:val="000F4A08"/>
    <w:rsid w:val="000F4E6A"/>
    <w:rsid w:val="000F58C0"/>
    <w:rsid w:val="00100395"/>
    <w:rsid w:val="00101CC8"/>
    <w:rsid w:val="001028F4"/>
    <w:rsid w:val="0010335C"/>
    <w:rsid w:val="00104227"/>
    <w:rsid w:val="001060A9"/>
    <w:rsid w:val="00107FAB"/>
    <w:rsid w:val="001107BF"/>
    <w:rsid w:val="0011292D"/>
    <w:rsid w:val="00113D6B"/>
    <w:rsid w:val="00117BAF"/>
    <w:rsid w:val="0012417C"/>
    <w:rsid w:val="00134010"/>
    <w:rsid w:val="00134D39"/>
    <w:rsid w:val="001378D3"/>
    <w:rsid w:val="00140729"/>
    <w:rsid w:val="00142395"/>
    <w:rsid w:val="00142714"/>
    <w:rsid w:val="00142903"/>
    <w:rsid w:val="00142C44"/>
    <w:rsid w:val="001452ED"/>
    <w:rsid w:val="001472B9"/>
    <w:rsid w:val="00163329"/>
    <w:rsid w:val="00164623"/>
    <w:rsid w:val="00165993"/>
    <w:rsid w:val="00165B64"/>
    <w:rsid w:val="00170510"/>
    <w:rsid w:val="001770F7"/>
    <w:rsid w:val="00180713"/>
    <w:rsid w:val="001830CE"/>
    <w:rsid w:val="00183A96"/>
    <w:rsid w:val="0018643B"/>
    <w:rsid w:val="00193EDF"/>
    <w:rsid w:val="00194975"/>
    <w:rsid w:val="00196307"/>
    <w:rsid w:val="001A33EA"/>
    <w:rsid w:val="001A782E"/>
    <w:rsid w:val="001B017F"/>
    <w:rsid w:val="001B0C19"/>
    <w:rsid w:val="001B1253"/>
    <w:rsid w:val="001B2BBC"/>
    <w:rsid w:val="001B5022"/>
    <w:rsid w:val="001B5129"/>
    <w:rsid w:val="001B73C9"/>
    <w:rsid w:val="001C1195"/>
    <w:rsid w:val="001C7C3C"/>
    <w:rsid w:val="001D68DA"/>
    <w:rsid w:val="001E01F5"/>
    <w:rsid w:val="001E6CBF"/>
    <w:rsid w:val="001F019F"/>
    <w:rsid w:val="001F1850"/>
    <w:rsid w:val="001F5D49"/>
    <w:rsid w:val="002006F3"/>
    <w:rsid w:val="00200E9D"/>
    <w:rsid w:val="00202117"/>
    <w:rsid w:val="00203FAC"/>
    <w:rsid w:val="002078C9"/>
    <w:rsid w:val="00211F11"/>
    <w:rsid w:val="00212CAF"/>
    <w:rsid w:val="00213CFB"/>
    <w:rsid w:val="00217A80"/>
    <w:rsid w:val="00217BE1"/>
    <w:rsid w:val="00224C17"/>
    <w:rsid w:val="00225AD7"/>
    <w:rsid w:val="00226EB9"/>
    <w:rsid w:val="00230D5A"/>
    <w:rsid w:val="00265661"/>
    <w:rsid w:val="00271BA1"/>
    <w:rsid w:val="002762FA"/>
    <w:rsid w:val="00277505"/>
    <w:rsid w:val="002853A6"/>
    <w:rsid w:val="00286CDF"/>
    <w:rsid w:val="002916B7"/>
    <w:rsid w:val="00293AFB"/>
    <w:rsid w:val="0029458F"/>
    <w:rsid w:val="002A104C"/>
    <w:rsid w:val="002A3708"/>
    <w:rsid w:val="002A4960"/>
    <w:rsid w:val="002A7728"/>
    <w:rsid w:val="002B1AE6"/>
    <w:rsid w:val="002B2DE8"/>
    <w:rsid w:val="002B30F8"/>
    <w:rsid w:val="002B53FB"/>
    <w:rsid w:val="002B5596"/>
    <w:rsid w:val="002B6F3E"/>
    <w:rsid w:val="002C1107"/>
    <w:rsid w:val="002C1326"/>
    <w:rsid w:val="002C212F"/>
    <w:rsid w:val="002C7096"/>
    <w:rsid w:val="002D28BE"/>
    <w:rsid w:val="002D4543"/>
    <w:rsid w:val="002D4788"/>
    <w:rsid w:val="002D7166"/>
    <w:rsid w:val="002E0AA6"/>
    <w:rsid w:val="002E3153"/>
    <w:rsid w:val="002E72A0"/>
    <w:rsid w:val="002E72CA"/>
    <w:rsid w:val="002E7F75"/>
    <w:rsid w:val="002F2513"/>
    <w:rsid w:val="002F5BF0"/>
    <w:rsid w:val="002F600D"/>
    <w:rsid w:val="003007BB"/>
    <w:rsid w:val="00300AD6"/>
    <w:rsid w:val="00302C39"/>
    <w:rsid w:val="00304935"/>
    <w:rsid w:val="00317C6C"/>
    <w:rsid w:val="00320909"/>
    <w:rsid w:val="00320B3E"/>
    <w:rsid w:val="0032316D"/>
    <w:rsid w:val="00323C44"/>
    <w:rsid w:val="00326E79"/>
    <w:rsid w:val="0033518A"/>
    <w:rsid w:val="003367EF"/>
    <w:rsid w:val="00341AE4"/>
    <w:rsid w:val="00354CAD"/>
    <w:rsid w:val="0036378B"/>
    <w:rsid w:val="0036394F"/>
    <w:rsid w:val="003745B0"/>
    <w:rsid w:val="003872CF"/>
    <w:rsid w:val="003879DF"/>
    <w:rsid w:val="0039782C"/>
    <w:rsid w:val="003A3BF1"/>
    <w:rsid w:val="003A4CA6"/>
    <w:rsid w:val="003A5B4A"/>
    <w:rsid w:val="003B081A"/>
    <w:rsid w:val="003B23C5"/>
    <w:rsid w:val="003B2A75"/>
    <w:rsid w:val="003B3FD2"/>
    <w:rsid w:val="003B6124"/>
    <w:rsid w:val="003C0490"/>
    <w:rsid w:val="003C2FB5"/>
    <w:rsid w:val="003C3927"/>
    <w:rsid w:val="003C4C42"/>
    <w:rsid w:val="003C69EC"/>
    <w:rsid w:val="003C6FC3"/>
    <w:rsid w:val="003D4AC4"/>
    <w:rsid w:val="003D4BDA"/>
    <w:rsid w:val="003D63B7"/>
    <w:rsid w:val="003E0326"/>
    <w:rsid w:val="003E468B"/>
    <w:rsid w:val="003E4FEA"/>
    <w:rsid w:val="003E514D"/>
    <w:rsid w:val="003F265C"/>
    <w:rsid w:val="003F3228"/>
    <w:rsid w:val="003F4C1F"/>
    <w:rsid w:val="003F4F1E"/>
    <w:rsid w:val="003F4FDB"/>
    <w:rsid w:val="003F5C8C"/>
    <w:rsid w:val="003F662A"/>
    <w:rsid w:val="003F70EC"/>
    <w:rsid w:val="0041430B"/>
    <w:rsid w:val="0041506B"/>
    <w:rsid w:val="00416DEF"/>
    <w:rsid w:val="004201BB"/>
    <w:rsid w:val="004252EC"/>
    <w:rsid w:val="00427B63"/>
    <w:rsid w:val="00434CF6"/>
    <w:rsid w:val="0044378C"/>
    <w:rsid w:val="004465BD"/>
    <w:rsid w:val="00454405"/>
    <w:rsid w:val="00454CB8"/>
    <w:rsid w:val="00466ADA"/>
    <w:rsid w:val="00467036"/>
    <w:rsid w:val="00476245"/>
    <w:rsid w:val="004820EA"/>
    <w:rsid w:val="00483035"/>
    <w:rsid w:val="00484F28"/>
    <w:rsid w:val="00485940"/>
    <w:rsid w:val="00491CA0"/>
    <w:rsid w:val="00492814"/>
    <w:rsid w:val="004937F5"/>
    <w:rsid w:val="00495174"/>
    <w:rsid w:val="004A2484"/>
    <w:rsid w:val="004A5A85"/>
    <w:rsid w:val="004A71D1"/>
    <w:rsid w:val="004B1011"/>
    <w:rsid w:val="004B5640"/>
    <w:rsid w:val="004B7E8A"/>
    <w:rsid w:val="004C0520"/>
    <w:rsid w:val="004C1BD7"/>
    <w:rsid w:val="004C31FE"/>
    <w:rsid w:val="004C691D"/>
    <w:rsid w:val="004C6C07"/>
    <w:rsid w:val="004C7C76"/>
    <w:rsid w:val="004E5BF8"/>
    <w:rsid w:val="004E692D"/>
    <w:rsid w:val="004F5320"/>
    <w:rsid w:val="00501554"/>
    <w:rsid w:val="0050780D"/>
    <w:rsid w:val="00514CA1"/>
    <w:rsid w:val="00514CD7"/>
    <w:rsid w:val="00515174"/>
    <w:rsid w:val="00524013"/>
    <w:rsid w:val="005240D6"/>
    <w:rsid w:val="005246B8"/>
    <w:rsid w:val="0052528B"/>
    <w:rsid w:val="005267A4"/>
    <w:rsid w:val="005267B5"/>
    <w:rsid w:val="005319B2"/>
    <w:rsid w:val="00532402"/>
    <w:rsid w:val="00532C74"/>
    <w:rsid w:val="00534E2E"/>
    <w:rsid w:val="00534FC0"/>
    <w:rsid w:val="00541155"/>
    <w:rsid w:val="005423B9"/>
    <w:rsid w:val="00544552"/>
    <w:rsid w:val="00544887"/>
    <w:rsid w:val="00544EB3"/>
    <w:rsid w:val="00550872"/>
    <w:rsid w:val="00562AF3"/>
    <w:rsid w:val="005718B7"/>
    <w:rsid w:val="00577C4D"/>
    <w:rsid w:val="005807BD"/>
    <w:rsid w:val="00581011"/>
    <w:rsid w:val="0058147A"/>
    <w:rsid w:val="00581932"/>
    <w:rsid w:val="005823B3"/>
    <w:rsid w:val="00591DCA"/>
    <w:rsid w:val="00591F0C"/>
    <w:rsid w:val="00594D6C"/>
    <w:rsid w:val="005963BB"/>
    <w:rsid w:val="005A3173"/>
    <w:rsid w:val="005A3223"/>
    <w:rsid w:val="005A3DA3"/>
    <w:rsid w:val="005A49DC"/>
    <w:rsid w:val="005A51A5"/>
    <w:rsid w:val="005A52C4"/>
    <w:rsid w:val="005A624D"/>
    <w:rsid w:val="005B18EA"/>
    <w:rsid w:val="005B253A"/>
    <w:rsid w:val="005B6380"/>
    <w:rsid w:val="005B71E4"/>
    <w:rsid w:val="005B7A4A"/>
    <w:rsid w:val="005C2FED"/>
    <w:rsid w:val="005D03AB"/>
    <w:rsid w:val="005D2BA3"/>
    <w:rsid w:val="005D421B"/>
    <w:rsid w:val="005D5017"/>
    <w:rsid w:val="005D541F"/>
    <w:rsid w:val="005D681A"/>
    <w:rsid w:val="005D6D2B"/>
    <w:rsid w:val="005E0E33"/>
    <w:rsid w:val="005E1333"/>
    <w:rsid w:val="005E330C"/>
    <w:rsid w:val="005E3A65"/>
    <w:rsid w:val="005F5BF9"/>
    <w:rsid w:val="005F670B"/>
    <w:rsid w:val="00601A91"/>
    <w:rsid w:val="00602B89"/>
    <w:rsid w:val="00602BA3"/>
    <w:rsid w:val="00605D02"/>
    <w:rsid w:val="00612E34"/>
    <w:rsid w:val="00614159"/>
    <w:rsid w:val="006170BF"/>
    <w:rsid w:val="00617C00"/>
    <w:rsid w:val="0062542A"/>
    <w:rsid w:val="00626165"/>
    <w:rsid w:val="006263BF"/>
    <w:rsid w:val="0062644F"/>
    <w:rsid w:val="0062748A"/>
    <w:rsid w:val="00630A2C"/>
    <w:rsid w:val="00631225"/>
    <w:rsid w:val="0063682E"/>
    <w:rsid w:val="006414AF"/>
    <w:rsid w:val="006436CD"/>
    <w:rsid w:val="006455E0"/>
    <w:rsid w:val="006468A2"/>
    <w:rsid w:val="00647C08"/>
    <w:rsid w:val="00651169"/>
    <w:rsid w:val="00653D69"/>
    <w:rsid w:val="00653E48"/>
    <w:rsid w:val="00654C3E"/>
    <w:rsid w:val="00656243"/>
    <w:rsid w:val="00664D90"/>
    <w:rsid w:val="006670BE"/>
    <w:rsid w:val="00667259"/>
    <w:rsid w:val="00670A76"/>
    <w:rsid w:val="006711AA"/>
    <w:rsid w:val="0067166F"/>
    <w:rsid w:val="00672B57"/>
    <w:rsid w:val="00673E26"/>
    <w:rsid w:val="00675622"/>
    <w:rsid w:val="0067747D"/>
    <w:rsid w:val="006821E8"/>
    <w:rsid w:val="00685898"/>
    <w:rsid w:val="00686052"/>
    <w:rsid w:val="006863DB"/>
    <w:rsid w:val="006906DB"/>
    <w:rsid w:val="00691E6C"/>
    <w:rsid w:val="0069578C"/>
    <w:rsid w:val="00696129"/>
    <w:rsid w:val="00696DF0"/>
    <w:rsid w:val="00697CF2"/>
    <w:rsid w:val="006A12A5"/>
    <w:rsid w:val="006B0D94"/>
    <w:rsid w:val="006B164E"/>
    <w:rsid w:val="006B485D"/>
    <w:rsid w:val="006B69B5"/>
    <w:rsid w:val="006B6E0D"/>
    <w:rsid w:val="006C3854"/>
    <w:rsid w:val="006C708E"/>
    <w:rsid w:val="006D14E7"/>
    <w:rsid w:val="006D6493"/>
    <w:rsid w:val="006D6EC7"/>
    <w:rsid w:val="006E57FB"/>
    <w:rsid w:val="006E7DB3"/>
    <w:rsid w:val="006F5125"/>
    <w:rsid w:val="006F5B4A"/>
    <w:rsid w:val="00702B6F"/>
    <w:rsid w:val="007041D4"/>
    <w:rsid w:val="007055D0"/>
    <w:rsid w:val="0071340B"/>
    <w:rsid w:val="00714C99"/>
    <w:rsid w:val="00715440"/>
    <w:rsid w:val="00715EE2"/>
    <w:rsid w:val="007174BB"/>
    <w:rsid w:val="0072025D"/>
    <w:rsid w:val="00731DC5"/>
    <w:rsid w:val="0073445B"/>
    <w:rsid w:val="007353D3"/>
    <w:rsid w:val="007412DC"/>
    <w:rsid w:val="007439F8"/>
    <w:rsid w:val="007502F1"/>
    <w:rsid w:val="00752473"/>
    <w:rsid w:val="0075353E"/>
    <w:rsid w:val="007563D0"/>
    <w:rsid w:val="0076025B"/>
    <w:rsid w:val="00760B49"/>
    <w:rsid w:val="007612A1"/>
    <w:rsid w:val="0076420C"/>
    <w:rsid w:val="00764FD3"/>
    <w:rsid w:val="007753C2"/>
    <w:rsid w:val="007838B8"/>
    <w:rsid w:val="00783948"/>
    <w:rsid w:val="007852A1"/>
    <w:rsid w:val="007863A7"/>
    <w:rsid w:val="0079053F"/>
    <w:rsid w:val="007911BD"/>
    <w:rsid w:val="007922C4"/>
    <w:rsid w:val="007A3AC9"/>
    <w:rsid w:val="007A4625"/>
    <w:rsid w:val="007B1350"/>
    <w:rsid w:val="007B150D"/>
    <w:rsid w:val="007B58F8"/>
    <w:rsid w:val="007B7259"/>
    <w:rsid w:val="007B7CE6"/>
    <w:rsid w:val="007C0F57"/>
    <w:rsid w:val="007C400D"/>
    <w:rsid w:val="007C40B6"/>
    <w:rsid w:val="007C729F"/>
    <w:rsid w:val="007D7306"/>
    <w:rsid w:val="007E0E54"/>
    <w:rsid w:val="007E1D28"/>
    <w:rsid w:val="007E229B"/>
    <w:rsid w:val="007E4228"/>
    <w:rsid w:val="007F2641"/>
    <w:rsid w:val="007F7C36"/>
    <w:rsid w:val="0080055B"/>
    <w:rsid w:val="00806796"/>
    <w:rsid w:val="00814290"/>
    <w:rsid w:val="008151D6"/>
    <w:rsid w:val="0081540F"/>
    <w:rsid w:val="00826E7C"/>
    <w:rsid w:val="00826F6D"/>
    <w:rsid w:val="00827744"/>
    <w:rsid w:val="008306F3"/>
    <w:rsid w:val="0083192D"/>
    <w:rsid w:val="008335A9"/>
    <w:rsid w:val="00840B58"/>
    <w:rsid w:val="00841E25"/>
    <w:rsid w:val="00843FA5"/>
    <w:rsid w:val="00847EA0"/>
    <w:rsid w:val="00850186"/>
    <w:rsid w:val="00850ADF"/>
    <w:rsid w:val="00852428"/>
    <w:rsid w:val="00856DDD"/>
    <w:rsid w:val="00861063"/>
    <w:rsid w:val="00863E68"/>
    <w:rsid w:val="008709E3"/>
    <w:rsid w:val="008727CB"/>
    <w:rsid w:val="00873853"/>
    <w:rsid w:val="00877B0D"/>
    <w:rsid w:val="00882085"/>
    <w:rsid w:val="00883188"/>
    <w:rsid w:val="008842BE"/>
    <w:rsid w:val="008911A6"/>
    <w:rsid w:val="00897D58"/>
    <w:rsid w:val="00897F22"/>
    <w:rsid w:val="008A1956"/>
    <w:rsid w:val="008A4937"/>
    <w:rsid w:val="008A50F1"/>
    <w:rsid w:val="008B0919"/>
    <w:rsid w:val="008C2D47"/>
    <w:rsid w:val="008D1B5C"/>
    <w:rsid w:val="008D3027"/>
    <w:rsid w:val="008D3C82"/>
    <w:rsid w:val="008D447E"/>
    <w:rsid w:val="008D51EC"/>
    <w:rsid w:val="008D67B6"/>
    <w:rsid w:val="008D7384"/>
    <w:rsid w:val="008D7A41"/>
    <w:rsid w:val="008E133D"/>
    <w:rsid w:val="008E2099"/>
    <w:rsid w:val="008E3680"/>
    <w:rsid w:val="008E45E5"/>
    <w:rsid w:val="008E5870"/>
    <w:rsid w:val="008E7017"/>
    <w:rsid w:val="008F1434"/>
    <w:rsid w:val="008F7355"/>
    <w:rsid w:val="009000E2"/>
    <w:rsid w:val="00901CA7"/>
    <w:rsid w:val="00902399"/>
    <w:rsid w:val="0090592A"/>
    <w:rsid w:val="009067B7"/>
    <w:rsid w:val="00906E7D"/>
    <w:rsid w:val="00910ED2"/>
    <w:rsid w:val="00912676"/>
    <w:rsid w:val="00920B68"/>
    <w:rsid w:val="0092280A"/>
    <w:rsid w:val="00930937"/>
    <w:rsid w:val="00933E6C"/>
    <w:rsid w:val="00933EF6"/>
    <w:rsid w:val="0093423E"/>
    <w:rsid w:val="009349E5"/>
    <w:rsid w:val="00937958"/>
    <w:rsid w:val="00942160"/>
    <w:rsid w:val="0095146F"/>
    <w:rsid w:val="009602C5"/>
    <w:rsid w:val="00960BDE"/>
    <w:rsid w:val="0096122A"/>
    <w:rsid w:val="00961F43"/>
    <w:rsid w:val="00962223"/>
    <w:rsid w:val="0096289A"/>
    <w:rsid w:val="00966250"/>
    <w:rsid w:val="00966D0D"/>
    <w:rsid w:val="00967B0F"/>
    <w:rsid w:val="00970535"/>
    <w:rsid w:val="00974C21"/>
    <w:rsid w:val="00977FEB"/>
    <w:rsid w:val="009807F8"/>
    <w:rsid w:val="009B0F67"/>
    <w:rsid w:val="009B7325"/>
    <w:rsid w:val="009C1CAE"/>
    <w:rsid w:val="009C2680"/>
    <w:rsid w:val="009C593B"/>
    <w:rsid w:val="009C703C"/>
    <w:rsid w:val="009D1E01"/>
    <w:rsid w:val="009D1EB0"/>
    <w:rsid w:val="009D201D"/>
    <w:rsid w:val="009D3627"/>
    <w:rsid w:val="009D3CAA"/>
    <w:rsid w:val="009D3F4A"/>
    <w:rsid w:val="009D5A42"/>
    <w:rsid w:val="009D66F3"/>
    <w:rsid w:val="009E0B85"/>
    <w:rsid w:val="009E40E1"/>
    <w:rsid w:val="009E4410"/>
    <w:rsid w:val="009F147F"/>
    <w:rsid w:val="009F4E46"/>
    <w:rsid w:val="009F5069"/>
    <w:rsid w:val="009F5B65"/>
    <w:rsid w:val="009F5F2E"/>
    <w:rsid w:val="009F72E2"/>
    <w:rsid w:val="00A00D68"/>
    <w:rsid w:val="00A04746"/>
    <w:rsid w:val="00A06225"/>
    <w:rsid w:val="00A128E6"/>
    <w:rsid w:val="00A23303"/>
    <w:rsid w:val="00A27FDC"/>
    <w:rsid w:val="00A323C4"/>
    <w:rsid w:val="00A34E6C"/>
    <w:rsid w:val="00A37477"/>
    <w:rsid w:val="00A37C8D"/>
    <w:rsid w:val="00A42157"/>
    <w:rsid w:val="00A5273B"/>
    <w:rsid w:val="00A53A9D"/>
    <w:rsid w:val="00A55FEE"/>
    <w:rsid w:val="00A62699"/>
    <w:rsid w:val="00A62C1A"/>
    <w:rsid w:val="00A6426D"/>
    <w:rsid w:val="00A665C1"/>
    <w:rsid w:val="00A666A3"/>
    <w:rsid w:val="00A70622"/>
    <w:rsid w:val="00A70977"/>
    <w:rsid w:val="00A747F9"/>
    <w:rsid w:val="00A77613"/>
    <w:rsid w:val="00A82F0C"/>
    <w:rsid w:val="00A8390C"/>
    <w:rsid w:val="00A84E3F"/>
    <w:rsid w:val="00A86AAD"/>
    <w:rsid w:val="00A928BD"/>
    <w:rsid w:val="00A94B7B"/>
    <w:rsid w:val="00A95A0C"/>
    <w:rsid w:val="00A970E3"/>
    <w:rsid w:val="00AA4D1C"/>
    <w:rsid w:val="00AA6E7B"/>
    <w:rsid w:val="00AA73B1"/>
    <w:rsid w:val="00AB3A70"/>
    <w:rsid w:val="00AB3BAF"/>
    <w:rsid w:val="00AB51A4"/>
    <w:rsid w:val="00AB5366"/>
    <w:rsid w:val="00AB6002"/>
    <w:rsid w:val="00AC193C"/>
    <w:rsid w:val="00AC5206"/>
    <w:rsid w:val="00AC7A24"/>
    <w:rsid w:val="00AD7659"/>
    <w:rsid w:val="00AE11A5"/>
    <w:rsid w:val="00AE13E2"/>
    <w:rsid w:val="00AE1C5D"/>
    <w:rsid w:val="00AE22D3"/>
    <w:rsid w:val="00AE2F49"/>
    <w:rsid w:val="00AE3447"/>
    <w:rsid w:val="00AE3958"/>
    <w:rsid w:val="00AE6B49"/>
    <w:rsid w:val="00AF4AD5"/>
    <w:rsid w:val="00AF4F6D"/>
    <w:rsid w:val="00AF62DF"/>
    <w:rsid w:val="00AF68CC"/>
    <w:rsid w:val="00B01ED3"/>
    <w:rsid w:val="00B0200E"/>
    <w:rsid w:val="00B02B6C"/>
    <w:rsid w:val="00B054A5"/>
    <w:rsid w:val="00B06F6D"/>
    <w:rsid w:val="00B1059E"/>
    <w:rsid w:val="00B16226"/>
    <w:rsid w:val="00B176C8"/>
    <w:rsid w:val="00B205AA"/>
    <w:rsid w:val="00B20812"/>
    <w:rsid w:val="00B21077"/>
    <w:rsid w:val="00B21C12"/>
    <w:rsid w:val="00B22E84"/>
    <w:rsid w:val="00B2320B"/>
    <w:rsid w:val="00B232D2"/>
    <w:rsid w:val="00B24111"/>
    <w:rsid w:val="00B25F75"/>
    <w:rsid w:val="00B26B3F"/>
    <w:rsid w:val="00B32687"/>
    <w:rsid w:val="00B34B25"/>
    <w:rsid w:val="00B43936"/>
    <w:rsid w:val="00B43E90"/>
    <w:rsid w:val="00B455C3"/>
    <w:rsid w:val="00B467DC"/>
    <w:rsid w:val="00B551A4"/>
    <w:rsid w:val="00B56118"/>
    <w:rsid w:val="00B6060E"/>
    <w:rsid w:val="00B66F89"/>
    <w:rsid w:val="00B6773F"/>
    <w:rsid w:val="00B71C9C"/>
    <w:rsid w:val="00B76A26"/>
    <w:rsid w:val="00B801BA"/>
    <w:rsid w:val="00B84D5C"/>
    <w:rsid w:val="00B90176"/>
    <w:rsid w:val="00B93C1C"/>
    <w:rsid w:val="00B95909"/>
    <w:rsid w:val="00B9666A"/>
    <w:rsid w:val="00BA3EF0"/>
    <w:rsid w:val="00BB65DE"/>
    <w:rsid w:val="00BB69B5"/>
    <w:rsid w:val="00BB69F5"/>
    <w:rsid w:val="00BB7EC3"/>
    <w:rsid w:val="00BC4B9A"/>
    <w:rsid w:val="00BC5C37"/>
    <w:rsid w:val="00BC7771"/>
    <w:rsid w:val="00BD5ACB"/>
    <w:rsid w:val="00BD784C"/>
    <w:rsid w:val="00BE1591"/>
    <w:rsid w:val="00BF1435"/>
    <w:rsid w:val="00BF3246"/>
    <w:rsid w:val="00BF4CB6"/>
    <w:rsid w:val="00BF6149"/>
    <w:rsid w:val="00C00797"/>
    <w:rsid w:val="00C00DA7"/>
    <w:rsid w:val="00C12768"/>
    <w:rsid w:val="00C171C3"/>
    <w:rsid w:val="00C21E17"/>
    <w:rsid w:val="00C25CD7"/>
    <w:rsid w:val="00C260B5"/>
    <w:rsid w:val="00C27B58"/>
    <w:rsid w:val="00C30AAF"/>
    <w:rsid w:val="00C30C94"/>
    <w:rsid w:val="00C31353"/>
    <w:rsid w:val="00C3394F"/>
    <w:rsid w:val="00C35996"/>
    <w:rsid w:val="00C37AF4"/>
    <w:rsid w:val="00C4747E"/>
    <w:rsid w:val="00C50F60"/>
    <w:rsid w:val="00C5342C"/>
    <w:rsid w:val="00C603D4"/>
    <w:rsid w:val="00C61BA9"/>
    <w:rsid w:val="00C6256A"/>
    <w:rsid w:val="00C66315"/>
    <w:rsid w:val="00C73C5F"/>
    <w:rsid w:val="00C7582A"/>
    <w:rsid w:val="00C77891"/>
    <w:rsid w:val="00C803BD"/>
    <w:rsid w:val="00C86DB8"/>
    <w:rsid w:val="00C911D6"/>
    <w:rsid w:val="00C91449"/>
    <w:rsid w:val="00C92D10"/>
    <w:rsid w:val="00C952E2"/>
    <w:rsid w:val="00CA5076"/>
    <w:rsid w:val="00CB0111"/>
    <w:rsid w:val="00CB56EC"/>
    <w:rsid w:val="00CB67B1"/>
    <w:rsid w:val="00CB7129"/>
    <w:rsid w:val="00CB7BEC"/>
    <w:rsid w:val="00CC0BCF"/>
    <w:rsid w:val="00CC177F"/>
    <w:rsid w:val="00CD07F2"/>
    <w:rsid w:val="00CD0A06"/>
    <w:rsid w:val="00CD0F95"/>
    <w:rsid w:val="00CD2CFD"/>
    <w:rsid w:val="00CD78B7"/>
    <w:rsid w:val="00CE10C4"/>
    <w:rsid w:val="00CE17DC"/>
    <w:rsid w:val="00CE233B"/>
    <w:rsid w:val="00CE27B5"/>
    <w:rsid w:val="00CE3817"/>
    <w:rsid w:val="00CE524B"/>
    <w:rsid w:val="00CF6EE7"/>
    <w:rsid w:val="00CF7FD3"/>
    <w:rsid w:val="00D0321E"/>
    <w:rsid w:val="00D06681"/>
    <w:rsid w:val="00D1078A"/>
    <w:rsid w:val="00D1455A"/>
    <w:rsid w:val="00D23BCE"/>
    <w:rsid w:val="00D2464D"/>
    <w:rsid w:val="00D2734A"/>
    <w:rsid w:val="00D31150"/>
    <w:rsid w:val="00D3138B"/>
    <w:rsid w:val="00D3172A"/>
    <w:rsid w:val="00D3280C"/>
    <w:rsid w:val="00D33C87"/>
    <w:rsid w:val="00D3406A"/>
    <w:rsid w:val="00D40993"/>
    <w:rsid w:val="00D43293"/>
    <w:rsid w:val="00D45266"/>
    <w:rsid w:val="00D4572C"/>
    <w:rsid w:val="00D469B2"/>
    <w:rsid w:val="00D526BA"/>
    <w:rsid w:val="00D527DE"/>
    <w:rsid w:val="00D54016"/>
    <w:rsid w:val="00D60D5F"/>
    <w:rsid w:val="00D61DB1"/>
    <w:rsid w:val="00D668C3"/>
    <w:rsid w:val="00D672A4"/>
    <w:rsid w:val="00D73B68"/>
    <w:rsid w:val="00D741EB"/>
    <w:rsid w:val="00D756CD"/>
    <w:rsid w:val="00D83605"/>
    <w:rsid w:val="00D84934"/>
    <w:rsid w:val="00D84FC7"/>
    <w:rsid w:val="00D86679"/>
    <w:rsid w:val="00D91271"/>
    <w:rsid w:val="00D919F5"/>
    <w:rsid w:val="00D94F03"/>
    <w:rsid w:val="00D951CC"/>
    <w:rsid w:val="00D9666A"/>
    <w:rsid w:val="00D9781F"/>
    <w:rsid w:val="00DA1425"/>
    <w:rsid w:val="00DA20D5"/>
    <w:rsid w:val="00DA2CB5"/>
    <w:rsid w:val="00DA4BAC"/>
    <w:rsid w:val="00DA54EF"/>
    <w:rsid w:val="00DC75ED"/>
    <w:rsid w:val="00DD223D"/>
    <w:rsid w:val="00DD4B7C"/>
    <w:rsid w:val="00DE208F"/>
    <w:rsid w:val="00DE2F6D"/>
    <w:rsid w:val="00DE399C"/>
    <w:rsid w:val="00DE4FE9"/>
    <w:rsid w:val="00DE528F"/>
    <w:rsid w:val="00DE6D27"/>
    <w:rsid w:val="00DF0D54"/>
    <w:rsid w:val="00DF158F"/>
    <w:rsid w:val="00DF1E81"/>
    <w:rsid w:val="00DF217D"/>
    <w:rsid w:val="00DF26A7"/>
    <w:rsid w:val="00DF3C33"/>
    <w:rsid w:val="00E03C36"/>
    <w:rsid w:val="00E0552D"/>
    <w:rsid w:val="00E065BC"/>
    <w:rsid w:val="00E13975"/>
    <w:rsid w:val="00E13C1C"/>
    <w:rsid w:val="00E13E07"/>
    <w:rsid w:val="00E15627"/>
    <w:rsid w:val="00E164B3"/>
    <w:rsid w:val="00E16910"/>
    <w:rsid w:val="00E21F82"/>
    <w:rsid w:val="00E234B0"/>
    <w:rsid w:val="00E238E0"/>
    <w:rsid w:val="00E263C3"/>
    <w:rsid w:val="00E26400"/>
    <w:rsid w:val="00E361DE"/>
    <w:rsid w:val="00E3769F"/>
    <w:rsid w:val="00E42693"/>
    <w:rsid w:val="00E42BDB"/>
    <w:rsid w:val="00E50BAD"/>
    <w:rsid w:val="00E54980"/>
    <w:rsid w:val="00E57EEB"/>
    <w:rsid w:val="00E62D94"/>
    <w:rsid w:val="00E63DA2"/>
    <w:rsid w:val="00E643B7"/>
    <w:rsid w:val="00E653C1"/>
    <w:rsid w:val="00E658DA"/>
    <w:rsid w:val="00E65E54"/>
    <w:rsid w:val="00E722BB"/>
    <w:rsid w:val="00E72A22"/>
    <w:rsid w:val="00E73C3F"/>
    <w:rsid w:val="00E80155"/>
    <w:rsid w:val="00E81987"/>
    <w:rsid w:val="00E81F28"/>
    <w:rsid w:val="00E848C0"/>
    <w:rsid w:val="00E91B96"/>
    <w:rsid w:val="00E941A1"/>
    <w:rsid w:val="00E95CE3"/>
    <w:rsid w:val="00E95FA5"/>
    <w:rsid w:val="00E970D2"/>
    <w:rsid w:val="00EA01AD"/>
    <w:rsid w:val="00EA2825"/>
    <w:rsid w:val="00EA2B61"/>
    <w:rsid w:val="00EA731D"/>
    <w:rsid w:val="00EA746C"/>
    <w:rsid w:val="00EB0B63"/>
    <w:rsid w:val="00EB1936"/>
    <w:rsid w:val="00EB5088"/>
    <w:rsid w:val="00ED1644"/>
    <w:rsid w:val="00ED2593"/>
    <w:rsid w:val="00ED5839"/>
    <w:rsid w:val="00ED7D9C"/>
    <w:rsid w:val="00EE3EDA"/>
    <w:rsid w:val="00EF0F09"/>
    <w:rsid w:val="00EF44A0"/>
    <w:rsid w:val="00EF4FED"/>
    <w:rsid w:val="00F004D7"/>
    <w:rsid w:val="00F02665"/>
    <w:rsid w:val="00F04F83"/>
    <w:rsid w:val="00F050BD"/>
    <w:rsid w:val="00F05657"/>
    <w:rsid w:val="00F21AEB"/>
    <w:rsid w:val="00F25578"/>
    <w:rsid w:val="00F258E5"/>
    <w:rsid w:val="00F300BC"/>
    <w:rsid w:val="00F30F8E"/>
    <w:rsid w:val="00F3334E"/>
    <w:rsid w:val="00F342DA"/>
    <w:rsid w:val="00F36CCB"/>
    <w:rsid w:val="00F374E5"/>
    <w:rsid w:val="00F43AF2"/>
    <w:rsid w:val="00F446F3"/>
    <w:rsid w:val="00F50119"/>
    <w:rsid w:val="00F50EC4"/>
    <w:rsid w:val="00F550CF"/>
    <w:rsid w:val="00F56A63"/>
    <w:rsid w:val="00F57A6D"/>
    <w:rsid w:val="00F638CC"/>
    <w:rsid w:val="00F6487E"/>
    <w:rsid w:val="00F64CC1"/>
    <w:rsid w:val="00F71F0B"/>
    <w:rsid w:val="00F72317"/>
    <w:rsid w:val="00F80475"/>
    <w:rsid w:val="00F8247A"/>
    <w:rsid w:val="00F91121"/>
    <w:rsid w:val="00F9629A"/>
    <w:rsid w:val="00F96CB3"/>
    <w:rsid w:val="00F97EFC"/>
    <w:rsid w:val="00FA5883"/>
    <w:rsid w:val="00FA6055"/>
    <w:rsid w:val="00FA62E4"/>
    <w:rsid w:val="00FB01DA"/>
    <w:rsid w:val="00FB06B1"/>
    <w:rsid w:val="00FB322F"/>
    <w:rsid w:val="00FB442F"/>
    <w:rsid w:val="00FB4CEF"/>
    <w:rsid w:val="00FC1929"/>
    <w:rsid w:val="00FC5B46"/>
    <w:rsid w:val="00FC5C5F"/>
    <w:rsid w:val="00FC72FE"/>
    <w:rsid w:val="00FD177D"/>
    <w:rsid w:val="00FD358A"/>
    <w:rsid w:val="00FD6D8E"/>
    <w:rsid w:val="00FE0E94"/>
    <w:rsid w:val="00FE5726"/>
    <w:rsid w:val="00FF00BD"/>
    <w:rsid w:val="00FF1ED4"/>
    <w:rsid w:val="00FF2801"/>
    <w:rsid w:val="00FF2997"/>
    <w:rsid w:val="00FF4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AC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7C400D"/>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qFormat/>
    <w:rsid w:val="005A49DC"/>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D756CD"/>
    <w:pPr>
      <w:keepNext/>
      <w:spacing w:after="60"/>
    </w:pPr>
    <w:rPr>
      <w:rFonts w:ascii="Arial Narrow" w:eastAsiaTheme="minorHAnsi" w:hAnsi="Arial Narrow" w:cstheme="minorBidi"/>
      <w:b/>
      <w:sz w:val="20"/>
      <w:szCs w:val="22"/>
      <w:lang w:eastAsia="en-US"/>
    </w:rPr>
  </w:style>
  <w:style w:type="character" w:customStyle="1" w:styleId="Heading8Char">
    <w:name w:val="Heading 8 Char"/>
    <w:basedOn w:val="DefaultParagraphFont"/>
    <w:link w:val="Heading8"/>
    <w:uiPriority w:val="7"/>
    <w:rsid w:val="007C400D"/>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link w:val="TableFooterChar"/>
    <w:qFormat/>
    <w:rsid w:val="00302C39"/>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302C39"/>
    <w:rPr>
      <w:rFonts w:ascii="Arial Narrow" w:hAnsi="Arial Narrow" w:cs="Arial"/>
      <w:snapToGrid w:val="0"/>
      <w:sz w:val="18"/>
      <w:lang w:eastAsia="en-US"/>
    </w:rPr>
  </w:style>
  <w:style w:type="paragraph" w:styleId="Revision">
    <w:name w:val="Revision"/>
    <w:hidden/>
    <w:uiPriority w:val="71"/>
    <w:semiHidden/>
    <w:rsid w:val="005240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7C400D"/>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TableText0">
    <w:name w:val="Table Text"/>
    <w:basedOn w:val="Normal"/>
    <w:qFormat/>
    <w:rsid w:val="005A49DC"/>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D756CD"/>
    <w:pPr>
      <w:keepNext/>
      <w:spacing w:after="60"/>
    </w:pPr>
    <w:rPr>
      <w:rFonts w:ascii="Arial Narrow" w:eastAsiaTheme="minorHAnsi" w:hAnsi="Arial Narrow" w:cstheme="minorBidi"/>
      <w:b/>
      <w:sz w:val="20"/>
      <w:szCs w:val="22"/>
      <w:lang w:eastAsia="en-US"/>
    </w:rPr>
  </w:style>
  <w:style w:type="character" w:customStyle="1" w:styleId="Heading8Char">
    <w:name w:val="Heading 8 Char"/>
    <w:basedOn w:val="DefaultParagraphFont"/>
    <w:link w:val="Heading8"/>
    <w:uiPriority w:val="7"/>
    <w:rsid w:val="007C400D"/>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link w:val="TableFooterChar"/>
    <w:qFormat/>
    <w:rsid w:val="00302C39"/>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302C39"/>
    <w:rPr>
      <w:rFonts w:ascii="Arial Narrow" w:hAnsi="Arial Narrow" w:cs="Arial"/>
      <w:snapToGrid w:val="0"/>
      <w:sz w:val="18"/>
      <w:lang w:eastAsia="en-US"/>
    </w:rPr>
  </w:style>
  <w:style w:type="paragraph" w:styleId="Revision">
    <w:name w:val="Revision"/>
    <w:hidden/>
    <w:uiPriority w:val="71"/>
    <w:semiHidden/>
    <w:rsid w:val="005240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19134742">
      <w:bodyDiv w:val="1"/>
      <w:marLeft w:val="0"/>
      <w:marRight w:val="0"/>
      <w:marTop w:val="0"/>
      <w:marBottom w:val="0"/>
      <w:divBdr>
        <w:top w:val="none" w:sz="0" w:space="0" w:color="auto"/>
        <w:left w:val="none" w:sz="0" w:space="0" w:color="auto"/>
        <w:bottom w:val="none" w:sz="0" w:space="0" w:color="auto"/>
        <w:right w:val="none" w:sz="0" w:space="0" w:color="auto"/>
      </w:divBdr>
      <w:divsChild>
        <w:div w:id="11556789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E09B-75FE-4E8C-9181-144AE073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2018-10-19T01:26:00Z</dcterms:created>
  <dcterms:modified xsi:type="dcterms:W3CDTF">2018-10-19T01:27:00Z</dcterms:modified>
</cp:coreProperties>
</file>