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0A0484" w:rsidRDefault="0017581E" w:rsidP="006D6493">
      <w:pPr>
        <w:pStyle w:val="Title"/>
        <w:spacing w:before="120" w:after="160"/>
        <w:ind w:left="720" w:hanging="720"/>
        <w:rPr>
          <w:rFonts w:asciiTheme="minorHAnsi" w:hAnsiTheme="minorHAnsi"/>
          <w:sz w:val="36"/>
          <w:szCs w:val="36"/>
        </w:rPr>
      </w:pPr>
      <w:r w:rsidRPr="000A0484">
        <w:rPr>
          <w:rFonts w:asciiTheme="minorHAnsi" w:hAnsiTheme="minorHAnsi"/>
          <w:sz w:val="36"/>
          <w:szCs w:val="36"/>
        </w:rPr>
        <w:t>7</w:t>
      </w:r>
      <w:r w:rsidR="006D6493" w:rsidRPr="000A0484">
        <w:rPr>
          <w:rFonts w:asciiTheme="minorHAnsi" w:hAnsiTheme="minorHAnsi"/>
          <w:sz w:val="36"/>
          <w:szCs w:val="36"/>
        </w:rPr>
        <w:t>.</w:t>
      </w:r>
      <w:r w:rsidRPr="000A0484">
        <w:rPr>
          <w:rFonts w:asciiTheme="minorHAnsi" w:hAnsiTheme="minorHAnsi"/>
          <w:sz w:val="36"/>
          <w:szCs w:val="36"/>
        </w:rPr>
        <w:t>11</w:t>
      </w:r>
      <w:r w:rsidR="006D6493" w:rsidRPr="000A0484">
        <w:rPr>
          <w:rFonts w:asciiTheme="minorHAnsi" w:hAnsiTheme="minorHAnsi"/>
          <w:sz w:val="36"/>
          <w:szCs w:val="36"/>
        </w:rPr>
        <w:tab/>
      </w:r>
      <w:r w:rsidRPr="000A0484">
        <w:rPr>
          <w:rFonts w:asciiTheme="minorHAnsi" w:hAnsiTheme="minorHAnsi"/>
          <w:sz w:val="36"/>
          <w:szCs w:val="36"/>
        </w:rPr>
        <w:t>BUDESONIDE</w:t>
      </w:r>
      <w:r w:rsidR="006D6493" w:rsidRPr="000A0484">
        <w:rPr>
          <w:rFonts w:asciiTheme="minorHAnsi" w:hAnsiTheme="minorHAnsi"/>
          <w:sz w:val="36"/>
          <w:szCs w:val="36"/>
        </w:rPr>
        <w:t xml:space="preserve"> </w:t>
      </w:r>
      <w:r w:rsidR="006D6493" w:rsidRPr="000A0484">
        <w:rPr>
          <w:rFonts w:asciiTheme="minorHAnsi" w:hAnsiTheme="minorHAnsi"/>
          <w:sz w:val="36"/>
          <w:szCs w:val="36"/>
        </w:rPr>
        <w:br/>
      </w:r>
      <w:r w:rsidRPr="000A0484">
        <w:rPr>
          <w:rFonts w:asciiTheme="minorHAnsi" w:hAnsiTheme="minorHAnsi"/>
          <w:sz w:val="36"/>
          <w:szCs w:val="36"/>
        </w:rPr>
        <w:t>Capsule (modified release) 3 mg</w:t>
      </w:r>
      <w:r w:rsidR="006D6493" w:rsidRPr="000A0484">
        <w:rPr>
          <w:rFonts w:asciiTheme="minorHAnsi" w:hAnsiTheme="minorHAnsi"/>
          <w:sz w:val="36"/>
          <w:szCs w:val="36"/>
        </w:rPr>
        <w:t xml:space="preserve">, </w:t>
      </w:r>
      <w:r w:rsidR="006D6493" w:rsidRPr="000A0484">
        <w:rPr>
          <w:rFonts w:asciiTheme="minorHAnsi" w:hAnsiTheme="minorHAnsi"/>
          <w:sz w:val="36"/>
          <w:szCs w:val="36"/>
        </w:rPr>
        <w:br/>
      </w:r>
      <w:proofErr w:type="spellStart"/>
      <w:r w:rsidRPr="000A0484">
        <w:rPr>
          <w:rFonts w:asciiTheme="minorHAnsi" w:hAnsiTheme="minorHAnsi"/>
          <w:sz w:val="36"/>
          <w:szCs w:val="36"/>
        </w:rPr>
        <w:t>Entocort</w:t>
      </w:r>
      <w:proofErr w:type="spellEnd"/>
      <w:r w:rsidRPr="000A0484">
        <w:rPr>
          <w:rFonts w:asciiTheme="minorHAnsi" w:hAnsiTheme="minorHAnsi"/>
          <w:sz w:val="36"/>
          <w:szCs w:val="36"/>
        </w:rPr>
        <w:t>®</w:t>
      </w:r>
      <w:r w:rsidR="006D6493" w:rsidRPr="000A0484">
        <w:rPr>
          <w:rFonts w:asciiTheme="minorHAnsi" w:hAnsiTheme="minorHAnsi"/>
          <w:sz w:val="36"/>
          <w:szCs w:val="36"/>
        </w:rPr>
        <w:t xml:space="preserve">, </w:t>
      </w:r>
      <w:r w:rsidRPr="000A0484">
        <w:rPr>
          <w:rFonts w:asciiTheme="minorHAnsi" w:hAnsiTheme="minorHAnsi"/>
          <w:sz w:val="36"/>
          <w:szCs w:val="36"/>
        </w:rPr>
        <w:t>Emerge Health Pty Ltd</w:t>
      </w:r>
    </w:p>
    <w:p w:rsidR="008A50F1" w:rsidRPr="000A0484" w:rsidRDefault="00CE10C4" w:rsidP="00EB0B63">
      <w:pPr>
        <w:pStyle w:val="PBACHeading1"/>
        <w:spacing w:before="240" w:after="120"/>
        <w:ind w:left="709" w:hanging="709"/>
        <w:rPr>
          <w:rFonts w:asciiTheme="minorHAnsi" w:hAnsiTheme="minorHAnsi"/>
          <w:sz w:val="32"/>
          <w:szCs w:val="32"/>
        </w:rPr>
      </w:pPr>
      <w:r w:rsidRPr="000A0484">
        <w:rPr>
          <w:rFonts w:asciiTheme="minorHAnsi" w:hAnsiTheme="minorHAnsi"/>
          <w:sz w:val="32"/>
          <w:szCs w:val="32"/>
        </w:rPr>
        <w:t xml:space="preserve">Purpose of </w:t>
      </w:r>
      <w:r w:rsidR="0004240E" w:rsidRPr="000A0484">
        <w:rPr>
          <w:rFonts w:asciiTheme="minorHAnsi" w:hAnsiTheme="minorHAnsi"/>
          <w:sz w:val="32"/>
          <w:szCs w:val="32"/>
        </w:rPr>
        <w:t>Application</w:t>
      </w:r>
    </w:p>
    <w:p w:rsidR="006A12A5" w:rsidRPr="000A0484" w:rsidRDefault="00EF44A0" w:rsidP="00F26AAE">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The mi</w:t>
      </w:r>
      <w:r w:rsidR="00FF2801" w:rsidRPr="000A0484">
        <w:rPr>
          <w:rFonts w:asciiTheme="minorHAnsi" w:eastAsiaTheme="minorHAnsi" w:hAnsiTheme="minorHAnsi" w:cstheme="minorBidi"/>
          <w:snapToGrid/>
          <w:sz w:val="24"/>
          <w:szCs w:val="22"/>
        </w:rPr>
        <w:t xml:space="preserve">nor </w:t>
      </w:r>
      <w:r w:rsidR="00FD1891" w:rsidRPr="000A0484">
        <w:rPr>
          <w:rFonts w:asciiTheme="minorHAnsi" w:eastAsiaTheme="minorHAnsi" w:hAnsiTheme="minorHAnsi" w:cstheme="minorBidi"/>
          <w:snapToGrid/>
          <w:sz w:val="24"/>
          <w:szCs w:val="22"/>
        </w:rPr>
        <w:t>re</w:t>
      </w:r>
      <w:r w:rsidR="00FF2801" w:rsidRPr="000A0484">
        <w:rPr>
          <w:rFonts w:asciiTheme="minorHAnsi" w:eastAsiaTheme="minorHAnsi" w:hAnsiTheme="minorHAnsi" w:cstheme="minorBidi"/>
          <w:snapToGrid/>
          <w:sz w:val="24"/>
          <w:szCs w:val="22"/>
        </w:rPr>
        <w:t xml:space="preserve">submission sought </w:t>
      </w:r>
      <w:r w:rsidR="00F26AAE" w:rsidRPr="000A0484">
        <w:rPr>
          <w:rFonts w:asciiTheme="minorHAnsi" w:hAnsiTheme="minorHAnsi"/>
          <w:sz w:val="24"/>
          <w:szCs w:val="22"/>
        </w:rPr>
        <w:t xml:space="preserve">an Authority Required (STREAMLINED) listing </w:t>
      </w:r>
      <w:r w:rsidR="00346A5A" w:rsidRPr="000A0484">
        <w:rPr>
          <w:rFonts w:asciiTheme="minorHAnsi" w:hAnsiTheme="minorHAnsi"/>
          <w:sz w:val="24"/>
          <w:szCs w:val="22"/>
        </w:rPr>
        <w:t xml:space="preserve">for </w:t>
      </w:r>
      <w:r w:rsidR="00F26AAE" w:rsidRPr="000A0484">
        <w:rPr>
          <w:rFonts w:asciiTheme="minorHAnsi" w:hAnsiTheme="minorHAnsi"/>
          <w:sz w:val="24"/>
          <w:szCs w:val="22"/>
        </w:rPr>
        <w:t xml:space="preserve">budesonide controlled </w:t>
      </w:r>
      <w:proofErr w:type="spellStart"/>
      <w:r w:rsidR="00F26AAE" w:rsidRPr="000A0484">
        <w:rPr>
          <w:rFonts w:asciiTheme="minorHAnsi" w:hAnsiTheme="minorHAnsi"/>
          <w:sz w:val="24"/>
          <w:szCs w:val="22"/>
        </w:rPr>
        <w:t>ileal</w:t>
      </w:r>
      <w:proofErr w:type="spellEnd"/>
      <w:r w:rsidR="00F26AAE" w:rsidRPr="000A0484">
        <w:rPr>
          <w:rFonts w:asciiTheme="minorHAnsi" w:hAnsiTheme="minorHAnsi"/>
          <w:sz w:val="24"/>
          <w:szCs w:val="22"/>
        </w:rPr>
        <w:t xml:space="preserve"> release capsules (budesonide from herein) for</w:t>
      </w:r>
      <w:r w:rsidR="00733CFC" w:rsidRPr="000A0484">
        <w:rPr>
          <w:rFonts w:asciiTheme="minorHAnsi" w:hAnsiTheme="minorHAnsi"/>
          <w:sz w:val="24"/>
          <w:szCs w:val="22"/>
        </w:rPr>
        <w:t xml:space="preserve"> the</w:t>
      </w:r>
      <w:r w:rsidR="00F26AAE" w:rsidRPr="000A0484">
        <w:rPr>
          <w:rFonts w:asciiTheme="minorHAnsi" w:hAnsiTheme="minorHAnsi"/>
          <w:sz w:val="24"/>
          <w:szCs w:val="22"/>
        </w:rPr>
        <w:t xml:space="preserve"> treatment of mild to moderate Crohn’s disease (CD) affecting the ileum and/or the ascending colon.</w:t>
      </w:r>
      <w:r w:rsidR="004222EE" w:rsidRPr="000A0484">
        <w:rPr>
          <w:rFonts w:asciiTheme="minorHAnsi" w:hAnsiTheme="minorHAnsi"/>
          <w:sz w:val="24"/>
          <w:szCs w:val="22"/>
        </w:rPr>
        <w:t xml:space="preserve"> </w:t>
      </w:r>
      <w:r w:rsidR="00637D54" w:rsidRPr="000A0484">
        <w:rPr>
          <w:rFonts w:asciiTheme="minorHAnsi" w:hAnsiTheme="minorHAnsi"/>
          <w:sz w:val="24"/>
          <w:szCs w:val="22"/>
        </w:rPr>
        <w:t xml:space="preserve">In November </w:t>
      </w:r>
      <w:r w:rsidR="000A0484" w:rsidRPr="000A0484">
        <w:rPr>
          <w:rFonts w:asciiTheme="minorHAnsi" w:hAnsiTheme="minorHAnsi"/>
          <w:sz w:val="24"/>
          <w:szCs w:val="22"/>
        </w:rPr>
        <w:t>2017,</w:t>
      </w:r>
      <w:r w:rsidR="00637D54" w:rsidRPr="000A0484">
        <w:rPr>
          <w:rFonts w:asciiTheme="minorHAnsi" w:hAnsiTheme="minorHAnsi"/>
          <w:sz w:val="24"/>
          <w:szCs w:val="22"/>
        </w:rPr>
        <w:t xml:space="preserve"> the PBAC did not recommend the listing of budesonide for this indication on the basis that </w:t>
      </w:r>
      <w:proofErr w:type="spellStart"/>
      <w:r w:rsidR="00637D54" w:rsidRPr="000A0484">
        <w:rPr>
          <w:rFonts w:asciiTheme="minorHAnsi" w:eastAsiaTheme="minorHAnsi" w:hAnsiTheme="minorHAnsi" w:cstheme="minorBidi"/>
          <w:snapToGrid/>
          <w:sz w:val="24"/>
          <w:szCs w:val="22"/>
        </w:rPr>
        <w:t>mesalazine</w:t>
      </w:r>
      <w:proofErr w:type="spellEnd"/>
      <w:r w:rsidR="00637D54" w:rsidRPr="000A0484">
        <w:rPr>
          <w:rFonts w:asciiTheme="minorHAnsi" w:eastAsiaTheme="minorHAnsi" w:hAnsiTheme="minorHAnsi" w:cstheme="minorBidi"/>
          <w:snapToGrid/>
          <w:sz w:val="24"/>
          <w:szCs w:val="22"/>
        </w:rPr>
        <w:t xml:space="preserve"> as the nominated comparator was inappropriate based on current clinical practice (paragraph 7.1</w:t>
      </w:r>
      <w:r w:rsidR="006B06FD" w:rsidRPr="000A0484">
        <w:rPr>
          <w:rFonts w:asciiTheme="minorHAnsi" w:eastAsiaTheme="minorHAnsi" w:hAnsiTheme="minorHAnsi" w:cstheme="minorBidi"/>
          <w:snapToGrid/>
          <w:sz w:val="24"/>
          <w:szCs w:val="22"/>
        </w:rPr>
        <w:t xml:space="preserve"> and 7.4</w:t>
      </w:r>
      <w:r w:rsidR="00637D54" w:rsidRPr="000A0484">
        <w:rPr>
          <w:rFonts w:asciiTheme="minorHAnsi" w:eastAsiaTheme="minorHAnsi" w:hAnsiTheme="minorHAnsi" w:cstheme="minorBidi"/>
          <w:snapToGrid/>
          <w:sz w:val="24"/>
          <w:szCs w:val="22"/>
        </w:rPr>
        <w:t>, budesonide Public Summary Document (PSD), November 2017). The minor resubmission p</w:t>
      </w:r>
      <w:r w:rsidR="00656562" w:rsidRPr="000A0484">
        <w:rPr>
          <w:rFonts w:asciiTheme="minorHAnsi" w:eastAsiaTheme="minorHAnsi" w:hAnsiTheme="minorHAnsi" w:cstheme="minorBidi"/>
          <w:snapToGrid/>
          <w:sz w:val="24"/>
          <w:szCs w:val="22"/>
        </w:rPr>
        <w:t>roposed</w:t>
      </w:r>
      <w:r w:rsidR="00637D54" w:rsidRPr="000A0484">
        <w:rPr>
          <w:rFonts w:asciiTheme="minorHAnsi" w:eastAsiaTheme="minorHAnsi" w:hAnsiTheme="minorHAnsi" w:cstheme="minorBidi"/>
          <w:snapToGrid/>
          <w:sz w:val="24"/>
          <w:szCs w:val="22"/>
        </w:rPr>
        <w:t xml:space="preserve"> a mixed comparator (</w:t>
      </w:r>
      <w:proofErr w:type="spellStart"/>
      <w:r w:rsidR="00637D54" w:rsidRPr="000A0484">
        <w:rPr>
          <w:rFonts w:asciiTheme="minorHAnsi" w:eastAsiaTheme="minorHAnsi" w:hAnsiTheme="minorHAnsi" w:cstheme="minorBidi"/>
          <w:snapToGrid/>
          <w:sz w:val="24"/>
          <w:szCs w:val="22"/>
        </w:rPr>
        <w:t>mesalazine</w:t>
      </w:r>
      <w:proofErr w:type="spellEnd"/>
      <w:r w:rsidR="00637D54" w:rsidRPr="000A0484">
        <w:rPr>
          <w:rFonts w:asciiTheme="minorHAnsi" w:eastAsiaTheme="minorHAnsi" w:hAnsiTheme="minorHAnsi" w:cstheme="minorBidi"/>
          <w:snapToGrid/>
          <w:sz w:val="24"/>
          <w:szCs w:val="22"/>
        </w:rPr>
        <w:t xml:space="preserve"> and prednisolone).</w:t>
      </w:r>
    </w:p>
    <w:p w:rsidR="006A12A5" w:rsidRPr="000A0484" w:rsidRDefault="006A12A5" w:rsidP="00EB0B63">
      <w:pPr>
        <w:pStyle w:val="PBACHeading1"/>
        <w:spacing w:before="240" w:after="120"/>
        <w:ind w:left="709" w:hanging="709"/>
        <w:rPr>
          <w:rFonts w:asciiTheme="minorHAnsi" w:hAnsiTheme="minorHAnsi"/>
          <w:sz w:val="32"/>
          <w:szCs w:val="32"/>
        </w:rPr>
      </w:pPr>
      <w:r w:rsidRPr="000A0484">
        <w:rPr>
          <w:rFonts w:asciiTheme="minorHAnsi" w:hAnsiTheme="minorHAnsi"/>
          <w:sz w:val="32"/>
          <w:szCs w:val="32"/>
        </w:rPr>
        <w:t>Requested listing</w:t>
      </w:r>
    </w:p>
    <w:p w:rsidR="00826F6D" w:rsidRPr="000A0484"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The </w:t>
      </w:r>
      <w:r w:rsidR="00FD63CE" w:rsidRPr="000A0484">
        <w:rPr>
          <w:rFonts w:asciiTheme="minorHAnsi" w:eastAsiaTheme="minorHAnsi" w:hAnsiTheme="minorHAnsi" w:cstheme="minorBidi"/>
          <w:snapToGrid/>
          <w:sz w:val="24"/>
          <w:szCs w:val="22"/>
        </w:rPr>
        <w:t xml:space="preserve">minor </w:t>
      </w:r>
      <w:r w:rsidR="00346A5A" w:rsidRPr="000A0484">
        <w:rPr>
          <w:rFonts w:asciiTheme="minorHAnsi" w:eastAsiaTheme="minorHAnsi" w:hAnsiTheme="minorHAnsi" w:cstheme="minorBidi"/>
          <w:snapToGrid/>
          <w:sz w:val="24"/>
          <w:szCs w:val="22"/>
        </w:rPr>
        <w:t>re</w:t>
      </w:r>
      <w:r w:rsidRPr="000A0484">
        <w:rPr>
          <w:rFonts w:asciiTheme="minorHAnsi" w:eastAsiaTheme="minorHAnsi" w:hAnsiTheme="minorHAnsi" w:cstheme="minorBidi"/>
          <w:snapToGrid/>
          <w:sz w:val="24"/>
          <w:szCs w:val="22"/>
        </w:rPr>
        <w:t xml:space="preserve">submission </w:t>
      </w:r>
      <w:r w:rsidR="00FF2801" w:rsidRPr="000A0484">
        <w:rPr>
          <w:rFonts w:asciiTheme="minorHAnsi" w:eastAsiaTheme="minorHAnsi" w:hAnsiTheme="minorHAnsi" w:cstheme="minorBidi"/>
          <w:snapToGrid/>
          <w:sz w:val="24"/>
          <w:szCs w:val="22"/>
        </w:rPr>
        <w:t>requested</w:t>
      </w:r>
      <w:r w:rsidRPr="000A0484">
        <w:rPr>
          <w:rFonts w:asciiTheme="minorHAnsi" w:eastAsiaTheme="minorHAnsi" w:hAnsiTheme="minorHAnsi" w:cstheme="minorBidi"/>
          <w:snapToGrid/>
          <w:sz w:val="24"/>
          <w:szCs w:val="22"/>
        </w:rPr>
        <w:t xml:space="preserve"> the following </w:t>
      </w:r>
      <w:r w:rsidR="0076420C" w:rsidRPr="000A0484">
        <w:rPr>
          <w:rFonts w:asciiTheme="minorHAnsi" w:eastAsiaTheme="minorHAnsi" w:hAnsiTheme="minorHAnsi" w:cstheme="minorBidi"/>
          <w:snapToGrid/>
          <w:sz w:val="24"/>
          <w:szCs w:val="22"/>
        </w:rPr>
        <w:t xml:space="preserve">new </w:t>
      </w:r>
      <w:r w:rsidRPr="000A0484">
        <w:rPr>
          <w:rFonts w:asciiTheme="minorHAnsi" w:eastAsiaTheme="minorHAnsi" w:hAnsiTheme="minorHAnsi" w:cstheme="minorBidi"/>
          <w:snapToGrid/>
          <w:sz w:val="24"/>
          <w:szCs w:val="22"/>
        </w:rPr>
        <w:t>listing</w:t>
      </w:r>
      <w:r w:rsidR="000D04C9" w:rsidRPr="000A0484">
        <w:rPr>
          <w:rFonts w:asciiTheme="minorHAnsi" w:eastAsiaTheme="minorHAnsi" w:hAnsiTheme="minorHAnsi" w:cstheme="minorBidi"/>
          <w:snapToGrid/>
          <w:sz w:val="24"/>
          <w:szCs w:val="22"/>
        </w:rPr>
        <w:t xml:space="preserve"> based o</w:t>
      </w:r>
      <w:r w:rsidR="00346A5A" w:rsidRPr="000A0484">
        <w:rPr>
          <w:rFonts w:asciiTheme="minorHAnsi" w:eastAsiaTheme="minorHAnsi" w:hAnsiTheme="minorHAnsi" w:cstheme="minorBidi"/>
          <w:snapToGrid/>
          <w:sz w:val="24"/>
          <w:szCs w:val="22"/>
        </w:rPr>
        <w:t>n</w:t>
      </w:r>
      <w:r w:rsidR="000D04C9" w:rsidRPr="000A0484">
        <w:rPr>
          <w:rFonts w:asciiTheme="minorHAnsi" w:eastAsiaTheme="minorHAnsi" w:hAnsiTheme="minorHAnsi" w:cstheme="minorBidi"/>
          <w:snapToGrid/>
          <w:sz w:val="24"/>
          <w:szCs w:val="22"/>
        </w:rPr>
        <w:t xml:space="preserve"> advice provided by the PBAC at the November 2017 meeting.</w:t>
      </w:r>
    </w:p>
    <w:p w:rsidR="0067747D" w:rsidRPr="000A0484" w:rsidRDefault="006B06FD" w:rsidP="00186BD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Suggestions and additions proposed by the </w:t>
      </w:r>
      <w:r w:rsidR="00346A5A" w:rsidRPr="000A0484">
        <w:rPr>
          <w:rFonts w:asciiTheme="minorHAnsi" w:eastAsiaTheme="minorHAnsi" w:hAnsiTheme="minorHAnsi" w:cstheme="minorBidi"/>
          <w:snapToGrid/>
          <w:sz w:val="24"/>
          <w:szCs w:val="22"/>
        </w:rPr>
        <w:t xml:space="preserve">Secretariat </w:t>
      </w:r>
      <w:r w:rsidRPr="000A0484">
        <w:rPr>
          <w:rFonts w:asciiTheme="minorHAnsi" w:eastAsiaTheme="minorHAnsi" w:hAnsiTheme="minorHAnsi" w:cstheme="minorBidi"/>
          <w:snapToGrid/>
          <w:sz w:val="24"/>
          <w:szCs w:val="22"/>
        </w:rPr>
        <w:t>to the requested listing are added in italics and suggested deletions are crossed out with strikethrough.</w:t>
      </w:r>
    </w:p>
    <w:p w:rsidR="0067747D" w:rsidRPr="000A0484" w:rsidRDefault="0067747D" w:rsidP="0067747D">
      <w:pPr>
        <w:pStyle w:val="ListParagraph"/>
        <w:widowControl/>
        <w:spacing w:after="120"/>
        <w:contextualSpacing w:val="0"/>
        <w:rPr>
          <w:rFonts w:asciiTheme="minorHAnsi" w:eastAsiaTheme="minorHAnsi" w:hAnsiTheme="minorHAnsi" w:cstheme="minorBidi"/>
          <w:snapToGrid/>
          <w:sz w:val="24"/>
          <w:szCs w:val="22"/>
        </w:rPr>
      </w:pPr>
    </w:p>
    <w:p w:rsidR="00CC5D24" w:rsidRDefault="00CC5D24">
      <w:r>
        <w:br w:type="page"/>
      </w:r>
    </w:p>
    <w:tbl>
      <w:tblPr>
        <w:tblW w:w="5000" w:type="pct"/>
        <w:tblLook w:val="0000" w:firstRow="0" w:lastRow="0" w:firstColumn="0" w:lastColumn="0" w:noHBand="0" w:noVBand="0"/>
      </w:tblPr>
      <w:tblGrid>
        <w:gridCol w:w="3283"/>
        <w:gridCol w:w="61"/>
        <w:gridCol w:w="804"/>
        <w:gridCol w:w="754"/>
        <w:gridCol w:w="1408"/>
        <w:gridCol w:w="1329"/>
        <w:gridCol w:w="1603"/>
      </w:tblGrid>
      <w:tr w:rsidR="00AF2E2A" w:rsidRPr="000A0484" w:rsidTr="00CC5D24">
        <w:trPr>
          <w:cantSplit/>
        </w:trPr>
        <w:tc>
          <w:tcPr>
            <w:tcW w:w="1776" w:type="pct"/>
            <w:tcBorders>
              <w:bottom w:val="single" w:sz="4" w:space="0" w:color="auto"/>
            </w:tcBorders>
          </w:tcPr>
          <w:p w:rsidR="00AF2E2A" w:rsidRPr="000A0484" w:rsidRDefault="00AF2E2A" w:rsidP="005C22F9">
            <w:pPr>
              <w:keepNext/>
              <w:ind w:left="-108"/>
              <w:jc w:val="both"/>
              <w:rPr>
                <w:rFonts w:ascii="Arial Narrow" w:hAnsi="Arial Narrow" w:cs="Arial"/>
                <w:sz w:val="20"/>
              </w:rPr>
            </w:pPr>
            <w:r w:rsidRPr="000A0484">
              <w:rPr>
                <w:rFonts w:ascii="Arial Narrow" w:hAnsi="Arial Narrow" w:cs="Arial"/>
                <w:sz w:val="20"/>
              </w:rPr>
              <w:lastRenderedPageBreak/>
              <w:t>Name, Restriction</w:t>
            </w:r>
          </w:p>
          <w:p w:rsidR="00AF2E2A" w:rsidRPr="000A0484" w:rsidRDefault="00AF2E2A" w:rsidP="005C22F9">
            <w:pPr>
              <w:keepNext/>
              <w:ind w:left="-108"/>
              <w:jc w:val="both"/>
              <w:rPr>
                <w:rFonts w:ascii="Arial Narrow" w:hAnsi="Arial Narrow" w:cs="Arial"/>
                <w:sz w:val="20"/>
              </w:rPr>
            </w:pPr>
            <w:r w:rsidRPr="000A0484">
              <w:rPr>
                <w:rFonts w:ascii="Arial Narrow" w:hAnsi="Arial Narrow" w:cs="Arial"/>
                <w:sz w:val="20"/>
              </w:rPr>
              <w:t>Manner of administration and form</w:t>
            </w:r>
          </w:p>
          <w:p w:rsidR="00AF2E2A" w:rsidRPr="000A0484" w:rsidRDefault="00AF2E2A" w:rsidP="005C22F9">
            <w:pPr>
              <w:keepNext/>
              <w:jc w:val="both"/>
              <w:rPr>
                <w:rFonts w:ascii="Arial Narrow" w:hAnsi="Arial Narrow" w:cs="Arial"/>
                <w:sz w:val="20"/>
              </w:rPr>
            </w:pPr>
          </w:p>
        </w:tc>
        <w:tc>
          <w:tcPr>
            <w:tcW w:w="468" w:type="pct"/>
            <w:gridSpan w:val="2"/>
            <w:tcBorders>
              <w:bottom w:val="single" w:sz="4" w:space="0" w:color="auto"/>
            </w:tcBorders>
          </w:tcPr>
          <w:p w:rsidR="00AF2E2A" w:rsidRPr="000A0484" w:rsidRDefault="00AF2E2A" w:rsidP="005C22F9">
            <w:pPr>
              <w:keepNext/>
              <w:ind w:left="-108"/>
              <w:jc w:val="both"/>
              <w:rPr>
                <w:rFonts w:ascii="Arial Narrow" w:hAnsi="Arial Narrow" w:cs="Arial"/>
                <w:sz w:val="20"/>
              </w:rPr>
            </w:pPr>
            <w:r w:rsidRPr="000A0484">
              <w:rPr>
                <w:rFonts w:ascii="Arial Narrow" w:hAnsi="Arial Narrow" w:cs="Arial"/>
                <w:sz w:val="20"/>
              </w:rPr>
              <w:t>Max.</w:t>
            </w:r>
          </w:p>
          <w:p w:rsidR="00AF2E2A" w:rsidRPr="000A0484" w:rsidRDefault="00AF2E2A" w:rsidP="005C22F9">
            <w:pPr>
              <w:keepNext/>
              <w:ind w:left="-108"/>
              <w:jc w:val="both"/>
              <w:rPr>
                <w:rFonts w:ascii="Arial Narrow" w:hAnsi="Arial Narrow" w:cs="Arial"/>
                <w:sz w:val="20"/>
              </w:rPr>
            </w:pPr>
            <w:proofErr w:type="spellStart"/>
            <w:r w:rsidRPr="000A0484">
              <w:rPr>
                <w:rFonts w:ascii="Arial Narrow" w:hAnsi="Arial Narrow" w:cs="Arial"/>
                <w:sz w:val="20"/>
              </w:rPr>
              <w:t>Qty</w:t>
            </w:r>
            <w:proofErr w:type="spellEnd"/>
          </w:p>
        </w:tc>
        <w:tc>
          <w:tcPr>
            <w:tcW w:w="408" w:type="pct"/>
            <w:tcBorders>
              <w:bottom w:val="single" w:sz="4" w:space="0" w:color="auto"/>
            </w:tcBorders>
          </w:tcPr>
          <w:p w:rsidR="00AF2E2A" w:rsidRPr="000A0484" w:rsidRDefault="00AF2E2A" w:rsidP="005C22F9">
            <w:pPr>
              <w:keepNext/>
              <w:ind w:left="-108"/>
              <w:rPr>
                <w:rFonts w:ascii="Arial Narrow" w:hAnsi="Arial Narrow" w:cs="Arial"/>
                <w:sz w:val="20"/>
              </w:rPr>
            </w:pPr>
            <w:r w:rsidRPr="000A0484">
              <w:rPr>
                <w:rFonts w:ascii="Arial Narrow" w:hAnsi="Arial Narrow" w:cs="Arial"/>
                <w:sz w:val="20"/>
              </w:rPr>
              <w:t>№. of Rpts</w:t>
            </w:r>
          </w:p>
        </w:tc>
        <w:tc>
          <w:tcPr>
            <w:tcW w:w="762" w:type="pct"/>
            <w:tcBorders>
              <w:bottom w:val="single" w:sz="4" w:space="0" w:color="auto"/>
            </w:tcBorders>
          </w:tcPr>
          <w:p w:rsidR="00AF2E2A" w:rsidRPr="000A0484" w:rsidRDefault="00AF2E2A" w:rsidP="005C22F9">
            <w:pPr>
              <w:keepNext/>
              <w:ind w:left="-108"/>
              <w:rPr>
                <w:rFonts w:ascii="Arial Narrow" w:hAnsi="Arial Narrow" w:cs="Arial"/>
                <w:sz w:val="20"/>
              </w:rPr>
            </w:pPr>
            <w:r w:rsidRPr="000A0484">
              <w:rPr>
                <w:rFonts w:ascii="Arial Narrow" w:hAnsi="Arial Narrow" w:cs="Arial"/>
                <w:sz w:val="20"/>
              </w:rPr>
              <w:t xml:space="preserve">Dispensed Price for Max. </w:t>
            </w:r>
            <w:proofErr w:type="spellStart"/>
            <w:r w:rsidRPr="000A0484">
              <w:rPr>
                <w:rFonts w:ascii="Arial Narrow" w:hAnsi="Arial Narrow" w:cs="Arial"/>
                <w:sz w:val="20"/>
              </w:rPr>
              <w:t>Qty</w:t>
            </w:r>
            <w:proofErr w:type="spellEnd"/>
          </w:p>
        </w:tc>
        <w:tc>
          <w:tcPr>
            <w:tcW w:w="1587" w:type="pct"/>
            <w:gridSpan w:val="2"/>
            <w:tcBorders>
              <w:bottom w:val="single" w:sz="4" w:space="0" w:color="auto"/>
            </w:tcBorders>
          </w:tcPr>
          <w:p w:rsidR="00AF2E2A" w:rsidRPr="000A0484" w:rsidRDefault="00AF2E2A" w:rsidP="005C22F9">
            <w:pPr>
              <w:keepNext/>
              <w:rPr>
                <w:rFonts w:ascii="Arial Narrow" w:hAnsi="Arial Narrow" w:cs="Arial"/>
                <w:sz w:val="20"/>
              </w:rPr>
            </w:pPr>
            <w:r w:rsidRPr="000A0484">
              <w:rPr>
                <w:rFonts w:ascii="Arial Narrow" w:hAnsi="Arial Narrow" w:cs="Arial"/>
                <w:sz w:val="20"/>
              </w:rPr>
              <w:t>Proprietary Name and Manufacturer</w:t>
            </w:r>
          </w:p>
        </w:tc>
      </w:tr>
      <w:tr w:rsidR="00AF2E2A" w:rsidRPr="000A0484" w:rsidTr="00CC5D24">
        <w:trPr>
          <w:cantSplit/>
        </w:trPr>
        <w:tc>
          <w:tcPr>
            <w:tcW w:w="1776" w:type="pct"/>
          </w:tcPr>
          <w:p w:rsidR="00AF2E2A" w:rsidRPr="000A0484" w:rsidRDefault="00AF2E2A" w:rsidP="005C22F9">
            <w:pPr>
              <w:keepNext/>
              <w:ind w:left="-108"/>
              <w:jc w:val="both"/>
              <w:rPr>
                <w:rFonts w:ascii="Arial Narrow" w:hAnsi="Arial Narrow" w:cs="Arial"/>
                <w:b/>
                <w:smallCaps/>
                <w:sz w:val="20"/>
              </w:rPr>
            </w:pPr>
            <w:r w:rsidRPr="000A0484">
              <w:rPr>
                <w:rFonts w:ascii="Arial Narrow" w:hAnsi="Arial Narrow" w:cs="Arial"/>
                <w:b/>
                <w:smallCaps/>
                <w:sz w:val="20"/>
              </w:rPr>
              <w:t>BUDESONIDE</w:t>
            </w:r>
          </w:p>
          <w:p w:rsidR="00AF2E2A" w:rsidRPr="000A0484" w:rsidRDefault="00AF2E2A" w:rsidP="005C22F9">
            <w:pPr>
              <w:keepNext/>
              <w:ind w:left="-108"/>
              <w:jc w:val="both"/>
              <w:rPr>
                <w:rFonts w:ascii="Arial Narrow" w:hAnsi="Arial Narrow" w:cs="Arial"/>
                <w:sz w:val="20"/>
              </w:rPr>
            </w:pPr>
            <w:r w:rsidRPr="000A0484">
              <w:rPr>
                <w:rFonts w:ascii="Arial Narrow" w:hAnsi="Arial Narrow" w:cs="Arial"/>
                <w:sz w:val="20"/>
              </w:rPr>
              <w:t>Oral, 3 mg modified release capsule</w:t>
            </w:r>
          </w:p>
        </w:tc>
        <w:tc>
          <w:tcPr>
            <w:tcW w:w="468" w:type="pct"/>
            <w:gridSpan w:val="2"/>
          </w:tcPr>
          <w:p w:rsidR="00AF2E2A" w:rsidRPr="000A0484" w:rsidRDefault="00AF2E2A" w:rsidP="000D04C9">
            <w:pPr>
              <w:keepNext/>
              <w:rPr>
                <w:rFonts w:ascii="Arial Narrow" w:hAnsi="Arial Narrow" w:cs="Arial"/>
                <w:sz w:val="20"/>
              </w:rPr>
            </w:pPr>
            <w:r w:rsidRPr="000A0484">
              <w:rPr>
                <w:rFonts w:ascii="Arial Narrow" w:hAnsi="Arial Narrow" w:cs="Arial"/>
                <w:sz w:val="20"/>
              </w:rPr>
              <w:t>90</w:t>
            </w:r>
          </w:p>
        </w:tc>
        <w:tc>
          <w:tcPr>
            <w:tcW w:w="408" w:type="pct"/>
          </w:tcPr>
          <w:p w:rsidR="00AF2E2A" w:rsidRPr="000A0484" w:rsidRDefault="00AF2E2A" w:rsidP="000D04C9">
            <w:pPr>
              <w:keepNext/>
              <w:ind w:left="-108"/>
              <w:rPr>
                <w:rFonts w:ascii="Arial Narrow" w:hAnsi="Arial Narrow" w:cs="Arial"/>
                <w:sz w:val="20"/>
              </w:rPr>
            </w:pPr>
            <w:r w:rsidRPr="000A0484">
              <w:rPr>
                <w:rFonts w:ascii="Arial Narrow" w:hAnsi="Arial Narrow" w:cs="Arial"/>
                <w:sz w:val="20"/>
              </w:rPr>
              <w:t>2</w:t>
            </w:r>
          </w:p>
        </w:tc>
        <w:tc>
          <w:tcPr>
            <w:tcW w:w="762" w:type="pct"/>
          </w:tcPr>
          <w:p w:rsidR="00AF2E2A" w:rsidRPr="000A0484" w:rsidRDefault="00AF2E2A" w:rsidP="000D04C9">
            <w:pPr>
              <w:keepNext/>
              <w:ind w:left="-108"/>
              <w:rPr>
                <w:rFonts w:ascii="Arial Narrow" w:hAnsi="Arial Narrow" w:cs="Arial"/>
                <w:sz w:val="20"/>
              </w:rPr>
            </w:pPr>
            <w:r w:rsidRPr="000A0484">
              <w:rPr>
                <w:rFonts w:ascii="Arial Narrow" w:hAnsi="Arial Narrow" w:cs="Arial"/>
                <w:sz w:val="20"/>
              </w:rPr>
              <w:t>$</w:t>
            </w:r>
            <w:r w:rsidR="0086342F">
              <w:rPr>
                <w:rFonts w:ascii="Arial Narrow" w:hAnsi="Arial Narrow" w:cs="Arial"/>
                <w:noProof/>
                <w:color w:val="000000"/>
                <w:sz w:val="20"/>
                <w:highlight w:val="black"/>
              </w:rPr>
              <w:t>''''''''''''''''</w:t>
            </w:r>
          </w:p>
        </w:tc>
        <w:tc>
          <w:tcPr>
            <w:tcW w:w="719" w:type="pct"/>
          </w:tcPr>
          <w:p w:rsidR="00AF2E2A" w:rsidRPr="000A0484" w:rsidRDefault="000D04C9" w:rsidP="000D04C9">
            <w:pPr>
              <w:keepNext/>
              <w:rPr>
                <w:rFonts w:ascii="Arial Narrow" w:hAnsi="Arial Narrow" w:cs="Arial"/>
                <w:sz w:val="20"/>
              </w:rPr>
            </w:pPr>
            <w:proofErr w:type="spellStart"/>
            <w:r w:rsidRPr="000A0484">
              <w:rPr>
                <w:rFonts w:ascii="Arial Narrow" w:hAnsi="Arial Narrow" w:cs="Arial"/>
                <w:sz w:val="20"/>
              </w:rPr>
              <w:t>Entocort</w:t>
            </w:r>
            <w:proofErr w:type="spellEnd"/>
            <w:r w:rsidR="006B06FD" w:rsidRPr="000A0484">
              <w:rPr>
                <w:rFonts w:ascii="Arial Narrow" w:hAnsi="Arial Narrow" w:cs="Arial"/>
                <w:sz w:val="20"/>
              </w:rPr>
              <w:t>®</w:t>
            </w:r>
          </w:p>
        </w:tc>
        <w:tc>
          <w:tcPr>
            <w:tcW w:w="868" w:type="pct"/>
          </w:tcPr>
          <w:p w:rsidR="00AF2E2A" w:rsidRPr="000A0484" w:rsidRDefault="00AF2E2A" w:rsidP="005C22F9">
            <w:pPr>
              <w:keepNext/>
              <w:rPr>
                <w:rFonts w:ascii="Arial Narrow" w:hAnsi="Arial Narrow" w:cs="Arial"/>
                <w:sz w:val="20"/>
              </w:rPr>
            </w:pPr>
            <w:r w:rsidRPr="000A0484">
              <w:rPr>
                <w:rFonts w:ascii="Arial Narrow" w:hAnsi="Arial Narrow" w:cs="Arial"/>
                <w:sz w:val="20"/>
              </w:rPr>
              <w:t>Emerge Health</w:t>
            </w:r>
          </w:p>
        </w:tc>
      </w:tr>
      <w:tr w:rsidR="00AF2E2A" w:rsidRPr="000A0484" w:rsidTr="00CC5D24">
        <w:trPr>
          <w:cantSplit/>
        </w:trPr>
        <w:tc>
          <w:tcPr>
            <w:tcW w:w="1809" w:type="pct"/>
            <w:gridSpan w:val="2"/>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b/>
                <w:sz w:val="20"/>
              </w:rPr>
            </w:pPr>
            <w:r w:rsidRPr="000A0484">
              <w:rPr>
                <w:rFonts w:ascii="Arial Narrow" w:hAnsi="Arial Narrow" w:cs="Arial"/>
                <w:b/>
                <w:sz w:val="20"/>
              </w:rPr>
              <w:t xml:space="preserve">Category/Program </w:t>
            </w:r>
          </w:p>
        </w:tc>
        <w:tc>
          <w:tcPr>
            <w:tcW w:w="3191" w:type="pct"/>
            <w:gridSpan w:val="5"/>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sz w:val="20"/>
              </w:rPr>
            </w:pPr>
            <w:r w:rsidRPr="000A0484">
              <w:rPr>
                <w:rFonts w:ascii="Arial Narrow" w:hAnsi="Arial Narrow"/>
                <w:sz w:val="20"/>
              </w:rPr>
              <w:t>Section 85 (general schedule)</w:t>
            </w:r>
          </w:p>
        </w:tc>
      </w:tr>
      <w:tr w:rsidR="00AF2E2A" w:rsidRPr="000A0484" w:rsidTr="00CC5D24">
        <w:trPr>
          <w:cantSplit/>
        </w:trPr>
        <w:tc>
          <w:tcPr>
            <w:tcW w:w="1809" w:type="pct"/>
            <w:gridSpan w:val="2"/>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b/>
                <w:sz w:val="20"/>
              </w:rPr>
            </w:pPr>
            <w:r w:rsidRPr="000A0484">
              <w:rPr>
                <w:rFonts w:ascii="Arial Narrow" w:hAnsi="Arial Narrow" w:cs="Arial"/>
                <w:b/>
                <w:sz w:val="20"/>
              </w:rPr>
              <w:t>Prescriber type:</w:t>
            </w:r>
          </w:p>
        </w:tc>
        <w:tc>
          <w:tcPr>
            <w:tcW w:w="3191" w:type="pct"/>
            <w:gridSpan w:val="5"/>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sz w:val="20"/>
              </w:rPr>
            </w:pPr>
            <w:r w:rsidRPr="005F3630">
              <w:rPr>
                <w:rFonts w:ascii="Arial Narrow" w:hAnsi="Arial Narrow" w:cs="Arial"/>
                <w:sz w:val="20"/>
              </w:rPr>
              <w:fldChar w:fldCharType="begin">
                <w:ffData>
                  <w:name w:val="Check5"/>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5F3630">
              <w:rPr>
                <w:rFonts w:ascii="Arial Narrow" w:hAnsi="Arial Narrow" w:cs="Arial"/>
                <w:sz w:val="20"/>
              </w:rPr>
              <w:fldChar w:fldCharType="end"/>
            </w:r>
            <w:r w:rsidRPr="000A0484">
              <w:rPr>
                <w:rFonts w:ascii="Arial Narrow" w:hAnsi="Arial Narrow" w:cs="Arial"/>
                <w:sz w:val="20"/>
              </w:rPr>
              <w:t xml:space="preserve">Dental  </w:t>
            </w:r>
            <w:r w:rsidRPr="005F3630">
              <w:rPr>
                <w:rFonts w:ascii="Arial Narrow" w:hAnsi="Arial Narrow" w:cs="Arial"/>
                <w:sz w:val="20"/>
              </w:rPr>
              <w:fldChar w:fldCharType="begin">
                <w:ffData>
                  <w:name w:val=""/>
                  <w:enabled/>
                  <w:calcOnExit w:val="0"/>
                  <w:checkBox>
                    <w:sizeAuto/>
                    <w:default w:val="1"/>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5F3630">
              <w:rPr>
                <w:rFonts w:ascii="Arial Narrow" w:hAnsi="Arial Narrow" w:cs="Arial"/>
                <w:sz w:val="20"/>
              </w:rPr>
              <w:fldChar w:fldCharType="end"/>
            </w:r>
            <w:r w:rsidRPr="000A0484">
              <w:rPr>
                <w:rFonts w:ascii="Arial Narrow" w:hAnsi="Arial Narrow" w:cs="Arial"/>
                <w:sz w:val="20"/>
              </w:rPr>
              <w:t xml:space="preserve">Medical Practitioners  </w:t>
            </w:r>
            <w:r w:rsidRPr="005F3630">
              <w:rPr>
                <w:rFonts w:ascii="Arial Narrow" w:hAnsi="Arial Narrow" w:cs="Arial"/>
                <w:sz w:val="20"/>
              </w:rPr>
              <w:fldChar w:fldCharType="begin">
                <w:ffData>
                  <w:name w:val="Check3"/>
                  <w:enabled/>
                  <w:calcOnExit w:val="0"/>
                  <w:checkBox>
                    <w:sizeAuto/>
                    <w:default w:val="1"/>
                  </w:checkBox>
                </w:ffData>
              </w:fldChar>
            </w:r>
            <w:bookmarkStart w:id="0" w:name="Check3"/>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5F3630">
              <w:rPr>
                <w:rFonts w:ascii="Arial Narrow" w:hAnsi="Arial Narrow" w:cs="Arial"/>
                <w:sz w:val="20"/>
              </w:rPr>
              <w:fldChar w:fldCharType="end"/>
            </w:r>
            <w:bookmarkEnd w:id="0"/>
            <w:r w:rsidRPr="000A0484">
              <w:rPr>
                <w:rFonts w:ascii="Arial Narrow" w:hAnsi="Arial Narrow" w:cs="Arial"/>
                <w:sz w:val="20"/>
              </w:rPr>
              <w:t xml:space="preserve">Nurse practitioners  </w:t>
            </w:r>
            <w:r w:rsidRPr="005F3630">
              <w:rPr>
                <w:rFonts w:ascii="Arial Narrow" w:hAnsi="Arial Narrow" w:cs="Arial"/>
                <w:sz w:val="20"/>
              </w:rPr>
              <w:fldChar w:fldCharType="begin">
                <w:ffData>
                  <w:name w:val=""/>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5F3630">
              <w:rPr>
                <w:rFonts w:ascii="Arial Narrow" w:hAnsi="Arial Narrow" w:cs="Arial"/>
                <w:sz w:val="20"/>
              </w:rPr>
              <w:fldChar w:fldCharType="end"/>
            </w:r>
            <w:r w:rsidRPr="000A0484">
              <w:rPr>
                <w:rFonts w:ascii="Arial Narrow" w:hAnsi="Arial Narrow" w:cs="Arial"/>
                <w:sz w:val="20"/>
              </w:rPr>
              <w:t>Optometrists</w:t>
            </w:r>
          </w:p>
          <w:p w:rsidR="00AF2E2A" w:rsidRPr="000A0484" w:rsidRDefault="00AF2E2A" w:rsidP="005C22F9">
            <w:pPr>
              <w:rPr>
                <w:rFonts w:ascii="Arial Narrow" w:hAnsi="Arial Narrow" w:cs="Arial"/>
                <w:sz w:val="20"/>
              </w:rPr>
            </w:pPr>
            <w:r w:rsidRPr="005F3630">
              <w:rPr>
                <w:rFonts w:ascii="Arial Narrow" w:hAnsi="Arial Narrow" w:cs="Arial"/>
                <w:sz w:val="20"/>
              </w:rPr>
              <w:fldChar w:fldCharType="begin">
                <w:ffData>
                  <w:name w:val="Check5"/>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5F3630">
              <w:rPr>
                <w:rFonts w:ascii="Arial Narrow" w:hAnsi="Arial Narrow" w:cs="Arial"/>
                <w:sz w:val="20"/>
              </w:rPr>
              <w:fldChar w:fldCharType="end"/>
            </w:r>
            <w:r w:rsidRPr="000A0484">
              <w:rPr>
                <w:rFonts w:ascii="Arial Narrow" w:hAnsi="Arial Narrow" w:cs="Arial"/>
                <w:sz w:val="20"/>
              </w:rPr>
              <w:t>Midwives</w:t>
            </w:r>
          </w:p>
        </w:tc>
      </w:tr>
      <w:tr w:rsidR="00AF2E2A" w:rsidRPr="000A0484" w:rsidTr="00CC5D24">
        <w:trPr>
          <w:cantSplit/>
        </w:trPr>
        <w:tc>
          <w:tcPr>
            <w:tcW w:w="1809" w:type="pct"/>
            <w:gridSpan w:val="2"/>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b/>
                <w:sz w:val="20"/>
              </w:rPr>
            </w:pPr>
            <w:r w:rsidRPr="000A0484">
              <w:rPr>
                <w:rFonts w:ascii="Arial Narrow" w:hAnsi="Arial Narrow" w:cs="Arial"/>
                <w:b/>
                <w:sz w:val="20"/>
              </w:rPr>
              <w:t>Severity:</w:t>
            </w:r>
          </w:p>
        </w:tc>
        <w:tc>
          <w:tcPr>
            <w:tcW w:w="3191" w:type="pct"/>
            <w:gridSpan w:val="5"/>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sz w:val="20"/>
              </w:rPr>
            </w:pPr>
            <w:r w:rsidRPr="000A0484">
              <w:rPr>
                <w:rFonts w:ascii="Arial Narrow" w:hAnsi="Arial Narrow"/>
                <w:sz w:val="20"/>
              </w:rPr>
              <w:t xml:space="preserve">Mild to moderate </w:t>
            </w:r>
          </w:p>
        </w:tc>
      </w:tr>
      <w:tr w:rsidR="00AF2E2A" w:rsidRPr="000A0484" w:rsidTr="00CC5D24">
        <w:trPr>
          <w:cantSplit/>
        </w:trPr>
        <w:tc>
          <w:tcPr>
            <w:tcW w:w="1809" w:type="pct"/>
            <w:gridSpan w:val="2"/>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b/>
                <w:sz w:val="20"/>
              </w:rPr>
            </w:pPr>
            <w:r w:rsidRPr="000A0484">
              <w:rPr>
                <w:rFonts w:ascii="Arial Narrow" w:hAnsi="Arial Narrow" w:cs="Arial"/>
                <w:b/>
                <w:sz w:val="20"/>
              </w:rPr>
              <w:t>Condition:</w:t>
            </w:r>
          </w:p>
        </w:tc>
        <w:tc>
          <w:tcPr>
            <w:tcW w:w="3191" w:type="pct"/>
            <w:gridSpan w:val="5"/>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sz w:val="20"/>
              </w:rPr>
            </w:pPr>
            <w:r w:rsidRPr="000A0484">
              <w:rPr>
                <w:rFonts w:ascii="Arial Narrow" w:hAnsi="Arial Narrow"/>
                <w:sz w:val="20"/>
              </w:rPr>
              <w:t>Crohn</w:t>
            </w:r>
            <w:r w:rsidRPr="000A0484">
              <w:rPr>
                <w:rFonts w:ascii="Arial Narrow" w:hAnsi="Arial Narrow"/>
                <w:strike/>
                <w:sz w:val="20"/>
              </w:rPr>
              <w:t>’s</w:t>
            </w:r>
            <w:r w:rsidRPr="000A0484">
              <w:rPr>
                <w:rFonts w:ascii="Arial Narrow" w:hAnsi="Arial Narrow"/>
                <w:sz w:val="20"/>
              </w:rPr>
              <w:t xml:space="preserve"> disease</w:t>
            </w:r>
          </w:p>
        </w:tc>
      </w:tr>
      <w:tr w:rsidR="00AF2E2A" w:rsidRPr="000A0484" w:rsidTr="00CC5D24">
        <w:trPr>
          <w:cantSplit/>
        </w:trPr>
        <w:tc>
          <w:tcPr>
            <w:tcW w:w="1809" w:type="pct"/>
            <w:gridSpan w:val="2"/>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b/>
                <w:sz w:val="20"/>
              </w:rPr>
            </w:pPr>
            <w:r w:rsidRPr="000A0484">
              <w:rPr>
                <w:rFonts w:ascii="Arial Narrow" w:hAnsi="Arial Narrow" w:cs="Arial"/>
                <w:b/>
                <w:sz w:val="20"/>
              </w:rPr>
              <w:t>PBS Indication:</w:t>
            </w:r>
          </w:p>
        </w:tc>
        <w:tc>
          <w:tcPr>
            <w:tcW w:w="3191" w:type="pct"/>
            <w:gridSpan w:val="5"/>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sz w:val="20"/>
              </w:rPr>
            </w:pPr>
            <w:r w:rsidRPr="000A0484">
              <w:rPr>
                <w:rFonts w:ascii="Arial Narrow" w:hAnsi="Arial Narrow"/>
                <w:sz w:val="20"/>
              </w:rPr>
              <w:t>Mild to moderate Crohn</w:t>
            </w:r>
            <w:r w:rsidRPr="000A0484">
              <w:rPr>
                <w:rFonts w:ascii="Arial Narrow" w:hAnsi="Arial Narrow"/>
                <w:strike/>
                <w:sz w:val="20"/>
              </w:rPr>
              <w:t>’s</w:t>
            </w:r>
            <w:r w:rsidRPr="000A0484">
              <w:rPr>
                <w:rFonts w:ascii="Arial Narrow" w:hAnsi="Arial Narrow"/>
                <w:sz w:val="20"/>
              </w:rPr>
              <w:t xml:space="preserve"> disease </w:t>
            </w:r>
          </w:p>
        </w:tc>
      </w:tr>
      <w:tr w:rsidR="00AF2E2A" w:rsidRPr="000A0484" w:rsidTr="00CC5D24">
        <w:trPr>
          <w:cantSplit/>
        </w:trPr>
        <w:tc>
          <w:tcPr>
            <w:tcW w:w="1809" w:type="pct"/>
            <w:gridSpan w:val="2"/>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b/>
                <w:sz w:val="20"/>
              </w:rPr>
            </w:pPr>
            <w:r w:rsidRPr="000A0484">
              <w:rPr>
                <w:rFonts w:ascii="Arial Narrow" w:hAnsi="Arial Narrow" w:cs="Arial"/>
                <w:b/>
                <w:sz w:val="20"/>
              </w:rPr>
              <w:t>Restriction:</w:t>
            </w:r>
          </w:p>
          <w:p w:rsidR="00AF2E2A" w:rsidRPr="000A0484" w:rsidRDefault="00AF2E2A" w:rsidP="0042792D">
            <w:pPr>
              <w:rPr>
                <w:rFonts w:ascii="Arial Narrow" w:hAnsi="Arial Narrow" w:cs="Arial"/>
                <w:sz w:val="20"/>
              </w:rPr>
            </w:pPr>
          </w:p>
        </w:tc>
        <w:tc>
          <w:tcPr>
            <w:tcW w:w="3191" w:type="pct"/>
            <w:gridSpan w:val="5"/>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sz w:val="20"/>
              </w:rPr>
            </w:pPr>
            <w:r w:rsidRPr="005F3630">
              <w:rPr>
                <w:rFonts w:ascii="Arial Narrow" w:hAnsi="Arial Narrow" w:cs="Arial"/>
                <w:sz w:val="20"/>
              </w:rPr>
              <w:fldChar w:fldCharType="begin">
                <w:ffData>
                  <w:name w:val="Check1"/>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5F3630">
              <w:rPr>
                <w:rFonts w:ascii="Arial Narrow" w:hAnsi="Arial Narrow" w:cs="Arial"/>
                <w:sz w:val="20"/>
              </w:rPr>
              <w:fldChar w:fldCharType="end"/>
            </w:r>
            <w:r w:rsidRPr="000A0484">
              <w:rPr>
                <w:rFonts w:ascii="Arial Narrow" w:hAnsi="Arial Narrow" w:cs="Arial"/>
                <w:sz w:val="20"/>
              </w:rPr>
              <w:t>Restricted benefit</w:t>
            </w:r>
          </w:p>
          <w:p w:rsidR="00AF2E2A" w:rsidRPr="000A0484" w:rsidRDefault="00AF2E2A" w:rsidP="005C22F9">
            <w:pPr>
              <w:rPr>
                <w:rFonts w:ascii="Arial Narrow" w:hAnsi="Arial Narrow" w:cs="Arial"/>
                <w:sz w:val="20"/>
              </w:rPr>
            </w:pPr>
            <w:r w:rsidRPr="005F3630">
              <w:rPr>
                <w:rFonts w:ascii="Arial Narrow" w:hAnsi="Arial Narrow" w:cs="Arial"/>
                <w:sz w:val="20"/>
              </w:rPr>
              <w:fldChar w:fldCharType="begin">
                <w:ffData>
                  <w:name w:val=""/>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5F3630">
              <w:rPr>
                <w:rFonts w:ascii="Arial Narrow" w:hAnsi="Arial Narrow" w:cs="Arial"/>
                <w:sz w:val="20"/>
              </w:rPr>
              <w:fldChar w:fldCharType="end"/>
            </w:r>
            <w:r w:rsidRPr="000A0484">
              <w:rPr>
                <w:rFonts w:ascii="Arial Narrow" w:hAnsi="Arial Narrow" w:cs="Arial"/>
                <w:sz w:val="20"/>
              </w:rPr>
              <w:t>Authority Required - In Writing</w:t>
            </w:r>
          </w:p>
          <w:p w:rsidR="00AF2E2A" w:rsidRPr="000A0484" w:rsidRDefault="00AF2E2A" w:rsidP="005C22F9">
            <w:pPr>
              <w:rPr>
                <w:rFonts w:ascii="Arial Narrow" w:hAnsi="Arial Narrow" w:cs="Arial"/>
                <w:sz w:val="20"/>
              </w:rPr>
            </w:pPr>
            <w:r w:rsidRPr="005F3630">
              <w:rPr>
                <w:rFonts w:ascii="Arial Narrow" w:hAnsi="Arial Narrow" w:cs="Arial"/>
                <w:sz w:val="20"/>
              </w:rPr>
              <w:fldChar w:fldCharType="begin">
                <w:ffData>
                  <w:name w:val="Check3"/>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5F3630">
              <w:rPr>
                <w:rFonts w:ascii="Arial Narrow" w:hAnsi="Arial Narrow" w:cs="Arial"/>
                <w:sz w:val="20"/>
              </w:rPr>
              <w:fldChar w:fldCharType="end"/>
            </w:r>
            <w:r w:rsidRPr="000A0484">
              <w:rPr>
                <w:rFonts w:ascii="Arial Narrow" w:hAnsi="Arial Narrow" w:cs="Arial"/>
                <w:sz w:val="20"/>
              </w:rPr>
              <w:t>Authority Required - Telephone</w:t>
            </w:r>
          </w:p>
          <w:p w:rsidR="00AF2E2A" w:rsidRPr="000A0484" w:rsidRDefault="00AF2E2A" w:rsidP="005C22F9">
            <w:pPr>
              <w:rPr>
                <w:rFonts w:ascii="Arial Narrow" w:hAnsi="Arial Narrow" w:cs="Arial"/>
                <w:sz w:val="20"/>
              </w:rPr>
            </w:pPr>
            <w:r w:rsidRPr="005F3630">
              <w:rPr>
                <w:rFonts w:ascii="Arial Narrow" w:hAnsi="Arial Narrow" w:cs="Arial"/>
                <w:sz w:val="20"/>
              </w:rPr>
              <w:fldChar w:fldCharType="begin">
                <w:ffData>
                  <w:name w:val=""/>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5F3630">
              <w:rPr>
                <w:rFonts w:ascii="Arial Narrow" w:hAnsi="Arial Narrow" w:cs="Arial"/>
                <w:sz w:val="20"/>
              </w:rPr>
              <w:fldChar w:fldCharType="end"/>
            </w:r>
            <w:r w:rsidRPr="000A0484">
              <w:rPr>
                <w:rFonts w:ascii="Arial Narrow" w:hAnsi="Arial Narrow" w:cs="Arial"/>
                <w:sz w:val="20"/>
              </w:rPr>
              <w:t>Authority Required – Emergency</w:t>
            </w:r>
          </w:p>
          <w:p w:rsidR="00AF2E2A" w:rsidRPr="000A0484" w:rsidRDefault="00AF2E2A" w:rsidP="005C22F9">
            <w:pPr>
              <w:rPr>
                <w:rFonts w:ascii="Arial Narrow" w:hAnsi="Arial Narrow" w:cs="Arial"/>
                <w:sz w:val="20"/>
              </w:rPr>
            </w:pPr>
            <w:r w:rsidRPr="005F3630">
              <w:rPr>
                <w:rFonts w:ascii="Arial Narrow" w:hAnsi="Arial Narrow" w:cs="Arial"/>
                <w:sz w:val="20"/>
              </w:rPr>
              <w:fldChar w:fldCharType="begin">
                <w:ffData>
                  <w:name w:val="Check5"/>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5F3630">
              <w:rPr>
                <w:rFonts w:ascii="Arial Narrow" w:hAnsi="Arial Narrow" w:cs="Arial"/>
                <w:sz w:val="20"/>
              </w:rPr>
              <w:fldChar w:fldCharType="end"/>
            </w:r>
            <w:r w:rsidRPr="000A0484">
              <w:rPr>
                <w:rFonts w:ascii="Arial Narrow" w:hAnsi="Arial Narrow" w:cs="Arial"/>
                <w:sz w:val="20"/>
              </w:rPr>
              <w:t>Authority Required - Electronic</w:t>
            </w:r>
          </w:p>
          <w:p w:rsidR="00AF2E2A" w:rsidRPr="000A0484" w:rsidRDefault="00AF2E2A" w:rsidP="005C22F9">
            <w:pPr>
              <w:rPr>
                <w:rFonts w:ascii="Arial Narrow" w:hAnsi="Arial Narrow"/>
                <w:sz w:val="20"/>
              </w:rPr>
            </w:pPr>
            <w:r w:rsidRPr="005F3630">
              <w:rPr>
                <w:rFonts w:ascii="Arial Narrow" w:hAnsi="Arial Narrow" w:cs="Arial"/>
                <w:sz w:val="20"/>
              </w:rPr>
              <w:fldChar w:fldCharType="begin">
                <w:ffData>
                  <w:name w:val="Check5"/>
                  <w:enabled/>
                  <w:calcOnExit w:val="0"/>
                  <w:checkBox>
                    <w:sizeAuto/>
                    <w:default w:val="1"/>
                  </w:checkBox>
                </w:ffData>
              </w:fldChar>
            </w:r>
            <w:bookmarkStart w:id="1" w:name="Check5"/>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5F3630">
              <w:rPr>
                <w:rFonts w:ascii="Arial Narrow" w:hAnsi="Arial Narrow" w:cs="Arial"/>
                <w:sz w:val="20"/>
              </w:rPr>
              <w:fldChar w:fldCharType="end"/>
            </w:r>
            <w:bookmarkEnd w:id="1"/>
            <w:r w:rsidRPr="000A0484">
              <w:rPr>
                <w:rFonts w:ascii="Arial Narrow" w:hAnsi="Arial Narrow" w:cs="Arial"/>
                <w:sz w:val="20"/>
              </w:rPr>
              <w:t>Streamlined</w:t>
            </w:r>
          </w:p>
        </w:tc>
      </w:tr>
      <w:tr w:rsidR="00AF2E2A" w:rsidRPr="000A0484" w:rsidTr="00CC5D24">
        <w:trPr>
          <w:cantSplit/>
        </w:trPr>
        <w:tc>
          <w:tcPr>
            <w:tcW w:w="1809" w:type="pct"/>
            <w:gridSpan w:val="2"/>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b/>
                <w:sz w:val="20"/>
              </w:rPr>
            </w:pPr>
            <w:r w:rsidRPr="000A0484">
              <w:rPr>
                <w:rFonts w:ascii="Arial Narrow" w:hAnsi="Arial Narrow" w:cs="Arial"/>
                <w:b/>
                <w:sz w:val="20"/>
              </w:rPr>
              <w:t>Treatment criteria:</w:t>
            </w:r>
          </w:p>
        </w:tc>
        <w:tc>
          <w:tcPr>
            <w:tcW w:w="3191" w:type="pct"/>
            <w:gridSpan w:val="5"/>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sz w:val="20"/>
              </w:rPr>
            </w:pPr>
            <w:r w:rsidRPr="000A0484">
              <w:rPr>
                <w:rFonts w:ascii="Arial Narrow" w:hAnsi="Arial Narrow"/>
                <w:sz w:val="20"/>
              </w:rPr>
              <w:t xml:space="preserve">Must be treated by a gastroenterologist </w:t>
            </w:r>
          </w:p>
        </w:tc>
      </w:tr>
      <w:tr w:rsidR="00AF2E2A" w:rsidRPr="000A0484" w:rsidTr="00CC5D24">
        <w:trPr>
          <w:cantSplit/>
        </w:trPr>
        <w:tc>
          <w:tcPr>
            <w:tcW w:w="1809" w:type="pct"/>
            <w:gridSpan w:val="2"/>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b/>
                <w:sz w:val="20"/>
              </w:rPr>
            </w:pPr>
            <w:r w:rsidRPr="000A0484">
              <w:rPr>
                <w:rFonts w:ascii="Arial Narrow" w:hAnsi="Arial Narrow" w:cs="Arial"/>
                <w:b/>
                <w:sz w:val="20"/>
              </w:rPr>
              <w:t>Clinical criteria:</w:t>
            </w:r>
          </w:p>
          <w:p w:rsidR="00AF2E2A" w:rsidRPr="000A0484" w:rsidRDefault="00AF2E2A" w:rsidP="005C22F9">
            <w:pPr>
              <w:rPr>
                <w:rFonts w:ascii="Arial Narrow" w:hAnsi="Arial Narrow" w:cs="Arial"/>
                <w:i/>
                <w:sz w:val="20"/>
              </w:rPr>
            </w:pPr>
          </w:p>
          <w:p w:rsidR="00AF2E2A" w:rsidRPr="000A0484" w:rsidRDefault="00AF2E2A" w:rsidP="005C22F9">
            <w:pPr>
              <w:rPr>
                <w:rFonts w:ascii="Arial Narrow" w:hAnsi="Arial Narrow" w:cs="Arial"/>
                <w:sz w:val="20"/>
              </w:rPr>
            </w:pPr>
          </w:p>
        </w:tc>
        <w:tc>
          <w:tcPr>
            <w:tcW w:w="3191" w:type="pct"/>
            <w:gridSpan w:val="5"/>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contextualSpacing/>
              <w:rPr>
                <w:rFonts w:ascii="Arial Narrow" w:hAnsi="Arial Narrow" w:cs="Arial"/>
                <w:sz w:val="20"/>
              </w:rPr>
            </w:pPr>
            <w:r w:rsidRPr="000A0484">
              <w:rPr>
                <w:rFonts w:ascii="Arial Narrow" w:hAnsi="Arial Narrow" w:cs="Arial"/>
                <w:sz w:val="20"/>
              </w:rPr>
              <w:t>The condition must affect the ileum</w:t>
            </w:r>
            <w:r w:rsidR="006B06FD" w:rsidRPr="000A0484">
              <w:rPr>
                <w:rFonts w:ascii="Arial Narrow" w:hAnsi="Arial Narrow" w:cs="Arial"/>
                <w:sz w:val="20"/>
              </w:rPr>
              <w:t>,</w:t>
            </w:r>
            <w:r w:rsidRPr="000A0484">
              <w:rPr>
                <w:rFonts w:ascii="Arial Narrow" w:hAnsi="Arial Narrow" w:cs="Arial"/>
                <w:sz w:val="20"/>
              </w:rPr>
              <w:t xml:space="preserve"> </w:t>
            </w:r>
          </w:p>
          <w:p w:rsidR="00AF2E2A" w:rsidRPr="000A0484" w:rsidRDefault="00AF2E2A" w:rsidP="005C22F9">
            <w:pPr>
              <w:contextualSpacing/>
              <w:rPr>
                <w:rFonts w:ascii="Arial Narrow" w:hAnsi="Arial Narrow" w:cs="Arial"/>
                <w:sz w:val="20"/>
              </w:rPr>
            </w:pPr>
            <w:r w:rsidRPr="000A0484">
              <w:rPr>
                <w:rFonts w:ascii="Arial Narrow" w:hAnsi="Arial Narrow" w:cs="Arial"/>
                <w:sz w:val="20"/>
              </w:rPr>
              <w:t>OR</w:t>
            </w:r>
          </w:p>
          <w:p w:rsidR="00AF2E2A" w:rsidRPr="000A0484" w:rsidRDefault="00AF2E2A" w:rsidP="005C22F9">
            <w:pPr>
              <w:contextualSpacing/>
              <w:rPr>
                <w:rFonts w:ascii="Arial Narrow" w:hAnsi="Arial Narrow" w:cs="Arial"/>
                <w:sz w:val="20"/>
              </w:rPr>
            </w:pPr>
            <w:r w:rsidRPr="000A0484">
              <w:rPr>
                <w:rFonts w:ascii="Arial Narrow" w:hAnsi="Arial Narrow" w:cs="Arial"/>
                <w:sz w:val="20"/>
              </w:rPr>
              <w:t>The condition must affect the ascending colon</w:t>
            </w:r>
            <w:r w:rsidR="006B06FD" w:rsidRPr="000A0484">
              <w:rPr>
                <w:rFonts w:ascii="Arial Narrow" w:hAnsi="Arial Narrow" w:cs="Arial"/>
                <w:sz w:val="20"/>
              </w:rPr>
              <w:t>,</w:t>
            </w:r>
          </w:p>
          <w:p w:rsidR="00AF2E2A" w:rsidRPr="000A0484" w:rsidRDefault="00AF2E2A" w:rsidP="005C22F9">
            <w:pPr>
              <w:rPr>
                <w:rFonts w:ascii="Arial Narrow" w:hAnsi="Arial Narrow" w:cs="Arial"/>
                <w:sz w:val="20"/>
              </w:rPr>
            </w:pPr>
            <w:r w:rsidRPr="000A0484">
              <w:rPr>
                <w:rFonts w:ascii="Arial Narrow" w:hAnsi="Arial Narrow" w:cs="Arial"/>
                <w:sz w:val="20"/>
              </w:rPr>
              <w:t>OR</w:t>
            </w:r>
          </w:p>
          <w:p w:rsidR="00AF2E2A" w:rsidRPr="000A0484" w:rsidRDefault="00AF2E2A" w:rsidP="005C22F9">
            <w:pPr>
              <w:rPr>
                <w:rFonts w:ascii="Arial Narrow" w:hAnsi="Arial Narrow" w:cs="Arial"/>
                <w:sz w:val="20"/>
              </w:rPr>
            </w:pPr>
            <w:r w:rsidRPr="000A0484">
              <w:rPr>
                <w:rFonts w:ascii="Arial Narrow" w:hAnsi="Arial Narrow" w:cs="Arial"/>
                <w:sz w:val="20"/>
              </w:rPr>
              <w:t>The condition must affect the ileum and ascending colon</w:t>
            </w:r>
            <w:r w:rsidR="006B06FD" w:rsidRPr="000A0484">
              <w:rPr>
                <w:rFonts w:ascii="Arial Narrow" w:hAnsi="Arial Narrow" w:cs="Arial"/>
                <w:sz w:val="20"/>
              </w:rPr>
              <w:t>.</w:t>
            </w:r>
          </w:p>
        </w:tc>
      </w:tr>
      <w:tr w:rsidR="00AF2E2A" w:rsidRPr="000A0484" w:rsidTr="00CC5D24">
        <w:trPr>
          <w:cantSplit/>
        </w:trPr>
        <w:tc>
          <w:tcPr>
            <w:tcW w:w="1809" w:type="pct"/>
            <w:gridSpan w:val="2"/>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b/>
                <w:sz w:val="20"/>
              </w:rPr>
            </w:pPr>
            <w:r w:rsidRPr="000A0484">
              <w:rPr>
                <w:rFonts w:ascii="Arial Narrow" w:hAnsi="Arial Narrow" w:cs="Arial"/>
                <w:b/>
                <w:sz w:val="20"/>
              </w:rPr>
              <w:t>Population criteria:</w:t>
            </w:r>
          </w:p>
          <w:p w:rsidR="00AF2E2A" w:rsidRPr="000A0484" w:rsidRDefault="00AF2E2A" w:rsidP="005C22F9">
            <w:pPr>
              <w:rPr>
                <w:rFonts w:ascii="Arial Narrow" w:hAnsi="Arial Narrow" w:cs="Arial"/>
                <w:i/>
                <w:sz w:val="20"/>
              </w:rPr>
            </w:pPr>
          </w:p>
          <w:p w:rsidR="00AF2E2A" w:rsidRPr="000A0484" w:rsidRDefault="00AF2E2A" w:rsidP="005C22F9">
            <w:pPr>
              <w:rPr>
                <w:rFonts w:ascii="Arial Narrow" w:hAnsi="Arial Narrow" w:cs="Arial"/>
                <w:sz w:val="20"/>
              </w:rPr>
            </w:pPr>
          </w:p>
        </w:tc>
        <w:tc>
          <w:tcPr>
            <w:tcW w:w="3191" w:type="pct"/>
            <w:gridSpan w:val="5"/>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contextualSpacing/>
              <w:rPr>
                <w:rFonts w:ascii="Arial Narrow" w:hAnsi="Arial Narrow" w:cs="Arial"/>
                <w:sz w:val="20"/>
              </w:rPr>
            </w:pPr>
            <w:r w:rsidRPr="000A0484">
              <w:rPr>
                <w:rFonts w:ascii="Arial Narrow" w:hAnsi="Arial Narrow" w:cs="Arial"/>
                <w:sz w:val="20"/>
              </w:rPr>
              <w:t xml:space="preserve">Patient must not have systemic or local bacterial, fungal or viral infections </w:t>
            </w:r>
          </w:p>
          <w:p w:rsidR="00AF2E2A" w:rsidRPr="000A0484" w:rsidRDefault="00AF2E2A" w:rsidP="005C22F9">
            <w:pPr>
              <w:contextualSpacing/>
              <w:rPr>
                <w:rFonts w:ascii="Arial Narrow" w:hAnsi="Arial Narrow" w:cs="Arial"/>
                <w:sz w:val="20"/>
              </w:rPr>
            </w:pPr>
            <w:r w:rsidRPr="000A0484">
              <w:rPr>
                <w:rFonts w:ascii="Arial Narrow" w:hAnsi="Arial Narrow" w:cs="Arial"/>
                <w:sz w:val="20"/>
              </w:rPr>
              <w:t>AND</w:t>
            </w:r>
          </w:p>
          <w:p w:rsidR="00AF2E2A" w:rsidRPr="000A0484" w:rsidRDefault="00AF2E2A" w:rsidP="005C22F9">
            <w:pPr>
              <w:contextualSpacing/>
              <w:rPr>
                <w:rFonts w:ascii="Arial Narrow" w:hAnsi="Arial Narrow" w:cs="Arial"/>
                <w:sz w:val="20"/>
              </w:rPr>
            </w:pPr>
            <w:r w:rsidRPr="000A0484">
              <w:rPr>
                <w:rFonts w:ascii="Arial Narrow" w:hAnsi="Arial Narrow" w:cs="Arial"/>
                <w:sz w:val="20"/>
              </w:rPr>
              <w:t xml:space="preserve">Patients must not have hypersensitivity to any of the ingredients  </w:t>
            </w:r>
          </w:p>
        </w:tc>
      </w:tr>
      <w:tr w:rsidR="00AF2E2A" w:rsidRPr="000A0484" w:rsidTr="00CC5D24">
        <w:trPr>
          <w:cantSplit/>
        </w:trPr>
        <w:tc>
          <w:tcPr>
            <w:tcW w:w="1809" w:type="pct"/>
            <w:gridSpan w:val="2"/>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b/>
                <w:sz w:val="20"/>
              </w:rPr>
            </w:pPr>
            <w:r w:rsidRPr="000A0484">
              <w:rPr>
                <w:rFonts w:ascii="Arial Narrow" w:hAnsi="Arial Narrow" w:cs="Arial"/>
                <w:b/>
                <w:sz w:val="20"/>
              </w:rPr>
              <w:t>Prescriber Instructions</w:t>
            </w:r>
          </w:p>
          <w:p w:rsidR="00AF2E2A" w:rsidRPr="000A0484" w:rsidRDefault="00AF2E2A" w:rsidP="005C22F9">
            <w:pPr>
              <w:rPr>
                <w:rFonts w:ascii="Arial Narrow" w:hAnsi="Arial Narrow" w:cs="Arial"/>
                <w:sz w:val="20"/>
              </w:rPr>
            </w:pPr>
          </w:p>
        </w:tc>
        <w:tc>
          <w:tcPr>
            <w:tcW w:w="3191" w:type="pct"/>
            <w:gridSpan w:val="5"/>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contextualSpacing/>
              <w:rPr>
                <w:rFonts w:ascii="Arial Narrow" w:hAnsi="Arial Narrow" w:cs="Arial"/>
                <w:sz w:val="20"/>
              </w:rPr>
            </w:pPr>
            <w:r w:rsidRPr="000A0484">
              <w:rPr>
                <w:rFonts w:ascii="Arial Narrow" w:hAnsi="Arial Narrow" w:cs="Arial"/>
                <w:sz w:val="20"/>
              </w:rPr>
              <w:t>When treatment with this drug</w:t>
            </w:r>
            <w:r w:rsidR="00346A5A" w:rsidRPr="000A0484">
              <w:rPr>
                <w:rFonts w:ascii="Arial Narrow" w:hAnsi="Arial Narrow" w:cs="Arial"/>
                <w:sz w:val="20"/>
              </w:rPr>
              <w:t xml:space="preserve"> </w:t>
            </w:r>
            <w:r w:rsidR="00346A5A" w:rsidRPr="000A0484">
              <w:rPr>
                <w:rFonts w:ascii="Arial Narrow" w:hAnsi="Arial Narrow" w:cs="Arial"/>
                <w:i/>
                <w:sz w:val="20"/>
              </w:rPr>
              <w:t>is</w:t>
            </w:r>
            <w:r w:rsidRPr="000A0484">
              <w:rPr>
                <w:rFonts w:ascii="Arial Narrow" w:hAnsi="Arial Narrow" w:cs="Arial"/>
                <w:sz w:val="20"/>
              </w:rPr>
              <w:t xml:space="preserve"> to be discontinued, the dose should be tapered from 9 mg </w:t>
            </w:r>
            <w:r w:rsidR="00346A5A" w:rsidRPr="000A0484">
              <w:rPr>
                <w:rFonts w:ascii="Arial Narrow" w:hAnsi="Arial Narrow" w:cs="Arial"/>
                <w:i/>
                <w:sz w:val="20"/>
              </w:rPr>
              <w:t xml:space="preserve">daily </w:t>
            </w:r>
            <w:r w:rsidRPr="000A0484">
              <w:rPr>
                <w:rFonts w:ascii="Arial Narrow" w:hAnsi="Arial Narrow" w:cs="Arial"/>
                <w:sz w:val="20"/>
              </w:rPr>
              <w:t>to 0 mg daily over the last 2 to 4 weeks of therapy and not stopped abruptly.</w:t>
            </w:r>
          </w:p>
          <w:p w:rsidR="00AF2E2A" w:rsidRPr="000A0484" w:rsidRDefault="00AF2E2A" w:rsidP="005C22F9">
            <w:pPr>
              <w:contextualSpacing/>
              <w:rPr>
                <w:rFonts w:ascii="Arial Narrow" w:hAnsi="Arial Narrow" w:cs="Arial"/>
                <w:sz w:val="20"/>
              </w:rPr>
            </w:pPr>
          </w:p>
          <w:p w:rsidR="00AF2E2A" w:rsidRPr="000A0484" w:rsidRDefault="00AF2E2A" w:rsidP="005C22F9">
            <w:pPr>
              <w:contextualSpacing/>
              <w:rPr>
                <w:rFonts w:ascii="Arial Narrow" w:hAnsi="Arial Narrow" w:cs="Arial"/>
                <w:sz w:val="20"/>
              </w:rPr>
            </w:pPr>
            <w:r w:rsidRPr="000A0484">
              <w:rPr>
                <w:rFonts w:ascii="Arial Narrow" w:hAnsi="Arial Narrow" w:cs="Arial"/>
                <w:sz w:val="20"/>
              </w:rPr>
              <w:t xml:space="preserve">The total duration of therapy should be no more than 12 weeks in any single course. </w:t>
            </w:r>
          </w:p>
        </w:tc>
      </w:tr>
      <w:tr w:rsidR="00AF2E2A" w:rsidRPr="000A0484" w:rsidTr="00CC5D24">
        <w:trPr>
          <w:cantSplit/>
        </w:trPr>
        <w:tc>
          <w:tcPr>
            <w:tcW w:w="1809" w:type="pct"/>
            <w:gridSpan w:val="2"/>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b/>
                <w:sz w:val="20"/>
              </w:rPr>
            </w:pPr>
            <w:r w:rsidRPr="000A0484">
              <w:rPr>
                <w:rFonts w:ascii="Arial Narrow" w:hAnsi="Arial Narrow" w:cs="Arial"/>
                <w:b/>
                <w:sz w:val="20"/>
              </w:rPr>
              <w:t>Administrative Advice</w:t>
            </w:r>
          </w:p>
        </w:tc>
        <w:tc>
          <w:tcPr>
            <w:tcW w:w="3191" w:type="pct"/>
            <w:gridSpan w:val="5"/>
            <w:tcBorders>
              <w:top w:val="single" w:sz="4" w:space="0" w:color="auto"/>
              <w:left w:val="single" w:sz="4" w:space="0" w:color="auto"/>
              <w:bottom w:val="single" w:sz="4" w:space="0" w:color="auto"/>
              <w:right w:val="single" w:sz="4" w:space="0" w:color="auto"/>
            </w:tcBorders>
            <w:vAlign w:val="center"/>
          </w:tcPr>
          <w:p w:rsidR="00AF2E2A" w:rsidRPr="000A0484" w:rsidRDefault="00AF2E2A" w:rsidP="005C22F9">
            <w:pPr>
              <w:rPr>
                <w:rFonts w:ascii="Arial Narrow" w:hAnsi="Arial Narrow" w:cs="Arial"/>
                <w:sz w:val="20"/>
              </w:rPr>
            </w:pPr>
            <w:r w:rsidRPr="000A0484">
              <w:rPr>
                <w:rFonts w:ascii="Arial Narrow" w:hAnsi="Arial Narrow" w:cs="Arial"/>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826F6D" w:rsidRPr="000A0484" w:rsidRDefault="00826F6D" w:rsidP="002D4543">
      <w:pPr>
        <w:rPr>
          <w:szCs w:val="22"/>
        </w:rPr>
      </w:pPr>
    </w:p>
    <w:p w:rsidR="00414E6E" w:rsidRPr="000A0484" w:rsidRDefault="00414E6E" w:rsidP="00414E6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The </w:t>
      </w:r>
      <w:r w:rsidR="005710E5" w:rsidRPr="000A0484">
        <w:rPr>
          <w:rFonts w:asciiTheme="minorHAnsi" w:eastAsiaTheme="minorHAnsi" w:hAnsiTheme="minorHAnsi" w:cstheme="minorBidi"/>
          <w:snapToGrid/>
          <w:sz w:val="24"/>
          <w:szCs w:val="22"/>
        </w:rPr>
        <w:t>minor resubmission</w:t>
      </w:r>
      <w:r w:rsidRPr="000A0484">
        <w:rPr>
          <w:rFonts w:asciiTheme="minorHAnsi" w:eastAsiaTheme="minorHAnsi" w:hAnsiTheme="minorHAnsi" w:cstheme="minorBidi"/>
          <w:snapToGrid/>
          <w:sz w:val="24"/>
          <w:szCs w:val="22"/>
        </w:rPr>
        <w:t xml:space="preserve"> proposed ‘must be treated by a gastroenterologist’ as the treatment criteria. The PBAC noted that the restrictions for </w:t>
      </w:r>
      <w:proofErr w:type="spellStart"/>
      <w:r w:rsidRPr="000A0484">
        <w:rPr>
          <w:rFonts w:asciiTheme="minorHAnsi" w:eastAsiaTheme="minorHAnsi" w:hAnsiTheme="minorHAnsi" w:cstheme="minorBidi"/>
          <w:snapToGrid/>
          <w:sz w:val="24"/>
          <w:szCs w:val="22"/>
        </w:rPr>
        <w:t>mesalazine</w:t>
      </w:r>
      <w:proofErr w:type="spellEnd"/>
      <w:r w:rsidRPr="000A0484">
        <w:rPr>
          <w:rFonts w:asciiTheme="minorHAnsi" w:eastAsiaTheme="minorHAnsi" w:hAnsiTheme="minorHAnsi" w:cstheme="minorBidi"/>
          <w:snapToGrid/>
          <w:sz w:val="24"/>
          <w:szCs w:val="22"/>
        </w:rPr>
        <w:t xml:space="preserve"> and prednisolone do not include this criterion and considered that </w:t>
      </w:r>
      <w:r w:rsidR="005710E5" w:rsidRPr="000A0484">
        <w:rPr>
          <w:rFonts w:asciiTheme="minorHAnsi" w:eastAsiaTheme="minorHAnsi" w:hAnsiTheme="minorHAnsi" w:cstheme="minorBidi"/>
          <w:snapToGrid/>
          <w:sz w:val="24"/>
          <w:szCs w:val="22"/>
        </w:rPr>
        <w:t>it</w:t>
      </w:r>
      <w:r w:rsidRPr="000A0484">
        <w:rPr>
          <w:rFonts w:asciiTheme="minorHAnsi" w:eastAsiaTheme="minorHAnsi" w:hAnsiTheme="minorHAnsi" w:cstheme="minorBidi"/>
          <w:snapToGrid/>
          <w:sz w:val="24"/>
          <w:szCs w:val="22"/>
        </w:rPr>
        <w:t xml:space="preserve"> should be removed from the proposed budesonide restriction.</w:t>
      </w:r>
    </w:p>
    <w:p w:rsidR="00414E6E" w:rsidRPr="000A0484" w:rsidRDefault="005710E5" w:rsidP="005710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The PBAC noted that the </w:t>
      </w:r>
      <w:r w:rsidR="00414E6E" w:rsidRPr="000A0484">
        <w:rPr>
          <w:rFonts w:asciiTheme="minorHAnsi" w:eastAsiaTheme="minorHAnsi" w:hAnsiTheme="minorHAnsi" w:cstheme="minorBidi"/>
          <w:snapToGrid/>
          <w:sz w:val="24"/>
          <w:szCs w:val="22"/>
        </w:rPr>
        <w:t xml:space="preserve">proposed </w:t>
      </w:r>
      <w:r w:rsidRPr="000A0484">
        <w:rPr>
          <w:rFonts w:asciiTheme="minorHAnsi" w:eastAsiaTheme="minorHAnsi" w:hAnsiTheme="minorHAnsi" w:cstheme="minorBidi"/>
          <w:snapToGrid/>
          <w:sz w:val="24"/>
          <w:szCs w:val="22"/>
        </w:rPr>
        <w:t xml:space="preserve">population </w:t>
      </w:r>
      <w:r w:rsidR="00414E6E" w:rsidRPr="000A0484">
        <w:rPr>
          <w:rFonts w:asciiTheme="minorHAnsi" w:eastAsiaTheme="minorHAnsi" w:hAnsiTheme="minorHAnsi" w:cstheme="minorBidi"/>
          <w:snapToGrid/>
          <w:sz w:val="24"/>
          <w:szCs w:val="22"/>
        </w:rPr>
        <w:t xml:space="preserve">criteria could also apply to all other oral corticosteroid preparations but are not currently included in the restrictions for these medicines. </w:t>
      </w:r>
      <w:r w:rsidRPr="000A0484">
        <w:rPr>
          <w:rFonts w:asciiTheme="minorHAnsi" w:eastAsiaTheme="minorHAnsi" w:hAnsiTheme="minorHAnsi" w:cstheme="minorBidi"/>
          <w:snapToGrid/>
          <w:sz w:val="24"/>
          <w:szCs w:val="22"/>
        </w:rPr>
        <w:t xml:space="preserve">The PBAC considered the </w:t>
      </w:r>
      <w:r w:rsidR="00414E6E" w:rsidRPr="000A0484">
        <w:rPr>
          <w:rFonts w:asciiTheme="minorHAnsi" w:eastAsiaTheme="minorHAnsi" w:hAnsiTheme="minorHAnsi" w:cstheme="minorBidi"/>
          <w:snapToGrid/>
          <w:sz w:val="24"/>
          <w:szCs w:val="22"/>
        </w:rPr>
        <w:t>p</w:t>
      </w:r>
      <w:r w:rsidRPr="000A0484">
        <w:rPr>
          <w:rFonts w:asciiTheme="minorHAnsi" w:eastAsiaTheme="minorHAnsi" w:hAnsiTheme="minorHAnsi" w:cstheme="minorBidi"/>
          <w:snapToGrid/>
          <w:sz w:val="24"/>
          <w:szCs w:val="22"/>
        </w:rPr>
        <w:t>roposed population criteria could be removed</w:t>
      </w:r>
      <w:r w:rsidR="00414E6E" w:rsidRPr="000A0484">
        <w:rPr>
          <w:rFonts w:asciiTheme="minorHAnsi" w:eastAsiaTheme="minorHAnsi" w:hAnsiTheme="minorHAnsi" w:cstheme="minorBidi"/>
          <w:snapToGrid/>
          <w:sz w:val="24"/>
          <w:szCs w:val="22"/>
        </w:rPr>
        <w:t xml:space="preserve">.  </w:t>
      </w:r>
      <w:r w:rsidRPr="000A0484">
        <w:rPr>
          <w:rFonts w:asciiTheme="minorHAnsi" w:eastAsiaTheme="minorHAnsi" w:hAnsiTheme="minorHAnsi" w:cstheme="minorBidi"/>
          <w:snapToGrid/>
          <w:sz w:val="24"/>
          <w:szCs w:val="22"/>
        </w:rPr>
        <w:t xml:space="preserve">In addition, the PBAC considered the </w:t>
      </w:r>
      <w:r w:rsidR="00414E6E" w:rsidRPr="000A0484">
        <w:rPr>
          <w:rFonts w:asciiTheme="minorHAnsi" w:eastAsiaTheme="minorHAnsi" w:hAnsiTheme="minorHAnsi" w:cstheme="minorBidi"/>
          <w:snapToGrid/>
          <w:sz w:val="24"/>
          <w:szCs w:val="22"/>
        </w:rPr>
        <w:t xml:space="preserve">proposed </w:t>
      </w:r>
      <w:r w:rsidRPr="000A0484">
        <w:rPr>
          <w:rFonts w:asciiTheme="minorHAnsi" w:eastAsiaTheme="minorHAnsi" w:hAnsiTheme="minorHAnsi" w:cstheme="minorBidi"/>
          <w:snapToGrid/>
          <w:sz w:val="24"/>
          <w:szCs w:val="22"/>
        </w:rPr>
        <w:t xml:space="preserve">prescriber </w:t>
      </w:r>
      <w:r w:rsidR="00414E6E" w:rsidRPr="000A0484">
        <w:rPr>
          <w:rFonts w:asciiTheme="minorHAnsi" w:eastAsiaTheme="minorHAnsi" w:hAnsiTheme="minorHAnsi" w:cstheme="minorBidi"/>
          <w:snapToGrid/>
          <w:sz w:val="24"/>
          <w:szCs w:val="22"/>
        </w:rPr>
        <w:t xml:space="preserve">instruction stating ‘When treatment with this drug is to be discontinued, the dose should be tapered from 9 mg daily to 0 mg daily over the last 2 to 4 weeks of therapy and not stopped abruptly’ </w:t>
      </w:r>
      <w:r w:rsidR="00D31FB7" w:rsidRPr="000A0484">
        <w:rPr>
          <w:rFonts w:asciiTheme="minorHAnsi" w:eastAsiaTheme="minorHAnsi" w:hAnsiTheme="minorHAnsi" w:cstheme="minorBidi"/>
          <w:snapToGrid/>
          <w:sz w:val="24"/>
          <w:szCs w:val="22"/>
        </w:rPr>
        <w:t>is</w:t>
      </w:r>
      <w:r w:rsidR="005F3630">
        <w:rPr>
          <w:rFonts w:asciiTheme="minorHAnsi" w:eastAsiaTheme="minorHAnsi" w:hAnsiTheme="minorHAnsi" w:cstheme="minorBidi"/>
          <w:snapToGrid/>
          <w:sz w:val="24"/>
          <w:szCs w:val="22"/>
        </w:rPr>
        <w:t xml:space="preserve"> not</w:t>
      </w:r>
      <w:r w:rsidR="00414E6E" w:rsidRPr="000A0484">
        <w:rPr>
          <w:rFonts w:asciiTheme="minorHAnsi" w:eastAsiaTheme="minorHAnsi" w:hAnsiTheme="minorHAnsi" w:cstheme="minorBidi"/>
          <w:snapToGrid/>
          <w:sz w:val="24"/>
          <w:szCs w:val="22"/>
        </w:rPr>
        <w:t xml:space="preserve"> required to administer the listing</w:t>
      </w:r>
      <w:r w:rsidRPr="000A0484">
        <w:rPr>
          <w:rFonts w:asciiTheme="minorHAnsi" w:eastAsiaTheme="minorHAnsi" w:hAnsiTheme="minorHAnsi" w:cstheme="minorBidi"/>
          <w:snapToGrid/>
          <w:sz w:val="24"/>
          <w:szCs w:val="22"/>
        </w:rPr>
        <w:t xml:space="preserve"> and could be removed</w:t>
      </w:r>
      <w:r w:rsidR="00414E6E" w:rsidRPr="000A0484">
        <w:rPr>
          <w:rFonts w:asciiTheme="minorHAnsi" w:eastAsiaTheme="minorHAnsi" w:hAnsiTheme="minorHAnsi" w:cstheme="minorBidi"/>
          <w:snapToGrid/>
          <w:sz w:val="24"/>
          <w:szCs w:val="22"/>
        </w:rPr>
        <w:t xml:space="preserve">. </w:t>
      </w:r>
    </w:p>
    <w:p w:rsidR="005E78D7" w:rsidRPr="000A0484" w:rsidRDefault="005E78D7" w:rsidP="005E78D7">
      <w:pPr>
        <w:pStyle w:val="ListParagraph"/>
        <w:widowControl/>
        <w:spacing w:after="120"/>
        <w:contextualSpacing w:val="0"/>
        <w:rPr>
          <w:rFonts w:asciiTheme="minorHAnsi" w:eastAsiaTheme="minorHAnsi" w:hAnsiTheme="minorHAnsi" w:cstheme="minorBidi"/>
          <w:i/>
          <w:snapToGrid/>
          <w:sz w:val="24"/>
          <w:szCs w:val="22"/>
        </w:rPr>
      </w:pPr>
      <w:r w:rsidRPr="000A0484">
        <w:rPr>
          <w:rFonts w:asciiTheme="minorHAnsi" w:eastAsiaTheme="minorHAnsi" w:hAnsiTheme="minorHAnsi" w:cstheme="minorBidi"/>
          <w:i/>
          <w:snapToGrid/>
          <w:sz w:val="24"/>
          <w:szCs w:val="22"/>
        </w:rPr>
        <w:t>For more detail on PBAC’s view, see section 7 PBAC outcome.</w:t>
      </w:r>
    </w:p>
    <w:p w:rsidR="00C603D4" w:rsidRPr="000A0484" w:rsidRDefault="00CE10C4" w:rsidP="00696129">
      <w:pPr>
        <w:pStyle w:val="PBACHeading1"/>
        <w:spacing w:before="240" w:after="120"/>
        <w:ind w:left="709" w:hanging="709"/>
        <w:rPr>
          <w:rFonts w:asciiTheme="minorHAnsi" w:hAnsiTheme="minorHAnsi"/>
          <w:sz w:val="32"/>
          <w:szCs w:val="32"/>
        </w:rPr>
      </w:pPr>
      <w:r w:rsidRPr="000A0484">
        <w:rPr>
          <w:rFonts w:asciiTheme="minorHAnsi" w:hAnsiTheme="minorHAnsi"/>
          <w:sz w:val="32"/>
          <w:szCs w:val="32"/>
        </w:rPr>
        <w:lastRenderedPageBreak/>
        <w:t>Background</w:t>
      </w:r>
    </w:p>
    <w:p w:rsidR="006B0D94" w:rsidRPr="000A0484" w:rsidRDefault="00065878" w:rsidP="0006587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Budesonide was TGA registered in January 1998 for induction of remission in adult patients with mild to moderate CD affecting the ileum and/or the ascending colon.  It is noted that in Australia, budesonide is not registered for use in maintenance of</w:t>
      </w:r>
      <w:r w:rsidR="00267AE9" w:rsidRPr="000A0484">
        <w:rPr>
          <w:rFonts w:asciiTheme="minorHAnsi" w:eastAsiaTheme="minorHAnsi" w:hAnsiTheme="minorHAnsi" w:cstheme="minorBidi"/>
          <w:snapToGrid/>
          <w:sz w:val="24"/>
          <w:szCs w:val="22"/>
        </w:rPr>
        <w:t xml:space="preserve"> remission.</w:t>
      </w:r>
      <w:r w:rsidRPr="000A0484">
        <w:rPr>
          <w:rFonts w:asciiTheme="minorHAnsi" w:eastAsiaTheme="minorHAnsi" w:hAnsiTheme="minorHAnsi" w:cstheme="minorBidi"/>
          <w:snapToGrid/>
          <w:sz w:val="24"/>
          <w:szCs w:val="22"/>
        </w:rPr>
        <w:t xml:space="preserve"> It is registered for maintenance therapy in some countries (e.g., USA, Canada), but due to the risk of glucocorticoid side effects associated with prolonged use, guidelines do not recommend budesonide be used in this manner</w:t>
      </w:r>
      <w:r w:rsidRPr="000A0484">
        <w:rPr>
          <w:vertAlign w:val="superscript"/>
        </w:rPr>
        <w:footnoteReference w:id="1"/>
      </w:r>
      <w:r w:rsidRPr="000A0484">
        <w:rPr>
          <w:vertAlign w:val="superscript"/>
        </w:rPr>
        <w:t>,</w:t>
      </w:r>
      <w:r w:rsidRPr="000A0484">
        <w:rPr>
          <w:vertAlign w:val="superscript"/>
        </w:rPr>
        <w:footnoteReference w:id="2"/>
      </w:r>
      <w:r w:rsidRPr="000A0484">
        <w:t>.</w:t>
      </w:r>
    </w:p>
    <w:p w:rsidR="006A12A5" w:rsidRPr="000A0484" w:rsidRDefault="006E022D"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Budesonide in this presentation </w:t>
      </w:r>
      <w:r w:rsidR="00CE27A5" w:rsidRPr="000A0484">
        <w:rPr>
          <w:rFonts w:asciiTheme="minorHAnsi" w:eastAsiaTheme="minorHAnsi" w:hAnsiTheme="minorHAnsi" w:cstheme="minorBidi"/>
          <w:snapToGrid/>
          <w:sz w:val="24"/>
          <w:szCs w:val="22"/>
        </w:rPr>
        <w:t xml:space="preserve">was previously considered by the </w:t>
      </w:r>
      <w:r w:rsidR="00614159" w:rsidRPr="000A0484">
        <w:rPr>
          <w:rFonts w:asciiTheme="minorHAnsi" w:eastAsiaTheme="minorHAnsi" w:hAnsiTheme="minorHAnsi" w:cstheme="minorBidi"/>
          <w:snapToGrid/>
          <w:sz w:val="24"/>
          <w:szCs w:val="22"/>
        </w:rPr>
        <w:t xml:space="preserve">PBAC </w:t>
      </w:r>
      <w:r w:rsidR="00CE27A5" w:rsidRPr="000A0484">
        <w:rPr>
          <w:rFonts w:asciiTheme="minorHAnsi" w:eastAsiaTheme="minorHAnsi" w:hAnsiTheme="minorHAnsi" w:cstheme="minorBidi"/>
          <w:snapToGrid/>
          <w:sz w:val="24"/>
          <w:szCs w:val="22"/>
        </w:rPr>
        <w:t>at its November 2017 meeting</w:t>
      </w:r>
      <w:r w:rsidR="006A12A5" w:rsidRPr="000A0484">
        <w:rPr>
          <w:rFonts w:asciiTheme="minorHAnsi" w:eastAsiaTheme="minorHAnsi" w:hAnsiTheme="minorHAnsi" w:cstheme="minorBidi"/>
          <w:snapToGrid/>
          <w:sz w:val="24"/>
          <w:szCs w:val="22"/>
        </w:rPr>
        <w:t xml:space="preserve">.  </w:t>
      </w:r>
    </w:p>
    <w:p w:rsidR="00C512CB" w:rsidRPr="000A0484" w:rsidRDefault="00CE27A5" w:rsidP="00C512C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The PBAC did not recommend the listing of budesonide on the basis that</w:t>
      </w:r>
      <w:r w:rsidRPr="000A0484">
        <w:t xml:space="preserve"> </w:t>
      </w:r>
      <w:proofErr w:type="spellStart"/>
      <w:r w:rsidRPr="000A0484">
        <w:rPr>
          <w:rFonts w:asciiTheme="minorHAnsi" w:eastAsiaTheme="minorHAnsi" w:hAnsiTheme="minorHAnsi" w:cstheme="minorBidi"/>
          <w:snapToGrid/>
          <w:sz w:val="24"/>
          <w:szCs w:val="22"/>
        </w:rPr>
        <w:t>mesalazine</w:t>
      </w:r>
      <w:proofErr w:type="spellEnd"/>
      <w:r w:rsidRPr="000A0484">
        <w:rPr>
          <w:rFonts w:asciiTheme="minorHAnsi" w:eastAsiaTheme="minorHAnsi" w:hAnsiTheme="minorHAnsi" w:cstheme="minorBidi"/>
          <w:snapToGrid/>
          <w:sz w:val="24"/>
          <w:szCs w:val="22"/>
        </w:rPr>
        <w:t xml:space="preserve"> as the nominated comparator was inappropriate based on current clinical practice. Prednisolone (or a similar oral corticosteroid) </w:t>
      </w:r>
      <w:r w:rsidR="00346A5A" w:rsidRPr="000A0484">
        <w:rPr>
          <w:rFonts w:asciiTheme="minorHAnsi" w:eastAsiaTheme="minorHAnsi" w:hAnsiTheme="minorHAnsi" w:cstheme="minorBidi"/>
          <w:snapToGrid/>
          <w:sz w:val="24"/>
          <w:szCs w:val="22"/>
        </w:rPr>
        <w:t>wa</w:t>
      </w:r>
      <w:r w:rsidRPr="000A0484">
        <w:rPr>
          <w:rFonts w:asciiTheme="minorHAnsi" w:eastAsiaTheme="minorHAnsi" w:hAnsiTheme="minorHAnsi" w:cstheme="minorBidi"/>
          <w:snapToGrid/>
          <w:sz w:val="24"/>
          <w:szCs w:val="22"/>
        </w:rPr>
        <w:t>s considered by the PBAC as a more appropriate comparator for budesonide as it is the treatment most likely to be replaced in practice.</w:t>
      </w:r>
      <w:r w:rsidR="00B423A8" w:rsidRPr="000A0484">
        <w:rPr>
          <w:rFonts w:asciiTheme="minorHAnsi" w:eastAsiaTheme="minorHAnsi" w:hAnsiTheme="minorHAnsi" w:cstheme="minorBidi"/>
          <w:snapToGrid/>
          <w:sz w:val="24"/>
          <w:szCs w:val="22"/>
        </w:rPr>
        <w:t xml:space="preserve"> The </w:t>
      </w:r>
      <w:r w:rsidR="009F422F" w:rsidRPr="000A0484">
        <w:rPr>
          <w:rFonts w:asciiTheme="minorHAnsi" w:eastAsiaTheme="minorHAnsi" w:hAnsiTheme="minorHAnsi" w:cstheme="minorBidi"/>
          <w:snapToGrid/>
          <w:sz w:val="24"/>
          <w:szCs w:val="22"/>
        </w:rPr>
        <w:t>PBAC considered that the</w:t>
      </w:r>
      <w:r w:rsidR="00B423A8" w:rsidRPr="000A0484">
        <w:rPr>
          <w:rFonts w:asciiTheme="minorHAnsi" w:eastAsiaTheme="minorHAnsi" w:hAnsiTheme="minorHAnsi" w:cstheme="minorBidi"/>
          <w:snapToGrid/>
          <w:sz w:val="24"/>
          <w:szCs w:val="22"/>
        </w:rPr>
        <w:t xml:space="preserve"> cost-effectiveness against </w:t>
      </w:r>
      <w:r w:rsidR="009F422F" w:rsidRPr="000A0484">
        <w:rPr>
          <w:rFonts w:asciiTheme="minorHAnsi" w:eastAsiaTheme="minorHAnsi" w:hAnsiTheme="minorHAnsi" w:cstheme="minorBidi"/>
          <w:snapToGrid/>
          <w:sz w:val="24"/>
          <w:szCs w:val="22"/>
        </w:rPr>
        <w:t>an</w:t>
      </w:r>
      <w:r w:rsidR="00B423A8" w:rsidRPr="000A0484">
        <w:rPr>
          <w:rFonts w:asciiTheme="minorHAnsi" w:eastAsiaTheme="minorHAnsi" w:hAnsiTheme="minorHAnsi" w:cstheme="minorBidi"/>
          <w:snapToGrid/>
          <w:sz w:val="24"/>
          <w:szCs w:val="22"/>
        </w:rPr>
        <w:t xml:space="preserve"> appropriate comparator had not been established</w:t>
      </w:r>
      <w:r w:rsidR="00346A5A" w:rsidRPr="000A0484">
        <w:rPr>
          <w:rFonts w:asciiTheme="minorHAnsi" w:eastAsiaTheme="minorHAnsi" w:hAnsiTheme="minorHAnsi" w:cstheme="minorBidi"/>
          <w:snapToGrid/>
          <w:sz w:val="24"/>
          <w:szCs w:val="22"/>
        </w:rPr>
        <w:t xml:space="preserve"> (paragraph 7.1 and 7.4, bude</w:t>
      </w:r>
      <w:r w:rsidR="00637D54" w:rsidRPr="000A0484">
        <w:rPr>
          <w:rFonts w:asciiTheme="minorHAnsi" w:eastAsiaTheme="minorHAnsi" w:hAnsiTheme="minorHAnsi" w:cstheme="minorBidi"/>
          <w:snapToGrid/>
          <w:sz w:val="24"/>
          <w:szCs w:val="22"/>
        </w:rPr>
        <w:t>sonide PSD</w:t>
      </w:r>
      <w:r w:rsidR="00346A5A" w:rsidRPr="000A0484">
        <w:rPr>
          <w:rFonts w:asciiTheme="minorHAnsi" w:eastAsiaTheme="minorHAnsi" w:hAnsiTheme="minorHAnsi" w:cstheme="minorBidi"/>
          <w:snapToGrid/>
          <w:sz w:val="24"/>
          <w:szCs w:val="22"/>
        </w:rPr>
        <w:t>, November 2017)</w:t>
      </w:r>
      <w:r w:rsidR="009F422F" w:rsidRPr="000A0484">
        <w:rPr>
          <w:rFonts w:asciiTheme="minorHAnsi" w:eastAsiaTheme="minorHAnsi" w:hAnsiTheme="minorHAnsi" w:cstheme="minorBidi"/>
          <w:snapToGrid/>
          <w:sz w:val="24"/>
          <w:szCs w:val="22"/>
        </w:rPr>
        <w:t>.</w:t>
      </w:r>
    </w:p>
    <w:p w:rsidR="003B49D0" w:rsidRPr="000A0484" w:rsidRDefault="00494AFB" w:rsidP="00C512C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The PBAC proposed that any future submission would need to clearly establish the place in therapy for budesonide based on contemporary guidelines and clinical practice (paragraph 7.8, budesonide PSD, November 2017).</w:t>
      </w:r>
    </w:p>
    <w:p w:rsidR="00C512CB" w:rsidRPr="000A0484" w:rsidRDefault="00C512CB" w:rsidP="00C512CB">
      <w:pPr>
        <w:pStyle w:val="PBACHeading1"/>
        <w:spacing w:before="240" w:after="120"/>
        <w:ind w:left="709" w:hanging="709"/>
        <w:rPr>
          <w:rFonts w:asciiTheme="minorHAnsi" w:hAnsiTheme="minorHAnsi"/>
          <w:sz w:val="32"/>
          <w:szCs w:val="32"/>
        </w:rPr>
      </w:pPr>
      <w:bookmarkStart w:id="2" w:name="_Toc491952249"/>
      <w:bookmarkStart w:id="3" w:name="_Toc491952725"/>
      <w:r w:rsidRPr="000A0484">
        <w:rPr>
          <w:rFonts w:asciiTheme="minorHAnsi" w:hAnsiTheme="minorHAnsi"/>
          <w:sz w:val="32"/>
          <w:szCs w:val="32"/>
        </w:rPr>
        <w:t>Population and disease</w:t>
      </w:r>
      <w:bookmarkEnd w:id="2"/>
      <w:bookmarkEnd w:id="3"/>
    </w:p>
    <w:p w:rsidR="00C512CB" w:rsidRPr="008B3623" w:rsidRDefault="00C512CB" w:rsidP="00C512CB">
      <w:pPr>
        <w:pStyle w:val="ListParagraph"/>
        <w:widowControl/>
        <w:numPr>
          <w:ilvl w:val="1"/>
          <w:numId w:val="14"/>
        </w:numPr>
        <w:spacing w:after="120"/>
        <w:contextualSpacing w:val="0"/>
        <w:rPr>
          <w:rFonts w:asciiTheme="minorHAnsi" w:hAnsiTheme="minorHAnsi"/>
          <w:bCs/>
          <w:sz w:val="24"/>
          <w:szCs w:val="24"/>
        </w:rPr>
      </w:pPr>
      <w:r w:rsidRPr="008B3623">
        <w:rPr>
          <w:rFonts w:asciiTheme="minorHAnsi" w:hAnsiTheme="minorHAnsi"/>
          <w:bCs/>
          <w:sz w:val="24"/>
          <w:szCs w:val="24"/>
        </w:rPr>
        <w:t xml:space="preserve">The PBAC in November 2017 noted that the submission proposed the place of therapy of budesonide to be in mild to moderate CD. The PBAC agreed with the submission that budesonide is likely to be used in first or second line treatment of mild to moderate CD. However, the PBAC considered the submissions assumption that </w:t>
      </w:r>
      <w:proofErr w:type="spellStart"/>
      <w:r w:rsidR="00442D3C" w:rsidRPr="008B3623">
        <w:rPr>
          <w:rFonts w:asciiTheme="minorHAnsi" w:hAnsiTheme="minorHAnsi"/>
          <w:bCs/>
          <w:sz w:val="24"/>
          <w:szCs w:val="24"/>
        </w:rPr>
        <w:t>aminosalicylates</w:t>
      </w:r>
      <w:proofErr w:type="spellEnd"/>
      <w:r w:rsidR="00442D3C" w:rsidRPr="008B3623">
        <w:rPr>
          <w:rFonts w:asciiTheme="minorHAnsi" w:hAnsiTheme="minorHAnsi"/>
          <w:bCs/>
          <w:sz w:val="24"/>
          <w:szCs w:val="24"/>
        </w:rPr>
        <w:t xml:space="preserve"> (</w:t>
      </w:r>
      <w:r w:rsidRPr="008B3623">
        <w:rPr>
          <w:rFonts w:asciiTheme="minorHAnsi" w:hAnsiTheme="minorHAnsi"/>
          <w:bCs/>
          <w:sz w:val="24"/>
          <w:szCs w:val="24"/>
        </w:rPr>
        <w:t>5-ASAs</w:t>
      </w:r>
      <w:r w:rsidR="00442D3C" w:rsidRPr="008B3623">
        <w:rPr>
          <w:rFonts w:asciiTheme="minorHAnsi" w:hAnsiTheme="minorHAnsi"/>
          <w:bCs/>
          <w:sz w:val="24"/>
          <w:szCs w:val="24"/>
        </w:rPr>
        <w:t xml:space="preserve">, i.e. sulfasalazine and </w:t>
      </w:r>
      <w:proofErr w:type="spellStart"/>
      <w:r w:rsidR="00442D3C" w:rsidRPr="008B3623">
        <w:rPr>
          <w:rFonts w:asciiTheme="minorHAnsi" w:hAnsiTheme="minorHAnsi"/>
          <w:bCs/>
          <w:sz w:val="24"/>
          <w:szCs w:val="24"/>
        </w:rPr>
        <w:t>mesalazine</w:t>
      </w:r>
      <w:proofErr w:type="spellEnd"/>
      <w:r w:rsidR="00442D3C" w:rsidRPr="008B3623">
        <w:rPr>
          <w:rFonts w:asciiTheme="minorHAnsi" w:hAnsiTheme="minorHAnsi"/>
          <w:bCs/>
          <w:sz w:val="24"/>
          <w:szCs w:val="24"/>
        </w:rPr>
        <w:t>)</w:t>
      </w:r>
      <w:r w:rsidRPr="008B3623">
        <w:rPr>
          <w:rFonts w:asciiTheme="minorHAnsi" w:hAnsiTheme="minorHAnsi"/>
          <w:bCs/>
          <w:sz w:val="24"/>
          <w:szCs w:val="24"/>
        </w:rPr>
        <w:t xml:space="preserve"> will be used first, with budesonide tried after sulfasalazine but before </w:t>
      </w:r>
      <w:proofErr w:type="spellStart"/>
      <w:r w:rsidRPr="008B3623">
        <w:rPr>
          <w:rFonts w:asciiTheme="minorHAnsi" w:hAnsiTheme="minorHAnsi"/>
          <w:bCs/>
          <w:sz w:val="24"/>
          <w:szCs w:val="24"/>
        </w:rPr>
        <w:t>mesalazine</w:t>
      </w:r>
      <w:proofErr w:type="spellEnd"/>
      <w:r w:rsidRPr="008B3623">
        <w:rPr>
          <w:rFonts w:asciiTheme="minorHAnsi" w:hAnsiTheme="minorHAnsi"/>
          <w:bCs/>
          <w:sz w:val="24"/>
          <w:szCs w:val="24"/>
        </w:rPr>
        <w:t>, unlikely to reflect current clinical practice</w:t>
      </w:r>
      <w:r w:rsidR="00346A5A" w:rsidRPr="008B3623">
        <w:rPr>
          <w:rFonts w:asciiTheme="minorHAnsi" w:hAnsiTheme="minorHAnsi"/>
          <w:bCs/>
          <w:sz w:val="24"/>
          <w:szCs w:val="24"/>
        </w:rPr>
        <w:t xml:space="preserve"> </w:t>
      </w:r>
      <w:r w:rsidR="00346A5A" w:rsidRPr="000A0484">
        <w:rPr>
          <w:rFonts w:asciiTheme="minorHAnsi" w:eastAsiaTheme="minorHAnsi" w:hAnsiTheme="minorHAnsi" w:cstheme="minorBidi"/>
          <w:snapToGrid/>
          <w:sz w:val="24"/>
          <w:szCs w:val="22"/>
        </w:rPr>
        <w:t>(paragraph 7.2, budesonide PSD, November 2017)</w:t>
      </w:r>
      <w:r w:rsidRPr="008B3623">
        <w:rPr>
          <w:rFonts w:asciiTheme="minorHAnsi" w:hAnsiTheme="minorHAnsi"/>
          <w:bCs/>
          <w:sz w:val="24"/>
          <w:szCs w:val="24"/>
        </w:rPr>
        <w:t xml:space="preserve">.  </w:t>
      </w:r>
    </w:p>
    <w:p w:rsidR="00C44E01" w:rsidRPr="0086342F" w:rsidRDefault="00D31FB7" w:rsidP="009E3FC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B3623">
        <w:rPr>
          <w:rFonts w:asciiTheme="minorHAnsi" w:hAnsiTheme="minorHAnsi"/>
          <w:bCs/>
          <w:sz w:val="24"/>
          <w:szCs w:val="24"/>
        </w:rPr>
        <w:t>At that time, t</w:t>
      </w:r>
      <w:r w:rsidR="00C512CB" w:rsidRPr="008B3623">
        <w:rPr>
          <w:rFonts w:asciiTheme="minorHAnsi" w:hAnsiTheme="minorHAnsi"/>
          <w:bCs/>
          <w:sz w:val="24"/>
          <w:szCs w:val="24"/>
        </w:rPr>
        <w:t xml:space="preserve">he PBAC noted that 5-ASAs such as </w:t>
      </w:r>
      <w:proofErr w:type="spellStart"/>
      <w:r w:rsidR="00C512CB" w:rsidRPr="008B3623">
        <w:rPr>
          <w:rFonts w:asciiTheme="minorHAnsi" w:hAnsiTheme="minorHAnsi"/>
          <w:bCs/>
          <w:sz w:val="24"/>
          <w:szCs w:val="24"/>
        </w:rPr>
        <w:t>mesalazine</w:t>
      </w:r>
      <w:proofErr w:type="spellEnd"/>
      <w:r w:rsidR="00C512CB" w:rsidRPr="008B3623">
        <w:rPr>
          <w:rFonts w:asciiTheme="minorHAnsi" w:hAnsiTheme="minorHAnsi"/>
          <w:bCs/>
          <w:sz w:val="24"/>
          <w:szCs w:val="24"/>
        </w:rPr>
        <w:t xml:space="preserve"> were previously used in CD and in 2013 were included in Australian guideline recommendations. The PBAC also noted that evidence on lack of efficacy of 5-ASAs in CD had emerged in recent years (Lim 2016 Cochrane review) and that they were not recommended by recent Australian guidelines (</w:t>
      </w:r>
      <w:proofErr w:type="spellStart"/>
      <w:r w:rsidR="00C512CB" w:rsidRPr="008B3623">
        <w:rPr>
          <w:rFonts w:asciiTheme="minorHAnsi" w:hAnsiTheme="minorHAnsi"/>
          <w:bCs/>
          <w:sz w:val="24"/>
          <w:szCs w:val="24"/>
        </w:rPr>
        <w:t>eTG</w:t>
      </w:r>
      <w:proofErr w:type="spellEnd"/>
      <w:r w:rsidR="00C512CB" w:rsidRPr="008B3623">
        <w:rPr>
          <w:rFonts w:asciiTheme="minorHAnsi" w:hAnsiTheme="minorHAnsi"/>
          <w:bCs/>
          <w:sz w:val="24"/>
          <w:szCs w:val="24"/>
        </w:rPr>
        <w:t xml:space="preserve"> July 2017 edition) while oral corticosteroids and budesonide were. The PBAC considered that while the survey of five </w:t>
      </w:r>
      <w:r w:rsidR="00C512CB" w:rsidRPr="008B3623">
        <w:rPr>
          <w:rFonts w:asciiTheme="minorHAnsi" w:hAnsiTheme="minorHAnsi"/>
          <w:bCs/>
          <w:sz w:val="24"/>
          <w:szCs w:val="24"/>
        </w:rPr>
        <w:lastRenderedPageBreak/>
        <w:t xml:space="preserve">gastroenterologists presented in the submission indicates some use of 5-ASAs may continue, the recommendations of current Australian </w:t>
      </w:r>
      <w:r w:rsidR="00C512CB" w:rsidRPr="000A0484">
        <w:rPr>
          <w:rFonts w:asciiTheme="minorHAnsi" w:hAnsiTheme="minorHAnsi"/>
          <w:sz w:val="24"/>
          <w:szCs w:val="24"/>
        </w:rPr>
        <w:t>guidelines (</w:t>
      </w:r>
      <w:proofErr w:type="spellStart"/>
      <w:r w:rsidR="00C512CB" w:rsidRPr="000A0484">
        <w:rPr>
          <w:rFonts w:asciiTheme="minorHAnsi" w:hAnsiTheme="minorHAnsi"/>
          <w:sz w:val="24"/>
          <w:szCs w:val="24"/>
        </w:rPr>
        <w:t>eTG</w:t>
      </w:r>
      <w:proofErr w:type="spellEnd"/>
      <w:r w:rsidR="00C512CB" w:rsidRPr="000A0484">
        <w:rPr>
          <w:rFonts w:asciiTheme="minorHAnsi" w:hAnsiTheme="minorHAnsi"/>
          <w:sz w:val="24"/>
          <w:szCs w:val="24"/>
        </w:rPr>
        <w:t xml:space="preserve"> July 2017 edition) </w:t>
      </w:r>
      <w:r w:rsidR="00C512CB" w:rsidRPr="008B3623">
        <w:rPr>
          <w:rFonts w:asciiTheme="minorHAnsi" w:hAnsiTheme="minorHAnsi"/>
          <w:bCs/>
          <w:sz w:val="24"/>
          <w:szCs w:val="24"/>
        </w:rPr>
        <w:t>are more likely to reflect contemporary clinical practice</w:t>
      </w:r>
      <w:r w:rsidR="00346A5A" w:rsidRPr="008B3623">
        <w:rPr>
          <w:rFonts w:asciiTheme="minorHAnsi" w:hAnsiTheme="minorHAnsi"/>
          <w:bCs/>
          <w:sz w:val="24"/>
          <w:szCs w:val="24"/>
        </w:rPr>
        <w:t xml:space="preserve"> </w:t>
      </w:r>
      <w:r w:rsidR="00346A5A" w:rsidRPr="000A0484">
        <w:rPr>
          <w:rFonts w:asciiTheme="minorHAnsi" w:eastAsiaTheme="minorHAnsi" w:hAnsiTheme="minorHAnsi" w:cstheme="minorBidi"/>
          <w:snapToGrid/>
          <w:sz w:val="24"/>
          <w:szCs w:val="22"/>
        </w:rPr>
        <w:t>(paragraph 7.3, budesonide PSD, November 2017)</w:t>
      </w:r>
      <w:r w:rsidR="00C512CB" w:rsidRPr="008B3623">
        <w:rPr>
          <w:rFonts w:asciiTheme="minorHAnsi" w:hAnsiTheme="minorHAnsi"/>
          <w:bCs/>
          <w:sz w:val="24"/>
          <w:szCs w:val="24"/>
        </w:rPr>
        <w:t xml:space="preserve">. </w:t>
      </w:r>
    </w:p>
    <w:p w:rsidR="00EE4327" w:rsidRPr="00AB144A" w:rsidRDefault="00EE4327" w:rsidP="00AB144A">
      <w:pPr>
        <w:pStyle w:val="ListParagraph"/>
        <w:rPr>
          <w:rFonts w:asciiTheme="minorHAnsi" w:eastAsiaTheme="minorHAnsi" w:hAnsiTheme="minorHAnsi" w:cstheme="minorHAnsi"/>
          <w:i/>
          <w:snapToGrid/>
          <w:sz w:val="24"/>
        </w:rPr>
      </w:pPr>
      <w:r w:rsidRPr="00AB144A">
        <w:rPr>
          <w:rFonts w:asciiTheme="minorHAnsi" w:eastAsiaTheme="minorHAnsi" w:hAnsiTheme="minorHAnsi" w:cstheme="minorHAnsi"/>
          <w:i/>
          <w:snapToGrid/>
          <w:sz w:val="24"/>
        </w:rPr>
        <w:t>For more detail on PBAC’s view, see section 7 PBAC outcome.</w:t>
      </w:r>
    </w:p>
    <w:p w:rsidR="005A3173" w:rsidRPr="000A0484" w:rsidRDefault="005A3173" w:rsidP="00D31150">
      <w:pPr>
        <w:pStyle w:val="PBACHeading1"/>
        <w:spacing w:before="240" w:after="120"/>
        <w:ind w:left="709" w:hanging="709"/>
        <w:rPr>
          <w:rFonts w:asciiTheme="minorHAnsi" w:hAnsiTheme="minorHAnsi"/>
          <w:sz w:val="32"/>
          <w:szCs w:val="32"/>
        </w:rPr>
      </w:pPr>
      <w:r w:rsidRPr="000A0484">
        <w:rPr>
          <w:rFonts w:asciiTheme="minorHAnsi" w:hAnsiTheme="minorHAnsi"/>
          <w:sz w:val="32"/>
          <w:szCs w:val="32"/>
        </w:rPr>
        <w:t>Comparator</w:t>
      </w:r>
    </w:p>
    <w:p w:rsidR="00C512CB" w:rsidRPr="000A0484" w:rsidRDefault="00FF2801" w:rsidP="00C512C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The minor </w:t>
      </w:r>
      <w:r w:rsidR="00346A5A" w:rsidRPr="000A0484">
        <w:rPr>
          <w:rFonts w:asciiTheme="minorHAnsi" w:eastAsiaTheme="minorHAnsi" w:hAnsiTheme="minorHAnsi" w:cstheme="minorBidi"/>
          <w:snapToGrid/>
          <w:sz w:val="24"/>
          <w:szCs w:val="22"/>
        </w:rPr>
        <w:t>re</w:t>
      </w:r>
      <w:r w:rsidRPr="000A0484">
        <w:rPr>
          <w:rFonts w:asciiTheme="minorHAnsi" w:eastAsiaTheme="minorHAnsi" w:hAnsiTheme="minorHAnsi" w:cstheme="minorBidi"/>
          <w:snapToGrid/>
          <w:sz w:val="24"/>
          <w:szCs w:val="22"/>
        </w:rPr>
        <w:t>submission nominated</w:t>
      </w:r>
      <w:r w:rsidR="00CE27A5" w:rsidRPr="000A0484">
        <w:rPr>
          <w:rFonts w:asciiTheme="minorHAnsi" w:eastAsiaTheme="minorHAnsi" w:hAnsiTheme="minorHAnsi" w:cstheme="minorBidi"/>
          <w:snapToGrid/>
          <w:sz w:val="24"/>
          <w:szCs w:val="22"/>
        </w:rPr>
        <w:t xml:space="preserve"> both </w:t>
      </w:r>
      <w:proofErr w:type="spellStart"/>
      <w:r w:rsidR="00CE27A5" w:rsidRPr="000A0484">
        <w:rPr>
          <w:rFonts w:asciiTheme="minorHAnsi" w:eastAsiaTheme="minorHAnsi" w:hAnsiTheme="minorHAnsi" w:cstheme="minorBidi"/>
          <w:snapToGrid/>
          <w:sz w:val="24"/>
          <w:szCs w:val="22"/>
        </w:rPr>
        <w:t>mesalazine</w:t>
      </w:r>
      <w:proofErr w:type="spellEnd"/>
      <w:r w:rsidR="00CE27A5" w:rsidRPr="000A0484">
        <w:rPr>
          <w:rFonts w:asciiTheme="minorHAnsi" w:eastAsiaTheme="minorHAnsi" w:hAnsiTheme="minorHAnsi" w:cstheme="minorBidi"/>
          <w:snapToGrid/>
          <w:sz w:val="24"/>
          <w:szCs w:val="22"/>
        </w:rPr>
        <w:t xml:space="preserve"> and prednisolone as comparators.  The </w:t>
      </w:r>
      <w:r w:rsidR="00346A5A" w:rsidRPr="000A0484">
        <w:rPr>
          <w:rFonts w:asciiTheme="minorHAnsi" w:eastAsiaTheme="minorHAnsi" w:hAnsiTheme="minorHAnsi" w:cstheme="minorBidi"/>
          <w:snapToGrid/>
          <w:sz w:val="24"/>
          <w:szCs w:val="22"/>
        </w:rPr>
        <w:t xml:space="preserve">November 2017 </w:t>
      </w:r>
      <w:r w:rsidR="00CE27A5" w:rsidRPr="000A0484">
        <w:rPr>
          <w:rFonts w:asciiTheme="minorHAnsi" w:eastAsiaTheme="minorHAnsi" w:hAnsiTheme="minorHAnsi" w:cstheme="minorBidi"/>
          <w:snapToGrid/>
          <w:sz w:val="24"/>
          <w:szCs w:val="22"/>
        </w:rPr>
        <w:t xml:space="preserve">submission nominated </w:t>
      </w:r>
      <w:proofErr w:type="spellStart"/>
      <w:r w:rsidR="00CE27A5" w:rsidRPr="000A0484">
        <w:rPr>
          <w:rFonts w:asciiTheme="minorHAnsi" w:eastAsiaTheme="minorHAnsi" w:hAnsiTheme="minorHAnsi" w:cstheme="minorBidi"/>
          <w:snapToGrid/>
          <w:sz w:val="24"/>
          <w:szCs w:val="22"/>
        </w:rPr>
        <w:t>mes</w:t>
      </w:r>
      <w:r w:rsidR="00DE5BC5" w:rsidRPr="000A0484">
        <w:rPr>
          <w:rFonts w:asciiTheme="minorHAnsi" w:eastAsiaTheme="minorHAnsi" w:hAnsiTheme="minorHAnsi" w:cstheme="minorBidi"/>
          <w:snapToGrid/>
          <w:sz w:val="24"/>
          <w:szCs w:val="22"/>
        </w:rPr>
        <w:t>a</w:t>
      </w:r>
      <w:r w:rsidR="00CE27A5" w:rsidRPr="000A0484">
        <w:rPr>
          <w:rFonts w:asciiTheme="minorHAnsi" w:eastAsiaTheme="minorHAnsi" w:hAnsiTheme="minorHAnsi" w:cstheme="minorBidi"/>
          <w:snapToGrid/>
          <w:sz w:val="24"/>
          <w:szCs w:val="22"/>
        </w:rPr>
        <w:t>lazine</w:t>
      </w:r>
      <w:proofErr w:type="spellEnd"/>
      <w:r w:rsidR="00CE27A5" w:rsidRPr="000A0484">
        <w:rPr>
          <w:rFonts w:asciiTheme="minorHAnsi" w:eastAsiaTheme="minorHAnsi" w:hAnsiTheme="minorHAnsi" w:cstheme="minorBidi"/>
          <w:snapToGrid/>
          <w:sz w:val="24"/>
          <w:szCs w:val="22"/>
        </w:rPr>
        <w:t xml:space="preserve"> as the sole comparator</w:t>
      </w:r>
      <w:r w:rsidR="00C512CB" w:rsidRPr="000A0484">
        <w:rPr>
          <w:rFonts w:asciiTheme="minorHAnsi" w:eastAsiaTheme="minorHAnsi" w:hAnsiTheme="minorHAnsi" w:cstheme="minorBidi"/>
          <w:snapToGrid/>
          <w:sz w:val="24"/>
          <w:szCs w:val="22"/>
        </w:rPr>
        <w:t>.</w:t>
      </w:r>
    </w:p>
    <w:p w:rsidR="00624374" w:rsidRPr="000A0484" w:rsidRDefault="00180713" w:rsidP="00146C8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The </w:t>
      </w:r>
      <w:r w:rsidR="00FD63CE" w:rsidRPr="000A0484">
        <w:rPr>
          <w:rFonts w:asciiTheme="minorHAnsi" w:eastAsiaTheme="minorHAnsi" w:hAnsiTheme="minorHAnsi" w:cstheme="minorBidi"/>
          <w:snapToGrid/>
          <w:sz w:val="24"/>
          <w:szCs w:val="22"/>
        </w:rPr>
        <w:t xml:space="preserve">minor </w:t>
      </w:r>
      <w:r w:rsidR="00C512CB" w:rsidRPr="000A0484">
        <w:rPr>
          <w:rFonts w:asciiTheme="minorHAnsi" w:eastAsiaTheme="minorHAnsi" w:hAnsiTheme="minorHAnsi" w:cstheme="minorBidi"/>
          <w:snapToGrid/>
          <w:sz w:val="24"/>
          <w:szCs w:val="22"/>
        </w:rPr>
        <w:t>resubmission provided an updated version of the Gastroenterological Society of Australia (GESA) guidelines (2017</w:t>
      </w:r>
      <w:r w:rsidR="00346A5A" w:rsidRPr="000A0484">
        <w:rPr>
          <w:rFonts w:asciiTheme="minorHAnsi" w:eastAsiaTheme="minorHAnsi" w:hAnsiTheme="minorHAnsi" w:cstheme="minorBidi"/>
          <w:snapToGrid/>
          <w:sz w:val="24"/>
          <w:szCs w:val="22"/>
        </w:rPr>
        <w:t>)</w:t>
      </w:r>
      <w:r w:rsidR="00442D3C" w:rsidRPr="000A0484">
        <w:rPr>
          <w:rFonts w:asciiTheme="minorHAnsi" w:eastAsiaTheme="minorHAnsi" w:hAnsiTheme="minorHAnsi" w:cstheme="minorBidi"/>
          <w:snapToGrid/>
          <w:sz w:val="24"/>
          <w:szCs w:val="22"/>
        </w:rPr>
        <w:t xml:space="preserve">. The resubmission stated </w:t>
      </w:r>
      <w:r w:rsidR="00A25A62" w:rsidRPr="000A0484">
        <w:rPr>
          <w:rFonts w:asciiTheme="minorHAnsi" w:eastAsiaTheme="minorHAnsi" w:hAnsiTheme="minorHAnsi" w:cstheme="minorBidi"/>
          <w:snapToGrid/>
          <w:sz w:val="24"/>
          <w:szCs w:val="22"/>
        </w:rPr>
        <w:t xml:space="preserve">(p23) </w:t>
      </w:r>
      <w:r w:rsidR="00442D3C" w:rsidRPr="000A0484">
        <w:rPr>
          <w:rFonts w:asciiTheme="minorHAnsi" w:eastAsiaTheme="minorHAnsi" w:hAnsiTheme="minorHAnsi" w:cstheme="minorBidi"/>
          <w:snapToGrid/>
          <w:sz w:val="24"/>
          <w:szCs w:val="22"/>
        </w:rPr>
        <w:t xml:space="preserve">that recommendations of 5-ASA use in CD had been retained in the newly-published 2017 GESA guidelines. </w:t>
      </w:r>
      <w:r w:rsidR="00624374" w:rsidRPr="000A0484">
        <w:rPr>
          <w:rFonts w:asciiTheme="minorHAnsi" w:eastAsiaTheme="minorHAnsi" w:hAnsiTheme="minorHAnsi" w:cstheme="minorBidi"/>
          <w:snapToGrid/>
          <w:sz w:val="24"/>
          <w:szCs w:val="22"/>
        </w:rPr>
        <w:t xml:space="preserve">The </w:t>
      </w:r>
      <w:r w:rsidR="00442D3C" w:rsidRPr="000A0484">
        <w:rPr>
          <w:rFonts w:asciiTheme="minorHAnsi" w:eastAsiaTheme="minorHAnsi" w:hAnsiTheme="minorHAnsi" w:cstheme="minorBidi"/>
          <w:snapToGrid/>
          <w:sz w:val="24"/>
          <w:szCs w:val="22"/>
        </w:rPr>
        <w:t xml:space="preserve">2017 GESA guidelines </w:t>
      </w:r>
      <w:r w:rsidR="00576C34" w:rsidRPr="000A0484">
        <w:rPr>
          <w:rFonts w:asciiTheme="minorHAnsi" w:eastAsiaTheme="minorHAnsi" w:hAnsiTheme="minorHAnsi" w:cstheme="minorBidi"/>
          <w:snapToGrid/>
          <w:sz w:val="24"/>
          <w:szCs w:val="22"/>
        </w:rPr>
        <w:t>focus on inflammatory bowel disease</w:t>
      </w:r>
      <w:r w:rsidR="00A25A62" w:rsidRPr="000A0484">
        <w:rPr>
          <w:rFonts w:asciiTheme="minorHAnsi" w:eastAsiaTheme="minorHAnsi" w:hAnsiTheme="minorHAnsi" w:cstheme="minorBidi"/>
          <w:snapToGrid/>
          <w:sz w:val="24"/>
          <w:szCs w:val="22"/>
        </w:rPr>
        <w:t xml:space="preserve"> (IBD)</w:t>
      </w:r>
      <w:r w:rsidR="00576C34" w:rsidRPr="000A0484">
        <w:rPr>
          <w:rFonts w:asciiTheme="minorHAnsi" w:eastAsiaTheme="minorHAnsi" w:hAnsiTheme="minorHAnsi" w:cstheme="minorBidi"/>
          <w:snapToGrid/>
          <w:sz w:val="24"/>
          <w:szCs w:val="22"/>
        </w:rPr>
        <w:t xml:space="preserve">, of which CD and ulcerative colitis (UC) are the two most common forms. </w:t>
      </w:r>
      <w:r w:rsidR="00985D98" w:rsidRPr="000A0484">
        <w:rPr>
          <w:rFonts w:asciiTheme="minorHAnsi" w:eastAsiaTheme="minorHAnsi" w:hAnsiTheme="minorHAnsi" w:cstheme="minorBidi"/>
          <w:snapToGrid/>
          <w:sz w:val="24"/>
          <w:szCs w:val="22"/>
        </w:rPr>
        <w:t>With respect to 5-ASAs</w:t>
      </w:r>
      <w:r w:rsidR="00576C34" w:rsidRPr="000A0484">
        <w:rPr>
          <w:rFonts w:asciiTheme="minorHAnsi" w:eastAsiaTheme="minorHAnsi" w:hAnsiTheme="minorHAnsi" w:cstheme="minorBidi"/>
          <w:snapToGrid/>
          <w:sz w:val="24"/>
          <w:szCs w:val="22"/>
        </w:rPr>
        <w:t xml:space="preserve">, the guidelines state </w:t>
      </w:r>
      <w:r w:rsidR="00624374" w:rsidRPr="000A0484">
        <w:rPr>
          <w:rFonts w:asciiTheme="minorHAnsi" w:eastAsiaTheme="minorHAnsi" w:hAnsiTheme="minorHAnsi" w:cstheme="minorBidi"/>
          <w:snapToGrid/>
          <w:sz w:val="24"/>
          <w:szCs w:val="22"/>
        </w:rPr>
        <w:t>“</w:t>
      </w:r>
      <w:r w:rsidR="00576C34" w:rsidRPr="000A0484">
        <w:rPr>
          <w:rFonts w:asciiTheme="minorHAnsi" w:eastAsiaTheme="minorHAnsi" w:hAnsiTheme="minorHAnsi" w:cstheme="minorBidi"/>
          <w:snapToGrid/>
          <w:sz w:val="24"/>
          <w:szCs w:val="22"/>
        </w:rPr>
        <w:t>These agents are more useful in UC than CD, and are the mainstay of maintaining remission in UC. This first-line therapy is typically also used to treat mild-to-moderate symptoms of active colonic IBD</w:t>
      </w:r>
      <w:r w:rsidR="00624374" w:rsidRPr="000A0484">
        <w:rPr>
          <w:rFonts w:asciiTheme="minorHAnsi" w:eastAsiaTheme="minorHAnsi" w:hAnsiTheme="minorHAnsi" w:cstheme="minorBidi"/>
          <w:snapToGrid/>
          <w:sz w:val="24"/>
          <w:szCs w:val="22"/>
        </w:rPr>
        <w:t>….</w:t>
      </w:r>
      <w:r w:rsidR="00576C34" w:rsidRPr="000A0484">
        <w:rPr>
          <w:rFonts w:asciiTheme="minorHAnsi" w:eastAsiaTheme="minorHAnsi" w:hAnsiTheme="minorHAnsi" w:cstheme="minorBidi"/>
          <w:snapToGrid/>
          <w:sz w:val="24"/>
          <w:szCs w:val="22"/>
        </w:rPr>
        <w:t xml:space="preserve"> These agents are more effective for colonic (as opposed to small bowel) disease. While they do relieve acute symptoms in mild to moderate colitis, their main use is for long-term maintenance of remission.</w:t>
      </w:r>
      <w:r w:rsidR="00624374" w:rsidRPr="000A0484">
        <w:rPr>
          <w:rFonts w:asciiTheme="minorHAnsi" w:eastAsiaTheme="minorHAnsi" w:hAnsiTheme="minorHAnsi" w:cstheme="minorBidi"/>
          <w:snapToGrid/>
          <w:sz w:val="24"/>
          <w:szCs w:val="22"/>
        </w:rPr>
        <w:t xml:space="preserve">” </w:t>
      </w:r>
      <w:r w:rsidR="00737FFA" w:rsidRPr="000A0484">
        <w:rPr>
          <w:rFonts w:asciiTheme="minorHAnsi" w:eastAsiaTheme="minorHAnsi" w:hAnsiTheme="minorHAnsi" w:cstheme="minorBidi"/>
          <w:snapToGrid/>
          <w:sz w:val="24"/>
          <w:szCs w:val="22"/>
        </w:rPr>
        <w:t xml:space="preserve">The PBAC noted that the 2017 GESA guidelines </w:t>
      </w:r>
      <w:r w:rsidR="007200CB" w:rsidRPr="000A0484">
        <w:rPr>
          <w:rFonts w:asciiTheme="minorHAnsi" w:eastAsiaTheme="minorHAnsi" w:hAnsiTheme="minorHAnsi" w:cstheme="minorBidi"/>
          <w:snapToGrid/>
          <w:sz w:val="24"/>
          <w:szCs w:val="22"/>
        </w:rPr>
        <w:t xml:space="preserve">state topically acting, oral </w:t>
      </w:r>
      <w:r w:rsidR="009632E0" w:rsidRPr="000A0484">
        <w:rPr>
          <w:rFonts w:asciiTheme="minorHAnsi" w:eastAsiaTheme="minorHAnsi" w:hAnsiTheme="minorHAnsi" w:cstheme="minorBidi"/>
          <w:snapToGrid/>
          <w:sz w:val="24"/>
          <w:szCs w:val="22"/>
        </w:rPr>
        <w:t xml:space="preserve">steroids such as </w:t>
      </w:r>
      <w:r w:rsidR="007200CB" w:rsidRPr="000A0484">
        <w:rPr>
          <w:rFonts w:asciiTheme="minorHAnsi" w:eastAsiaTheme="minorHAnsi" w:hAnsiTheme="minorHAnsi" w:cstheme="minorBidi"/>
          <w:snapToGrid/>
          <w:sz w:val="24"/>
          <w:szCs w:val="22"/>
        </w:rPr>
        <w:t xml:space="preserve">budesonide are helpful for mild </w:t>
      </w:r>
      <w:proofErr w:type="spellStart"/>
      <w:r w:rsidR="007200CB" w:rsidRPr="000A0484">
        <w:rPr>
          <w:rFonts w:asciiTheme="minorHAnsi" w:eastAsiaTheme="minorHAnsi" w:hAnsiTheme="minorHAnsi" w:cstheme="minorBidi"/>
          <w:snapToGrid/>
          <w:sz w:val="24"/>
          <w:szCs w:val="22"/>
        </w:rPr>
        <w:t>ileal</w:t>
      </w:r>
      <w:proofErr w:type="spellEnd"/>
      <w:r w:rsidR="007200CB" w:rsidRPr="000A0484">
        <w:rPr>
          <w:rFonts w:asciiTheme="minorHAnsi" w:eastAsiaTheme="minorHAnsi" w:hAnsiTheme="minorHAnsi" w:cstheme="minorBidi"/>
          <w:snapToGrid/>
          <w:sz w:val="24"/>
          <w:szCs w:val="22"/>
        </w:rPr>
        <w:t xml:space="preserve"> or </w:t>
      </w:r>
      <w:proofErr w:type="spellStart"/>
      <w:r w:rsidR="007200CB" w:rsidRPr="000A0484">
        <w:rPr>
          <w:rFonts w:asciiTheme="minorHAnsi" w:eastAsiaTheme="minorHAnsi" w:hAnsiTheme="minorHAnsi" w:cstheme="minorBidi"/>
          <w:snapToGrid/>
          <w:sz w:val="24"/>
          <w:szCs w:val="22"/>
        </w:rPr>
        <w:t>ileocolonic</w:t>
      </w:r>
      <w:proofErr w:type="spellEnd"/>
      <w:r w:rsidR="007200CB" w:rsidRPr="000A0484">
        <w:rPr>
          <w:rFonts w:asciiTheme="minorHAnsi" w:eastAsiaTheme="minorHAnsi" w:hAnsiTheme="minorHAnsi" w:cstheme="minorBidi"/>
          <w:snapToGrid/>
          <w:sz w:val="24"/>
          <w:szCs w:val="22"/>
        </w:rPr>
        <w:t xml:space="preserve"> CD and are associated with less reduction in bone mineral density and other systemic </w:t>
      </w:r>
      <w:r w:rsidR="009632E0" w:rsidRPr="000A0484">
        <w:rPr>
          <w:rFonts w:asciiTheme="minorHAnsi" w:eastAsiaTheme="minorHAnsi" w:hAnsiTheme="minorHAnsi" w:cstheme="minorBidi"/>
          <w:snapToGrid/>
          <w:sz w:val="24"/>
          <w:szCs w:val="22"/>
        </w:rPr>
        <w:t>adverse events (</w:t>
      </w:r>
      <w:r w:rsidR="007200CB" w:rsidRPr="000A0484">
        <w:rPr>
          <w:rFonts w:asciiTheme="minorHAnsi" w:eastAsiaTheme="minorHAnsi" w:hAnsiTheme="minorHAnsi" w:cstheme="minorBidi"/>
          <w:snapToGrid/>
          <w:sz w:val="24"/>
          <w:szCs w:val="22"/>
        </w:rPr>
        <w:t>AEs</w:t>
      </w:r>
      <w:r w:rsidR="009632E0" w:rsidRPr="000A0484">
        <w:rPr>
          <w:rFonts w:asciiTheme="minorHAnsi" w:eastAsiaTheme="minorHAnsi" w:hAnsiTheme="minorHAnsi" w:cstheme="minorBidi"/>
          <w:snapToGrid/>
          <w:sz w:val="24"/>
          <w:szCs w:val="22"/>
        </w:rPr>
        <w:t>)</w:t>
      </w:r>
      <w:r w:rsidR="007200CB" w:rsidRPr="000A0484">
        <w:rPr>
          <w:rFonts w:asciiTheme="minorHAnsi" w:eastAsiaTheme="minorHAnsi" w:hAnsiTheme="minorHAnsi" w:cstheme="minorBidi"/>
          <w:snapToGrid/>
          <w:sz w:val="24"/>
          <w:szCs w:val="22"/>
        </w:rPr>
        <w:t xml:space="preserve"> than prednisolone.  </w:t>
      </w:r>
    </w:p>
    <w:p w:rsidR="00146C82" w:rsidRPr="000A0484" w:rsidRDefault="00624374" w:rsidP="00186BD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The minor resubmission </w:t>
      </w:r>
      <w:r w:rsidR="00553906" w:rsidRPr="000A0484">
        <w:rPr>
          <w:rFonts w:asciiTheme="minorHAnsi" w:eastAsiaTheme="minorHAnsi" w:hAnsiTheme="minorHAnsi" w:cstheme="minorBidi"/>
          <w:snapToGrid/>
          <w:sz w:val="24"/>
          <w:szCs w:val="22"/>
        </w:rPr>
        <w:t xml:space="preserve">also </w:t>
      </w:r>
      <w:r w:rsidRPr="000A0484">
        <w:rPr>
          <w:rFonts w:asciiTheme="minorHAnsi" w:eastAsiaTheme="minorHAnsi" w:hAnsiTheme="minorHAnsi" w:cstheme="minorBidi"/>
          <w:snapToGrid/>
          <w:sz w:val="24"/>
          <w:szCs w:val="22"/>
        </w:rPr>
        <w:t xml:space="preserve">provided an updated version of the </w:t>
      </w:r>
      <w:proofErr w:type="spellStart"/>
      <w:r w:rsidRPr="000A0484">
        <w:rPr>
          <w:rFonts w:asciiTheme="minorHAnsi" w:eastAsiaTheme="minorHAnsi" w:hAnsiTheme="minorHAnsi" w:cstheme="minorBidi"/>
          <w:snapToGrid/>
          <w:sz w:val="24"/>
          <w:szCs w:val="22"/>
        </w:rPr>
        <w:t>eTG</w:t>
      </w:r>
      <w:proofErr w:type="spellEnd"/>
      <w:r w:rsidRPr="000A0484">
        <w:rPr>
          <w:rFonts w:asciiTheme="minorHAnsi" w:eastAsiaTheme="minorHAnsi" w:hAnsiTheme="minorHAnsi" w:cstheme="minorBidi"/>
          <w:snapToGrid/>
          <w:sz w:val="24"/>
          <w:szCs w:val="22"/>
        </w:rPr>
        <w:t xml:space="preserve"> guidelines (updated in March 2018)</w:t>
      </w:r>
      <w:r w:rsidR="00374295" w:rsidRPr="000A0484">
        <w:rPr>
          <w:rFonts w:asciiTheme="minorHAnsi" w:eastAsiaTheme="minorHAnsi" w:hAnsiTheme="minorHAnsi" w:cstheme="minorBidi"/>
          <w:snapToGrid/>
          <w:sz w:val="24"/>
          <w:szCs w:val="22"/>
        </w:rPr>
        <w:t>. The 2018</w:t>
      </w:r>
      <w:r w:rsidRPr="000A0484">
        <w:rPr>
          <w:rFonts w:asciiTheme="minorHAnsi" w:eastAsiaTheme="minorHAnsi" w:hAnsiTheme="minorHAnsi" w:cstheme="minorBidi"/>
          <w:snapToGrid/>
          <w:sz w:val="24"/>
          <w:szCs w:val="22"/>
        </w:rPr>
        <w:t xml:space="preserve"> </w:t>
      </w:r>
      <w:proofErr w:type="spellStart"/>
      <w:r w:rsidRPr="000A0484">
        <w:rPr>
          <w:rFonts w:asciiTheme="minorHAnsi" w:eastAsiaTheme="minorHAnsi" w:hAnsiTheme="minorHAnsi" w:cstheme="minorBidi"/>
          <w:snapToGrid/>
          <w:sz w:val="24"/>
          <w:szCs w:val="22"/>
        </w:rPr>
        <w:t>eTG</w:t>
      </w:r>
      <w:proofErr w:type="spellEnd"/>
      <w:r w:rsidRPr="000A0484">
        <w:rPr>
          <w:rFonts w:asciiTheme="minorHAnsi" w:eastAsiaTheme="minorHAnsi" w:hAnsiTheme="minorHAnsi" w:cstheme="minorBidi"/>
          <w:snapToGrid/>
          <w:sz w:val="24"/>
          <w:szCs w:val="22"/>
        </w:rPr>
        <w:t xml:space="preserve"> guidelines state “</w:t>
      </w:r>
      <w:r w:rsidR="00985D98" w:rsidRPr="000A0484">
        <w:rPr>
          <w:rFonts w:asciiTheme="minorHAnsi" w:eastAsiaTheme="minorHAnsi" w:hAnsiTheme="minorHAnsi" w:cstheme="minorBidi"/>
          <w:snapToGrid/>
          <w:sz w:val="24"/>
          <w:szCs w:val="22"/>
        </w:rPr>
        <w:t>In contrast to UC, 5-ASAs</w:t>
      </w:r>
      <w:r w:rsidRPr="000A0484">
        <w:rPr>
          <w:rFonts w:asciiTheme="minorHAnsi" w:eastAsiaTheme="minorHAnsi" w:hAnsiTheme="minorHAnsi" w:cstheme="minorBidi"/>
          <w:snapToGrid/>
          <w:sz w:val="24"/>
          <w:szCs w:val="22"/>
        </w:rPr>
        <w:t xml:space="preserve"> and rectal therapy have</w:t>
      </w:r>
      <w:r w:rsidR="00985D98" w:rsidRPr="000A0484">
        <w:rPr>
          <w:rFonts w:asciiTheme="minorHAnsi" w:eastAsiaTheme="minorHAnsi" w:hAnsiTheme="minorHAnsi" w:cstheme="minorBidi"/>
          <w:snapToGrid/>
          <w:sz w:val="24"/>
          <w:szCs w:val="22"/>
        </w:rPr>
        <w:t xml:space="preserve"> a limited role in CD</w:t>
      </w:r>
      <w:r w:rsidRPr="000A0484">
        <w:rPr>
          <w:rFonts w:asciiTheme="minorHAnsi" w:eastAsiaTheme="minorHAnsi" w:hAnsiTheme="minorHAnsi" w:cstheme="minorBidi"/>
          <w:snapToGrid/>
          <w:sz w:val="24"/>
          <w:szCs w:val="22"/>
        </w:rPr>
        <w:t>.”</w:t>
      </w:r>
      <w:r w:rsidR="007200CB" w:rsidRPr="000A0484">
        <w:rPr>
          <w:rFonts w:asciiTheme="minorHAnsi" w:eastAsiaTheme="minorHAnsi" w:hAnsiTheme="minorHAnsi" w:cstheme="minorBidi"/>
          <w:snapToGrid/>
          <w:sz w:val="24"/>
          <w:szCs w:val="22"/>
        </w:rPr>
        <w:t xml:space="preserve"> The PBAC noted that the </w:t>
      </w:r>
      <w:proofErr w:type="spellStart"/>
      <w:r w:rsidR="007200CB" w:rsidRPr="000A0484">
        <w:rPr>
          <w:rFonts w:asciiTheme="minorHAnsi" w:eastAsiaTheme="minorHAnsi" w:hAnsiTheme="minorHAnsi" w:cstheme="minorBidi"/>
          <w:snapToGrid/>
          <w:sz w:val="24"/>
          <w:szCs w:val="22"/>
        </w:rPr>
        <w:t>eTG</w:t>
      </w:r>
      <w:proofErr w:type="spellEnd"/>
      <w:r w:rsidR="007200CB" w:rsidRPr="000A0484">
        <w:rPr>
          <w:rFonts w:asciiTheme="minorHAnsi" w:eastAsiaTheme="minorHAnsi" w:hAnsiTheme="minorHAnsi" w:cstheme="minorBidi"/>
          <w:snapToGrid/>
          <w:sz w:val="24"/>
          <w:szCs w:val="22"/>
        </w:rPr>
        <w:t xml:space="preserve"> </w:t>
      </w:r>
      <w:r w:rsidR="00B92653" w:rsidRPr="000A0484">
        <w:rPr>
          <w:rFonts w:asciiTheme="minorHAnsi" w:eastAsiaTheme="minorHAnsi" w:hAnsiTheme="minorHAnsi" w:cstheme="minorBidi"/>
          <w:snapToGrid/>
          <w:sz w:val="24"/>
          <w:szCs w:val="22"/>
        </w:rPr>
        <w:t xml:space="preserve">guidelines </w:t>
      </w:r>
      <w:r w:rsidR="007200CB" w:rsidRPr="000A0484">
        <w:rPr>
          <w:rFonts w:asciiTheme="minorHAnsi" w:eastAsiaTheme="minorHAnsi" w:hAnsiTheme="minorHAnsi" w:cstheme="minorBidi"/>
          <w:snapToGrid/>
          <w:sz w:val="24"/>
          <w:szCs w:val="22"/>
        </w:rPr>
        <w:t>emphas</w:t>
      </w:r>
      <w:r w:rsidR="00B92653" w:rsidRPr="000A0484">
        <w:rPr>
          <w:rFonts w:asciiTheme="minorHAnsi" w:eastAsiaTheme="minorHAnsi" w:hAnsiTheme="minorHAnsi" w:cstheme="minorBidi"/>
          <w:snapToGrid/>
          <w:sz w:val="24"/>
          <w:szCs w:val="22"/>
        </w:rPr>
        <w:t xml:space="preserve">ised the role of corticosteroids in induction therapy for mild to moderate CD. The PBAC also noted the </w:t>
      </w:r>
      <w:proofErr w:type="spellStart"/>
      <w:r w:rsidR="00B92653" w:rsidRPr="000A0484">
        <w:rPr>
          <w:rFonts w:asciiTheme="minorHAnsi" w:eastAsiaTheme="minorHAnsi" w:hAnsiTheme="minorHAnsi" w:cstheme="minorBidi"/>
          <w:snapToGrid/>
          <w:sz w:val="24"/>
          <w:szCs w:val="22"/>
        </w:rPr>
        <w:t>eTG</w:t>
      </w:r>
      <w:proofErr w:type="spellEnd"/>
      <w:r w:rsidR="00B92653" w:rsidRPr="000A0484">
        <w:rPr>
          <w:rFonts w:asciiTheme="minorHAnsi" w:eastAsiaTheme="minorHAnsi" w:hAnsiTheme="minorHAnsi" w:cstheme="minorBidi"/>
          <w:snapToGrid/>
          <w:sz w:val="24"/>
          <w:szCs w:val="22"/>
        </w:rPr>
        <w:t xml:space="preserve"> guidelines recommended that consideration b</w:t>
      </w:r>
      <w:r w:rsidR="009632E0" w:rsidRPr="000A0484">
        <w:rPr>
          <w:rFonts w:asciiTheme="minorHAnsi" w:eastAsiaTheme="minorHAnsi" w:hAnsiTheme="minorHAnsi" w:cstheme="minorBidi"/>
          <w:snapToGrid/>
          <w:sz w:val="24"/>
          <w:szCs w:val="22"/>
        </w:rPr>
        <w:t xml:space="preserve">e given to using </w:t>
      </w:r>
      <w:r w:rsidR="00B92653" w:rsidRPr="000A0484">
        <w:rPr>
          <w:rFonts w:asciiTheme="minorHAnsi" w:eastAsiaTheme="minorHAnsi" w:hAnsiTheme="minorHAnsi" w:cstheme="minorBidi"/>
          <w:snapToGrid/>
          <w:sz w:val="24"/>
          <w:szCs w:val="22"/>
        </w:rPr>
        <w:t xml:space="preserve">budesonide for </w:t>
      </w:r>
      <w:proofErr w:type="spellStart"/>
      <w:r w:rsidR="00B92653" w:rsidRPr="000A0484">
        <w:rPr>
          <w:rFonts w:asciiTheme="minorHAnsi" w:eastAsiaTheme="minorHAnsi" w:hAnsiTheme="minorHAnsi" w:cstheme="minorBidi"/>
          <w:snapToGrid/>
          <w:sz w:val="24"/>
          <w:szCs w:val="22"/>
        </w:rPr>
        <w:t>ileocaecal</w:t>
      </w:r>
      <w:proofErr w:type="spellEnd"/>
      <w:r w:rsidR="00B92653" w:rsidRPr="000A0484">
        <w:rPr>
          <w:rFonts w:asciiTheme="minorHAnsi" w:eastAsiaTheme="minorHAnsi" w:hAnsiTheme="minorHAnsi" w:cstheme="minorBidi"/>
          <w:snapToGrid/>
          <w:sz w:val="24"/>
          <w:szCs w:val="22"/>
        </w:rPr>
        <w:t xml:space="preserve"> disease, particularly for patients with a history of AE</w:t>
      </w:r>
      <w:r w:rsidR="009E3FC4" w:rsidRPr="000A0484">
        <w:rPr>
          <w:rFonts w:asciiTheme="minorHAnsi" w:eastAsiaTheme="minorHAnsi" w:hAnsiTheme="minorHAnsi" w:cstheme="minorBidi"/>
          <w:snapToGrid/>
          <w:sz w:val="24"/>
          <w:szCs w:val="22"/>
        </w:rPr>
        <w:t>s</w:t>
      </w:r>
      <w:r w:rsidR="00B92653" w:rsidRPr="000A0484">
        <w:rPr>
          <w:rFonts w:asciiTheme="minorHAnsi" w:eastAsiaTheme="minorHAnsi" w:hAnsiTheme="minorHAnsi" w:cstheme="minorBidi"/>
          <w:snapToGrid/>
          <w:sz w:val="24"/>
          <w:szCs w:val="22"/>
        </w:rPr>
        <w:t xml:space="preserve"> to systemic corticosteroids or precautions to their use (e.g. diabetes).</w:t>
      </w:r>
      <w:r w:rsidRPr="000A0484">
        <w:rPr>
          <w:rFonts w:asciiTheme="minorHAnsi" w:eastAsiaTheme="minorHAnsi" w:hAnsiTheme="minorHAnsi" w:cstheme="minorBidi"/>
          <w:snapToGrid/>
          <w:sz w:val="24"/>
          <w:szCs w:val="22"/>
        </w:rPr>
        <w:t xml:space="preserve"> </w:t>
      </w:r>
    </w:p>
    <w:p w:rsidR="00B86AA2" w:rsidRPr="000A0484" w:rsidRDefault="00C44E01" w:rsidP="002F4A8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The pre-PBAC response argued that while the 2017 GESA guidelines do state that 5-ASAs are “more useful in UC than CD”, they do not exclude the use of 5-ASAs in CD nor do they recommend against the use of 5-ASAs in CD. Similarly, the pre-PBAC response argued the 2018 </w:t>
      </w:r>
      <w:proofErr w:type="spellStart"/>
      <w:r w:rsidRPr="000A0484">
        <w:rPr>
          <w:rFonts w:asciiTheme="minorHAnsi" w:eastAsiaTheme="minorHAnsi" w:hAnsiTheme="minorHAnsi" w:cstheme="minorBidi"/>
          <w:snapToGrid/>
          <w:sz w:val="24"/>
          <w:szCs w:val="22"/>
        </w:rPr>
        <w:t>eTG</w:t>
      </w:r>
      <w:proofErr w:type="spellEnd"/>
      <w:r w:rsidRPr="000A0484">
        <w:rPr>
          <w:rFonts w:asciiTheme="minorHAnsi" w:eastAsiaTheme="minorHAnsi" w:hAnsiTheme="minorHAnsi" w:cstheme="minorBidi"/>
          <w:snapToGrid/>
          <w:sz w:val="24"/>
          <w:szCs w:val="22"/>
        </w:rPr>
        <w:t xml:space="preserve"> guidelines suggest that there is some use of 5-ASAs in CD. </w:t>
      </w:r>
    </w:p>
    <w:p w:rsidR="00F4610A" w:rsidRPr="000A0484" w:rsidRDefault="00494AFB" w:rsidP="00F4610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The PBAC recalled</w:t>
      </w:r>
      <w:r w:rsidR="00B86AA2" w:rsidRPr="000A0484">
        <w:rPr>
          <w:rFonts w:asciiTheme="minorHAnsi" w:eastAsiaTheme="minorHAnsi" w:hAnsiTheme="minorHAnsi" w:cstheme="minorBidi"/>
          <w:snapToGrid/>
          <w:sz w:val="24"/>
          <w:szCs w:val="22"/>
        </w:rPr>
        <w:t xml:space="preserve"> that in its previous consideration of budesonide (November 2017) it had considered that </w:t>
      </w:r>
      <w:proofErr w:type="spellStart"/>
      <w:r w:rsidR="00B86AA2" w:rsidRPr="000A0484">
        <w:rPr>
          <w:rFonts w:asciiTheme="minorHAnsi" w:eastAsiaTheme="minorHAnsi" w:hAnsiTheme="minorHAnsi" w:cstheme="minorBidi"/>
          <w:snapToGrid/>
          <w:sz w:val="24"/>
          <w:szCs w:val="22"/>
        </w:rPr>
        <w:t>mesalazine</w:t>
      </w:r>
      <w:proofErr w:type="spellEnd"/>
      <w:r w:rsidR="00B86AA2" w:rsidRPr="000A0484">
        <w:rPr>
          <w:rFonts w:asciiTheme="minorHAnsi" w:eastAsiaTheme="minorHAnsi" w:hAnsiTheme="minorHAnsi" w:cstheme="minorBidi"/>
          <w:snapToGrid/>
          <w:sz w:val="24"/>
          <w:szCs w:val="22"/>
        </w:rPr>
        <w:t xml:space="preserve"> as the nominated comparator was not </w:t>
      </w:r>
      <w:r w:rsidR="00B86AA2" w:rsidRPr="000A0484">
        <w:rPr>
          <w:rFonts w:asciiTheme="minorHAnsi" w:eastAsiaTheme="minorHAnsi" w:hAnsiTheme="minorHAnsi" w:cstheme="minorBidi"/>
          <w:snapToGrid/>
          <w:sz w:val="24"/>
          <w:szCs w:val="22"/>
        </w:rPr>
        <w:lastRenderedPageBreak/>
        <w:t xml:space="preserve">appropriate. At that time, the PBAC considered prednisolone a more appropriate comparator for budesonide. </w:t>
      </w:r>
    </w:p>
    <w:p w:rsidR="00C44E01" w:rsidRPr="000A0484" w:rsidRDefault="00494AFB" w:rsidP="00F4610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T</w:t>
      </w:r>
      <w:r w:rsidR="00F4610A" w:rsidRPr="000A0484">
        <w:rPr>
          <w:rFonts w:asciiTheme="minorHAnsi" w:eastAsiaTheme="minorHAnsi" w:hAnsiTheme="minorHAnsi" w:cstheme="minorBidi"/>
          <w:snapToGrid/>
          <w:sz w:val="24"/>
          <w:szCs w:val="22"/>
        </w:rPr>
        <w:t xml:space="preserve">he PBAC maintained the view that a comparison wholly against </w:t>
      </w:r>
      <w:proofErr w:type="spellStart"/>
      <w:r w:rsidR="00F4610A" w:rsidRPr="000A0484">
        <w:rPr>
          <w:rFonts w:asciiTheme="minorHAnsi" w:eastAsiaTheme="minorHAnsi" w:hAnsiTheme="minorHAnsi" w:cstheme="minorBidi"/>
          <w:snapToGrid/>
          <w:sz w:val="24"/>
          <w:szCs w:val="22"/>
        </w:rPr>
        <w:t>mesalazine</w:t>
      </w:r>
      <w:proofErr w:type="spellEnd"/>
      <w:r w:rsidR="00F4610A" w:rsidRPr="000A0484">
        <w:rPr>
          <w:rFonts w:asciiTheme="minorHAnsi" w:eastAsiaTheme="minorHAnsi" w:hAnsiTheme="minorHAnsi" w:cstheme="minorBidi"/>
          <w:snapToGrid/>
          <w:sz w:val="24"/>
          <w:szCs w:val="22"/>
        </w:rPr>
        <w:t xml:space="preserve"> was not appropriate. However, t</w:t>
      </w:r>
      <w:r w:rsidR="00C44E01" w:rsidRPr="000A0484">
        <w:rPr>
          <w:rFonts w:asciiTheme="minorHAnsi" w:eastAsiaTheme="minorHAnsi" w:hAnsiTheme="minorHAnsi" w:cstheme="minorBidi"/>
          <w:snapToGrid/>
          <w:sz w:val="24"/>
          <w:szCs w:val="22"/>
        </w:rPr>
        <w:t xml:space="preserve">he PBAC agreed with the </w:t>
      </w:r>
      <w:r w:rsidR="00800E7E" w:rsidRPr="000A0484">
        <w:rPr>
          <w:rFonts w:asciiTheme="minorHAnsi" w:eastAsiaTheme="minorHAnsi" w:hAnsiTheme="minorHAnsi" w:cstheme="minorBidi"/>
          <w:snapToGrid/>
          <w:sz w:val="24"/>
          <w:szCs w:val="22"/>
        </w:rPr>
        <w:t>pre-PBAC response</w:t>
      </w:r>
      <w:r w:rsidR="00C44E01" w:rsidRPr="000A0484">
        <w:rPr>
          <w:rFonts w:asciiTheme="minorHAnsi" w:eastAsiaTheme="minorHAnsi" w:hAnsiTheme="minorHAnsi" w:cstheme="minorBidi"/>
          <w:snapToGrid/>
          <w:sz w:val="24"/>
          <w:szCs w:val="22"/>
        </w:rPr>
        <w:t xml:space="preserve"> that </w:t>
      </w:r>
      <w:r w:rsidR="00F4610A" w:rsidRPr="000A0484">
        <w:rPr>
          <w:rFonts w:asciiTheme="minorHAnsi" w:eastAsiaTheme="minorHAnsi" w:hAnsiTheme="minorHAnsi" w:cstheme="minorBidi"/>
          <w:snapToGrid/>
          <w:sz w:val="24"/>
          <w:szCs w:val="22"/>
        </w:rPr>
        <w:t>c</w:t>
      </w:r>
      <w:r w:rsidR="003B49D0" w:rsidRPr="000A0484">
        <w:rPr>
          <w:rFonts w:asciiTheme="minorHAnsi" w:eastAsiaTheme="minorHAnsi" w:hAnsiTheme="minorHAnsi" w:cstheme="minorBidi"/>
          <w:snapToGrid/>
          <w:sz w:val="24"/>
          <w:szCs w:val="22"/>
        </w:rPr>
        <w:t>ontemporary</w:t>
      </w:r>
      <w:r w:rsidR="00F4610A" w:rsidRPr="000A0484">
        <w:rPr>
          <w:rFonts w:asciiTheme="minorHAnsi" w:eastAsiaTheme="minorHAnsi" w:hAnsiTheme="minorHAnsi" w:cstheme="minorBidi"/>
          <w:snapToGrid/>
          <w:sz w:val="24"/>
          <w:szCs w:val="22"/>
        </w:rPr>
        <w:t xml:space="preserve"> Australian guidelines acknowledge a</w:t>
      </w:r>
      <w:r w:rsidR="00800E7E" w:rsidRPr="000A0484">
        <w:rPr>
          <w:rFonts w:asciiTheme="minorHAnsi" w:eastAsiaTheme="minorHAnsi" w:hAnsiTheme="minorHAnsi" w:cstheme="minorBidi"/>
          <w:snapToGrid/>
          <w:sz w:val="24"/>
          <w:szCs w:val="22"/>
        </w:rPr>
        <w:t xml:space="preserve"> role for</w:t>
      </w:r>
      <w:r w:rsidR="00F4610A" w:rsidRPr="000A0484">
        <w:rPr>
          <w:rFonts w:asciiTheme="minorHAnsi" w:eastAsiaTheme="minorHAnsi" w:hAnsiTheme="minorHAnsi" w:cstheme="minorBidi"/>
          <w:snapToGrid/>
          <w:sz w:val="24"/>
          <w:szCs w:val="22"/>
        </w:rPr>
        <w:t xml:space="preserve"> </w:t>
      </w:r>
      <w:r w:rsidRPr="000A0484">
        <w:rPr>
          <w:rFonts w:asciiTheme="minorHAnsi" w:eastAsiaTheme="minorHAnsi" w:hAnsiTheme="minorHAnsi" w:cstheme="minorBidi"/>
          <w:snapToGrid/>
          <w:sz w:val="24"/>
          <w:szCs w:val="22"/>
        </w:rPr>
        <w:t xml:space="preserve">5-ASAs such as </w:t>
      </w:r>
      <w:proofErr w:type="spellStart"/>
      <w:r w:rsidR="00F4610A" w:rsidRPr="000A0484">
        <w:rPr>
          <w:rFonts w:asciiTheme="minorHAnsi" w:eastAsiaTheme="minorHAnsi" w:hAnsiTheme="minorHAnsi" w:cstheme="minorBidi"/>
          <w:snapToGrid/>
          <w:sz w:val="24"/>
          <w:szCs w:val="22"/>
        </w:rPr>
        <w:t>mesalazine</w:t>
      </w:r>
      <w:proofErr w:type="spellEnd"/>
      <w:r w:rsidR="00F4610A" w:rsidRPr="000A0484">
        <w:rPr>
          <w:rFonts w:asciiTheme="minorHAnsi" w:eastAsiaTheme="minorHAnsi" w:hAnsiTheme="minorHAnsi" w:cstheme="minorBidi"/>
          <w:snapToGrid/>
          <w:sz w:val="24"/>
          <w:szCs w:val="22"/>
        </w:rPr>
        <w:t xml:space="preserve"> in CD. Moreover, the PBAC considered that </w:t>
      </w:r>
      <w:r w:rsidR="00C44E01" w:rsidRPr="000A0484">
        <w:rPr>
          <w:rFonts w:asciiTheme="minorHAnsi" w:eastAsiaTheme="minorHAnsi" w:hAnsiTheme="minorHAnsi" w:cstheme="minorBidi"/>
          <w:snapToGrid/>
          <w:sz w:val="24"/>
          <w:szCs w:val="22"/>
        </w:rPr>
        <w:t xml:space="preserve">there was a subset of patients who would be treated with </w:t>
      </w:r>
      <w:proofErr w:type="spellStart"/>
      <w:r w:rsidR="00C44E01" w:rsidRPr="000A0484">
        <w:rPr>
          <w:rFonts w:asciiTheme="minorHAnsi" w:eastAsiaTheme="minorHAnsi" w:hAnsiTheme="minorHAnsi" w:cstheme="minorBidi"/>
          <w:snapToGrid/>
          <w:sz w:val="24"/>
          <w:szCs w:val="22"/>
        </w:rPr>
        <w:t>mesalazine</w:t>
      </w:r>
      <w:proofErr w:type="spellEnd"/>
      <w:r w:rsidR="00C44E01" w:rsidRPr="000A0484">
        <w:rPr>
          <w:rFonts w:asciiTheme="minorHAnsi" w:eastAsiaTheme="minorHAnsi" w:hAnsiTheme="minorHAnsi" w:cstheme="minorBidi"/>
          <w:snapToGrid/>
          <w:sz w:val="24"/>
          <w:szCs w:val="22"/>
        </w:rPr>
        <w:t xml:space="preserve"> instead of prednisolone as the AE profile of the latter would prohibit a trial or ongoing use</w:t>
      </w:r>
      <w:r w:rsidRPr="000A0484">
        <w:rPr>
          <w:rFonts w:asciiTheme="minorHAnsi" w:eastAsiaTheme="minorHAnsi" w:hAnsiTheme="minorHAnsi" w:cstheme="minorBidi"/>
          <w:snapToGrid/>
          <w:sz w:val="24"/>
          <w:szCs w:val="22"/>
        </w:rPr>
        <w:t xml:space="preserve"> in clinical practice</w:t>
      </w:r>
      <w:r w:rsidR="00C44E01" w:rsidRPr="000A0484">
        <w:rPr>
          <w:rFonts w:asciiTheme="minorHAnsi" w:eastAsiaTheme="minorHAnsi" w:hAnsiTheme="minorHAnsi" w:cstheme="minorBidi"/>
          <w:snapToGrid/>
          <w:sz w:val="24"/>
          <w:szCs w:val="22"/>
        </w:rPr>
        <w:t>. The PBAC therefore accepted the nomination of a mixed comparator (</w:t>
      </w:r>
      <w:proofErr w:type="spellStart"/>
      <w:r w:rsidR="00C44E01" w:rsidRPr="000A0484">
        <w:rPr>
          <w:rFonts w:asciiTheme="minorHAnsi" w:eastAsiaTheme="minorHAnsi" w:hAnsiTheme="minorHAnsi" w:cstheme="minorBidi"/>
          <w:snapToGrid/>
          <w:sz w:val="24"/>
          <w:szCs w:val="22"/>
        </w:rPr>
        <w:t>mesalazine</w:t>
      </w:r>
      <w:proofErr w:type="spellEnd"/>
      <w:r w:rsidR="00C44E01" w:rsidRPr="000A0484">
        <w:rPr>
          <w:rFonts w:asciiTheme="minorHAnsi" w:eastAsiaTheme="minorHAnsi" w:hAnsiTheme="minorHAnsi" w:cstheme="minorBidi"/>
          <w:snapToGrid/>
          <w:sz w:val="24"/>
          <w:szCs w:val="22"/>
        </w:rPr>
        <w:t xml:space="preserve"> and prednisolone).</w:t>
      </w:r>
    </w:p>
    <w:p w:rsidR="003976D3" w:rsidRPr="00AB144A" w:rsidRDefault="003976D3" w:rsidP="00AB144A">
      <w:pPr>
        <w:pStyle w:val="ListParagraph"/>
        <w:rPr>
          <w:rFonts w:asciiTheme="minorHAnsi" w:eastAsiaTheme="minorHAnsi" w:hAnsiTheme="minorHAnsi" w:cstheme="minorHAnsi"/>
          <w:i/>
          <w:snapToGrid/>
          <w:sz w:val="24"/>
        </w:rPr>
      </w:pPr>
      <w:r w:rsidRPr="00AB144A">
        <w:rPr>
          <w:rFonts w:asciiTheme="minorHAnsi" w:eastAsiaTheme="minorHAnsi" w:hAnsiTheme="minorHAnsi" w:cstheme="minorHAnsi"/>
          <w:i/>
          <w:snapToGrid/>
          <w:sz w:val="24"/>
        </w:rPr>
        <w:t>For more detail on PBAC’s view, see section 7 PBAC outcome.</w:t>
      </w:r>
    </w:p>
    <w:p w:rsidR="000B558D" w:rsidRPr="000A0484"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0A0484">
        <w:rPr>
          <w:rFonts w:asciiTheme="minorHAnsi" w:hAnsiTheme="minorHAnsi"/>
          <w:sz w:val="32"/>
          <w:szCs w:val="32"/>
        </w:rPr>
        <w:t>C</w:t>
      </w:r>
      <w:r w:rsidR="00D84934" w:rsidRPr="000A0484">
        <w:rPr>
          <w:rFonts w:asciiTheme="minorHAnsi" w:hAnsiTheme="minorHAnsi"/>
          <w:sz w:val="32"/>
          <w:szCs w:val="32"/>
        </w:rPr>
        <w:t>onsideration of the evidence</w:t>
      </w:r>
    </w:p>
    <w:p w:rsidR="003976D3" w:rsidRPr="00CC5D24" w:rsidRDefault="003976D3" w:rsidP="00CC5D24">
      <w:pPr>
        <w:pStyle w:val="Heading2"/>
        <w:keepLines/>
        <w:spacing w:before="240" w:after="120"/>
        <w:rPr>
          <w:rFonts w:asciiTheme="minorHAnsi" w:eastAsiaTheme="majorEastAsia" w:hAnsiTheme="minorHAnsi" w:cstheme="majorBidi"/>
          <w:sz w:val="28"/>
          <w:szCs w:val="28"/>
          <w:lang w:eastAsia="en-US"/>
        </w:rPr>
      </w:pPr>
      <w:r w:rsidRPr="00CC5D24">
        <w:rPr>
          <w:rFonts w:asciiTheme="minorHAnsi" w:eastAsiaTheme="majorEastAsia" w:hAnsiTheme="minorHAnsi" w:cstheme="majorBidi"/>
          <w:sz w:val="28"/>
          <w:szCs w:val="28"/>
          <w:lang w:eastAsia="en-US"/>
        </w:rPr>
        <w:t>Sponsor hearing</w:t>
      </w:r>
    </w:p>
    <w:p w:rsidR="003976D3" w:rsidRPr="000A0484" w:rsidRDefault="003976D3" w:rsidP="003976D3">
      <w:pPr>
        <w:widowControl w:val="0"/>
        <w:numPr>
          <w:ilvl w:val="1"/>
          <w:numId w:val="5"/>
        </w:numPr>
        <w:spacing w:after="120"/>
        <w:jc w:val="both"/>
        <w:rPr>
          <w:rFonts w:asciiTheme="minorHAnsi" w:hAnsiTheme="minorHAnsi" w:cs="Arial"/>
          <w:bCs/>
          <w:snapToGrid w:val="0"/>
        </w:rPr>
      </w:pPr>
      <w:r w:rsidRPr="000A0484">
        <w:rPr>
          <w:rFonts w:asciiTheme="minorHAnsi" w:hAnsiTheme="minorHAnsi" w:cs="Arial"/>
          <w:bCs/>
          <w:snapToGrid w:val="0"/>
        </w:rPr>
        <w:t>There was no hearing for this item as it was a minor submission.</w:t>
      </w:r>
    </w:p>
    <w:p w:rsidR="003976D3" w:rsidRPr="00CC5D24" w:rsidRDefault="003976D3" w:rsidP="00CC5D24">
      <w:pPr>
        <w:pStyle w:val="Heading2"/>
        <w:keepLines/>
        <w:spacing w:before="240" w:after="120"/>
        <w:rPr>
          <w:rFonts w:asciiTheme="minorHAnsi" w:eastAsiaTheme="majorEastAsia" w:hAnsiTheme="minorHAnsi" w:cstheme="majorBidi"/>
          <w:sz w:val="28"/>
          <w:szCs w:val="28"/>
          <w:lang w:eastAsia="en-US"/>
        </w:rPr>
      </w:pPr>
      <w:r w:rsidRPr="00CC5D24">
        <w:rPr>
          <w:rFonts w:asciiTheme="minorHAnsi" w:eastAsiaTheme="majorEastAsia" w:hAnsiTheme="minorHAnsi" w:cstheme="majorBidi"/>
          <w:sz w:val="28"/>
          <w:szCs w:val="28"/>
          <w:lang w:eastAsia="en-US"/>
        </w:rPr>
        <w:t>Consumer comments</w:t>
      </w:r>
    </w:p>
    <w:p w:rsidR="003976D3" w:rsidRPr="000A0484" w:rsidRDefault="003976D3" w:rsidP="003976D3">
      <w:pPr>
        <w:widowControl w:val="0"/>
        <w:numPr>
          <w:ilvl w:val="1"/>
          <w:numId w:val="5"/>
        </w:numPr>
        <w:spacing w:after="120"/>
        <w:jc w:val="both"/>
        <w:rPr>
          <w:rFonts w:asciiTheme="minorHAnsi" w:hAnsiTheme="minorHAnsi" w:cs="Arial"/>
          <w:bCs/>
          <w:snapToGrid w:val="0"/>
        </w:rPr>
      </w:pPr>
      <w:r w:rsidRPr="000A0484">
        <w:rPr>
          <w:rFonts w:asciiTheme="minorHAnsi" w:hAnsiTheme="minorHAnsi" w:cs="Arial"/>
          <w:bCs/>
          <w:snapToGrid w:val="0"/>
        </w:rPr>
        <w:t xml:space="preserve">The PBAC noted and welcomed the input from </w:t>
      </w:r>
      <w:r w:rsidR="00002158" w:rsidRPr="000A0484">
        <w:rPr>
          <w:rFonts w:asciiTheme="minorHAnsi" w:hAnsiTheme="minorHAnsi" w:cs="Arial"/>
          <w:bCs/>
          <w:snapToGrid w:val="0"/>
        </w:rPr>
        <w:t xml:space="preserve">one </w:t>
      </w:r>
      <w:r w:rsidRPr="000A0484">
        <w:rPr>
          <w:rFonts w:asciiTheme="minorHAnsi" w:hAnsiTheme="minorHAnsi" w:cs="Arial"/>
          <w:bCs/>
          <w:snapToGrid w:val="0"/>
        </w:rPr>
        <w:t>indivi</w:t>
      </w:r>
      <w:r w:rsidR="00002158" w:rsidRPr="000A0484">
        <w:rPr>
          <w:rFonts w:asciiTheme="minorHAnsi" w:hAnsiTheme="minorHAnsi" w:cs="Arial"/>
          <w:bCs/>
          <w:snapToGrid w:val="0"/>
        </w:rPr>
        <w:t xml:space="preserve">dual </w:t>
      </w:r>
      <w:r w:rsidRPr="000A0484">
        <w:rPr>
          <w:rFonts w:asciiTheme="minorHAnsi" w:hAnsiTheme="minorHAnsi" w:cs="Arial"/>
          <w:bCs/>
          <w:snapToGrid w:val="0"/>
        </w:rPr>
        <w:t>via the Consumer Comments facility o</w:t>
      </w:r>
      <w:r w:rsidR="00002158" w:rsidRPr="000A0484">
        <w:rPr>
          <w:rFonts w:asciiTheme="minorHAnsi" w:hAnsiTheme="minorHAnsi" w:cs="Arial"/>
          <w:bCs/>
          <w:snapToGrid w:val="0"/>
        </w:rPr>
        <w:t>n the PBS website.  The comment</w:t>
      </w:r>
      <w:r w:rsidRPr="000A0484">
        <w:rPr>
          <w:rFonts w:asciiTheme="minorHAnsi" w:hAnsiTheme="minorHAnsi" w:cs="Arial"/>
          <w:bCs/>
          <w:snapToGrid w:val="0"/>
        </w:rPr>
        <w:t xml:space="preserve"> described </w:t>
      </w:r>
      <w:r w:rsidR="00002158" w:rsidRPr="000A0484">
        <w:rPr>
          <w:rFonts w:asciiTheme="minorHAnsi" w:hAnsiTheme="minorHAnsi" w:cs="Arial"/>
          <w:bCs/>
          <w:snapToGrid w:val="0"/>
        </w:rPr>
        <w:t xml:space="preserve">the side effects experienced when taking prednisolone (including weight gain, skin atrophy, insomnia and steroid-induced diabetes) and how fewer side effects were experienced when the individual was switched to budesonide. The comment also reported that a shorter taper period was required for budesonide compared to prednisolone.  </w:t>
      </w:r>
    </w:p>
    <w:p w:rsidR="00715660" w:rsidRPr="000A0484" w:rsidRDefault="00715660" w:rsidP="003976D3">
      <w:pPr>
        <w:widowControl w:val="0"/>
        <w:numPr>
          <w:ilvl w:val="1"/>
          <w:numId w:val="5"/>
        </w:numPr>
        <w:spacing w:after="120"/>
        <w:jc w:val="both"/>
        <w:rPr>
          <w:rFonts w:asciiTheme="minorHAnsi" w:hAnsiTheme="minorHAnsi" w:cs="Arial"/>
          <w:bCs/>
          <w:snapToGrid w:val="0"/>
        </w:rPr>
      </w:pPr>
      <w:r w:rsidRPr="000A0484">
        <w:rPr>
          <w:rFonts w:asciiTheme="minorHAnsi" w:hAnsiTheme="minorHAnsi" w:cs="Arial"/>
          <w:bCs/>
          <w:snapToGrid w:val="0"/>
        </w:rPr>
        <w:t xml:space="preserve">The PBAC recalled that input from 46 individuals, 10 health care professionals and 1 organisation was received via the Consumer Comments facility on the PBS website for the November 2017 budesonide submission. The PBAC specifically recalled the advice received from Crohn’s and </w:t>
      </w:r>
      <w:r w:rsidR="00737FFA" w:rsidRPr="000A0484">
        <w:rPr>
          <w:rFonts w:asciiTheme="minorHAnsi" w:hAnsiTheme="minorHAnsi" w:cs="Arial"/>
          <w:bCs/>
          <w:snapToGrid w:val="0"/>
        </w:rPr>
        <w:t xml:space="preserve">Colitis Australia that the limited efficacy of 5-ASA agents in CD and the lack of subsidised topically acting oral corticosteroids means that most patients with mild to moderate CD in Australia receive systemic corticosteroids which can cause significant short and long term toxicity (paragraphs 6.2 and 6.3, </w:t>
      </w:r>
      <w:r w:rsidR="00737FFA" w:rsidRPr="000A0484">
        <w:rPr>
          <w:rFonts w:asciiTheme="minorHAnsi" w:eastAsiaTheme="minorHAnsi" w:hAnsiTheme="minorHAnsi" w:cstheme="minorBidi"/>
          <w:szCs w:val="22"/>
        </w:rPr>
        <w:t>budesonide PSD, November 2017)</w:t>
      </w:r>
      <w:r w:rsidR="00737FFA" w:rsidRPr="000A0484">
        <w:rPr>
          <w:rFonts w:asciiTheme="minorHAnsi" w:hAnsiTheme="minorHAnsi" w:cs="Arial"/>
          <w:bCs/>
          <w:snapToGrid w:val="0"/>
        </w:rPr>
        <w:t>.</w:t>
      </w:r>
    </w:p>
    <w:p w:rsidR="00D84934" w:rsidRPr="000A0484" w:rsidRDefault="00D84934" w:rsidP="00937958">
      <w:pPr>
        <w:pStyle w:val="Heading2"/>
        <w:keepLines/>
        <w:spacing w:before="240" w:after="120"/>
        <w:rPr>
          <w:rFonts w:asciiTheme="minorHAnsi" w:eastAsiaTheme="majorEastAsia" w:hAnsiTheme="minorHAnsi" w:cstheme="majorBidi"/>
          <w:sz w:val="28"/>
          <w:szCs w:val="28"/>
          <w:lang w:eastAsia="en-US"/>
        </w:rPr>
      </w:pPr>
      <w:r w:rsidRPr="000A0484">
        <w:rPr>
          <w:rFonts w:asciiTheme="minorHAnsi" w:eastAsiaTheme="majorEastAsia" w:hAnsiTheme="minorHAnsi" w:cstheme="majorBidi"/>
          <w:sz w:val="28"/>
          <w:szCs w:val="28"/>
          <w:lang w:eastAsia="en-US"/>
        </w:rPr>
        <w:t>Clinical trials</w:t>
      </w:r>
    </w:p>
    <w:p w:rsidR="0076420C" w:rsidRPr="000A0484" w:rsidRDefault="0076420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As a minor submission, no </w:t>
      </w:r>
      <w:r w:rsidR="00F0742D" w:rsidRPr="000A0484">
        <w:rPr>
          <w:rFonts w:asciiTheme="minorHAnsi" w:eastAsiaTheme="minorHAnsi" w:hAnsiTheme="minorHAnsi" w:cstheme="minorBidi"/>
          <w:snapToGrid/>
          <w:sz w:val="24"/>
          <w:szCs w:val="22"/>
        </w:rPr>
        <w:t>new</w:t>
      </w:r>
      <w:r w:rsidRPr="000A0484">
        <w:rPr>
          <w:rFonts w:asciiTheme="minorHAnsi" w:eastAsiaTheme="minorHAnsi" w:hAnsiTheme="minorHAnsi" w:cstheme="minorBidi"/>
          <w:snapToGrid/>
          <w:sz w:val="24"/>
          <w:szCs w:val="22"/>
        </w:rPr>
        <w:t xml:space="preserve"> clinical trials </w:t>
      </w:r>
      <w:r w:rsidR="00FF2801" w:rsidRPr="000A0484">
        <w:rPr>
          <w:rFonts w:asciiTheme="minorHAnsi" w:eastAsiaTheme="minorHAnsi" w:hAnsiTheme="minorHAnsi" w:cstheme="minorBidi"/>
          <w:snapToGrid/>
          <w:sz w:val="24"/>
          <w:szCs w:val="22"/>
        </w:rPr>
        <w:t>were</w:t>
      </w:r>
      <w:r w:rsidRPr="000A0484">
        <w:rPr>
          <w:rFonts w:asciiTheme="minorHAnsi" w:eastAsiaTheme="minorHAnsi" w:hAnsiTheme="minorHAnsi" w:cstheme="minorBidi"/>
          <w:snapToGrid/>
          <w:sz w:val="24"/>
          <w:szCs w:val="22"/>
        </w:rPr>
        <w:t xml:space="preserve"> presented in the resubmission.</w:t>
      </w:r>
    </w:p>
    <w:p w:rsidR="00F0742D" w:rsidRPr="000A0484" w:rsidRDefault="005E3F26" w:rsidP="005E3F2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The </w:t>
      </w:r>
      <w:r w:rsidR="00FD63CE" w:rsidRPr="000A0484">
        <w:rPr>
          <w:rFonts w:asciiTheme="minorHAnsi" w:eastAsiaTheme="minorHAnsi" w:hAnsiTheme="minorHAnsi" w:cstheme="minorBidi"/>
          <w:snapToGrid/>
          <w:sz w:val="24"/>
          <w:szCs w:val="22"/>
        </w:rPr>
        <w:t xml:space="preserve">minor </w:t>
      </w:r>
      <w:r w:rsidRPr="000A0484">
        <w:rPr>
          <w:rFonts w:asciiTheme="minorHAnsi" w:eastAsiaTheme="minorHAnsi" w:hAnsiTheme="minorHAnsi" w:cstheme="minorBidi"/>
          <w:snapToGrid/>
          <w:sz w:val="24"/>
          <w:szCs w:val="22"/>
        </w:rPr>
        <w:t>resubmission relied on the previously submitted and evaluated trials consisting of</w:t>
      </w:r>
      <w:r w:rsidR="004222EE" w:rsidRPr="000A0484">
        <w:rPr>
          <w:rFonts w:asciiTheme="minorHAnsi" w:eastAsiaTheme="minorHAnsi" w:hAnsiTheme="minorHAnsi" w:cstheme="minorBidi"/>
          <w:snapToGrid/>
          <w:sz w:val="24"/>
          <w:szCs w:val="22"/>
        </w:rPr>
        <w:t>:</w:t>
      </w:r>
      <w:r w:rsidRPr="000A0484">
        <w:rPr>
          <w:rFonts w:asciiTheme="minorHAnsi" w:eastAsiaTheme="minorHAnsi" w:hAnsiTheme="minorHAnsi" w:cstheme="minorBidi"/>
          <w:snapToGrid/>
          <w:sz w:val="24"/>
          <w:szCs w:val="22"/>
        </w:rPr>
        <w:t xml:space="preserve"> one head-to-head trial comparing budesonide to </w:t>
      </w:r>
      <w:proofErr w:type="spellStart"/>
      <w:r w:rsidRPr="000A0484">
        <w:rPr>
          <w:rFonts w:asciiTheme="minorHAnsi" w:eastAsiaTheme="minorHAnsi" w:hAnsiTheme="minorHAnsi" w:cstheme="minorBidi"/>
          <w:snapToGrid/>
          <w:sz w:val="24"/>
          <w:szCs w:val="22"/>
        </w:rPr>
        <w:t>mesalazine</w:t>
      </w:r>
      <w:proofErr w:type="spellEnd"/>
      <w:r w:rsidRPr="000A0484">
        <w:rPr>
          <w:rFonts w:asciiTheme="minorHAnsi" w:eastAsiaTheme="minorHAnsi" w:hAnsiTheme="minorHAnsi" w:cstheme="minorBidi"/>
          <w:snapToGrid/>
          <w:sz w:val="24"/>
          <w:szCs w:val="22"/>
        </w:rPr>
        <w:t xml:space="preserve"> (Thomsen 1998</w:t>
      </w:r>
      <w:r w:rsidR="00374295" w:rsidRPr="000A0484">
        <w:rPr>
          <w:rFonts w:asciiTheme="minorHAnsi" w:eastAsiaTheme="minorHAnsi" w:hAnsiTheme="minorHAnsi" w:cstheme="minorBidi"/>
          <w:snapToGrid/>
          <w:sz w:val="24"/>
          <w:szCs w:val="22"/>
        </w:rPr>
        <w:t>)</w:t>
      </w:r>
      <w:r w:rsidR="004222EE" w:rsidRPr="000A0484">
        <w:rPr>
          <w:rFonts w:asciiTheme="minorHAnsi" w:eastAsiaTheme="minorHAnsi" w:hAnsiTheme="minorHAnsi" w:cstheme="minorBidi"/>
          <w:snapToGrid/>
          <w:sz w:val="24"/>
          <w:szCs w:val="22"/>
        </w:rPr>
        <w:t>;</w:t>
      </w:r>
      <w:r w:rsidRPr="000A0484">
        <w:rPr>
          <w:rFonts w:asciiTheme="minorHAnsi" w:eastAsiaTheme="minorHAnsi" w:hAnsiTheme="minorHAnsi" w:cstheme="minorBidi"/>
          <w:snapToGrid/>
          <w:sz w:val="24"/>
          <w:szCs w:val="22"/>
        </w:rPr>
        <w:t xml:space="preserve"> one trial comparing </w:t>
      </w:r>
      <w:proofErr w:type="spellStart"/>
      <w:r w:rsidRPr="000A0484">
        <w:rPr>
          <w:rFonts w:asciiTheme="minorHAnsi" w:eastAsiaTheme="minorHAnsi" w:hAnsiTheme="minorHAnsi" w:cstheme="minorBidi"/>
          <w:snapToGrid/>
          <w:sz w:val="24"/>
          <w:szCs w:val="22"/>
        </w:rPr>
        <w:t>Budenofalk</w:t>
      </w:r>
      <w:proofErr w:type="spellEnd"/>
      <w:r w:rsidRPr="000A0484">
        <w:rPr>
          <w:rFonts w:asciiTheme="minorHAnsi" w:eastAsiaTheme="minorHAnsi" w:hAnsiTheme="minorHAnsi" w:cstheme="minorBidi"/>
          <w:snapToGrid/>
          <w:sz w:val="24"/>
          <w:szCs w:val="22"/>
        </w:rPr>
        <w:t xml:space="preserve">® to </w:t>
      </w:r>
      <w:proofErr w:type="spellStart"/>
      <w:r w:rsidRPr="000A0484">
        <w:rPr>
          <w:rFonts w:asciiTheme="minorHAnsi" w:eastAsiaTheme="minorHAnsi" w:hAnsiTheme="minorHAnsi" w:cstheme="minorBidi"/>
          <w:snapToGrid/>
          <w:sz w:val="24"/>
          <w:szCs w:val="22"/>
        </w:rPr>
        <w:t>mesalazine</w:t>
      </w:r>
      <w:proofErr w:type="spellEnd"/>
      <w:r w:rsidRPr="000A0484">
        <w:rPr>
          <w:rFonts w:asciiTheme="minorHAnsi" w:eastAsiaTheme="minorHAnsi" w:hAnsiTheme="minorHAnsi" w:cstheme="minorBidi"/>
          <w:snapToGrid/>
          <w:sz w:val="24"/>
          <w:szCs w:val="22"/>
        </w:rPr>
        <w:t xml:space="preserve"> (</w:t>
      </w:r>
      <w:proofErr w:type="spellStart"/>
      <w:r w:rsidRPr="000A0484">
        <w:rPr>
          <w:rFonts w:asciiTheme="minorHAnsi" w:eastAsiaTheme="minorHAnsi" w:hAnsiTheme="minorHAnsi" w:cstheme="minorBidi"/>
          <w:snapToGrid/>
          <w:sz w:val="24"/>
          <w:szCs w:val="22"/>
        </w:rPr>
        <w:t>Tromm</w:t>
      </w:r>
      <w:proofErr w:type="spellEnd"/>
      <w:r w:rsidRPr="000A0484">
        <w:rPr>
          <w:rFonts w:asciiTheme="minorHAnsi" w:eastAsiaTheme="minorHAnsi" w:hAnsiTheme="minorHAnsi" w:cstheme="minorBidi"/>
          <w:snapToGrid/>
          <w:sz w:val="24"/>
          <w:szCs w:val="22"/>
        </w:rPr>
        <w:t xml:space="preserve"> 2011)</w:t>
      </w:r>
      <w:r w:rsidR="004222EE" w:rsidRPr="000A0484">
        <w:rPr>
          <w:rFonts w:asciiTheme="minorHAnsi" w:eastAsiaTheme="minorHAnsi" w:hAnsiTheme="minorHAnsi" w:cstheme="minorBidi"/>
          <w:snapToGrid/>
          <w:sz w:val="24"/>
          <w:szCs w:val="22"/>
        </w:rPr>
        <w:t>;</w:t>
      </w:r>
      <w:r w:rsidRPr="000A0484">
        <w:rPr>
          <w:rFonts w:asciiTheme="minorHAnsi" w:eastAsiaTheme="minorHAnsi" w:hAnsiTheme="minorHAnsi" w:cstheme="minorBidi"/>
          <w:snapToGrid/>
          <w:sz w:val="24"/>
          <w:szCs w:val="22"/>
        </w:rPr>
        <w:t xml:space="preserve"> three trials comparing budesonide to placebo (Greenberg 1994; Tremaine 2002; Suzuki 2013)</w:t>
      </w:r>
      <w:r w:rsidR="004222EE" w:rsidRPr="000A0484">
        <w:rPr>
          <w:rFonts w:asciiTheme="minorHAnsi" w:eastAsiaTheme="minorHAnsi" w:hAnsiTheme="minorHAnsi" w:cstheme="minorBidi"/>
          <w:snapToGrid/>
          <w:sz w:val="24"/>
          <w:szCs w:val="22"/>
        </w:rPr>
        <w:t xml:space="preserve">; </w:t>
      </w:r>
      <w:r w:rsidR="004222EE" w:rsidRPr="000A0484">
        <w:rPr>
          <w:rFonts w:asciiTheme="minorHAnsi" w:eastAsiaTheme="minorHAnsi" w:hAnsiTheme="minorHAnsi" w:cstheme="minorBidi"/>
          <w:snapToGrid/>
          <w:sz w:val="24"/>
          <w:szCs w:val="22"/>
        </w:rPr>
        <w:lastRenderedPageBreak/>
        <w:t>and</w:t>
      </w:r>
      <w:r w:rsidR="00B423A8" w:rsidRPr="000A0484">
        <w:rPr>
          <w:rFonts w:asciiTheme="minorHAnsi" w:eastAsiaTheme="minorHAnsi" w:hAnsiTheme="minorHAnsi" w:cstheme="minorBidi"/>
          <w:snapToGrid/>
          <w:sz w:val="24"/>
          <w:szCs w:val="22"/>
        </w:rPr>
        <w:t xml:space="preserve"> </w:t>
      </w:r>
      <w:r w:rsidRPr="000A0484">
        <w:rPr>
          <w:rFonts w:asciiTheme="minorHAnsi" w:eastAsiaTheme="minorHAnsi" w:hAnsiTheme="minorHAnsi" w:cstheme="minorBidi"/>
          <w:snapToGrid/>
          <w:sz w:val="24"/>
          <w:szCs w:val="22"/>
        </w:rPr>
        <w:t>data additionally extracted from two trials of budesonide versus prednisolone (</w:t>
      </w:r>
      <w:proofErr w:type="spellStart"/>
      <w:r w:rsidRPr="000A0484">
        <w:rPr>
          <w:rFonts w:asciiTheme="minorHAnsi" w:eastAsiaTheme="minorHAnsi" w:hAnsiTheme="minorHAnsi" w:cstheme="minorBidi"/>
          <w:snapToGrid/>
          <w:sz w:val="24"/>
          <w:szCs w:val="22"/>
        </w:rPr>
        <w:t>Rutgeerts</w:t>
      </w:r>
      <w:proofErr w:type="spellEnd"/>
      <w:r w:rsidRPr="000A0484">
        <w:rPr>
          <w:rFonts w:asciiTheme="minorHAnsi" w:eastAsiaTheme="minorHAnsi" w:hAnsiTheme="minorHAnsi" w:cstheme="minorBidi"/>
          <w:snapToGrid/>
          <w:sz w:val="24"/>
          <w:szCs w:val="22"/>
        </w:rPr>
        <w:t xml:space="preserve"> 1994; </w:t>
      </w:r>
      <w:proofErr w:type="spellStart"/>
      <w:r w:rsidRPr="000A0484">
        <w:rPr>
          <w:rFonts w:asciiTheme="minorHAnsi" w:eastAsiaTheme="minorHAnsi" w:hAnsiTheme="minorHAnsi" w:cstheme="minorBidi"/>
          <w:snapToGrid/>
          <w:sz w:val="24"/>
          <w:szCs w:val="22"/>
        </w:rPr>
        <w:t>Campieri</w:t>
      </w:r>
      <w:proofErr w:type="spellEnd"/>
      <w:r w:rsidRPr="000A0484">
        <w:rPr>
          <w:rFonts w:asciiTheme="minorHAnsi" w:eastAsiaTheme="minorHAnsi" w:hAnsiTheme="minorHAnsi" w:cstheme="minorBidi"/>
          <w:snapToGrid/>
          <w:sz w:val="24"/>
          <w:szCs w:val="22"/>
        </w:rPr>
        <w:t xml:space="preserve"> 1997) during the evaluation.</w:t>
      </w:r>
    </w:p>
    <w:p w:rsidR="001B2BBC" w:rsidRPr="000A0484" w:rsidRDefault="0076420C" w:rsidP="00D3115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The basis of the minor </w:t>
      </w:r>
      <w:r w:rsidR="00374295" w:rsidRPr="000A0484">
        <w:rPr>
          <w:rFonts w:asciiTheme="minorHAnsi" w:eastAsiaTheme="minorHAnsi" w:hAnsiTheme="minorHAnsi" w:cstheme="minorBidi"/>
          <w:snapToGrid/>
          <w:sz w:val="24"/>
          <w:szCs w:val="22"/>
        </w:rPr>
        <w:t>re</w:t>
      </w:r>
      <w:r w:rsidRPr="000A0484">
        <w:rPr>
          <w:rFonts w:asciiTheme="minorHAnsi" w:eastAsiaTheme="minorHAnsi" w:hAnsiTheme="minorHAnsi" w:cstheme="minorBidi"/>
          <w:snapToGrid/>
          <w:sz w:val="24"/>
          <w:szCs w:val="22"/>
        </w:rPr>
        <w:t xml:space="preserve">submission’s request </w:t>
      </w:r>
      <w:r w:rsidR="00FF2801" w:rsidRPr="000A0484">
        <w:rPr>
          <w:rFonts w:asciiTheme="minorHAnsi" w:eastAsiaTheme="minorHAnsi" w:hAnsiTheme="minorHAnsi" w:cstheme="minorBidi"/>
          <w:snapToGrid/>
          <w:sz w:val="24"/>
          <w:szCs w:val="22"/>
        </w:rPr>
        <w:t>wa</w:t>
      </w:r>
      <w:r w:rsidRPr="000A0484">
        <w:rPr>
          <w:rFonts w:asciiTheme="minorHAnsi" w:eastAsiaTheme="minorHAnsi" w:hAnsiTheme="minorHAnsi" w:cstheme="minorBidi"/>
          <w:snapToGrid/>
          <w:sz w:val="24"/>
          <w:szCs w:val="22"/>
        </w:rPr>
        <w:t>s</w:t>
      </w:r>
      <w:r w:rsidR="00B423A8" w:rsidRPr="000A0484">
        <w:rPr>
          <w:rFonts w:asciiTheme="minorHAnsi" w:eastAsiaTheme="minorHAnsi" w:hAnsiTheme="minorHAnsi" w:cstheme="minorBidi"/>
          <w:snapToGrid/>
          <w:sz w:val="24"/>
          <w:szCs w:val="22"/>
        </w:rPr>
        <w:t xml:space="preserve"> a change to a mixed </w:t>
      </w:r>
      <w:r w:rsidR="00F25300" w:rsidRPr="000A0484">
        <w:rPr>
          <w:rFonts w:asciiTheme="minorHAnsi" w:eastAsiaTheme="minorHAnsi" w:hAnsiTheme="minorHAnsi" w:cstheme="minorBidi"/>
          <w:snapToGrid/>
          <w:sz w:val="24"/>
          <w:szCs w:val="22"/>
        </w:rPr>
        <w:t xml:space="preserve">comparator </w:t>
      </w:r>
      <w:r w:rsidR="00F25300">
        <w:rPr>
          <w:rFonts w:asciiTheme="minorHAnsi" w:eastAsiaTheme="minorHAnsi" w:hAnsiTheme="minorHAnsi" w:cstheme="minorBidi"/>
          <w:snapToGrid/>
          <w:sz w:val="24"/>
          <w:szCs w:val="22"/>
        </w:rPr>
        <w:t>based</w:t>
      </w:r>
      <w:r w:rsidR="00D01ED9" w:rsidRPr="000A0484">
        <w:rPr>
          <w:rFonts w:asciiTheme="minorHAnsi" w:eastAsiaTheme="minorHAnsi" w:hAnsiTheme="minorHAnsi" w:cstheme="minorBidi"/>
          <w:snapToGrid/>
          <w:sz w:val="24"/>
          <w:szCs w:val="22"/>
        </w:rPr>
        <w:t xml:space="preserve"> on the current Australian clinical guidelines.</w:t>
      </w:r>
      <w:r w:rsidR="009632E0" w:rsidRPr="000A0484">
        <w:rPr>
          <w:rFonts w:asciiTheme="minorHAnsi" w:eastAsiaTheme="minorHAnsi" w:hAnsiTheme="minorHAnsi" w:cstheme="minorBidi"/>
          <w:snapToGrid/>
          <w:sz w:val="24"/>
          <w:szCs w:val="22"/>
        </w:rPr>
        <w:t xml:space="preserve"> The PBAC accepted the nomination of a mixed comparator (</w:t>
      </w:r>
      <w:proofErr w:type="spellStart"/>
      <w:r w:rsidR="009632E0" w:rsidRPr="000A0484">
        <w:rPr>
          <w:rFonts w:asciiTheme="minorHAnsi" w:eastAsiaTheme="minorHAnsi" w:hAnsiTheme="minorHAnsi" w:cstheme="minorBidi"/>
          <w:snapToGrid/>
          <w:sz w:val="24"/>
          <w:szCs w:val="22"/>
        </w:rPr>
        <w:t>mesalazine</w:t>
      </w:r>
      <w:proofErr w:type="spellEnd"/>
      <w:r w:rsidR="009632E0" w:rsidRPr="000A0484">
        <w:rPr>
          <w:rFonts w:asciiTheme="minorHAnsi" w:eastAsiaTheme="minorHAnsi" w:hAnsiTheme="minorHAnsi" w:cstheme="minorBidi"/>
          <w:snapToGrid/>
          <w:sz w:val="24"/>
          <w:szCs w:val="22"/>
        </w:rPr>
        <w:t xml:space="preserve"> and prednisolone) subject to changes in the proportion of patients in each comparator group presented in the minor resubmission.</w:t>
      </w:r>
    </w:p>
    <w:p w:rsidR="003C2FB5" w:rsidRPr="000A0484" w:rsidRDefault="005A3173" w:rsidP="008306F3">
      <w:pPr>
        <w:pStyle w:val="Heading2"/>
        <w:keepLines/>
        <w:spacing w:before="240" w:after="120"/>
        <w:rPr>
          <w:rFonts w:asciiTheme="minorHAnsi" w:eastAsiaTheme="majorEastAsia" w:hAnsiTheme="minorHAnsi" w:cstheme="majorBidi"/>
          <w:sz w:val="28"/>
          <w:szCs w:val="28"/>
          <w:lang w:eastAsia="en-US"/>
        </w:rPr>
      </w:pPr>
      <w:r w:rsidRPr="000A0484">
        <w:rPr>
          <w:rFonts w:asciiTheme="minorHAnsi" w:eastAsiaTheme="majorEastAsia" w:hAnsiTheme="minorHAnsi" w:cstheme="majorBidi"/>
          <w:sz w:val="28"/>
          <w:szCs w:val="28"/>
          <w:lang w:eastAsia="en-US"/>
        </w:rPr>
        <w:t>Clinical claim</w:t>
      </w:r>
    </w:p>
    <w:p w:rsidR="00170D55" w:rsidRPr="000A0484" w:rsidRDefault="00FF2801" w:rsidP="00170D5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The </w:t>
      </w:r>
      <w:r w:rsidR="00FD63CE" w:rsidRPr="000A0484">
        <w:rPr>
          <w:rFonts w:asciiTheme="minorHAnsi" w:eastAsiaTheme="minorHAnsi" w:hAnsiTheme="minorHAnsi" w:cstheme="minorBidi"/>
          <w:snapToGrid/>
          <w:sz w:val="24"/>
          <w:szCs w:val="22"/>
        </w:rPr>
        <w:t xml:space="preserve">minor </w:t>
      </w:r>
      <w:r w:rsidR="00D01ED9" w:rsidRPr="000A0484">
        <w:rPr>
          <w:rFonts w:asciiTheme="minorHAnsi" w:eastAsiaTheme="minorHAnsi" w:hAnsiTheme="minorHAnsi" w:cstheme="minorBidi"/>
          <w:snapToGrid/>
          <w:sz w:val="24"/>
          <w:szCs w:val="22"/>
        </w:rPr>
        <w:t>re</w:t>
      </w:r>
      <w:r w:rsidRPr="000A0484">
        <w:rPr>
          <w:rFonts w:asciiTheme="minorHAnsi" w:eastAsiaTheme="minorHAnsi" w:hAnsiTheme="minorHAnsi" w:cstheme="minorBidi"/>
          <w:snapToGrid/>
          <w:sz w:val="24"/>
          <w:szCs w:val="22"/>
        </w:rPr>
        <w:t>submission claimed</w:t>
      </w:r>
      <w:r w:rsidR="00BB7EC3" w:rsidRPr="000A0484">
        <w:rPr>
          <w:rFonts w:asciiTheme="minorHAnsi" w:eastAsiaTheme="minorHAnsi" w:hAnsiTheme="minorHAnsi" w:cstheme="minorBidi"/>
          <w:snapToGrid/>
          <w:sz w:val="24"/>
          <w:szCs w:val="22"/>
        </w:rPr>
        <w:t xml:space="preserve"> </w:t>
      </w:r>
      <w:r w:rsidR="00170D55" w:rsidRPr="000A0484">
        <w:rPr>
          <w:rFonts w:asciiTheme="minorHAnsi" w:eastAsiaTheme="minorHAnsi" w:hAnsiTheme="minorHAnsi" w:cstheme="minorBidi"/>
          <w:snapToGrid/>
          <w:sz w:val="24"/>
          <w:szCs w:val="22"/>
        </w:rPr>
        <w:t xml:space="preserve">that </w:t>
      </w:r>
      <w:r w:rsidR="00D01ED9" w:rsidRPr="000A0484">
        <w:rPr>
          <w:rFonts w:asciiTheme="minorHAnsi" w:eastAsiaTheme="minorHAnsi" w:hAnsiTheme="minorHAnsi" w:cstheme="minorBidi"/>
          <w:snapToGrid/>
          <w:sz w:val="24"/>
          <w:szCs w:val="22"/>
        </w:rPr>
        <w:t xml:space="preserve">there is clinical evidence that budesonide is superior to </w:t>
      </w:r>
      <w:proofErr w:type="spellStart"/>
      <w:r w:rsidR="00D01ED9" w:rsidRPr="000A0484">
        <w:rPr>
          <w:rFonts w:asciiTheme="minorHAnsi" w:eastAsiaTheme="minorHAnsi" w:hAnsiTheme="minorHAnsi" w:cstheme="minorBidi"/>
          <w:snapToGrid/>
          <w:sz w:val="24"/>
          <w:szCs w:val="22"/>
        </w:rPr>
        <w:t>mesalazine</w:t>
      </w:r>
      <w:proofErr w:type="spellEnd"/>
      <w:r w:rsidR="00D01ED9" w:rsidRPr="000A0484">
        <w:rPr>
          <w:rFonts w:asciiTheme="minorHAnsi" w:eastAsiaTheme="minorHAnsi" w:hAnsiTheme="minorHAnsi" w:cstheme="minorBidi"/>
          <w:snapToGrid/>
          <w:sz w:val="24"/>
          <w:szCs w:val="22"/>
        </w:rPr>
        <w:t xml:space="preserve"> in terms of inducing clinical remission in adult patients with mild to moderate C</w:t>
      </w:r>
      <w:r w:rsidR="00656562" w:rsidRPr="000A0484">
        <w:rPr>
          <w:rFonts w:asciiTheme="minorHAnsi" w:eastAsiaTheme="minorHAnsi" w:hAnsiTheme="minorHAnsi" w:cstheme="minorBidi"/>
          <w:snapToGrid/>
          <w:sz w:val="24"/>
          <w:szCs w:val="22"/>
        </w:rPr>
        <w:t>D</w:t>
      </w:r>
      <w:r w:rsidR="00D01ED9" w:rsidRPr="000A0484">
        <w:rPr>
          <w:rFonts w:asciiTheme="minorHAnsi" w:eastAsiaTheme="minorHAnsi" w:hAnsiTheme="minorHAnsi" w:cstheme="minorBidi"/>
          <w:snapToGrid/>
          <w:sz w:val="24"/>
          <w:szCs w:val="22"/>
        </w:rPr>
        <w:t xml:space="preserve"> affecting the ileum and/ascending colon and there is strong clinical evidence that budesonide is superior to </w:t>
      </w:r>
      <w:proofErr w:type="spellStart"/>
      <w:r w:rsidR="00D01ED9" w:rsidRPr="000A0484">
        <w:rPr>
          <w:rFonts w:asciiTheme="minorHAnsi" w:eastAsiaTheme="minorHAnsi" w:hAnsiTheme="minorHAnsi" w:cstheme="minorBidi"/>
          <w:snapToGrid/>
          <w:sz w:val="24"/>
          <w:szCs w:val="22"/>
        </w:rPr>
        <w:t>mesalazine</w:t>
      </w:r>
      <w:proofErr w:type="spellEnd"/>
      <w:r w:rsidR="00D01ED9" w:rsidRPr="000A0484">
        <w:rPr>
          <w:rFonts w:asciiTheme="minorHAnsi" w:eastAsiaTheme="minorHAnsi" w:hAnsiTheme="minorHAnsi" w:cstheme="minorBidi"/>
          <w:snapToGrid/>
          <w:sz w:val="24"/>
          <w:szCs w:val="22"/>
        </w:rPr>
        <w:t xml:space="preserve"> in terms of safety. </w:t>
      </w:r>
    </w:p>
    <w:p w:rsidR="00656562" w:rsidRPr="000A0484" w:rsidRDefault="00170D55" w:rsidP="00170D5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In November 2017, the PBAC noted that statistically significantly more patients treated with budesonide achieved remission at Week 8 compared to </w:t>
      </w:r>
      <w:proofErr w:type="spellStart"/>
      <w:r w:rsidRPr="000A0484">
        <w:rPr>
          <w:rFonts w:asciiTheme="minorHAnsi" w:eastAsiaTheme="minorHAnsi" w:hAnsiTheme="minorHAnsi" w:cstheme="minorBidi"/>
          <w:snapToGrid/>
          <w:sz w:val="24"/>
          <w:szCs w:val="22"/>
        </w:rPr>
        <w:t>mesalazine</w:t>
      </w:r>
      <w:proofErr w:type="spellEnd"/>
      <w:r w:rsidR="009D103E" w:rsidRPr="000A0484">
        <w:rPr>
          <w:rFonts w:asciiTheme="minorHAnsi" w:eastAsiaTheme="minorHAnsi" w:hAnsiTheme="minorHAnsi" w:cstheme="minorBidi"/>
          <w:snapToGrid/>
          <w:sz w:val="24"/>
          <w:szCs w:val="22"/>
        </w:rPr>
        <w:t xml:space="preserve"> in Thomsen 1998.</w:t>
      </w:r>
      <w:r w:rsidRPr="000A0484">
        <w:rPr>
          <w:rFonts w:asciiTheme="minorHAnsi" w:eastAsiaTheme="minorHAnsi" w:hAnsiTheme="minorHAnsi" w:cstheme="minorBidi"/>
          <w:snapToGrid/>
          <w:sz w:val="24"/>
          <w:szCs w:val="22"/>
        </w:rPr>
        <w:t xml:space="preserve"> </w:t>
      </w:r>
      <w:r w:rsidR="009D103E" w:rsidRPr="000A0484">
        <w:rPr>
          <w:rFonts w:asciiTheme="minorHAnsi" w:eastAsiaTheme="minorHAnsi" w:hAnsiTheme="minorHAnsi" w:cstheme="minorBidi"/>
          <w:snapToGrid/>
          <w:sz w:val="24"/>
          <w:szCs w:val="22"/>
        </w:rPr>
        <w:t>H</w:t>
      </w:r>
      <w:r w:rsidRPr="000A0484">
        <w:rPr>
          <w:rFonts w:asciiTheme="minorHAnsi" w:eastAsiaTheme="minorHAnsi" w:hAnsiTheme="minorHAnsi" w:cstheme="minorBidi"/>
          <w:snapToGrid/>
          <w:sz w:val="24"/>
          <w:szCs w:val="22"/>
        </w:rPr>
        <w:t>owever</w:t>
      </w:r>
      <w:r w:rsidR="009D103E" w:rsidRPr="000A0484">
        <w:rPr>
          <w:rFonts w:asciiTheme="minorHAnsi" w:eastAsiaTheme="minorHAnsi" w:hAnsiTheme="minorHAnsi" w:cstheme="minorBidi"/>
          <w:snapToGrid/>
          <w:sz w:val="24"/>
          <w:szCs w:val="22"/>
        </w:rPr>
        <w:t>, the PBAC noted that</w:t>
      </w:r>
      <w:r w:rsidRPr="000A0484">
        <w:rPr>
          <w:rFonts w:asciiTheme="minorHAnsi" w:eastAsiaTheme="minorHAnsi" w:hAnsiTheme="minorHAnsi" w:cstheme="minorBidi"/>
          <w:snapToGrid/>
          <w:sz w:val="24"/>
          <w:szCs w:val="22"/>
        </w:rPr>
        <w:t xml:space="preserve"> based on </w:t>
      </w:r>
      <w:proofErr w:type="spellStart"/>
      <w:r w:rsidRPr="000A0484">
        <w:rPr>
          <w:rFonts w:asciiTheme="minorHAnsi" w:eastAsiaTheme="minorHAnsi" w:hAnsiTheme="minorHAnsi" w:cstheme="minorBidi"/>
          <w:snapToGrid/>
          <w:sz w:val="24"/>
          <w:szCs w:val="22"/>
        </w:rPr>
        <w:t>Tromm</w:t>
      </w:r>
      <w:proofErr w:type="spellEnd"/>
      <w:r w:rsidRPr="000A0484">
        <w:rPr>
          <w:rFonts w:asciiTheme="minorHAnsi" w:eastAsiaTheme="minorHAnsi" w:hAnsiTheme="minorHAnsi" w:cstheme="minorBidi"/>
          <w:snapToGrid/>
          <w:sz w:val="24"/>
          <w:szCs w:val="22"/>
        </w:rPr>
        <w:t xml:space="preserve"> 2011 no significant differences in remission were seen between budesonide and </w:t>
      </w:r>
      <w:proofErr w:type="spellStart"/>
      <w:r w:rsidRPr="000A0484">
        <w:rPr>
          <w:rFonts w:asciiTheme="minorHAnsi" w:eastAsiaTheme="minorHAnsi" w:hAnsiTheme="minorHAnsi" w:cstheme="minorBidi"/>
          <w:snapToGrid/>
          <w:sz w:val="24"/>
          <w:szCs w:val="22"/>
        </w:rPr>
        <w:t>mesalazine</w:t>
      </w:r>
      <w:proofErr w:type="spellEnd"/>
      <w:r w:rsidR="00F615A2" w:rsidRPr="000A0484">
        <w:rPr>
          <w:rFonts w:asciiTheme="minorHAnsi" w:eastAsiaTheme="minorHAnsi" w:hAnsiTheme="minorHAnsi" w:cstheme="minorBidi"/>
          <w:snapToGrid/>
          <w:sz w:val="24"/>
          <w:szCs w:val="22"/>
        </w:rPr>
        <w:t>. T</w:t>
      </w:r>
      <w:r w:rsidR="009D103E" w:rsidRPr="000A0484">
        <w:rPr>
          <w:rFonts w:asciiTheme="minorHAnsi" w:eastAsiaTheme="minorHAnsi" w:hAnsiTheme="minorHAnsi" w:cstheme="minorBidi"/>
          <w:snapToGrid/>
          <w:sz w:val="24"/>
          <w:szCs w:val="22"/>
        </w:rPr>
        <w:t>he lower 95% CI was within the trial</w:t>
      </w:r>
      <w:r w:rsidR="00F615A2" w:rsidRPr="000A0484">
        <w:rPr>
          <w:rFonts w:asciiTheme="minorHAnsi" w:eastAsiaTheme="minorHAnsi" w:hAnsiTheme="minorHAnsi" w:cstheme="minorBidi"/>
          <w:snapToGrid/>
          <w:sz w:val="24"/>
          <w:szCs w:val="22"/>
        </w:rPr>
        <w:t>’</w:t>
      </w:r>
      <w:r w:rsidR="009D103E" w:rsidRPr="000A0484">
        <w:rPr>
          <w:rFonts w:asciiTheme="minorHAnsi" w:eastAsiaTheme="minorHAnsi" w:hAnsiTheme="minorHAnsi" w:cstheme="minorBidi"/>
          <w:snapToGrid/>
          <w:sz w:val="24"/>
          <w:szCs w:val="22"/>
        </w:rPr>
        <w:t>s pre-specified non-inferiority margin indicating the two treatments to be non-inferior</w:t>
      </w:r>
      <w:r w:rsidRPr="000A0484">
        <w:rPr>
          <w:rFonts w:asciiTheme="minorHAnsi" w:eastAsiaTheme="minorHAnsi" w:hAnsiTheme="minorHAnsi" w:cstheme="minorBidi"/>
          <w:snapToGrid/>
          <w:sz w:val="24"/>
          <w:szCs w:val="22"/>
        </w:rPr>
        <w:t xml:space="preserve">. Overall, the PBAC considered the claim of superior effectiveness versus </w:t>
      </w:r>
      <w:proofErr w:type="spellStart"/>
      <w:r w:rsidRPr="000A0484">
        <w:rPr>
          <w:rFonts w:asciiTheme="minorHAnsi" w:eastAsiaTheme="minorHAnsi" w:hAnsiTheme="minorHAnsi" w:cstheme="minorBidi"/>
          <w:snapToGrid/>
          <w:sz w:val="24"/>
          <w:szCs w:val="22"/>
        </w:rPr>
        <w:t>mesalazine</w:t>
      </w:r>
      <w:proofErr w:type="spellEnd"/>
      <w:r w:rsidRPr="000A0484">
        <w:rPr>
          <w:rFonts w:asciiTheme="minorHAnsi" w:eastAsiaTheme="minorHAnsi" w:hAnsiTheme="minorHAnsi" w:cstheme="minorBidi"/>
          <w:snapToGrid/>
          <w:sz w:val="24"/>
          <w:szCs w:val="22"/>
        </w:rPr>
        <w:t xml:space="preserve"> to be uncertain (paragraph 6.11 and 6.12, budesonide PSD, November 2017). The PBAC considered that on balance the claim of superior safety of budesonide versus </w:t>
      </w:r>
      <w:proofErr w:type="spellStart"/>
      <w:r w:rsidRPr="000A0484">
        <w:rPr>
          <w:rFonts w:asciiTheme="minorHAnsi" w:eastAsiaTheme="minorHAnsi" w:hAnsiTheme="minorHAnsi" w:cstheme="minorBidi"/>
          <w:snapToGrid/>
          <w:sz w:val="24"/>
          <w:szCs w:val="22"/>
        </w:rPr>
        <w:t>mesalazine</w:t>
      </w:r>
      <w:proofErr w:type="spellEnd"/>
      <w:r w:rsidRPr="000A0484">
        <w:rPr>
          <w:rFonts w:asciiTheme="minorHAnsi" w:eastAsiaTheme="minorHAnsi" w:hAnsiTheme="minorHAnsi" w:cstheme="minorBidi"/>
          <w:snapToGrid/>
          <w:sz w:val="24"/>
          <w:szCs w:val="22"/>
        </w:rPr>
        <w:t xml:space="preserve"> was supported (paragraph 6.17, budesonide PSD, November 2017). </w:t>
      </w:r>
    </w:p>
    <w:p w:rsidR="00F57A6D" w:rsidRPr="000A0484" w:rsidRDefault="00D01ED9" w:rsidP="00D01ED9">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The</w:t>
      </w:r>
      <w:r w:rsidR="00170D55" w:rsidRPr="000A0484">
        <w:rPr>
          <w:rFonts w:asciiTheme="minorHAnsi" w:eastAsiaTheme="minorHAnsi" w:hAnsiTheme="minorHAnsi" w:cstheme="minorBidi"/>
          <w:snapToGrid/>
          <w:sz w:val="24"/>
          <w:szCs w:val="22"/>
        </w:rPr>
        <w:t xml:space="preserve"> </w:t>
      </w:r>
      <w:r w:rsidR="00FD63CE" w:rsidRPr="000A0484">
        <w:rPr>
          <w:rFonts w:asciiTheme="minorHAnsi" w:eastAsiaTheme="minorHAnsi" w:hAnsiTheme="minorHAnsi" w:cstheme="minorBidi"/>
          <w:snapToGrid/>
          <w:sz w:val="24"/>
          <w:szCs w:val="22"/>
        </w:rPr>
        <w:t xml:space="preserve">minor </w:t>
      </w:r>
      <w:r w:rsidR="00170D55" w:rsidRPr="000A0484">
        <w:rPr>
          <w:rFonts w:asciiTheme="minorHAnsi" w:eastAsiaTheme="minorHAnsi" w:hAnsiTheme="minorHAnsi" w:cstheme="minorBidi"/>
          <w:snapToGrid/>
          <w:sz w:val="24"/>
          <w:szCs w:val="22"/>
        </w:rPr>
        <w:t>resubmission claimed that there</w:t>
      </w:r>
      <w:r w:rsidRPr="000A0484">
        <w:rPr>
          <w:rFonts w:asciiTheme="minorHAnsi" w:eastAsiaTheme="minorHAnsi" w:hAnsiTheme="minorHAnsi" w:cstheme="minorBidi"/>
          <w:snapToGrid/>
          <w:sz w:val="24"/>
          <w:szCs w:val="22"/>
        </w:rPr>
        <w:t xml:space="preserve"> is some clinical evidence that budesonide is not significantly different from prednisolone in terms of inducing clinical remission in C</w:t>
      </w:r>
      <w:r w:rsidR="00656562" w:rsidRPr="000A0484">
        <w:rPr>
          <w:rFonts w:asciiTheme="minorHAnsi" w:eastAsiaTheme="minorHAnsi" w:hAnsiTheme="minorHAnsi" w:cstheme="minorBidi"/>
          <w:snapToGrid/>
          <w:sz w:val="24"/>
          <w:szCs w:val="22"/>
        </w:rPr>
        <w:t>D</w:t>
      </w:r>
      <w:r w:rsidRPr="000A0484">
        <w:rPr>
          <w:rFonts w:asciiTheme="minorHAnsi" w:eastAsiaTheme="minorHAnsi" w:hAnsiTheme="minorHAnsi" w:cstheme="minorBidi"/>
          <w:snapToGrid/>
          <w:sz w:val="24"/>
          <w:szCs w:val="22"/>
        </w:rPr>
        <w:t xml:space="preserve"> and there is strong clinical evidence that budesonide is superior to prednisolone in terms of safety.</w:t>
      </w:r>
    </w:p>
    <w:p w:rsidR="00883B8A" w:rsidRPr="000A0484" w:rsidRDefault="00170D55" w:rsidP="00170D5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In November 2017, </w:t>
      </w:r>
      <w:r w:rsidR="00FB0510" w:rsidRPr="000A0484">
        <w:rPr>
          <w:rFonts w:asciiTheme="minorHAnsi" w:eastAsiaTheme="minorHAnsi" w:hAnsiTheme="minorHAnsi" w:cstheme="minorBidi"/>
          <w:snapToGrid/>
          <w:sz w:val="24"/>
          <w:szCs w:val="22"/>
        </w:rPr>
        <w:t>the</w:t>
      </w:r>
      <w:r w:rsidR="001D2B87" w:rsidRPr="000A0484">
        <w:rPr>
          <w:rFonts w:asciiTheme="minorHAnsi" w:eastAsiaTheme="minorHAnsi" w:hAnsiTheme="minorHAnsi" w:cstheme="minorBidi"/>
          <w:snapToGrid/>
          <w:sz w:val="24"/>
          <w:szCs w:val="22"/>
        </w:rPr>
        <w:t xml:space="preserve"> </w:t>
      </w:r>
      <w:r w:rsidR="00FB0510" w:rsidRPr="000A0484">
        <w:rPr>
          <w:rFonts w:asciiTheme="minorHAnsi" w:eastAsiaTheme="minorHAnsi" w:hAnsiTheme="minorHAnsi" w:cstheme="minorBidi"/>
          <w:snapToGrid/>
          <w:sz w:val="24"/>
          <w:szCs w:val="22"/>
        </w:rPr>
        <w:t xml:space="preserve">PBAC noted that while there was no </w:t>
      </w:r>
      <w:r w:rsidR="00E17B9A" w:rsidRPr="000A0484">
        <w:rPr>
          <w:rFonts w:asciiTheme="minorHAnsi" w:eastAsiaTheme="minorHAnsi" w:hAnsiTheme="minorHAnsi" w:cstheme="minorBidi"/>
          <w:snapToGrid/>
          <w:sz w:val="24"/>
          <w:szCs w:val="22"/>
        </w:rPr>
        <w:t>statistically</w:t>
      </w:r>
      <w:r w:rsidR="00FB0510" w:rsidRPr="000A0484">
        <w:rPr>
          <w:rFonts w:asciiTheme="minorHAnsi" w:eastAsiaTheme="minorHAnsi" w:hAnsiTheme="minorHAnsi" w:cstheme="minorBidi"/>
          <w:snapToGrid/>
          <w:sz w:val="24"/>
          <w:szCs w:val="22"/>
        </w:rPr>
        <w:t xml:space="preserve"> significant difference between budesonide and prednisolone in the induction of remission of CD at 8 weeks it did numerically favour prednisolone</w:t>
      </w:r>
      <w:r w:rsidR="001D2B87" w:rsidRPr="000A0484">
        <w:rPr>
          <w:rFonts w:asciiTheme="minorHAnsi" w:eastAsiaTheme="minorHAnsi" w:hAnsiTheme="minorHAnsi" w:cstheme="minorBidi"/>
          <w:snapToGrid/>
          <w:sz w:val="24"/>
          <w:szCs w:val="22"/>
        </w:rPr>
        <w:t xml:space="preserve"> (paragraph 6.16, budesonide PSD, November 2017)</w:t>
      </w:r>
      <w:r w:rsidR="00FB0510" w:rsidRPr="000A0484">
        <w:rPr>
          <w:rFonts w:asciiTheme="minorHAnsi" w:eastAsiaTheme="minorHAnsi" w:hAnsiTheme="minorHAnsi" w:cstheme="minorBidi"/>
          <w:snapToGrid/>
          <w:sz w:val="24"/>
          <w:szCs w:val="22"/>
        </w:rPr>
        <w:t>.</w:t>
      </w:r>
      <w:r w:rsidR="00883B8A" w:rsidRPr="000A0484">
        <w:rPr>
          <w:rFonts w:asciiTheme="minorHAnsi" w:eastAsiaTheme="minorHAnsi" w:hAnsiTheme="minorHAnsi" w:cstheme="minorBidi"/>
          <w:snapToGrid/>
          <w:sz w:val="24"/>
          <w:szCs w:val="22"/>
        </w:rPr>
        <w:t xml:space="preserve"> </w:t>
      </w:r>
      <w:r w:rsidR="001502FE" w:rsidRPr="000A0484">
        <w:rPr>
          <w:rFonts w:asciiTheme="minorHAnsi" w:eastAsiaTheme="minorHAnsi" w:hAnsiTheme="minorHAnsi" w:cstheme="minorBidi"/>
          <w:snapToGrid/>
          <w:sz w:val="24"/>
          <w:szCs w:val="22"/>
        </w:rPr>
        <w:t>The PBAC considered</w:t>
      </w:r>
      <w:r w:rsidR="00FB0510" w:rsidRPr="000A0484">
        <w:rPr>
          <w:rFonts w:asciiTheme="minorHAnsi" w:eastAsiaTheme="minorHAnsi" w:hAnsiTheme="minorHAnsi" w:cstheme="minorBidi"/>
          <w:snapToGrid/>
          <w:sz w:val="24"/>
          <w:szCs w:val="22"/>
        </w:rPr>
        <w:t xml:space="preserve"> that in terms of safety, the trial evidence suggests budesonide to be superior to prednisolone, particularly in terms of glucocorticoid associated AEs</w:t>
      </w:r>
      <w:r w:rsidR="001D2B87" w:rsidRPr="000A0484">
        <w:rPr>
          <w:rFonts w:asciiTheme="minorHAnsi" w:eastAsiaTheme="minorHAnsi" w:hAnsiTheme="minorHAnsi" w:cstheme="minorBidi"/>
          <w:snapToGrid/>
          <w:sz w:val="24"/>
          <w:szCs w:val="22"/>
        </w:rPr>
        <w:t xml:space="preserve"> (paragraph 7.5, budesonide PSD, November 2017)</w:t>
      </w:r>
      <w:r w:rsidR="00FB0510" w:rsidRPr="000A0484">
        <w:rPr>
          <w:rFonts w:asciiTheme="minorHAnsi" w:eastAsiaTheme="minorHAnsi" w:hAnsiTheme="minorHAnsi" w:cstheme="minorBidi"/>
          <w:snapToGrid/>
          <w:sz w:val="24"/>
          <w:szCs w:val="22"/>
        </w:rPr>
        <w:t>.</w:t>
      </w:r>
    </w:p>
    <w:p w:rsidR="005A3173" w:rsidRPr="000A0484" w:rsidRDefault="005A3173" w:rsidP="00966D0D">
      <w:pPr>
        <w:pStyle w:val="Heading2"/>
        <w:keepLines/>
        <w:spacing w:before="240" w:after="120"/>
        <w:rPr>
          <w:rFonts w:asciiTheme="minorHAnsi" w:eastAsiaTheme="majorEastAsia" w:hAnsiTheme="minorHAnsi" w:cstheme="majorBidi"/>
          <w:sz w:val="28"/>
          <w:szCs w:val="28"/>
          <w:lang w:eastAsia="en-US"/>
        </w:rPr>
      </w:pPr>
      <w:r w:rsidRPr="000A0484">
        <w:rPr>
          <w:rFonts w:asciiTheme="minorHAnsi" w:eastAsiaTheme="majorEastAsia" w:hAnsiTheme="minorHAnsi" w:cstheme="majorBidi"/>
          <w:sz w:val="28"/>
          <w:szCs w:val="28"/>
          <w:lang w:eastAsia="en-US"/>
        </w:rPr>
        <w:t>Economic analysis</w:t>
      </w:r>
    </w:p>
    <w:p w:rsidR="00BD3C41" w:rsidRPr="000A0484" w:rsidRDefault="009B0F67" w:rsidP="00BD3C41">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 xml:space="preserve">In the major submission considered by </w:t>
      </w:r>
      <w:r w:rsidR="001502FE" w:rsidRPr="000A0484">
        <w:rPr>
          <w:rFonts w:asciiTheme="minorHAnsi" w:hAnsiTheme="minorHAnsi"/>
          <w:sz w:val="24"/>
          <w:szCs w:val="24"/>
        </w:rPr>
        <w:t xml:space="preserve">the </w:t>
      </w:r>
      <w:r w:rsidRPr="000A0484">
        <w:rPr>
          <w:rFonts w:asciiTheme="minorHAnsi" w:hAnsiTheme="minorHAnsi"/>
          <w:sz w:val="24"/>
          <w:szCs w:val="24"/>
        </w:rPr>
        <w:t xml:space="preserve">PBAC in </w:t>
      </w:r>
      <w:r w:rsidR="00BD3C41" w:rsidRPr="000A0484">
        <w:rPr>
          <w:rFonts w:asciiTheme="minorHAnsi" w:hAnsiTheme="minorHAnsi"/>
          <w:sz w:val="24"/>
          <w:szCs w:val="24"/>
        </w:rPr>
        <w:t>November</w:t>
      </w:r>
      <w:r w:rsidRPr="000A0484">
        <w:rPr>
          <w:rFonts w:asciiTheme="minorHAnsi" w:hAnsiTheme="minorHAnsi"/>
          <w:sz w:val="24"/>
          <w:szCs w:val="24"/>
        </w:rPr>
        <w:t xml:space="preserve"> 20</w:t>
      </w:r>
      <w:r w:rsidR="00BD3C41" w:rsidRPr="000A0484">
        <w:rPr>
          <w:rFonts w:asciiTheme="minorHAnsi" w:hAnsiTheme="minorHAnsi"/>
          <w:sz w:val="24"/>
          <w:szCs w:val="24"/>
        </w:rPr>
        <w:t>17</w:t>
      </w:r>
      <w:r w:rsidRPr="000A0484">
        <w:rPr>
          <w:rFonts w:asciiTheme="minorHAnsi" w:hAnsiTheme="minorHAnsi"/>
          <w:sz w:val="24"/>
          <w:szCs w:val="24"/>
        </w:rPr>
        <w:t xml:space="preserve">, the submission presented a </w:t>
      </w:r>
      <w:r w:rsidR="00BD3C41" w:rsidRPr="000A0484">
        <w:rPr>
          <w:rFonts w:asciiTheme="minorHAnsi" w:hAnsiTheme="minorHAnsi"/>
          <w:sz w:val="24"/>
          <w:szCs w:val="24"/>
        </w:rPr>
        <w:t>cost-utility analysis</w:t>
      </w:r>
      <w:r w:rsidRPr="000A0484">
        <w:rPr>
          <w:rFonts w:asciiTheme="minorHAnsi" w:hAnsiTheme="minorHAnsi"/>
          <w:sz w:val="24"/>
          <w:szCs w:val="24"/>
        </w:rPr>
        <w:t xml:space="preserve"> against </w:t>
      </w:r>
      <w:proofErr w:type="spellStart"/>
      <w:r w:rsidR="00BD3C41" w:rsidRPr="000A0484">
        <w:rPr>
          <w:rFonts w:asciiTheme="minorHAnsi" w:hAnsiTheme="minorHAnsi"/>
          <w:sz w:val="24"/>
          <w:szCs w:val="24"/>
        </w:rPr>
        <w:t>mesalazine</w:t>
      </w:r>
      <w:proofErr w:type="spellEnd"/>
      <w:r w:rsidRPr="000A0484">
        <w:rPr>
          <w:rFonts w:asciiTheme="minorHAnsi" w:hAnsiTheme="minorHAnsi"/>
          <w:sz w:val="24"/>
          <w:szCs w:val="24"/>
        </w:rPr>
        <w:t xml:space="preserve">.  </w:t>
      </w:r>
      <w:r w:rsidR="00BD3C41" w:rsidRPr="000A0484">
        <w:rPr>
          <w:rFonts w:asciiTheme="minorHAnsi" w:hAnsiTheme="minorHAnsi"/>
          <w:sz w:val="24"/>
          <w:szCs w:val="24"/>
        </w:rPr>
        <w:t xml:space="preserve">The PBAC was not supportive of </w:t>
      </w:r>
      <w:r w:rsidR="001502FE" w:rsidRPr="000A0484">
        <w:rPr>
          <w:rFonts w:asciiTheme="minorHAnsi" w:hAnsiTheme="minorHAnsi"/>
          <w:sz w:val="24"/>
          <w:szCs w:val="24"/>
        </w:rPr>
        <w:t>the</w:t>
      </w:r>
      <w:r w:rsidR="00BD3C41" w:rsidRPr="000A0484">
        <w:rPr>
          <w:rFonts w:asciiTheme="minorHAnsi" w:hAnsiTheme="minorHAnsi"/>
          <w:sz w:val="24"/>
          <w:szCs w:val="24"/>
        </w:rPr>
        <w:t xml:space="preserve"> analysis given that it did not consider that </w:t>
      </w:r>
      <w:proofErr w:type="spellStart"/>
      <w:r w:rsidR="00BD3C41" w:rsidRPr="000A0484">
        <w:rPr>
          <w:rFonts w:asciiTheme="minorHAnsi" w:hAnsiTheme="minorHAnsi"/>
          <w:sz w:val="24"/>
          <w:szCs w:val="24"/>
        </w:rPr>
        <w:t>mesalazine</w:t>
      </w:r>
      <w:proofErr w:type="spellEnd"/>
      <w:r w:rsidR="00BD3C41" w:rsidRPr="000A0484">
        <w:rPr>
          <w:rFonts w:asciiTheme="minorHAnsi" w:hAnsiTheme="minorHAnsi"/>
          <w:sz w:val="24"/>
          <w:szCs w:val="24"/>
        </w:rPr>
        <w:t xml:space="preserve"> was the appropriate comparator</w:t>
      </w:r>
      <w:r w:rsidR="001D2B87" w:rsidRPr="000A0484">
        <w:rPr>
          <w:rFonts w:asciiTheme="minorHAnsi" w:hAnsiTheme="minorHAnsi"/>
          <w:sz w:val="24"/>
          <w:szCs w:val="24"/>
        </w:rPr>
        <w:t xml:space="preserve"> </w:t>
      </w:r>
      <w:r w:rsidR="001D2B87" w:rsidRPr="000A0484">
        <w:rPr>
          <w:rFonts w:asciiTheme="minorHAnsi" w:eastAsiaTheme="minorHAnsi" w:hAnsiTheme="minorHAnsi" w:cstheme="minorBidi"/>
          <w:snapToGrid/>
          <w:sz w:val="24"/>
          <w:szCs w:val="22"/>
        </w:rPr>
        <w:t>(paragraph 6.25, budesonide PSD, November 2017)</w:t>
      </w:r>
      <w:r w:rsidR="00BD3C41" w:rsidRPr="000A0484">
        <w:rPr>
          <w:rFonts w:asciiTheme="minorHAnsi" w:hAnsiTheme="minorHAnsi"/>
          <w:sz w:val="24"/>
          <w:szCs w:val="24"/>
        </w:rPr>
        <w:t>.</w:t>
      </w:r>
    </w:p>
    <w:p w:rsidR="00E0644F" w:rsidRPr="000A0484" w:rsidRDefault="00E0644F" w:rsidP="00E0644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lastRenderedPageBreak/>
        <w:t xml:space="preserve">A cost-minimisation analysis versus prednisolone was conducted during the evaluation of the November 2017 submission. The PBAC considered the results of this analysis highlighted the substantial price difference between budesonide and prednisolone but noted that offsets related to the superior safety profile of budesonide compared with prednisolone were unable to be factored into such an analysis (paragraph 7.6, budesonide PSD, November 2017). </w:t>
      </w:r>
    </w:p>
    <w:p w:rsidR="008C5E50" w:rsidRPr="001B51FB" w:rsidRDefault="009B0F67" w:rsidP="004A1253">
      <w:pPr>
        <w:pStyle w:val="ListParagraph"/>
        <w:widowControl/>
        <w:numPr>
          <w:ilvl w:val="1"/>
          <w:numId w:val="14"/>
        </w:numPr>
        <w:spacing w:after="120"/>
        <w:contextualSpacing w:val="0"/>
        <w:rPr>
          <w:rFonts w:asciiTheme="minorHAnsi" w:hAnsiTheme="minorHAnsi"/>
          <w:sz w:val="24"/>
          <w:szCs w:val="24"/>
        </w:rPr>
      </w:pPr>
      <w:r w:rsidRPr="001B51FB">
        <w:rPr>
          <w:rFonts w:asciiTheme="minorHAnsi" w:hAnsiTheme="minorHAnsi"/>
          <w:sz w:val="24"/>
          <w:szCs w:val="24"/>
        </w:rPr>
        <w:t xml:space="preserve">The minor resubmission </w:t>
      </w:r>
      <w:r w:rsidR="00146C82" w:rsidRPr="001B51FB">
        <w:rPr>
          <w:rFonts w:asciiTheme="minorHAnsi" w:hAnsiTheme="minorHAnsi"/>
          <w:sz w:val="24"/>
          <w:szCs w:val="24"/>
        </w:rPr>
        <w:t xml:space="preserve">presented </w:t>
      </w:r>
      <w:r w:rsidR="00BD3C41" w:rsidRPr="001B51FB">
        <w:rPr>
          <w:rFonts w:asciiTheme="minorHAnsi" w:hAnsiTheme="minorHAnsi"/>
          <w:sz w:val="24"/>
          <w:szCs w:val="24"/>
        </w:rPr>
        <w:t xml:space="preserve">a </w:t>
      </w:r>
      <w:r w:rsidR="00146C82" w:rsidRPr="001B51FB">
        <w:rPr>
          <w:rFonts w:asciiTheme="minorHAnsi" w:hAnsiTheme="minorHAnsi"/>
          <w:sz w:val="24"/>
          <w:szCs w:val="24"/>
        </w:rPr>
        <w:t xml:space="preserve">brief </w:t>
      </w:r>
      <w:r w:rsidR="00865292" w:rsidRPr="001B51FB">
        <w:rPr>
          <w:rFonts w:asciiTheme="minorHAnsi" w:hAnsiTheme="minorHAnsi"/>
          <w:sz w:val="24"/>
          <w:szCs w:val="24"/>
        </w:rPr>
        <w:t xml:space="preserve">summary of a </w:t>
      </w:r>
      <w:r w:rsidR="00BD3C41" w:rsidRPr="001B51FB">
        <w:rPr>
          <w:rFonts w:asciiTheme="minorHAnsi" w:hAnsiTheme="minorHAnsi"/>
          <w:sz w:val="24"/>
          <w:szCs w:val="24"/>
        </w:rPr>
        <w:t xml:space="preserve">weighted average approach </w:t>
      </w:r>
      <w:r w:rsidR="006F696A" w:rsidRPr="001B51FB">
        <w:rPr>
          <w:rFonts w:asciiTheme="minorHAnsi" w:hAnsiTheme="minorHAnsi"/>
          <w:sz w:val="24"/>
          <w:szCs w:val="24"/>
        </w:rPr>
        <w:t>used to determine the price of budesonide</w:t>
      </w:r>
      <w:r w:rsidR="00470CFA" w:rsidRPr="001B51FB">
        <w:rPr>
          <w:rFonts w:asciiTheme="minorHAnsi" w:hAnsiTheme="minorHAnsi"/>
          <w:sz w:val="24"/>
          <w:szCs w:val="24"/>
        </w:rPr>
        <w:t>.</w:t>
      </w:r>
      <w:r w:rsidR="00DE0C92" w:rsidRPr="001B51FB">
        <w:rPr>
          <w:rFonts w:asciiTheme="minorHAnsi" w:hAnsiTheme="minorHAnsi"/>
          <w:sz w:val="24"/>
          <w:szCs w:val="24"/>
        </w:rPr>
        <w:t xml:space="preserve"> </w:t>
      </w:r>
      <w:r w:rsidR="008534B6" w:rsidRPr="001B51FB">
        <w:rPr>
          <w:rFonts w:asciiTheme="minorHAnsi" w:hAnsiTheme="minorHAnsi"/>
          <w:sz w:val="24"/>
          <w:szCs w:val="24"/>
        </w:rPr>
        <w:t xml:space="preserve">The resubmission stated the price of budesonide is based on a weighted average cost of </w:t>
      </w:r>
      <w:proofErr w:type="spellStart"/>
      <w:r w:rsidR="008534B6" w:rsidRPr="001B51FB">
        <w:rPr>
          <w:rFonts w:asciiTheme="minorHAnsi" w:hAnsiTheme="minorHAnsi"/>
          <w:sz w:val="24"/>
          <w:szCs w:val="24"/>
        </w:rPr>
        <w:t>mesalazine</w:t>
      </w:r>
      <w:proofErr w:type="spellEnd"/>
      <w:r w:rsidR="008534B6" w:rsidRPr="001B51FB">
        <w:rPr>
          <w:rFonts w:asciiTheme="minorHAnsi" w:hAnsiTheme="minorHAnsi"/>
          <w:sz w:val="24"/>
          <w:szCs w:val="24"/>
        </w:rPr>
        <w:t xml:space="preserve"> and prednisolone for 12 weeks. The cost of treatment for 12 weeks for each </w:t>
      </w:r>
      <w:proofErr w:type="spellStart"/>
      <w:r w:rsidR="008534B6" w:rsidRPr="001B51FB">
        <w:rPr>
          <w:rFonts w:asciiTheme="minorHAnsi" w:hAnsiTheme="minorHAnsi"/>
          <w:sz w:val="24"/>
          <w:szCs w:val="24"/>
        </w:rPr>
        <w:t>mesalazine</w:t>
      </w:r>
      <w:proofErr w:type="spellEnd"/>
      <w:r w:rsidR="008534B6" w:rsidRPr="001B51FB">
        <w:rPr>
          <w:rFonts w:asciiTheme="minorHAnsi" w:hAnsiTheme="minorHAnsi"/>
          <w:sz w:val="24"/>
          <w:szCs w:val="24"/>
        </w:rPr>
        <w:t xml:space="preserve"> brands in the original submission (T</w:t>
      </w:r>
      <w:r w:rsidR="004138BA" w:rsidRPr="001B51FB">
        <w:rPr>
          <w:rFonts w:asciiTheme="minorHAnsi" w:hAnsiTheme="minorHAnsi"/>
          <w:sz w:val="24"/>
          <w:szCs w:val="24"/>
        </w:rPr>
        <w:t>able 1</w:t>
      </w:r>
      <w:r w:rsidR="008534B6" w:rsidRPr="001B51FB">
        <w:rPr>
          <w:rFonts w:asciiTheme="minorHAnsi" w:hAnsiTheme="minorHAnsi"/>
          <w:sz w:val="24"/>
          <w:szCs w:val="24"/>
        </w:rPr>
        <w:t xml:space="preserve">), with the exception of </w:t>
      </w:r>
      <w:proofErr w:type="spellStart"/>
      <w:r w:rsidR="008534B6" w:rsidRPr="001B51FB">
        <w:rPr>
          <w:rFonts w:asciiTheme="minorHAnsi" w:hAnsiTheme="minorHAnsi"/>
          <w:sz w:val="24"/>
          <w:szCs w:val="24"/>
        </w:rPr>
        <w:t>Mesasal</w:t>
      </w:r>
      <w:proofErr w:type="spellEnd"/>
      <w:r w:rsidR="008534B6" w:rsidRPr="001B51FB">
        <w:rPr>
          <w:rFonts w:asciiTheme="minorHAnsi" w:hAnsiTheme="minorHAnsi"/>
          <w:sz w:val="24"/>
          <w:szCs w:val="24"/>
        </w:rPr>
        <w:t xml:space="preserve">®, listed for CD was calculated. </w:t>
      </w:r>
      <w:r w:rsidR="000C7C9B" w:rsidRPr="001B51FB">
        <w:rPr>
          <w:rFonts w:asciiTheme="minorHAnsi" w:hAnsiTheme="minorHAnsi"/>
          <w:sz w:val="24"/>
          <w:szCs w:val="24"/>
        </w:rPr>
        <w:t xml:space="preserve">The cost of treatment was based on a dose of 4 g/day for the </w:t>
      </w:r>
      <w:proofErr w:type="spellStart"/>
      <w:r w:rsidR="000C7C9B" w:rsidRPr="001B51FB">
        <w:rPr>
          <w:rFonts w:asciiTheme="minorHAnsi" w:hAnsiTheme="minorHAnsi"/>
          <w:sz w:val="24"/>
          <w:szCs w:val="24"/>
        </w:rPr>
        <w:t>Pentasa</w:t>
      </w:r>
      <w:proofErr w:type="spellEnd"/>
      <w:r w:rsidR="000C7C9B" w:rsidRPr="001B51FB">
        <w:rPr>
          <w:rFonts w:asciiTheme="minorHAnsi" w:hAnsiTheme="minorHAnsi"/>
          <w:sz w:val="24"/>
          <w:szCs w:val="24"/>
        </w:rPr>
        <w:t xml:space="preserve">® brands of </w:t>
      </w:r>
      <w:proofErr w:type="spellStart"/>
      <w:r w:rsidR="000C7C9B" w:rsidRPr="001B51FB">
        <w:rPr>
          <w:rFonts w:asciiTheme="minorHAnsi" w:hAnsiTheme="minorHAnsi"/>
          <w:sz w:val="24"/>
          <w:szCs w:val="24"/>
        </w:rPr>
        <w:t>mesalazine</w:t>
      </w:r>
      <w:proofErr w:type="spellEnd"/>
      <w:r w:rsidR="000C7C9B" w:rsidRPr="001B51FB">
        <w:rPr>
          <w:rFonts w:asciiTheme="minorHAnsi" w:hAnsiTheme="minorHAnsi"/>
          <w:sz w:val="24"/>
          <w:szCs w:val="24"/>
        </w:rPr>
        <w:t xml:space="preserve"> and a dose of 4.5 g/day followed by a 3 g/day taper dose (4 weeks) for the </w:t>
      </w:r>
      <w:proofErr w:type="spellStart"/>
      <w:r w:rsidR="000C7C9B" w:rsidRPr="001B51FB">
        <w:rPr>
          <w:rFonts w:asciiTheme="minorHAnsi" w:hAnsiTheme="minorHAnsi"/>
          <w:sz w:val="24"/>
          <w:szCs w:val="24"/>
        </w:rPr>
        <w:t>Salofalk</w:t>
      </w:r>
      <w:proofErr w:type="spellEnd"/>
      <w:r w:rsidR="000C7C9B" w:rsidRPr="001B51FB">
        <w:rPr>
          <w:rFonts w:asciiTheme="minorHAnsi" w:hAnsiTheme="minorHAnsi"/>
          <w:sz w:val="24"/>
          <w:szCs w:val="24"/>
        </w:rPr>
        <w:t xml:space="preserve">® brand. </w:t>
      </w:r>
      <w:r w:rsidR="008534B6" w:rsidRPr="001B51FB">
        <w:rPr>
          <w:rFonts w:asciiTheme="minorHAnsi" w:hAnsiTheme="minorHAnsi"/>
          <w:sz w:val="24"/>
          <w:szCs w:val="24"/>
        </w:rPr>
        <w:t>The same was done for prednisolone</w:t>
      </w:r>
      <w:r w:rsidR="000C7C9B" w:rsidRPr="001B51FB">
        <w:rPr>
          <w:rFonts w:asciiTheme="minorHAnsi" w:hAnsiTheme="minorHAnsi"/>
          <w:sz w:val="24"/>
          <w:szCs w:val="24"/>
        </w:rPr>
        <w:t xml:space="preserve"> based on a dose of 25 mg/day followed by a 5 mg/day taper dose (4 weeks)</w:t>
      </w:r>
      <w:r w:rsidR="008534B6" w:rsidRPr="001B51FB">
        <w:rPr>
          <w:rFonts w:asciiTheme="minorHAnsi" w:hAnsiTheme="minorHAnsi"/>
          <w:sz w:val="24"/>
          <w:szCs w:val="24"/>
        </w:rPr>
        <w:t xml:space="preserve">. A weighted average cost for budesonide was then calculated based on the </w:t>
      </w:r>
      <w:r w:rsidR="00AC3702" w:rsidRPr="001B51FB">
        <w:rPr>
          <w:rFonts w:asciiTheme="minorHAnsi" w:hAnsiTheme="minorHAnsi"/>
          <w:sz w:val="24"/>
          <w:szCs w:val="24"/>
        </w:rPr>
        <w:t>lowest cost</w:t>
      </w:r>
      <w:r w:rsidR="008534B6" w:rsidRPr="001B51FB">
        <w:rPr>
          <w:rFonts w:asciiTheme="minorHAnsi" w:hAnsiTheme="minorHAnsi"/>
          <w:sz w:val="24"/>
          <w:szCs w:val="24"/>
        </w:rPr>
        <w:t xml:space="preserve"> </w:t>
      </w:r>
      <w:proofErr w:type="spellStart"/>
      <w:r w:rsidR="008534B6" w:rsidRPr="001B51FB">
        <w:rPr>
          <w:rFonts w:asciiTheme="minorHAnsi" w:hAnsiTheme="minorHAnsi"/>
          <w:sz w:val="24"/>
          <w:szCs w:val="24"/>
        </w:rPr>
        <w:t>mesalazine</w:t>
      </w:r>
      <w:proofErr w:type="spellEnd"/>
      <w:r w:rsidR="008534B6" w:rsidRPr="001B51FB">
        <w:rPr>
          <w:rFonts w:asciiTheme="minorHAnsi" w:hAnsiTheme="minorHAnsi"/>
          <w:sz w:val="24"/>
          <w:szCs w:val="24"/>
        </w:rPr>
        <w:t xml:space="preserve"> and prednisolone brands, with the assumption of a 3 week taper period for budesonide (average of 2 and 4 weeks taper).</w:t>
      </w:r>
      <w:r w:rsidR="008D04B1" w:rsidRPr="001B51FB">
        <w:rPr>
          <w:rFonts w:asciiTheme="minorHAnsi" w:hAnsiTheme="minorHAnsi"/>
          <w:sz w:val="24"/>
          <w:szCs w:val="24"/>
        </w:rPr>
        <w:t xml:space="preserve">  </w:t>
      </w:r>
    </w:p>
    <w:p w:rsidR="00146C82" w:rsidRPr="00AB144A" w:rsidRDefault="00146C82" w:rsidP="00AB144A">
      <w:pPr>
        <w:rPr>
          <w:rFonts w:ascii="Arial Narrow" w:hAnsi="Arial Narrow"/>
          <w:b/>
          <w:sz w:val="20"/>
        </w:rPr>
      </w:pPr>
      <w:r w:rsidRPr="00AB144A">
        <w:rPr>
          <w:rFonts w:ascii="Arial Narrow" w:hAnsi="Arial Narrow"/>
          <w:b/>
          <w:sz w:val="20"/>
        </w:rPr>
        <w:t xml:space="preserve">Table </w:t>
      </w:r>
      <w:r w:rsidR="008534B6" w:rsidRPr="00AB144A">
        <w:rPr>
          <w:rFonts w:ascii="Arial Narrow" w:hAnsi="Arial Narrow"/>
          <w:b/>
          <w:sz w:val="20"/>
        </w:rPr>
        <w:t>1</w:t>
      </w:r>
      <w:r w:rsidRPr="00AB144A">
        <w:rPr>
          <w:rFonts w:ascii="Arial Narrow" w:hAnsi="Arial Narrow"/>
          <w:b/>
          <w:sz w:val="20"/>
        </w:rPr>
        <w:t xml:space="preserve">: </w:t>
      </w:r>
      <w:r w:rsidR="000E326E" w:rsidRPr="00AB144A">
        <w:rPr>
          <w:rFonts w:ascii="Arial Narrow" w:hAnsi="Arial Narrow"/>
          <w:b/>
          <w:sz w:val="20"/>
        </w:rPr>
        <w:t xml:space="preserve">Current PBS listings of </w:t>
      </w:r>
      <w:proofErr w:type="spellStart"/>
      <w:r w:rsidR="000E326E" w:rsidRPr="00AB144A">
        <w:rPr>
          <w:rFonts w:ascii="Arial Narrow" w:hAnsi="Arial Narrow"/>
          <w:b/>
          <w:sz w:val="20"/>
        </w:rPr>
        <w:t>mesalazine</w:t>
      </w:r>
      <w:proofErr w:type="spellEnd"/>
      <w:r w:rsidR="000E326E" w:rsidRPr="00AB144A">
        <w:rPr>
          <w:rFonts w:ascii="Arial Narrow" w:hAnsi="Arial Narrow"/>
          <w:b/>
          <w:sz w:val="20"/>
        </w:rPr>
        <w:t xml:space="preserve"> and prednisolone for use in CD</w:t>
      </w:r>
    </w:p>
    <w:tbl>
      <w:tblPr>
        <w:tblStyle w:val="TableGrid"/>
        <w:tblW w:w="5000" w:type="pct"/>
        <w:tblLook w:val="04A0" w:firstRow="1" w:lastRow="0" w:firstColumn="1" w:lastColumn="0" w:noHBand="0" w:noVBand="1"/>
        <w:tblCaption w:val="Table 1: Current PBS listings of mesalazine and prednisolone for use in CD"/>
        <w:tblDescription w:val="Table 1: Current PBS listings of mesalazine and prednisolone for use in CD"/>
      </w:tblPr>
      <w:tblGrid>
        <w:gridCol w:w="1731"/>
        <w:gridCol w:w="2430"/>
        <w:gridCol w:w="3438"/>
        <w:gridCol w:w="1643"/>
      </w:tblGrid>
      <w:tr w:rsidR="008C5E50" w:rsidRPr="000A0484" w:rsidTr="00AB144A">
        <w:tc>
          <w:tcPr>
            <w:tcW w:w="936" w:type="pct"/>
          </w:tcPr>
          <w:p w:rsidR="008C5E50" w:rsidRPr="000A0484" w:rsidRDefault="008C5E50" w:rsidP="008C5E50">
            <w:pPr>
              <w:pStyle w:val="ListParagraph"/>
              <w:widowControl/>
              <w:spacing w:after="120"/>
              <w:ind w:left="0"/>
              <w:contextualSpacing w:val="0"/>
              <w:rPr>
                <w:rFonts w:ascii="Arial Narrow" w:hAnsi="Arial Narrow"/>
                <w:sz w:val="20"/>
              </w:rPr>
            </w:pPr>
            <w:r w:rsidRPr="000A0484">
              <w:rPr>
                <w:rFonts w:ascii="Arial Narrow" w:hAnsi="Arial Narrow"/>
                <w:sz w:val="20"/>
              </w:rPr>
              <w:t>PBS Code</w:t>
            </w:r>
          </w:p>
        </w:tc>
        <w:tc>
          <w:tcPr>
            <w:tcW w:w="1314" w:type="pct"/>
          </w:tcPr>
          <w:p w:rsidR="008C5E50" w:rsidRPr="000A0484" w:rsidRDefault="008C5E50" w:rsidP="008C5E50">
            <w:pPr>
              <w:pStyle w:val="ListParagraph"/>
              <w:widowControl/>
              <w:spacing w:after="120"/>
              <w:ind w:left="0"/>
              <w:contextualSpacing w:val="0"/>
              <w:rPr>
                <w:rFonts w:ascii="Arial Narrow" w:hAnsi="Arial Narrow"/>
                <w:sz w:val="20"/>
              </w:rPr>
            </w:pPr>
            <w:r w:rsidRPr="000A0484">
              <w:rPr>
                <w:rFonts w:ascii="Arial Narrow" w:hAnsi="Arial Narrow"/>
                <w:sz w:val="20"/>
              </w:rPr>
              <w:t>Brand name</w:t>
            </w:r>
          </w:p>
        </w:tc>
        <w:tc>
          <w:tcPr>
            <w:tcW w:w="1860" w:type="pct"/>
          </w:tcPr>
          <w:p w:rsidR="008C5E50" w:rsidRPr="000A0484" w:rsidRDefault="008C5E50" w:rsidP="008C5E50">
            <w:pPr>
              <w:pStyle w:val="ListParagraph"/>
              <w:widowControl/>
              <w:spacing w:after="120"/>
              <w:ind w:left="0"/>
              <w:contextualSpacing w:val="0"/>
              <w:jc w:val="center"/>
              <w:rPr>
                <w:rFonts w:ascii="Arial Narrow" w:hAnsi="Arial Narrow"/>
                <w:sz w:val="20"/>
              </w:rPr>
            </w:pPr>
            <w:r w:rsidRPr="000A0484">
              <w:rPr>
                <w:rFonts w:ascii="Arial Narrow" w:hAnsi="Arial Narrow"/>
                <w:sz w:val="20"/>
              </w:rPr>
              <w:t>Strength and form</w:t>
            </w:r>
          </w:p>
        </w:tc>
        <w:tc>
          <w:tcPr>
            <w:tcW w:w="889" w:type="pct"/>
          </w:tcPr>
          <w:p w:rsidR="008C5E50" w:rsidRPr="000A0484" w:rsidRDefault="008C5E50" w:rsidP="008C5E50">
            <w:pPr>
              <w:pStyle w:val="ListParagraph"/>
              <w:widowControl/>
              <w:spacing w:after="120"/>
              <w:ind w:left="0"/>
              <w:contextualSpacing w:val="0"/>
              <w:rPr>
                <w:rFonts w:ascii="Arial Narrow" w:hAnsi="Arial Narrow"/>
                <w:sz w:val="20"/>
              </w:rPr>
            </w:pPr>
            <w:r w:rsidRPr="000A0484">
              <w:rPr>
                <w:rFonts w:ascii="Arial Narrow" w:hAnsi="Arial Narrow"/>
                <w:sz w:val="20"/>
              </w:rPr>
              <w:t>Restriction level</w:t>
            </w:r>
          </w:p>
        </w:tc>
      </w:tr>
      <w:tr w:rsidR="00B036BD" w:rsidRPr="000A0484" w:rsidTr="00AB144A">
        <w:tc>
          <w:tcPr>
            <w:tcW w:w="936" w:type="pct"/>
          </w:tcPr>
          <w:p w:rsidR="00B036BD" w:rsidRPr="000A0484" w:rsidRDefault="00B036BD">
            <w:pPr>
              <w:rPr>
                <w:rFonts w:ascii="Arial Narrow" w:hAnsi="Arial Narrow" w:cs="Arial"/>
                <w:sz w:val="20"/>
                <w:szCs w:val="20"/>
              </w:rPr>
            </w:pPr>
            <w:r w:rsidRPr="000A0484">
              <w:rPr>
                <w:rFonts w:ascii="Arial Narrow" w:hAnsi="Arial Narrow" w:cs="Arial"/>
                <w:sz w:val="20"/>
                <w:szCs w:val="20"/>
              </w:rPr>
              <w:t>1611T</w:t>
            </w:r>
          </w:p>
        </w:tc>
        <w:tc>
          <w:tcPr>
            <w:tcW w:w="1314" w:type="pct"/>
          </w:tcPr>
          <w:p w:rsidR="00B036BD" w:rsidRPr="000A0484" w:rsidRDefault="00B036BD">
            <w:pPr>
              <w:jc w:val="center"/>
              <w:rPr>
                <w:rFonts w:ascii="Arial Narrow" w:hAnsi="Arial Narrow" w:cs="Arial"/>
                <w:sz w:val="20"/>
                <w:szCs w:val="20"/>
                <w:vertAlign w:val="superscript"/>
              </w:rPr>
            </w:pPr>
            <w:proofErr w:type="spellStart"/>
            <w:r w:rsidRPr="000A0484">
              <w:rPr>
                <w:rFonts w:ascii="Arial Narrow" w:hAnsi="Arial Narrow" w:cs="Arial"/>
                <w:sz w:val="20"/>
                <w:szCs w:val="20"/>
              </w:rPr>
              <w:t>Mesasal</w:t>
            </w:r>
            <w:proofErr w:type="spellEnd"/>
            <w:r w:rsidRPr="000A0484">
              <w:rPr>
                <w:rFonts w:ascii="Arial Narrow" w:hAnsi="Arial Narrow" w:cs="Arial"/>
                <w:sz w:val="20"/>
                <w:szCs w:val="20"/>
              </w:rPr>
              <w:t xml:space="preserve"> (</w:t>
            </w:r>
            <w:proofErr w:type="spellStart"/>
            <w:r w:rsidRPr="000A0484">
              <w:rPr>
                <w:rFonts w:ascii="Arial Narrow" w:hAnsi="Arial Narrow" w:cs="Arial"/>
                <w:sz w:val="20"/>
                <w:szCs w:val="20"/>
              </w:rPr>
              <w:t>mesalazine</w:t>
            </w:r>
            <w:proofErr w:type="spellEnd"/>
            <w:r w:rsidRPr="000A0484">
              <w:rPr>
                <w:rFonts w:ascii="Arial Narrow" w:hAnsi="Arial Narrow" w:cs="Arial"/>
                <w:sz w:val="20"/>
                <w:szCs w:val="20"/>
              </w:rPr>
              <w:t>)</w:t>
            </w:r>
            <w:r w:rsidR="0091654D" w:rsidRPr="000A0484">
              <w:rPr>
                <w:rFonts w:ascii="Arial Narrow" w:hAnsi="Arial Narrow" w:cs="Arial"/>
                <w:sz w:val="20"/>
                <w:szCs w:val="20"/>
                <w:vertAlign w:val="superscript"/>
              </w:rPr>
              <w:t>a</w:t>
            </w:r>
          </w:p>
        </w:tc>
        <w:tc>
          <w:tcPr>
            <w:tcW w:w="1860" w:type="pct"/>
            <w:vAlign w:val="bottom"/>
          </w:tcPr>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250 mg</w:t>
            </w:r>
          </w:p>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modified release tablet</w:t>
            </w:r>
          </w:p>
        </w:tc>
        <w:tc>
          <w:tcPr>
            <w:tcW w:w="889" w:type="pct"/>
          </w:tcPr>
          <w:p w:rsidR="00B036BD" w:rsidRPr="000A0484" w:rsidRDefault="00B036BD" w:rsidP="00B036BD">
            <w:pPr>
              <w:jc w:val="center"/>
              <w:rPr>
                <w:rFonts w:ascii="Arial Narrow" w:hAnsi="Arial Narrow" w:cs="Arial"/>
                <w:sz w:val="20"/>
                <w:szCs w:val="20"/>
              </w:rPr>
            </w:pPr>
            <w:r w:rsidRPr="000A0484">
              <w:rPr>
                <w:rFonts w:ascii="Arial Narrow" w:hAnsi="Arial Narrow" w:cs="Arial"/>
                <w:sz w:val="20"/>
                <w:szCs w:val="20"/>
              </w:rPr>
              <w:t>AR (Streamlined)</w:t>
            </w:r>
          </w:p>
          <w:p w:rsidR="00B036BD" w:rsidRPr="000A0484" w:rsidRDefault="00B036BD" w:rsidP="00B036BD">
            <w:pPr>
              <w:jc w:val="center"/>
              <w:rPr>
                <w:rFonts w:ascii="Arial Narrow" w:hAnsi="Arial Narrow" w:cs="Arial"/>
                <w:sz w:val="20"/>
                <w:szCs w:val="20"/>
              </w:rPr>
            </w:pPr>
            <w:r w:rsidRPr="000A0484">
              <w:rPr>
                <w:rFonts w:ascii="Arial Narrow" w:hAnsi="Arial Narrow" w:cs="Arial"/>
                <w:sz w:val="20"/>
                <w:szCs w:val="20"/>
              </w:rPr>
              <w:t>UC and CD</w:t>
            </w:r>
          </w:p>
        </w:tc>
      </w:tr>
      <w:tr w:rsidR="00B036BD" w:rsidRPr="000A0484" w:rsidTr="00AB144A">
        <w:tc>
          <w:tcPr>
            <w:tcW w:w="936" w:type="pct"/>
          </w:tcPr>
          <w:p w:rsidR="00B036BD" w:rsidRPr="000A0484" w:rsidRDefault="00B036BD">
            <w:pPr>
              <w:rPr>
                <w:rFonts w:ascii="Arial Narrow" w:hAnsi="Arial Narrow" w:cs="Arial"/>
                <w:sz w:val="20"/>
                <w:szCs w:val="20"/>
              </w:rPr>
            </w:pPr>
            <w:r w:rsidRPr="000A0484">
              <w:rPr>
                <w:rFonts w:ascii="Arial Narrow" w:hAnsi="Arial Narrow" w:cs="Arial"/>
                <w:sz w:val="20"/>
                <w:szCs w:val="20"/>
              </w:rPr>
              <w:t>2214M</w:t>
            </w:r>
          </w:p>
        </w:tc>
        <w:tc>
          <w:tcPr>
            <w:tcW w:w="1314" w:type="pct"/>
          </w:tcPr>
          <w:p w:rsidR="00B036BD" w:rsidRPr="000A0484" w:rsidRDefault="00B036BD">
            <w:pPr>
              <w:jc w:val="center"/>
              <w:rPr>
                <w:rFonts w:ascii="Arial Narrow" w:hAnsi="Arial Narrow" w:cs="Arial"/>
                <w:sz w:val="20"/>
                <w:szCs w:val="20"/>
              </w:rPr>
            </w:pPr>
            <w:proofErr w:type="spellStart"/>
            <w:r w:rsidRPr="000A0484">
              <w:rPr>
                <w:rFonts w:ascii="Arial Narrow" w:hAnsi="Arial Narrow" w:cs="Arial"/>
                <w:sz w:val="20"/>
                <w:szCs w:val="20"/>
              </w:rPr>
              <w:t>Pentasa</w:t>
            </w:r>
            <w:proofErr w:type="spellEnd"/>
            <w:r w:rsidRPr="000A0484">
              <w:rPr>
                <w:rFonts w:ascii="Arial Narrow" w:hAnsi="Arial Narrow" w:cs="Arial"/>
                <w:sz w:val="20"/>
                <w:szCs w:val="20"/>
              </w:rPr>
              <w:t xml:space="preserve"> (</w:t>
            </w:r>
            <w:proofErr w:type="spellStart"/>
            <w:r w:rsidRPr="000A0484">
              <w:rPr>
                <w:rFonts w:ascii="Arial Narrow" w:hAnsi="Arial Narrow" w:cs="Arial"/>
                <w:sz w:val="20"/>
                <w:szCs w:val="20"/>
              </w:rPr>
              <w:t>mesalazine</w:t>
            </w:r>
            <w:proofErr w:type="spellEnd"/>
            <w:r w:rsidRPr="000A0484">
              <w:rPr>
                <w:rFonts w:ascii="Arial Narrow" w:hAnsi="Arial Narrow" w:cs="Arial"/>
                <w:sz w:val="20"/>
                <w:szCs w:val="20"/>
              </w:rPr>
              <w:t>)</w:t>
            </w:r>
          </w:p>
        </w:tc>
        <w:tc>
          <w:tcPr>
            <w:tcW w:w="1860" w:type="pct"/>
            <w:vAlign w:val="bottom"/>
          </w:tcPr>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500 mg</w:t>
            </w:r>
          </w:p>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modified release tablet</w:t>
            </w:r>
          </w:p>
        </w:tc>
        <w:tc>
          <w:tcPr>
            <w:tcW w:w="889" w:type="pct"/>
          </w:tcPr>
          <w:p w:rsidR="00B036BD" w:rsidRPr="000A0484" w:rsidRDefault="00B036BD" w:rsidP="005C22F9">
            <w:pPr>
              <w:jc w:val="center"/>
              <w:rPr>
                <w:rFonts w:ascii="Arial Narrow" w:hAnsi="Arial Narrow" w:cs="Arial"/>
                <w:sz w:val="20"/>
                <w:szCs w:val="20"/>
              </w:rPr>
            </w:pPr>
            <w:r w:rsidRPr="000A0484">
              <w:rPr>
                <w:rFonts w:ascii="Arial Narrow" w:hAnsi="Arial Narrow" w:cs="Arial"/>
                <w:sz w:val="20"/>
                <w:szCs w:val="20"/>
              </w:rPr>
              <w:t>AR (Streamlined)</w:t>
            </w:r>
          </w:p>
          <w:p w:rsidR="00B036BD" w:rsidRPr="000A0484" w:rsidRDefault="00B036BD" w:rsidP="005C22F9">
            <w:pPr>
              <w:jc w:val="center"/>
              <w:rPr>
                <w:rFonts w:ascii="Arial Narrow" w:hAnsi="Arial Narrow" w:cs="Arial"/>
                <w:sz w:val="20"/>
                <w:szCs w:val="20"/>
              </w:rPr>
            </w:pPr>
            <w:r w:rsidRPr="000A0484">
              <w:rPr>
                <w:rFonts w:ascii="Arial Narrow" w:hAnsi="Arial Narrow" w:cs="Arial"/>
                <w:sz w:val="20"/>
                <w:szCs w:val="20"/>
              </w:rPr>
              <w:t>UC and CD</w:t>
            </w:r>
          </w:p>
        </w:tc>
      </w:tr>
      <w:tr w:rsidR="00B036BD" w:rsidRPr="000A0484" w:rsidTr="00AB144A">
        <w:tc>
          <w:tcPr>
            <w:tcW w:w="936" w:type="pct"/>
          </w:tcPr>
          <w:p w:rsidR="00B036BD" w:rsidRPr="000A0484" w:rsidRDefault="00B036BD">
            <w:pPr>
              <w:rPr>
                <w:rFonts w:ascii="Arial Narrow" w:hAnsi="Arial Narrow" w:cs="Arial"/>
                <w:sz w:val="20"/>
                <w:szCs w:val="20"/>
              </w:rPr>
            </w:pPr>
            <w:r w:rsidRPr="000A0484">
              <w:rPr>
                <w:rFonts w:ascii="Arial Narrow" w:hAnsi="Arial Narrow" w:cs="Arial"/>
                <w:sz w:val="20"/>
                <w:szCs w:val="20"/>
              </w:rPr>
              <w:t>2234N</w:t>
            </w:r>
          </w:p>
        </w:tc>
        <w:tc>
          <w:tcPr>
            <w:tcW w:w="1314" w:type="pct"/>
          </w:tcPr>
          <w:p w:rsidR="00B036BD" w:rsidRPr="000A0484" w:rsidRDefault="00B036BD">
            <w:pPr>
              <w:jc w:val="center"/>
              <w:rPr>
                <w:rFonts w:ascii="Arial Narrow" w:hAnsi="Arial Narrow" w:cs="Arial"/>
                <w:sz w:val="20"/>
                <w:szCs w:val="20"/>
              </w:rPr>
            </w:pPr>
            <w:proofErr w:type="spellStart"/>
            <w:r w:rsidRPr="000A0484">
              <w:rPr>
                <w:rFonts w:ascii="Arial Narrow" w:hAnsi="Arial Narrow" w:cs="Arial"/>
                <w:sz w:val="20"/>
                <w:szCs w:val="20"/>
              </w:rPr>
              <w:t>Pentasa</w:t>
            </w:r>
            <w:proofErr w:type="spellEnd"/>
            <w:r w:rsidRPr="000A0484">
              <w:rPr>
                <w:rFonts w:ascii="Arial Narrow" w:hAnsi="Arial Narrow" w:cs="Arial"/>
                <w:sz w:val="20"/>
                <w:szCs w:val="20"/>
              </w:rPr>
              <w:t xml:space="preserve"> (</w:t>
            </w:r>
            <w:proofErr w:type="spellStart"/>
            <w:r w:rsidRPr="000A0484">
              <w:rPr>
                <w:rFonts w:ascii="Arial Narrow" w:hAnsi="Arial Narrow" w:cs="Arial"/>
                <w:sz w:val="20"/>
                <w:szCs w:val="20"/>
              </w:rPr>
              <w:t>mesalazine</w:t>
            </w:r>
            <w:proofErr w:type="spellEnd"/>
            <w:r w:rsidRPr="000A0484">
              <w:rPr>
                <w:rFonts w:ascii="Arial Narrow" w:hAnsi="Arial Narrow" w:cs="Arial"/>
                <w:sz w:val="20"/>
                <w:szCs w:val="20"/>
              </w:rPr>
              <w:t>)</w:t>
            </w:r>
          </w:p>
        </w:tc>
        <w:tc>
          <w:tcPr>
            <w:tcW w:w="1860" w:type="pct"/>
            <w:vAlign w:val="bottom"/>
          </w:tcPr>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1 g</w:t>
            </w:r>
          </w:p>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modified release granules</w:t>
            </w:r>
          </w:p>
        </w:tc>
        <w:tc>
          <w:tcPr>
            <w:tcW w:w="889" w:type="pct"/>
          </w:tcPr>
          <w:p w:rsidR="00B036BD" w:rsidRPr="000A0484" w:rsidRDefault="00B036BD" w:rsidP="005C22F9">
            <w:pPr>
              <w:jc w:val="center"/>
              <w:rPr>
                <w:rFonts w:ascii="Arial Narrow" w:hAnsi="Arial Narrow" w:cs="Arial"/>
                <w:sz w:val="20"/>
                <w:szCs w:val="20"/>
              </w:rPr>
            </w:pPr>
            <w:r w:rsidRPr="000A0484">
              <w:rPr>
                <w:rFonts w:ascii="Arial Narrow" w:hAnsi="Arial Narrow" w:cs="Arial"/>
                <w:sz w:val="20"/>
                <w:szCs w:val="20"/>
              </w:rPr>
              <w:t>AR (Streamlined)</w:t>
            </w:r>
          </w:p>
          <w:p w:rsidR="00B036BD" w:rsidRPr="000A0484" w:rsidRDefault="00B036BD" w:rsidP="005C22F9">
            <w:pPr>
              <w:jc w:val="center"/>
              <w:rPr>
                <w:rFonts w:ascii="Arial Narrow" w:hAnsi="Arial Narrow" w:cs="Arial"/>
                <w:sz w:val="20"/>
                <w:szCs w:val="20"/>
              </w:rPr>
            </w:pPr>
            <w:r w:rsidRPr="000A0484">
              <w:rPr>
                <w:rFonts w:ascii="Arial Narrow" w:hAnsi="Arial Narrow" w:cs="Arial"/>
                <w:sz w:val="20"/>
                <w:szCs w:val="20"/>
              </w:rPr>
              <w:t>UC and CD</w:t>
            </w:r>
          </w:p>
        </w:tc>
      </w:tr>
      <w:tr w:rsidR="00B036BD" w:rsidRPr="000A0484" w:rsidTr="00AB144A">
        <w:tc>
          <w:tcPr>
            <w:tcW w:w="936" w:type="pct"/>
          </w:tcPr>
          <w:p w:rsidR="00B036BD" w:rsidRPr="000A0484" w:rsidRDefault="00B036BD">
            <w:pPr>
              <w:rPr>
                <w:rFonts w:ascii="Arial Narrow" w:hAnsi="Arial Narrow" w:cs="Arial"/>
                <w:sz w:val="20"/>
                <w:szCs w:val="20"/>
              </w:rPr>
            </w:pPr>
            <w:r w:rsidRPr="000A0484">
              <w:rPr>
                <w:rFonts w:ascii="Arial Narrow" w:hAnsi="Arial Narrow" w:cs="Arial"/>
                <w:sz w:val="20"/>
                <w:szCs w:val="20"/>
              </w:rPr>
              <w:t>2287J</w:t>
            </w:r>
          </w:p>
        </w:tc>
        <w:tc>
          <w:tcPr>
            <w:tcW w:w="1314" w:type="pct"/>
          </w:tcPr>
          <w:p w:rsidR="00B036BD" w:rsidRPr="000A0484" w:rsidRDefault="00B036BD">
            <w:pPr>
              <w:jc w:val="center"/>
              <w:rPr>
                <w:rFonts w:ascii="Arial Narrow" w:hAnsi="Arial Narrow" w:cs="Arial"/>
                <w:sz w:val="20"/>
                <w:szCs w:val="20"/>
              </w:rPr>
            </w:pPr>
            <w:proofErr w:type="spellStart"/>
            <w:r w:rsidRPr="000A0484">
              <w:rPr>
                <w:rFonts w:ascii="Arial Narrow" w:hAnsi="Arial Narrow" w:cs="Arial"/>
                <w:sz w:val="20"/>
                <w:szCs w:val="20"/>
              </w:rPr>
              <w:t>Pentasa</w:t>
            </w:r>
            <w:proofErr w:type="spellEnd"/>
            <w:r w:rsidRPr="000A0484">
              <w:rPr>
                <w:rFonts w:ascii="Arial Narrow" w:hAnsi="Arial Narrow" w:cs="Arial"/>
                <w:sz w:val="20"/>
                <w:szCs w:val="20"/>
              </w:rPr>
              <w:t xml:space="preserve"> (</w:t>
            </w:r>
            <w:proofErr w:type="spellStart"/>
            <w:r w:rsidRPr="000A0484">
              <w:rPr>
                <w:rFonts w:ascii="Arial Narrow" w:hAnsi="Arial Narrow" w:cs="Arial"/>
                <w:sz w:val="20"/>
                <w:szCs w:val="20"/>
              </w:rPr>
              <w:t>mesalazine</w:t>
            </w:r>
            <w:proofErr w:type="spellEnd"/>
            <w:r w:rsidRPr="000A0484">
              <w:rPr>
                <w:rFonts w:ascii="Arial Narrow" w:hAnsi="Arial Narrow" w:cs="Arial"/>
                <w:sz w:val="20"/>
                <w:szCs w:val="20"/>
              </w:rPr>
              <w:t>)</w:t>
            </w:r>
          </w:p>
        </w:tc>
        <w:tc>
          <w:tcPr>
            <w:tcW w:w="1860" w:type="pct"/>
            <w:vAlign w:val="bottom"/>
          </w:tcPr>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2 g</w:t>
            </w:r>
          </w:p>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modified release granules</w:t>
            </w:r>
          </w:p>
        </w:tc>
        <w:tc>
          <w:tcPr>
            <w:tcW w:w="889" w:type="pct"/>
          </w:tcPr>
          <w:p w:rsidR="00B036BD" w:rsidRPr="000A0484" w:rsidRDefault="00B036BD" w:rsidP="005C22F9">
            <w:pPr>
              <w:jc w:val="center"/>
              <w:rPr>
                <w:rFonts w:ascii="Arial Narrow" w:hAnsi="Arial Narrow" w:cs="Arial"/>
                <w:sz w:val="20"/>
                <w:szCs w:val="20"/>
              </w:rPr>
            </w:pPr>
            <w:r w:rsidRPr="000A0484">
              <w:rPr>
                <w:rFonts w:ascii="Arial Narrow" w:hAnsi="Arial Narrow" w:cs="Arial"/>
                <w:sz w:val="20"/>
                <w:szCs w:val="20"/>
              </w:rPr>
              <w:t>AR (Streamlined)</w:t>
            </w:r>
          </w:p>
          <w:p w:rsidR="00B036BD" w:rsidRPr="000A0484" w:rsidRDefault="00B036BD" w:rsidP="005C22F9">
            <w:pPr>
              <w:jc w:val="center"/>
              <w:rPr>
                <w:rFonts w:ascii="Arial Narrow" w:hAnsi="Arial Narrow" w:cs="Arial"/>
                <w:sz w:val="20"/>
                <w:szCs w:val="20"/>
              </w:rPr>
            </w:pPr>
            <w:r w:rsidRPr="000A0484">
              <w:rPr>
                <w:rFonts w:ascii="Arial Narrow" w:hAnsi="Arial Narrow" w:cs="Arial"/>
                <w:sz w:val="20"/>
                <w:szCs w:val="20"/>
              </w:rPr>
              <w:t>UC and CD</w:t>
            </w:r>
          </w:p>
        </w:tc>
      </w:tr>
      <w:tr w:rsidR="00B036BD" w:rsidRPr="000A0484" w:rsidTr="00AB144A">
        <w:tc>
          <w:tcPr>
            <w:tcW w:w="936" w:type="pct"/>
          </w:tcPr>
          <w:p w:rsidR="00B036BD" w:rsidRPr="000A0484" w:rsidRDefault="00B036BD">
            <w:pPr>
              <w:rPr>
                <w:rFonts w:ascii="Arial Narrow" w:hAnsi="Arial Narrow" w:cs="Arial"/>
                <w:sz w:val="20"/>
                <w:szCs w:val="20"/>
              </w:rPr>
            </w:pPr>
            <w:r w:rsidRPr="000A0484">
              <w:rPr>
                <w:rFonts w:ascii="Arial Narrow" w:hAnsi="Arial Narrow" w:cs="Arial"/>
                <w:sz w:val="20"/>
                <w:szCs w:val="20"/>
              </w:rPr>
              <w:t>3413P</w:t>
            </w:r>
          </w:p>
        </w:tc>
        <w:tc>
          <w:tcPr>
            <w:tcW w:w="1314" w:type="pct"/>
          </w:tcPr>
          <w:p w:rsidR="00B036BD" w:rsidRPr="000A0484" w:rsidRDefault="00B036BD">
            <w:pPr>
              <w:jc w:val="center"/>
              <w:rPr>
                <w:rFonts w:ascii="Arial Narrow" w:hAnsi="Arial Narrow" w:cs="Arial"/>
                <w:sz w:val="20"/>
                <w:szCs w:val="20"/>
              </w:rPr>
            </w:pPr>
            <w:proofErr w:type="spellStart"/>
            <w:r w:rsidRPr="000A0484">
              <w:rPr>
                <w:rFonts w:ascii="Arial Narrow" w:hAnsi="Arial Narrow" w:cs="Arial"/>
                <w:sz w:val="20"/>
                <w:szCs w:val="20"/>
              </w:rPr>
              <w:t>Pentasa</w:t>
            </w:r>
            <w:proofErr w:type="spellEnd"/>
            <w:r w:rsidRPr="000A0484">
              <w:rPr>
                <w:rFonts w:ascii="Arial Narrow" w:hAnsi="Arial Narrow" w:cs="Arial"/>
                <w:sz w:val="20"/>
                <w:szCs w:val="20"/>
              </w:rPr>
              <w:t xml:space="preserve"> (</w:t>
            </w:r>
            <w:proofErr w:type="spellStart"/>
            <w:r w:rsidRPr="000A0484">
              <w:rPr>
                <w:rFonts w:ascii="Arial Narrow" w:hAnsi="Arial Narrow" w:cs="Arial"/>
                <w:sz w:val="20"/>
                <w:szCs w:val="20"/>
              </w:rPr>
              <w:t>mesalazine</w:t>
            </w:r>
            <w:proofErr w:type="spellEnd"/>
            <w:r w:rsidRPr="000A0484">
              <w:rPr>
                <w:rFonts w:ascii="Arial Narrow" w:hAnsi="Arial Narrow" w:cs="Arial"/>
                <w:sz w:val="20"/>
                <w:szCs w:val="20"/>
              </w:rPr>
              <w:t>)</w:t>
            </w:r>
          </w:p>
        </w:tc>
        <w:tc>
          <w:tcPr>
            <w:tcW w:w="1860" w:type="pct"/>
            <w:vAlign w:val="bottom"/>
          </w:tcPr>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1 g</w:t>
            </w:r>
          </w:p>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modified release tablet</w:t>
            </w:r>
          </w:p>
        </w:tc>
        <w:tc>
          <w:tcPr>
            <w:tcW w:w="889" w:type="pct"/>
          </w:tcPr>
          <w:p w:rsidR="00B036BD" w:rsidRPr="000A0484" w:rsidRDefault="00B036BD" w:rsidP="005C22F9">
            <w:pPr>
              <w:jc w:val="center"/>
              <w:rPr>
                <w:rFonts w:ascii="Arial Narrow" w:hAnsi="Arial Narrow" w:cs="Arial"/>
                <w:sz w:val="20"/>
                <w:szCs w:val="20"/>
              </w:rPr>
            </w:pPr>
            <w:r w:rsidRPr="000A0484">
              <w:rPr>
                <w:rFonts w:ascii="Arial Narrow" w:hAnsi="Arial Narrow" w:cs="Arial"/>
                <w:sz w:val="20"/>
                <w:szCs w:val="20"/>
              </w:rPr>
              <w:t>AR (Streamlined)</w:t>
            </w:r>
          </w:p>
          <w:p w:rsidR="00B036BD" w:rsidRPr="000A0484" w:rsidRDefault="00B036BD" w:rsidP="005C22F9">
            <w:pPr>
              <w:jc w:val="center"/>
              <w:rPr>
                <w:rFonts w:ascii="Arial Narrow" w:hAnsi="Arial Narrow" w:cs="Arial"/>
                <w:sz w:val="20"/>
                <w:szCs w:val="20"/>
              </w:rPr>
            </w:pPr>
            <w:r w:rsidRPr="000A0484">
              <w:rPr>
                <w:rFonts w:ascii="Arial Narrow" w:hAnsi="Arial Narrow" w:cs="Arial"/>
                <w:sz w:val="20"/>
                <w:szCs w:val="20"/>
              </w:rPr>
              <w:t>UC and CD</w:t>
            </w:r>
          </w:p>
        </w:tc>
      </w:tr>
      <w:tr w:rsidR="00B036BD" w:rsidRPr="000A0484" w:rsidTr="00AB144A">
        <w:tc>
          <w:tcPr>
            <w:tcW w:w="936" w:type="pct"/>
          </w:tcPr>
          <w:p w:rsidR="00B036BD" w:rsidRPr="000A0484" w:rsidRDefault="00B036BD">
            <w:pPr>
              <w:rPr>
                <w:rFonts w:ascii="Arial Narrow" w:hAnsi="Arial Narrow" w:cs="Arial"/>
                <w:sz w:val="20"/>
                <w:szCs w:val="20"/>
              </w:rPr>
            </w:pPr>
            <w:r w:rsidRPr="000A0484">
              <w:rPr>
                <w:rFonts w:ascii="Arial Narrow" w:hAnsi="Arial Narrow" w:cs="Arial"/>
                <w:sz w:val="20"/>
                <w:szCs w:val="20"/>
              </w:rPr>
              <w:t>8731M</w:t>
            </w:r>
          </w:p>
        </w:tc>
        <w:tc>
          <w:tcPr>
            <w:tcW w:w="1314" w:type="pct"/>
          </w:tcPr>
          <w:p w:rsidR="00B036BD" w:rsidRPr="000A0484" w:rsidRDefault="00B036BD">
            <w:pPr>
              <w:jc w:val="center"/>
              <w:rPr>
                <w:rFonts w:ascii="Arial Narrow" w:hAnsi="Arial Narrow" w:cs="Arial"/>
                <w:sz w:val="20"/>
                <w:szCs w:val="20"/>
              </w:rPr>
            </w:pPr>
            <w:proofErr w:type="spellStart"/>
            <w:r w:rsidRPr="000A0484">
              <w:rPr>
                <w:rFonts w:ascii="Arial Narrow" w:hAnsi="Arial Narrow" w:cs="Arial"/>
                <w:sz w:val="20"/>
                <w:szCs w:val="20"/>
              </w:rPr>
              <w:t>Salofalk</w:t>
            </w:r>
            <w:proofErr w:type="spellEnd"/>
            <w:r w:rsidRPr="000A0484">
              <w:rPr>
                <w:rFonts w:ascii="Arial Narrow" w:hAnsi="Arial Narrow" w:cs="Arial"/>
                <w:sz w:val="20"/>
                <w:szCs w:val="20"/>
              </w:rPr>
              <w:t xml:space="preserve"> (</w:t>
            </w:r>
            <w:proofErr w:type="spellStart"/>
            <w:r w:rsidRPr="000A0484">
              <w:rPr>
                <w:rFonts w:ascii="Arial Narrow" w:hAnsi="Arial Narrow" w:cs="Arial"/>
                <w:sz w:val="20"/>
                <w:szCs w:val="20"/>
              </w:rPr>
              <w:t>mesalazine</w:t>
            </w:r>
            <w:proofErr w:type="spellEnd"/>
            <w:r w:rsidRPr="000A0484">
              <w:rPr>
                <w:rFonts w:ascii="Arial Narrow" w:hAnsi="Arial Narrow" w:cs="Arial"/>
                <w:sz w:val="20"/>
                <w:szCs w:val="20"/>
              </w:rPr>
              <w:t>)</w:t>
            </w:r>
          </w:p>
        </w:tc>
        <w:tc>
          <w:tcPr>
            <w:tcW w:w="1860" w:type="pct"/>
            <w:vAlign w:val="bottom"/>
          </w:tcPr>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500 mg</w:t>
            </w:r>
          </w:p>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enteric tablet</w:t>
            </w:r>
          </w:p>
        </w:tc>
        <w:tc>
          <w:tcPr>
            <w:tcW w:w="889" w:type="pct"/>
          </w:tcPr>
          <w:p w:rsidR="00B036BD" w:rsidRPr="000A0484" w:rsidRDefault="00B036BD" w:rsidP="005C22F9">
            <w:pPr>
              <w:jc w:val="center"/>
              <w:rPr>
                <w:rFonts w:ascii="Arial Narrow" w:hAnsi="Arial Narrow" w:cs="Arial"/>
                <w:sz w:val="20"/>
                <w:szCs w:val="20"/>
              </w:rPr>
            </w:pPr>
            <w:r w:rsidRPr="000A0484">
              <w:rPr>
                <w:rFonts w:ascii="Arial Narrow" w:hAnsi="Arial Narrow" w:cs="Arial"/>
                <w:sz w:val="20"/>
                <w:szCs w:val="20"/>
              </w:rPr>
              <w:t>AR (Streamlined)</w:t>
            </w:r>
          </w:p>
          <w:p w:rsidR="00B036BD" w:rsidRPr="000A0484" w:rsidRDefault="00B036BD" w:rsidP="005C22F9">
            <w:pPr>
              <w:jc w:val="center"/>
              <w:rPr>
                <w:rFonts w:ascii="Arial Narrow" w:hAnsi="Arial Narrow" w:cs="Arial"/>
                <w:sz w:val="20"/>
                <w:szCs w:val="20"/>
              </w:rPr>
            </w:pPr>
            <w:r w:rsidRPr="000A0484">
              <w:rPr>
                <w:rFonts w:ascii="Arial Narrow" w:hAnsi="Arial Narrow" w:cs="Arial"/>
                <w:sz w:val="20"/>
                <w:szCs w:val="20"/>
              </w:rPr>
              <w:t>UC and CD</w:t>
            </w:r>
          </w:p>
        </w:tc>
      </w:tr>
      <w:tr w:rsidR="00B036BD" w:rsidRPr="000A0484" w:rsidTr="00AB144A">
        <w:tc>
          <w:tcPr>
            <w:tcW w:w="936" w:type="pct"/>
          </w:tcPr>
          <w:p w:rsidR="00B036BD" w:rsidRPr="000A0484" w:rsidRDefault="00B036BD">
            <w:pPr>
              <w:rPr>
                <w:rFonts w:ascii="Arial Narrow" w:hAnsi="Arial Narrow" w:cs="Arial"/>
                <w:sz w:val="20"/>
                <w:szCs w:val="20"/>
              </w:rPr>
            </w:pPr>
            <w:r w:rsidRPr="000A0484">
              <w:rPr>
                <w:rFonts w:ascii="Arial Narrow" w:hAnsi="Arial Narrow" w:cs="Arial"/>
                <w:sz w:val="20"/>
                <w:szCs w:val="20"/>
              </w:rPr>
              <w:t>1916W</w:t>
            </w:r>
          </w:p>
        </w:tc>
        <w:tc>
          <w:tcPr>
            <w:tcW w:w="1314" w:type="pct"/>
          </w:tcPr>
          <w:p w:rsidR="00B036BD" w:rsidRPr="000A0484" w:rsidRDefault="00B036BD">
            <w:pPr>
              <w:jc w:val="center"/>
              <w:rPr>
                <w:rFonts w:ascii="Arial Narrow" w:hAnsi="Arial Narrow" w:cs="Arial"/>
                <w:sz w:val="20"/>
                <w:szCs w:val="20"/>
              </w:rPr>
            </w:pPr>
            <w:proofErr w:type="spellStart"/>
            <w:r w:rsidRPr="000A0484">
              <w:rPr>
                <w:rFonts w:ascii="Arial Narrow" w:hAnsi="Arial Narrow" w:cs="Arial"/>
                <w:sz w:val="20"/>
                <w:szCs w:val="20"/>
              </w:rPr>
              <w:t>Panafcortelone</w:t>
            </w:r>
            <w:proofErr w:type="spellEnd"/>
            <w:r w:rsidRPr="000A0484">
              <w:rPr>
                <w:rFonts w:ascii="Arial Narrow" w:hAnsi="Arial Narrow" w:cs="Arial"/>
                <w:sz w:val="20"/>
                <w:szCs w:val="20"/>
              </w:rPr>
              <w:t>/</w:t>
            </w:r>
            <w:proofErr w:type="spellStart"/>
            <w:r w:rsidRPr="000A0484">
              <w:rPr>
                <w:rFonts w:ascii="Arial Narrow" w:hAnsi="Arial Narrow" w:cs="Arial"/>
                <w:sz w:val="20"/>
                <w:szCs w:val="20"/>
              </w:rPr>
              <w:t>Solone</w:t>
            </w:r>
            <w:proofErr w:type="spellEnd"/>
            <w:r w:rsidRPr="000A0484">
              <w:rPr>
                <w:rFonts w:ascii="Arial Narrow" w:hAnsi="Arial Narrow" w:cs="Arial"/>
                <w:sz w:val="20"/>
                <w:szCs w:val="20"/>
              </w:rPr>
              <w:t xml:space="preserve"> (prednisolone)</w:t>
            </w:r>
          </w:p>
        </w:tc>
        <w:tc>
          <w:tcPr>
            <w:tcW w:w="1860" w:type="pct"/>
            <w:vAlign w:val="bottom"/>
          </w:tcPr>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25 mg</w:t>
            </w:r>
          </w:p>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tablet</w:t>
            </w:r>
          </w:p>
        </w:tc>
        <w:tc>
          <w:tcPr>
            <w:tcW w:w="889" w:type="pct"/>
          </w:tcPr>
          <w:p w:rsidR="00B036BD" w:rsidRPr="000A0484" w:rsidRDefault="00B036BD" w:rsidP="00EA78C4">
            <w:pPr>
              <w:pStyle w:val="ListParagraph"/>
              <w:widowControl/>
              <w:spacing w:after="120"/>
              <w:ind w:left="0"/>
              <w:contextualSpacing w:val="0"/>
              <w:jc w:val="center"/>
              <w:rPr>
                <w:rFonts w:ascii="Arial Narrow" w:hAnsi="Arial Narrow"/>
                <w:sz w:val="20"/>
              </w:rPr>
            </w:pPr>
            <w:r w:rsidRPr="000A0484">
              <w:rPr>
                <w:rFonts w:ascii="Arial Narrow" w:hAnsi="Arial Narrow"/>
                <w:sz w:val="20"/>
              </w:rPr>
              <w:t>Unrestricted</w:t>
            </w:r>
          </w:p>
        </w:tc>
      </w:tr>
      <w:tr w:rsidR="00B036BD" w:rsidRPr="000A0484" w:rsidTr="00AB144A">
        <w:tc>
          <w:tcPr>
            <w:tcW w:w="936" w:type="pct"/>
          </w:tcPr>
          <w:p w:rsidR="00B036BD" w:rsidRPr="000A0484" w:rsidRDefault="00B036BD">
            <w:pPr>
              <w:rPr>
                <w:rFonts w:ascii="Arial Narrow" w:hAnsi="Arial Narrow" w:cs="Arial"/>
                <w:sz w:val="20"/>
                <w:szCs w:val="20"/>
              </w:rPr>
            </w:pPr>
            <w:r w:rsidRPr="000A0484">
              <w:rPr>
                <w:rFonts w:ascii="Arial Narrow" w:hAnsi="Arial Narrow" w:cs="Arial"/>
                <w:sz w:val="20"/>
                <w:szCs w:val="20"/>
              </w:rPr>
              <w:t>1917X</w:t>
            </w:r>
          </w:p>
        </w:tc>
        <w:tc>
          <w:tcPr>
            <w:tcW w:w="1314" w:type="pct"/>
          </w:tcPr>
          <w:p w:rsidR="00B036BD" w:rsidRPr="000A0484" w:rsidRDefault="00B036BD">
            <w:pPr>
              <w:jc w:val="center"/>
              <w:rPr>
                <w:rFonts w:ascii="Arial Narrow" w:hAnsi="Arial Narrow" w:cs="Arial"/>
                <w:sz w:val="20"/>
                <w:szCs w:val="20"/>
              </w:rPr>
            </w:pPr>
            <w:proofErr w:type="spellStart"/>
            <w:r w:rsidRPr="000A0484">
              <w:rPr>
                <w:rFonts w:ascii="Arial Narrow" w:hAnsi="Arial Narrow" w:cs="Arial"/>
                <w:sz w:val="20"/>
                <w:szCs w:val="20"/>
              </w:rPr>
              <w:t>Panafcortelone</w:t>
            </w:r>
            <w:proofErr w:type="spellEnd"/>
            <w:r w:rsidRPr="000A0484">
              <w:rPr>
                <w:rFonts w:ascii="Arial Narrow" w:hAnsi="Arial Narrow" w:cs="Arial"/>
                <w:sz w:val="20"/>
                <w:szCs w:val="20"/>
              </w:rPr>
              <w:t>/</w:t>
            </w:r>
            <w:proofErr w:type="spellStart"/>
            <w:r w:rsidRPr="000A0484">
              <w:rPr>
                <w:rFonts w:ascii="Arial Narrow" w:hAnsi="Arial Narrow" w:cs="Arial"/>
                <w:sz w:val="20"/>
                <w:szCs w:val="20"/>
              </w:rPr>
              <w:t>Solone</w:t>
            </w:r>
            <w:proofErr w:type="spellEnd"/>
            <w:r w:rsidRPr="000A0484">
              <w:rPr>
                <w:rFonts w:ascii="Arial Narrow" w:hAnsi="Arial Narrow" w:cs="Arial"/>
                <w:sz w:val="20"/>
                <w:szCs w:val="20"/>
              </w:rPr>
              <w:t xml:space="preserve"> (prednisolone)</w:t>
            </w:r>
          </w:p>
        </w:tc>
        <w:tc>
          <w:tcPr>
            <w:tcW w:w="1860" w:type="pct"/>
            <w:vAlign w:val="bottom"/>
          </w:tcPr>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5 mg</w:t>
            </w:r>
          </w:p>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tablet</w:t>
            </w:r>
          </w:p>
        </w:tc>
        <w:tc>
          <w:tcPr>
            <w:tcW w:w="889" w:type="pct"/>
          </w:tcPr>
          <w:p w:rsidR="00B036BD" w:rsidRPr="000A0484" w:rsidRDefault="00B036BD" w:rsidP="00EA78C4">
            <w:pPr>
              <w:pStyle w:val="ListParagraph"/>
              <w:widowControl/>
              <w:spacing w:after="120"/>
              <w:ind w:left="0"/>
              <w:contextualSpacing w:val="0"/>
              <w:jc w:val="center"/>
              <w:rPr>
                <w:rFonts w:ascii="Arial Narrow" w:hAnsi="Arial Narrow"/>
                <w:sz w:val="20"/>
              </w:rPr>
            </w:pPr>
            <w:r w:rsidRPr="000A0484">
              <w:rPr>
                <w:rFonts w:ascii="Arial Narrow" w:hAnsi="Arial Narrow"/>
                <w:sz w:val="20"/>
              </w:rPr>
              <w:t>Unrestricted</w:t>
            </w:r>
          </w:p>
        </w:tc>
      </w:tr>
      <w:tr w:rsidR="00B036BD" w:rsidRPr="000A0484" w:rsidTr="00AB144A">
        <w:tc>
          <w:tcPr>
            <w:tcW w:w="936" w:type="pct"/>
          </w:tcPr>
          <w:p w:rsidR="00B036BD" w:rsidRPr="000A0484" w:rsidRDefault="00B036BD">
            <w:pPr>
              <w:rPr>
                <w:rFonts w:ascii="Arial Narrow" w:hAnsi="Arial Narrow" w:cs="Arial"/>
                <w:sz w:val="20"/>
                <w:szCs w:val="20"/>
              </w:rPr>
            </w:pPr>
            <w:r w:rsidRPr="000A0484">
              <w:rPr>
                <w:rFonts w:ascii="Arial Narrow" w:hAnsi="Arial Narrow" w:cs="Arial"/>
                <w:sz w:val="20"/>
                <w:szCs w:val="20"/>
              </w:rPr>
              <w:t>3152X</w:t>
            </w:r>
          </w:p>
        </w:tc>
        <w:tc>
          <w:tcPr>
            <w:tcW w:w="1314" w:type="pct"/>
          </w:tcPr>
          <w:p w:rsidR="00B036BD" w:rsidRPr="000A0484" w:rsidRDefault="00B036BD">
            <w:pPr>
              <w:jc w:val="center"/>
              <w:rPr>
                <w:rFonts w:ascii="Arial Narrow" w:hAnsi="Arial Narrow" w:cs="Arial"/>
                <w:sz w:val="20"/>
                <w:szCs w:val="20"/>
              </w:rPr>
            </w:pPr>
            <w:proofErr w:type="spellStart"/>
            <w:r w:rsidRPr="000A0484">
              <w:rPr>
                <w:rFonts w:ascii="Arial Narrow" w:hAnsi="Arial Narrow" w:cs="Arial"/>
                <w:sz w:val="20"/>
                <w:szCs w:val="20"/>
              </w:rPr>
              <w:t>Panafcortelone</w:t>
            </w:r>
            <w:proofErr w:type="spellEnd"/>
            <w:r w:rsidRPr="000A0484">
              <w:rPr>
                <w:rFonts w:ascii="Arial Narrow" w:hAnsi="Arial Narrow" w:cs="Arial"/>
                <w:sz w:val="20"/>
                <w:szCs w:val="20"/>
              </w:rPr>
              <w:t>/</w:t>
            </w:r>
            <w:proofErr w:type="spellStart"/>
            <w:r w:rsidRPr="000A0484">
              <w:rPr>
                <w:rFonts w:ascii="Arial Narrow" w:hAnsi="Arial Narrow" w:cs="Arial"/>
                <w:sz w:val="20"/>
                <w:szCs w:val="20"/>
              </w:rPr>
              <w:t>Predsolone</w:t>
            </w:r>
            <w:proofErr w:type="spellEnd"/>
            <w:r w:rsidRPr="000A0484">
              <w:rPr>
                <w:rFonts w:ascii="Arial Narrow" w:hAnsi="Arial Narrow" w:cs="Arial"/>
                <w:sz w:val="20"/>
                <w:szCs w:val="20"/>
              </w:rPr>
              <w:t xml:space="preserve"> (prednisolone)</w:t>
            </w:r>
          </w:p>
        </w:tc>
        <w:tc>
          <w:tcPr>
            <w:tcW w:w="1860" w:type="pct"/>
            <w:vAlign w:val="bottom"/>
          </w:tcPr>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1 mg</w:t>
            </w:r>
          </w:p>
          <w:p w:rsidR="00B036BD" w:rsidRPr="000A0484" w:rsidRDefault="00B036BD">
            <w:pPr>
              <w:jc w:val="center"/>
              <w:rPr>
                <w:rFonts w:ascii="Arial Narrow" w:hAnsi="Arial Narrow" w:cs="Arial"/>
                <w:sz w:val="20"/>
                <w:szCs w:val="20"/>
              </w:rPr>
            </w:pPr>
            <w:r w:rsidRPr="000A0484">
              <w:rPr>
                <w:rFonts w:ascii="Arial Narrow" w:hAnsi="Arial Narrow" w:cs="Arial"/>
                <w:sz w:val="20"/>
                <w:szCs w:val="20"/>
              </w:rPr>
              <w:t>tablet</w:t>
            </w:r>
          </w:p>
        </w:tc>
        <w:tc>
          <w:tcPr>
            <w:tcW w:w="889" w:type="pct"/>
          </w:tcPr>
          <w:p w:rsidR="00B036BD" w:rsidRPr="000A0484" w:rsidRDefault="00B036BD" w:rsidP="00EA78C4">
            <w:pPr>
              <w:jc w:val="center"/>
              <w:rPr>
                <w:rFonts w:ascii="Arial Narrow" w:hAnsi="Arial Narrow" w:cs="Arial"/>
                <w:sz w:val="20"/>
                <w:szCs w:val="20"/>
              </w:rPr>
            </w:pPr>
            <w:r w:rsidRPr="000A0484">
              <w:rPr>
                <w:rFonts w:ascii="Arial Narrow" w:hAnsi="Arial Narrow"/>
                <w:sz w:val="20"/>
              </w:rPr>
              <w:t>Unrestricted</w:t>
            </w:r>
          </w:p>
        </w:tc>
      </w:tr>
    </w:tbl>
    <w:p w:rsidR="006C451E" w:rsidRPr="0084543F" w:rsidRDefault="0091654D" w:rsidP="0084543F">
      <w:pPr>
        <w:rPr>
          <w:rFonts w:ascii="Arial Narrow" w:hAnsi="Arial Narrow"/>
          <w:sz w:val="20"/>
        </w:rPr>
      </w:pPr>
      <w:proofErr w:type="gramStart"/>
      <w:r w:rsidRPr="0084543F">
        <w:rPr>
          <w:rFonts w:ascii="Arial Narrow" w:hAnsi="Arial Narrow"/>
          <w:sz w:val="20"/>
          <w:vertAlign w:val="superscript"/>
        </w:rPr>
        <w:t>a</w:t>
      </w:r>
      <w:proofErr w:type="gramEnd"/>
      <w:r w:rsidR="006C451E" w:rsidRPr="0084543F">
        <w:rPr>
          <w:rFonts w:ascii="Arial Narrow" w:hAnsi="Arial Narrow"/>
          <w:sz w:val="20"/>
        </w:rPr>
        <w:t xml:space="preserve"> </w:t>
      </w:r>
      <w:proofErr w:type="spellStart"/>
      <w:r w:rsidR="006C451E" w:rsidRPr="0084543F">
        <w:rPr>
          <w:rFonts w:ascii="Arial Narrow" w:hAnsi="Arial Narrow"/>
          <w:sz w:val="20"/>
        </w:rPr>
        <w:t>Mes</w:t>
      </w:r>
      <w:r w:rsidR="00307878" w:rsidRPr="0084543F">
        <w:rPr>
          <w:rFonts w:ascii="Arial Narrow" w:hAnsi="Arial Narrow"/>
          <w:sz w:val="20"/>
        </w:rPr>
        <w:t>a</w:t>
      </w:r>
      <w:r w:rsidR="006C451E" w:rsidRPr="0084543F">
        <w:rPr>
          <w:rFonts w:ascii="Arial Narrow" w:hAnsi="Arial Narrow"/>
          <w:sz w:val="20"/>
        </w:rPr>
        <w:t>sal</w:t>
      </w:r>
      <w:proofErr w:type="spellEnd"/>
      <w:r w:rsidR="006C451E" w:rsidRPr="0084543F">
        <w:rPr>
          <w:rFonts w:ascii="Arial Narrow" w:hAnsi="Arial Narrow"/>
          <w:sz w:val="20"/>
        </w:rPr>
        <w:t xml:space="preserve"> </w:t>
      </w:r>
      <w:r w:rsidRPr="0084543F">
        <w:rPr>
          <w:rFonts w:ascii="Arial Narrow" w:hAnsi="Arial Narrow"/>
          <w:sz w:val="20"/>
        </w:rPr>
        <w:t xml:space="preserve">was included in the November 2017 submission but excluded from the </w:t>
      </w:r>
      <w:r w:rsidR="00FD63CE" w:rsidRPr="0084543F">
        <w:rPr>
          <w:rFonts w:ascii="Arial Narrow" w:hAnsi="Arial Narrow"/>
          <w:sz w:val="20"/>
        </w:rPr>
        <w:t xml:space="preserve">minor </w:t>
      </w:r>
      <w:r w:rsidRPr="0084543F">
        <w:rPr>
          <w:rFonts w:ascii="Arial Narrow" w:hAnsi="Arial Narrow"/>
          <w:sz w:val="20"/>
        </w:rPr>
        <w:t xml:space="preserve">resubmission based on feedback that it </w:t>
      </w:r>
      <w:r w:rsidR="006C451E" w:rsidRPr="0084543F">
        <w:rPr>
          <w:rFonts w:ascii="Arial Narrow" w:hAnsi="Arial Narrow"/>
          <w:sz w:val="20"/>
        </w:rPr>
        <w:t>is unlikely to be substituted with budesonide as the PI does not recommend doses above 1.5 g/day</w:t>
      </w:r>
      <w:r w:rsidRPr="0084543F">
        <w:rPr>
          <w:rFonts w:ascii="Arial Narrow" w:hAnsi="Arial Narrow"/>
          <w:sz w:val="20"/>
        </w:rPr>
        <w:t xml:space="preserve"> (paragraph 6.3</w:t>
      </w:r>
      <w:r w:rsidR="001A6A10" w:rsidRPr="0084543F">
        <w:rPr>
          <w:rFonts w:ascii="Arial Narrow" w:hAnsi="Arial Narrow"/>
          <w:sz w:val="20"/>
        </w:rPr>
        <w:t>4</w:t>
      </w:r>
      <w:r w:rsidRPr="0084543F">
        <w:rPr>
          <w:rFonts w:ascii="Arial Narrow" w:hAnsi="Arial Narrow"/>
          <w:sz w:val="20"/>
        </w:rPr>
        <w:t>, budesonide PSD, November 2017)</w:t>
      </w:r>
      <w:r w:rsidR="006C451E" w:rsidRPr="0084543F">
        <w:rPr>
          <w:rFonts w:ascii="Arial Narrow" w:hAnsi="Arial Narrow"/>
          <w:sz w:val="20"/>
        </w:rPr>
        <w:t>.</w:t>
      </w:r>
    </w:p>
    <w:p w:rsidR="008C5E50" w:rsidRPr="0084543F" w:rsidRDefault="00B036BD" w:rsidP="0084543F">
      <w:pPr>
        <w:rPr>
          <w:rFonts w:ascii="Arial Narrow" w:hAnsi="Arial Narrow"/>
          <w:sz w:val="20"/>
        </w:rPr>
      </w:pPr>
      <w:r w:rsidRPr="0084543F">
        <w:rPr>
          <w:rFonts w:ascii="Arial Narrow" w:hAnsi="Arial Narrow"/>
          <w:sz w:val="20"/>
        </w:rPr>
        <w:t>AR = Authority Required, UC = Ulcerative colitis, CD = Crohn disease.</w:t>
      </w:r>
    </w:p>
    <w:p w:rsidR="00F30187" w:rsidRPr="000A0484" w:rsidRDefault="00F30187" w:rsidP="002A34B6">
      <w:pPr>
        <w:pStyle w:val="ListParagraph"/>
        <w:widowControl/>
        <w:spacing w:after="120"/>
        <w:contextualSpacing w:val="0"/>
        <w:rPr>
          <w:rFonts w:asciiTheme="minorHAnsi" w:hAnsiTheme="minorHAnsi"/>
          <w:sz w:val="24"/>
          <w:szCs w:val="24"/>
        </w:rPr>
      </w:pPr>
    </w:p>
    <w:p w:rsidR="004138BA" w:rsidRPr="000A0484" w:rsidRDefault="004A1253" w:rsidP="003C5B87">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The PBAC noted that, a</w:t>
      </w:r>
      <w:r w:rsidR="004138BA" w:rsidRPr="000A0484">
        <w:rPr>
          <w:rFonts w:asciiTheme="minorHAnsi" w:hAnsiTheme="minorHAnsi"/>
          <w:sz w:val="24"/>
          <w:szCs w:val="24"/>
        </w:rPr>
        <w:t>s indicated in Table 1</w:t>
      </w:r>
      <w:r w:rsidRPr="000A0484">
        <w:rPr>
          <w:rFonts w:asciiTheme="minorHAnsi" w:hAnsiTheme="minorHAnsi"/>
          <w:sz w:val="24"/>
          <w:szCs w:val="24"/>
        </w:rPr>
        <w:t>,</w:t>
      </w:r>
      <w:r w:rsidR="004138BA" w:rsidRPr="000A0484">
        <w:rPr>
          <w:rFonts w:asciiTheme="minorHAnsi" w:hAnsiTheme="minorHAnsi"/>
          <w:sz w:val="24"/>
          <w:szCs w:val="24"/>
        </w:rPr>
        <w:t xml:space="preserve"> the PBS listings for </w:t>
      </w:r>
      <w:proofErr w:type="spellStart"/>
      <w:r w:rsidR="004138BA" w:rsidRPr="000A0484">
        <w:rPr>
          <w:rFonts w:asciiTheme="minorHAnsi" w:hAnsiTheme="minorHAnsi"/>
          <w:sz w:val="24"/>
          <w:szCs w:val="24"/>
        </w:rPr>
        <w:t>mesalazine</w:t>
      </w:r>
      <w:proofErr w:type="spellEnd"/>
      <w:r w:rsidR="004138BA" w:rsidRPr="000A0484">
        <w:rPr>
          <w:rFonts w:asciiTheme="minorHAnsi" w:hAnsiTheme="minorHAnsi"/>
          <w:sz w:val="24"/>
          <w:szCs w:val="24"/>
        </w:rPr>
        <w:t xml:space="preserve"> in CD are confounded by the dual indication under the same </w:t>
      </w:r>
      <w:r w:rsidR="000E73C7">
        <w:rPr>
          <w:rFonts w:asciiTheme="minorHAnsi" w:hAnsiTheme="minorHAnsi"/>
          <w:sz w:val="24"/>
          <w:szCs w:val="24"/>
        </w:rPr>
        <w:t xml:space="preserve">PBS </w:t>
      </w:r>
      <w:r w:rsidR="004138BA" w:rsidRPr="000A0484">
        <w:rPr>
          <w:rFonts w:asciiTheme="minorHAnsi" w:hAnsiTheme="minorHAnsi"/>
          <w:sz w:val="24"/>
          <w:szCs w:val="24"/>
        </w:rPr>
        <w:t xml:space="preserve">item code for both UC and CD. This potentially </w:t>
      </w:r>
      <w:r w:rsidR="0080668A" w:rsidRPr="000A0484">
        <w:rPr>
          <w:rFonts w:asciiTheme="minorHAnsi" w:hAnsiTheme="minorHAnsi"/>
          <w:sz w:val="24"/>
          <w:szCs w:val="24"/>
        </w:rPr>
        <w:t>makes the</w:t>
      </w:r>
      <w:r w:rsidR="004138BA" w:rsidRPr="000A0484">
        <w:rPr>
          <w:rFonts w:asciiTheme="minorHAnsi" w:hAnsiTheme="minorHAnsi"/>
          <w:sz w:val="24"/>
          <w:szCs w:val="24"/>
        </w:rPr>
        <w:t xml:space="preserve"> calculation of the proportion of </w:t>
      </w:r>
      <w:proofErr w:type="spellStart"/>
      <w:r w:rsidR="004138BA" w:rsidRPr="000A0484">
        <w:rPr>
          <w:rFonts w:asciiTheme="minorHAnsi" w:hAnsiTheme="minorHAnsi"/>
          <w:sz w:val="24"/>
          <w:szCs w:val="24"/>
        </w:rPr>
        <w:t>mesalazine</w:t>
      </w:r>
      <w:proofErr w:type="spellEnd"/>
      <w:r w:rsidR="004138BA" w:rsidRPr="000A0484">
        <w:rPr>
          <w:rFonts w:asciiTheme="minorHAnsi" w:hAnsiTheme="minorHAnsi"/>
          <w:sz w:val="24"/>
          <w:szCs w:val="24"/>
        </w:rPr>
        <w:t xml:space="preserve"> </w:t>
      </w:r>
      <w:r w:rsidR="004138BA" w:rsidRPr="000A0484">
        <w:rPr>
          <w:rFonts w:asciiTheme="minorHAnsi" w:hAnsiTheme="minorHAnsi"/>
          <w:sz w:val="24"/>
          <w:szCs w:val="24"/>
        </w:rPr>
        <w:lastRenderedPageBreak/>
        <w:t>prescribed for CD difficult to verify</w:t>
      </w:r>
      <w:r w:rsidR="000E73C7">
        <w:rPr>
          <w:rFonts w:asciiTheme="minorHAnsi" w:hAnsiTheme="minorHAnsi"/>
          <w:sz w:val="24"/>
          <w:szCs w:val="24"/>
        </w:rPr>
        <w:t xml:space="preserve"> as it is dependent upon correct selection of the streamlined authority code at the time of prescribing and dispensing</w:t>
      </w:r>
      <w:r w:rsidR="004138BA" w:rsidRPr="000A0484">
        <w:rPr>
          <w:rFonts w:asciiTheme="minorHAnsi" w:hAnsiTheme="minorHAnsi"/>
          <w:sz w:val="24"/>
          <w:szCs w:val="24"/>
        </w:rPr>
        <w:t xml:space="preserve">. The </w:t>
      </w:r>
      <w:r w:rsidRPr="000A0484">
        <w:rPr>
          <w:rFonts w:asciiTheme="minorHAnsi" w:hAnsiTheme="minorHAnsi"/>
          <w:sz w:val="24"/>
          <w:szCs w:val="24"/>
        </w:rPr>
        <w:t xml:space="preserve">PBAC also noted that </w:t>
      </w:r>
      <w:r w:rsidR="004138BA" w:rsidRPr="000A0484">
        <w:rPr>
          <w:rFonts w:asciiTheme="minorHAnsi" w:hAnsiTheme="minorHAnsi"/>
          <w:sz w:val="24"/>
          <w:szCs w:val="24"/>
        </w:rPr>
        <w:t xml:space="preserve">current PBS listings for prednisolone are unrestricted so no information on the condition for which the drug is prescribed is available. </w:t>
      </w:r>
      <w:r w:rsidR="006C6847">
        <w:rPr>
          <w:rFonts w:asciiTheme="minorHAnsi" w:hAnsiTheme="minorHAnsi"/>
          <w:sz w:val="24"/>
          <w:szCs w:val="24"/>
        </w:rPr>
        <w:t xml:space="preserve">Therefore the PBS data are not informative for assessing the proportional of use of prednisolone and </w:t>
      </w:r>
      <w:proofErr w:type="spellStart"/>
      <w:r w:rsidR="006C6847">
        <w:rPr>
          <w:rFonts w:asciiTheme="minorHAnsi" w:hAnsiTheme="minorHAnsi"/>
          <w:sz w:val="24"/>
          <w:szCs w:val="24"/>
        </w:rPr>
        <w:t>mesalazine</w:t>
      </w:r>
      <w:proofErr w:type="spellEnd"/>
      <w:r w:rsidR="006C6847">
        <w:rPr>
          <w:rFonts w:asciiTheme="minorHAnsi" w:hAnsiTheme="minorHAnsi"/>
          <w:sz w:val="24"/>
          <w:szCs w:val="24"/>
        </w:rPr>
        <w:t xml:space="preserve"> for CD.</w:t>
      </w:r>
    </w:p>
    <w:p w:rsidR="003C5B87" w:rsidRPr="000A0484" w:rsidRDefault="000C7C9B" w:rsidP="003C5B87">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 xml:space="preserve">A </w:t>
      </w:r>
      <w:r w:rsidR="0086342F">
        <w:rPr>
          <w:rFonts w:asciiTheme="minorHAnsi" w:hAnsiTheme="minorHAnsi"/>
          <w:noProof/>
          <w:color w:val="000000"/>
          <w:sz w:val="24"/>
          <w:szCs w:val="24"/>
          <w:highlight w:val="black"/>
        </w:rPr>
        <w:t>'''''''''</w:t>
      </w:r>
      <w:r w:rsidRPr="000A0484">
        <w:rPr>
          <w:rFonts w:asciiTheme="minorHAnsi" w:hAnsiTheme="minorHAnsi"/>
          <w:sz w:val="24"/>
          <w:szCs w:val="24"/>
        </w:rPr>
        <w:t xml:space="preserve">% weighting was applied to the $712.21 cost for the </w:t>
      </w:r>
      <w:r w:rsidR="00CD4DEB" w:rsidRPr="000A0484">
        <w:rPr>
          <w:rFonts w:asciiTheme="minorHAnsi" w:hAnsiTheme="minorHAnsi"/>
          <w:sz w:val="24"/>
          <w:szCs w:val="24"/>
        </w:rPr>
        <w:t xml:space="preserve">least expensive </w:t>
      </w:r>
      <w:proofErr w:type="spellStart"/>
      <w:r w:rsidRPr="000A0484">
        <w:rPr>
          <w:rFonts w:asciiTheme="minorHAnsi" w:hAnsiTheme="minorHAnsi"/>
          <w:sz w:val="24"/>
          <w:szCs w:val="24"/>
        </w:rPr>
        <w:t>mesalazine</w:t>
      </w:r>
      <w:proofErr w:type="spellEnd"/>
      <w:r w:rsidRPr="000A0484">
        <w:rPr>
          <w:rFonts w:asciiTheme="minorHAnsi" w:hAnsiTheme="minorHAnsi"/>
          <w:sz w:val="24"/>
          <w:szCs w:val="24"/>
        </w:rPr>
        <w:t xml:space="preserve"> for 12 weeks and a </w:t>
      </w:r>
      <w:r w:rsidR="0086342F">
        <w:rPr>
          <w:rFonts w:asciiTheme="minorHAnsi" w:hAnsiTheme="minorHAnsi"/>
          <w:noProof/>
          <w:color w:val="000000"/>
          <w:sz w:val="24"/>
          <w:szCs w:val="24"/>
          <w:highlight w:val="black"/>
        </w:rPr>
        <w:t>'''''''''</w:t>
      </w:r>
      <w:r w:rsidRPr="000A0484">
        <w:rPr>
          <w:rFonts w:asciiTheme="minorHAnsi" w:hAnsiTheme="minorHAnsi"/>
          <w:sz w:val="24"/>
          <w:szCs w:val="24"/>
        </w:rPr>
        <w:t xml:space="preserve">% weighting was applied to the $8.17 cost for the </w:t>
      </w:r>
      <w:r w:rsidR="00CD4DEB" w:rsidRPr="000A0484">
        <w:rPr>
          <w:rFonts w:asciiTheme="minorHAnsi" w:hAnsiTheme="minorHAnsi"/>
          <w:sz w:val="24"/>
          <w:szCs w:val="24"/>
        </w:rPr>
        <w:t xml:space="preserve">lowest cost </w:t>
      </w:r>
      <w:r w:rsidRPr="000A0484">
        <w:rPr>
          <w:rFonts w:asciiTheme="minorHAnsi" w:hAnsiTheme="minorHAnsi"/>
          <w:sz w:val="24"/>
          <w:szCs w:val="24"/>
        </w:rPr>
        <w:t>prednisolone for 12 weeks.</w:t>
      </w:r>
      <w:r w:rsidRPr="000A0484">
        <w:rPr>
          <w:rStyle w:val="MainBodyTextEmphasiswithBold"/>
        </w:rPr>
        <w:t xml:space="preserve"> </w:t>
      </w:r>
      <w:r w:rsidR="005B1C5C" w:rsidRPr="000A0484">
        <w:rPr>
          <w:rFonts w:asciiTheme="minorHAnsi" w:hAnsiTheme="minorHAnsi"/>
          <w:sz w:val="24"/>
          <w:szCs w:val="24"/>
        </w:rPr>
        <w:t>This results in a cost of $</w:t>
      </w:r>
      <w:r w:rsidR="0086342F">
        <w:rPr>
          <w:rFonts w:asciiTheme="minorHAnsi" w:hAnsiTheme="minorHAnsi"/>
          <w:noProof/>
          <w:color w:val="000000"/>
          <w:sz w:val="24"/>
          <w:szCs w:val="24"/>
          <w:highlight w:val="black"/>
        </w:rPr>
        <w:t>''''''''''''</w:t>
      </w:r>
      <w:r w:rsidR="005B1C5C" w:rsidRPr="000A0484">
        <w:rPr>
          <w:rFonts w:asciiTheme="minorHAnsi" w:hAnsiTheme="minorHAnsi"/>
          <w:sz w:val="24"/>
          <w:szCs w:val="24"/>
        </w:rPr>
        <w:t xml:space="preserve"> for 12 weeks of budesonide use. </w:t>
      </w:r>
      <w:r w:rsidR="008D04B1" w:rsidRPr="000A0484">
        <w:rPr>
          <w:rFonts w:asciiTheme="minorHAnsi" w:hAnsiTheme="minorHAnsi"/>
          <w:sz w:val="24"/>
          <w:szCs w:val="24"/>
        </w:rPr>
        <w:t>The PBAC noted that no weighting was applied for sulfasalazine substitution.</w:t>
      </w:r>
    </w:p>
    <w:p w:rsidR="00650D01" w:rsidRPr="000A0484" w:rsidRDefault="006C0E6C" w:rsidP="00650D01">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 xml:space="preserve">The </w:t>
      </w:r>
      <w:r w:rsidR="000C7C9B" w:rsidRPr="000A0484">
        <w:rPr>
          <w:rFonts w:asciiTheme="minorHAnsi" w:hAnsiTheme="minorHAnsi"/>
          <w:sz w:val="24"/>
          <w:szCs w:val="24"/>
        </w:rPr>
        <w:t xml:space="preserve">weighting applied was based on BEACH data from April 2011 to March 2016 for patients with CD. The </w:t>
      </w:r>
      <w:r w:rsidRPr="000A0484">
        <w:rPr>
          <w:rFonts w:asciiTheme="minorHAnsi" w:hAnsiTheme="minorHAnsi"/>
          <w:sz w:val="24"/>
          <w:szCs w:val="24"/>
        </w:rPr>
        <w:t xml:space="preserve">submission pooled data for both prednisolone and prednisone (a precursor drug of prednisolone) in the calculation of the split between </w:t>
      </w:r>
      <w:proofErr w:type="spellStart"/>
      <w:r w:rsidRPr="000A0484">
        <w:rPr>
          <w:rFonts w:asciiTheme="minorHAnsi" w:hAnsiTheme="minorHAnsi"/>
          <w:sz w:val="24"/>
          <w:szCs w:val="24"/>
        </w:rPr>
        <w:t>mesalazine</w:t>
      </w:r>
      <w:proofErr w:type="spellEnd"/>
      <w:r w:rsidRPr="000A0484">
        <w:rPr>
          <w:rFonts w:asciiTheme="minorHAnsi" w:hAnsiTheme="minorHAnsi"/>
          <w:sz w:val="24"/>
          <w:szCs w:val="24"/>
        </w:rPr>
        <w:t xml:space="preserve"> (</w:t>
      </w:r>
      <w:r w:rsidR="0086342F">
        <w:rPr>
          <w:rFonts w:asciiTheme="minorHAnsi" w:hAnsiTheme="minorHAnsi"/>
          <w:noProof/>
          <w:color w:val="000000"/>
          <w:sz w:val="24"/>
          <w:szCs w:val="24"/>
          <w:highlight w:val="black"/>
        </w:rPr>
        <w:t>'''''''''</w:t>
      </w:r>
      <w:r w:rsidRPr="000A0484">
        <w:rPr>
          <w:rFonts w:asciiTheme="minorHAnsi" w:hAnsiTheme="minorHAnsi"/>
          <w:sz w:val="24"/>
          <w:szCs w:val="24"/>
        </w:rPr>
        <w:t>%) and prednisolone (</w:t>
      </w:r>
      <w:r w:rsidR="0086342F">
        <w:rPr>
          <w:rFonts w:asciiTheme="minorHAnsi" w:hAnsiTheme="minorHAnsi"/>
          <w:noProof/>
          <w:color w:val="000000"/>
          <w:sz w:val="24"/>
          <w:szCs w:val="24"/>
          <w:highlight w:val="black"/>
        </w:rPr>
        <w:t>'''''''''</w:t>
      </w:r>
      <w:r w:rsidRPr="000A0484">
        <w:rPr>
          <w:rFonts w:asciiTheme="minorHAnsi" w:hAnsiTheme="minorHAnsi"/>
          <w:sz w:val="24"/>
          <w:szCs w:val="24"/>
        </w:rPr>
        <w:t xml:space="preserve">%) use in CD. </w:t>
      </w:r>
      <w:r w:rsidR="00DF3737" w:rsidRPr="000A0484">
        <w:rPr>
          <w:rFonts w:asciiTheme="minorHAnsi" w:hAnsiTheme="minorHAnsi"/>
          <w:sz w:val="24"/>
          <w:szCs w:val="24"/>
        </w:rPr>
        <w:t xml:space="preserve">As noted in paragraph 4.2, evidence on the lack of efficacy of 5-ASAs in CD has emerged in recent years (Lim 2016 Cochrane Review). BEACH data from the most recent year may therefore be more appropriate than data collected over 5 years from 2011. </w:t>
      </w:r>
      <w:r w:rsidR="00AB5029" w:rsidRPr="000A0484">
        <w:rPr>
          <w:rFonts w:asciiTheme="minorHAnsi" w:hAnsiTheme="minorHAnsi"/>
          <w:sz w:val="24"/>
          <w:szCs w:val="24"/>
        </w:rPr>
        <w:t>However, t</w:t>
      </w:r>
      <w:r w:rsidRPr="000A0484">
        <w:rPr>
          <w:rFonts w:asciiTheme="minorHAnsi" w:hAnsiTheme="minorHAnsi"/>
          <w:sz w:val="24"/>
          <w:szCs w:val="24"/>
        </w:rPr>
        <w:t xml:space="preserve">he BEACH data was limited to a total of 77 data points </w:t>
      </w:r>
      <w:r w:rsidR="000E326E" w:rsidRPr="000A0484">
        <w:rPr>
          <w:rFonts w:asciiTheme="minorHAnsi" w:hAnsiTheme="minorHAnsi"/>
          <w:sz w:val="24"/>
          <w:szCs w:val="24"/>
        </w:rPr>
        <w:t xml:space="preserve">for these medicines </w:t>
      </w:r>
      <w:r w:rsidR="006F1C6A" w:rsidRPr="000A0484">
        <w:rPr>
          <w:rFonts w:asciiTheme="minorHAnsi" w:hAnsiTheme="minorHAnsi"/>
          <w:sz w:val="24"/>
          <w:szCs w:val="24"/>
        </w:rPr>
        <w:t xml:space="preserve">over </w:t>
      </w:r>
      <w:r w:rsidR="00AB5029" w:rsidRPr="000A0484">
        <w:rPr>
          <w:rFonts w:asciiTheme="minorHAnsi" w:hAnsiTheme="minorHAnsi"/>
          <w:sz w:val="24"/>
          <w:szCs w:val="24"/>
        </w:rPr>
        <w:t>the</w:t>
      </w:r>
      <w:r w:rsidRPr="000A0484">
        <w:rPr>
          <w:rFonts w:asciiTheme="minorHAnsi" w:hAnsiTheme="minorHAnsi"/>
          <w:sz w:val="24"/>
          <w:szCs w:val="24"/>
        </w:rPr>
        <w:t xml:space="preserve"> 5 year period</w:t>
      </w:r>
      <w:r w:rsidR="00AB5029" w:rsidRPr="000A0484">
        <w:rPr>
          <w:rFonts w:asciiTheme="minorHAnsi" w:hAnsiTheme="minorHAnsi"/>
          <w:sz w:val="24"/>
          <w:szCs w:val="24"/>
        </w:rPr>
        <w:t>. The limited data available and concerns regarding applicability to current practice may reduce</w:t>
      </w:r>
      <w:r w:rsidR="000E326E" w:rsidRPr="000A0484">
        <w:rPr>
          <w:rFonts w:asciiTheme="minorHAnsi" w:hAnsiTheme="minorHAnsi"/>
          <w:sz w:val="24"/>
          <w:szCs w:val="24"/>
        </w:rPr>
        <w:t xml:space="preserve"> the reliability of any proportionality for the purposes of determining an appropriate price for budesonide, derived from it.</w:t>
      </w:r>
      <w:r w:rsidR="004752EF" w:rsidRPr="000A0484">
        <w:rPr>
          <w:rFonts w:asciiTheme="minorHAnsi" w:hAnsiTheme="minorHAnsi"/>
          <w:sz w:val="24"/>
          <w:szCs w:val="24"/>
        </w:rPr>
        <w:t xml:space="preserve"> </w:t>
      </w:r>
    </w:p>
    <w:p w:rsidR="00650D01" w:rsidRPr="000A0484" w:rsidRDefault="00D902E7" w:rsidP="00650D01">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 xml:space="preserve">The pre-PBAC response argued that the split between </w:t>
      </w:r>
      <w:proofErr w:type="spellStart"/>
      <w:r w:rsidRPr="000A0484">
        <w:rPr>
          <w:rFonts w:asciiTheme="minorHAnsi" w:hAnsiTheme="minorHAnsi"/>
          <w:sz w:val="24"/>
          <w:szCs w:val="24"/>
        </w:rPr>
        <w:t>mesalazine</w:t>
      </w:r>
      <w:proofErr w:type="spellEnd"/>
      <w:r w:rsidRPr="000A0484">
        <w:rPr>
          <w:rFonts w:asciiTheme="minorHAnsi" w:hAnsiTheme="minorHAnsi"/>
          <w:sz w:val="24"/>
          <w:szCs w:val="24"/>
        </w:rPr>
        <w:t xml:space="preserve"> and prednisolone was best determined using BEACH data which collects prescribing data by CD and UC separately. In addition, the pre-PBAC response argued that use of BEACH data is appropriate as in the treatment of CD, prescribing is led by </w:t>
      </w:r>
      <w:r w:rsidR="00083976" w:rsidRPr="000A0484">
        <w:rPr>
          <w:rFonts w:asciiTheme="minorHAnsi" w:hAnsiTheme="minorHAnsi"/>
          <w:sz w:val="24"/>
          <w:szCs w:val="24"/>
        </w:rPr>
        <w:t>specialists</w:t>
      </w:r>
      <w:r w:rsidRPr="000A0484">
        <w:rPr>
          <w:rFonts w:asciiTheme="minorHAnsi" w:hAnsiTheme="minorHAnsi"/>
          <w:sz w:val="24"/>
          <w:szCs w:val="24"/>
        </w:rPr>
        <w:t xml:space="preserve"> and so prescribing </w:t>
      </w:r>
      <w:r w:rsidR="00470CFA" w:rsidRPr="000A0484">
        <w:rPr>
          <w:rFonts w:asciiTheme="minorHAnsi" w:hAnsiTheme="minorHAnsi"/>
          <w:sz w:val="24"/>
          <w:szCs w:val="24"/>
        </w:rPr>
        <w:t xml:space="preserve">in general practice </w:t>
      </w:r>
      <w:r w:rsidRPr="000A0484">
        <w:rPr>
          <w:rFonts w:asciiTheme="minorHAnsi" w:hAnsiTheme="minorHAnsi"/>
          <w:sz w:val="24"/>
          <w:szCs w:val="24"/>
        </w:rPr>
        <w:t xml:space="preserve">should be consistent with this. </w:t>
      </w:r>
    </w:p>
    <w:p w:rsidR="006C0E6C" w:rsidRPr="000A0484" w:rsidRDefault="00650D01" w:rsidP="00650D01">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The PBAC remained concerned that, due to the limitations of the BEACH data presented, the weighting of comparators determined was unlikely to reflect</w:t>
      </w:r>
      <w:r w:rsidR="00AD0779">
        <w:rPr>
          <w:rFonts w:asciiTheme="minorHAnsi" w:hAnsiTheme="minorHAnsi"/>
          <w:sz w:val="24"/>
          <w:szCs w:val="24"/>
        </w:rPr>
        <w:t xml:space="preserve"> the true proportion of patients in whom prednisolone is not an alternative therapy</w:t>
      </w:r>
      <w:r w:rsidRPr="000A0484">
        <w:rPr>
          <w:rFonts w:asciiTheme="minorHAnsi" w:hAnsiTheme="minorHAnsi"/>
          <w:sz w:val="24"/>
          <w:szCs w:val="24"/>
        </w:rPr>
        <w:t xml:space="preserve">. While contemporary Australian guidelines acknowledge a role for </w:t>
      </w:r>
      <w:proofErr w:type="spellStart"/>
      <w:r w:rsidRPr="000A0484">
        <w:rPr>
          <w:rFonts w:asciiTheme="minorHAnsi" w:hAnsiTheme="minorHAnsi"/>
          <w:sz w:val="24"/>
          <w:szCs w:val="24"/>
        </w:rPr>
        <w:t>mesalazine</w:t>
      </w:r>
      <w:proofErr w:type="spellEnd"/>
      <w:r w:rsidRPr="000A0484">
        <w:rPr>
          <w:rFonts w:asciiTheme="minorHAnsi" w:hAnsiTheme="minorHAnsi"/>
          <w:sz w:val="24"/>
          <w:szCs w:val="24"/>
        </w:rPr>
        <w:t xml:space="preserve"> in CD, the PBAC considered it was a limited role. Hence, the PBAC did not accept the </w:t>
      </w:r>
      <w:r w:rsidR="00566A5D" w:rsidRPr="000A0484">
        <w:rPr>
          <w:rFonts w:asciiTheme="minorHAnsi" w:hAnsiTheme="minorHAnsi"/>
          <w:sz w:val="24"/>
          <w:szCs w:val="24"/>
        </w:rPr>
        <w:t xml:space="preserve">59.7% weighting applied for </w:t>
      </w:r>
      <w:proofErr w:type="spellStart"/>
      <w:r w:rsidR="00566A5D" w:rsidRPr="000A0484">
        <w:rPr>
          <w:rFonts w:asciiTheme="minorHAnsi" w:hAnsiTheme="minorHAnsi"/>
          <w:sz w:val="24"/>
          <w:szCs w:val="24"/>
        </w:rPr>
        <w:t>mesalazine</w:t>
      </w:r>
      <w:proofErr w:type="spellEnd"/>
      <w:r w:rsidR="00566A5D" w:rsidRPr="000A0484">
        <w:rPr>
          <w:rFonts w:asciiTheme="minorHAnsi" w:hAnsiTheme="minorHAnsi"/>
          <w:sz w:val="24"/>
          <w:szCs w:val="24"/>
        </w:rPr>
        <w:t xml:space="preserve"> and the </w:t>
      </w:r>
      <w:r w:rsidR="0086342F">
        <w:rPr>
          <w:rFonts w:asciiTheme="minorHAnsi" w:hAnsiTheme="minorHAnsi"/>
          <w:noProof/>
          <w:color w:val="000000"/>
          <w:sz w:val="24"/>
          <w:szCs w:val="24"/>
          <w:highlight w:val="black"/>
        </w:rPr>
        <w:t>''''''''</w:t>
      </w:r>
      <w:r w:rsidR="00566A5D" w:rsidRPr="000A0484">
        <w:rPr>
          <w:rFonts w:asciiTheme="minorHAnsi" w:hAnsiTheme="minorHAnsi"/>
          <w:sz w:val="24"/>
          <w:szCs w:val="24"/>
        </w:rPr>
        <w:t xml:space="preserve">% weighting applied for prednisolone. The PBAC considered that, unless more robust </w:t>
      </w:r>
      <w:r w:rsidR="00470CFA" w:rsidRPr="000A0484">
        <w:rPr>
          <w:rFonts w:asciiTheme="minorHAnsi" w:hAnsiTheme="minorHAnsi"/>
          <w:sz w:val="24"/>
          <w:szCs w:val="24"/>
        </w:rPr>
        <w:t xml:space="preserve">current </w:t>
      </w:r>
      <w:r w:rsidR="00566A5D" w:rsidRPr="000A0484">
        <w:rPr>
          <w:rFonts w:asciiTheme="minorHAnsi" w:hAnsiTheme="minorHAnsi"/>
          <w:sz w:val="24"/>
          <w:szCs w:val="24"/>
        </w:rPr>
        <w:t xml:space="preserve">data becomes available, </w:t>
      </w:r>
      <w:r w:rsidR="008D04B1" w:rsidRPr="000A0484">
        <w:rPr>
          <w:rFonts w:asciiTheme="minorHAnsi" w:hAnsiTheme="minorHAnsi"/>
          <w:sz w:val="24"/>
          <w:szCs w:val="24"/>
        </w:rPr>
        <w:t xml:space="preserve">a weighting </w:t>
      </w:r>
      <w:r w:rsidR="00AD0779">
        <w:rPr>
          <w:rFonts w:asciiTheme="minorHAnsi" w:hAnsiTheme="minorHAnsi"/>
          <w:sz w:val="24"/>
          <w:szCs w:val="24"/>
        </w:rPr>
        <w:t>that allows for</w:t>
      </w:r>
      <w:r w:rsidR="008D04B1" w:rsidRPr="000A0484">
        <w:rPr>
          <w:rFonts w:asciiTheme="minorHAnsi" w:hAnsiTheme="minorHAnsi"/>
          <w:sz w:val="24"/>
          <w:szCs w:val="24"/>
        </w:rPr>
        <w:t xml:space="preserve"> </w:t>
      </w:r>
      <w:r w:rsidR="00AD0779">
        <w:rPr>
          <w:rFonts w:asciiTheme="minorHAnsi" w:hAnsiTheme="minorHAnsi"/>
          <w:sz w:val="24"/>
          <w:szCs w:val="24"/>
        </w:rPr>
        <w:t>one-fifth to one quarter, but closer to one-fifth,</w:t>
      </w:r>
      <w:r w:rsidR="006D739B">
        <w:rPr>
          <w:rFonts w:asciiTheme="minorHAnsi" w:hAnsiTheme="minorHAnsi"/>
          <w:sz w:val="24"/>
          <w:szCs w:val="24"/>
        </w:rPr>
        <w:t xml:space="preserve"> </w:t>
      </w:r>
      <w:r w:rsidR="00AD0779">
        <w:rPr>
          <w:rFonts w:asciiTheme="minorHAnsi" w:hAnsiTheme="minorHAnsi"/>
          <w:sz w:val="24"/>
          <w:szCs w:val="24"/>
        </w:rPr>
        <w:t xml:space="preserve">of use in which </w:t>
      </w:r>
      <w:proofErr w:type="spellStart"/>
      <w:r w:rsidR="00AD0779">
        <w:rPr>
          <w:rFonts w:asciiTheme="minorHAnsi" w:hAnsiTheme="minorHAnsi"/>
          <w:sz w:val="24"/>
          <w:szCs w:val="24"/>
        </w:rPr>
        <w:t>m</w:t>
      </w:r>
      <w:r w:rsidR="008D04B1" w:rsidRPr="000A0484">
        <w:rPr>
          <w:rFonts w:asciiTheme="minorHAnsi" w:hAnsiTheme="minorHAnsi"/>
          <w:sz w:val="24"/>
          <w:szCs w:val="24"/>
        </w:rPr>
        <w:t>esalazine</w:t>
      </w:r>
      <w:proofErr w:type="spellEnd"/>
      <w:r w:rsidR="00AD0779">
        <w:rPr>
          <w:rFonts w:asciiTheme="minorHAnsi" w:hAnsiTheme="minorHAnsi"/>
          <w:sz w:val="24"/>
          <w:szCs w:val="24"/>
        </w:rPr>
        <w:t xml:space="preserve"> is the alternative therapy</w:t>
      </w:r>
      <w:r w:rsidR="008D04B1" w:rsidRPr="000A0484">
        <w:rPr>
          <w:rFonts w:asciiTheme="minorHAnsi" w:hAnsiTheme="minorHAnsi"/>
          <w:sz w:val="24"/>
          <w:szCs w:val="24"/>
        </w:rPr>
        <w:t xml:space="preserve"> </w:t>
      </w:r>
      <w:r w:rsidRPr="000A0484">
        <w:rPr>
          <w:rFonts w:asciiTheme="minorHAnsi" w:hAnsiTheme="minorHAnsi"/>
          <w:sz w:val="24"/>
          <w:szCs w:val="24"/>
        </w:rPr>
        <w:t>may be more appropriate</w:t>
      </w:r>
      <w:r w:rsidR="00AD0779">
        <w:rPr>
          <w:rFonts w:asciiTheme="minorHAnsi" w:hAnsiTheme="minorHAnsi"/>
          <w:sz w:val="24"/>
          <w:szCs w:val="24"/>
        </w:rPr>
        <w:t>,</w:t>
      </w:r>
      <w:r w:rsidR="00470CFA" w:rsidRPr="000A0484">
        <w:rPr>
          <w:rFonts w:asciiTheme="minorHAnsi" w:hAnsiTheme="minorHAnsi"/>
          <w:sz w:val="24"/>
          <w:szCs w:val="24"/>
        </w:rPr>
        <w:t xml:space="preserve"> with the corresponding weighting for prednisolone applied accordingly</w:t>
      </w:r>
      <w:r w:rsidRPr="000A0484">
        <w:rPr>
          <w:rFonts w:asciiTheme="minorHAnsi" w:hAnsiTheme="minorHAnsi"/>
          <w:sz w:val="24"/>
          <w:szCs w:val="24"/>
        </w:rPr>
        <w:t>.</w:t>
      </w:r>
    </w:p>
    <w:p w:rsidR="003C2FB5" w:rsidRPr="000A0484" w:rsidRDefault="000F11A0" w:rsidP="008306F3">
      <w:pPr>
        <w:pStyle w:val="Heading2"/>
        <w:keepLines/>
        <w:spacing w:before="240" w:after="120"/>
        <w:rPr>
          <w:rFonts w:asciiTheme="minorHAnsi" w:eastAsiaTheme="majorEastAsia" w:hAnsiTheme="minorHAnsi" w:cstheme="majorBidi"/>
          <w:sz w:val="28"/>
          <w:szCs w:val="28"/>
          <w:lang w:eastAsia="en-US"/>
        </w:rPr>
      </w:pPr>
      <w:r w:rsidRPr="000A0484">
        <w:rPr>
          <w:rFonts w:asciiTheme="minorHAnsi" w:eastAsiaTheme="majorEastAsia" w:hAnsiTheme="minorHAnsi" w:cstheme="majorBidi"/>
          <w:sz w:val="28"/>
          <w:szCs w:val="28"/>
          <w:lang w:eastAsia="en-US"/>
        </w:rPr>
        <w:t>Drug cost/patient/</w:t>
      </w:r>
      <w:r w:rsidR="00A55FEE" w:rsidRPr="000A0484">
        <w:rPr>
          <w:rFonts w:asciiTheme="minorHAnsi" w:eastAsiaTheme="majorEastAsia" w:hAnsiTheme="minorHAnsi" w:cstheme="majorBidi"/>
          <w:sz w:val="28"/>
          <w:szCs w:val="28"/>
          <w:lang w:eastAsia="en-US"/>
        </w:rPr>
        <w:t>course</w:t>
      </w:r>
      <w:r w:rsidRPr="000A0484">
        <w:rPr>
          <w:rFonts w:asciiTheme="minorHAnsi" w:eastAsiaTheme="majorEastAsia" w:hAnsiTheme="minorHAnsi" w:cstheme="majorBidi"/>
          <w:sz w:val="28"/>
          <w:szCs w:val="28"/>
          <w:lang w:eastAsia="en-US"/>
        </w:rPr>
        <w:t>: $</w:t>
      </w:r>
      <w:r w:rsidR="0086342F">
        <w:rPr>
          <w:rFonts w:asciiTheme="minorHAnsi" w:eastAsiaTheme="majorEastAsia" w:hAnsiTheme="minorHAnsi" w:cstheme="majorBidi"/>
          <w:noProof/>
          <w:color w:val="000000"/>
          <w:sz w:val="28"/>
          <w:szCs w:val="28"/>
          <w:highlight w:val="black"/>
          <w:lang w:eastAsia="en-US"/>
        </w:rPr>
        <w:t>''''''''''''</w:t>
      </w:r>
    </w:p>
    <w:p w:rsidR="00A55FEE" w:rsidRPr="000A0484" w:rsidRDefault="000F11A0" w:rsidP="00FB2B6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This is based on a </w:t>
      </w:r>
      <w:r w:rsidR="0086342F">
        <w:rPr>
          <w:rFonts w:asciiTheme="minorHAnsi" w:eastAsiaTheme="minorHAnsi" w:hAnsiTheme="minorHAnsi" w:cstheme="minorBidi"/>
          <w:noProof/>
          <w:snapToGrid/>
          <w:color w:val="000000"/>
          <w:sz w:val="24"/>
          <w:szCs w:val="22"/>
          <w:highlight w:val="black"/>
        </w:rPr>
        <w:t>''''''''</w:t>
      </w:r>
      <w:r w:rsidR="00FB2B6C" w:rsidRPr="000A0484">
        <w:rPr>
          <w:rFonts w:asciiTheme="minorHAnsi" w:eastAsiaTheme="minorHAnsi" w:hAnsiTheme="minorHAnsi" w:cstheme="minorBidi"/>
          <w:snapToGrid/>
          <w:sz w:val="24"/>
          <w:szCs w:val="22"/>
        </w:rPr>
        <w:t>%:</w:t>
      </w:r>
      <w:r w:rsidR="0086342F">
        <w:rPr>
          <w:rFonts w:asciiTheme="minorHAnsi" w:eastAsiaTheme="minorHAnsi" w:hAnsiTheme="minorHAnsi" w:cstheme="minorBidi"/>
          <w:noProof/>
          <w:snapToGrid/>
          <w:color w:val="000000"/>
          <w:sz w:val="24"/>
          <w:szCs w:val="22"/>
          <w:highlight w:val="black"/>
        </w:rPr>
        <w:t>'''''''''</w:t>
      </w:r>
      <w:r w:rsidR="00FB2B6C" w:rsidRPr="000A0484">
        <w:rPr>
          <w:rFonts w:asciiTheme="minorHAnsi" w:eastAsiaTheme="minorHAnsi" w:hAnsiTheme="minorHAnsi" w:cstheme="minorBidi"/>
          <w:snapToGrid/>
          <w:sz w:val="24"/>
          <w:szCs w:val="22"/>
        </w:rPr>
        <w:t xml:space="preserve">% </w:t>
      </w:r>
      <w:r w:rsidR="00180EDD" w:rsidRPr="000A0484">
        <w:rPr>
          <w:rFonts w:asciiTheme="minorHAnsi" w:eastAsiaTheme="minorHAnsi" w:hAnsiTheme="minorHAnsi" w:cstheme="minorBidi"/>
          <w:snapToGrid/>
          <w:sz w:val="24"/>
          <w:szCs w:val="22"/>
        </w:rPr>
        <w:t xml:space="preserve">weighted price comparison with both </w:t>
      </w:r>
      <w:proofErr w:type="spellStart"/>
      <w:r w:rsidR="00180EDD" w:rsidRPr="000A0484">
        <w:rPr>
          <w:rFonts w:asciiTheme="minorHAnsi" w:eastAsiaTheme="minorHAnsi" w:hAnsiTheme="minorHAnsi" w:cstheme="minorBidi"/>
          <w:snapToGrid/>
          <w:sz w:val="24"/>
          <w:szCs w:val="22"/>
        </w:rPr>
        <w:t>mesalazine</w:t>
      </w:r>
      <w:proofErr w:type="spellEnd"/>
      <w:r w:rsidR="00180EDD" w:rsidRPr="000A0484">
        <w:rPr>
          <w:rFonts w:asciiTheme="minorHAnsi" w:eastAsiaTheme="minorHAnsi" w:hAnsiTheme="minorHAnsi" w:cstheme="minorBidi"/>
          <w:snapToGrid/>
          <w:sz w:val="24"/>
          <w:szCs w:val="22"/>
        </w:rPr>
        <w:t xml:space="preserve"> and prednisolone for a </w:t>
      </w:r>
      <w:r w:rsidR="000A0484" w:rsidRPr="000A0484">
        <w:rPr>
          <w:rFonts w:asciiTheme="minorHAnsi" w:eastAsiaTheme="minorHAnsi" w:hAnsiTheme="minorHAnsi" w:cstheme="minorBidi"/>
          <w:snapToGrid/>
          <w:sz w:val="24"/>
          <w:szCs w:val="22"/>
        </w:rPr>
        <w:t>12-week</w:t>
      </w:r>
      <w:r w:rsidRPr="000A0484">
        <w:rPr>
          <w:rFonts w:asciiTheme="minorHAnsi" w:eastAsiaTheme="minorHAnsi" w:hAnsiTheme="minorHAnsi" w:cstheme="minorBidi"/>
          <w:snapToGrid/>
          <w:sz w:val="24"/>
          <w:szCs w:val="22"/>
        </w:rPr>
        <w:t xml:space="preserve"> course with a </w:t>
      </w:r>
      <w:r w:rsidR="000A0484" w:rsidRPr="000A0484">
        <w:rPr>
          <w:rFonts w:asciiTheme="minorHAnsi" w:eastAsiaTheme="minorHAnsi" w:hAnsiTheme="minorHAnsi" w:cstheme="minorBidi"/>
          <w:snapToGrid/>
          <w:sz w:val="24"/>
          <w:szCs w:val="22"/>
        </w:rPr>
        <w:t>3-week</w:t>
      </w:r>
      <w:r w:rsidRPr="000A0484">
        <w:rPr>
          <w:rFonts w:asciiTheme="minorHAnsi" w:eastAsiaTheme="minorHAnsi" w:hAnsiTheme="minorHAnsi" w:cstheme="minorBidi"/>
          <w:snapToGrid/>
          <w:sz w:val="24"/>
          <w:szCs w:val="22"/>
        </w:rPr>
        <w:t xml:space="preserve"> taper period.  This compares </w:t>
      </w:r>
      <w:r w:rsidRPr="000A0484">
        <w:rPr>
          <w:rFonts w:asciiTheme="minorHAnsi" w:eastAsiaTheme="minorHAnsi" w:hAnsiTheme="minorHAnsi" w:cstheme="minorBidi"/>
          <w:snapToGrid/>
          <w:sz w:val="24"/>
          <w:szCs w:val="22"/>
        </w:rPr>
        <w:lastRenderedPageBreak/>
        <w:t xml:space="preserve">with $8.17 per course for prednisolone and $712.21 per course for </w:t>
      </w:r>
      <w:proofErr w:type="spellStart"/>
      <w:r w:rsidRPr="000A0484">
        <w:rPr>
          <w:rFonts w:asciiTheme="minorHAnsi" w:eastAsiaTheme="minorHAnsi" w:hAnsiTheme="minorHAnsi" w:cstheme="minorBidi"/>
          <w:snapToGrid/>
          <w:sz w:val="24"/>
          <w:szCs w:val="22"/>
        </w:rPr>
        <w:t>mesalazine</w:t>
      </w:r>
      <w:proofErr w:type="spellEnd"/>
      <w:r w:rsidRPr="000A0484">
        <w:rPr>
          <w:rFonts w:asciiTheme="minorHAnsi" w:eastAsiaTheme="minorHAnsi" w:hAnsiTheme="minorHAnsi" w:cstheme="minorBidi"/>
          <w:snapToGrid/>
          <w:sz w:val="24"/>
          <w:szCs w:val="22"/>
        </w:rPr>
        <w:t>.</w:t>
      </w:r>
      <w:r w:rsidR="00A55FEE" w:rsidRPr="000A0484">
        <w:rPr>
          <w:rFonts w:asciiTheme="minorHAnsi" w:eastAsiaTheme="minorHAnsi" w:hAnsiTheme="minorHAnsi" w:cstheme="minorBidi"/>
          <w:snapToGrid/>
          <w:sz w:val="24"/>
          <w:szCs w:val="22"/>
        </w:rPr>
        <w:t xml:space="preserve"> </w:t>
      </w:r>
      <w:r w:rsidR="00270263" w:rsidRPr="000A0484">
        <w:rPr>
          <w:rFonts w:asciiTheme="minorHAnsi" w:eastAsiaTheme="minorHAnsi" w:hAnsiTheme="minorHAnsi" w:cstheme="minorBidi"/>
          <w:snapToGrid/>
          <w:sz w:val="24"/>
          <w:szCs w:val="22"/>
        </w:rPr>
        <w:t>The PBAC noted that the drug cost/patient/course would need to be updated</w:t>
      </w:r>
      <w:r w:rsidR="008D04B1" w:rsidRPr="000A0484">
        <w:rPr>
          <w:rFonts w:asciiTheme="minorHAnsi" w:eastAsiaTheme="minorHAnsi" w:hAnsiTheme="minorHAnsi" w:cstheme="minorBidi"/>
          <w:snapToGrid/>
          <w:sz w:val="24"/>
          <w:szCs w:val="22"/>
        </w:rPr>
        <w:t xml:space="preserve"> once a new AEMP has been negotiated.</w:t>
      </w:r>
    </w:p>
    <w:p w:rsidR="004752EF" w:rsidRPr="000A0484" w:rsidRDefault="005A3173" w:rsidP="002A34B6">
      <w:pPr>
        <w:pStyle w:val="Heading2"/>
        <w:keepLines/>
        <w:spacing w:before="240" w:after="120"/>
        <w:rPr>
          <w:sz w:val="24"/>
        </w:rPr>
      </w:pPr>
      <w:r w:rsidRPr="000A0484">
        <w:rPr>
          <w:rFonts w:asciiTheme="minorHAnsi" w:eastAsiaTheme="majorEastAsia" w:hAnsiTheme="minorHAnsi" w:cstheme="majorBidi"/>
          <w:sz w:val="28"/>
          <w:szCs w:val="28"/>
          <w:lang w:eastAsia="en-US"/>
        </w:rPr>
        <w:t>Estimated PBS usage &amp; financial implications</w:t>
      </w:r>
    </w:p>
    <w:p w:rsidR="00381E40" w:rsidRPr="000A0484" w:rsidRDefault="00FF2801" w:rsidP="00381E40">
      <w:pPr>
        <w:pStyle w:val="ListParagraph"/>
        <w:widowControl/>
        <w:numPr>
          <w:ilvl w:val="1"/>
          <w:numId w:val="14"/>
        </w:numPr>
        <w:spacing w:after="120"/>
        <w:ind w:left="709"/>
        <w:contextualSpacing w:val="0"/>
        <w:rPr>
          <w:rFonts w:asciiTheme="minorHAnsi" w:hAnsiTheme="minorHAnsi"/>
          <w:sz w:val="24"/>
          <w:szCs w:val="24"/>
        </w:rPr>
      </w:pPr>
      <w:r w:rsidRPr="000A0484">
        <w:rPr>
          <w:rFonts w:asciiTheme="minorHAnsi" w:hAnsiTheme="minorHAnsi"/>
          <w:sz w:val="24"/>
          <w:szCs w:val="24"/>
        </w:rPr>
        <w:t xml:space="preserve">The minor </w:t>
      </w:r>
      <w:r w:rsidR="00F25010" w:rsidRPr="000A0484">
        <w:rPr>
          <w:rFonts w:asciiTheme="minorHAnsi" w:hAnsiTheme="minorHAnsi"/>
          <w:sz w:val="24"/>
          <w:szCs w:val="24"/>
        </w:rPr>
        <w:t>re</w:t>
      </w:r>
      <w:r w:rsidRPr="000A0484">
        <w:rPr>
          <w:rFonts w:asciiTheme="minorHAnsi" w:hAnsiTheme="minorHAnsi"/>
          <w:sz w:val="24"/>
          <w:szCs w:val="24"/>
        </w:rPr>
        <w:t xml:space="preserve">submission </w:t>
      </w:r>
      <w:r w:rsidR="00A813CF" w:rsidRPr="000A0484">
        <w:rPr>
          <w:rFonts w:asciiTheme="minorHAnsi" w:hAnsiTheme="minorHAnsi"/>
          <w:sz w:val="24"/>
          <w:szCs w:val="24"/>
        </w:rPr>
        <w:t xml:space="preserve">again used an epidemiological approach </w:t>
      </w:r>
      <w:r w:rsidR="001C0C02" w:rsidRPr="000A0484">
        <w:rPr>
          <w:rFonts w:asciiTheme="minorHAnsi" w:hAnsiTheme="minorHAnsi"/>
          <w:sz w:val="24"/>
          <w:szCs w:val="24"/>
        </w:rPr>
        <w:t>to estimate the likely extent of budesonide use and associated financial implications. Table 2 summarises the data sources used in the resubmission’s estimates and indicates whether the source is (</w:t>
      </w:r>
      <w:proofErr w:type="gramStart"/>
      <w:r w:rsidR="001C0C02" w:rsidRPr="000A0484">
        <w:rPr>
          <w:rFonts w:asciiTheme="minorHAnsi" w:hAnsiTheme="minorHAnsi"/>
          <w:sz w:val="24"/>
          <w:szCs w:val="24"/>
        </w:rPr>
        <w:t>un)</w:t>
      </w:r>
      <w:proofErr w:type="gramEnd"/>
      <w:r w:rsidR="001C0C02" w:rsidRPr="000A0484">
        <w:rPr>
          <w:rFonts w:asciiTheme="minorHAnsi" w:hAnsiTheme="minorHAnsi"/>
          <w:sz w:val="24"/>
          <w:szCs w:val="24"/>
        </w:rPr>
        <w:t>changed from the November 2017 submission.</w:t>
      </w:r>
    </w:p>
    <w:p w:rsidR="001C0C02" w:rsidRPr="000A0484" w:rsidRDefault="001C0C02" w:rsidP="00AB144A">
      <w:pPr>
        <w:ind w:left="-11"/>
        <w:rPr>
          <w:rFonts w:ascii="Arial Narrow" w:hAnsi="Arial Narrow"/>
          <w:b/>
          <w:sz w:val="20"/>
        </w:rPr>
      </w:pPr>
      <w:r w:rsidRPr="000A0484">
        <w:rPr>
          <w:rFonts w:ascii="Arial Narrow" w:hAnsi="Arial Narrow"/>
          <w:b/>
          <w:sz w:val="20"/>
          <w:szCs w:val="20"/>
        </w:rPr>
        <w:t>Table 2: Steps and assumptions used to determine the costs of budesonide</w:t>
      </w:r>
    </w:p>
    <w:tbl>
      <w:tblPr>
        <w:tblW w:w="92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Pr>
      <w:tblGrid>
        <w:gridCol w:w="567"/>
        <w:gridCol w:w="1985"/>
        <w:gridCol w:w="1701"/>
        <w:gridCol w:w="2126"/>
        <w:gridCol w:w="2835"/>
      </w:tblGrid>
      <w:tr w:rsidR="009E1D54" w:rsidRPr="000A0484" w:rsidTr="002A34B6">
        <w:trPr>
          <w:tblHeader/>
        </w:trPr>
        <w:tc>
          <w:tcPr>
            <w:tcW w:w="567"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b/>
                <w:sz w:val="20"/>
              </w:rPr>
            </w:pPr>
            <w:r w:rsidRPr="000A0484">
              <w:rPr>
                <w:rFonts w:ascii="Arial Narrow" w:hAnsi="Arial Narrow"/>
                <w:b/>
                <w:sz w:val="20"/>
              </w:rPr>
              <w:t>Step</w:t>
            </w:r>
          </w:p>
        </w:tc>
        <w:tc>
          <w:tcPr>
            <w:tcW w:w="1985"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b/>
                <w:sz w:val="20"/>
              </w:rPr>
            </w:pPr>
            <w:r w:rsidRPr="000A0484">
              <w:rPr>
                <w:rFonts w:ascii="Arial Narrow" w:hAnsi="Arial Narrow"/>
                <w:b/>
                <w:sz w:val="20"/>
              </w:rPr>
              <w:t>Estimate</w:t>
            </w:r>
          </w:p>
        </w:tc>
        <w:tc>
          <w:tcPr>
            <w:tcW w:w="1701" w:type="dxa"/>
          </w:tcPr>
          <w:p w:rsidR="001C0C02" w:rsidRPr="000A0484" w:rsidRDefault="001C0C02" w:rsidP="00082943">
            <w:pPr>
              <w:pStyle w:val="ListParagraph"/>
              <w:widowControl/>
              <w:spacing w:after="120"/>
              <w:ind w:left="0"/>
              <w:contextualSpacing w:val="0"/>
              <w:jc w:val="left"/>
              <w:rPr>
                <w:rFonts w:ascii="Arial Narrow" w:hAnsi="Arial Narrow"/>
                <w:b/>
                <w:sz w:val="20"/>
              </w:rPr>
            </w:pPr>
            <w:r w:rsidRPr="000A0484">
              <w:rPr>
                <w:rFonts w:ascii="Arial Narrow" w:hAnsi="Arial Narrow"/>
                <w:b/>
                <w:sz w:val="20"/>
              </w:rPr>
              <w:t>Value</w:t>
            </w:r>
          </w:p>
        </w:tc>
        <w:tc>
          <w:tcPr>
            <w:tcW w:w="2126" w:type="dxa"/>
          </w:tcPr>
          <w:p w:rsidR="001C0C02" w:rsidRPr="000A0484" w:rsidRDefault="001C0C02" w:rsidP="00082943">
            <w:pPr>
              <w:pStyle w:val="ListParagraph"/>
              <w:widowControl/>
              <w:spacing w:after="120"/>
              <w:ind w:left="0"/>
              <w:contextualSpacing w:val="0"/>
              <w:jc w:val="left"/>
              <w:rPr>
                <w:rFonts w:ascii="Arial Narrow" w:hAnsi="Arial Narrow"/>
                <w:b/>
                <w:sz w:val="20"/>
              </w:rPr>
            </w:pPr>
            <w:r w:rsidRPr="000A0484">
              <w:rPr>
                <w:rFonts w:ascii="Arial Narrow" w:hAnsi="Arial Narrow"/>
                <w:b/>
                <w:sz w:val="20"/>
              </w:rPr>
              <w:t>Source/Assumption</w:t>
            </w:r>
          </w:p>
        </w:tc>
        <w:tc>
          <w:tcPr>
            <w:tcW w:w="2835" w:type="dxa"/>
          </w:tcPr>
          <w:p w:rsidR="001C0C02" w:rsidRPr="000A0484" w:rsidRDefault="001C0C02" w:rsidP="00082943">
            <w:pPr>
              <w:pStyle w:val="ListParagraph"/>
              <w:widowControl/>
              <w:spacing w:after="120"/>
              <w:ind w:left="0"/>
              <w:contextualSpacing w:val="0"/>
              <w:jc w:val="left"/>
              <w:rPr>
                <w:rFonts w:ascii="Arial Narrow" w:hAnsi="Arial Narrow"/>
                <w:b/>
                <w:sz w:val="20"/>
              </w:rPr>
            </w:pPr>
            <w:r w:rsidRPr="000A0484">
              <w:rPr>
                <w:rFonts w:ascii="Arial Narrow" w:hAnsi="Arial Narrow"/>
                <w:b/>
                <w:sz w:val="20"/>
              </w:rPr>
              <w:t>Source (un)changed from November 2017/Comments</w:t>
            </w:r>
          </w:p>
        </w:tc>
      </w:tr>
      <w:tr w:rsidR="009E1D54" w:rsidRPr="000A0484" w:rsidTr="009E1D54">
        <w:trPr>
          <w:tblHeader/>
        </w:trPr>
        <w:tc>
          <w:tcPr>
            <w:tcW w:w="567"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1</w:t>
            </w:r>
          </w:p>
        </w:tc>
        <w:tc>
          <w:tcPr>
            <w:tcW w:w="1985"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19,529,153 adults in Australia in 2018, increasing to 21,139,340 in 2023</w:t>
            </w:r>
          </w:p>
        </w:tc>
        <w:tc>
          <w:tcPr>
            <w:tcW w:w="1701"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w:t>
            </w:r>
          </w:p>
        </w:tc>
        <w:tc>
          <w:tcPr>
            <w:tcW w:w="2126"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ABS catalogue no. 3222.0 –Population Projections, Australia – Series B</w:t>
            </w:r>
          </w:p>
        </w:tc>
        <w:tc>
          <w:tcPr>
            <w:tcW w:w="2835" w:type="dxa"/>
          </w:tcPr>
          <w:p w:rsidR="00F91E0D" w:rsidRPr="000A0484" w:rsidRDefault="002A34B6"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Source unchanged</w:t>
            </w:r>
          </w:p>
          <w:p w:rsidR="001C0C02" w:rsidRPr="000A0484" w:rsidRDefault="004138BA"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The evaluation of the November 2017 submission stated the source was r</w:t>
            </w:r>
            <w:r w:rsidR="002A34B6" w:rsidRPr="000A0484">
              <w:rPr>
                <w:rFonts w:ascii="Arial Narrow" w:hAnsi="Arial Narrow"/>
                <w:sz w:val="20"/>
              </w:rPr>
              <w:t>easonable</w:t>
            </w:r>
            <w:r w:rsidRPr="000A0484">
              <w:rPr>
                <w:rFonts w:ascii="Arial Narrow" w:hAnsi="Arial Narrow"/>
                <w:sz w:val="20"/>
              </w:rPr>
              <w:t>.</w:t>
            </w:r>
          </w:p>
        </w:tc>
      </w:tr>
      <w:tr w:rsidR="00F91E0D" w:rsidRPr="000A0484" w:rsidTr="009E1D54">
        <w:trPr>
          <w:tblHeader/>
        </w:trPr>
        <w:tc>
          <w:tcPr>
            <w:tcW w:w="567" w:type="dxa"/>
            <w:tcBorders>
              <w:left w:val="single" w:sz="4" w:space="0" w:color="auto"/>
            </w:tcBorders>
          </w:tcPr>
          <w:p w:rsidR="00F91E0D" w:rsidRPr="000A0484" w:rsidRDefault="00F91E0D"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2</w:t>
            </w:r>
          </w:p>
        </w:tc>
        <w:tc>
          <w:tcPr>
            <w:tcW w:w="1985" w:type="dxa"/>
            <w:tcBorders>
              <w:left w:val="single" w:sz="4" w:space="0" w:color="auto"/>
            </w:tcBorders>
          </w:tcPr>
          <w:p w:rsidR="00F91E0D" w:rsidRPr="000A0484" w:rsidRDefault="00F91E0D"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Adults in Australia already diagnosed with Crohn’s disease</w:t>
            </w:r>
          </w:p>
        </w:tc>
        <w:tc>
          <w:tcPr>
            <w:tcW w:w="1701" w:type="dxa"/>
          </w:tcPr>
          <w:p w:rsidR="00F91E0D" w:rsidRPr="000A0484" w:rsidRDefault="00F91E0D"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38,531 in 2018</w:t>
            </w:r>
          </w:p>
        </w:tc>
        <w:tc>
          <w:tcPr>
            <w:tcW w:w="2126" w:type="dxa"/>
          </w:tcPr>
          <w:p w:rsidR="00F91E0D" w:rsidRPr="000A0484" w:rsidRDefault="00F91E0D"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 xml:space="preserve">Prevalence from </w:t>
            </w:r>
            <w:proofErr w:type="spellStart"/>
            <w:r w:rsidRPr="000A0484">
              <w:rPr>
                <w:rFonts w:ascii="Arial Narrow" w:hAnsi="Arial Narrow"/>
                <w:sz w:val="20"/>
              </w:rPr>
              <w:t>Studd</w:t>
            </w:r>
            <w:proofErr w:type="spellEnd"/>
            <w:r w:rsidRPr="000A0484">
              <w:rPr>
                <w:rFonts w:ascii="Arial Narrow" w:hAnsi="Arial Narrow"/>
                <w:sz w:val="20"/>
              </w:rPr>
              <w:t xml:space="preserve"> et al. (2016) of 197.3 in 100,000</w:t>
            </w:r>
          </w:p>
        </w:tc>
        <w:tc>
          <w:tcPr>
            <w:tcW w:w="2835" w:type="dxa"/>
            <w:vMerge w:val="restart"/>
          </w:tcPr>
          <w:p w:rsidR="004138BA" w:rsidRPr="000A0484" w:rsidRDefault="004138BA"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Sources unchanged</w:t>
            </w:r>
          </w:p>
          <w:p w:rsidR="00F91E0D" w:rsidRPr="000A0484" w:rsidRDefault="004138BA"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 xml:space="preserve">The evaluation of the November 2017 submission stated that as the incidence of new cases of CD is small relative to prevalent </w:t>
            </w:r>
            <w:proofErr w:type="gramStart"/>
            <w:r w:rsidR="0080668A" w:rsidRPr="000A0484">
              <w:rPr>
                <w:rFonts w:ascii="Arial Narrow" w:hAnsi="Arial Narrow"/>
                <w:sz w:val="20"/>
              </w:rPr>
              <w:t>case</w:t>
            </w:r>
            <w:r w:rsidR="00553906" w:rsidRPr="000A0484">
              <w:rPr>
                <w:rFonts w:ascii="Arial Narrow" w:hAnsi="Arial Narrow"/>
                <w:sz w:val="20"/>
              </w:rPr>
              <w:t>s,</w:t>
            </w:r>
            <w:proofErr w:type="gramEnd"/>
            <w:r w:rsidRPr="000A0484">
              <w:rPr>
                <w:rFonts w:ascii="Arial Narrow" w:hAnsi="Arial Narrow"/>
                <w:sz w:val="20"/>
              </w:rPr>
              <w:t xml:space="preserve"> prevalent cases are considered sufficient for estimation of the eligible population in this case, particularly as there are significant cost offsets claimed against </w:t>
            </w:r>
            <w:proofErr w:type="spellStart"/>
            <w:r w:rsidRPr="000A0484">
              <w:rPr>
                <w:rFonts w:ascii="Arial Narrow" w:hAnsi="Arial Narrow"/>
                <w:sz w:val="20"/>
              </w:rPr>
              <w:t>mesalazine</w:t>
            </w:r>
            <w:proofErr w:type="spellEnd"/>
            <w:r w:rsidRPr="000A0484">
              <w:rPr>
                <w:rFonts w:ascii="Arial Narrow" w:hAnsi="Arial Narrow"/>
                <w:sz w:val="20"/>
              </w:rPr>
              <w:t>.</w:t>
            </w:r>
          </w:p>
        </w:tc>
      </w:tr>
      <w:tr w:rsidR="00F91E0D" w:rsidRPr="000A0484" w:rsidTr="009E1D54">
        <w:trPr>
          <w:tblHeader/>
        </w:trPr>
        <w:tc>
          <w:tcPr>
            <w:tcW w:w="567" w:type="dxa"/>
            <w:tcBorders>
              <w:left w:val="single" w:sz="4" w:space="0" w:color="auto"/>
            </w:tcBorders>
          </w:tcPr>
          <w:p w:rsidR="00F91E0D" w:rsidRPr="000A0484" w:rsidRDefault="00F91E0D"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3</w:t>
            </w:r>
          </w:p>
        </w:tc>
        <w:tc>
          <w:tcPr>
            <w:tcW w:w="1985" w:type="dxa"/>
            <w:tcBorders>
              <w:left w:val="single" w:sz="4" w:space="0" w:color="auto"/>
            </w:tcBorders>
          </w:tcPr>
          <w:p w:rsidR="00F91E0D" w:rsidRPr="000A0484" w:rsidRDefault="00F91E0D"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 xml:space="preserve">New cases/year of Crohn’s disease in Australia </w:t>
            </w:r>
          </w:p>
        </w:tc>
        <w:tc>
          <w:tcPr>
            <w:tcW w:w="1701" w:type="dxa"/>
          </w:tcPr>
          <w:p w:rsidR="00F91E0D" w:rsidRPr="000A0484" w:rsidRDefault="00F91E0D"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3,125 in 2018</w:t>
            </w:r>
          </w:p>
        </w:tc>
        <w:tc>
          <w:tcPr>
            <w:tcW w:w="2126" w:type="dxa"/>
          </w:tcPr>
          <w:p w:rsidR="00F91E0D" w:rsidRPr="000A0484" w:rsidRDefault="00F91E0D"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 xml:space="preserve">Incidence from </w:t>
            </w:r>
            <w:proofErr w:type="spellStart"/>
            <w:r w:rsidRPr="000A0484">
              <w:rPr>
                <w:rFonts w:ascii="Arial Narrow" w:hAnsi="Arial Narrow"/>
                <w:sz w:val="20"/>
              </w:rPr>
              <w:t>Vegh</w:t>
            </w:r>
            <w:proofErr w:type="spellEnd"/>
            <w:r w:rsidRPr="000A0484">
              <w:rPr>
                <w:rFonts w:ascii="Arial Narrow" w:hAnsi="Arial Narrow"/>
                <w:sz w:val="20"/>
              </w:rPr>
              <w:t xml:space="preserve"> et al. (2014) of 16 in 100,000</w:t>
            </w:r>
          </w:p>
        </w:tc>
        <w:tc>
          <w:tcPr>
            <w:tcW w:w="2835" w:type="dxa"/>
            <w:vMerge/>
          </w:tcPr>
          <w:p w:rsidR="00F91E0D" w:rsidRPr="000A0484" w:rsidRDefault="00F91E0D" w:rsidP="00082943">
            <w:pPr>
              <w:pStyle w:val="ListParagraph"/>
              <w:widowControl/>
              <w:spacing w:after="120"/>
              <w:ind w:left="0"/>
              <w:contextualSpacing w:val="0"/>
              <w:jc w:val="left"/>
              <w:rPr>
                <w:rFonts w:ascii="Arial Narrow" w:hAnsi="Arial Narrow"/>
                <w:sz w:val="20"/>
              </w:rPr>
            </w:pPr>
          </w:p>
        </w:tc>
      </w:tr>
      <w:tr w:rsidR="009E1D54" w:rsidRPr="000A0484" w:rsidTr="009E1D54">
        <w:trPr>
          <w:tblHeader/>
        </w:trPr>
        <w:tc>
          <w:tcPr>
            <w:tcW w:w="567"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4</w:t>
            </w:r>
          </w:p>
        </w:tc>
        <w:tc>
          <w:tcPr>
            <w:tcW w:w="1985"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Total patients with Crohn’s disease in Australia</w:t>
            </w:r>
          </w:p>
        </w:tc>
        <w:tc>
          <w:tcPr>
            <w:tcW w:w="1701"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41,656 in 2018</w:t>
            </w:r>
          </w:p>
        </w:tc>
        <w:tc>
          <w:tcPr>
            <w:tcW w:w="2126"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Total of diagnosed patients and new cases</w:t>
            </w:r>
          </w:p>
        </w:tc>
        <w:tc>
          <w:tcPr>
            <w:tcW w:w="2835" w:type="dxa"/>
          </w:tcPr>
          <w:p w:rsidR="001C0C02" w:rsidRPr="000A0484" w:rsidRDefault="00F91E0D"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w:t>
            </w:r>
          </w:p>
        </w:tc>
      </w:tr>
      <w:tr w:rsidR="009E1D54" w:rsidRPr="000A0484" w:rsidTr="009E1D54">
        <w:trPr>
          <w:tblHeader/>
        </w:trPr>
        <w:tc>
          <w:tcPr>
            <w:tcW w:w="567"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5</w:t>
            </w:r>
          </w:p>
        </w:tc>
        <w:tc>
          <w:tcPr>
            <w:tcW w:w="1985"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Deaths/year for patients with Crohn’s disease in Australia</w:t>
            </w:r>
          </w:p>
        </w:tc>
        <w:tc>
          <w:tcPr>
            <w:tcW w:w="1701"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666 in 2018</w:t>
            </w:r>
          </w:p>
        </w:tc>
        <w:tc>
          <w:tcPr>
            <w:tcW w:w="2126"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Mortality rate for Crohn’s disease from Loftus (2006) of 1.6%</w:t>
            </w:r>
          </w:p>
        </w:tc>
        <w:tc>
          <w:tcPr>
            <w:tcW w:w="2835" w:type="dxa"/>
          </w:tcPr>
          <w:p w:rsidR="004138BA" w:rsidRPr="000A0484" w:rsidRDefault="004138BA"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Source unchanged</w:t>
            </w:r>
          </w:p>
          <w:p w:rsidR="00F91E0D" w:rsidRPr="000A0484" w:rsidRDefault="00F91E0D" w:rsidP="00082943">
            <w:pPr>
              <w:pStyle w:val="ListParagraph"/>
              <w:widowControl/>
              <w:spacing w:after="120"/>
              <w:ind w:left="0"/>
              <w:contextualSpacing w:val="0"/>
              <w:jc w:val="left"/>
              <w:rPr>
                <w:rFonts w:ascii="Arial Narrow" w:hAnsi="Arial Narrow"/>
                <w:sz w:val="20"/>
              </w:rPr>
            </w:pPr>
          </w:p>
        </w:tc>
      </w:tr>
      <w:tr w:rsidR="009E1D54" w:rsidRPr="000A0484" w:rsidTr="009E1D54">
        <w:trPr>
          <w:tblHeader/>
        </w:trPr>
        <w:tc>
          <w:tcPr>
            <w:tcW w:w="567"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6</w:t>
            </w:r>
          </w:p>
        </w:tc>
        <w:tc>
          <w:tcPr>
            <w:tcW w:w="1985"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Total patients surviving with Crohn’s disease in Australia</w:t>
            </w:r>
          </w:p>
        </w:tc>
        <w:tc>
          <w:tcPr>
            <w:tcW w:w="1701"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40,989 in 2018</w:t>
            </w:r>
          </w:p>
        </w:tc>
        <w:tc>
          <w:tcPr>
            <w:tcW w:w="2126"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Total patients minus deaths</w:t>
            </w:r>
          </w:p>
        </w:tc>
        <w:tc>
          <w:tcPr>
            <w:tcW w:w="2835" w:type="dxa"/>
          </w:tcPr>
          <w:p w:rsidR="001C0C02" w:rsidRPr="000A0484" w:rsidRDefault="00F91E0D"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w:t>
            </w:r>
          </w:p>
        </w:tc>
      </w:tr>
      <w:tr w:rsidR="009E1D54" w:rsidRPr="000A0484" w:rsidTr="009E1D54">
        <w:trPr>
          <w:tblHeader/>
        </w:trPr>
        <w:tc>
          <w:tcPr>
            <w:tcW w:w="567"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lastRenderedPageBreak/>
              <w:t>7</w:t>
            </w:r>
          </w:p>
        </w:tc>
        <w:tc>
          <w:tcPr>
            <w:tcW w:w="1985"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Eligible population in Australia</w:t>
            </w:r>
          </w:p>
        </w:tc>
        <w:tc>
          <w:tcPr>
            <w:tcW w:w="1701"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18,199 in 2018</w:t>
            </w:r>
          </w:p>
        </w:tc>
        <w:tc>
          <w:tcPr>
            <w:tcW w:w="2126"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44% eligible based on mild to moderate CD, eligible for first/ second-line treatment criteria</w:t>
            </w:r>
          </w:p>
        </w:tc>
        <w:tc>
          <w:tcPr>
            <w:tcW w:w="2835" w:type="dxa"/>
          </w:tcPr>
          <w:p w:rsidR="004138BA" w:rsidRPr="000A0484" w:rsidRDefault="004138BA" w:rsidP="00082943">
            <w:pPr>
              <w:pStyle w:val="ListParagraph"/>
              <w:widowControl/>
              <w:spacing w:after="120"/>
              <w:ind w:left="0"/>
              <w:contextualSpacing w:val="0"/>
              <w:jc w:val="left"/>
              <w:rPr>
                <w:rFonts w:ascii="Arial Narrow" w:hAnsi="Arial Narrow" w:cs="AdvPED1282"/>
                <w:iCs/>
                <w:sz w:val="20"/>
              </w:rPr>
            </w:pPr>
            <w:r w:rsidRPr="000A0484">
              <w:rPr>
                <w:rFonts w:ascii="Arial Narrow" w:hAnsi="Arial Narrow" w:cs="AdvPED1282"/>
                <w:iCs/>
                <w:sz w:val="20"/>
              </w:rPr>
              <w:t>Source unchanged (remains based on clinician survey) but the proportion has increased from 20% to 44% as the November 2017 submission assumed budesonide would be used second line only</w:t>
            </w:r>
          </w:p>
          <w:p w:rsidR="00F91E0D" w:rsidRPr="000A0484" w:rsidRDefault="004138BA" w:rsidP="00082943">
            <w:pPr>
              <w:pStyle w:val="ListParagraph"/>
              <w:widowControl/>
              <w:spacing w:after="120"/>
              <w:ind w:left="0"/>
              <w:contextualSpacing w:val="0"/>
              <w:jc w:val="left"/>
              <w:rPr>
                <w:rFonts w:ascii="Arial Narrow" w:hAnsi="Arial Narrow"/>
                <w:sz w:val="20"/>
              </w:rPr>
            </w:pPr>
            <w:r w:rsidRPr="000A0484">
              <w:rPr>
                <w:rFonts w:ascii="Arial Narrow" w:hAnsi="Arial Narrow" w:cs="AdvPED1282"/>
                <w:iCs/>
                <w:sz w:val="20"/>
              </w:rPr>
              <w:t>The evaluation of the November 2017 submission stated the submission claimed that this was derived from the clinician survey, this was not able to be verified, the survey did not ask for an answer to this issue.</w:t>
            </w:r>
          </w:p>
        </w:tc>
      </w:tr>
      <w:tr w:rsidR="009E1D54" w:rsidRPr="000A0484" w:rsidTr="009E1D54">
        <w:trPr>
          <w:tblHeader/>
        </w:trPr>
        <w:tc>
          <w:tcPr>
            <w:tcW w:w="567"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8</w:t>
            </w:r>
          </w:p>
        </w:tc>
        <w:tc>
          <w:tcPr>
            <w:tcW w:w="1985"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Treated population in Australia</w:t>
            </w:r>
          </w:p>
        </w:tc>
        <w:tc>
          <w:tcPr>
            <w:tcW w:w="1701"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3,640 in 2018</w:t>
            </w:r>
          </w:p>
        </w:tc>
        <w:tc>
          <w:tcPr>
            <w:tcW w:w="2126"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 xml:space="preserve">Assumptions on uptake rate for budesonide </w:t>
            </w:r>
          </w:p>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 20%</w:t>
            </w:r>
            <w:r w:rsidR="00DB514F" w:rsidRPr="000A0484">
              <w:rPr>
                <w:rFonts w:ascii="Arial Narrow" w:hAnsi="Arial Narrow"/>
                <w:sz w:val="20"/>
              </w:rPr>
              <w:t>–</w:t>
            </w:r>
            <w:r w:rsidRPr="000A0484">
              <w:rPr>
                <w:rFonts w:ascii="Arial Narrow" w:hAnsi="Arial Narrow"/>
                <w:sz w:val="20"/>
              </w:rPr>
              <w:t>35% in Years 1</w:t>
            </w:r>
            <w:r w:rsidR="00DB514F" w:rsidRPr="000A0484">
              <w:rPr>
                <w:rFonts w:ascii="Arial Narrow" w:hAnsi="Arial Narrow"/>
                <w:sz w:val="20"/>
              </w:rPr>
              <w:t>–</w:t>
            </w:r>
            <w:r w:rsidRPr="000A0484">
              <w:rPr>
                <w:rFonts w:ascii="Arial Narrow" w:hAnsi="Arial Narrow"/>
                <w:sz w:val="20"/>
              </w:rPr>
              <w:t>6 of PBS listing</w:t>
            </w:r>
          </w:p>
        </w:tc>
        <w:tc>
          <w:tcPr>
            <w:tcW w:w="2835" w:type="dxa"/>
          </w:tcPr>
          <w:p w:rsidR="00082943" w:rsidRPr="000A0484" w:rsidRDefault="00082943"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Source unchanged (remains an assumption by the sponsor) but the uptake rate for budesonide in the November 2017 submission was 20%–50% in Years 1–6 of PBS listing.</w:t>
            </w:r>
          </w:p>
          <w:p w:rsidR="00DB514F" w:rsidRPr="000A0484" w:rsidRDefault="00082943" w:rsidP="00BC30AB">
            <w:pPr>
              <w:pStyle w:val="ListParagraph"/>
              <w:widowControl/>
              <w:spacing w:after="120"/>
              <w:ind w:left="0"/>
              <w:contextualSpacing w:val="0"/>
              <w:jc w:val="left"/>
              <w:rPr>
                <w:rFonts w:ascii="Arial Narrow" w:hAnsi="Arial Narrow"/>
                <w:sz w:val="20"/>
              </w:rPr>
            </w:pPr>
            <w:r w:rsidRPr="000A0484">
              <w:rPr>
                <w:rFonts w:ascii="Arial Narrow" w:hAnsi="Arial Narrow"/>
                <w:sz w:val="20"/>
              </w:rPr>
              <w:t>The e</w:t>
            </w:r>
            <w:r w:rsidR="008A4065">
              <w:rPr>
                <w:rFonts w:ascii="Arial Narrow" w:hAnsi="Arial Narrow"/>
                <w:sz w:val="20"/>
              </w:rPr>
              <w:t>valuation of the</w:t>
            </w:r>
            <w:r w:rsidRPr="000A0484">
              <w:rPr>
                <w:rFonts w:ascii="Arial Narrow" w:hAnsi="Arial Narrow"/>
                <w:sz w:val="20"/>
              </w:rPr>
              <w:t xml:space="preserve"> November 2017 submission stated that the assumption of a 20%–50% uptake in Years 1–6 may be an underestimate. Clinicians surveyed by the </w:t>
            </w:r>
            <w:r w:rsidR="00BC30AB" w:rsidRPr="000A0484">
              <w:rPr>
                <w:rFonts w:ascii="Arial Narrow" w:hAnsi="Arial Narrow"/>
                <w:sz w:val="20"/>
              </w:rPr>
              <w:t xml:space="preserve">sponsor </w:t>
            </w:r>
            <w:r w:rsidRPr="000A0484">
              <w:rPr>
                <w:rFonts w:ascii="Arial Narrow" w:hAnsi="Arial Narrow"/>
                <w:sz w:val="20"/>
              </w:rPr>
              <w:t>indicated use of budesonide on the PBS may be higher. From approximately 10–20% presently on private prescription rising up to 80% of their patients after PBS listing.</w:t>
            </w:r>
          </w:p>
        </w:tc>
      </w:tr>
      <w:tr w:rsidR="009E1D54" w:rsidRPr="000A0484" w:rsidTr="009E1D54">
        <w:trPr>
          <w:tblHeader/>
        </w:trPr>
        <w:tc>
          <w:tcPr>
            <w:tcW w:w="567"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9</w:t>
            </w:r>
          </w:p>
        </w:tc>
        <w:tc>
          <w:tcPr>
            <w:tcW w:w="1985"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Total budesonide packs per year</w:t>
            </w:r>
          </w:p>
        </w:tc>
        <w:tc>
          <w:tcPr>
            <w:tcW w:w="1701"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25,479 in 2018</w:t>
            </w:r>
          </w:p>
        </w:tc>
        <w:tc>
          <w:tcPr>
            <w:tcW w:w="2126" w:type="dxa"/>
          </w:tcPr>
          <w:p w:rsidR="00082943" w:rsidRPr="000A0484" w:rsidRDefault="00082943" w:rsidP="00082943">
            <w:pPr>
              <w:keepNext/>
              <w:spacing w:before="40" w:after="40"/>
              <w:rPr>
                <w:rFonts w:ascii="Arial Narrow" w:eastAsiaTheme="minorHAnsi" w:hAnsi="Arial Narrow" w:cstheme="minorBidi"/>
                <w:sz w:val="20"/>
                <w:szCs w:val="22"/>
                <w:lang w:eastAsia="en-US"/>
              </w:rPr>
            </w:pPr>
            <w:r w:rsidRPr="000A0484">
              <w:rPr>
                <w:rFonts w:ascii="Arial Narrow" w:eastAsiaTheme="minorHAnsi" w:hAnsi="Arial Narrow" w:cstheme="minorBidi"/>
                <w:sz w:val="20"/>
                <w:szCs w:val="22"/>
                <w:lang w:eastAsia="en-US"/>
              </w:rPr>
              <w:t xml:space="preserve">Budesonide dosage of </w:t>
            </w:r>
            <w:r w:rsidRPr="000A0484">
              <w:rPr>
                <w:rFonts w:ascii="Arial Narrow" w:eastAsiaTheme="minorHAnsi" w:hAnsi="Arial Narrow" w:cstheme="minorBidi"/>
                <w:sz w:val="20"/>
                <w:szCs w:val="22"/>
                <w:lang w:eastAsia="en-US"/>
              </w:rPr>
              <w:br/>
              <w:t xml:space="preserve">9 mg/day for 8 weeks followed by an average dose of 4.5 mg/day for 4 weeks based on PI (due to dose tapering); </w:t>
            </w:r>
          </w:p>
          <w:p w:rsidR="001C0C02" w:rsidRPr="000A0484" w:rsidRDefault="00082943" w:rsidP="00082943">
            <w:pPr>
              <w:pStyle w:val="ListParagraph"/>
              <w:widowControl/>
              <w:spacing w:after="120"/>
              <w:ind w:left="0"/>
              <w:contextualSpacing w:val="0"/>
              <w:jc w:val="left"/>
              <w:rPr>
                <w:rFonts w:ascii="Arial Narrow" w:hAnsi="Arial Narrow"/>
                <w:sz w:val="20"/>
              </w:rPr>
            </w:pPr>
            <w:r w:rsidRPr="000A0484">
              <w:rPr>
                <w:rFonts w:ascii="Arial Narrow" w:eastAsiaTheme="minorHAnsi" w:hAnsi="Arial Narrow" w:cstheme="minorBidi"/>
                <w:sz w:val="20"/>
                <w:szCs w:val="22"/>
              </w:rPr>
              <w:t>Assumed each CD patient will have 3 episodes per year (adjusted from clinical survey results) requiring 2.3 packs per episode (7 packs per year)</w:t>
            </w:r>
          </w:p>
        </w:tc>
        <w:tc>
          <w:tcPr>
            <w:tcW w:w="2835" w:type="dxa"/>
          </w:tcPr>
          <w:p w:rsidR="00082943" w:rsidRPr="000A0484" w:rsidRDefault="00082943" w:rsidP="00082943">
            <w:pPr>
              <w:pStyle w:val="ListParagraph"/>
              <w:widowControl/>
              <w:spacing w:after="120"/>
              <w:ind w:left="0"/>
              <w:contextualSpacing w:val="0"/>
              <w:jc w:val="left"/>
              <w:rPr>
                <w:rFonts w:ascii="Arial Narrow" w:hAnsi="Arial Narrow" w:cs="AdvPED1282"/>
                <w:iCs/>
                <w:sz w:val="20"/>
              </w:rPr>
            </w:pPr>
            <w:r w:rsidRPr="000A0484">
              <w:rPr>
                <w:rFonts w:ascii="Arial Narrow" w:hAnsi="Arial Narrow" w:cs="AdvPED1282"/>
                <w:iCs/>
                <w:sz w:val="20"/>
              </w:rPr>
              <w:t>Source unchanged</w:t>
            </w:r>
          </w:p>
          <w:p w:rsidR="001C0C02" w:rsidRPr="000A0484" w:rsidRDefault="00082943" w:rsidP="00082943">
            <w:pPr>
              <w:pStyle w:val="ListParagraph"/>
              <w:widowControl/>
              <w:spacing w:after="120"/>
              <w:ind w:left="0"/>
              <w:contextualSpacing w:val="0"/>
              <w:jc w:val="left"/>
              <w:rPr>
                <w:rFonts w:ascii="Arial Narrow" w:hAnsi="Arial Narrow"/>
                <w:sz w:val="20"/>
              </w:rPr>
            </w:pPr>
            <w:r w:rsidRPr="000A0484">
              <w:rPr>
                <w:rFonts w:ascii="Arial Narrow" w:hAnsi="Arial Narrow" w:cs="AdvPED1282"/>
                <w:iCs/>
                <w:sz w:val="20"/>
              </w:rPr>
              <w:t xml:space="preserve">The evaluation of the November 2017 submission stated that the clinician surveys indicated an average of 2 flare ups per year per patient is likely.  However, the submission then added one extra episode to the analysis, and justified this on the basis that some of the specialists answering the survey more commonly treated their patients with biologics or </w:t>
            </w:r>
            <w:proofErr w:type="spellStart"/>
            <w:r w:rsidRPr="000A0484">
              <w:rPr>
                <w:rFonts w:ascii="Arial Narrow" w:hAnsi="Arial Narrow" w:cs="AdvPED1282"/>
                <w:iCs/>
                <w:sz w:val="20"/>
              </w:rPr>
              <w:t>immunosuppressants</w:t>
            </w:r>
            <w:proofErr w:type="spellEnd"/>
            <w:r w:rsidRPr="000A0484">
              <w:rPr>
                <w:rFonts w:ascii="Arial Narrow" w:hAnsi="Arial Narrow" w:cs="AdvPED1282"/>
                <w:iCs/>
                <w:sz w:val="20"/>
              </w:rPr>
              <w:t xml:space="preserve">, which are more effective than </w:t>
            </w:r>
            <w:proofErr w:type="spellStart"/>
            <w:r w:rsidRPr="000A0484">
              <w:rPr>
                <w:rFonts w:ascii="Arial Narrow" w:hAnsi="Arial Narrow" w:cs="AdvPED1282"/>
                <w:iCs/>
                <w:sz w:val="20"/>
              </w:rPr>
              <w:t>mesalazine</w:t>
            </w:r>
            <w:proofErr w:type="spellEnd"/>
            <w:r w:rsidRPr="000A0484">
              <w:rPr>
                <w:rFonts w:ascii="Arial Narrow" w:hAnsi="Arial Narrow" w:cs="AdvPED1282"/>
                <w:iCs/>
                <w:sz w:val="20"/>
              </w:rPr>
              <w:t xml:space="preserve"> at preventing flares.  This may not be appropriate given </w:t>
            </w:r>
            <w:proofErr w:type="spellStart"/>
            <w:r w:rsidRPr="000A0484">
              <w:rPr>
                <w:rFonts w:ascii="Arial Narrow" w:hAnsi="Arial Narrow" w:cs="AdvPED1282"/>
                <w:iCs/>
                <w:sz w:val="20"/>
              </w:rPr>
              <w:t>immunosuppressants</w:t>
            </w:r>
            <w:proofErr w:type="spellEnd"/>
            <w:r w:rsidRPr="000A0484">
              <w:rPr>
                <w:rFonts w:ascii="Arial Narrow" w:hAnsi="Arial Narrow" w:cs="AdvPED1282"/>
                <w:iCs/>
                <w:sz w:val="20"/>
              </w:rPr>
              <w:t xml:space="preserve"> and biologic therapies are reserved for patients with more severe CD and are not usually administered in 1st or 2nd line treatment for mild and moderate CD.</w:t>
            </w:r>
          </w:p>
        </w:tc>
      </w:tr>
      <w:tr w:rsidR="009E1D54" w:rsidRPr="000A0484" w:rsidTr="009E1D54">
        <w:trPr>
          <w:tblHeader/>
        </w:trPr>
        <w:tc>
          <w:tcPr>
            <w:tcW w:w="567"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lastRenderedPageBreak/>
              <w:t>10</w:t>
            </w:r>
          </w:p>
        </w:tc>
        <w:tc>
          <w:tcPr>
            <w:tcW w:w="1985" w:type="dxa"/>
            <w:tcBorders>
              <w:left w:val="single" w:sz="4" w:space="0" w:color="auto"/>
            </w:tcBorders>
          </w:tcPr>
          <w:p w:rsidR="001C0C02" w:rsidRPr="000A0484" w:rsidRDefault="001C0C02" w:rsidP="00082943">
            <w:pPr>
              <w:pStyle w:val="ListParagraph"/>
              <w:widowControl/>
              <w:spacing w:after="120"/>
              <w:ind w:left="0"/>
              <w:contextualSpacing w:val="0"/>
              <w:jc w:val="left"/>
              <w:rPr>
                <w:rFonts w:ascii="Arial Narrow" w:hAnsi="Arial Narrow"/>
                <w:sz w:val="20"/>
              </w:rPr>
            </w:pPr>
            <w:proofErr w:type="spellStart"/>
            <w:r w:rsidRPr="000A0484">
              <w:rPr>
                <w:rFonts w:ascii="Arial Narrow" w:hAnsi="Arial Narrow"/>
                <w:sz w:val="20"/>
              </w:rPr>
              <w:t>Mesalazine</w:t>
            </w:r>
            <w:proofErr w:type="spellEnd"/>
            <w:r w:rsidRPr="000A0484">
              <w:rPr>
                <w:rFonts w:ascii="Arial Narrow" w:hAnsi="Arial Narrow"/>
                <w:sz w:val="20"/>
              </w:rPr>
              <w:t xml:space="preserve"> and </w:t>
            </w:r>
            <w:r w:rsidR="0080668A" w:rsidRPr="000A0484">
              <w:rPr>
                <w:rFonts w:ascii="Arial Narrow" w:hAnsi="Arial Narrow"/>
                <w:sz w:val="20"/>
              </w:rPr>
              <w:t>prednisolone</w:t>
            </w:r>
            <w:r w:rsidRPr="000A0484">
              <w:rPr>
                <w:rFonts w:ascii="Arial Narrow" w:hAnsi="Arial Narrow"/>
                <w:sz w:val="20"/>
              </w:rPr>
              <w:t xml:space="preserve"> doses</w:t>
            </w:r>
          </w:p>
        </w:tc>
        <w:tc>
          <w:tcPr>
            <w:tcW w:w="1701" w:type="dxa"/>
          </w:tcPr>
          <w:p w:rsidR="001C0C02" w:rsidRPr="000A0484" w:rsidRDefault="001C0C02" w:rsidP="00082943">
            <w:pPr>
              <w:pStyle w:val="ListParagraph"/>
              <w:widowControl/>
              <w:spacing w:after="120"/>
              <w:ind w:left="0"/>
              <w:contextualSpacing w:val="0"/>
              <w:jc w:val="left"/>
              <w:rPr>
                <w:rFonts w:ascii="Arial Narrow" w:hAnsi="Arial Narrow"/>
                <w:sz w:val="20"/>
              </w:rPr>
            </w:pPr>
            <w:proofErr w:type="spellStart"/>
            <w:r w:rsidRPr="000A0484">
              <w:rPr>
                <w:rFonts w:ascii="Arial Narrow" w:hAnsi="Arial Narrow"/>
                <w:sz w:val="20"/>
              </w:rPr>
              <w:t>mesalazine</w:t>
            </w:r>
            <w:proofErr w:type="spellEnd"/>
            <w:r w:rsidRPr="000A0484">
              <w:rPr>
                <w:rFonts w:ascii="Arial Narrow" w:hAnsi="Arial Narrow"/>
                <w:sz w:val="20"/>
              </w:rPr>
              <w:t xml:space="preserve"> – </w:t>
            </w:r>
            <w:proofErr w:type="spellStart"/>
            <w:r w:rsidRPr="000A0484">
              <w:rPr>
                <w:rFonts w:ascii="Arial Narrow" w:hAnsi="Arial Narrow"/>
                <w:sz w:val="20"/>
              </w:rPr>
              <w:t>Pentasa</w:t>
            </w:r>
            <w:proofErr w:type="spellEnd"/>
            <w:r w:rsidRPr="000A0484">
              <w:rPr>
                <w:rFonts w:ascii="Arial Narrow" w:hAnsi="Arial Narrow"/>
                <w:sz w:val="20"/>
              </w:rPr>
              <w:t xml:space="preserve"> – 4g a day episodic dose, 4g a day taper dose (4 weeks)</w:t>
            </w:r>
          </w:p>
          <w:p w:rsidR="001C0C02" w:rsidRPr="000A0484" w:rsidRDefault="001C0C02" w:rsidP="00082943">
            <w:pPr>
              <w:pStyle w:val="ListParagraph"/>
              <w:widowControl/>
              <w:spacing w:after="120"/>
              <w:ind w:left="0"/>
              <w:contextualSpacing w:val="0"/>
              <w:jc w:val="left"/>
              <w:rPr>
                <w:rFonts w:ascii="Arial Narrow" w:hAnsi="Arial Narrow"/>
                <w:sz w:val="20"/>
              </w:rPr>
            </w:pPr>
            <w:proofErr w:type="spellStart"/>
            <w:r w:rsidRPr="000A0484">
              <w:rPr>
                <w:rFonts w:ascii="Arial Narrow" w:hAnsi="Arial Narrow"/>
                <w:sz w:val="20"/>
              </w:rPr>
              <w:t>mesalazine</w:t>
            </w:r>
            <w:proofErr w:type="spellEnd"/>
            <w:r w:rsidRPr="000A0484">
              <w:rPr>
                <w:rFonts w:ascii="Arial Narrow" w:hAnsi="Arial Narrow"/>
                <w:sz w:val="20"/>
              </w:rPr>
              <w:t xml:space="preserve"> – </w:t>
            </w:r>
            <w:proofErr w:type="spellStart"/>
            <w:r w:rsidRPr="000A0484">
              <w:rPr>
                <w:rFonts w:ascii="Arial Narrow" w:hAnsi="Arial Narrow"/>
                <w:sz w:val="20"/>
              </w:rPr>
              <w:t>Salofalk</w:t>
            </w:r>
            <w:proofErr w:type="spellEnd"/>
            <w:r w:rsidRPr="000A0484">
              <w:rPr>
                <w:rFonts w:ascii="Arial Narrow" w:hAnsi="Arial Narrow"/>
                <w:sz w:val="20"/>
              </w:rPr>
              <w:t xml:space="preserve"> - 4.5g a day episodic dose, 3g a day taper dose (4 weeks)</w:t>
            </w:r>
          </w:p>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 xml:space="preserve">prednisolone - </w:t>
            </w:r>
          </w:p>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25mg a day episodic dose, 5mg a day taper dose (4 weeks)</w:t>
            </w:r>
          </w:p>
        </w:tc>
        <w:tc>
          <w:tcPr>
            <w:tcW w:w="2126" w:type="dxa"/>
          </w:tcPr>
          <w:p w:rsidR="001C0C02" w:rsidRPr="000A0484" w:rsidRDefault="001C0C02"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 xml:space="preserve">Product information stated as the source in the </w:t>
            </w:r>
            <w:r w:rsidR="00FD63CE" w:rsidRPr="000A0484">
              <w:rPr>
                <w:rFonts w:ascii="Arial Narrow" w:hAnsi="Arial Narrow"/>
                <w:sz w:val="20"/>
              </w:rPr>
              <w:t xml:space="preserve">minor </w:t>
            </w:r>
            <w:r w:rsidR="00381E40" w:rsidRPr="000A0484">
              <w:rPr>
                <w:rFonts w:ascii="Arial Narrow" w:hAnsi="Arial Narrow"/>
                <w:sz w:val="20"/>
              </w:rPr>
              <w:t>re</w:t>
            </w:r>
            <w:r w:rsidRPr="000A0484">
              <w:rPr>
                <w:rFonts w:ascii="Arial Narrow" w:hAnsi="Arial Narrow"/>
                <w:sz w:val="20"/>
              </w:rPr>
              <w:t>submission.</w:t>
            </w:r>
          </w:p>
          <w:p w:rsidR="001C0C02" w:rsidRPr="000A0484" w:rsidRDefault="001C0C02" w:rsidP="00082943">
            <w:pPr>
              <w:pStyle w:val="ListParagraph"/>
              <w:widowControl/>
              <w:spacing w:after="120"/>
              <w:ind w:left="0"/>
              <w:contextualSpacing w:val="0"/>
              <w:jc w:val="left"/>
              <w:rPr>
                <w:rFonts w:ascii="Arial Narrow" w:hAnsi="Arial Narrow"/>
                <w:sz w:val="20"/>
              </w:rPr>
            </w:pPr>
          </w:p>
          <w:p w:rsidR="001C0C02" w:rsidRPr="000A0484" w:rsidRDefault="001C0C02" w:rsidP="00082943">
            <w:pPr>
              <w:pStyle w:val="ListParagraph"/>
              <w:widowControl/>
              <w:spacing w:after="120"/>
              <w:ind w:left="0"/>
              <w:contextualSpacing w:val="0"/>
              <w:jc w:val="left"/>
              <w:rPr>
                <w:rFonts w:ascii="Arial Narrow" w:hAnsi="Arial Narrow"/>
                <w:sz w:val="20"/>
              </w:rPr>
            </w:pPr>
          </w:p>
        </w:tc>
        <w:tc>
          <w:tcPr>
            <w:tcW w:w="2835" w:type="dxa"/>
          </w:tcPr>
          <w:p w:rsidR="00082943" w:rsidRPr="000A0484" w:rsidRDefault="00082943"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Source changed</w:t>
            </w:r>
          </w:p>
          <w:p w:rsidR="00381E40" w:rsidRPr="000A0484" w:rsidRDefault="00082943" w:rsidP="00082943">
            <w:pPr>
              <w:pStyle w:val="ListParagraph"/>
              <w:widowControl/>
              <w:spacing w:after="120"/>
              <w:ind w:left="0"/>
              <w:contextualSpacing w:val="0"/>
              <w:jc w:val="left"/>
              <w:rPr>
                <w:rFonts w:ascii="Arial Narrow" w:hAnsi="Arial Narrow"/>
                <w:sz w:val="20"/>
              </w:rPr>
            </w:pPr>
            <w:r w:rsidRPr="000A0484">
              <w:rPr>
                <w:rFonts w:ascii="Arial Narrow" w:hAnsi="Arial Narrow"/>
                <w:sz w:val="20"/>
              </w:rPr>
              <w:t xml:space="preserve">The </w:t>
            </w:r>
            <w:proofErr w:type="spellStart"/>
            <w:r w:rsidRPr="000A0484">
              <w:rPr>
                <w:rFonts w:ascii="Arial Narrow" w:hAnsi="Arial Narrow"/>
                <w:sz w:val="20"/>
              </w:rPr>
              <w:t>mesalazine</w:t>
            </w:r>
            <w:proofErr w:type="spellEnd"/>
            <w:r w:rsidRPr="000A0484">
              <w:rPr>
                <w:rFonts w:ascii="Arial Narrow" w:hAnsi="Arial Narrow"/>
                <w:sz w:val="20"/>
              </w:rPr>
              <w:t xml:space="preserve"> dose (4 g/day) used in the November 2017 submission was based on the Thomsen 1998 trial.</w:t>
            </w:r>
          </w:p>
        </w:tc>
      </w:tr>
    </w:tbl>
    <w:p w:rsidR="004232D8" w:rsidRPr="000A0484" w:rsidRDefault="002E5A0E" w:rsidP="002E5A0E">
      <w:pPr>
        <w:spacing w:after="120"/>
        <w:rPr>
          <w:rFonts w:ascii="Arial Narrow" w:hAnsi="Arial Narrow"/>
          <w:sz w:val="18"/>
          <w:szCs w:val="18"/>
        </w:rPr>
      </w:pPr>
      <w:r w:rsidRPr="000A0484">
        <w:rPr>
          <w:rFonts w:ascii="Arial Narrow" w:hAnsi="Arial Narrow"/>
          <w:sz w:val="18"/>
          <w:szCs w:val="18"/>
        </w:rPr>
        <w:t xml:space="preserve">Source: Table 19 p49, Table 26 p58, Table 27 p59, Table 28 p59 and Table 30 p 60 of the </w:t>
      </w:r>
      <w:r w:rsidR="00FD63CE" w:rsidRPr="000A0484">
        <w:rPr>
          <w:rFonts w:ascii="Arial Narrow" w:hAnsi="Arial Narrow"/>
          <w:sz w:val="18"/>
          <w:szCs w:val="18"/>
        </w:rPr>
        <w:t xml:space="preserve">minor </w:t>
      </w:r>
      <w:r w:rsidRPr="000A0484">
        <w:rPr>
          <w:rFonts w:ascii="Arial Narrow" w:hAnsi="Arial Narrow"/>
          <w:sz w:val="18"/>
          <w:szCs w:val="18"/>
        </w:rPr>
        <w:t xml:space="preserve">resubmission. Table 4.2.1 </w:t>
      </w:r>
      <w:r w:rsidR="0042792D" w:rsidRPr="000A0484">
        <w:rPr>
          <w:rFonts w:ascii="Arial Narrow" w:hAnsi="Arial Narrow"/>
          <w:sz w:val="18"/>
          <w:szCs w:val="18"/>
        </w:rPr>
        <w:t xml:space="preserve">of the </w:t>
      </w:r>
      <w:r w:rsidRPr="000A0484">
        <w:rPr>
          <w:rFonts w:ascii="Arial Narrow" w:hAnsi="Arial Narrow"/>
          <w:sz w:val="18"/>
          <w:szCs w:val="18"/>
        </w:rPr>
        <w:t xml:space="preserve">Commentary on the </w:t>
      </w:r>
      <w:r w:rsidR="00E420CE" w:rsidRPr="000A0484">
        <w:rPr>
          <w:rFonts w:ascii="Arial Narrow" w:hAnsi="Arial Narrow"/>
          <w:sz w:val="18"/>
          <w:szCs w:val="18"/>
        </w:rPr>
        <w:t>budesonide November 2017 PBAC submission</w:t>
      </w:r>
      <w:r w:rsidRPr="000A0484">
        <w:rPr>
          <w:rFonts w:ascii="Arial Narrow" w:hAnsi="Arial Narrow"/>
          <w:sz w:val="18"/>
          <w:szCs w:val="18"/>
        </w:rPr>
        <w:t xml:space="preserve"> </w:t>
      </w:r>
    </w:p>
    <w:p w:rsidR="00C76FCE" w:rsidRPr="000A0484" w:rsidRDefault="00C76FCE" w:rsidP="00E420CE">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 xml:space="preserve">The eligible population was increased in the </w:t>
      </w:r>
      <w:r w:rsidR="00FD63CE" w:rsidRPr="000A0484">
        <w:rPr>
          <w:rFonts w:asciiTheme="minorHAnsi" w:hAnsiTheme="minorHAnsi"/>
          <w:sz w:val="24"/>
          <w:szCs w:val="24"/>
        </w:rPr>
        <w:t xml:space="preserve">minor </w:t>
      </w:r>
      <w:r w:rsidRPr="000A0484">
        <w:rPr>
          <w:rFonts w:asciiTheme="minorHAnsi" w:hAnsiTheme="minorHAnsi"/>
          <w:sz w:val="24"/>
          <w:szCs w:val="24"/>
        </w:rPr>
        <w:t>resubmission by including both first and second line therapy for mild and moderate CD.  This increased the eligible percentage of total CD patients from 20% to 44%.  The PBAC considered at November 2017 meeting that budesonide is likely to be used in first or second line treatment of mild to moderate CD</w:t>
      </w:r>
      <w:r w:rsidR="00E43C36" w:rsidRPr="000A0484">
        <w:rPr>
          <w:rFonts w:asciiTheme="minorHAnsi" w:hAnsiTheme="minorHAnsi"/>
          <w:sz w:val="24"/>
          <w:szCs w:val="24"/>
        </w:rPr>
        <w:t xml:space="preserve"> (paragraph 7.2, budesonide PSD, November 2017)</w:t>
      </w:r>
      <w:r w:rsidRPr="000A0484">
        <w:rPr>
          <w:rFonts w:asciiTheme="minorHAnsi" w:hAnsiTheme="minorHAnsi"/>
          <w:sz w:val="24"/>
          <w:szCs w:val="24"/>
        </w:rPr>
        <w:t>.</w:t>
      </w:r>
      <w:r w:rsidRPr="000A0484">
        <w:rPr>
          <w:rFonts w:asciiTheme="minorHAnsi" w:hAnsiTheme="minorHAnsi"/>
          <w:i/>
          <w:sz w:val="24"/>
          <w:szCs w:val="24"/>
        </w:rPr>
        <w:t xml:space="preserve">  </w:t>
      </w:r>
      <w:r w:rsidRPr="000A0484">
        <w:rPr>
          <w:rFonts w:asciiTheme="minorHAnsi" w:hAnsiTheme="minorHAnsi"/>
          <w:sz w:val="24"/>
          <w:szCs w:val="24"/>
        </w:rPr>
        <w:t xml:space="preserve">The November 2017 submission and the resubmission state that the proportion of CD patients eligible for budesonide (i.e. 20% and 44% respectively) is based on expert surveys of gastroenterologists. Five gastroenterologists were surveyed for the November 2017 submission. As noted in the evaluation of the November 2017 submission the claim that information was derived from the clinician survey </w:t>
      </w:r>
      <w:r w:rsidR="00553906" w:rsidRPr="000A0484">
        <w:rPr>
          <w:rFonts w:asciiTheme="minorHAnsi" w:hAnsiTheme="minorHAnsi"/>
          <w:sz w:val="24"/>
          <w:szCs w:val="24"/>
        </w:rPr>
        <w:t>was not able to be verified as</w:t>
      </w:r>
      <w:r w:rsidRPr="000A0484">
        <w:rPr>
          <w:rFonts w:asciiTheme="minorHAnsi" w:hAnsiTheme="minorHAnsi"/>
          <w:sz w:val="24"/>
          <w:szCs w:val="24"/>
        </w:rPr>
        <w:t xml:space="preserve"> the survey did not ask for an answer to this issue. The same survey information was used to inform the resubmission and hence the reliability of the eligibility rate is uncertain given the lack of data to substantiate the figure provided.</w:t>
      </w:r>
      <w:r w:rsidR="0045062C" w:rsidRPr="000A0484">
        <w:rPr>
          <w:rFonts w:asciiTheme="minorHAnsi" w:hAnsiTheme="minorHAnsi"/>
          <w:sz w:val="24"/>
          <w:szCs w:val="24"/>
        </w:rPr>
        <w:t xml:space="preserve"> The PBAC considered the increase in the eligible population to account for both first and second line therapy was likely to be appropriate. </w:t>
      </w:r>
    </w:p>
    <w:p w:rsidR="00C76FCE" w:rsidRPr="000A0484" w:rsidRDefault="00C76FCE" w:rsidP="00E420CE">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 xml:space="preserve">The </w:t>
      </w:r>
      <w:r w:rsidR="00FD63CE" w:rsidRPr="000A0484">
        <w:rPr>
          <w:rFonts w:asciiTheme="minorHAnsi" w:hAnsiTheme="minorHAnsi"/>
          <w:sz w:val="24"/>
          <w:szCs w:val="24"/>
        </w:rPr>
        <w:t xml:space="preserve">minor </w:t>
      </w:r>
      <w:r w:rsidRPr="000A0484">
        <w:rPr>
          <w:rFonts w:asciiTheme="minorHAnsi" w:hAnsiTheme="minorHAnsi"/>
          <w:sz w:val="24"/>
          <w:szCs w:val="24"/>
        </w:rPr>
        <w:t>resubmission also reduced the uptake rate u</w:t>
      </w:r>
      <w:r w:rsidR="00553906" w:rsidRPr="000A0484">
        <w:rPr>
          <w:rFonts w:asciiTheme="minorHAnsi" w:hAnsiTheme="minorHAnsi"/>
          <w:sz w:val="24"/>
          <w:szCs w:val="24"/>
        </w:rPr>
        <w:t>sed in the financial estimates</w:t>
      </w:r>
      <w:r w:rsidRPr="000A0484">
        <w:rPr>
          <w:rFonts w:asciiTheme="minorHAnsi" w:hAnsiTheme="minorHAnsi"/>
          <w:sz w:val="24"/>
          <w:szCs w:val="24"/>
        </w:rPr>
        <w:t xml:space="preserve"> from a maximum of 50% in year 6 in the major submission to 35% in year </w:t>
      </w:r>
      <w:proofErr w:type="gramStart"/>
      <w:r w:rsidRPr="000A0484">
        <w:rPr>
          <w:rFonts w:asciiTheme="minorHAnsi" w:hAnsiTheme="minorHAnsi"/>
          <w:sz w:val="24"/>
          <w:szCs w:val="24"/>
        </w:rPr>
        <w:t>6</w:t>
      </w:r>
      <w:r w:rsidRPr="000A0484">
        <w:rPr>
          <w:rFonts w:asciiTheme="minorHAnsi" w:hAnsiTheme="minorHAnsi"/>
          <w:i/>
          <w:sz w:val="24"/>
          <w:szCs w:val="24"/>
        </w:rPr>
        <w:t>,</w:t>
      </w:r>
      <w:proofErr w:type="gramEnd"/>
      <w:r w:rsidRPr="000A0484">
        <w:rPr>
          <w:rFonts w:asciiTheme="minorHAnsi" w:hAnsiTheme="minorHAnsi"/>
          <w:i/>
          <w:sz w:val="24"/>
          <w:szCs w:val="24"/>
        </w:rPr>
        <w:t xml:space="preserve"> </w:t>
      </w:r>
      <w:r w:rsidRPr="000A0484">
        <w:rPr>
          <w:rFonts w:asciiTheme="minorHAnsi" w:hAnsiTheme="minorHAnsi"/>
          <w:sz w:val="24"/>
          <w:szCs w:val="24"/>
        </w:rPr>
        <w:t>however the text of the resubmission still states that an uptake rate of 50% in year 6 was used</w:t>
      </w:r>
      <w:r w:rsidR="00E43C36" w:rsidRPr="000A0484">
        <w:rPr>
          <w:rFonts w:asciiTheme="minorHAnsi" w:hAnsiTheme="minorHAnsi"/>
          <w:sz w:val="24"/>
          <w:szCs w:val="24"/>
        </w:rPr>
        <w:t>.</w:t>
      </w:r>
      <w:r w:rsidRPr="000A0484">
        <w:rPr>
          <w:rFonts w:asciiTheme="minorHAnsi" w:hAnsiTheme="minorHAnsi"/>
          <w:sz w:val="24"/>
          <w:szCs w:val="24"/>
        </w:rPr>
        <w:t xml:space="preserve"> The evaluation of the November 2017 submission considered the uptake rate likely underestimated (Table 2). No justification for the decrease in uptake rates was provided in the resubmission. </w:t>
      </w:r>
      <w:r w:rsidR="0045062C" w:rsidRPr="000A0484">
        <w:rPr>
          <w:rFonts w:asciiTheme="minorHAnsi" w:hAnsiTheme="minorHAnsi"/>
          <w:sz w:val="24"/>
          <w:szCs w:val="24"/>
        </w:rPr>
        <w:t xml:space="preserve">The PBAC considered the uptake rate presented in the minor resubmission was likely to be underestimated. </w:t>
      </w:r>
    </w:p>
    <w:p w:rsidR="00C76FCE" w:rsidRPr="000A0484" w:rsidRDefault="00C76FCE" w:rsidP="00E420CE">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 xml:space="preserve">The </w:t>
      </w:r>
      <w:r w:rsidR="00FD63CE" w:rsidRPr="000A0484">
        <w:rPr>
          <w:rFonts w:asciiTheme="minorHAnsi" w:hAnsiTheme="minorHAnsi"/>
          <w:sz w:val="24"/>
          <w:szCs w:val="24"/>
        </w:rPr>
        <w:t xml:space="preserve">minor </w:t>
      </w:r>
      <w:r w:rsidRPr="000A0484">
        <w:rPr>
          <w:rFonts w:asciiTheme="minorHAnsi" w:hAnsiTheme="minorHAnsi"/>
          <w:sz w:val="24"/>
          <w:szCs w:val="24"/>
        </w:rPr>
        <w:t xml:space="preserve">resubmission </w:t>
      </w:r>
      <w:r w:rsidR="00553906" w:rsidRPr="000A0484">
        <w:rPr>
          <w:rFonts w:asciiTheme="minorHAnsi" w:hAnsiTheme="minorHAnsi"/>
          <w:sz w:val="24"/>
          <w:szCs w:val="24"/>
        </w:rPr>
        <w:t>stated</w:t>
      </w:r>
      <w:r w:rsidRPr="000A0484">
        <w:rPr>
          <w:rFonts w:asciiTheme="minorHAnsi" w:hAnsiTheme="minorHAnsi"/>
          <w:sz w:val="24"/>
          <w:szCs w:val="24"/>
        </w:rPr>
        <w:t xml:space="preserve"> that there are an estimated 500 patients who access budesonide on the private market each year.</w:t>
      </w:r>
      <w:r w:rsidRPr="000A0484">
        <w:rPr>
          <w:rFonts w:asciiTheme="minorHAnsi" w:hAnsiTheme="minorHAnsi"/>
          <w:i/>
          <w:sz w:val="24"/>
          <w:szCs w:val="24"/>
        </w:rPr>
        <w:t xml:space="preserve"> </w:t>
      </w:r>
      <w:r w:rsidRPr="000A0484">
        <w:rPr>
          <w:rFonts w:asciiTheme="minorHAnsi" w:hAnsiTheme="minorHAnsi"/>
          <w:sz w:val="24"/>
          <w:szCs w:val="24"/>
        </w:rPr>
        <w:t>It is unclear whether the 20% uptake rate in Year 1 takes into consideration patients currently accessing budesonide on the private market.</w:t>
      </w:r>
    </w:p>
    <w:p w:rsidR="00C76FCE" w:rsidRPr="000A0484" w:rsidRDefault="00C76FCE" w:rsidP="00E420CE">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 xml:space="preserve">The </w:t>
      </w:r>
      <w:r w:rsidR="00FD63CE" w:rsidRPr="000A0484">
        <w:rPr>
          <w:rFonts w:asciiTheme="minorHAnsi" w:hAnsiTheme="minorHAnsi"/>
          <w:sz w:val="24"/>
          <w:szCs w:val="24"/>
        </w:rPr>
        <w:t xml:space="preserve">minor </w:t>
      </w:r>
      <w:r w:rsidRPr="000A0484">
        <w:rPr>
          <w:rFonts w:asciiTheme="minorHAnsi" w:hAnsiTheme="minorHAnsi"/>
          <w:sz w:val="24"/>
          <w:szCs w:val="24"/>
        </w:rPr>
        <w:t>resubmission used the approach outlined in Step 9 of Table 2 to estimate the number of packs of budesonide that will be dispensed.</w:t>
      </w:r>
      <w:r w:rsidRPr="000A0484">
        <w:rPr>
          <w:rFonts w:asciiTheme="minorHAnsi" w:hAnsiTheme="minorHAnsi"/>
          <w:i/>
          <w:sz w:val="24"/>
          <w:szCs w:val="24"/>
        </w:rPr>
        <w:t xml:space="preserve"> </w:t>
      </w:r>
      <w:r w:rsidRPr="000A0484">
        <w:rPr>
          <w:rFonts w:asciiTheme="minorHAnsi" w:hAnsiTheme="minorHAnsi"/>
          <w:sz w:val="24"/>
          <w:szCs w:val="24"/>
        </w:rPr>
        <w:t xml:space="preserve">Step 9 assumes that </w:t>
      </w:r>
      <w:r w:rsidRPr="000A0484">
        <w:rPr>
          <w:rFonts w:asciiTheme="minorHAnsi" w:hAnsiTheme="minorHAnsi"/>
          <w:sz w:val="24"/>
          <w:szCs w:val="24"/>
        </w:rPr>
        <w:lastRenderedPageBreak/>
        <w:t xml:space="preserve">patients will experience 3 episodes per year that require treatment.  This was based on the responses of the gastroenterologists </w:t>
      </w:r>
      <w:r w:rsidR="000A0484" w:rsidRPr="000A0484">
        <w:rPr>
          <w:rFonts w:asciiTheme="minorHAnsi" w:hAnsiTheme="minorHAnsi"/>
          <w:sz w:val="24"/>
          <w:szCs w:val="24"/>
        </w:rPr>
        <w:t>surveyed that</w:t>
      </w:r>
      <w:r w:rsidRPr="000A0484">
        <w:rPr>
          <w:rFonts w:asciiTheme="minorHAnsi" w:hAnsiTheme="minorHAnsi"/>
          <w:sz w:val="24"/>
          <w:szCs w:val="24"/>
        </w:rPr>
        <w:t xml:space="preserve"> indicated that patients treated with </w:t>
      </w:r>
      <w:proofErr w:type="spellStart"/>
      <w:r w:rsidRPr="000A0484">
        <w:rPr>
          <w:rFonts w:asciiTheme="minorHAnsi" w:hAnsiTheme="minorHAnsi"/>
          <w:sz w:val="24"/>
          <w:szCs w:val="24"/>
        </w:rPr>
        <w:t>mesalazine</w:t>
      </w:r>
      <w:proofErr w:type="spellEnd"/>
      <w:r w:rsidRPr="000A0484">
        <w:rPr>
          <w:rFonts w:asciiTheme="minorHAnsi" w:hAnsiTheme="minorHAnsi"/>
          <w:sz w:val="24"/>
          <w:szCs w:val="24"/>
        </w:rPr>
        <w:t xml:space="preserve"> typically had between 0 and 2 episodes per year. The resubmission added “1 extra” episode to the model as it was assumed that the gastroenterologists surveyed would use biologics in some cases and that it was “expected that biologics and other </w:t>
      </w:r>
      <w:proofErr w:type="spellStart"/>
      <w:r w:rsidRPr="000A0484">
        <w:rPr>
          <w:rFonts w:asciiTheme="minorHAnsi" w:hAnsiTheme="minorHAnsi"/>
          <w:sz w:val="24"/>
          <w:szCs w:val="24"/>
        </w:rPr>
        <w:t>immunosuppressants</w:t>
      </w:r>
      <w:proofErr w:type="spellEnd"/>
      <w:r w:rsidRPr="000A0484">
        <w:rPr>
          <w:rFonts w:asciiTheme="minorHAnsi" w:hAnsiTheme="minorHAnsi"/>
          <w:sz w:val="24"/>
          <w:szCs w:val="24"/>
        </w:rPr>
        <w:t xml:space="preserve"> are more effective than </w:t>
      </w:r>
      <w:proofErr w:type="spellStart"/>
      <w:r w:rsidRPr="000A0484">
        <w:rPr>
          <w:rFonts w:asciiTheme="minorHAnsi" w:hAnsiTheme="minorHAnsi"/>
          <w:sz w:val="24"/>
          <w:szCs w:val="24"/>
        </w:rPr>
        <w:t>mesalazine</w:t>
      </w:r>
      <w:proofErr w:type="spellEnd"/>
      <w:r w:rsidRPr="000A0484">
        <w:rPr>
          <w:rFonts w:asciiTheme="minorHAnsi" w:hAnsiTheme="minorHAnsi"/>
          <w:sz w:val="24"/>
          <w:szCs w:val="24"/>
        </w:rPr>
        <w:t xml:space="preserve"> or prednisolone at achieving remission”. As stated in the evaluation of the November 2017 submission, this may not be appropriate given </w:t>
      </w:r>
      <w:proofErr w:type="spellStart"/>
      <w:r w:rsidRPr="000A0484">
        <w:rPr>
          <w:rFonts w:asciiTheme="minorHAnsi" w:hAnsiTheme="minorHAnsi"/>
          <w:sz w:val="24"/>
          <w:szCs w:val="24"/>
        </w:rPr>
        <w:t>immunosuppressants</w:t>
      </w:r>
      <w:proofErr w:type="spellEnd"/>
      <w:r w:rsidRPr="000A0484">
        <w:rPr>
          <w:rFonts w:asciiTheme="minorHAnsi" w:hAnsiTheme="minorHAnsi"/>
          <w:sz w:val="24"/>
          <w:szCs w:val="24"/>
        </w:rPr>
        <w:t xml:space="preserve"> and biologic therapies are reserved for patients with more severe CD and are</w:t>
      </w:r>
      <w:r w:rsidR="00E43C36" w:rsidRPr="000A0484">
        <w:rPr>
          <w:rFonts w:asciiTheme="minorHAnsi" w:hAnsiTheme="minorHAnsi"/>
          <w:sz w:val="24"/>
          <w:szCs w:val="24"/>
        </w:rPr>
        <w:t xml:space="preserve"> not usually administered in first or second</w:t>
      </w:r>
      <w:r w:rsidRPr="000A0484">
        <w:rPr>
          <w:rFonts w:asciiTheme="minorHAnsi" w:hAnsiTheme="minorHAnsi"/>
          <w:sz w:val="24"/>
          <w:szCs w:val="24"/>
        </w:rPr>
        <w:t xml:space="preserve"> line treatment for mild and moderate CD. Hence, the reliability of this assumption was uncertain and would be expected to have a substantial effect on the financial implications.</w:t>
      </w:r>
      <w:r w:rsidR="0045062C" w:rsidRPr="000A0484">
        <w:rPr>
          <w:rFonts w:asciiTheme="minorHAnsi" w:hAnsiTheme="minorHAnsi"/>
          <w:sz w:val="24"/>
          <w:szCs w:val="24"/>
        </w:rPr>
        <w:t xml:space="preserve"> The PBAC considered </w:t>
      </w:r>
      <w:r w:rsidR="00557989" w:rsidRPr="000A0484">
        <w:rPr>
          <w:rFonts w:asciiTheme="minorHAnsi" w:hAnsiTheme="minorHAnsi"/>
          <w:sz w:val="24"/>
          <w:szCs w:val="24"/>
        </w:rPr>
        <w:t xml:space="preserve">that </w:t>
      </w:r>
      <w:r w:rsidR="0045062C" w:rsidRPr="000A0484">
        <w:rPr>
          <w:rFonts w:asciiTheme="minorHAnsi" w:hAnsiTheme="minorHAnsi"/>
          <w:sz w:val="24"/>
          <w:szCs w:val="24"/>
        </w:rPr>
        <w:t xml:space="preserve">the number of </w:t>
      </w:r>
      <w:r w:rsidR="00557989" w:rsidRPr="000A0484">
        <w:rPr>
          <w:rFonts w:asciiTheme="minorHAnsi" w:hAnsiTheme="minorHAnsi"/>
          <w:sz w:val="24"/>
          <w:szCs w:val="24"/>
        </w:rPr>
        <w:t xml:space="preserve">episodes experienced by patients per year that require treatment was likely to be overestimated.  </w:t>
      </w:r>
    </w:p>
    <w:p w:rsidR="006C0493" w:rsidRPr="000A0484" w:rsidRDefault="006C0493" w:rsidP="00E420CE">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 xml:space="preserve">The </w:t>
      </w:r>
      <w:r w:rsidR="00FD63CE" w:rsidRPr="000A0484">
        <w:rPr>
          <w:rFonts w:asciiTheme="minorHAnsi" w:hAnsiTheme="minorHAnsi"/>
          <w:sz w:val="24"/>
          <w:szCs w:val="24"/>
        </w:rPr>
        <w:t xml:space="preserve">minor </w:t>
      </w:r>
      <w:r w:rsidRPr="000A0484">
        <w:rPr>
          <w:rFonts w:asciiTheme="minorHAnsi" w:hAnsiTheme="minorHAnsi"/>
          <w:sz w:val="24"/>
          <w:szCs w:val="24"/>
        </w:rPr>
        <w:t xml:space="preserve">resubmission proposed a DPMQ </w:t>
      </w:r>
      <w:r w:rsidR="003345A8">
        <w:rPr>
          <w:rFonts w:asciiTheme="minorHAnsi" w:hAnsiTheme="minorHAnsi"/>
          <w:sz w:val="24"/>
          <w:szCs w:val="24"/>
        </w:rPr>
        <w:t xml:space="preserve">for </w:t>
      </w:r>
      <w:r w:rsidRPr="003345A8">
        <w:rPr>
          <w:rFonts w:asciiTheme="minorHAnsi" w:hAnsiTheme="minorHAnsi"/>
          <w:sz w:val="24"/>
          <w:szCs w:val="24"/>
        </w:rPr>
        <w:t>budesonide of $</w:t>
      </w:r>
      <w:r w:rsidR="0086342F">
        <w:rPr>
          <w:rFonts w:asciiTheme="minorHAnsi" w:hAnsiTheme="minorHAnsi"/>
          <w:noProof/>
          <w:color w:val="000000"/>
          <w:sz w:val="24"/>
          <w:szCs w:val="24"/>
          <w:highlight w:val="black"/>
        </w:rPr>
        <w:t>''''''''''''''</w:t>
      </w:r>
      <w:r w:rsidRPr="003345A8">
        <w:rPr>
          <w:rFonts w:asciiTheme="minorHAnsi" w:hAnsiTheme="minorHAnsi"/>
          <w:sz w:val="24"/>
          <w:szCs w:val="24"/>
        </w:rPr>
        <w:t xml:space="preserve">. The resubmission stated that the proportion of patients in each beneficiary type of </w:t>
      </w:r>
      <w:proofErr w:type="spellStart"/>
      <w:r w:rsidRPr="003345A8">
        <w:rPr>
          <w:rFonts w:asciiTheme="minorHAnsi" w:hAnsiTheme="minorHAnsi"/>
          <w:sz w:val="24"/>
          <w:szCs w:val="24"/>
        </w:rPr>
        <w:t>mesalazine</w:t>
      </w:r>
      <w:proofErr w:type="spellEnd"/>
      <w:r w:rsidRPr="003345A8">
        <w:rPr>
          <w:rFonts w:asciiTheme="minorHAnsi" w:hAnsiTheme="minorHAnsi"/>
          <w:sz w:val="24"/>
          <w:szCs w:val="24"/>
        </w:rPr>
        <w:t xml:space="preserve"> a</w:t>
      </w:r>
      <w:r w:rsidRPr="000A0484">
        <w:rPr>
          <w:rFonts w:asciiTheme="minorHAnsi" w:hAnsiTheme="minorHAnsi"/>
          <w:sz w:val="24"/>
          <w:szCs w:val="24"/>
        </w:rPr>
        <w:t xml:space="preserve">nd prednisolone was used to estimate the proportions for budesonide based on PBS data from 2016. It is unclear whether the proportions from both </w:t>
      </w:r>
      <w:proofErr w:type="spellStart"/>
      <w:r w:rsidRPr="000A0484">
        <w:rPr>
          <w:rFonts w:asciiTheme="minorHAnsi" w:hAnsiTheme="minorHAnsi"/>
          <w:sz w:val="24"/>
          <w:szCs w:val="24"/>
        </w:rPr>
        <w:t>mesalazine</w:t>
      </w:r>
      <w:proofErr w:type="spellEnd"/>
      <w:r w:rsidRPr="000A0484">
        <w:rPr>
          <w:rFonts w:asciiTheme="minorHAnsi" w:hAnsiTheme="minorHAnsi"/>
          <w:sz w:val="24"/>
          <w:szCs w:val="24"/>
        </w:rPr>
        <w:t xml:space="preserve"> and prednisolone </w:t>
      </w:r>
      <w:r w:rsidR="003345A8">
        <w:rPr>
          <w:rFonts w:asciiTheme="minorHAnsi" w:hAnsiTheme="minorHAnsi"/>
          <w:sz w:val="24"/>
          <w:szCs w:val="24"/>
        </w:rPr>
        <w:t>were</w:t>
      </w:r>
      <w:r w:rsidR="005F3630">
        <w:rPr>
          <w:rFonts w:asciiTheme="minorHAnsi" w:hAnsiTheme="minorHAnsi"/>
          <w:sz w:val="24"/>
          <w:szCs w:val="24"/>
        </w:rPr>
        <w:t xml:space="preserve"> used</w:t>
      </w:r>
      <w:r w:rsidR="003345A8">
        <w:rPr>
          <w:rFonts w:asciiTheme="minorHAnsi" w:hAnsiTheme="minorHAnsi"/>
          <w:sz w:val="24"/>
          <w:szCs w:val="24"/>
        </w:rPr>
        <w:t xml:space="preserve"> </w:t>
      </w:r>
      <w:r w:rsidRPr="003345A8">
        <w:rPr>
          <w:rFonts w:asciiTheme="minorHAnsi" w:hAnsiTheme="minorHAnsi"/>
          <w:sz w:val="24"/>
          <w:szCs w:val="24"/>
        </w:rPr>
        <w:t>to disaggregate the estimates by beneficiary type in the calculation</w:t>
      </w:r>
      <w:r w:rsidRPr="000A0484">
        <w:rPr>
          <w:rFonts w:asciiTheme="minorHAnsi" w:hAnsiTheme="minorHAnsi"/>
          <w:sz w:val="24"/>
          <w:szCs w:val="24"/>
        </w:rPr>
        <w:t xml:space="preserve">s undertaken.  </w:t>
      </w:r>
    </w:p>
    <w:p w:rsidR="001C0C02" w:rsidRPr="000A0484" w:rsidRDefault="006C0493" w:rsidP="00E420CE">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 xml:space="preserve">The listing of budesonide on the PBS is expected to result in decreased utilisation of the therapies currently used to treat CD patients. The </w:t>
      </w:r>
      <w:r w:rsidR="00FD63CE" w:rsidRPr="000A0484">
        <w:rPr>
          <w:rFonts w:asciiTheme="minorHAnsi" w:hAnsiTheme="minorHAnsi"/>
          <w:sz w:val="24"/>
          <w:szCs w:val="24"/>
        </w:rPr>
        <w:t xml:space="preserve">minor </w:t>
      </w:r>
      <w:r w:rsidRPr="000A0484">
        <w:rPr>
          <w:rFonts w:asciiTheme="minorHAnsi" w:hAnsiTheme="minorHAnsi"/>
          <w:sz w:val="24"/>
          <w:szCs w:val="24"/>
        </w:rPr>
        <w:t xml:space="preserve">resubmission has updated the approach taken to estimate the changes in use and financial impact of other medicines by including prednisolone as well as </w:t>
      </w:r>
      <w:proofErr w:type="spellStart"/>
      <w:r w:rsidRPr="000A0484">
        <w:rPr>
          <w:rFonts w:asciiTheme="minorHAnsi" w:hAnsiTheme="minorHAnsi"/>
          <w:sz w:val="24"/>
          <w:szCs w:val="24"/>
        </w:rPr>
        <w:t>mesalazine</w:t>
      </w:r>
      <w:proofErr w:type="spellEnd"/>
      <w:r w:rsidRPr="000A0484">
        <w:rPr>
          <w:rFonts w:asciiTheme="minorHAnsi" w:hAnsiTheme="minorHAnsi"/>
          <w:sz w:val="24"/>
          <w:szCs w:val="24"/>
        </w:rPr>
        <w:t xml:space="preserve"> in the estimates.</w:t>
      </w:r>
      <w:r w:rsidRPr="000A0484">
        <w:rPr>
          <w:rFonts w:asciiTheme="minorHAnsi" w:hAnsiTheme="minorHAnsi"/>
          <w:i/>
          <w:sz w:val="24"/>
          <w:szCs w:val="24"/>
        </w:rPr>
        <w:t xml:space="preserve"> </w:t>
      </w:r>
      <w:r w:rsidRPr="000A0484">
        <w:rPr>
          <w:rFonts w:asciiTheme="minorHAnsi" w:hAnsiTheme="minorHAnsi"/>
          <w:sz w:val="24"/>
          <w:szCs w:val="24"/>
        </w:rPr>
        <w:t xml:space="preserve">The November 2017 submission included </w:t>
      </w:r>
      <w:proofErr w:type="spellStart"/>
      <w:r w:rsidRPr="000A0484">
        <w:rPr>
          <w:rFonts w:asciiTheme="minorHAnsi" w:hAnsiTheme="minorHAnsi"/>
          <w:sz w:val="24"/>
          <w:szCs w:val="24"/>
        </w:rPr>
        <w:t>mesalazine</w:t>
      </w:r>
      <w:proofErr w:type="spellEnd"/>
      <w:r w:rsidRPr="000A0484">
        <w:rPr>
          <w:rFonts w:asciiTheme="minorHAnsi" w:hAnsiTheme="minorHAnsi"/>
          <w:sz w:val="24"/>
          <w:szCs w:val="24"/>
        </w:rPr>
        <w:t xml:space="preserve"> only. The resubmission estimated the percentage market share of each </w:t>
      </w:r>
      <w:proofErr w:type="spellStart"/>
      <w:r w:rsidRPr="000A0484">
        <w:rPr>
          <w:rFonts w:asciiTheme="minorHAnsi" w:hAnsiTheme="minorHAnsi"/>
          <w:sz w:val="24"/>
          <w:szCs w:val="24"/>
        </w:rPr>
        <w:t>mesalazine</w:t>
      </w:r>
      <w:proofErr w:type="spellEnd"/>
      <w:r w:rsidRPr="000A0484">
        <w:rPr>
          <w:rFonts w:asciiTheme="minorHAnsi" w:hAnsiTheme="minorHAnsi"/>
          <w:sz w:val="24"/>
          <w:szCs w:val="24"/>
        </w:rPr>
        <w:t xml:space="preserve"> and prednisolone formulation / brand, based on 2017 PBS data for the two medicines. The BEACH data used to calculate the weighted price for budesonide (see paragraph 6.1</w:t>
      </w:r>
      <w:r w:rsidR="00470CFA" w:rsidRPr="000A0484">
        <w:rPr>
          <w:rFonts w:asciiTheme="minorHAnsi" w:hAnsiTheme="minorHAnsi"/>
          <w:sz w:val="24"/>
          <w:szCs w:val="24"/>
        </w:rPr>
        <w:t>6</w:t>
      </w:r>
      <w:r w:rsidRPr="000A0484">
        <w:rPr>
          <w:rFonts w:asciiTheme="minorHAnsi" w:hAnsiTheme="minorHAnsi"/>
          <w:sz w:val="24"/>
          <w:szCs w:val="24"/>
        </w:rPr>
        <w:t xml:space="preserve">) was used to determine the split between </w:t>
      </w:r>
      <w:proofErr w:type="spellStart"/>
      <w:r w:rsidRPr="000A0484">
        <w:rPr>
          <w:rFonts w:asciiTheme="minorHAnsi" w:hAnsiTheme="minorHAnsi"/>
          <w:sz w:val="24"/>
          <w:szCs w:val="24"/>
        </w:rPr>
        <w:t>mesalazine</w:t>
      </w:r>
      <w:proofErr w:type="spellEnd"/>
      <w:r w:rsidRPr="000A0484">
        <w:rPr>
          <w:rFonts w:asciiTheme="minorHAnsi" w:hAnsiTheme="minorHAnsi"/>
          <w:sz w:val="24"/>
          <w:szCs w:val="24"/>
        </w:rPr>
        <w:t xml:space="preserve"> (</w:t>
      </w:r>
      <w:proofErr w:type="gramStart"/>
      <w:r w:rsidR="0086342F">
        <w:rPr>
          <w:rFonts w:asciiTheme="minorHAnsi" w:hAnsiTheme="minorHAnsi"/>
          <w:noProof/>
          <w:color w:val="000000"/>
          <w:sz w:val="24"/>
          <w:szCs w:val="24"/>
          <w:highlight w:val="black"/>
        </w:rPr>
        <w:t>''''''''</w:t>
      </w:r>
      <w:r w:rsidRPr="000A0484">
        <w:rPr>
          <w:rFonts w:asciiTheme="minorHAnsi" w:hAnsiTheme="minorHAnsi"/>
          <w:sz w:val="24"/>
          <w:szCs w:val="24"/>
        </w:rPr>
        <w:t>%</w:t>
      </w:r>
      <w:proofErr w:type="gramEnd"/>
      <w:r w:rsidRPr="000A0484">
        <w:rPr>
          <w:rFonts w:asciiTheme="minorHAnsi" w:hAnsiTheme="minorHAnsi"/>
          <w:sz w:val="24"/>
          <w:szCs w:val="24"/>
        </w:rPr>
        <w:t>) and prednisolone (</w:t>
      </w:r>
      <w:r w:rsidR="0086342F">
        <w:rPr>
          <w:rFonts w:asciiTheme="minorHAnsi" w:hAnsiTheme="minorHAnsi"/>
          <w:noProof/>
          <w:color w:val="000000"/>
          <w:sz w:val="24"/>
          <w:szCs w:val="24"/>
          <w:highlight w:val="black"/>
        </w:rPr>
        <w:t>''''''''</w:t>
      </w:r>
      <w:r w:rsidRPr="000A0484">
        <w:rPr>
          <w:rFonts w:asciiTheme="minorHAnsi" w:hAnsiTheme="minorHAnsi"/>
          <w:sz w:val="24"/>
          <w:szCs w:val="24"/>
        </w:rPr>
        <w:t>%) use in CD.</w:t>
      </w:r>
      <w:r w:rsidRPr="000A0484">
        <w:rPr>
          <w:rFonts w:asciiTheme="minorHAnsi" w:hAnsiTheme="minorHAnsi"/>
          <w:i/>
          <w:sz w:val="24"/>
          <w:szCs w:val="24"/>
        </w:rPr>
        <w:t xml:space="preserve"> </w:t>
      </w:r>
      <w:r w:rsidR="00082943" w:rsidRPr="000A0484">
        <w:rPr>
          <w:rFonts w:asciiTheme="minorHAnsi" w:hAnsiTheme="minorHAnsi"/>
          <w:sz w:val="24"/>
          <w:szCs w:val="24"/>
        </w:rPr>
        <w:t>As indicated in Table 1</w:t>
      </w:r>
      <w:r w:rsidR="003345A8">
        <w:rPr>
          <w:rFonts w:asciiTheme="minorHAnsi" w:hAnsiTheme="minorHAnsi"/>
          <w:sz w:val="24"/>
          <w:szCs w:val="24"/>
        </w:rPr>
        <w:t>,</w:t>
      </w:r>
      <w:r w:rsidR="00082943" w:rsidRPr="003345A8">
        <w:rPr>
          <w:rFonts w:asciiTheme="minorHAnsi" w:hAnsiTheme="minorHAnsi"/>
          <w:sz w:val="24"/>
          <w:szCs w:val="24"/>
        </w:rPr>
        <w:t xml:space="preserve"> the PBS listings for </w:t>
      </w:r>
      <w:proofErr w:type="spellStart"/>
      <w:r w:rsidR="00082943" w:rsidRPr="003345A8">
        <w:rPr>
          <w:rFonts w:asciiTheme="minorHAnsi" w:hAnsiTheme="minorHAnsi"/>
          <w:sz w:val="24"/>
          <w:szCs w:val="24"/>
        </w:rPr>
        <w:t>mesalazine</w:t>
      </w:r>
      <w:proofErr w:type="spellEnd"/>
      <w:r w:rsidR="00082943" w:rsidRPr="003345A8">
        <w:rPr>
          <w:rFonts w:asciiTheme="minorHAnsi" w:hAnsiTheme="minorHAnsi"/>
          <w:sz w:val="24"/>
          <w:szCs w:val="24"/>
        </w:rPr>
        <w:t xml:space="preserve"> in CD are confounded by use for UC and CD under the same item code and the PBS listings for prednisolone are unrestricted so no information on the condition for which the drug is prescribed is available. </w:t>
      </w:r>
      <w:r w:rsidR="006415D8" w:rsidRPr="000A0484">
        <w:rPr>
          <w:rFonts w:asciiTheme="minorHAnsi" w:hAnsiTheme="minorHAnsi"/>
          <w:sz w:val="24"/>
          <w:szCs w:val="24"/>
        </w:rPr>
        <w:t>As noted</w:t>
      </w:r>
      <w:r w:rsidR="00224805" w:rsidRPr="000A0484">
        <w:rPr>
          <w:rFonts w:asciiTheme="minorHAnsi" w:hAnsiTheme="minorHAnsi"/>
          <w:sz w:val="24"/>
          <w:szCs w:val="24"/>
        </w:rPr>
        <w:t xml:space="preserve"> previously (see paragraph </w:t>
      </w:r>
      <w:r w:rsidR="006415D8" w:rsidRPr="000A0484">
        <w:rPr>
          <w:rFonts w:asciiTheme="minorHAnsi" w:hAnsiTheme="minorHAnsi"/>
          <w:sz w:val="24"/>
          <w:szCs w:val="24"/>
        </w:rPr>
        <w:t>6.1</w:t>
      </w:r>
      <w:r w:rsidR="00470CFA" w:rsidRPr="000A0484">
        <w:rPr>
          <w:rFonts w:asciiTheme="minorHAnsi" w:hAnsiTheme="minorHAnsi"/>
          <w:sz w:val="24"/>
          <w:szCs w:val="24"/>
        </w:rPr>
        <w:t>6</w:t>
      </w:r>
      <w:r w:rsidR="006415D8" w:rsidRPr="000A0484">
        <w:rPr>
          <w:rFonts w:asciiTheme="minorHAnsi" w:hAnsiTheme="minorHAnsi"/>
          <w:sz w:val="24"/>
          <w:szCs w:val="24"/>
        </w:rPr>
        <w:t xml:space="preserve">) the reliability of using </w:t>
      </w:r>
      <w:r w:rsidR="00224805" w:rsidRPr="000A0484">
        <w:rPr>
          <w:rFonts w:asciiTheme="minorHAnsi" w:hAnsiTheme="minorHAnsi"/>
          <w:sz w:val="24"/>
          <w:szCs w:val="24"/>
        </w:rPr>
        <w:t xml:space="preserve">BEACH data </w:t>
      </w:r>
      <w:r w:rsidR="006415D8" w:rsidRPr="000A0484">
        <w:rPr>
          <w:rFonts w:asciiTheme="minorHAnsi" w:hAnsiTheme="minorHAnsi"/>
          <w:sz w:val="24"/>
          <w:szCs w:val="24"/>
        </w:rPr>
        <w:t xml:space="preserve">to determine an appropriate split between </w:t>
      </w:r>
      <w:proofErr w:type="spellStart"/>
      <w:r w:rsidR="006415D8" w:rsidRPr="000A0484">
        <w:rPr>
          <w:rFonts w:asciiTheme="minorHAnsi" w:hAnsiTheme="minorHAnsi"/>
          <w:sz w:val="24"/>
          <w:szCs w:val="24"/>
        </w:rPr>
        <w:t>mesalazine</w:t>
      </w:r>
      <w:proofErr w:type="spellEnd"/>
      <w:r w:rsidR="006415D8" w:rsidRPr="000A0484">
        <w:rPr>
          <w:rFonts w:asciiTheme="minorHAnsi" w:hAnsiTheme="minorHAnsi"/>
          <w:sz w:val="24"/>
          <w:szCs w:val="24"/>
        </w:rPr>
        <w:t xml:space="preserve"> and prednisolone use in CD is uncertain due to concerns around the limited number of data points </w:t>
      </w:r>
      <w:r w:rsidRPr="000A0484">
        <w:rPr>
          <w:rFonts w:asciiTheme="minorHAnsi" w:hAnsiTheme="minorHAnsi"/>
          <w:sz w:val="24"/>
          <w:szCs w:val="24"/>
        </w:rPr>
        <w:t>available</w:t>
      </w:r>
      <w:r w:rsidR="001B41CD">
        <w:rPr>
          <w:rFonts w:asciiTheme="minorHAnsi" w:hAnsiTheme="minorHAnsi"/>
          <w:sz w:val="24"/>
          <w:szCs w:val="24"/>
        </w:rPr>
        <w:t xml:space="preserve"> and</w:t>
      </w:r>
      <w:r w:rsidR="00FA6E04" w:rsidRPr="000A0484">
        <w:rPr>
          <w:rFonts w:asciiTheme="minorHAnsi" w:hAnsiTheme="minorHAnsi"/>
          <w:sz w:val="24"/>
          <w:szCs w:val="24"/>
        </w:rPr>
        <w:t xml:space="preserve"> applicability to current practice</w:t>
      </w:r>
      <w:r w:rsidR="006415D8" w:rsidRPr="000A0484">
        <w:rPr>
          <w:rFonts w:asciiTheme="minorHAnsi" w:hAnsiTheme="minorHAnsi"/>
          <w:sz w:val="24"/>
          <w:szCs w:val="24"/>
        </w:rPr>
        <w:t xml:space="preserve">. </w:t>
      </w:r>
      <w:r w:rsidR="009812D7" w:rsidRPr="000A0484">
        <w:rPr>
          <w:rFonts w:asciiTheme="minorHAnsi" w:hAnsiTheme="minorHAnsi"/>
          <w:sz w:val="24"/>
          <w:szCs w:val="24"/>
        </w:rPr>
        <w:t xml:space="preserve">As the majority of the savings estimated in the resubmission are </w:t>
      </w:r>
      <w:r w:rsidR="003345A8">
        <w:rPr>
          <w:rFonts w:asciiTheme="minorHAnsi" w:hAnsiTheme="minorHAnsi"/>
          <w:sz w:val="24"/>
          <w:szCs w:val="24"/>
        </w:rPr>
        <w:t xml:space="preserve">from the </w:t>
      </w:r>
      <w:r w:rsidR="009812D7" w:rsidRPr="003345A8">
        <w:rPr>
          <w:rFonts w:asciiTheme="minorHAnsi" w:hAnsiTheme="minorHAnsi"/>
          <w:sz w:val="24"/>
          <w:szCs w:val="24"/>
        </w:rPr>
        <w:t xml:space="preserve">replacement of higher-cost </w:t>
      </w:r>
      <w:proofErr w:type="spellStart"/>
      <w:r w:rsidR="009812D7" w:rsidRPr="003345A8">
        <w:rPr>
          <w:rFonts w:asciiTheme="minorHAnsi" w:hAnsiTheme="minorHAnsi"/>
          <w:sz w:val="24"/>
          <w:szCs w:val="24"/>
        </w:rPr>
        <w:t>mesalazine</w:t>
      </w:r>
      <w:proofErr w:type="spellEnd"/>
      <w:r w:rsidR="009812D7" w:rsidRPr="003345A8">
        <w:rPr>
          <w:rFonts w:asciiTheme="minorHAnsi" w:hAnsiTheme="minorHAnsi"/>
          <w:sz w:val="24"/>
          <w:szCs w:val="24"/>
        </w:rPr>
        <w:t xml:space="preserve"> the split between </w:t>
      </w:r>
      <w:proofErr w:type="spellStart"/>
      <w:r w:rsidR="009812D7" w:rsidRPr="003345A8">
        <w:rPr>
          <w:rFonts w:asciiTheme="minorHAnsi" w:hAnsiTheme="minorHAnsi"/>
          <w:sz w:val="24"/>
          <w:szCs w:val="24"/>
        </w:rPr>
        <w:t>mesalazine</w:t>
      </w:r>
      <w:proofErr w:type="spellEnd"/>
      <w:r w:rsidR="009812D7" w:rsidRPr="003345A8">
        <w:rPr>
          <w:rFonts w:asciiTheme="minorHAnsi" w:hAnsiTheme="minorHAnsi"/>
          <w:sz w:val="24"/>
          <w:szCs w:val="24"/>
        </w:rPr>
        <w:t xml:space="preserve"> and prednisolone will have a significant impact on the financial estimates. </w:t>
      </w:r>
      <w:r w:rsidR="00557989" w:rsidRPr="003345A8">
        <w:rPr>
          <w:rFonts w:asciiTheme="minorHAnsi" w:hAnsiTheme="minorHAnsi"/>
          <w:sz w:val="24"/>
          <w:szCs w:val="24"/>
        </w:rPr>
        <w:t>As outlined in paragraph 6.1</w:t>
      </w:r>
      <w:r w:rsidR="00557989" w:rsidRPr="000A0484">
        <w:rPr>
          <w:rFonts w:asciiTheme="minorHAnsi" w:hAnsiTheme="minorHAnsi"/>
          <w:sz w:val="24"/>
          <w:szCs w:val="24"/>
        </w:rPr>
        <w:t xml:space="preserve">8, the PBAC did not accept the 59.7% weighting applied for </w:t>
      </w:r>
      <w:proofErr w:type="spellStart"/>
      <w:r w:rsidR="00557989" w:rsidRPr="000A0484">
        <w:rPr>
          <w:rFonts w:asciiTheme="minorHAnsi" w:hAnsiTheme="minorHAnsi"/>
          <w:sz w:val="24"/>
          <w:szCs w:val="24"/>
        </w:rPr>
        <w:t>mesalazine</w:t>
      </w:r>
      <w:proofErr w:type="spellEnd"/>
      <w:r w:rsidR="00557989" w:rsidRPr="000A0484">
        <w:rPr>
          <w:rFonts w:asciiTheme="minorHAnsi" w:hAnsiTheme="minorHAnsi"/>
          <w:sz w:val="24"/>
          <w:szCs w:val="24"/>
        </w:rPr>
        <w:t xml:space="preserve"> and the </w:t>
      </w:r>
      <w:r w:rsidR="0086342F">
        <w:rPr>
          <w:rFonts w:asciiTheme="minorHAnsi" w:hAnsiTheme="minorHAnsi"/>
          <w:noProof/>
          <w:color w:val="000000"/>
          <w:sz w:val="24"/>
          <w:szCs w:val="24"/>
          <w:highlight w:val="black"/>
        </w:rPr>
        <w:t>''''''''</w:t>
      </w:r>
      <w:r w:rsidR="00557989" w:rsidRPr="000A0484">
        <w:rPr>
          <w:rFonts w:asciiTheme="minorHAnsi" w:hAnsiTheme="minorHAnsi"/>
          <w:sz w:val="24"/>
          <w:szCs w:val="24"/>
        </w:rPr>
        <w:t xml:space="preserve">% weighting applied for prednisolone and instead considered a reduced weighting applied for </w:t>
      </w:r>
      <w:proofErr w:type="spellStart"/>
      <w:r w:rsidR="00557989" w:rsidRPr="000A0484">
        <w:rPr>
          <w:rFonts w:asciiTheme="minorHAnsi" w:hAnsiTheme="minorHAnsi"/>
          <w:sz w:val="24"/>
          <w:szCs w:val="24"/>
        </w:rPr>
        <w:t>mesalazine</w:t>
      </w:r>
      <w:proofErr w:type="spellEnd"/>
      <w:r w:rsidR="00557989" w:rsidRPr="000A0484">
        <w:rPr>
          <w:rFonts w:asciiTheme="minorHAnsi" w:hAnsiTheme="minorHAnsi"/>
          <w:sz w:val="24"/>
          <w:szCs w:val="24"/>
        </w:rPr>
        <w:t xml:space="preserve"> may be more </w:t>
      </w:r>
      <w:r w:rsidR="00557989" w:rsidRPr="000A0484">
        <w:rPr>
          <w:rFonts w:asciiTheme="minorHAnsi" w:hAnsiTheme="minorHAnsi"/>
          <w:sz w:val="24"/>
          <w:szCs w:val="24"/>
        </w:rPr>
        <w:lastRenderedPageBreak/>
        <w:t xml:space="preserve">appropriate. </w:t>
      </w:r>
      <w:r w:rsidR="009812D7" w:rsidRPr="000A0484">
        <w:rPr>
          <w:rFonts w:asciiTheme="minorHAnsi" w:hAnsiTheme="minorHAnsi"/>
          <w:sz w:val="24"/>
          <w:szCs w:val="24"/>
        </w:rPr>
        <w:t xml:space="preserve">The </w:t>
      </w:r>
      <w:r w:rsidR="00557989" w:rsidRPr="000A0484">
        <w:rPr>
          <w:rFonts w:asciiTheme="minorHAnsi" w:hAnsiTheme="minorHAnsi"/>
          <w:sz w:val="24"/>
          <w:szCs w:val="24"/>
        </w:rPr>
        <w:t xml:space="preserve">PBAC noted the </w:t>
      </w:r>
      <w:r w:rsidR="009812D7" w:rsidRPr="000A0484">
        <w:rPr>
          <w:rFonts w:asciiTheme="minorHAnsi" w:hAnsiTheme="minorHAnsi"/>
          <w:sz w:val="24"/>
          <w:szCs w:val="24"/>
        </w:rPr>
        <w:t>uncertainty around the proportional split based on the BEACH data was not explored in a sensitivity analysis</w:t>
      </w:r>
      <w:r w:rsidR="003C5681" w:rsidRPr="000A0484">
        <w:rPr>
          <w:rFonts w:asciiTheme="minorHAnsi" w:hAnsiTheme="minorHAnsi"/>
          <w:sz w:val="24"/>
          <w:szCs w:val="24"/>
        </w:rPr>
        <w:t xml:space="preserve"> in the resubmission</w:t>
      </w:r>
      <w:r w:rsidR="009812D7" w:rsidRPr="000A0484">
        <w:rPr>
          <w:rFonts w:asciiTheme="minorHAnsi" w:hAnsiTheme="minorHAnsi"/>
          <w:sz w:val="24"/>
          <w:szCs w:val="24"/>
        </w:rPr>
        <w:t>.</w:t>
      </w:r>
      <w:r w:rsidR="00557989" w:rsidRPr="000A0484">
        <w:rPr>
          <w:rFonts w:asciiTheme="minorHAnsi" w:hAnsiTheme="minorHAnsi"/>
          <w:sz w:val="24"/>
          <w:szCs w:val="24"/>
        </w:rPr>
        <w:t xml:space="preserve"> </w:t>
      </w:r>
    </w:p>
    <w:p w:rsidR="00C00DA7" w:rsidRPr="000A0484" w:rsidRDefault="00C7555A" w:rsidP="006D32A5">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 xml:space="preserve">The </w:t>
      </w:r>
      <w:r w:rsidR="00FD63CE" w:rsidRPr="000A0484">
        <w:rPr>
          <w:rFonts w:asciiTheme="minorHAnsi" w:hAnsiTheme="minorHAnsi"/>
          <w:sz w:val="24"/>
          <w:szCs w:val="24"/>
        </w:rPr>
        <w:t xml:space="preserve">minor </w:t>
      </w:r>
      <w:r w:rsidRPr="000A0484">
        <w:rPr>
          <w:rFonts w:asciiTheme="minorHAnsi" w:hAnsiTheme="minorHAnsi"/>
          <w:sz w:val="24"/>
          <w:szCs w:val="24"/>
        </w:rPr>
        <w:t>re</w:t>
      </w:r>
      <w:r w:rsidR="006D32A5" w:rsidRPr="000A0484">
        <w:rPr>
          <w:rFonts w:asciiTheme="minorHAnsi" w:hAnsiTheme="minorHAnsi"/>
          <w:sz w:val="24"/>
          <w:szCs w:val="24"/>
        </w:rPr>
        <w:t xml:space="preserve">submission estimated a </w:t>
      </w:r>
      <w:r w:rsidR="00C00DA7" w:rsidRPr="000A0484">
        <w:rPr>
          <w:rFonts w:asciiTheme="minorHAnsi" w:hAnsiTheme="minorHAnsi"/>
          <w:sz w:val="24"/>
          <w:szCs w:val="24"/>
        </w:rPr>
        <w:t>net save to the PBS</w:t>
      </w:r>
      <w:r w:rsidR="000C2FF5" w:rsidRPr="000A0484">
        <w:rPr>
          <w:rFonts w:asciiTheme="minorHAnsi" w:hAnsiTheme="minorHAnsi"/>
          <w:sz w:val="24"/>
          <w:szCs w:val="24"/>
        </w:rPr>
        <w:t>/RPBS</w:t>
      </w:r>
      <w:r w:rsidR="00C00DA7" w:rsidRPr="000A0484">
        <w:rPr>
          <w:rFonts w:asciiTheme="minorHAnsi" w:hAnsiTheme="minorHAnsi"/>
          <w:sz w:val="24"/>
          <w:szCs w:val="24"/>
        </w:rPr>
        <w:t xml:space="preserve"> of </w:t>
      </w:r>
      <w:r w:rsidR="00260C55">
        <w:rPr>
          <w:rFonts w:asciiTheme="minorHAnsi" w:hAnsiTheme="minorHAnsi"/>
          <w:sz w:val="24"/>
          <w:szCs w:val="24"/>
        </w:rPr>
        <w:t>less than $10 million</w:t>
      </w:r>
      <w:r w:rsidRPr="000A0484">
        <w:rPr>
          <w:rFonts w:asciiTheme="minorHAnsi" w:hAnsiTheme="minorHAnsi"/>
          <w:sz w:val="24"/>
          <w:szCs w:val="24"/>
        </w:rPr>
        <w:t xml:space="preserve"> </w:t>
      </w:r>
      <w:r w:rsidR="00C00DA7" w:rsidRPr="000A0484">
        <w:rPr>
          <w:rFonts w:asciiTheme="minorHAnsi" w:hAnsiTheme="minorHAnsi"/>
          <w:sz w:val="24"/>
          <w:szCs w:val="24"/>
        </w:rPr>
        <w:t xml:space="preserve">in Year </w:t>
      </w:r>
      <w:r w:rsidR="001A2845" w:rsidRPr="000A0484">
        <w:rPr>
          <w:rFonts w:asciiTheme="minorHAnsi" w:hAnsiTheme="minorHAnsi"/>
          <w:sz w:val="24"/>
          <w:szCs w:val="24"/>
        </w:rPr>
        <w:t>6</w:t>
      </w:r>
      <w:r w:rsidR="00C00DA7" w:rsidRPr="000A0484">
        <w:rPr>
          <w:rFonts w:asciiTheme="minorHAnsi" w:hAnsiTheme="minorHAnsi"/>
          <w:sz w:val="24"/>
          <w:szCs w:val="24"/>
        </w:rPr>
        <w:t xml:space="preserve"> of listing, with a total net save to the PBS</w:t>
      </w:r>
      <w:r w:rsidR="004232D8" w:rsidRPr="000A0484">
        <w:rPr>
          <w:rFonts w:asciiTheme="minorHAnsi" w:hAnsiTheme="minorHAnsi"/>
          <w:sz w:val="24"/>
          <w:szCs w:val="24"/>
        </w:rPr>
        <w:t>/</w:t>
      </w:r>
      <w:r w:rsidR="000C2FF5" w:rsidRPr="000A0484">
        <w:rPr>
          <w:rFonts w:asciiTheme="minorHAnsi" w:hAnsiTheme="minorHAnsi"/>
          <w:sz w:val="24"/>
          <w:szCs w:val="24"/>
        </w:rPr>
        <w:t>RPBS</w:t>
      </w:r>
      <w:r w:rsidR="00C00DA7" w:rsidRPr="000A0484">
        <w:rPr>
          <w:rFonts w:asciiTheme="minorHAnsi" w:hAnsiTheme="minorHAnsi"/>
          <w:sz w:val="24"/>
          <w:szCs w:val="24"/>
        </w:rPr>
        <w:t xml:space="preserve"> of </w:t>
      </w:r>
      <w:r w:rsidR="00260C55">
        <w:rPr>
          <w:rFonts w:asciiTheme="minorHAnsi" w:hAnsiTheme="minorHAnsi"/>
          <w:sz w:val="24"/>
          <w:szCs w:val="24"/>
        </w:rPr>
        <w:t>less than $10 million</w:t>
      </w:r>
      <w:r w:rsidR="006D32A5" w:rsidRPr="000A0484">
        <w:rPr>
          <w:rFonts w:asciiTheme="minorHAnsi" w:hAnsiTheme="minorHAnsi"/>
          <w:sz w:val="24"/>
          <w:szCs w:val="24"/>
        </w:rPr>
        <w:t xml:space="preserve"> </w:t>
      </w:r>
      <w:r w:rsidR="00C00DA7" w:rsidRPr="000A0484">
        <w:rPr>
          <w:rFonts w:asciiTheme="minorHAnsi" w:hAnsiTheme="minorHAnsi"/>
          <w:sz w:val="24"/>
          <w:szCs w:val="24"/>
        </w:rPr>
        <w:t xml:space="preserve">over the first </w:t>
      </w:r>
      <w:r w:rsidR="001A2845" w:rsidRPr="000A0484">
        <w:rPr>
          <w:rFonts w:asciiTheme="minorHAnsi" w:hAnsiTheme="minorHAnsi"/>
          <w:sz w:val="24"/>
          <w:szCs w:val="24"/>
        </w:rPr>
        <w:t>6</w:t>
      </w:r>
      <w:r w:rsidR="00C00DA7" w:rsidRPr="000A0484">
        <w:rPr>
          <w:rFonts w:asciiTheme="minorHAnsi" w:hAnsiTheme="minorHAnsi"/>
          <w:sz w:val="24"/>
          <w:szCs w:val="24"/>
        </w:rPr>
        <w:t xml:space="preserve"> years of listing.  This is summarised in </w:t>
      </w:r>
      <w:r w:rsidR="001A2845" w:rsidRPr="000A0484">
        <w:rPr>
          <w:rFonts w:asciiTheme="minorHAnsi" w:hAnsiTheme="minorHAnsi"/>
          <w:sz w:val="24"/>
          <w:szCs w:val="24"/>
        </w:rPr>
        <w:t>T</w:t>
      </w:r>
      <w:r w:rsidR="00C00DA7" w:rsidRPr="000A0484">
        <w:rPr>
          <w:rFonts w:asciiTheme="minorHAnsi" w:hAnsiTheme="minorHAnsi"/>
          <w:sz w:val="24"/>
          <w:szCs w:val="24"/>
        </w:rPr>
        <w:t>able</w:t>
      </w:r>
      <w:r w:rsidR="00A813CF" w:rsidRPr="000A0484">
        <w:rPr>
          <w:rFonts w:asciiTheme="minorHAnsi" w:hAnsiTheme="minorHAnsi"/>
          <w:sz w:val="24"/>
          <w:szCs w:val="24"/>
        </w:rPr>
        <w:t xml:space="preserve"> </w:t>
      </w:r>
      <w:r w:rsidR="009812D7" w:rsidRPr="000A0484">
        <w:rPr>
          <w:rFonts w:asciiTheme="minorHAnsi" w:hAnsiTheme="minorHAnsi"/>
          <w:sz w:val="24"/>
          <w:szCs w:val="24"/>
        </w:rPr>
        <w:t>3</w:t>
      </w:r>
      <w:r w:rsidR="00C00DA7" w:rsidRPr="000A0484">
        <w:rPr>
          <w:rFonts w:asciiTheme="minorHAnsi" w:hAnsiTheme="minorHAnsi"/>
          <w:sz w:val="24"/>
          <w:szCs w:val="24"/>
        </w:rPr>
        <w:t xml:space="preserve"> below as well as the expected patient numbers. </w:t>
      </w:r>
    </w:p>
    <w:p w:rsidR="00146C82" w:rsidRPr="00E61624" w:rsidRDefault="00146C82" w:rsidP="00E61624">
      <w:pPr>
        <w:keepNext/>
        <w:widowControl w:val="0"/>
        <w:ind w:left="-11"/>
        <w:rPr>
          <w:rFonts w:ascii="Arial Narrow" w:hAnsi="Arial Narrow"/>
          <w:b/>
          <w:sz w:val="20"/>
          <w:szCs w:val="20"/>
        </w:rPr>
      </w:pPr>
      <w:r w:rsidRPr="00E61624">
        <w:rPr>
          <w:rFonts w:ascii="Arial Narrow" w:hAnsi="Arial Narrow"/>
          <w:b/>
          <w:sz w:val="20"/>
          <w:szCs w:val="20"/>
        </w:rPr>
        <w:t xml:space="preserve">Table </w:t>
      </w:r>
      <w:r w:rsidR="009812D7" w:rsidRPr="00E61624">
        <w:rPr>
          <w:rFonts w:ascii="Arial Narrow" w:hAnsi="Arial Narrow"/>
          <w:b/>
          <w:sz w:val="20"/>
          <w:szCs w:val="20"/>
        </w:rPr>
        <w:t>3</w:t>
      </w:r>
      <w:r w:rsidRPr="00E61624">
        <w:rPr>
          <w:rFonts w:ascii="Arial Narrow" w:hAnsi="Arial Narrow"/>
          <w:b/>
          <w:sz w:val="20"/>
          <w:szCs w:val="20"/>
        </w:rPr>
        <w:t>: Estimated use and financial implications</w:t>
      </w:r>
    </w:p>
    <w:tbl>
      <w:tblPr>
        <w:tblStyle w:val="TableGrid"/>
        <w:tblW w:w="5000" w:type="pct"/>
        <w:tblLook w:val="04A0" w:firstRow="1" w:lastRow="0" w:firstColumn="1" w:lastColumn="0" w:noHBand="0" w:noVBand="1"/>
        <w:tblCaption w:val="Table 3: Estimated use and financial implications"/>
        <w:tblDescription w:val="Table 3: Estimated use and financial implications"/>
      </w:tblPr>
      <w:tblGrid>
        <w:gridCol w:w="2093"/>
        <w:gridCol w:w="1191"/>
        <w:gridCol w:w="1193"/>
        <w:gridCol w:w="1191"/>
        <w:gridCol w:w="1192"/>
        <w:gridCol w:w="1190"/>
        <w:gridCol w:w="1192"/>
      </w:tblGrid>
      <w:tr w:rsidR="001A2845" w:rsidRPr="000A0484" w:rsidTr="001A2845">
        <w:trPr>
          <w:tblHeader/>
        </w:trPr>
        <w:tc>
          <w:tcPr>
            <w:tcW w:w="1132" w:type="pct"/>
            <w:tcBorders>
              <w:top w:val="single" w:sz="4" w:space="0" w:color="auto"/>
              <w:left w:val="single" w:sz="4" w:space="0" w:color="auto"/>
              <w:bottom w:val="single" w:sz="4" w:space="0" w:color="auto"/>
              <w:right w:val="single" w:sz="4" w:space="0" w:color="auto"/>
            </w:tcBorders>
            <w:shd w:val="clear" w:color="auto" w:fill="auto"/>
            <w:hideMark/>
          </w:tcPr>
          <w:p w:rsidR="009812D7" w:rsidRPr="000A0484" w:rsidRDefault="009812D7" w:rsidP="00E61624">
            <w:pPr>
              <w:pStyle w:val="TableText0"/>
              <w:keepNext/>
              <w:keepLines/>
              <w:widowControl w:val="0"/>
              <w:rPr>
                <w:rFonts w:ascii="Arial Narrow" w:hAnsi="Arial Narrow" w:cs="Arial"/>
                <w:b/>
                <w:sz w:val="20"/>
                <w:szCs w:val="20"/>
              </w:rPr>
            </w:pPr>
          </w:p>
        </w:tc>
        <w:tc>
          <w:tcPr>
            <w:tcW w:w="644" w:type="pct"/>
            <w:tcBorders>
              <w:top w:val="single" w:sz="4" w:space="0" w:color="auto"/>
              <w:left w:val="single" w:sz="4" w:space="0" w:color="auto"/>
              <w:bottom w:val="single" w:sz="4" w:space="0" w:color="auto"/>
              <w:right w:val="single" w:sz="4" w:space="0" w:color="auto"/>
            </w:tcBorders>
            <w:shd w:val="clear" w:color="auto" w:fill="auto"/>
            <w:hideMark/>
          </w:tcPr>
          <w:p w:rsidR="009812D7" w:rsidRPr="000A0484" w:rsidRDefault="009812D7" w:rsidP="00E61624">
            <w:pPr>
              <w:pStyle w:val="TableText0"/>
              <w:keepNext/>
              <w:keepLines/>
              <w:widowControl w:val="0"/>
              <w:jc w:val="center"/>
              <w:rPr>
                <w:rFonts w:ascii="Arial Narrow" w:hAnsi="Arial Narrow" w:cs="Arial"/>
                <w:b/>
                <w:sz w:val="20"/>
                <w:szCs w:val="20"/>
              </w:rPr>
            </w:pPr>
            <w:r w:rsidRPr="000A0484">
              <w:rPr>
                <w:rFonts w:ascii="Arial Narrow" w:hAnsi="Arial Narrow" w:cs="Arial"/>
                <w:b/>
                <w:sz w:val="20"/>
                <w:szCs w:val="20"/>
              </w:rPr>
              <w:t>Year 1</w:t>
            </w:r>
          </w:p>
        </w:tc>
        <w:tc>
          <w:tcPr>
            <w:tcW w:w="645" w:type="pct"/>
            <w:tcBorders>
              <w:top w:val="single" w:sz="4" w:space="0" w:color="auto"/>
              <w:left w:val="single" w:sz="4" w:space="0" w:color="auto"/>
              <w:bottom w:val="single" w:sz="4" w:space="0" w:color="auto"/>
              <w:right w:val="single" w:sz="4" w:space="0" w:color="auto"/>
            </w:tcBorders>
            <w:shd w:val="clear" w:color="auto" w:fill="auto"/>
            <w:hideMark/>
          </w:tcPr>
          <w:p w:rsidR="009812D7" w:rsidRPr="000A0484" w:rsidRDefault="009812D7" w:rsidP="00E61624">
            <w:pPr>
              <w:pStyle w:val="TableText0"/>
              <w:keepNext/>
              <w:keepLines/>
              <w:widowControl w:val="0"/>
              <w:jc w:val="center"/>
              <w:rPr>
                <w:rFonts w:ascii="Arial Narrow" w:hAnsi="Arial Narrow" w:cs="Arial"/>
                <w:b/>
                <w:sz w:val="20"/>
                <w:szCs w:val="20"/>
              </w:rPr>
            </w:pPr>
            <w:r w:rsidRPr="000A0484">
              <w:rPr>
                <w:rFonts w:ascii="Arial Narrow" w:hAnsi="Arial Narrow" w:cs="Arial"/>
                <w:b/>
                <w:sz w:val="20"/>
                <w:szCs w:val="20"/>
              </w:rPr>
              <w:t>Year 2</w:t>
            </w:r>
          </w:p>
        </w:tc>
        <w:tc>
          <w:tcPr>
            <w:tcW w:w="644" w:type="pct"/>
            <w:tcBorders>
              <w:top w:val="single" w:sz="4" w:space="0" w:color="auto"/>
              <w:left w:val="single" w:sz="4" w:space="0" w:color="auto"/>
              <w:bottom w:val="single" w:sz="4" w:space="0" w:color="auto"/>
              <w:right w:val="single" w:sz="4" w:space="0" w:color="auto"/>
            </w:tcBorders>
            <w:shd w:val="clear" w:color="auto" w:fill="auto"/>
            <w:hideMark/>
          </w:tcPr>
          <w:p w:rsidR="009812D7" w:rsidRPr="000A0484" w:rsidRDefault="009812D7" w:rsidP="00E61624">
            <w:pPr>
              <w:pStyle w:val="TableText0"/>
              <w:keepNext/>
              <w:keepLines/>
              <w:widowControl w:val="0"/>
              <w:jc w:val="center"/>
              <w:rPr>
                <w:rFonts w:ascii="Arial Narrow" w:hAnsi="Arial Narrow" w:cs="Arial"/>
                <w:b/>
                <w:sz w:val="20"/>
                <w:szCs w:val="20"/>
              </w:rPr>
            </w:pPr>
            <w:r w:rsidRPr="000A0484">
              <w:rPr>
                <w:rFonts w:ascii="Arial Narrow" w:hAnsi="Arial Narrow" w:cs="Arial"/>
                <w:b/>
                <w:sz w:val="20"/>
                <w:szCs w:val="20"/>
              </w:rPr>
              <w:t>Year 3</w:t>
            </w:r>
          </w:p>
        </w:tc>
        <w:tc>
          <w:tcPr>
            <w:tcW w:w="645" w:type="pct"/>
            <w:tcBorders>
              <w:top w:val="single" w:sz="4" w:space="0" w:color="auto"/>
              <w:left w:val="single" w:sz="4" w:space="0" w:color="auto"/>
              <w:bottom w:val="single" w:sz="4" w:space="0" w:color="auto"/>
              <w:right w:val="single" w:sz="4" w:space="0" w:color="auto"/>
            </w:tcBorders>
            <w:shd w:val="clear" w:color="auto" w:fill="auto"/>
            <w:hideMark/>
          </w:tcPr>
          <w:p w:rsidR="009812D7" w:rsidRPr="000A0484" w:rsidRDefault="009812D7" w:rsidP="00E61624">
            <w:pPr>
              <w:pStyle w:val="TableText0"/>
              <w:keepNext/>
              <w:keepLines/>
              <w:widowControl w:val="0"/>
              <w:jc w:val="center"/>
              <w:rPr>
                <w:rFonts w:ascii="Arial Narrow" w:hAnsi="Arial Narrow" w:cs="Arial"/>
                <w:b/>
                <w:sz w:val="20"/>
                <w:szCs w:val="20"/>
              </w:rPr>
            </w:pPr>
            <w:r w:rsidRPr="000A0484">
              <w:rPr>
                <w:rFonts w:ascii="Arial Narrow" w:hAnsi="Arial Narrow" w:cs="Arial"/>
                <w:b/>
                <w:sz w:val="20"/>
                <w:szCs w:val="20"/>
              </w:rPr>
              <w:t>Year 4</w:t>
            </w:r>
          </w:p>
        </w:tc>
        <w:tc>
          <w:tcPr>
            <w:tcW w:w="644" w:type="pct"/>
            <w:tcBorders>
              <w:top w:val="single" w:sz="4" w:space="0" w:color="auto"/>
              <w:left w:val="single" w:sz="4" w:space="0" w:color="auto"/>
              <w:bottom w:val="single" w:sz="4" w:space="0" w:color="auto"/>
              <w:right w:val="single" w:sz="4" w:space="0" w:color="auto"/>
            </w:tcBorders>
            <w:shd w:val="clear" w:color="auto" w:fill="auto"/>
            <w:hideMark/>
          </w:tcPr>
          <w:p w:rsidR="009812D7" w:rsidRPr="000A0484" w:rsidRDefault="009812D7" w:rsidP="00E61624">
            <w:pPr>
              <w:pStyle w:val="TableText0"/>
              <w:keepNext/>
              <w:keepLines/>
              <w:widowControl w:val="0"/>
              <w:jc w:val="center"/>
              <w:rPr>
                <w:rFonts w:ascii="Arial Narrow" w:hAnsi="Arial Narrow" w:cs="Arial"/>
                <w:b/>
                <w:sz w:val="20"/>
                <w:szCs w:val="20"/>
              </w:rPr>
            </w:pPr>
            <w:r w:rsidRPr="000A0484">
              <w:rPr>
                <w:rFonts w:ascii="Arial Narrow" w:hAnsi="Arial Narrow" w:cs="Arial"/>
                <w:b/>
                <w:sz w:val="20"/>
                <w:szCs w:val="20"/>
              </w:rPr>
              <w:t>Year 5</w:t>
            </w:r>
          </w:p>
        </w:tc>
        <w:tc>
          <w:tcPr>
            <w:tcW w:w="645" w:type="pct"/>
            <w:tcBorders>
              <w:top w:val="single" w:sz="4" w:space="0" w:color="auto"/>
              <w:left w:val="single" w:sz="4" w:space="0" w:color="auto"/>
              <w:bottom w:val="single" w:sz="4" w:space="0" w:color="auto"/>
              <w:right w:val="single" w:sz="4" w:space="0" w:color="auto"/>
            </w:tcBorders>
          </w:tcPr>
          <w:p w:rsidR="009812D7" w:rsidRPr="000A0484" w:rsidRDefault="009812D7" w:rsidP="00E61624">
            <w:pPr>
              <w:pStyle w:val="TableText0"/>
              <w:keepNext/>
              <w:keepLines/>
              <w:widowControl w:val="0"/>
              <w:jc w:val="center"/>
              <w:rPr>
                <w:rFonts w:ascii="Arial Narrow" w:hAnsi="Arial Narrow" w:cs="Arial"/>
                <w:b/>
                <w:sz w:val="20"/>
                <w:szCs w:val="20"/>
              </w:rPr>
            </w:pPr>
            <w:r w:rsidRPr="000A0484">
              <w:rPr>
                <w:rFonts w:ascii="Arial Narrow" w:hAnsi="Arial Narrow" w:cs="Arial"/>
                <w:b/>
                <w:sz w:val="20"/>
                <w:szCs w:val="20"/>
              </w:rPr>
              <w:t>Year 6</w:t>
            </w:r>
          </w:p>
        </w:tc>
      </w:tr>
      <w:tr w:rsidR="001A2845" w:rsidRPr="000A0484" w:rsidTr="001A2845">
        <w:tc>
          <w:tcPr>
            <w:tcW w:w="1132" w:type="pct"/>
            <w:tcBorders>
              <w:top w:val="single" w:sz="4" w:space="0" w:color="auto"/>
              <w:left w:val="single" w:sz="4" w:space="0" w:color="auto"/>
              <w:bottom w:val="single" w:sz="4" w:space="0" w:color="auto"/>
              <w:right w:val="single" w:sz="4" w:space="0" w:color="auto"/>
            </w:tcBorders>
            <w:shd w:val="clear" w:color="auto" w:fill="auto"/>
            <w:hideMark/>
          </w:tcPr>
          <w:p w:rsidR="009812D7" w:rsidRPr="000A0484" w:rsidRDefault="001A2845" w:rsidP="00E61624">
            <w:pPr>
              <w:keepNext/>
              <w:keepLines/>
              <w:widowControl w:val="0"/>
              <w:jc w:val="both"/>
              <w:rPr>
                <w:rFonts w:ascii="Arial Narrow" w:hAnsi="Arial Narrow" w:cs="Arial"/>
                <w:sz w:val="20"/>
                <w:szCs w:val="20"/>
              </w:rPr>
            </w:pPr>
            <w:r w:rsidRPr="000A0484">
              <w:rPr>
                <w:rFonts w:ascii="Arial Narrow" w:hAnsi="Arial Narrow" w:cs="Arial"/>
                <w:sz w:val="20"/>
                <w:szCs w:val="20"/>
              </w:rPr>
              <w:t>CD</w:t>
            </w:r>
            <w:r w:rsidR="009812D7" w:rsidRPr="000A0484">
              <w:rPr>
                <w:rFonts w:ascii="Arial Narrow" w:hAnsi="Arial Narrow" w:cs="Arial"/>
                <w:sz w:val="20"/>
                <w:szCs w:val="20"/>
              </w:rPr>
              <w:t xml:space="preserve"> patients per year</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tcPr>
          <w:p w:rsidR="009812D7" w:rsidRPr="0086342F" w:rsidRDefault="0086342F" w:rsidP="00E61624">
            <w:pPr>
              <w:pStyle w:val="TableText0"/>
              <w:keepNext/>
              <w:keepLines/>
              <w:widowControl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1A2845" w:rsidRPr="000A0484" w:rsidTr="005C57E3">
        <w:tc>
          <w:tcPr>
            <w:tcW w:w="11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812D7" w:rsidRPr="000A0484" w:rsidRDefault="001A2845" w:rsidP="00E61624">
            <w:pPr>
              <w:pStyle w:val="TableText0"/>
              <w:keepNext/>
              <w:keepLines/>
              <w:widowControl w:val="0"/>
              <w:rPr>
                <w:rFonts w:ascii="Arial Narrow" w:hAnsi="Arial Narrow" w:cs="Arial"/>
                <w:sz w:val="20"/>
                <w:szCs w:val="20"/>
              </w:rPr>
            </w:pPr>
            <w:r w:rsidRPr="000A0484">
              <w:rPr>
                <w:rFonts w:ascii="Arial Narrow" w:hAnsi="Arial Narrow" w:cs="Arial"/>
                <w:sz w:val="20"/>
                <w:szCs w:val="20"/>
              </w:rPr>
              <w:t>%</w:t>
            </w:r>
            <w:r w:rsidR="005C57E3" w:rsidRPr="000A0484">
              <w:rPr>
                <w:rFonts w:ascii="Arial Narrow" w:hAnsi="Arial Narrow" w:cs="Arial"/>
                <w:sz w:val="20"/>
                <w:szCs w:val="20"/>
              </w:rPr>
              <w:t xml:space="preserve"> of</w:t>
            </w:r>
            <w:r w:rsidR="0080668A" w:rsidRPr="000A0484">
              <w:rPr>
                <w:rFonts w:ascii="Arial Narrow" w:hAnsi="Arial Narrow" w:cs="Arial"/>
                <w:sz w:val="20"/>
                <w:szCs w:val="20"/>
              </w:rPr>
              <w:t xml:space="preserve"> </w:t>
            </w:r>
            <w:r w:rsidR="009812D7" w:rsidRPr="000A0484">
              <w:rPr>
                <w:rFonts w:ascii="Arial Narrow" w:hAnsi="Arial Narrow" w:cs="Arial"/>
                <w:sz w:val="20"/>
                <w:szCs w:val="20"/>
              </w:rPr>
              <w:t xml:space="preserve">population with mild to moderate </w:t>
            </w:r>
            <w:r w:rsidRPr="000A0484">
              <w:rPr>
                <w:rFonts w:ascii="Arial Narrow" w:hAnsi="Arial Narrow" w:cs="Arial"/>
                <w:sz w:val="20"/>
                <w:szCs w:val="20"/>
              </w:rPr>
              <w:t>CD</w:t>
            </w:r>
            <w:r w:rsidR="009812D7" w:rsidRPr="000A0484">
              <w:rPr>
                <w:rFonts w:ascii="Arial Narrow" w:hAnsi="Arial Narrow" w:cs="Arial"/>
                <w:sz w:val="20"/>
                <w:szCs w:val="20"/>
              </w:rPr>
              <w:t xml:space="preserve"> eligible for first/second line treatment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cs="Arial"/>
                <w:sz w:val="20"/>
                <w:szCs w:val="20"/>
              </w:rPr>
              <w:t>44%</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cs="Arial"/>
                <w:sz w:val="20"/>
                <w:szCs w:val="20"/>
              </w:rPr>
              <w:t>44%</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cs="Arial"/>
                <w:sz w:val="20"/>
                <w:szCs w:val="20"/>
              </w:rPr>
              <w:t>44%</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cs="Arial"/>
                <w:sz w:val="20"/>
                <w:szCs w:val="20"/>
              </w:rPr>
              <w:t>44%</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cs="Arial"/>
                <w:sz w:val="20"/>
                <w:szCs w:val="20"/>
              </w:rPr>
              <w:t>44%</w:t>
            </w:r>
          </w:p>
        </w:tc>
        <w:tc>
          <w:tcPr>
            <w:tcW w:w="645" w:type="pct"/>
            <w:tcBorders>
              <w:top w:val="single" w:sz="4" w:space="0" w:color="auto"/>
              <w:left w:val="single" w:sz="4" w:space="0" w:color="auto"/>
              <w:bottom w:val="single" w:sz="4" w:space="0" w:color="auto"/>
              <w:right w:val="single" w:sz="4" w:space="0" w:color="auto"/>
            </w:tcBorders>
            <w:vAlign w:val="center"/>
          </w:tcPr>
          <w:p w:rsidR="009812D7" w:rsidRPr="000A0484" w:rsidRDefault="001A2845" w:rsidP="00E61624">
            <w:pPr>
              <w:pStyle w:val="TableText0"/>
              <w:keepNext/>
              <w:keepLines/>
              <w:widowControl w:val="0"/>
              <w:jc w:val="center"/>
              <w:rPr>
                <w:rFonts w:ascii="Arial Narrow" w:hAnsi="Arial Narrow" w:cs="Arial"/>
                <w:sz w:val="20"/>
                <w:szCs w:val="20"/>
              </w:rPr>
            </w:pPr>
            <w:r w:rsidRPr="000A0484">
              <w:rPr>
                <w:rFonts w:ascii="Arial Narrow" w:hAnsi="Arial Narrow" w:cs="Arial"/>
                <w:sz w:val="20"/>
                <w:szCs w:val="20"/>
              </w:rPr>
              <w:t>44%</w:t>
            </w:r>
          </w:p>
        </w:tc>
      </w:tr>
      <w:tr w:rsidR="001A2845" w:rsidRPr="000A0484" w:rsidTr="005C57E3">
        <w:tc>
          <w:tcPr>
            <w:tcW w:w="1132" w:type="pct"/>
            <w:tcBorders>
              <w:top w:val="single" w:sz="4" w:space="0" w:color="auto"/>
              <w:left w:val="single" w:sz="4" w:space="0" w:color="auto"/>
              <w:bottom w:val="single" w:sz="4" w:space="0" w:color="auto"/>
              <w:right w:val="single" w:sz="4" w:space="0" w:color="auto"/>
            </w:tcBorders>
            <w:shd w:val="clear" w:color="auto" w:fill="auto"/>
          </w:tcPr>
          <w:p w:rsidR="009812D7" w:rsidRPr="000A0484" w:rsidRDefault="009812D7" w:rsidP="00E61624">
            <w:pPr>
              <w:pStyle w:val="TableText0"/>
              <w:keepNext/>
              <w:keepLines/>
              <w:widowControl w:val="0"/>
              <w:rPr>
                <w:rFonts w:ascii="Arial Narrow" w:hAnsi="Arial Narrow" w:cs="Arial"/>
                <w:sz w:val="20"/>
                <w:szCs w:val="20"/>
              </w:rPr>
            </w:pPr>
            <w:r w:rsidRPr="000A0484">
              <w:rPr>
                <w:rFonts w:ascii="Arial Narrow" w:hAnsi="Arial Narrow"/>
                <w:sz w:val="20"/>
                <w:szCs w:val="20"/>
              </w:rPr>
              <w:t xml:space="preserve">Population eligible for </w:t>
            </w:r>
            <w:proofErr w:type="spellStart"/>
            <w:r w:rsidRPr="000A0484">
              <w:rPr>
                <w:rFonts w:ascii="Arial Narrow" w:hAnsi="Arial Narrow"/>
                <w:sz w:val="20"/>
                <w:szCs w:val="20"/>
              </w:rPr>
              <w:t>mesalazine</w:t>
            </w:r>
            <w:proofErr w:type="spellEnd"/>
            <w:r w:rsidRPr="000A0484">
              <w:rPr>
                <w:rFonts w:ascii="Arial Narrow" w:hAnsi="Arial Narrow"/>
                <w:sz w:val="20"/>
                <w:szCs w:val="20"/>
              </w:rPr>
              <w:t>, prednisolone or budesonide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vAlign w:val="center"/>
          </w:tcPr>
          <w:p w:rsidR="009812D7" w:rsidRPr="0086342F" w:rsidRDefault="0086342F" w:rsidP="00E61624">
            <w:pPr>
              <w:pStyle w:val="TableText0"/>
              <w:keepNext/>
              <w:keepLines/>
              <w:widowControl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1A2845" w:rsidRPr="000A0484" w:rsidTr="001A2845">
        <w:tc>
          <w:tcPr>
            <w:tcW w:w="1132" w:type="pct"/>
            <w:tcBorders>
              <w:top w:val="single" w:sz="4" w:space="0" w:color="auto"/>
              <w:left w:val="single" w:sz="4" w:space="0" w:color="auto"/>
              <w:bottom w:val="single" w:sz="4" w:space="0" w:color="auto"/>
              <w:right w:val="single" w:sz="4" w:space="0" w:color="auto"/>
            </w:tcBorders>
            <w:shd w:val="clear" w:color="auto" w:fill="auto"/>
            <w:hideMark/>
          </w:tcPr>
          <w:p w:rsidR="009812D7" w:rsidRPr="000A0484" w:rsidRDefault="009812D7" w:rsidP="00E61624">
            <w:pPr>
              <w:pStyle w:val="TableText0"/>
              <w:keepNext/>
              <w:keepLines/>
              <w:widowControl w:val="0"/>
              <w:rPr>
                <w:rFonts w:ascii="Arial Narrow" w:hAnsi="Arial Narrow" w:cs="Arial"/>
                <w:sz w:val="20"/>
                <w:szCs w:val="20"/>
              </w:rPr>
            </w:pPr>
            <w:r w:rsidRPr="000A0484">
              <w:rPr>
                <w:rFonts w:ascii="Arial Narrow" w:hAnsi="Arial Narrow" w:cs="Arial"/>
                <w:sz w:val="20"/>
                <w:szCs w:val="20"/>
              </w:rPr>
              <w:t>Rate of uptake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20%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25%</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30%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32%</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34%</w:t>
            </w:r>
          </w:p>
        </w:tc>
        <w:tc>
          <w:tcPr>
            <w:tcW w:w="645" w:type="pct"/>
            <w:tcBorders>
              <w:top w:val="single" w:sz="4" w:space="0" w:color="auto"/>
              <w:left w:val="single" w:sz="4" w:space="0" w:color="auto"/>
              <w:bottom w:val="single" w:sz="4" w:space="0" w:color="auto"/>
              <w:right w:val="single" w:sz="4" w:space="0" w:color="auto"/>
            </w:tcBorders>
          </w:tcPr>
          <w:p w:rsidR="009812D7" w:rsidRPr="000A0484" w:rsidRDefault="001A2845"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35%</w:t>
            </w:r>
          </w:p>
        </w:tc>
      </w:tr>
      <w:tr w:rsidR="001A2845" w:rsidRPr="000A0484" w:rsidTr="007C5F8C">
        <w:tc>
          <w:tcPr>
            <w:tcW w:w="1132" w:type="pct"/>
            <w:tcBorders>
              <w:top w:val="single" w:sz="4" w:space="0" w:color="auto"/>
              <w:left w:val="single" w:sz="4" w:space="0" w:color="auto"/>
              <w:bottom w:val="single" w:sz="4" w:space="0" w:color="auto"/>
              <w:right w:val="single" w:sz="4" w:space="0" w:color="auto"/>
            </w:tcBorders>
            <w:shd w:val="clear" w:color="auto" w:fill="auto"/>
            <w:hideMark/>
          </w:tcPr>
          <w:p w:rsidR="009812D7" w:rsidRPr="000A0484" w:rsidRDefault="0080668A" w:rsidP="00E61624">
            <w:pPr>
              <w:pStyle w:val="TableText0"/>
              <w:keepNext/>
              <w:keepLines/>
              <w:widowControl w:val="0"/>
              <w:rPr>
                <w:rFonts w:ascii="Arial Narrow" w:hAnsi="Arial Narrow" w:cs="Arial"/>
                <w:sz w:val="20"/>
                <w:szCs w:val="20"/>
              </w:rPr>
            </w:pPr>
            <w:r w:rsidRPr="000A0484">
              <w:rPr>
                <w:rFonts w:ascii="Arial Narrow" w:hAnsi="Arial Narrow" w:cs="Arial"/>
                <w:sz w:val="20"/>
                <w:szCs w:val="20"/>
              </w:rPr>
              <w:t>Total patients treated with budesonide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812D7" w:rsidRPr="0086342F" w:rsidRDefault="0086342F" w:rsidP="00E61624">
            <w:pPr>
              <w:pStyle w:val="TableText0"/>
              <w:keepNext/>
              <w:keepLines/>
              <w:widowControl w:val="0"/>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vAlign w:val="center"/>
          </w:tcPr>
          <w:p w:rsidR="009812D7" w:rsidRPr="0086342F" w:rsidRDefault="0086342F" w:rsidP="00E61624">
            <w:pPr>
              <w:pStyle w:val="TableText0"/>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A2845" w:rsidRPr="000A0484" w:rsidTr="001A2845">
        <w:tc>
          <w:tcPr>
            <w:tcW w:w="1132" w:type="pct"/>
            <w:tcBorders>
              <w:top w:val="single" w:sz="4" w:space="0" w:color="auto"/>
              <w:left w:val="single" w:sz="4" w:space="0" w:color="auto"/>
              <w:bottom w:val="single" w:sz="4" w:space="0" w:color="auto"/>
              <w:right w:val="single" w:sz="4" w:space="0" w:color="auto"/>
            </w:tcBorders>
            <w:shd w:val="clear" w:color="auto" w:fill="auto"/>
          </w:tcPr>
          <w:p w:rsidR="009812D7" w:rsidRPr="000A0484" w:rsidRDefault="009812D7" w:rsidP="00E61624">
            <w:pPr>
              <w:pStyle w:val="TableText0"/>
              <w:keepNext/>
              <w:keepLines/>
              <w:widowControl w:val="0"/>
              <w:rPr>
                <w:rFonts w:ascii="Arial Narrow" w:hAnsi="Arial Narrow" w:cs="Arial"/>
                <w:sz w:val="20"/>
                <w:szCs w:val="20"/>
                <w:vertAlign w:val="superscript"/>
              </w:rPr>
            </w:pPr>
            <w:r w:rsidRPr="000A0484">
              <w:rPr>
                <w:rFonts w:ascii="Arial Narrow" w:hAnsi="Arial Narrow" w:cs="Arial"/>
                <w:sz w:val="20"/>
                <w:szCs w:val="20"/>
              </w:rPr>
              <w:t>Number of scripts for budesonide</w:t>
            </w:r>
            <w:r w:rsidRPr="000A0484">
              <w:rPr>
                <w:rFonts w:ascii="Arial Narrow" w:hAnsi="Arial Narrow" w:cs="Arial"/>
                <w:sz w:val="20"/>
                <w:szCs w:val="20"/>
                <w:vertAlign w:val="superscript"/>
              </w:rPr>
              <w:t>1</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9812D7" w:rsidRPr="0086342F" w:rsidRDefault="0086342F" w:rsidP="00E61624">
            <w:pPr>
              <w:keepNext/>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812D7" w:rsidRPr="0086342F" w:rsidRDefault="0086342F" w:rsidP="00E61624">
            <w:pPr>
              <w:keepNext/>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9812D7" w:rsidRPr="0086342F" w:rsidRDefault="0086342F" w:rsidP="00E61624">
            <w:pPr>
              <w:keepNext/>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812D7" w:rsidRPr="0086342F" w:rsidRDefault="0086342F" w:rsidP="00E61624">
            <w:pPr>
              <w:keepNext/>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9812D7" w:rsidRPr="0086342F" w:rsidRDefault="0086342F" w:rsidP="00E61624">
            <w:pPr>
              <w:keepNext/>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tcPr>
          <w:p w:rsidR="009812D7" w:rsidRPr="0086342F" w:rsidRDefault="0086342F" w:rsidP="00E61624">
            <w:pPr>
              <w:keepNext/>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A2845" w:rsidRPr="000A0484" w:rsidTr="001A2845">
        <w:tc>
          <w:tcPr>
            <w:tcW w:w="1132" w:type="pct"/>
            <w:shd w:val="clear" w:color="auto" w:fill="auto"/>
            <w:hideMark/>
          </w:tcPr>
          <w:p w:rsidR="009812D7" w:rsidRPr="000A0484" w:rsidRDefault="009812D7" w:rsidP="00E61624">
            <w:pPr>
              <w:pStyle w:val="TableText0"/>
              <w:keepNext/>
              <w:keepLines/>
              <w:widowControl w:val="0"/>
              <w:rPr>
                <w:rFonts w:ascii="Arial Narrow" w:hAnsi="Arial Narrow"/>
                <w:sz w:val="20"/>
                <w:szCs w:val="20"/>
              </w:rPr>
            </w:pPr>
            <w:r w:rsidRPr="000A0484">
              <w:rPr>
                <w:rFonts w:ascii="Arial Narrow" w:hAnsi="Arial Narrow"/>
                <w:sz w:val="20"/>
                <w:szCs w:val="20"/>
              </w:rPr>
              <w:t>Total budesonide cost to the PBS from listing</w:t>
            </w:r>
          </w:p>
        </w:tc>
        <w:tc>
          <w:tcPr>
            <w:tcW w:w="644" w:type="pct"/>
            <w:shd w:val="clear" w:color="auto" w:fill="auto"/>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w:t>
            </w:r>
            <w:r w:rsidR="0086342F">
              <w:rPr>
                <w:rFonts w:ascii="Arial Narrow" w:hAnsi="Arial Narrow"/>
                <w:noProof/>
                <w:color w:val="000000"/>
                <w:sz w:val="20"/>
                <w:szCs w:val="20"/>
                <w:highlight w:val="black"/>
              </w:rPr>
              <w:t>'''''''''''''''''''''</w:t>
            </w:r>
          </w:p>
        </w:tc>
        <w:tc>
          <w:tcPr>
            <w:tcW w:w="645" w:type="pct"/>
            <w:shd w:val="clear" w:color="auto" w:fill="auto"/>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w:t>
            </w:r>
            <w:r w:rsidR="0086342F">
              <w:rPr>
                <w:rFonts w:ascii="Arial Narrow" w:hAnsi="Arial Narrow"/>
                <w:noProof/>
                <w:color w:val="000000"/>
                <w:sz w:val="20"/>
                <w:szCs w:val="20"/>
                <w:highlight w:val="black"/>
              </w:rPr>
              <w:t>'''''''''''''''''''''''</w:t>
            </w:r>
          </w:p>
        </w:tc>
        <w:tc>
          <w:tcPr>
            <w:tcW w:w="644" w:type="pct"/>
            <w:shd w:val="clear" w:color="auto" w:fill="auto"/>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w:t>
            </w:r>
            <w:r w:rsidR="0086342F">
              <w:rPr>
                <w:rFonts w:ascii="Arial Narrow" w:hAnsi="Arial Narrow"/>
                <w:noProof/>
                <w:color w:val="000000"/>
                <w:sz w:val="20"/>
                <w:szCs w:val="20"/>
                <w:highlight w:val="black"/>
              </w:rPr>
              <w:t>'''''''''''''''''''''</w:t>
            </w:r>
          </w:p>
        </w:tc>
        <w:tc>
          <w:tcPr>
            <w:tcW w:w="645" w:type="pct"/>
            <w:shd w:val="clear" w:color="auto" w:fill="auto"/>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w:t>
            </w:r>
            <w:r w:rsidR="0086342F">
              <w:rPr>
                <w:rFonts w:ascii="Arial Narrow" w:hAnsi="Arial Narrow"/>
                <w:noProof/>
                <w:color w:val="000000"/>
                <w:sz w:val="20"/>
                <w:szCs w:val="20"/>
                <w:highlight w:val="black"/>
              </w:rPr>
              <w:t>''''''''''''''''''''''''</w:t>
            </w:r>
          </w:p>
        </w:tc>
        <w:tc>
          <w:tcPr>
            <w:tcW w:w="644" w:type="pct"/>
            <w:shd w:val="clear" w:color="auto" w:fill="auto"/>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w:t>
            </w:r>
            <w:r w:rsidR="0086342F">
              <w:rPr>
                <w:rFonts w:ascii="Arial Narrow" w:hAnsi="Arial Narrow"/>
                <w:noProof/>
                <w:color w:val="000000"/>
                <w:sz w:val="20"/>
                <w:szCs w:val="20"/>
                <w:highlight w:val="black"/>
              </w:rPr>
              <w:t>'''''''''''''''''''''''''</w:t>
            </w:r>
          </w:p>
        </w:tc>
        <w:tc>
          <w:tcPr>
            <w:tcW w:w="645" w:type="pct"/>
          </w:tcPr>
          <w:p w:rsidR="009812D7" w:rsidRPr="000A0484" w:rsidRDefault="001A2845"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w:t>
            </w:r>
            <w:r w:rsidR="0086342F">
              <w:rPr>
                <w:rFonts w:ascii="Arial Narrow" w:hAnsi="Arial Narrow"/>
                <w:noProof/>
                <w:color w:val="000000"/>
                <w:sz w:val="20"/>
                <w:szCs w:val="20"/>
                <w:highlight w:val="black"/>
              </w:rPr>
              <w:t>''''''''''''''''''''''''''</w:t>
            </w:r>
          </w:p>
        </w:tc>
      </w:tr>
      <w:tr w:rsidR="001A2845" w:rsidRPr="000A0484" w:rsidTr="001A2845">
        <w:tc>
          <w:tcPr>
            <w:tcW w:w="1132" w:type="pct"/>
            <w:shd w:val="clear" w:color="auto" w:fill="auto"/>
            <w:hideMark/>
          </w:tcPr>
          <w:p w:rsidR="009812D7" w:rsidRPr="000A0484" w:rsidRDefault="009812D7" w:rsidP="00E61624">
            <w:pPr>
              <w:pStyle w:val="TableText0"/>
              <w:keepNext/>
              <w:keepLines/>
              <w:widowControl w:val="0"/>
              <w:rPr>
                <w:rFonts w:ascii="Arial Narrow" w:hAnsi="Arial Narrow"/>
                <w:sz w:val="20"/>
                <w:szCs w:val="20"/>
              </w:rPr>
            </w:pPr>
            <w:r w:rsidRPr="000A0484">
              <w:rPr>
                <w:rFonts w:ascii="Arial Narrow" w:hAnsi="Arial Narrow"/>
                <w:sz w:val="20"/>
                <w:szCs w:val="20"/>
              </w:rPr>
              <w:t>Total decrease in cost to the PBS from substitution</w:t>
            </w:r>
          </w:p>
        </w:tc>
        <w:tc>
          <w:tcPr>
            <w:tcW w:w="644" w:type="pct"/>
            <w:shd w:val="clear" w:color="auto" w:fill="auto"/>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w:t>
            </w:r>
            <w:r w:rsidR="0086342F">
              <w:rPr>
                <w:rFonts w:ascii="Arial Narrow" w:hAnsi="Arial Narrow"/>
                <w:noProof/>
                <w:color w:val="000000"/>
                <w:sz w:val="20"/>
                <w:szCs w:val="20"/>
                <w:highlight w:val="black"/>
              </w:rPr>
              <w:t>''''''''''''''''''''''</w:t>
            </w:r>
          </w:p>
        </w:tc>
        <w:tc>
          <w:tcPr>
            <w:tcW w:w="645" w:type="pct"/>
            <w:shd w:val="clear" w:color="auto" w:fill="auto"/>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w:t>
            </w:r>
            <w:r w:rsidR="0086342F">
              <w:rPr>
                <w:rFonts w:ascii="Arial Narrow" w:hAnsi="Arial Narrow"/>
                <w:noProof/>
                <w:color w:val="000000"/>
                <w:sz w:val="20"/>
                <w:szCs w:val="20"/>
                <w:highlight w:val="black"/>
              </w:rPr>
              <w:t>'''''''''''''''''''''''''</w:t>
            </w:r>
          </w:p>
        </w:tc>
        <w:tc>
          <w:tcPr>
            <w:tcW w:w="644" w:type="pct"/>
            <w:shd w:val="clear" w:color="auto" w:fill="auto"/>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w:t>
            </w:r>
            <w:r w:rsidR="0086342F">
              <w:rPr>
                <w:rFonts w:ascii="Arial Narrow" w:hAnsi="Arial Narrow"/>
                <w:noProof/>
                <w:color w:val="000000"/>
                <w:sz w:val="20"/>
                <w:szCs w:val="20"/>
                <w:highlight w:val="black"/>
              </w:rPr>
              <w:t>'''''''''''''''''''''''''</w:t>
            </w:r>
          </w:p>
        </w:tc>
        <w:tc>
          <w:tcPr>
            <w:tcW w:w="645" w:type="pct"/>
            <w:shd w:val="clear" w:color="auto" w:fill="auto"/>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w:t>
            </w:r>
            <w:r w:rsidR="0086342F">
              <w:rPr>
                <w:rFonts w:ascii="Arial Narrow" w:hAnsi="Arial Narrow"/>
                <w:noProof/>
                <w:color w:val="000000"/>
                <w:sz w:val="20"/>
                <w:szCs w:val="20"/>
                <w:highlight w:val="black"/>
              </w:rPr>
              <w:t>'''''''''''''''''''''''''</w:t>
            </w:r>
          </w:p>
        </w:tc>
        <w:tc>
          <w:tcPr>
            <w:tcW w:w="644" w:type="pct"/>
            <w:shd w:val="clear" w:color="auto" w:fill="auto"/>
          </w:tcPr>
          <w:p w:rsidR="009812D7" w:rsidRPr="000A0484" w:rsidRDefault="009812D7"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w:t>
            </w:r>
            <w:r w:rsidR="0086342F">
              <w:rPr>
                <w:rFonts w:ascii="Arial Narrow" w:hAnsi="Arial Narrow"/>
                <w:noProof/>
                <w:color w:val="000000"/>
                <w:sz w:val="20"/>
                <w:szCs w:val="20"/>
                <w:highlight w:val="black"/>
              </w:rPr>
              <w:t>'''''''''''''''''''''''</w:t>
            </w:r>
          </w:p>
        </w:tc>
        <w:tc>
          <w:tcPr>
            <w:tcW w:w="645" w:type="pct"/>
          </w:tcPr>
          <w:p w:rsidR="009812D7" w:rsidRPr="000A0484" w:rsidRDefault="001A2845" w:rsidP="00E61624">
            <w:pPr>
              <w:pStyle w:val="TableText0"/>
              <w:keepNext/>
              <w:keepLines/>
              <w:widowControl w:val="0"/>
              <w:jc w:val="center"/>
              <w:rPr>
                <w:rFonts w:ascii="Arial Narrow" w:hAnsi="Arial Narrow"/>
                <w:sz w:val="20"/>
                <w:szCs w:val="20"/>
              </w:rPr>
            </w:pPr>
            <w:r w:rsidRPr="000A0484">
              <w:rPr>
                <w:rFonts w:ascii="Arial Narrow" w:hAnsi="Arial Narrow"/>
                <w:sz w:val="20"/>
                <w:szCs w:val="20"/>
              </w:rPr>
              <w:t>-$</w:t>
            </w:r>
            <w:r w:rsidR="0086342F">
              <w:rPr>
                <w:rFonts w:ascii="Arial Narrow" w:hAnsi="Arial Narrow"/>
                <w:noProof/>
                <w:color w:val="000000"/>
                <w:sz w:val="20"/>
                <w:szCs w:val="20"/>
                <w:highlight w:val="black"/>
              </w:rPr>
              <w:t>'''''''''''''''''''''''</w:t>
            </w:r>
          </w:p>
        </w:tc>
      </w:tr>
      <w:tr w:rsidR="001A2845" w:rsidRPr="000A0484" w:rsidTr="001A2845">
        <w:tc>
          <w:tcPr>
            <w:tcW w:w="1132" w:type="pct"/>
            <w:shd w:val="clear" w:color="auto" w:fill="auto"/>
          </w:tcPr>
          <w:p w:rsidR="009812D7" w:rsidRPr="000A0484" w:rsidRDefault="009812D7" w:rsidP="00E61624">
            <w:pPr>
              <w:pStyle w:val="TableText0"/>
              <w:keepNext/>
              <w:keepLines/>
              <w:widowControl w:val="0"/>
              <w:rPr>
                <w:rFonts w:ascii="Arial Narrow" w:hAnsi="Arial Narrow"/>
                <w:b/>
                <w:sz w:val="20"/>
                <w:szCs w:val="20"/>
              </w:rPr>
            </w:pPr>
            <w:r w:rsidRPr="000A0484">
              <w:rPr>
                <w:rFonts w:ascii="Arial Narrow" w:hAnsi="Arial Narrow"/>
                <w:b/>
                <w:sz w:val="20"/>
                <w:szCs w:val="20"/>
              </w:rPr>
              <w:t>Net cost to PBS/RPBS</w:t>
            </w:r>
          </w:p>
        </w:tc>
        <w:tc>
          <w:tcPr>
            <w:tcW w:w="644" w:type="pct"/>
            <w:shd w:val="clear" w:color="auto" w:fill="auto"/>
          </w:tcPr>
          <w:p w:rsidR="009812D7" w:rsidRPr="000A0484" w:rsidRDefault="009812D7" w:rsidP="00E61624">
            <w:pPr>
              <w:pStyle w:val="TableText0"/>
              <w:keepNext/>
              <w:keepLines/>
              <w:widowControl w:val="0"/>
              <w:jc w:val="center"/>
              <w:rPr>
                <w:rFonts w:ascii="Arial Narrow" w:hAnsi="Arial Narrow"/>
                <w:b/>
                <w:sz w:val="20"/>
                <w:szCs w:val="20"/>
              </w:rPr>
            </w:pPr>
            <w:r w:rsidRPr="000A0484">
              <w:rPr>
                <w:rFonts w:ascii="Arial Narrow" w:hAnsi="Arial Narrow"/>
                <w:b/>
                <w:sz w:val="20"/>
                <w:szCs w:val="20"/>
              </w:rPr>
              <w:t>-$</w:t>
            </w:r>
            <w:r w:rsidR="0086342F">
              <w:rPr>
                <w:rFonts w:ascii="Arial Narrow" w:hAnsi="Arial Narrow"/>
                <w:b/>
                <w:noProof/>
                <w:color w:val="000000"/>
                <w:sz w:val="20"/>
                <w:szCs w:val="20"/>
                <w:highlight w:val="black"/>
              </w:rPr>
              <w:t>'''''''''''''''</w:t>
            </w:r>
          </w:p>
        </w:tc>
        <w:tc>
          <w:tcPr>
            <w:tcW w:w="645" w:type="pct"/>
            <w:shd w:val="clear" w:color="auto" w:fill="auto"/>
          </w:tcPr>
          <w:p w:rsidR="009812D7" w:rsidRPr="000A0484" w:rsidRDefault="009812D7" w:rsidP="00E61624">
            <w:pPr>
              <w:pStyle w:val="TableText0"/>
              <w:keepNext/>
              <w:keepLines/>
              <w:widowControl w:val="0"/>
              <w:jc w:val="center"/>
              <w:rPr>
                <w:rFonts w:ascii="Arial Narrow" w:hAnsi="Arial Narrow"/>
                <w:b/>
                <w:sz w:val="20"/>
                <w:szCs w:val="20"/>
              </w:rPr>
            </w:pPr>
            <w:r w:rsidRPr="000A0484">
              <w:rPr>
                <w:rFonts w:ascii="Arial Narrow" w:hAnsi="Arial Narrow"/>
                <w:b/>
                <w:sz w:val="20"/>
                <w:szCs w:val="20"/>
              </w:rPr>
              <w:t>-$</w:t>
            </w:r>
            <w:r w:rsidR="0086342F">
              <w:rPr>
                <w:rFonts w:ascii="Arial Narrow" w:hAnsi="Arial Narrow"/>
                <w:b/>
                <w:noProof/>
                <w:color w:val="000000"/>
                <w:sz w:val="20"/>
                <w:szCs w:val="20"/>
                <w:highlight w:val="black"/>
              </w:rPr>
              <w:t>'''''''''''''''''''</w:t>
            </w:r>
          </w:p>
        </w:tc>
        <w:tc>
          <w:tcPr>
            <w:tcW w:w="644" w:type="pct"/>
            <w:shd w:val="clear" w:color="auto" w:fill="auto"/>
          </w:tcPr>
          <w:p w:rsidR="009812D7" w:rsidRPr="000A0484" w:rsidRDefault="009812D7" w:rsidP="00E61624">
            <w:pPr>
              <w:pStyle w:val="TableText0"/>
              <w:keepNext/>
              <w:keepLines/>
              <w:widowControl w:val="0"/>
              <w:jc w:val="center"/>
              <w:rPr>
                <w:rFonts w:ascii="Arial Narrow" w:hAnsi="Arial Narrow"/>
                <w:b/>
                <w:sz w:val="20"/>
                <w:szCs w:val="20"/>
              </w:rPr>
            </w:pPr>
            <w:r w:rsidRPr="000A0484">
              <w:rPr>
                <w:rFonts w:ascii="Arial Narrow" w:hAnsi="Arial Narrow"/>
                <w:b/>
                <w:sz w:val="20"/>
                <w:szCs w:val="20"/>
              </w:rPr>
              <w:t>-$</w:t>
            </w:r>
            <w:r w:rsidR="0086342F">
              <w:rPr>
                <w:rFonts w:ascii="Arial Narrow" w:hAnsi="Arial Narrow"/>
                <w:b/>
                <w:noProof/>
                <w:color w:val="000000"/>
                <w:sz w:val="20"/>
                <w:szCs w:val="20"/>
                <w:highlight w:val="black"/>
              </w:rPr>
              <w:t>'''''''''''''''''''''</w:t>
            </w:r>
          </w:p>
        </w:tc>
        <w:tc>
          <w:tcPr>
            <w:tcW w:w="645" w:type="pct"/>
            <w:shd w:val="clear" w:color="auto" w:fill="auto"/>
          </w:tcPr>
          <w:p w:rsidR="009812D7" w:rsidRPr="000A0484" w:rsidRDefault="009812D7" w:rsidP="00E61624">
            <w:pPr>
              <w:pStyle w:val="TableText0"/>
              <w:keepNext/>
              <w:keepLines/>
              <w:widowControl w:val="0"/>
              <w:jc w:val="center"/>
              <w:rPr>
                <w:rFonts w:ascii="Arial Narrow" w:hAnsi="Arial Narrow"/>
                <w:b/>
                <w:sz w:val="20"/>
                <w:szCs w:val="20"/>
              </w:rPr>
            </w:pPr>
            <w:r w:rsidRPr="000A0484">
              <w:rPr>
                <w:rFonts w:ascii="Arial Narrow" w:hAnsi="Arial Narrow"/>
                <w:b/>
                <w:sz w:val="20"/>
                <w:szCs w:val="20"/>
              </w:rPr>
              <w:t>-$</w:t>
            </w:r>
            <w:r w:rsidR="0086342F">
              <w:rPr>
                <w:rFonts w:ascii="Arial Narrow" w:hAnsi="Arial Narrow"/>
                <w:b/>
                <w:noProof/>
                <w:color w:val="000000"/>
                <w:sz w:val="20"/>
                <w:szCs w:val="20"/>
                <w:highlight w:val="black"/>
              </w:rPr>
              <w:t>'''''''''''''''''''</w:t>
            </w:r>
          </w:p>
        </w:tc>
        <w:tc>
          <w:tcPr>
            <w:tcW w:w="644" w:type="pct"/>
            <w:shd w:val="clear" w:color="auto" w:fill="auto"/>
          </w:tcPr>
          <w:p w:rsidR="009812D7" w:rsidRPr="000A0484" w:rsidRDefault="009812D7" w:rsidP="00E61624">
            <w:pPr>
              <w:pStyle w:val="TableText0"/>
              <w:keepNext/>
              <w:keepLines/>
              <w:widowControl w:val="0"/>
              <w:jc w:val="center"/>
              <w:rPr>
                <w:rFonts w:ascii="Arial Narrow" w:hAnsi="Arial Narrow"/>
                <w:b/>
                <w:sz w:val="20"/>
                <w:szCs w:val="20"/>
              </w:rPr>
            </w:pPr>
            <w:r w:rsidRPr="000A0484">
              <w:rPr>
                <w:rFonts w:ascii="Arial Narrow" w:hAnsi="Arial Narrow"/>
                <w:b/>
                <w:sz w:val="20"/>
                <w:szCs w:val="20"/>
              </w:rPr>
              <w:t>-$</w:t>
            </w:r>
            <w:r w:rsidR="0086342F">
              <w:rPr>
                <w:rFonts w:ascii="Arial Narrow" w:hAnsi="Arial Narrow"/>
                <w:b/>
                <w:noProof/>
                <w:color w:val="000000"/>
                <w:sz w:val="20"/>
                <w:szCs w:val="20"/>
                <w:highlight w:val="black"/>
              </w:rPr>
              <w:t>''''''''''''''''''''</w:t>
            </w:r>
          </w:p>
        </w:tc>
        <w:tc>
          <w:tcPr>
            <w:tcW w:w="645" w:type="pct"/>
          </w:tcPr>
          <w:p w:rsidR="009812D7" w:rsidRPr="000A0484" w:rsidRDefault="001A2845" w:rsidP="00E61624">
            <w:pPr>
              <w:pStyle w:val="TableText0"/>
              <w:keepNext/>
              <w:keepLines/>
              <w:widowControl w:val="0"/>
              <w:jc w:val="center"/>
              <w:rPr>
                <w:rFonts w:ascii="Arial Narrow" w:hAnsi="Arial Narrow"/>
                <w:b/>
                <w:sz w:val="20"/>
                <w:szCs w:val="20"/>
              </w:rPr>
            </w:pPr>
            <w:r w:rsidRPr="000A0484">
              <w:rPr>
                <w:rFonts w:ascii="Arial Narrow" w:hAnsi="Arial Narrow"/>
                <w:b/>
                <w:sz w:val="20"/>
                <w:szCs w:val="20"/>
              </w:rPr>
              <w:t>-$</w:t>
            </w:r>
            <w:r w:rsidR="0086342F">
              <w:rPr>
                <w:rFonts w:ascii="Arial Narrow" w:hAnsi="Arial Narrow"/>
                <w:b/>
                <w:noProof/>
                <w:color w:val="000000"/>
                <w:sz w:val="20"/>
                <w:szCs w:val="20"/>
                <w:highlight w:val="black"/>
              </w:rPr>
              <w:t>''''''''''''''''''''</w:t>
            </w:r>
          </w:p>
        </w:tc>
      </w:tr>
    </w:tbl>
    <w:p w:rsidR="00734DA2" w:rsidRPr="000A0484" w:rsidRDefault="00734DA2" w:rsidP="00E61624">
      <w:pPr>
        <w:pStyle w:val="ListParagraph"/>
        <w:keepNext/>
        <w:keepLines/>
        <w:ind w:left="0"/>
        <w:contextualSpacing w:val="0"/>
        <w:rPr>
          <w:rFonts w:ascii="Arial Narrow" w:hAnsi="Arial Narrow"/>
          <w:sz w:val="20"/>
        </w:rPr>
      </w:pPr>
      <w:r w:rsidRPr="000A0484">
        <w:rPr>
          <w:rFonts w:ascii="Arial Narrow" w:hAnsi="Arial Narrow"/>
          <w:sz w:val="20"/>
          <w:vertAlign w:val="superscript"/>
        </w:rPr>
        <w:t>1</w:t>
      </w:r>
      <w:r w:rsidRPr="000A0484">
        <w:rPr>
          <w:rFonts w:ascii="Arial Narrow" w:hAnsi="Arial Narrow"/>
          <w:sz w:val="20"/>
        </w:rPr>
        <w:t xml:space="preserve"> assumes 3 episodes per year with 2.3 scripts per episode (7 scripts per year).</w:t>
      </w:r>
    </w:p>
    <w:p w:rsidR="000C2FF5" w:rsidRPr="000A0484" w:rsidRDefault="000C2FF5" w:rsidP="00E61624">
      <w:pPr>
        <w:pStyle w:val="ListParagraph"/>
        <w:keepNext/>
        <w:keepLines/>
        <w:ind w:left="0"/>
        <w:contextualSpacing w:val="0"/>
        <w:rPr>
          <w:rFonts w:ascii="Arial Narrow" w:hAnsi="Arial Narrow"/>
          <w:sz w:val="20"/>
        </w:rPr>
      </w:pPr>
      <w:r w:rsidRPr="000A0484">
        <w:rPr>
          <w:rFonts w:ascii="Arial Narrow" w:hAnsi="Arial Narrow"/>
          <w:sz w:val="20"/>
        </w:rPr>
        <w:t xml:space="preserve">Source: </w:t>
      </w:r>
      <w:r w:rsidR="005C57E3" w:rsidRPr="000A0484">
        <w:rPr>
          <w:rFonts w:ascii="Arial Narrow" w:hAnsi="Arial Narrow"/>
          <w:sz w:val="18"/>
          <w:szCs w:val="18"/>
        </w:rPr>
        <w:t>Table 27 p59, Table 30 p 60 and Table 38 p 69 of the</w:t>
      </w:r>
      <w:r w:rsidR="00120650" w:rsidRPr="000A0484">
        <w:rPr>
          <w:rFonts w:ascii="Arial Narrow" w:hAnsi="Arial Narrow"/>
          <w:sz w:val="18"/>
          <w:szCs w:val="18"/>
        </w:rPr>
        <w:t xml:space="preserve"> minor</w:t>
      </w:r>
      <w:r w:rsidR="005C57E3" w:rsidRPr="000A0484">
        <w:rPr>
          <w:rFonts w:ascii="Arial Narrow" w:hAnsi="Arial Narrow"/>
          <w:sz w:val="18"/>
          <w:szCs w:val="18"/>
        </w:rPr>
        <w:t xml:space="preserve"> resubmission.</w:t>
      </w:r>
    </w:p>
    <w:p w:rsidR="008E5EF6" w:rsidRPr="000A0484" w:rsidRDefault="008E5EF6" w:rsidP="00734DA2">
      <w:pPr>
        <w:pStyle w:val="ListParagraph"/>
        <w:keepNext/>
        <w:keepLines/>
        <w:widowControl/>
        <w:contextualSpacing w:val="0"/>
        <w:rPr>
          <w:rFonts w:ascii="Arial Narrow" w:hAnsi="Arial Narrow"/>
          <w:sz w:val="20"/>
        </w:rPr>
      </w:pPr>
    </w:p>
    <w:p w:rsidR="00260C55" w:rsidRPr="00260C55" w:rsidRDefault="00A40901" w:rsidP="00260C55">
      <w:pPr>
        <w:spacing w:after="120"/>
        <w:rPr>
          <w:rFonts w:asciiTheme="minorHAnsi" w:hAnsiTheme="minorHAnsi"/>
        </w:rPr>
      </w:pPr>
      <w:r>
        <w:rPr>
          <w:rFonts w:asciiTheme="minorHAnsi" w:hAnsiTheme="minorHAnsi"/>
        </w:rPr>
        <w:t>The redacted table shows that at Year 6 the estimated number of patients</w:t>
      </w:r>
      <w:r w:rsidR="00440F58">
        <w:rPr>
          <w:rFonts w:asciiTheme="minorHAnsi" w:hAnsiTheme="minorHAnsi"/>
        </w:rPr>
        <w:t xml:space="preserve"> was less than 10,000.</w:t>
      </w:r>
    </w:p>
    <w:p w:rsidR="00A03CF3" w:rsidRPr="000A0484" w:rsidRDefault="005C22F9" w:rsidP="006D32A5">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 xml:space="preserve">The </w:t>
      </w:r>
      <w:r w:rsidR="00593236" w:rsidRPr="000A0484">
        <w:rPr>
          <w:rFonts w:asciiTheme="minorHAnsi" w:hAnsiTheme="minorHAnsi"/>
          <w:sz w:val="24"/>
          <w:szCs w:val="24"/>
        </w:rPr>
        <w:t xml:space="preserve">PBAC considered the </w:t>
      </w:r>
      <w:r w:rsidRPr="000A0484">
        <w:rPr>
          <w:rFonts w:asciiTheme="minorHAnsi" w:hAnsiTheme="minorHAnsi"/>
          <w:sz w:val="24"/>
          <w:szCs w:val="24"/>
        </w:rPr>
        <w:t>net effect on the PBS/RPBS is highly dependent on the proportion of medicines substituted by budesonide upon listing</w:t>
      </w:r>
      <w:r w:rsidR="006C0493" w:rsidRPr="000A0484">
        <w:rPr>
          <w:rFonts w:asciiTheme="minorHAnsi" w:hAnsiTheme="minorHAnsi"/>
          <w:sz w:val="24"/>
          <w:szCs w:val="24"/>
        </w:rPr>
        <w:t>.</w:t>
      </w:r>
      <w:r w:rsidR="00583295" w:rsidRPr="000A0484">
        <w:rPr>
          <w:rFonts w:asciiTheme="minorHAnsi" w:hAnsiTheme="minorHAnsi"/>
          <w:sz w:val="24"/>
          <w:szCs w:val="24"/>
        </w:rPr>
        <w:t xml:space="preserve"> </w:t>
      </w:r>
      <w:r w:rsidR="00593236" w:rsidRPr="000A0484">
        <w:rPr>
          <w:rFonts w:asciiTheme="minorHAnsi" w:hAnsiTheme="minorHAnsi"/>
          <w:sz w:val="24"/>
          <w:szCs w:val="24"/>
        </w:rPr>
        <w:t xml:space="preserve">The PBAC considered the proportion of </w:t>
      </w:r>
      <w:proofErr w:type="spellStart"/>
      <w:r w:rsidR="00593236" w:rsidRPr="000A0484">
        <w:rPr>
          <w:rFonts w:asciiTheme="minorHAnsi" w:hAnsiTheme="minorHAnsi"/>
          <w:sz w:val="24"/>
          <w:szCs w:val="24"/>
        </w:rPr>
        <w:t>mesalazine</w:t>
      </w:r>
      <w:proofErr w:type="spellEnd"/>
      <w:r w:rsidR="00593236" w:rsidRPr="000A0484">
        <w:rPr>
          <w:rFonts w:asciiTheme="minorHAnsi" w:hAnsiTheme="minorHAnsi"/>
          <w:sz w:val="24"/>
          <w:szCs w:val="24"/>
        </w:rPr>
        <w:t xml:space="preserve"> substitution very likely to be overestimated and noted that a</w:t>
      </w:r>
      <w:r w:rsidR="00583295" w:rsidRPr="000A0484">
        <w:rPr>
          <w:rFonts w:asciiTheme="minorHAnsi" w:hAnsiTheme="minorHAnsi"/>
          <w:sz w:val="24"/>
          <w:szCs w:val="24"/>
        </w:rPr>
        <w:t xml:space="preserve"> higher proportion of prednisolone substitution would lessen or reverse the estimated overall cost saving from listing of budesonide</w:t>
      </w:r>
      <w:r w:rsidRPr="000A0484">
        <w:rPr>
          <w:rFonts w:asciiTheme="minorHAnsi" w:hAnsiTheme="minorHAnsi"/>
          <w:sz w:val="24"/>
          <w:szCs w:val="24"/>
        </w:rPr>
        <w:t xml:space="preserve">. </w:t>
      </w:r>
      <w:r w:rsidR="005C57E3" w:rsidRPr="000A0484">
        <w:rPr>
          <w:rFonts w:asciiTheme="minorHAnsi" w:hAnsiTheme="minorHAnsi"/>
          <w:sz w:val="24"/>
          <w:szCs w:val="24"/>
        </w:rPr>
        <w:t xml:space="preserve">Hence, the </w:t>
      </w:r>
      <w:r w:rsidR="00593236" w:rsidRPr="000A0484">
        <w:rPr>
          <w:rFonts w:asciiTheme="minorHAnsi" w:hAnsiTheme="minorHAnsi"/>
          <w:sz w:val="24"/>
          <w:szCs w:val="24"/>
        </w:rPr>
        <w:t xml:space="preserve">PBAC considered the </w:t>
      </w:r>
      <w:r w:rsidR="005C57E3" w:rsidRPr="000A0484">
        <w:rPr>
          <w:rFonts w:asciiTheme="minorHAnsi" w:hAnsiTheme="minorHAnsi"/>
          <w:sz w:val="24"/>
          <w:szCs w:val="24"/>
        </w:rPr>
        <w:t>budget impact for the proposed listing remains highly uncertain</w:t>
      </w:r>
      <w:r w:rsidR="00593236" w:rsidRPr="000A0484">
        <w:rPr>
          <w:rFonts w:asciiTheme="minorHAnsi" w:hAnsiTheme="minorHAnsi"/>
          <w:sz w:val="24"/>
          <w:szCs w:val="24"/>
        </w:rPr>
        <w:t xml:space="preserve"> and </w:t>
      </w:r>
      <w:r w:rsidR="00A03CF3" w:rsidRPr="000A0484">
        <w:rPr>
          <w:rFonts w:asciiTheme="minorHAnsi" w:hAnsiTheme="minorHAnsi"/>
          <w:sz w:val="24"/>
          <w:szCs w:val="24"/>
        </w:rPr>
        <w:t>advised</w:t>
      </w:r>
      <w:r w:rsidR="00593236" w:rsidRPr="000A0484">
        <w:rPr>
          <w:rFonts w:asciiTheme="minorHAnsi" w:hAnsiTheme="minorHAnsi"/>
          <w:sz w:val="24"/>
          <w:szCs w:val="24"/>
        </w:rPr>
        <w:t xml:space="preserve"> that a risk </w:t>
      </w:r>
      <w:r w:rsidR="00A03CF3" w:rsidRPr="000A0484">
        <w:rPr>
          <w:rFonts w:asciiTheme="minorHAnsi" w:hAnsiTheme="minorHAnsi"/>
          <w:sz w:val="24"/>
          <w:szCs w:val="24"/>
        </w:rPr>
        <w:t>sharing arrangement may be appropriate</w:t>
      </w:r>
      <w:r w:rsidR="005C57E3" w:rsidRPr="000A0484">
        <w:rPr>
          <w:rFonts w:asciiTheme="minorHAnsi" w:hAnsiTheme="minorHAnsi"/>
          <w:sz w:val="24"/>
          <w:szCs w:val="24"/>
        </w:rPr>
        <w:t xml:space="preserve">. </w:t>
      </w:r>
    </w:p>
    <w:p w:rsidR="006D32A5" w:rsidRPr="000A0484" w:rsidRDefault="005C22F9" w:rsidP="006D32A5">
      <w:pPr>
        <w:pStyle w:val="ListParagraph"/>
        <w:widowControl/>
        <w:numPr>
          <w:ilvl w:val="1"/>
          <w:numId w:val="14"/>
        </w:numPr>
        <w:spacing w:after="120"/>
        <w:contextualSpacing w:val="0"/>
        <w:rPr>
          <w:rFonts w:asciiTheme="minorHAnsi" w:hAnsiTheme="minorHAnsi"/>
          <w:sz w:val="24"/>
          <w:szCs w:val="24"/>
        </w:rPr>
      </w:pPr>
      <w:r w:rsidRPr="000A0484">
        <w:rPr>
          <w:rFonts w:asciiTheme="minorHAnsi" w:hAnsiTheme="minorHAnsi"/>
          <w:sz w:val="24"/>
          <w:szCs w:val="24"/>
        </w:rPr>
        <w:t>As a minor submission</w:t>
      </w:r>
      <w:r w:rsidR="003345A8">
        <w:rPr>
          <w:rFonts w:asciiTheme="minorHAnsi" w:hAnsiTheme="minorHAnsi"/>
          <w:sz w:val="24"/>
          <w:szCs w:val="24"/>
        </w:rPr>
        <w:t>,</w:t>
      </w:r>
      <w:r w:rsidRPr="003345A8">
        <w:rPr>
          <w:rFonts w:asciiTheme="minorHAnsi" w:hAnsiTheme="minorHAnsi"/>
          <w:sz w:val="24"/>
          <w:szCs w:val="24"/>
        </w:rPr>
        <w:t xml:space="preserve"> the financial estimates have not been independently evaluated.</w:t>
      </w:r>
      <w:r w:rsidR="00B12C10" w:rsidRPr="000A0484">
        <w:rPr>
          <w:rFonts w:asciiTheme="minorHAnsi" w:hAnsiTheme="minorHAnsi"/>
          <w:sz w:val="24"/>
          <w:szCs w:val="24"/>
        </w:rPr>
        <w:t xml:space="preserve"> The PBAC noted that the financial implications need to be recalculated to take into account the outcome of its considerations.</w:t>
      </w:r>
    </w:p>
    <w:p w:rsidR="00583295" w:rsidRPr="00AB144A" w:rsidRDefault="003976D3" w:rsidP="00AB144A">
      <w:pPr>
        <w:pStyle w:val="ListParagraph"/>
        <w:rPr>
          <w:rFonts w:asciiTheme="minorHAnsi" w:eastAsiaTheme="minorHAnsi" w:hAnsiTheme="minorHAnsi" w:cstheme="minorHAnsi"/>
          <w:i/>
          <w:snapToGrid/>
          <w:sz w:val="24"/>
        </w:rPr>
      </w:pPr>
      <w:r w:rsidRPr="00AB144A">
        <w:rPr>
          <w:rFonts w:asciiTheme="minorHAnsi" w:eastAsiaTheme="minorHAnsi" w:hAnsiTheme="minorHAnsi" w:cstheme="minorHAnsi"/>
          <w:i/>
          <w:snapToGrid/>
          <w:sz w:val="24"/>
        </w:rPr>
        <w:t>For more detail on PBAC’s view, see section 7 PBAC outcome.</w:t>
      </w:r>
    </w:p>
    <w:p w:rsidR="003976D3" w:rsidRPr="007C5F8C" w:rsidRDefault="003976D3" w:rsidP="007C5F8C">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7C5F8C">
        <w:rPr>
          <w:rFonts w:asciiTheme="minorHAnsi" w:hAnsiTheme="minorHAnsi"/>
          <w:sz w:val="32"/>
          <w:szCs w:val="32"/>
        </w:rPr>
        <w:lastRenderedPageBreak/>
        <w:t>PBAC Outcome</w:t>
      </w:r>
    </w:p>
    <w:p w:rsidR="00FA018C" w:rsidRPr="008B3623" w:rsidRDefault="00163BF1" w:rsidP="003976D3">
      <w:pPr>
        <w:widowControl w:val="0"/>
        <w:numPr>
          <w:ilvl w:val="1"/>
          <w:numId w:val="5"/>
        </w:numPr>
        <w:spacing w:after="120"/>
        <w:jc w:val="both"/>
        <w:rPr>
          <w:rFonts w:asciiTheme="minorHAnsi" w:hAnsiTheme="minorHAnsi" w:cs="Arial"/>
          <w:bCs/>
          <w:snapToGrid w:val="0"/>
        </w:rPr>
      </w:pPr>
      <w:r w:rsidRPr="008B3623">
        <w:rPr>
          <w:rFonts w:asciiTheme="minorHAnsi" w:hAnsiTheme="minorHAnsi" w:cs="Arial"/>
          <w:bCs/>
          <w:snapToGrid w:val="0"/>
        </w:rPr>
        <w:t>The PBAC recommended the listing of budesonide for treatment of mild to moderate CD affecting the ileum and/or the ascending colon.</w:t>
      </w:r>
      <w:r w:rsidR="00FA018C" w:rsidRPr="008B3623">
        <w:rPr>
          <w:rFonts w:asciiTheme="minorHAnsi" w:hAnsiTheme="minorHAnsi" w:cs="Arial"/>
          <w:bCs/>
          <w:snapToGrid w:val="0"/>
        </w:rPr>
        <w:t xml:space="preserve"> The PBAC recommended the listing </w:t>
      </w:r>
      <w:r w:rsidR="0091484C" w:rsidRPr="008B3623">
        <w:rPr>
          <w:rFonts w:asciiTheme="minorHAnsi" w:hAnsiTheme="minorHAnsi" w:cs="Arial"/>
          <w:bCs/>
          <w:snapToGrid w:val="0"/>
        </w:rPr>
        <w:t>on cost minimisation basi</w:t>
      </w:r>
      <w:r w:rsidR="00FA018C" w:rsidRPr="008B3623">
        <w:rPr>
          <w:rFonts w:asciiTheme="minorHAnsi" w:hAnsiTheme="minorHAnsi" w:cs="Arial"/>
          <w:bCs/>
          <w:snapToGrid w:val="0"/>
        </w:rPr>
        <w:t xml:space="preserve">s against a weighted mixed comparator of </w:t>
      </w:r>
      <w:proofErr w:type="spellStart"/>
      <w:r w:rsidR="00FA018C" w:rsidRPr="008B3623">
        <w:rPr>
          <w:rFonts w:asciiTheme="minorHAnsi" w:hAnsiTheme="minorHAnsi" w:cs="Arial"/>
          <w:bCs/>
          <w:snapToGrid w:val="0"/>
        </w:rPr>
        <w:t>mesalazine</w:t>
      </w:r>
      <w:proofErr w:type="spellEnd"/>
      <w:r w:rsidR="00FA018C" w:rsidRPr="008B3623">
        <w:rPr>
          <w:rFonts w:asciiTheme="minorHAnsi" w:hAnsiTheme="minorHAnsi" w:cs="Arial"/>
          <w:bCs/>
          <w:snapToGrid w:val="0"/>
        </w:rPr>
        <w:t xml:space="preserve"> and prednisolone.</w:t>
      </w:r>
      <w:r w:rsidRPr="008B3623">
        <w:rPr>
          <w:rFonts w:asciiTheme="minorHAnsi" w:hAnsiTheme="minorHAnsi" w:cs="Arial"/>
          <w:bCs/>
          <w:snapToGrid w:val="0"/>
        </w:rPr>
        <w:t xml:space="preserve"> </w:t>
      </w:r>
      <w:r w:rsidR="00FA018C" w:rsidRPr="008B3623">
        <w:rPr>
          <w:rFonts w:asciiTheme="minorHAnsi" w:hAnsiTheme="minorHAnsi" w:cs="Arial"/>
          <w:bCs/>
          <w:snapToGrid w:val="0"/>
        </w:rPr>
        <w:t>In making this recommendation, the PBAC noted the clinical need for additional treatment options in patients with mild to moderate CD.</w:t>
      </w:r>
    </w:p>
    <w:p w:rsidR="009A4CE6" w:rsidRPr="008B3623" w:rsidRDefault="00FA018C" w:rsidP="003976D3">
      <w:pPr>
        <w:widowControl w:val="0"/>
        <w:numPr>
          <w:ilvl w:val="1"/>
          <w:numId w:val="5"/>
        </w:numPr>
        <w:spacing w:after="120"/>
        <w:jc w:val="both"/>
        <w:rPr>
          <w:rFonts w:asciiTheme="minorHAnsi" w:hAnsiTheme="minorHAnsi" w:cs="Arial"/>
          <w:bCs/>
          <w:snapToGrid w:val="0"/>
        </w:rPr>
      </w:pPr>
      <w:r w:rsidRPr="008B3623">
        <w:rPr>
          <w:rFonts w:asciiTheme="minorHAnsi" w:hAnsiTheme="minorHAnsi" w:cs="Arial"/>
          <w:bCs/>
          <w:snapToGrid w:val="0"/>
        </w:rPr>
        <w:t xml:space="preserve">The PBAC </w:t>
      </w:r>
      <w:r w:rsidR="009A4CE6" w:rsidRPr="008B3623">
        <w:rPr>
          <w:rFonts w:asciiTheme="minorHAnsi" w:hAnsiTheme="minorHAnsi" w:cs="Arial"/>
          <w:bCs/>
          <w:snapToGrid w:val="0"/>
        </w:rPr>
        <w:t xml:space="preserve">welcomed the input from individuals, health care professionals and </w:t>
      </w:r>
      <w:r w:rsidR="00470CFA" w:rsidRPr="008B3623">
        <w:rPr>
          <w:rFonts w:asciiTheme="minorHAnsi" w:hAnsiTheme="minorHAnsi" w:cs="Arial"/>
          <w:bCs/>
          <w:snapToGrid w:val="0"/>
        </w:rPr>
        <w:t>organisations across the</w:t>
      </w:r>
      <w:r w:rsidR="009A4CE6" w:rsidRPr="008B3623">
        <w:rPr>
          <w:rFonts w:asciiTheme="minorHAnsi" w:hAnsiTheme="minorHAnsi" w:cs="Arial"/>
          <w:bCs/>
          <w:snapToGrid w:val="0"/>
        </w:rPr>
        <w:t xml:space="preserve"> minor resubmission and the November 2017 submission</w:t>
      </w:r>
      <w:r w:rsidR="00470CFA" w:rsidRPr="008B3623">
        <w:rPr>
          <w:rFonts w:asciiTheme="minorHAnsi" w:hAnsiTheme="minorHAnsi" w:cs="Arial"/>
          <w:bCs/>
          <w:snapToGrid w:val="0"/>
        </w:rPr>
        <w:t xml:space="preserve">. The PBAC noted the input provided </w:t>
      </w:r>
      <w:r w:rsidR="009A4CE6" w:rsidRPr="008B3623">
        <w:rPr>
          <w:rFonts w:asciiTheme="minorHAnsi" w:hAnsiTheme="minorHAnsi" w:cs="Arial"/>
          <w:bCs/>
          <w:snapToGrid w:val="0"/>
        </w:rPr>
        <w:t>described the clinical need for treatment options in mild to moderate CD with reduced short and long term AEs.</w:t>
      </w:r>
    </w:p>
    <w:p w:rsidR="003976D3" w:rsidRPr="000A0484" w:rsidRDefault="00A90332" w:rsidP="002E4DEC">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 xml:space="preserve">The PBAC recalled that in its consideration of budesonide in </w:t>
      </w:r>
      <w:r w:rsidR="002E4DEC" w:rsidRPr="000A0484">
        <w:rPr>
          <w:rFonts w:asciiTheme="minorHAnsi" w:eastAsiaTheme="minorHAnsi" w:hAnsiTheme="minorHAnsi" w:cstheme="minorBidi"/>
          <w:snapToGrid/>
          <w:sz w:val="24"/>
          <w:szCs w:val="22"/>
        </w:rPr>
        <w:t>November 2017</w:t>
      </w:r>
      <w:r w:rsidRPr="003345A8">
        <w:rPr>
          <w:rFonts w:asciiTheme="minorHAnsi" w:eastAsiaTheme="minorHAnsi" w:hAnsiTheme="minorHAnsi" w:cstheme="minorBidi"/>
          <w:snapToGrid/>
          <w:sz w:val="24"/>
          <w:szCs w:val="22"/>
        </w:rPr>
        <w:t xml:space="preserve"> it had considered that </w:t>
      </w:r>
      <w:r w:rsidR="002E4DEC" w:rsidRPr="000A0484">
        <w:rPr>
          <w:rFonts w:asciiTheme="minorHAnsi" w:eastAsiaTheme="minorHAnsi" w:hAnsiTheme="minorHAnsi" w:cstheme="minorBidi"/>
          <w:snapToGrid/>
          <w:sz w:val="24"/>
          <w:szCs w:val="22"/>
        </w:rPr>
        <w:t xml:space="preserve">a comparison against </w:t>
      </w:r>
      <w:proofErr w:type="spellStart"/>
      <w:r w:rsidRPr="000A0484">
        <w:rPr>
          <w:rFonts w:asciiTheme="minorHAnsi" w:eastAsiaTheme="minorHAnsi" w:hAnsiTheme="minorHAnsi" w:cstheme="minorBidi"/>
          <w:snapToGrid/>
          <w:sz w:val="24"/>
          <w:szCs w:val="22"/>
        </w:rPr>
        <w:t>mesalazine</w:t>
      </w:r>
      <w:proofErr w:type="spellEnd"/>
      <w:r w:rsidRPr="000A0484">
        <w:rPr>
          <w:rFonts w:asciiTheme="minorHAnsi" w:eastAsiaTheme="minorHAnsi" w:hAnsiTheme="minorHAnsi" w:cstheme="minorBidi"/>
          <w:snapToGrid/>
          <w:sz w:val="24"/>
          <w:szCs w:val="22"/>
        </w:rPr>
        <w:t xml:space="preserve"> was not appropriate</w:t>
      </w:r>
      <w:r w:rsidR="002E4DEC" w:rsidRPr="000A0484">
        <w:rPr>
          <w:rFonts w:asciiTheme="minorHAnsi" w:eastAsiaTheme="minorHAnsi" w:hAnsiTheme="minorHAnsi" w:cstheme="minorBidi"/>
          <w:snapToGrid/>
          <w:sz w:val="24"/>
          <w:szCs w:val="22"/>
        </w:rPr>
        <w:t xml:space="preserve"> — noting that </w:t>
      </w:r>
      <w:r w:rsidRPr="000A0484">
        <w:rPr>
          <w:rFonts w:asciiTheme="minorHAnsi" w:eastAsiaTheme="minorHAnsi" w:hAnsiTheme="minorHAnsi" w:cstheme="minorBidi"/>
          <w:snapToGrid/>
          <w:sz w:val="24"/>
          <w:szCs w:val="22"/>
        </w:rPr>
        <w:t xml:space="preserve">prednisolone </w:t>
      </w:r>
      <w:r w:rsidR="002E4DEC" w:rsidRPr="000A0484">
        <w:rPr>
          <w:rFonts w:asciiTheme="minorHAnsi" w:eastAsiaTheme="minorHAnsi" w:hAnsiTheme="minorHAnsi" w:cstheme="minorBidi"/>
          <w:snapToGrid/>
          <w:sz w:val="24"/>
          <w:szCs w:val="22"/>
        </w:rPr>
        <w:t xml:space="preserve">was </w:t>
      </w:r>
      <w:r w:rsidRPr="000A0484">
        <w:rPr>
          <w:rFonts w:asciiTheme="minorHAnsi" w:eastAsiaTheme="minorHAnsi" w:hAnsiTheme="minorHAnsi" w:cstheme="minorBidi"/>
          <w:snapToGrid/>
          <w:sz w:val="24"/>
          <w:szCs w:val="22"/>
        </w:rPr>
        <w:t xml:space="preserve">a more appropriate comparator. The PBAC maintained the view that a comparison wholly against </w:t>
      </w:r>
      <w:proofErr w:type="spellStart"/>
      <w:r w:rsidRPr="000A0484">
        <w:rPr>
          <w:rFonts w:asciiTheme="minorHAnsi" w:eastAsiaTheme="minorHAnsi" w:hAnsiTheme="minorHAnsi" w:cstheme="minorBidi"/>
          <w:snapToGrid/>
          <w:sz w:val="24"/>
          <w:szCs w:val="22"/>
        </w:rPr>
        <w:t>mesalazine</w:t>
      </w:r>
      <w:proofErr w:type="spellEnd"/>
      <w:r w:rsidRPr="000A0484">
        <w:rPr>
          <w:rFonts w:asciiTheme="minorHAnsi" w:eastAsiaTheme="minorHAnsi" w:hAnsiTheme="minorHAnsi" w:cstheme="minorBidi"/>
          <w:snapToGrid/>
          <w:sz w:val="24"/>
          <w:szCs w:val="22"/>
        </w:rPr>
        <w:t xml:space="preserve"> was not appropriate. However, the PBAC </w:t>
      </w:r>
      <w:r w:rsidR="002E4DEC" w:rsidRPr="000A0484">
        <w:rPr>
          <w:rFonts w:asciiTheme="minorHAnsi" w:eastAsiaTheme="minorHAnsi" w:hAnsiTheme="minorHAnsi" w:cstheme="minorBidi"/>
          <w:snapToGrid/>
          <w:sz w:val="24"/>
          <w:szCs w:val="22"/>
        </w:rPr>
        <w:t xml:space="preserve">acknowledged </w:t>
      </w:r>
      <w:r w:rsidRPr="000A0484">
        <w:rPr>
          <w:rFonts w:asciiTheme="minorHAnsi" w:eastAsiaTheme="minorHAnsi" w:hAnsiTheme="minorHAnsi" w:cstheme="minorBidi"/>
          <w:snapToGrid/>
          <w:sz w:val="24"/>
          <w:szCs w:val="22"/>
        </w:rPr>
        <w:t xml:space="preserve">that contemporary Australian guidelines </w:t>
      </w:r>
      <w:r w:rsidR="002E4DEC" w:rsidRPr="000A0484">
        <w:rPr>
          <w:rFonts w:asciiTheme="minorHAnsi" w:eastAsiaTheme="minorHAnsi" w:hAnsiTheme="minorHAnsi" w:cstheme="minorBidi"/>
          <w:snapToGrid/>
          <w:sz w:val="24"/>
          <w:szCs w:val="22"/>
        </w:rPr>
        <w:t>continue to indicate</w:t>
      </w:r>
      <w:r w:rsidRPr="000A0484">
        <w:rPr>
          <w:rFonts w:asciiTheme="minorHAnsi" w:eastAsiaTheme="minorHAnsi" w:hAnsiTheme="minorHAnsi" w:cstheme="minorBidi"/>
          <w:snapToGrid/>
          <w:sz w:val="24"/>
          <w:szCs w:val="22"/>
        </w:rPr>
        <w:t xml:space="preserve"> a </w:t>
      </w:r>
      <w:r w:rsidR="002E4DEC" w:rsidRPr="000A0484">
        <w:rPr>
          <w:rFonts w:asciiTheme="minorHAnsi" w:eastAsiaTheme="minorHAnsi" w:hAnsiTheme="minorHAnsi" w:cstheme="minorBidi"/>
          <w:snapToGrid/>
          <w:sz w:val="24"/>
          <w:szCs w:val="22"/>
        </w:rPr>
        <w:t xml:space="preserve">limited </w:t>
      </w:r>
      <w:r w:rsidRPr="000A0484">
        <w:rPr>
          <w:rFonts w:asciiTheme="minorHAnsi" w:eastAsiaTheme="minorHAnsi" w:hAnsiTheme="minorHAnsi" w:cstheme="minorBidi"/>
          <w:snapToGrid/>
          <w:sz w:val="24"/>
          <w:szCs w:val="22"/>
        </w:rPr>
        <w:t xml:space="preserve">role for 5-ASAs such as </w:t>
      </w:r>
      <w:proofErr w:type="spellStart"/>
      <w:r w:rsidRPr="000A0484">
        <w:rPr>
          <w:rFonts w:asciiTheme="minorHAnsi" w:eastAsiaTheme="minorHAnsi" w:hAnsiTheme="minorHAnsi" w:cstheme="minorBidi"/>
          <w:snapToGrid/>
          <w:sz w:val="24"/>
          <w:szCs w:val="22"/>
        </w:rPr>
        <w:t>mesalazine</w:t>
      </w:r>
      <w:proofErr w:type="spellEnd"/>
      <w:r w:rsidRPr="000A0484">
        <w:rPr>
          <w:rFonts w:asciiTheme="minorHAnsi" w:eastAsiaTheme="minorHAnsi" w:hAnsiTheme="minorHAnsi" w:cstheme="minorBidi"/>
          <w:snapToGrid/>
          <w:sz w:val="24"/>
          <w:szCs w:val="22"/>
        </w:rPr>
        <w:t xml:space="preserve"> in CD. Moreover, the PBAC considered that there was a subset of patients who would be treated with </w:t>
      </w:r>
      <w:proofErr w:type="spellStart"/>
      <w:r w:rsidRPr="000A0484">
        <w:rPr>
          <w:rFonts w:asciiTheme="minorHAnsi" w:eastAsiaTheme="minorHAnsi" w:hAnsiTheme="minorHAnsi" w:cstheme="minorBidi"/>
          <w:snapToGrid/>
          <w:sz w:val="24"/>
          <w:szCs w:val="22"/>
        </w:rPr>
        <w:t>mesalazine</w:t>
      </w:r>
      <w:proofErr w:type="spellEnd"/>
      <w:r w:rsidRPr="000A0484">
        <w:rPr>
          <w:rFonts w:asciiTheme="minorHAnsi" w:eastAsiaTheme="minorHAnsi" w:hAnsiTheme="minorHAnsi" w:cstheme="minorBidi"/>
          <w:snapToGrid/>
          <w:sz w:val="24"/>
          <w:szCs w:val="22"/>
        </w:rPr>
        <w:t xml:space="preserve"> instead of prednisolone as the AE profile of the latter would prohibit a trial or ongoing use in clinical practice. The PBAC therefore accepted the nomination of a mixed comparator (</w:t>
      </w:r>
      <w:proofErr w:type="spellStart"/>
      <w:r w:rsidRPr="000A0484">
        <w:rPr>
          <w:rFonts w:asciiTheme="minorHAnsi" w:eastAsiaTheme="minorHAnsi" w:hAnsiTheme="minorHAnsi" w:cstheme="minorBidi"/>
          <w:snapToGrid/>
          <w:sz w:val="24"/>
          <w:szCs w:val="22"/>
        </w:rPr>
        <w:t>mesalazine</w:t>
      </w:r>
      <w:proofErr w:type="spellEnd"/>
      <w:r w:rsidRPr="000A0484">
        <w:rPr>
          <w:rFonts w:asciiTheme="minorHAnsi" w:eastAsiaTheme="minorHAnsi" w:hAnsiTheme="minorHAnsi" w:cstheme="minorBidi"/>
          <w:snapToGrid/>
          <w:sz w:val="24"/>
          <w:szCs w:val="22"/>
        </w:rPr>
        <w:t xml:space="preserve"> and prednisolone).</w:t>
      </w:r>
      <w:r w:rsidR="009A4CE6" w:rsidRPr="008B3623">
        <w:rPr>
          <w:rFonts w:asciiTheme="minorHAnsi" w:hAnsiTheme="minorHAnsi"/>
          <w:bCs/>
        </w:rPr>
        <w:t xml:space="preserve"> </w:t>
      </w:r>
      <w:r w:rsidR="00FA018C" w:rsidRPr="008B3623">
        <w:rPr>
          <w:rFonts w:asciiTheme="minorHAnsi" w:hAnsiTheme="minorHAnsi"/>
          <w:bCs/>
        </w:rPr>
        <w:t xml:space="preserve"> </w:t>
      </w:r>
    </w:p>
    <w:p w:rsidR="002B151D" w:rsidRPr="000A0484" w:rsidRDefault="009A4CE6" w:rsidP="00AD0779">
      <w:pPr>
        <w:pStyle w:val="ListParagraph"/>
        <w:widowControl/>
        <w:numPr>
          <w:ilvl w:val="1"/>
          <w:numId w:val="14"/>
        </w:numPr>
        <w:spacing w:after="120"/>
        <w:contextualSpacing w:val="0"/>
        <w:rPr>
          <w:rFonts w:asciiTheme="minorHAnsi" w:hAnsiTheme="minorHAnsi"/>
          <w:sz w:val="24"/>
          <w:szCs w:val="24"/>
        </w:rPr>
      </w:pPr>
      <w:r w:rsidRPr="003345A8">
        <w:rPr>
          <w:rFonts w:asciiTheme="minorHAnsi" w:eastAsiaTheme="minorHAnsi" w:hAnsiTheme="minorHAnsi" w:cstheme="minorBidi"/>
          <w:snapToGrid/>
          <w:sz w:val="24"/>
          <w:szCs w:val="22"/>
        </w:rPr>
        <w:t xml:space="preserve">The PBAC did not agree that the calculation of the weighted price presented in the minor resubmission was </w:t>
      </w:r>
      <w:r w:rsidR="002E4DEC" w:rsidRPr="000A0484">
        <w:rPr>
          <w:rFonts w:asciiTheme="minorHAnsi" w:eastAsiaTheme="minorHAnsi" w:hAnsiTheme="minorHAnsi" w:cstheme="minorBidi"/>
          <w:snapToGrid/>
          <w:sz w:val="24"/>
          <w:szCs w:val="22"/>
        </w:rPr>
        <w:t>appropriate</w:t>
      </w:r>
      <w:r w:rsidR="0013747B" w:rsidRPr="000A0484">
        <w:rPr>
          <w:rFonts w:asciiTheme="minorHAnsi" w:eastAsiaTheme="minorHAnsi" w:hAnsiTheme="minorHAnsi" w:cstheme="minorBidi"/>
          <w:snapToGrid/>
          <w:sz w:val="24"/>
          <w:szCs w:val="22"/>
        </w:rPr>
        <w:t xml:space="preserve">. </w:t>
      </w:r>
      <w:r w:rsidR="002E4DEC" w:rsidRPr="000A0484">
        <w:rPr>
          <w:rFonts w:asciiTheme="minorHAnsi" w:eastAsiaTheme="minorHAnsi" w:hAnsiTheme="minorHAnsi" w:cstheme="minorBidi"/>
          <w:snapToGrid/>
          <w:sz w:val="24"/>
          <w:szCs w:val="22"/>
        </w:rPr>
        <w:t>The proposed proportion of comparators was derived from BEACH data</w:t>
      </w:r>
      <w:r w:rsidR="002B151D" w:rsidRPr="000A0484">
        <w:rPr>
          <w:rFonts w:asciiTheme="minorHAnsi" w:eastAsiaTheme="minorHAnsi" w:hAnsiTheme="minorHAnsi" w:cstheme="minorBidi"/>
          <w:snapToGrid/>
          <w:sz w:val="24"/>
          <w:szCs w:val="22"/>
        </w:rPr>
        <w:t>.</w:t>
      </w:r>
      <w:r w:rsidR="002B151D" w:rsidRPr="008B3623">
        <w:rPr>
          <w:rFonts w:asciiTheme="minorHAnsi" w:hAnsiTheme="minorHAnsi"/>
          <w:bCs/>
        </w:rPr>
        <w:t xml:space="preserve"> </w:t>
      </w:r>
      <w:r w:rsidR="002B151D" w:rsidRPr="000A0484">
        <w:rPr>
          <w:rFonts w:asciiTheme="minorHAnsi" w:hAnsiTheme="minorHAnsi"/>
          <w:sz w:val="24"/>
          <w:szCs w:val="24"/>
        </w:rPr>
        <w:t xml:space="preserve">The PBAC considered that, </w:t>
      </w:r>
      <w:r w:rsidR="00297A27" w:rsidRPr="003345A8">
        <w:rPr>
          <w:rFonts w:asciiTheme="minorHAnsi" w:hAnsiTheme="minorHAnsi"/>
          <w:sz w:val="24"/>
          <w:szCs w:val="24"/>
        </w:rPr>
        <w:t xml:space="preserve">as the BEACH data were collected over a 5 year period from 2011 </w:t>
      </w:r>
      <w:r w:rsidR="00470CFA" w:rsidRPr="000A0484">
        <w:rPr>
          <w:rFonts w:asciiTheme="minorHAnsi" w:hAnsiTheme="minorHAnsi"/>
          <w:sz w:val="24"/>
          <w:szCs w:val="24"/>
        </w:rPr>
        <w:t>with a limited number of data points available</w:t>
      </w:r>
      <w:r w:rsidR="002B151D" w:rsidRPr="000A0484">
        <w:rPr>
          <w:rFonts w:asciiTheme="minorHAnsi" w:hAnsiTheme="minorHAnsi"/>
          <w:sz w:val="24"/>
          <w:szCs w:val="24"/>
        </w:rPr>
        <w:t xml:space="preserve">, the weighting of </w:t>
      </w:r>
      <w:proofErr w:type="spellStart"/>
      <w:r w:rsidR="00912F56" w:rsidRPr="000A0484">
        <w:rPr>
          <w:rFonts w:asciiTheme="minorHAnsi" w:hAnsiTheme="minorHAnsi"/>
          <w:sz w:val="24"/>
          <w:szCs w:val="24"/>
        </w:rPr>
        <w:t>mesalazine</w:t>
      </w:r>
      <w:proofErr w:type="spellEnd"/>
      <w:r w:rsidR="00912F56" w:rsidRPr="000A0484">
        <w:rPr>
          <w:rFonts w:asciiTheme="minorHAnsi" w:hAnsiTheme="minorHAnsi"/>
          <w:sz w:val="24"/>
          <w:szCs w:val="24"/>
        </w:rPr>
        <w:t xml:space="preserve"> (59.7%) and prednisolone (40.3%) </w:t>
      </w:r>
      <w:r w:rsidR="002B151D" w:rsidRPr="000A0484">
        <w:rPr>
          <w:rFonts w:asciiTheme="minorHAnsi" w:hAnsiTheme="minorHAnsi"/>
          <w:sz w:val="24"/>
          <w:szCs w:val="24"/>
        </w:rPr>
        <w:t xml:space="preserve">determined was </w:t>
      </w:r>
      <w:r w:rsidR="00297A27" w:rsidRPr="000A0484">
        <w:rPr>
          <w:rFonts w:asciiTheme="minorHAnsi" w:hAnsiTheme="minorHAnsi"/>
          <w:sz w:val="24"/>
          <w:szCs w:val="24"/>
        </w:rPr>
        <w:t xml:space="preserve">uncertain and </w:t>
      </w:r>
      <w:r w:rsidR="002B151D" w:rsidRPr="000A0484">
        <w:rPr>
          <w:rFonts w:asciiTheme="minorHAnsi" w:hAnsiTheme="minorHAnsi"/>
          <w:sz w:val="24"/>
          <w:szCs w:val="24"/>
        </w:rPr>
        <w:t xml:space="preserve">unlikely to reflect </w:t>
      </w:r>
      <w:r w:rsidR="00AD0779" w:rsidRPr="00AD0779">
        <w:rPr>
          <w:rFonts w:asciiTheme="minorHAnsi" w:hAnsiTheme="minorHAnsi"/>
          <w:sz w:val="24"/>
          <w:szCs w:val="24"/>
        </w:rPr>
        <w:t xml:space="preserve">the true proportion of patients in whom prednisolone is not an alternative therapy. While contemporary Australian guidelines acknowledge a role for </w:t>
      </w:r>
      <w:proofErr w:type="spellStart"/>
      <w:r w:rsidR="00AD0779" w:rsidRPr="00AD0779">
        <w:rPr>
          <w:rFonts w:asciiTheme="minorHAnsi" w:hAnsiTheme="minorHAnsi"/>
          <w:sz w:val="24"/>
          <w:szCs w:val="24"/>
        </w:rPr>
        <w:t>mesalazine</w:t>
      </w:r>
      <w:proofErr w:type="spellEnd"/>
      <w:r w:rsidR="00AD0779" w:rsidRPr="00AD0779">
        <w:rPr>
          <w:rFonts w:asciiTheme="minorHAnsi" w:hAnsiTheme="minorHAnsi"/>
          <w:sz w:val="24"/>
          <w:szCs w:val="24"/>
        </w:rPr>
        <w:t xml:space="preserve"> in CD, the PBAC considered it was a limited role.</w:t>
      </w:r>
      <w:r w:rsidR="00AD0779">
        <w:rPr>
          <w:rFonts w:asciiTheme="minorHAnsi" w:hAnsiTheme="minorHAnsi"/>
          <w:sz w:val="24"/>
          <w:szCs w:val="24"/>
        </w:rPr>
        <w:t xml:space="preserve"> </w:t>
      </w:r>
      <w:r w:rsidR="00AD0779" w:rsidRPr="00AD0779">
        <w:rPr>
          <w:rFonts w:asciiTheme="minorHAnsi" w:hAnsiTheme="minorHAnsi"/>
          <w:sz w:val="24"/>
          <w:szCs w:val="24"/>
        </w:rPr>
        <w:t xml:space="preserve">The PBAC considered that, unless more robust current data becomes available, a weighting that allows for one-fifth to one quarter, but closer to one-fifth, of use in which </w:t>
      </w:r>
      <w:proofErr w:type="spellStart"/>
      <w:r w:rsidR="00AD0779" w:rsidRPr="00AD0779">
        <w:rPr>
          <w:rFonts w:asciiTheme="minorHAnsi" w:hAnsiTheme="minorHAnsi"/>
          <w:sz w:val="24"/>
          <w:szCs w:val="24"/>
        </w:rPr>
        <w:t>mesalazine</w:t>
      </w:r>
      <w:proofErr w:type="spellEnd"/>
      <w:r w:rsidR="00AD0779" w:rsidRPr="00AD0779">
        <w:rPr>
          <w:rFonts w:asciiTheme="minorHAnsi" w:hAnsiTheme="minorHAnsi"/>
          <w:sz w:val="24"/>
          <w:szCs w:val="24"/>
        </w:rPr>
        <w:t xml:space="preserve"> is the alternative therapy may be more appropriate, with the corresponding weighting for prednisolone applied accordingly.</w:t>
      </w:r>
      <w:r w:rsidR="00AD0779">
        <w:rPr>
          <w:rFonts w:asciiTheme="minorHAnsi" w:hAnsiTheme="minorHAnsi"/>
          <w:sz w:val="24"/>
          <w:szCs w:val="24"/>
        </w:rPr>
        <w:t xml:space="preserve"> </w:t>
      </w:r>
      <w:r w:rsidR="00AE461F" w:rsidRPr="000A0484">
        <w:rPr>
          <w:rFonts w:asciiTheme="minorHAnsi" w:hAnsiTheme="minorHAnsi"/>
          <w:sz w:val="24"/>
          <w:szCs w:val="24"/>
        </w:rPr>
        <w:t>The PBAC noted that the AEMP would need to be updated to reflect the new weighted proportions of comparators negotiated</w:t>
      </w:r>
      <w:r w:rsidR="00797180" w:rsidRPr="000A0484">
        <w:rPr>
          <w:rFonts w:asciiTheme="minorHAnsi" w:hAnsiTheme="minorHAnsi"/>
          <w:sz w:val="24"/>
          <w:szCs w:val="24"/>
        </w:rPr>
        <w:t xml:space="preserve"> between the sponsor and the Commonwealth</w:t>
      </w:r>
      <w:r w:rsidR="00AE461F" w:rsidRPr="000A0484">
        <w:rPr>
          <w:rFonts w:asciiTheme="minorHAnsi" w:hAnsiTheme="minorHAnsi"/>
          <w:sz w:val="24"/>
          <w:szCs w:val="24"/>
        </w:rPr>
        <w:t>.</w:t>
      </w:r>
    </w:p>
    <w:p w:rsidR="009A4CE6" w:rsidRPr="008B3623" w:rsidRDefault="002A1DCB" w:rsidP="003976D3">
      <w:pPr>
        <w:widowControl w:val="0"/>
        <w:numPr>
          <w:ilvl w:val="1"/>
          <w:numId w:val="5"/>
        </w:numPr>
        <w:spacing w:after="120"/>
        <w:jc w:val="both"/>
        <w:rPr>
          <w:rFonts w:asciiTheme="minorHAnsi" w:hAnsiTheme="minorHAnsi" w:cs="Arial"/>
          <w:bCs/>
          <w:snapToGrid w:val="0"/>
        </w:rPr>
      </w:pPr>
      <w:r w:rsidRPr="008B3623">
        <w:rPr>
          <w:rFonts w:asciiTheme="minorHAnsi" w:hAnsiTheme="minorHAnsi" w:cs="Arial"/>
          <w:bCs/>
          <w:snapToGrid w:val="0"/>
        </w:rPr>
        <w:t xml:space="preserve">The PBAC noted that the </w:t>
      </w:r>
      <w:proofErr w:type="spellStart"/>
      <w:r w:rsidRPr="008B3623">
        <w:rPr>
          <w:rFonts w:asciiTheme="minorHAnsi" w:hAnsiTheme="minorHAnsi" w:cs="Arial"/>
          <w:bCs/>
          <w:snapToGrid w:val="0"/>
        </w:rPr>
        <w:t>equi</w:t>
      </w:r>
      <w:proofErr w:type="spellEnd"/>
      <w:r w:rsidRPr="008B3623">
        <w:rPr>
          <w:rFonts w:asciiTheme="minorHAnsi" w:hAnsiTheme="minorHAnsi" w:cs="Arial"/>
          <w:bCs/>
          <w:snapToGrid w:val="0"/>
        </w:rPr>
        <w:t>-effective doses were nominated as</w:t>
      </w:r>
      <w:r w:rsidR="005C5647" w:rsidRPr="008B3623">
        <w:rPr>
          <w:rFonts w:asciiTheme="minorHAnsi" w:hAnsiTheme="minorHAnsi" w:cs="Arial"/>
          <w:bCs/>
          <w:snapToGrid w:val="0"/>
        </w:rPr>
        <w:t>:</w:t>
      </w:r>
      <w:r w:rsidR="00334112" w:rsidRPr="008B3623">
        <w:rPr>
          <w:rFonts w:asciiTheme="minorHAnsi" w:hAnsiTheme="minorHAnsi" w:cs="Arial"/>
          <w:bCs/>
          <w:snapToGrid w:val="0"/>
        </w:rPr>
        <w:t xml:space="preserve"> </w:t>
      </w:r>
      <w:r w:rsidR="005C5647" w:rsidRPr="008B3623">
        <w:rPr>
          <w:rFonts w:asciiTheme="minorHAnsi" w:hAnsiTheme="minorHAnsi" w:cs="Arial"/>
          <w:bCs/>
          <w:snapToGrid w:val="0"/>
        </w:rPr>
        <w:t>budesonide 9 mg/day</w:t>
      </w:r>
      <w:r w:rsidR="00797180" w:rsidRPr="008B3623">
        <w:rPr>
          <w:rFonts w:asciiTheme="minorHAnsi" w:hAnsiTheme="minorHAnsi" w:cs="Arial"/>
          <w:bCs/>
          <w:snapToGrid w:val="0"/>
        </w:rPr>
        <w:t xml:space="preserve"> for 9 weeks follo</w:t>
      </w:r>
      <w:r w:rsidR="005C5647" w:rsidRPr="008B3623">
        <w:rPr>
          <w:rFonts w:asciiTheme="minorHAnsi" w:hAnsiTheme="minorHAnsi" w:cs="Arial"/>
          <w:bCs/>
          <w:snapToGrid w:val="0"/>
        </w:rPr>
        <w:t xml:space="preserve">wed by 4.5 mg/day for 3 weeks; </w:t>
      </w:r>
      <w:proofErr w:type="spellStart"/>
      <w:r w:rsidR="005C5647" w:rsidRPr="008B3623">
        <w:rPr>
          <w:rFonts w:asciiTheme="minorHAnsi" w:hAnsiTheme="minorHAnsi" w:cs="Arial"/>
          <w:bCs/>
          <w:snapToGrid w:val="0"/>
        </w:rPr>
        <w:t>Pentasa</w:t>
      </w:r>
      <w:proofErr w:type="spellEnd"/>
      <w:r w:rsidR="005C5647" w:rsidRPr="008B3623">
        <w:rPr>
          <w:rFonts w:asciiTheme="minorHAnsi" w:hAnsiTheme="minorHAnsi" w:cs="Arial"/>
          <w:bCs/>
          <w:snapToGrid w:val="0"/>
        </w:rPr>
        <w:t xml:space="preserve">® brands of </w:t>
      </w:r>
      <w:proofErr w:type="spellStart"/>
      <w:r w:rsidR="005C5647" w:rsidRPr="008B3623">
        <w:rPr>
          <w:rFonts w:asciiTheme="minorHAnsi" w:hAnsiTheme="minorHAnsi" w:cs="Arial"/>
          <w:bCs/>
          <w:snapToGrid w:val="0"/>
        </w:rPr>
        <w:t>mesalazine</w:t>
      </w:r>
      <w:proofErr w:type="spellEnd"/>
      <w:r w:rsidR="005C5647" w:rsidRPr="008B3623">
        <w:rPr>
          <w:rFonts w:asciiTheme="minorHAnsi" w:hAnsiTheme="minorHAnsi" w:cs="Arial"/>
          <w:bCs/>
          <w:snapToGrid w:val="0"/>
        </w:rPr>
        <w:t xml:space="preserve"> 4 g/day for 12 weeks; </w:t>
      </w:r>
      <w:proofErr w:type="spellStart"/>
      <w:r w:rsidR="005C5647" w:rsidRPr="008B3623">
        <w:rPr>
          <w:rFonts w:asciiTheme="minorHAnsi" w:hAnsiTheme="minorHAnsi" w:cs="Arial"/>
          <w:bCs/>
          <w:snapToGrid w:val="0"/>
        </w:rPr>
        <w:t>Salofalk</w:t>
      </w:r>
      <w:proofErr w:type="spellEnd"/>
      <w:r w:rsidR="005C5647" w:rsidRPr="008B3623">
        <w:rPr>
          <w:rFonts w:asciiTheme="minorHAnsi" w:hAnsiTheme="minorHAnsi" w:cs="Arial"/>
          <w:bCs/>
          <w:snapToGrid w:val="0"/>
        </w:rPr>
        <w:t xml:space="preserve">® brands of </w:t>
      </w:r>
      <w:proofErr w:type="spellStart"/>
      <w:r w:rsidR="005C5647" w:rsidRPr="008B3623">
        <w:rPr>
          <w:rFonts w:asciiTheme="minorHAnsi" w:hAnsiTheme="minorHAnsi" w:cs="Arial"/>
          <w:bCs/>
          <w:snapToGrid w:val="0"/>
        </w:rPr>
        <w:t>mesalazine</w:t>
      </w:r>
      <w:proofErr w:type="spellEnd"/>
      <w:r w:rsidR="005C5647" w:rsidRPr="008B3623">
        <w:rPr>
          <w:rFonts w:asciiTheme="minorHAnsi" w:hAnsiTheme="minorHAnsi" w:cs="Arial"/>
          <w:bCs/>
          <w:snapToGrid w:val="0"/>
        </w:rPr>
        <w:t xml:space="preserve"> </w:t>
      </w:r>
      <w:r w:rsidR="00797180" w:rsidRPr="008B3623">
        <w:rPr>
          <w:rFonts w:asciiTheme="minorHAnsi" w:hAnsiTheme="minorHAnsi" w:cs="Arial"/>
          <w:bCs/>
          <w:snapToGrid w:val="0"/>
        </w:rPr>
        <w:t>4.5 g/day for 8 weeks f</w:t>
      </w:r>
      <w:r w:rsidR="005C5647" w:rsidRPr="008B3623">
        <w:rPr>
          <w:rFonts w:asciiTheme="minorHAnsi" w:hAnsiTheme="minorHAnsi" w:cs="Arial"/>
          <w:bCs/>
          <w:snapToGrid w:val="0"/>
        </w:rPr>
        <w:t>ollowed by a 3</w:t>
      </w:r>
      <w:r w:rsidR="00C52D06" w:rsidRPr="008B3623">
        <w:rPr>
          <w:rFonts w:asciiTheme="minorHAnsi" w:hAnsiTheme="minorHAnsi" w:cs="Arial"/>
          <w:bCs/>
          <w:snapToGrid w:val="0"/>
        </w:rPr>
        <w:t xml:space="preserve"> </w:t>
      </w:r>
      <w:r w:rsidR="005C5647" w:rsidRPr="008B3623">
        <w:rPr>
          <w:rFonts w:asciiTheme="minorHAnsi" w:hAnsiTheme="minorHAnsi" w:cs="Arial"/>
          <w:bCs/>
          <w:snapToGrid w:val="0"/>
        </w:rPr>
        <w:t xml:space="preserve">g/day for 4 weeks; </w:t>
      </w:r>
      <w:r w:rsidR="00797180" w:rsidRPr="008B3623">
        <w:rPr>
          <w:rFonts w:asciiTheme="minorHAnsi" w:hAnsiTheme="minorHAnsi" w:cs="Arial"/>
          <w:bCs/>
          <w:snapToGrid w:val="0"/>
        </w:rPr>
        <w:t xml:space="preserve">and </w:t>
      </w:r>
      <w:r w:rsidR="005C5647" w:rsidRPr="008B3623">
        <w:rPr>
          <w:rFonts w:asciiTheme="minorHAnsi" w:hAnsiTheme="minorHAnsi" w:cs="Arial"/>
          <w:bCs/>
          <w:snapToGrid w:val="0"/>
        </w:rPr>
        <w:t xml:space="preserve">prednisolone </w:t>
      </w:r>
      <w:r w:rsidR="00797180" w:rsidRPr="008B3623">
        <w:rPr>
          <w:rFonts w:asciiTheme="minorHAnsi" w:hAnsiTheme="minorHAnsi" w:cs="Arial"/>
          <w:bCs/>
          <w:snapToGrid w:val="0"/>
        </w:rPr>
        <w:t>25 mg/day for 8 weeks followed by 5 mg/</w:t>
      </w:r>
      <w:r w:rsidR="005C5647" w:rsidRPr="008B3623">
        <w:rPr>
          <w:rFonts w:asciiTheme="minorHAnsi" w:hAnsiTheme="minorHAnsi" w:cs="Arial"/>
          <w:bCs/>
          <w:snapToGrid w:val="0"/>
        </w:rPr>
        <w:t>day for 4 weeks</w:t>
      </w:r>
      <w:r w:rsidR="00797180" w:rsidRPr="008B3623">
        <w:rPr>
          <w:rFonts w:asciiTheme="minorHAnsi" w:hAnsiTheme="minorHAnsi" w:cs="Arial"/>
          <w:bCs/>
          <w:snapToGrid w:val="0"/>
        </w:rPr>
        <w:t xml:space="preserve">. </w:t>
      </w:r>
    </w:p>
    <w:p w:rsidR="00797180" w:rsidRPr="008B3623" w:rsidRDefault="00D6171B" w:rsidP="003976D3">
      <w:pPr>
        <w:widowControl w:val="0"/>
        <w:numPr>
          <w:ilvl w:val="1"/>
          <w:numId w:val="5"/>
        </w:numPr>
        <w:spacing w:after="120"/>
        <w:jc w:val="both"/>
        <w:rPr>
          <w:rFonts w:asciiTheme="minorHAnsi" w:hAnsiTheme="minorHAnsi" w:cs="Arial"/>
          <w:bCs/>
          <w:snapToGrid w:val="0"/>
        </w:rPr>
      </w:pPr>
      <w:r w:rsidRPr="008B3623">
        <w:rPr>
          <w:rFonts w:asciiTheme="minorHAnsi" w:hAnsiTheme="minorHAnsi" w:cs="Arial"/>
          <w:bCs/>
          <w:snapToGrid w:val="0"/>
        </w:rPr>
        <w:t xml:space="preserve">The PBAC considered that, consistent with the restrictions of </w:t>
      </w:r>
      <w:proofErr w:type="spellStart"/>
      <w:r w:rsidRPr="008B3623">
        <w:rPr>
          <w:rFonts w:asciiTheme="minorHAnsi" w:hAnsiTheme="minorHAnsi" w:cs="Arial"/>
          <w:bCs/>
          <w:snapToGrid w:val="0"/>
        </w:rPr>
        <w:t>mesalazine</w:t>
      </w:r>
      <w:proofErr w:type="spellEnd"/>
      <w:r w:rsidRPr="008B3623">
        <w:rPr>
          <w:rFonts w:asciiTheme="minorHAnsi" w:hAnsiTheme="minorHAnsi" w:cs="Arial"/>
          <w:bCs/>
          <w:snapToGrid w:val="0"/>
        </w:rPr>
        <w:t xml:space="preserve"> and </w:t>
      </w:r>
      <w:r w:rsidRPr="008B3623">
        <w:rPr>
          <w:rFonts w:asciiTheme="minorHAnsi" w:hAnsiTheme="minorHAnsi" w:cs="Arial"/>
          <w:bCs/>
          <w:snapToGrid w:val="0"/>
        </w:rPr>
        <w:lastRenderedPageBreak/>
        <w:t xml:space="preserve">prednisolone, the prescribing of budesonide should not be limited to gastroenterologists. </w:t>
      </w:r>
    </w:p>
    <w:p w:rsidR="00D6171B" w:rsidRPr="008B3623" w:rsidRDefault="00AD6D4E" w:rsidP="003976D3">
      <w:pPr>
        <w:widowControl w:val="0"/>
        <w:numPr>
          <w:ilvl w:val="1"/>
          <w:numId w:val="5"/>
        </w:numPr>
        <w:spacing w:after="120"/>
        <w:jc w:val="both"/>
        <w:rPr>
          <w:rFonts w:asciiTheme="minorHAnsi" w:hAnsiTheme="minorHAnsi" w:cs="Arial"/>
          <w:bCs/>
          <w:snapToGrid w:val="0"/>
        </w:rPr>
      </w:pPr>
      <w:r w:rsidRPr="008B3623">
        <w:rPr>
          <w:rFonts w:asciiTheme="minorHAnsi" w:hAnsiTheme="minorHAnsi" w:cs="Arial"/>
          <w:bCs/>
          <w:snapToGrid w:val="0"/>
        </w:rPr>
        <w:t xml:space="preserve">The PBAC </w:t>
      </w:r>
      <w:r w:rsidR="000B0861" w:rsidRPr="008B3623">
        <w:rPr>
          <w:rFonts w:asciiTheme="minorHAnsi" w:hAnsiTheme="minorHAnsi" w:cs="Arial"/>
          <w:bCs/>
          <w:snapToGrid w:val="0"/>
        </w:rPr>
        <w:t>considered that on balance the</w:t>
      </w:r>
      <w:r w:rsidR="009D103E" w:rsidRPr="008B3623">
        <w:rPr>
          <w:rFonts w:asciiTheme="minorHAnsi" w:hAnsiTheme="minorHAnsi" w:cs="Arial"/>
          <w:bCs/>
          <w:snapToGrid w:val="0"/>
        </w:rPr>
        <w:t xml:space="preserve"> </w:t>
      </w:r>
      <w:r w:rsidR="00A53AFD" w:rsidRPr="008B3623">
        <w:rPr>
          <w:rFonts w:asciiTheme="minorHAnsi" w:hAnsiTheme="minorHAnsi" w:cs="Arial"/>
          <w:bCs/>
          <w:snapToGrid w:val="0"/>
        </w:rPr>
        <w:t xml:space="preserve">evidence presented in the </w:t>
      </w:r>
      <w:r w:rsidR="00470CFA" w:rsidRPr="008B3623">
        <w:rPr>
          <w:rFonts w:asciiTheme="minorHAnsi" w:hAnsiTheme="minorHAnsi" w:cs="Arial"/>
          <w:bCs/>
          <w:snapToGrid w:val="0"/>
        </w:rPr>
        <w:t>minor re</w:t>
      </w:r>
      <w:r w:rsidR="00A53AFD" w:rsidRPr="008B3623">
        <w:rPr>
          <w:rFonts w:asciiTheme="minorHAnsi" w:hAnsiTheme="minorHAnsi" w:cs="Arial"/>
          <w:bCs/>
          <w:snapToGrid w:val="0"/>
        </w:rPr>
        <w:t xml:space="preserve">submission supported a clinical claim that budesonide was non-inferior in terms of comparative effectiveness and superior in terms of comparative safety to both </w:t>
      </w:r>
      <w:proofErr w:type="spellStart"/>
      <w:r w:rsidR="00A53AFD" w:rsidRPr="008B3623">
        <w:rPr>
          <w:rFonts w:asciiTheme="minorHAnsi" w:hAnsiTheme="minorHAnsi" w:cs="Arial"/>
          <w:bCs/>
          <w:snapToGrid w:val="0"/>
        </w:rPr>
        <w:t>mesalazine</w:t>
      </w:r>
      <w:proofErr w:type="spellEnd"/>
      <w:r w:rsidR="00A53AFD" w:rsidRPr="008B3623">
        <w:rPr>
          <w:rFonts w:asciiTheme="minorHAnsi" w:hAnsiTheme="minorHAnsi" w:cs="Arial"/>
          <w:bCs/>
          <w:snapToGrid w:val="0"/>
        </w:rPr>
        <w:t xml:space="preserve"> and prednisolone.</w:t>
      </w:r>
      <w:r w:rsidR="00F06314">
        <w:rPr>
          <w:rFonts w:asciiTheme="minorHAnsi" w:hAnsiTheme="minorHAnsi" w:cs="Arial"/>
          <w:bCs/>
          <w:snapToGrid w:val="0"/>
        </w:rPr>
        <w:t xml:space="preserve">  Although treatment with budesonide would be substantially more costly than treatment with </w:t>
      </w:r>
      <w:proofErr w:type="gramStart"/>
      <w:r w:rsidR="00F06314" w:rsidRPr="008B3623">
        <w:rPr>
          <w:rFonts w:asciiTheme="minorHAnsi" w:hAnsiTheme="minorHAnsi" w:cs="Arial"/>
          <w:bCs/>
          <w:snapToGrid w:val="0"/>
        </w:rPr>
        <w:t>prednisolone</w:t>
      </w:r>
      <w:r w:rsidR="00F06314">
        <w:rPr>
          <w:rFonts w:asciiTheme="minorHAnsi" w:hAnsiTheme="minorHAnsi" w:cs="Arial"/>
          <w:bCs/>
          <w:snapToGrid w:val="0"/>
        </w:rPr>
        <w:t xml:space="preserve"> ,</w:t>
      </w:r>
      <w:proofErr w:type="gramEnd"/>
      <w:r w:rsidR="00F06314">
        <w:rPr>
          <w:rFonts w:asciiTheme="minorHAnsi" w:hAnsiTheme="minorHAnsi" w:cs="Arial"/>
          <w:bCs/>
          <w:snapToGrid w:val="0"/>
        </w:rPr>
        <w:t xml:space="preserve"> the PBAC was </w:t>
      </w:r>
      <w:r w:rsidR="00F25300">
        <w:rPr>
          <w:rFonts w:asciiTheme="minorHAnsi" w:hAnsiTheme="minorHAnsi" w:cs="Arial"/>
          <w:bCs/>
          <w:snapToGrid w:val="0"/>
        </w:rPr>
        <w:t>satisfied</w:t>
      </w:r>
      <w:r w:rsidR="00F06314">
        <w:rPr>
          <w:rFonts w:asciiTheme="minorHAnsi" w:hAnsiTheme="minorHAnsi" w:cs="Arial"/>
          <w:bCs/>
          <w:snapToGrid w:val="0"/>
        </w:rPr>
        <w:t xml:space="preserve"> that budesonide would provide a significant reduction of toxicity over </w:t>
      </w:r>
      <w:r w:rsidR="00F06314" w:rsidRPr="008B3623">
        <w:rPr>
          <w:rFonts w:asciiTheme="minorHAnsi" w:hAnsiTheme="minorHAnsi" w:cs="Arial"/>
          <w:bCs/>
          <w:snapToGrid w:val="0"/>
        </w:rPr>
        <w:t>prednisolone</w:t>
      </w:r>
      <w:r w:rsidR="00C06977">
        <w:rPr>
          <w:rFonts w:asciiTheme="minorHAnsi" w:hAnsiTheme="minorHAnsi" w:cs="Arial"/>
          <w:bCs/>
          <w:snapToGrid w:val="0"/>
        </w:rPr>
        <w:t>.</w:t>
      </w:r>
    </w:p>
    <w:p w:rsidR="00A53AFD" w:rsidRPr="008B3623" w:rsidRDefault="0013747B" w:rsidP="003976D3">
      <w:pPr>
        <w:widowControl w:val="0"/>
        <w:numPr>
          <w:ilvl w:val="1"/>
          <w:numId w:val="5"/>
        </w:numPr>
        <w:spacing w:after="120"/>
        <w:jc w:val="both"/>
        <w:rPr>
          <w:rFonts w:asciiTheme="minorHAnsi" w:hAnsiTheme="minorHAnsi" w:cs="Arial"/>
          <w:bCs/>
          <w:snapToGrid w:val="0"/>
        </w:rPr>
      </w:pPr>
      <w:r w:rsidRPr="008B3623">
        <w:rPr>
          <w:rFonts w:asciiTheme="minorHAnsi" w:hAnsiTheme="minorHAnsi" w:cs="Arial"/>
          <w:bCs/>
          <w:snapToGrid w:val="0"/>
        </w:rPr>
        <w:t xml:space="preserve">The PBAC noted that the minor resubmission did not present an economic analysis and considered that the justification provided for the approach taken was poor. However, the PBAC </w:t>
      </w:r>
      <w:r w:rsidR="00E74FD2" w:rsidRPr="008B3623">
        <w:rPr>
          <w:rFonts w:asciiTheme="minorHAnsi" w:hAnsiTheme="minorHAnsi" w:cs="Arial"/>
          <w:bCs/>
          <w:snapToGrid w:val="0"/>
        </w:rPr>
        <w:t xml:space="preserve">accepted an overall cost minimisation approach was appropriate </w:t>
      </w:r>
      <w:r w:rsidR="00E74FD2" w:rsidRPr="000A0484">
        <w:rPr>
          <w:rFonts w:asciiTheme="minorHAnsi" w:eastAsiaTheme="minorHAnsi" w:hAnsiTheme="minorHAnsi" w:cstheme="minorBidi"/>
          <w:szCs w:val="22"/>
        </w:rPr>
        <w:t>subject to the changes in the proportion of patients in each comparator group as outlined in paragraph 7.4.</w:t>
      </w:r>
    </w:p>
    <w:p w:rsidR="00E74FD2" w:rsidRPr="008B3623" w:rsidRDefault="007421C6" w:rsidP="003976D3">
      <w:pPr>
        <w:widowControl w:val="0"/>
        <w:numPr>
          <w:ilvl w:val="1"/>
          <w:numId w:val="5"/>
        </w:numPr>
        <w:spacing w:after="120"/>
        <w:jc w:val="both"/>
        <w:rPr>
          <w:rFonts w:asciiTheme="minorHAnsi" w:hAnsiTheme="minorHAnsi" w:cs="Arial"/>
          <w:bCs/>
          <w:snapToGrid w:val="0"/>
        </w:rPr>
      </w:pPr>
      <w:r w:rsidRPr="008B3623">
        <w:rPr>
          <w:rFonts w:asciiTheme="minorHAnsi" w:hAnsiTheme="minorHAnsi" w:cs="Arial"/>
          <w:bCs/>
          <w:snapToGrid w:val="0"/>
        </w:rPr>
        <w:t>T</w:t>
      </w:r>
      <w:r w:rsidR="00423CAE" w:rsidRPr="008B3623">
        <w:rPr>
          <w:rFonts w:asciiTheme="minorHAnsi" w:hAnsiTheme="minorHAnsi" w:cs="Arial"/>
          <w:bCs/>
          <w:snapToGrid w:val="0"/>
        </w:rPr>
        <w:t>he minor resubmission estimated a net save</w:t>
      </w:r>
      <w:r w:rsidRPr="008B3623">
        <w:rPr>
          <w:rFonts w:asciiTheme="minorHAnsi" w:hAnsiTheme="minorHAnsi" w:cs="Arial"/>
          <w:bCs/>
          <w:snapToGrid w:val="0"/>
        </w:rPr>
        <w:t xml:space="preserve"> to the PBS/RPBS </w:t>
      </w:r>
      <w:r w:rsidR="00423CAE" w:rsidRPr="008B3623">
        <w:rPr>
          <w:rFonts w:asciiTheme="minorHAnsi" w:hAnsiTheme="minorHAnsi" w:cs="Arial"/>
          <w:bCs/>
          <w:snapToGrid w:val="0"/>
        </w:rPr>
        <w:t xml:space="preserve">with the listing of budesonide. However, </w:t>
      </w:r>
      <w:r w:rsidRPr="008B3623">
        <w:rPr>
          <w:rFonts w:asciiTheme="minorHAnsi" w:hAnsiTheme="minorHAnsi" w:cs="Arial"/>
          <w:bCs/>
          <w:snapToGrid w:val="0"/>
        </w:rPr>
        <w:t>the PBAC considered that there were significant uncertainties in the financial es</w:t>
      </w:r>
      <w:r w:rsidR="00423CAE" w:rsidRPr="008B3623">
        <w:rPr>
          <w:rFonts w:asciiTheme="minorHAnsi" w:hAnsiTheme="minorHAnsi" w:cs="Arial"/>
          <w:bCs/>
          <w:snapToGrid w:val="0"/>
        </w:rPr>
        <w:t>t</w:t>
      </w:r>
      <w:r w:rsidRPr="008B3623">
        <w:rPr>
          <w:rFonts w:asciiTheme="minorHAnsi" w:hAnsiTheme="minorHAnsi" w:cs="Arial"/>
          <w:bCs/>
          <w:snapToGrid w:val="0"/>
        </w:rPr>
        <w:t>imates presen</w:t>
      </w:r>
      <w:r w:rsidR="00423CAE" w:rsidRPr="008B3623">
        <w:rPr>
          <w:rFonts w:asciiTheme="minorHAnsi" w:hAnsiTheme="minorHAnsi" w:cs="Arial"/>
          <w:bCs/>
          <w:snapToGrid w:val="0"/>
        </w:rPr>
        <w:t>ted that may</w:t>
      </w:r>
      <w:r w:rsidRPr="008B3623">
        <w:rPr>
          <w:rFonts w:asciiTheme="minorHAnsi" w:hAnsiTheme="minorHAnsi" w:cs="Arial"/>
          <w:bCs/>
          <w:snapToGrid w:val="0"/>
        </w:rPr>
        <w:t xml:space="preserve"> lessen or reverse the overall </w:t>
      </w:r>
      <w:r w:rsidR="00423CAE" w:rsidRPr="008B3623">
        <w:rPr>
          <w:rFonts w:asciiTheme="minorHAnsi" w:hAnsiTheme="minorHAnsi" w:cs="Arial"/>
          <w:bCs/>
          <w:snapToGrid w:val="0"/>
        </w:rPr>
        <w:t xml:space="preserve">estimated </w:t>
      </w:r>
      <w:r w:rsidRPr="008B3623">
        <w:rPr>
          <w:rFonts w:asciiTheme="minorHAnsi" w:hAnsiTheme="minorHAnsi" w:cs="Arial"/>
          <w:bCs/>
          <w:snapToGrid w:val="0"/>
        </w:rPr>
        <w:t>cost</w:t>
      </w:r>
      <w:r w:rsidR="00423CAE" w:rsidRPr="008B3623">
        <w:rPr>
          <w:rFonts w:asciiTheme="minorHAnsi" w:hAnsiTheme="minorHAnsi" w:cs="Arial"/>
          <w:bCs/>
          <w:snapToGrid w:val="0"/>
        </w:rPr>
        <w:t xml:space="preserve"> savings</w:t>
      </w:r>
      <w:r w:rsidRPr="008B3623">
        <w:rPr>
          <w:rFonts w:asciiTheme="minorHAnsi" w:hAnsiTheme="minorHAnsi" w:cs="Arial"/>
          <w:bCs/>
          <w:snapToGrid w:val="0"/>
        </w:rPr>
        <w:t xml:space="preserve">. </w:t>
      </w:r>
      <w:r w:rsidR="0091484C" w:rsidRPr="008B3623">
        <w:rPr>
          <w:rFonts w:asciiTheme="minorHAnsi" w:hAnsiTheme="minorHAnsi" w:cs="Arial"/>
          <w:bCs/>
          <w:snapToGrid w:val="0"/>
        </w:rPr>
        <w:t xml:space="preserve">The PBAC considered </w:t>
      </w:r>
      <w:r w:rsidR="00423CAE" w:rsidRPr="008B3623">
        <w:rPr>
          <w:rFonts w:asciiTheme="minorHAnsi" w:hAnsiTheme="minorHAnsi" w:cs="Arial"/>
          <w:bCs/>
          <w:snapToGrid w:val="0"/>
        </w:rPr>
        <w:t xml:space="preserve">the budget impact for the proposed listing was highly uncertain and </w:t>
      </w:r>
      <w:r w:rsidR="003D55C0" w:rsidRPr="008B3623">
        <w:rPr>
          <w:rFonts w:asciiTheme="minorHAnsi" w:hAnsiTheme="minorHAnsi" w:cs="Arial"/>
          <w:bCs/>
          <w:snapToGrid w:val="0"/>
        </w:rPr>
        <w:t xml:space="preserve">therefore recommended a risk sharing agreement between the sponsor and the Commonwealth be entered into to reduce the financial </w:t>
      </w:r>
      <w:r w:rsidR="00423CAE" w:rsidRPr="008B3623">
        <w:rPr>
          <w:rFonts w:asciiTheme="minorHAnsi" w:hAnsiTheme="minorHAnsi" w:cs="Arial"/>
          <w:bCs/>
          <w:snapToGrid w:val="0"/>
        </w:rPr>
        <w:t xml:space="preserve">impact of higher </w:t>
      </w:r>
      <w:r w:rsidR="00470CFA" w:rsidRPr="008B3623">
        <w:rPr>
          <w:rFonts w:asciiTheme="minorHAnsi" w:hAnsiTheme="minorHAnsi" w:cs="Arial"/>
          <w:bCs/>
          <w:snapToGrid w:val="0"/>
        </w:rPr>
        <w:t>use of budesonide</w:t>
      </w:r>
      <w:r w:rsidR="00423CAE" w:rsidRPr="008B3623">
        <w:rPr>
          <w:rFonts w:asciiTheme="minorHAnsi" w:hAnsiTheme="minorHAnsi" w:cs="Arial"/>
          <w:bCs/>
          <w:snapToGrid w:val="0"/>
        </w:rPr>
        <w:t xml:space="preserve"> or lower levels of </w:t>
      </w:r>
      <w:proofErr w:type="spellStart"/>
      <w:r w:rsidR="00423CAE" w:rsidRPr="008B3623">
        <w:rPr>
          <w:rFonts w:asciiTheme="minorHAnsi" w:hAnsiTheme="minorHAnsi" w:cs="Arial"/>
          <w:bCs/>
          <w:snapToGrid w:val="0"/>
        </w:rPr>
        <w:t>mesalazine</w:t>
      </w:r>
      <w:proofErr w:type="spellEnd"/>
      <w:r w:rsidR="00423CAE" w:rsidRPr="008B3623">
        <w:rPr>
          <w:rFonts w:asciiTheme="minorHAnsi" w:hAnsiTheme="minorHAnsi" w:cs="Arial"/>
          <w:bCs/>
          <w:snapToGrid w:val="0"/>
        </w:rPr>
        <w:t xml:space="preserve"> substitution than predicted. </w:t>
      </w:r>
      <w:r w:rsidR="003D55C0" w:rsidRPr="008B3623">
        <w:rPr>
          <w:rFonts w:asciiTheme="minorHAnsi" w:hAnsiTheme="minorHAnsi" w:cs="Arial"/>
          <w:bCs/>
          <w:snapToGrid w:val="0"/>
        </w:rPr>
        <w:t xml:space="preserve"> </w:t>
      </w:r>
    </w:p>
    <w:p w:rsidR="00640BD9" w:rsidRPr="000A0484" w:rsidRDefault="00640BD9" w:rsidP="003976D3">
      <w:pPr>
        <w:widowControl w:val="0"/>
        <w:numPr>
          <w:ilvl w:val="1"/>
          <w:numId w:val="5"/>
        </w:numPr>
        <w:spacing w:after="120"/>
        <w:jc w:val="both"/>
        <w:rPr>
          <w:rFonts w:asciiTheme="minorHAnsi" w:eastAsiaTheme="minorHAnsi" w:hAnsiTheme="minorHAnsi" w:cstheme="minorBidi"/>
          <w:szCs w:val="22"/>
        </w:rPr>
      </w:pPr>
      <w:r w:rsidRPr="000A0484">
        <w:rPr>
          <w:rFonts w:asciiTheme="minorHAnsi" w:eastAsiaTheme="minorHAnsi" w:hAnsiTheme="minorHAnsi" w:cstheme="minorBidi"/>
          <w:szCs w:val="22"/>
        </w:rPr>
        <w:t xml:space="preserve">The PBAC advised that budesonide is suitable for prescribing by nurse practitioners. </w:t>
      </w:r>
    </w:p>
    <w:p w:rsidR="00640BD9" w:rsidRPr="008B3623" w:rsidRDefault="00640BD9" w:rsidP="00640BD9">
      <w:pPr>
        <w:widowControl w:val="0"/>
        <w:numPr>
          <w:ilvl w:val="1"/>
          <w:numId w:val="14"/>
        </w:numPr>
        <w:spacing w:after="120"/>
        <w:jc w:val="both"/>
        <w:rPr>
          <w:rFonts w:asciiTheme="minorHAnsi" w:hAnsiTheme="minorHAnsi" w:cs="Arial"/>
          <w:bCs/>
          <w:snapToGrid w:val="0"/>
        </w:rPr>
      </w:pPr>
      <w:r w:rsidRPr="008B3623">
        <w:rPr>
          <w:rFonts w:asciiTheme="minorHAnsi" w:hAnsiTheme="minorHAnsi" w:cs="Arial"/>
          <w:bCs/>
          <w:snapToGrid w:val="0"/>
        </w:rPr>
        <w:t xml:space="preserve">The PBAC recommended that the Early Supply Rule should not apply. </w:t>
      </w:r>
    </w:p>
    <w:p w:rsidR="00640BD9" w:rsidRPr="008B3623" w:rsidRDefault="00470CFA" w:rsidP="00CE7FC3">
      <w:pPr>
        <w:widowControl w:val="0"/>
        <w:numPr>
          <w:ilvl w:val="1"/>
          <w:numId w:val="5"/>
        </w:numPr>
        <w:spacing w:after="120"/>
        <w:jc w:val="both"/>
        <w:rPr>
          <w:rFonts w:asciiTheme="minorHAnsi" w:hAnsiTheme="minorHAnsi" w:cs="Arial"/>
          <w:bCs/>
          <w:snapToGrid w:val="0"/>
        </w:rPr>
      </w:pPr>
      <w:r w:rsidRPr="008B3623">
        <w:rPr>
          <w:rFonts w:asciiTheme="minorHAnsi" w:hAnsiTheme="minorHAnsi" w:cs="Arial"/>
          <w:bCs/>
          <w:snapToGrid w:val="0"/>
        </w:rPr>
        <w:t>The PBAC</w:t>
      </w:r>
      <w:r w:rsidR="00640BD9" w:rsidRPr="000A0484">
        <w:rPr>
          <w:rFonts w:asciiTheme="minorHAnsi" w:eastAsiaTheme="minorHAnsi" w:hAnsiTheme="minorHAnsi" w:cstheme="minorBidi"/>
          <w:szCs w:val="22"/>
        </w:rPr>
        <w:t xml:space="preserve"> recommended that budesonide be included as one of the prior </w:t>
      </w:r>
      <w:r w:rsidR="00FA5AA3" w:rsidRPr="000A0484">
        <w:rPr>
          <w:rFonts w:asciiTheme="minorHAnsi" w:eastAsiaTheme="minorHAnsi" w:hAnsiTheme="minorHAnsi" w:cstheme="minorBidi"/>
          <w:szCs w:val="22"/>
        </w:rPr>
        <w:t xml:space="preserve">systemic </w:t>
      </w:r>
      <w:r w:rsidRPr="003345A8">
        <w:rPr>
          <w:rFonts w:asciiTheme="minorHAnsi" w:eastAsiaTheme="minorHAnsi" w:hAnsiTheme="minorHAnsi" w:cstheme="minorBidi"/>
          <w:szCs w:val="22"/>
        </w:rPr>
        <w:t xml:space="preserve">therapies that need </w:t>
      </w:r>
      <w:r w:rsidR="00640BD9" w:rsidRPr="003345A8">
        <w:rPr>
          <w:rFonts w:asciiTheme="minorHAnsi" w:eastAsiaTheme="minorHAnsi" w:hAnsiTheme="minorHAnsi" w:cstheme="minorBidi"/>
          <w:szCs w:val="22"/>
        </w:rPr>
        <w:t xml:space="preserve">to be failed prior to qualifying for subsidy of a biological medicine for severe CD.  The PBAC noted that the </w:t>
      </w:r>
      <w:r w:rsidR="00246311" w:rsidRPr="000A0484">
        <w:rPr>
          <w:rFonts w:asciiTheme="minorHAnsi" w:eastAsiaTheme="minorHAnsi" w:hAnsiTheme="minorHAnsi" w:cstheme="minorBidi"/>
          <w:szCs w:val="22"/>
        </w:rPr>
        <w:t xml:space="preserve">flow-on </w:t>
      </w:r>
      <w:r w:rsidR="00640BD9" w:rsidRPr="000A0484">
        <w:rPr>
          <w:rFonts w:asciiTheme="minorHAnsi" w:eastAsiaTheme="minorHAnsi" w:hAnsiTheme="minorHAnsi" w:cstheme="minorBidi"/>
          <w:szCs w:val="22"/>
        </w:rPr>
        <w:t>restriction changes need to be developed for this including the appropriate dose and duration of treatment with budesonide.</w:t>
      </w:r>
      <w:r w:rsidR="00CE7FC3" w:rsidRPr="000A0484">
        <w:rPr>
          <w:rFonts w:asciiTheme="minorHAnsi" w:eastAsiaTheme="minorHAnsi" w:hAnsiTheme="minorHAnsi" w:cstheme="minorBidi"/>
          <w:szCs w:val="22"/>
        </w:rPr>
        <w:t xml:space="preserve"> </w:t>
      </w:r>
    </w:p>
    <w:p w:rsidR="00AD50E8" w:rsidRPr="000A0484" w:rsidRDefault="00640BD9" w:rsidP="00640BD9">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A0484">
        <w:rPr>
          <w:rFonts w:asciiTheme="minorHAnsi" w:eastAsiaTheme="minorHAnsi" w:hAnsiTheme="minorHAnsi" w:cstheme="minorBidi"/>
          <w:snapToGrid/>
          <w:sz w:val="24"/>
          <w:szCs w:val="22"/>
        </w:rPr>
        <w:t>T</w:t>
      </w:r>
      <w:r w:rsidR="00AD50E8" w:rsidRPr="000A0484">
        <w:rPr>
          <w:rFonts w:asciiTheme="minorHAnsi" w:eastAsiaTheme="minorHAnsi" w:hAnsiTheme="minorHAnsi" w:cstheme="minorBidi"/>
          <w:snapToGrid/>
          <w:sz w:val="24"/>
          <w:szCs w:val="22"/>
        </w:rPr>
        <w:t xml:space="preserve">he submission is </w:t>
      </w:r>
      <w:r w:rsidRPr="000A0484">
        <w:rPr>
          <w:rFonts w:asciiTheme="minorHAnsi" w:eastAsiaTheme="minorHAnsi" w:hAnsiTheme="minorHAnsi" w:cstheme="minorBidi"/>
          <w:snapToGrid/>
          <w:sz w:val="24"/>
          <w:szCs w:val="22"/>
        </w:rPr>
        <w:t>not eligible for an Independent</w:t>
      </w:r>
      <w:r w:rsidRPr="003345A8">
        <w:rPr>
          <w:rFonts w:asciiTheme="minorHAnsi" w:eastAsiaTheme="minorHAnsi" w:hAnsiTheme="minorHAnsi" w:cstheme="minorBidi"/>
          <w:snapToGrid/>
          <w:sz w:val="24"/>
          <w:szCs w:val="22"/>
        </w:rPr>
        <w:t xml:space="preserve"> Review, because the PBAC has made a positive recommendation. </w:t>
      </w:r>
    </w:p>
    <w:p w:rsidR="003976D3" w:rsidRPr="008B3623" w:rsidRDefault="003976D3" w:rsidP="003976D3">
      <w:pPr>
        <w:spacing w:before="240"/>
        <w:jc w:val="both"/>
        <w:rPr>
          <w:rFonts w:asciiTheme="minorHAnsi" w:hAnsiTheme="minorHAnsi" w:cs="Arial"/>
          <w:b/>
          <w:bCs/>
          <w:snapToGrid w:val="0"/>
        </w:rPr>
      </w:pPr>
      <w:r w:rsidRPr="008B3623">
        <w:rPr>
          <w:rFonts w:asciiTheme="minorHAnsi" w:hAnsiTheme="minorHAnsi" w:cs="Arial"/>
          <w:b/>
          <w:bCs/>
          <w:snapToGrid w:val="0"/>
        </w:rPr>
        <w:t>Outcome:</w:t>
      </w:r>
    </w:p>
    <w:p w:rsidR="00CC5D24" w:rsidRDefault="001C3A81" w:rsidP="001C3A81">
      <w:pPr>
        <w:jc w:val="both"/>
        <w:rPr>
          <w:rFonts w:asciiTheme="minorHAnsi" w:hAnsiTheme="minorHAnsi" w:cs="Arial"/>
          <w:b/>
          <w:snapToGrid w:val="0"/>
          <w:sz w:val="32"/>
          <w:szCs w:val="32"/>
          <w:lang w:eastAsia="en-US"/>
        </w:rPr>
      </w:pPr>
      <w:r>
        <w:rPr>
          <w:rFonts w:asciiTheme="minorHAnsi" w:hAnsiTheme="minorHAnsi" w:cs="Arial"/>
          <w:bCs/>
          <w:snapToGrid w:val="0"/>
        </w:rPr>
        <w:t>Recommended</w:t>
      </w:r>
      <w:bookmarkStart w:id="4" w:name="_GoBack"/>
      <w:bookmarkEnd w:id="4"/>
      <w:r w:rsidR="00CC5D24">
        <w:rPr>
          <w:rFonts w:asciiTheme="minorHAnsi" w:hAnsiTheme="minorHAnsi"/>
          <w:sz w:val="32"/>
          <w:szCs w:val="32"/>
        </w:rPr>
        <w:br w:type="page"/>
      </w:r>
    </w:p>
    <w:p w:rsidR="003976D3" w:rsidRPr="00CD10E2" w:rsidRDefault="003976D3" w:rsidP="00CD10E2">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CD10E2">
        <w:rPr>
          <w:rFonts w:asciiTheme="minorHAnsi" w:hAnsiTheme="minorHAnsi"/>
          <w:sz w:val="32"/>
          <w:szCs w:val="32"/>
        </w:rPr>
        <w:lastRenderedPageBreak/>
        <w:t>Recommended listing</w:t>
      </w:r>
    </w:p>
    <w:p w:rsidR="003976D3" w:rsidRPr="000A0484" w:rsidRDefault="003976D3" w:rsidP="00076CEF">
      <w:pPr>
        <w:widowControl w:val="0"/>
        <w:numPr>
          <w:ilvl w:val="1"/>
          <w:numId w:val="5"/>
        </w:numPr>
        <w:spacing w:after="120"/>
        <w:jc w:val="both"/>
        <w:rPr>
          <w:rFonts w:asciiTheme="minorHAnsi" w:hAnsiTheme="minorHAnsi" w:cs="Arial"/>
          <w:bCs/>
          <w:snapToGrid w:val="0"/>
        </w:rPr>
      </w:pPr>
      <w:r w:rsidRPr="000A0484">
        <w:rPr>
          <w:rFonts w:asciiTheme="minorHAnsi" w:hAnsiTheme="minorHAnsi" w:cs="Arial"/>
          <w:bCs/>
          <w:snapToGrid w:val="0"/>
        </w:rPr>
        <w:t>Add new item:</w:t>
      </w:r>
    </w:p>
    <w:p w:rsidR="003976D3" w:rsidRPr="008B3623" w:rsidRDefault="003976D3" w:rsidP="003976D3">
      <w:pPr>
        <w:pStyle w:val="NoSpacing"/>
      </w:pPr>
    </w:p>
    <w:tbl>
      <w:tblPr>
        <w:tblW w:w="5000" w:type="pct"/>
        <w:tblLook w:val="0000" w:firstRow="0" w:lastRow="0" w:firstColumn="0" w:lastColumn="0" w:noHBand="0" w:noVBand="0"/>
      </w:tblPr>
      <w:tblGrid>
        <w:gridCol w:w="3286"/>
        <w:gridCol w:w="61"/>
        <w:gridCol w:w="1155"/>
        <w:gridCol w:w="1274"/>
        <w:gridCol w:w="1277"/>
        <w:gridCol w:w="2189"/>
      </w:tblGrid>
      <w:tr w:rsidR="00076CEF" w:rsidRPr="000A0484" w:rsidTr="00076CEF">
        <w:trPr>
          <w:cantSplit/>
        </w:trPr>
        <w:tc>
          <w:tcPr>
            <w:tcW w:w="1778" w:type="pct"/>
            <w:tcBorders>
              <w:bottom w:val="single" w:sz="4" w:space="0" w:color="auto"/>
            </w:tcBorders>
          </w:tcPr>
          <w:p w:rsidR="00076CEF" w:rsidRPr="000A0484" w:rsidRDefault="00076CEF" w:rsidP="009632E0">
            <w:pPr>
              <w:keepNext/>
              <w:ind w:left="-108"/>
              <w:jc w:val="both"/>
              <w:rPr>
                <w:rFonts w:ascii="Arial Narrow" w:hAnsi="Arial Narrow" w:cs="Arial"/>
                <w:sz w:val="20"/>
              </w:rPr>
            </w:pPr>
            <w:r w:rsidRPr="000A0484">
              <w:rPr>
                <w:rFonts w:ascii="Arial Narrow" w:hAnsi="Arial Narrow" w:cs="Arial"/>
                <w:sz w:val="20"/>
              </w:rPr>
              <w:t>Name, Restriction</w:t>
            </w:r>
          </w:p>
          <w:p w:rsidR="00076CEF" w:rsidRPr="003345A8" w:rsidRDefault="00076CEF" w:rsidP="00AD50E8">
            <w:pPr>
              <w:keepNext/>
              <w:ind w:left="-108"/>
              <w:jc w:val="both"/>
              <w:rPr>
                <w:rFonts w:ascii="Arial Narrow" w:hAnsi="Arial Narrow" w:cs="Arial"/>
                <w:sz w:val="20"/>
              </w:rPr>
            </w:pPr>
            <w:r w:rsidRPr="003345A8">
              <w:rPr>
                <w:rFonts w:ascii="Arial Narrow" w:hAnsi="Arial Narrow" w:cs="Arial"/>
                <w:sz w:val="20"/>
              </w:rPr>
              <w:t>Manner of administration and form</w:t>
            </w:r>
          </w:p>
        </w:tc>
        <w:tc>
          <w:tcPr>
            <w:tcW w:w="658" w:type="pct"/>
            <w:gridSpan w:val="2"/>
            <w:tcBorders>
              <w:bottom w:val="single" w:sz="4" w:space="0" w:color="auto"/>
            </w:tcBorders>
          </w:tcPr>
          <w:p w:rsidR="00076CEF" w:rsidRPr="000A0484" w:rsidRDefault="00076CEF" w:rsidP="009632E0">
            <w:pPr>
              <w:keepNext/>
              <w:ind w:left="-108"/>
              <w:jc w:val="both"/>
              <w:rPr>
                <w:rFonts w:ascii="Arial Narrow" w:hAnsi="Arial Narrow" w:cs="Arial"/>
                <w:sz w:val="20"/>
              </w:rPr>
            </w:pPr>
            <w:r w:rsidRPr="000A0484">
              <w:rPr>
                <w:rFonts w:ascii="Arial Narrow" w:hAnsi="Arial Narrow" w:cs="Arial"/>
                <w:sz w:val="20"/>
              </w:rPr>
              <w:t>Max.</w:t>
            </w:r>
          </w:p>
          <w:p w:rsidR="00076CEF" w:rsidRPr="000A0484" w:rsidRDefault="00076CEF" w:rsidP="009632E0">
            <w:pPr>
              <w:keepNext/>
              <w:ind w:left="-108"/>
              <w:jc w:val="both"/>
              <w:rPr>
                <w:rFonts w:ascii="Arial Narrow" w:hAnsi="Arial Narrow" w:cs="Arial"/>
                <w:sz w:val="20"/>
              </w:rPr>
            </w:pPr>
            <w:proofErr w:type="spellStart"/>
            <w:r w:rsidRPr="000A0484">
              <w:rPr>
                <w:rFonts w:ascii="Arial Narrow" w:hAnsi="Arial Narrow" w:cs="Arial"/>
                <w:sz w:val="20"/>
              </w:rPr>
              <w:t>Qty</w:t>
            </w:r>
            <w:proofErr w:type="spellEnd"/>
          </w:p>
        </w:tc>
        <w:tc>
          <w:tcPr>
            <w:tcW w:w="689" w:type="pct"/>
            <w:tcBorders>
              <w:bottom w:val="single" w:sz="4" w:space="0" w:color="auto"/>
            </w:tcBorders>
          </w:tcPr>
          <w:p w:rsidR="00076CEF" w:rsidRPr="000A0484" w:rsidRDefault="00076CEF" w:rsidP="009632E0">
            <w:pPr>
              <w:keepNext/>
              <w:ind w:left="-108"/>
              <w:rPr>
                <w:rFonts w:ascii="Arial Narrow" w:hAnsi="Arial Narrow" w:cs="Arial"/>
                <w:sz w:val="20"/>
              </w:rPr>
            </w:pPr>
            <w:r w:rsidRPr="000A0484">
              <w:rPr>
                <w:rFonts w:ascii="Arial Narrow" w:hAnsi="Arial Narrow" w:cs="Arial"/>
                <w:sz w:val="20"/>
              </w:rPr>
              <w:t>№. of Rpts</w:t>
            </w:r>
          </w:p>
        </w:tc>
        <w:tc>
          <w:tcPr>
            <w:tcW w:w="1875" w:type="pct"/>
            <w:gridSpan w:val="2"/>
            <w:tcBorders>
              <w:bottom w:val="single" w:sz="4" w:space="0" w:color="auto"/>
            </w:tcBorders>
          </w:tcPr>
          <w:p w:rsidR="00076CEF" w:rsidRPr="000A0484" w:rsidRDefault="00076CEF" w:rsidP="009632E0">
            <w:pPr>
              <w:keepNext/>
              <w:rPr>
                <w:rFonts w:ascii="Arial Narrow" w:hAnsi="Arial Narrow" w:cs="Arial"/>
                <w:sz w:val="20"/>
              </w:rPr>
            </w:pPr>
            <w:r w:rsidRPr="000A0484">
              <w:rPr>
                <w:rFonts w:ascii="Arial Narrow" w:hAnsi="Arial Narrow" w:cs="Arial"/>
                <w:sz w:val="20"/>
              </w:rPr>
              <w:t>Proprietary Name and Manufacturer</w:t>
            </w:r>
          </w:p>
        </w:tc>
      </w:tr>
      <w:tr w:rsidR="00076CEF" w:rsidRPr="000A0484" w:rsidTr="00076CEF">
        <w:trPr>
          <w:cantSplit/>
        </w:trPr>
        <w:tc>
          <w:tcPr>
            <w:tcW w:w="1778" w:type="pct"/>
          </w:tcPr>
          <w:p w:rsidR="00076CEF" w:rsidRPr="000A0484" w:rsidRDefault="00076CEF" w:rsidP="009632E0">
            <w:pPr>
              <w:keepNext/>
              <w:ind w:left="-108"/>
              <w:jc w:val="both"/>
              <w:rPr>
                <w:rFonts w:ascii="Arial Narrow" w:hAnsi="Arial Narrow" w:cs="Arial"/>
                <w:b/>
                <w:smallCaps/>
                <w:sz w:val="20"/>
              </w:rPr>
            </w:pPr>
            <w:r w:rsidRPr="000A0484">
              <w:rPr>
                <w:rFonts w:ascii="Arial Narrow" w:hAnsi="Arial Narrow" w:cs="Arial"/>
                <w:b/>
                <w:smallCaps/>
                <w:sz w:val="20"/>
              </w:rPr>
              <w:t>BUDESONIDE</w:t>
            </w:r>
          </w:p>
          <w:p w:rsidR="00076CEF" w:rsidRPr="000A0484" w:rsidRDefault="00076CEF" w:rsidP="009632E0">
            <w:pPr>
              <w:keepNext/>
              <w:ind w:left="-108"/>
              <w:jc w:val="both"/>
              <w:rPr>
                <w:rFonts w:ascii="Arial Narrow" w:hAnsi="Arial Narrow" w:cs="Arial"/>
                <w:sz w:val="20"/>
              </w:rPr>
            </w:pPr>
            <w:r w:rsidRPr="000A0484">
              <w:rPr>
                <w:rFonts w:ascii="Arial Narrow" w:hAnsi="Arial Narrow" w:cs="Arial"/>
                <w:sz w:val="20"/>
              </w:rPr>
              <w:t>Oral, 3 mg modified release capsule</w:t>
            </w:r>
          </w:p>
          <w:p w:rsidR="00AD50E8" w:rsidRPr="000A0484" w:rsidRDefault="00AD50E8" w:rsidP="009632E0">
            <w:pPr>
              <w:keepNext/>
              <w:ind w:left="-108"/>
              <w:jc w:val="both"/>
              <w:rPr>
                <w:rFonts w:ascii="Arial Narrow" w:hAnsi="Arial Narrow" w:cs="Arial"/>
                <w:sz w:val="20"/>
              </w:rPr>
            </w:pPr>
          </w:p>
        </w:tc>
        <w:tc>
          <w:tcPr>
            <w:tcW w:w="658" w:type="pct"/>
            <w:gridSpan w:val="2"/>
          </w:tcPr>
          <w:p w:rsidR="00076CEF" w:rsidRPr="000A0484" w:rsidRDefault="00076CEF" w:rsidP="009632E0">
            <w:pPr>
              <w:keepNext/>
              <w:rPr>
                <w:rFonts w:ascii="Arial Narrow" w:hAnsi="Arial Narrow" w:cs="Arial"/>
                <w:sz w:val="20"/>
              </w:rPr>
            </w:pPr>
            <w:r w:rsidRPr="000A0484">
              <w:rPr>
                <w:rFonts w:ascii="Arial Narrow" w:hAnsi="Arial Narrow" w:cs="Arial"/>
                <w:sz w:val="20"/>
              </w:rPr>
              <w:t>90</w:t>
            </w:r>
          </w:p>
        </w:tc>
        <w:tc>
          <w:tcPr>
            <w:tcW w:w="689" w:type="pct"/>
          </w:tcPr>
          <w:p w:rsidR="00076CEF" w:rsidRPr="000A0484" w:rsidRDefault="00076CEF" w:rsidP="009632E0">
            <w:pPr>
              <w:keepNext/>
              <w:ind w:left="-108"/>
              <w:rPr>
                <w:rFonts w:ascii="Arial Narrow" w:hAnsi="Arial Narrow" w:cs="Arial"/>
                <w:sz w:val="20"/>
              </w:rPr>
            </w:pPr>
            <w:r w:rsidRPr="000A0484">
              <w:rPr>
                <w:rFonts w:ascii="Arial Narrow" w:hAnsi="Arial Narrow" w:cs="Arial"/>
                <w:sz w:val="20"/>
              </w:rPr>
              <w:t>2</w:t>
            </w:r>
          </w:p>
        </w:tc>
        <w:tc>
          <w:tcPr>
            <w:tcW w:w="691" w:type="pct"/>
          </w:tcPr>
          <w:p w:rsidR="00076CEF" w:rsidRPr="000A0484" w:rsidRDefault="00076CEF" w:rsidP="009632E0">
            <w:pPr>
              <w:keepNext/>
              <w:rPr>
                <w:rFonts w:ascii="Arial Narrow" w:hAnsi="Arial Narrow" w:cs="Arial"/>
                <w:sz w:val="20"/>
              </w:rPr>
            </w:pPr>
            <w:proofErr w:type="spellStart"/>
            <w:r w:rsidRPr="000A0484">
              <w:rPr>
                <w:rFonts w:ascii="Arial Narrow" w:hAnsi="Arial Narrow" w:cs="Arial"/>
                <w:sz w:val="20"/>
              </w:rPr>
              <w:t>Entocort</w:t>
            </w:r>
            <w:proofErr w:type="spellEnd"/>
            <w:r w:rsidRPr="000A0484">
              <w:rPr>
                <w:rFonts w:ascii="Arial Narrow" w:hAnsi="Arial Narrow" w:cs="Arial"/>
                <w:sz w:val="20"/>
              </w:rPr>
              <w:t>®</w:t>
            </w:r>
          </w:p>
        </w:tc>
        <w:tc>
          <w:tcPr>
            <w:tcW w:w="1184" w:type="pct"/>
          </w:tcPr>
          <w:p w:rsidR="00076CEF" w:rsidRPr="000A0484" w:rsidRDefault="00076CEF" w:rsidP="009632E0">
            <w:pPr>
              <w:keepNext/>
              <w:rPr>
                <w:rFonts w:ascii="Arial Narrow" w:hAnsi="Arial Narrow" w:cs="Arial"/>
                <w:sz w:val="20"/>
              </w:rPr>
            </w:pPr>
            <w:r w:rsidRPr="000A0484">
              <w:rPr>
                <w:rFonts w:ascii="Arial Narrow" w:hAnsi="Arial Narrow" w:cs="Arial"/>
                <w:sz w:val="20"/>
              </w:rPr>
              <w:t>Emerge Health</w:t>
            </w:r>
          </w:p>
        </w:tc>
      </w:tr>
      <w:tr w:rsidR="00076CEF" w:rsidRPr="000A0484" w:rsidTr="00076CEF">
        <w:trPr>
          <w:cantSplit/>
        </w:trPr>
        <w:tc>
          <w:tcPr>
            <w:tcW w:w="1811" w:type="pct"/>
            <w:gridSpan w:val="2"/>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cs="Arial"/>
                <w:b/>
                <w:sz w:val="20"/>
              </w:rPr>
            </w:pPr>
            <w:r w:rsidRPr="000A0484">
              <w:rPr>
                <w:rFonts w:ascii="Arial Narrow" w:hAnsi="Arial Narrow" w:cs="Arial"/>
                <w:b/>
                <w:sz w:val="20"/>
              </w:rPr>
              <w:t xml:space="preserve">Category/Program </w:t>
            </w:r>
          </w:p>
        </w:tc>
        <w:tc>
          <w:tcPr>
            <w:tcW w:w="3189" w:type="pct"/>
            <w:gridSpan w:val="4"/>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sz w:val="20"/>
              </w:rPr>
            </w:pPr>
            <w:r w:rsidRPr="000A0484">
              <w:rPr>
                <w:rFonts w:ascii="Arial Narrow" w:hAnsi="Arial Narrow"/>
                <w:sz w:val="20"/>
              </w:rPr>
              <w:t>Section 85 (general schedule)</w:t>
            </w:r>
          </w:p>
        </w:tc>
      </w:tr>
      <w:tr w:rsidR="00076CEF" w:rsidRPr="000A0484" w:rsidTr="00076CEF">
        <w:trPr>
          <w:cantSplit/>
        </w:trPr>
        <w:tc>
          <w:tcPr>
            <w:tcW w:w="1811" w:type="pct"/>
            <w:gridSpan w:val="2"/>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cs="Arial"/>
                <w:b/>
                <w:sz w:val="20"/>
              </w:rPr>
            </w:pPr>
            <w:r w:rsidRPr="000A0484">
              <w:rPr>
                <w:rFonts w:ascii="Arial Narrow" w:hAnsi="Arial Narrow" w:cs="Arial"/>
                <w:b/>
                <w:sz w:val="20"/>
              </w:rPr>
              <w:t>Prescriber type:</w:t>
            </w:r>
          </w:p>
        </w:tc>
        <w:tc>
          <w:tcPr>
            <w:tcW w:w="3189" w:type="pct"/>
            <w:gridSpan w:val="4"/>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cs="Arial"/>
                <w:sz w:val="20"/>
              </w:rPr>
            </w:pPr>
            <w:r w:rsidRPr="008B3623">
              <w:rPr>
                <w:rFonts w:ascii="Arial Narrow" w:hAnsi="Arial Narrow" w:cs="Arial"/>
                <w:sz w:val="20"/>
              </w:rPr>
              <w:fldChar w:fldCharType="begin">
                <w:ffData>
                  <w:name w:val="Check5"/>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8B3623">
              <w:rPr>
                <w:rFonts w:ascii="Arial Narrow" w:hAnsi="Arial Narrow" w:cs="Arial"/>
                <w:sz w:val="20"/>
              </w:rPr>
              <w:fldChar w:fldCharType="end"/>
            </w:r>
            <w:r w:rsidRPr="000A0484">
              <w:rPr>
                <w:rFonts w:ascii="Arial Narrow" w:hAnsi="Arial Narrow" w:cs="Arial"/>
                <w:sz w:val="20"/>
              </w:rPr>
              <w:t xml:space="preserve">Dental  </w:t>
            </w:r>
            <w:r w:rsidRPr="008B3623">
              <w:rPr>
                <w:rFonts w:ascii="Arial Narrow" w:hAnsi="Arial Narrow" w:cs="Arial"/>
                <w:sz w:val="20"/>
              </w:rPr>
              <w:fldChar w:fldCharType="begin">
                <w:ffData>
                  <w:name w:val=""/>
                  <w:enabled/>
                  <w:calcOnExit w:val="0"/>
                  <w:checkBox>
                    <w:sizeAuto/>
                    <w:default w:val="1"/>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8B3623">
              <w:rPr>
                <w:rFonts w:ascii="Arial Narrow" w:hAnsi="Arial Narrow" w:cs="Arial"/>
                <w:sz w:val="20"/>
              </w:rPr>
              <w:fldChar w:fldCharType="end"/>
            </w:r>
            <w:r w:rsidRPr="000A0484">
              <w:rPr>
                <w:rFonts w:ascii="Arial Narrow" w:hAnsi="Arial Narrow" w:cs="Arial"/>
                <w:sz w:val="20"/>
              </w:rPr>
              <w:t xml:space="preserve">Medical Practitioners  </w:t>
            </w:r>
            <w:r w:rsidRPr="008B3623">
              <w:rPr>
                <w:rFonts w:ascii="Arial Narrow" w:hAnsi="Arial Narrow" w:cs="Arial"/>
                <w:sz w:val="20"/>
              </w:rPr>
              <w:fldChar w:fldCharType="begin">
                <w:ffData>
                  <w:name w:val="Check3"/>
                  <w:enabled/>
                  <w:calcOnExit w:val="0"/>
                  <w:checkBox>
                    <w:sizeAuto/>
                    <w:default w:val="1"/>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8B3623">
              <w:rPr>
                <w:rFonts w:ascii="Arial Narrow" w:hAnsi="Arial Narrow" w:cs="Arial"/>
                <w:sz w:val="20"/>
              </w:rPr>
              <w:fldChar w:fldCharType="end"/>
            </w:r>
            <w:r w:rsidRPr="000A0484">
              <w:rPr>
                <w:rFonts w:ascii="Arial Narrow" w:hAnsi="Arial Narrow" w:cs="Arial"/>
                <w:sz w:val="20"/>
              </w:rPr>
              <w:t xml:space="preserve">Nurse practitioners  </w:t>
            </w:r>
            <w:r w:rsidRPr="008B3623">
              <w:rPr>
                <w:rFonts w:ascii="Arial Narrow" w:hAnsi="Arial Narrow" w:cs="Arial"/>
                <w:sz w:val="20"/>
              </w:rPr>
              <w:fldChar w:fldCharType="begin">
                <w:ffData>
                  <w:name w:val=""/>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8B3623">
              <w:rPr>
                <w:rFonts w:ascii="Arial Narrow" w:hAnsi="Arial Narrow" w:cs="Arial"/>
                <w:sz w:val="20"/>
              </w:rPr>
              <w:fldChar w:fldCharType="end"/>
            </w:r>
            <w:r w:rsidRPr="000A0484">
              <w:rPr>
                <w:rFonts w:ascii="Arial Narrow" w:hAnsi="Arial Narrow" w:cs="Arial"/>
                <w:sz w:val="20"/>
              </w:rPr>
              <w:t>Optometrists</w:t>
            </w:r>
          </w:p>
          <w:p w:rsidR="00076CEF" w:rsidRPr="000A0484" w:rsidRDefault="00076CEF" w:rsidP="009632E0">
            <w:pPr>
              <w:rPr>
                <w:rFonts w:ascii="Arial Narrow" w:hAnsi="Arial Narrow" w:cs="Arial"/>
                <w:sz w:val="20"/>
              </w:rPr>
            </w:pPr>
            <w:r w:rsidRPr="008B3623">
              <w:rPr>
                <w:rFonts w:ascii="Arial Narrow" w:hAnsi="Arial Narrow" w:cs="Arial"/>
                <w:sz w:val="20"/>
              </w:rPr>
              <w:fldChar w:fldCharType="begin">
                <w:ffData>
                  <w:name w:val="Check5"/>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8B3623">
              <w:rPr>
                <w:rFonts w:ascii="Arial Narrow" w:hAnsi="Arial Narrow" w:cs="Arial"/>
                <w:sz w:val="20"/>
              </w:rPr>
              <w:fldChar w:fldCharType="end"/>
            </w:r>
            <w:r w:rsidRPr="000A0484">
              <w:rPr>
                <w:rFonts w:ascii="Arial Narrow" w:hAnsi="Arial Narrow" w:cs="Arial"/>
                <w:sz w:val="20"/>
              </w:rPr>
              <w:t>Midwives</w:t>
            </w:r>
          </w:p>
        </w:tc>
      </w:tr>
      <w:tr w:rsidR="00076CEF" w:rsidRPr="000A0484" w:rsidTr="00076CEF">
        <w:trPr>
          <w:cantSplit/>
        </w:trPr>
        <w:tc>
          <w:tcPr>
            <w:tcW w:w="1811" w:type="pct"/>
            <w:gridSpan w:val="2"/>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cs="Arial"/>
                <w:b/>
                <w:sz w:val="20"/>
              </w:rPr>
            </w:pPr>
            <w:r w:rsidRPr="000A0484">
              <w:rPr>
                <w:rFonts w:ascii="Arial Narrow" w:hAnsi="Arial Narrow" w:cs="Arial"/>
                <w:b/>
                <w:sz w:val="20"/>
              </w:rPr>
              <w:t>Severity:</w:t>
            </w:r>
          </w:p>
        </w:tc>
        <w:tc>
          <w:tcPr>
            <w:tcW w:w="3189" w:type="pct"/>
            <w:gridSpan w:val="4"/>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sz w:val="20"/>
              </w:rPr>
            </w:pPr>
            <w:r w:rsidRPr="000A0484">
              <w:rPr>
                <w:rFonts w:ascii="Arial Narrow" w:hAnsi="Arial Narrow"/>
                <w:sz w:val="20"/>
              </w:rPr>
              <w:t xml:space="preserve">Mild to moderate </w:t>
            </w:r>
          </w:p>
        </w:tc>
      </w:tr>
      <w:tr w:rsidR="00076CEF" w:rsidRPr="000A0484" w:rsidTr="00076CEF">
        <w:trPr>
          <w:cantSplit/>
        </w:trPr>
        <w:tc>
          <w:tcPr>
            <w:tcW w:w="1811" w:type="pct"/>
            <w:gridSpan w:val="2"/>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cs="Arial"/>
                <w:b/>
                <w:sz w:val="20"/>
              </w:rPr>
            </w:pPr>
            <w:r w:rsidRPr="000A0484">
              <w:rPr>
                <w:rFonts w:ascii="Arial Narrow" w:hAnsi="Arial Narrow" w:cs="Arial"/>
                <w:b/>
                <w:sz w:val="20"/>
              </w:rPr>
              <w:t>Condition:</w:t>
            </w:r>
          </w:p>
        </w:tc>
        <w:tc>
          <w:tcPr>
            <w:tcW w:w="3189" w:type="pct"/>
            <w:gridSpan w:val="4"/>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sz w:val="20"/>
              </w:rPr>
            </w:pPr>
            <w:r w:rsidRPr="000A0484">
              <w:rPr>
                <w:rFonts w:ascii="Arial Narrow" w:hAnsi="Arial Narrow"/>
                <w:sz w:val="20"/>
              </w:rPr>
              <w:t>Crohn disease</w:t>
            </w:r>
          </w:p>
        </w:tc>
      </w:tr>
      <w:tr w:rsidR="00076CEF" w:rsidRPr="000A0484" w:rsidTr="00076CEF">
        <w:trPr>
          <w:cantSplit/>
        </w:trPr>
        <w:tc>
          <w:tcPr>
            <w:tcW w:w="1811" w:type="pct"/>
            <w:gridSpan w:val="2"/>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cs="Arial"/>
                <w:b/>
                <w:sz w:val="20"/>
              </w:rPr>
            </w:pPr>
            <w:r w:rsidRPr="000A0484">
              <w:rPr>
                <w:rFonts w:ascii="Arial Narrow" w:hAnsi="Arial Narrow" w:cs="Arial"/>
                <w:b/>
                <w:sz w:val="20"/>
              </w:rPr>
              <w:t>PBS Indication:</w:t>
            </w:r>
          </w:p>
        </w:tc>
        <w:tc>
          <w:tcPr>
            <w:tcW w:w="3189" w:type="pct"/>
            <w:gridSpan w:val="4"/>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sz w:val="20"/>
              </w:rPr>
            </w:pPr>
            <w:r w:rsidRPr="000A0484">
              <w:rPr>
                <w:rFonts w:ascii="Arial Narrow" w:hAnsi="Arial Narrow"/>
                <w:sz w:val="20"/>
              </w:rPr>
              <w:t xml:space="preserve">Mild to moderate Crohn disease </w:t>
            </w:r>
          </w:p>
        </w:tc>
      </w:tr>
      <w:tr w:rsidR="00076CEF" w:rsidRPr="000A0484" w:rsidTr="00076CEF">
        <w:trPr>
          <w:cantSplit/>
        </w:trPr>
        <w:tc>
          <w:tcPr>
            <w:tcW w:w="1811" w:type="pct"/>
            <w:gridSpan w:val="2"/>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cs="Arial"/>
                <w:b/>
                <w:sz w:val="20"/>
              </w:rPr>
            </w:pPr>
            <w:r w:rsidRPr="000A0484">
              <w:rPr>
                <w:rFonts w:ascii="Arial Narrow" w:hAnsi="Arial Narrow" w:cs="Arial"/>
                <w:b/>
                <w:sz w:val="20"/>
              </w:rPr>
              <w:t>Restriction:</w:t>
            </w:r>
          </w:p>
          <w:p w:rsidR="00076CEF" w:rsidRPr="000A0484" w:rsidRDefault="00076CEF" w:rsidP="009632E0">
            <w:pPr>
              <w:rPr>
                <w:rFonts w:ascii="Arial Narrow" w:hAnsi="Arial Narrow" w:cs="Arial"/>
                <w:sz w:val="20"/>
              </w:rPr>
            </w:pPr>
          </w:p>
        </w:tc>
        <w:tc>
          <w:tcPr>
            <w:tcW w:w="3189" w:type="pct"/>
            <w:gridSpan w:val="4"/>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cs="Arial"/>
                <w:sz w:val="20"/>
              </w:rPr>
            </w:pPr>
            <w:r w:rsidRPr="008B3623">
              <w:rPr>
                <w:rFonts w:ascii="Arial Narrow" w:hAnsi="Arial Narrow" w:cs="Arial"/>
                <w:sz w:val="20"/>
              </w:rPr>
              <w:fldChar w:fldCharType="begin">
                <w:ffData>
                  <w:name w:val="Check1"/>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8B3623">
              <w:rPr>
                <w:rFonts w:ascii="Arial Narrow" w:hAnsi="Arial Narrow" w:cs="Arial"/>
                <w:sz w:val="20"/>
              </w:rPr>
              <w:fldChar w:fldCharType="end"/>
            </w:r>
            <w:r w:rsidRPr="000A0484">
              <w:rPr>
                <w:rFonts w:ascii="Arial Narrow" w:hAnsi="Arial Narrow" w:cs="Arial"/>
                <w:sz w:val="20"/>
              </w:rPr>
              <w:t>Restricted benefit</w:t>
            </w:r>
          </w:p>
          <w:p w:rsidR="00076CEF" w:rsidRPr="000A0484" w:rsidRDefault="00076CEF" w:rsidP="009632E0">
            <w:pPr>
              <w:rPr>
                <w:rFonts w:ascii="Arial Narrow" w:hAnsi="Arial Narrow" w:cs="Arial"/>
                <w:sz w:val="20"/>
              </w:rPr>
            </w:pPr>
            <w:r w:rsidRPr="008B3623">
              <w:rPr>
                <w:rFonts w:ascii="Arial Narrow" w:hAnsi="Arial Narrow" w:cs="Arial"/>
                <w:sz w:val="20"/>
              </w:rPr>
              <w:fldChar w:fldCharType="begin">
                <w:ffData>
                  <w:name w:val=""/>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8B3623">
              <w:rPr>
                <w:rFonts w:ascii="Arial Narrow" w:hAnsi="Arial Narrow" w:cs="Arial"/>
                <w:sz w:val="20"/>
              </w:rPr>
              <w:fldChar w:fldCharType="end"/>
            </w:r>
            <w:r w:rsidRPr="000A0484">
              <w:rPr>
                <w:rFonts w:ascii="Arial Narrow" w:hAnsi="Arial Narrow" w:cs="Arial"/>
                <w:sz w:val="20"/>
              </w:rPr>
              <w:t>Authority Required - In Writing</w:t>
            </w:r>
          </w:p>
          <w:p w:rsidR="00076CEF" w:rsidRPr="000A0484" w:rsidRDefault="00076CEF" w:rsidP="009632E0">
            <w:pPr>
              <w:rPr>
                <w:rFonts w:ascii="Arial Narrow" w:hAnsi="Arial Narrow" w:cs="Arial"/>
                <w:sz w:val="20"/>
              </w:rPr>
            </w:pPr>
            <w:r w:rsidRPr="008B3623">
              <w:rPr>
                <w:rFonts w:ascii="Arial Narrow" w:hAnsi="Arial Narrow" w:cs="Arial"/>
                <w:sz w:val="20"/>
              </w:rPr>
              <w:fldChar w:fldCharType="begin">
                <w:ffData>
                  <w:name w:val="Check3"/>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8B3623">
              <w:rPr>
                <w:rFonts w:ascii="Arial Narrow" w:hAnsi="Arial Narrow" w:cs="Arial"/>
                <w:sz w:val="20"/>
              </w:rPr>
              <w:fldChar w:fldCharType="end"/>
            </w:r>
            <w:r w:rsidRPr="000A0484">
              <w:rPr>
                <w:rFonts w:ascii="Arial Narrow" w:hAnsi="Arial Narrow" w:cs="Arial"/>
                <w:sz w:val="20"/>
              </w:rPr>
              <w:t>Authority Required - Telephone</w:t>
            </w:r>
          </w:p>
          <w:p w:rsidR="00076CEF" w:rsidRPr="000A0484" w:rsidRDefault="00076CEF" w:rsidP="009632E0">
            <w:pPr>
              <w:rPr>
                <w:rFonts w:ascii="Arial Narrow" w:hAnsi="Arial Narrow" w:cs="Arial"/>
                <w:sz w:val="20"/>
              </w:rPr>
            </w:pPr>
            <w:r w:rsidRPr="008B3623">
              <w:rPr>
                <w:rFonts w:ascii="Arial Narrow" w:hAnsi="Arial Narrow" w:cs="Arial"/>
                <w:sz w:val="20"/>
              </w:rPr>
              <w:fldChar w:fldCharType="begin">
                <w:ffData>
                  <w:name w:val=""/>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8B3623">
              <w:rPr>
                <w:rFonts w:ascii="Arial Narrow" w:hAnsi="Arial Narrow" w:cs="Arial"/>
                <w:sz w:val="20"/>
              </w:rPr>
              <w:fldChar w:fldCharType="end"/>
            </w:r>
            <w:r w:rsidRPr="000A0484">
              <w:rPr>
                <w:rFonts w:ascii="Arial Narrow" w:hAnsi="Arial Narrow" w:cs="Arial"/>
                <w:sz w:val="20"/>
              </w:rPr>
              <w:t>Authority Required – Emergency</w:t>
            </w:r>
          </w:p>
          <w:p w:rsidR="00076CEF" w:rsidRPr="000A0484" w:rsidRDefault="00076CEF" w:rsidP="009632E0">
            <w:pPr>
              <w:rPr>
                <w:rFonts w:ascii="Arial Narrow" w:hAnsi="Arial Narrow" w:cs="Arial"/>
                <w:sz w:val="20"/>
              </w:rPr>
            </w:pPr>
            <w:r w:rsidRPr="008B3623">
              <w:rPr>
                <w:rFonts w:ascii="Arial Narrow" w:hAnsi="Arial Narrow" w:cs="Arial"/>
                <w:sz w:val="20"/>
              </w:rPr>
              <w:fldChar w:fldCharType="begin">
                <w:ffData>
                  <w:name w:val="Check5"/>
                  <w:enabled/>
                  <w:calcOnExit w:val="0"/>
                  <w:checkBox>
                    <w:sizeAuto/>
                    <w:default w:val="0"/>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8B3623">
              <w:rPr>
                <w:rFonts w:ascii="Arial Narrow" w:hAnsi="Arial Narrow" w:cs="Arial"/>
                <w:sz w:val="20"/>
              </w:rPr>
              <w:fldChar w:fldCharType="end"/>
            </w:r>
            <w:r w:rsidRPr="000A0484">
              <w:rPr>
                <w:rFonts w:ascii="Arial Narrow" w:hAnsi="Arial Narrow" w:cs="Arial"/>
                <w:sz w:val="20"/>
              </w:rPr>
              <w:t>Authority Required - Electronic</w:t>
            </w:r>
          </w:p>
          <w:p w:rsidR="00076CEF" w:rsidRPr="000A0484" w:rsidRDefault="00076CEF" w:rsidP="009632E0">
            <w:pPr>
              <w:rPr>
                <w:rFonts w:ascii="Arial Narrow" w:hAnsi="Arial Narrow"/>
                <w:sz w:val="20"/>
              </w:rPr>
            </w:pPr>
            <w:r w:rsidRPr="008B3623">
              <w:rPr>
                <w:rFonts w:ascii="Arial Narrow" w:hAnsi="Arial Narrow" w:cs="Arial"/>
                <w:sz w:val="20"/>
              </w:rPr>
              <w:fldChar w:fldCharType="begin">
                <w:ffData>
                  <w:name w:val="Check5"/>
                  <w:enabled/>
                  <w:calcOnExit w:val="0"/>
                  <w:checkBox>
                    <w:sizeAuto/>
                    <w:default w:val="1"/>
                  </w:checkBox>
                </w:ffData>
              </w:fldChar>
            </w:r>
            <w:r w:rsidRPr="000A0484">
              <w:rPr>
                <w:rFonts w:ascii="Arial Narrow" w:hAnsi="Arial Narrow" w:cs="Arial"/>
                <w:sz w:val="20"/>
              </w:rPr>
              <w:instrText xml:space="preserve"> FORMCHECKBOX </w:instrText>
            </w:r>
            <w:r w:rsidR="001C3A81">
              <w:rPr>
                <w:rFonts w:ascii="Arial Narrow" w:hAnsi="Arial Narrow" w:cs="Arial"/>
                <w:sz w:val="20"/>
              </w:rPr>
            </w:r>
            <w:r w:rsidR="001C3A81">
              <w:rPr>
                <w:rFonts w:ascii="Arial Narrow" w:hAnsi="Arial Narrow" w:cs="Arial"/>
                <w:sz w:val="20"/>
              </w:rPr>
              <w:fldChar w:fldCharType="separate"/>
            </w:r>
            <w:r w:rsidRPr="008B3623">
              <w:rPr>
                <w:rFonts w:ascii="Arial Narrow" w:hAnsi="Arial Narrow" w:cs="Arial"/>
                <w:sz w:val="20"/>
              </w:rPr>
              <w:fldChar w:fldCharType="end"/>
            </w:r>
            <w:r w:rsidRPr="000A0484">
              <w:rPr>
                <w:rFonts w:ascii="Arial Narrow" w:hAnsi="Arial Narrow" w:cs="Arial"/>
                <w:sz w:val="20"/>
              </w:rPr>
              <w:t>Streamlined</w:t>
            </w:r>
          </w:p>
        </w:tc>
      </w:tr>
      <w:tr w:rsidR="00076CEF" w:rsidRPr="000A0484" w:rsidTr="00076CEF">
        <w:trPr>
          <w:cantSplit/>
        </w:trPr>
        <w:tc>
          <w:tcPr>
            <w:tcW w:w="1811" w:type="pct"/>
            <w:gridSpan w:val="2"/>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cs="Arial"/>
                <w:b/>
                <w:sz w:val="20"/>
              </w:rPr>
            </w:pPr>
            <w:r w:rsidRPr="000A0484">
              <w:rPr>
                <w:rFonts w:ascii="Arial Narrow" w:hAnsi="Arial Narrow" w:cs="Arial"/>
                <w:b/>
                <w:sz w:val="20"/>
              </w:rPr>
              <w:t>Clinical criteria:</w:t>
            </w:r>
          </w:p>
          <w:p w:rsidR="00076CEF" w:rsidRPr="000A0484" w:rsidRDefault="00076CEF" w:rsidP="009632E0">
            <w:pPr>
              <w:rPr>
                <w:rFonts w:ascii="Arial Narrow" w:hAnsi="Arial Narrow" w:cs="Arial"/>
                <w:i/>
                <w:sz w:val="20"/>
              </w:rPr>
            </w:pPr>
          </w:p>
          <w:p w:rsidR="00076CEF" w:rsidRPr="000A0484" w:rsidRDefault="00076CEF" w:rsidP="009632E0">
            <w:pPr>
              <w:rPr>
                <w:rFonts w:ascii="Arial Narrow" w:hAnsi="Arial Narrow" w:cs="Arial"/>
                <w:sz w:val="20"/>
              </w:rPr>
            </w:pPr>
          </w:p>
        </w:tc>
        <w:tc>
          <w:tcPr>
            <w:tcW w:w="3189" w:type="pct"/>
            <w:gridSpan w:val="4"/>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contextualSpacing/>
              <w:rPr>
                <w:rFonts w:ascii="Arial Narrow" w:hAnsi="Arial Narrow" w:cs="Arial"/>
                <w:sz w:val="20"/>
              </w:rPr>
            </w:pPr>
            <w:r w:rsidRPr="000A0484">
              <w:rPr>
                <w:rFonts w:ascii="Arial Narrow" w:hAnsi="Arial Narrow" w:cs="Arial"/>
                <w:sz w:val="20"/>
              </w:rPr>
              <w:t xml:space="preserve">The condition must affect the ileum, </w:t>
            </w:r>
          </w:p>
          <w:p w:rsidR="00076CEF" w:rsidRPr="000A0484" w:rsidRDefault="00076CEF" w:rsidP="009632E0">
            <w:pPr>
              <w:contextualSpacing/>
              <w:rPr>
                <w:rFonts w:ascii="Arial Narrow" w:hAnsi="Arial Narrow" w:cs="Arial"/>
                <w:sz w:val="20"/>
              </w:rPr>
            </w:pPr>
            <w:r w:rsidRPr="000A0484">
              <w:rPr>
                <w:rFonts w:ascii="Arial Narrow" w:hAnsi="Arial Narrow" w:cs="Arial"/>
                <w:sz w:val="20"/>
              </w:rPr>
              <w:t>OR</w:t>
            </w:r>
          </w:p>
          <w:p w:rsidR="00076CEF" w:rsidRPr="000A0484" w:rsidRDefault="00076CEF" w:rsidP="009632E0">
            <w:pPr>
              <w:contextualSpacing/>
              <w:rPr>
                <w:rFonts w:ascii="Arial Narrow" w:hAnsi="Arial Narrow" w:cs="Arial"/>
                <w:sz w:val="20"/>
              </w:rPr>
            </w:pPr>
            <w:r w:rsidRPr="000A0484">
              <w:rPr>
                <w:rFonts w:ascii="Arial Narrow" w:hAnsi="Arial Narrow" w:cs="Arial"/>
                <w:sz w:val="20"/>
              </w:rPr>
              <w:t>The condition must affect the ascending colon,</w:t>
            </w:r>
          </w:p>
          <w:p w:rsidR="00076CEF" w:rsidRPr="000A0484" w:rsidRDefault="00076CEF" w:rsidP="009632E0">
            <w:pPr>
              <w:rPr>
                <w:rFonts w:ascii="Arial Narrow" w:hAnsi="Arial Narrow" w:cs="Arial"/>
                <w:sz w:val="20"/>
              </w:rPr>
            </w:pPr>
            <w:r w:rsidRPr="000A0484">
              <w:rPr>
                <w:rFonts w:ascii="Arial Narrow" w:hAnsi="Arial Narrow" w:cs="Arial"/>
                <w:sz w:val="20"/>
              </w:rPr>
              <w:t>OR</w:t>
            </w:r>
          </w:p>
          <w:p w:rsidR="00076CEF" w:rsidRPr="000A0484" w:rsidRDefault="00076CEF" w:rsidP="009632E0">
            <w:pPr>
              <w:rPr>
                <w:rFonts w:ascii="Arial Narrow" w:hAnsi="Arial Narrow" w:cs="Arial"/>
                <w:sz w:val="20"/>
              </w:rPr>
            </w:pPr>
            <w:r w:rsidRPr="000A0484">
              <w:rPr>
                <w:rFonts w:ascii="Arial Narrow" w:hAnsi="Arial Narrow" w:cs="Arial"/>
                <w:sz w:val="20"/>
              </w:rPr>
              <w:t>The condition must affect the ileum and ascending colon.</w:t>
            </w:r>
          </w:p>
        </w:tc>
      </w:tr>
      <w:tr w:rsidR="00076CEF" w:rsidRPr="000A0484" w:rsidTr="00076CEF">
        <w:trPr>
          <w:cantSplit/>
        </w:trPr>
        <w:tc>
          <w:tcPr>
            <w:tcW w:w="1811" w:type="pct"/>
            <w:gridSpan w:val="2"/>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cs="Arial"/>
                <w:b/>
                <w:sz w:val="20"/>
              </w:rPr>
            </w:pPr>
            <w:r w:rsidRPr="000A0484">
              <w:rPr>
                <w:rFonts w:ascii="Arial Narrow" w:hAnsi="Arial Narrow" w:cs="Arial"/>
                <w:b/>
                <w:sz w:val="20"/>
              </w:rPr>
              <w:t>Prescriber Instructions</w:t>
            </w:r>
          </w:p>
          <w:p w:rsidR="00076CEF" w:rsidRPr="000A0484" w:rsidRDefault="00076CEF" w:rsidP="009632E0">
            <w:pPr>
              <w:rPr>
                <w:rFonts w:ascii="Arial Narrow" w:hAnsi="Arial Narrow" w:cs="Arial"/>
                <w:sz w:val="20"/>
              </w:rPr>
            </w:pPr>
          </w:p>
        </w:tc>
        <w:tc>
          <w:tcPr>
            <w:tcW w:w="3189" w:type="pct"/>
            <w:gridSpan w:val="4"/>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contextualSpacing/>
              <w:rPr>
                <w:rFonts w:ascii="Arial Narrow" w:hAnsi="Arial Narrow" w:cs="Arial"/>
                <w:sz w:val="20"/>
              </w:rPr>
            </w:pPr>
            <w:r w:rsidRPr="000A0484">
              <w:rPr>
                <w:rFonts w:ascii="Arial Narrow" w:hAnsi="Arial Narrow" w:cs="Arial"/>
                <w:sz w:val="20"/>
              </w:rPr>
              <w:t xml:space="preserve">The total duration of therapy should be no more than 12 weeks in any single course. </w:t>
            </w:r>
          </w:p>
        </w:tc>
      </w:tr>
      <w:tr w:rsidR="00076CEF" w:rsidRPr="000A0484" w:rsidTr="00076CEF">
        <w:trPr>
          <w:cantSplit/>
        </w:trPr>
        <w:tc>
          <w:tcPr>
            <w:tcW w:w="1811" w:type="pct"/>
            <w:gridSpan w:val="2"/>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cs="Arial"/>
                <w:b/>
                <w:sz w:val="20"/>
              </w:rPr>
            </w:pPr>
            <w:r w:rsidRPr="000A0484">
              <w:rPr>
                <w:rFonts w:ascii="Arial Narrow" w:hAnsi="Arial Narrow" w:cs="Arial"/>
                <w:b/>
                <w:sz w:val="20"/>
              </w:rPr>
              <w:t>Administrative Advice</w:t>
            </w:r>
          </w:p>
        </w:tc>
        <w:tc>
          <w:tcPr>
            <w:tcW w:w="3189" w:type="pct"/>
            <w:gridSpan w:val="4"/>
            <w:tcBorders>
              <w:top w:val="single" w:sz="4" w:space="0" w:color="auto"/>
              <w:left w:val="single" w:sz="4" w:space="0" w:color="auto"/>
              <w:bottom w:val="single" w:sz="4" w:space="0" w:color="auto"/>
              <w:right w:val="single" w:sz="4" w:space="0" w:color="auto"/>
            </w:tcBorders>
            <w:vAlign w:val="center"/>
          </w:tcPr>
          <w:p w:rsidR="00076CEF" w:rsidRPr="000A0484" w:rsidRDefault="00076CEF" w:rsidP="009632E0">
            <w:pPr>
              <w:rPr>
                <w:rFonts w:ascii="Arial Narrow" w:hAnsi="Arial Narrow" w:cs="Arial"/>
                <w:sz w:val="20"/>
              </w:rPr>
            </w:pPr>
            <w:r w:rsidRPr="000A0484">
              <w:rPr>
                <w:rFonts w:ascii="Arial Narrow" w:hAnsi="Arial Narrow" w:cs="Arial"/>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3976D3" w:rsidRPr="008B3623" w:rsidRDefault="003976D3" w:rsidP="003976D3">
      <w:pPr>
        <w:pStyle w:val="NoSpacing"/>
      </w:pPr>
    </w:p>
    <w:p w:rsidR="00CD10E2" w:rsidRDefault="00CD10E2" w:rsidP="00CD10E2">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Context for Decision</w:t>
      </w:r>
    </w:p>
    <w:p w:rsidR="003976D3" w:rsidRPr="00CC5D24" w:rsidRDefault="00CD10E2" w:rsidP="00CC5D24">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90CBF" w:rsidRDefault="00D90CBF" w:rsidP="00D90CB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Sponsor’s Comment</w:t>
      </w:r>
    </w:p>
    <w:p w:rsidR="00A00660" w:rsidRPr="000A0484" w:rsidRDefault="000729CC" w:rsidP="00CC5D24">
      <w:pPr>
        <w:pStyle w:val="BodyText2"/>
        <w:rPr>
          <w:rFonts w:asciiTheme="minorHAnsi" w:hAnsiTheme="minorHAnsi"/>
          <w:sz w:val="22"/>
          <w:szCs w:val="22"/>
        </w:rPr>
      </w:pPr>
      <w:r w:rsidRPr="00CC5D24">
        <w:rPr>
          <w:rFonts w:asciiTheme="minorHAnsi" w:hAnsiTheme="minorHAnsi" w:cs="Arial"/>
          <w:snapToGrid/>
          <w:sz w:val="24"/>
          <w:szCs w:val="24"/>
        </w:rPr>
        <w:t xml:space="preserve">Emerge Health provided evidence from the BEACH survey showing the use of prednisolone and </w:t>
      </w:r>
      <w:proofErr w:type="spellStart"/>
      <w:r w:rsidRPr="00CC5D24">
        <w:rPr>
          <w:rFonts w:asciiTheme="minorHAnsi" w:hAnsiTheme="minorHAnsi" w:cs="Arial"/>
          <w:snapToGrid/>
          <w:sz w:val="24"/>
          <w:szCs w:val="24"/>
        </w:rPr>
        <w:t>mesalazine</w:t>
      </w:r>
      <w:proofErr w:type="spellEnd"/>
      <w:r w:rsidRPr="00CC5D24">
        <w:rPr>
          <w:rFonts w:asciiTheme="minorHAnsi" w:hAnsiTheme="minorHAnsi" w:cs="Arial"/>
          <w:snapToGrid/>
          <w:sz w:val="24"/>
          <w:szCs w:val="24"/>
        </w:rPr>
        <w:t xml:space="preserve"> in Crohn’s disease and is prepared to list at prices based on this split. The PBAC assumed an alternate, very different, split which indicated a price more than 50% below the lowest price for </w:t>
      </w:r>
      <w:proofErr w:type="spellStart"/>
      <w:r w:rsidRPr="00CC5D24">
        <w:rPr>
          <w:rFonts w:asciiTheme="minorHAnsi" w:hAnsiTheme="minorHAnsi" w:cs="Arial"/>
          <w:snapToGrid/>
          <w:sz w:val="24"/>
          <w:szCs w:val="24"/>
        </w:rPr>
        <w:t>Entocort</w:t>
      </w:r>
      <w:proofErr w:type="spellEnd"/>
      <w:r w:rsidRPr="00CC5D24">
        <w:rPr>
          <w:rFonts w:asciiTheme="minorHAnsi" w:hAnsiTheme="minorHAnsi" w:cs="Arial"/>
          <w:snapToGrid/>
          <w:sz w:val="24"/>
          <w:szCs w:val="24"/>
        </w:rPr>
        <w:t xml:space="preserve"> internationally. This assumed split was generated by the PBAC Committee. Emerge Health is unable to supply </w:t>
      </w:r>
      <w:proofErr w:type="spellStart"/>
      <w:r w:rsidRPr="00CC5D24">
        <w:rPr>
          <w:rFonts w:asciiTheme="minorHAnsi" w:hAnsiTheme="minorHAnsi" w:cs="Arial"/>
          <w:snapToGrid/>
          <w:sz w:val="24"/>
          <w:szCs w:val="24"/>
        </w:rPr>
        <w:t>Entocort</w:t>
      </w:r>
      <w:proofErr w:type="spellEnd"/>
      <w:r w:rsidRPr="00CC5D24">
        <w:rPr>
          <w:rFonts w:asciiTheme="minorHAnsi" w:hAnsiTheme="minorHAnsi" w:cs="Arial"/>
          <w:snapToGrid/>
          <w:sz w:val="24"/>
          <w:szCs w:val="24"/>
        </w:rPr>
        <w:t xml:space="preserve"> at this far reduced price. Emerge Health is considering options for an additional submission.</w:t>
      </w:r>
    </w:p>
    <w:sectPr w:rsidR="00A00660" w:rsidRPr="000A0484" w:rsidSect="005C57E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42F" w:rsidRDefault="0086342F">
      <w:r>
        <w:separator/>
      </w:r>
    </w:p>
    <w:p w:rsidR="0086342F" w:rsidRDefault="0086342F"/>
  </w:endnote>
  <w:endnote w:type="continuationSeparator" w:id="0">
    <w:p w:rsidR="0086342F" w:rsidRDefault="0086342F">
      <w:r>
        <w:continuationSeparator/>
      </w:r>
    </w:p>
    <w:p w:rsidR="0086342F" w:rsidRDefault="00863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dvPED1282">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A5079" w:rsidTr="005A3173">
      <w:trPr>
        <w:trHeight w:val="151"/>
      </w:trPr>
      <w:tc>
        <w:tcPr>
          <w:tcW w:w="2250" w:type="pct"/>
          <w:tcBorders>
            <w:top w:val="nil"/>
            <w:left w:val="nil"/>
            <w:bottom w:val="single" w:sz="4" w:space="0" w:color="4F81BD"/>
            <w:right w:val="nil"/>
          </w:tcBorders>
        </w:tcPr>
        <w:p w:rsidR="004A5079" w:rsidRPr="005A3173" w:rsidRDefault="004A507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A5079" w:rsidRPr="005A3173" w:rsidRDefault="004A507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A5079" w:rsidRPr="005A3173" w:rsidRDefault="004A5079" w:rsidP="005A3173">
          <w:pPr>
            <w:pStyle w:val="Header"/>
            <w:spacing w:line="276" w:lineRule="auto"/>
            <w:rPr>
              <w:rFonts w:ascii="Calibri" w:eastAsia="MS Gothic" w:hAnsi="Calibri"/>
              <w:b/>
              <w:bCs/>
              <w:color w:val="4F81BD"/>
            </w:rPr>
          </w:pPr>
        </w:p>
      </w:tc>
    </w:tr>
    <w:tr w:rsidR="004A5079" w:rsidTr="005A3173">
      <w:trPr>
        <w:trHeight w:val="150"/>
      </w:trPr>
      <w:tc>
        <w:tcPr>
          <w:tcW w:w="2250" w:type="pct"/>
          <w:tcBorders>
            <w:top w:val="single" w:sz="4" w:space="0" w:color="4F81BD"/>
            <w:left w:val="nil"/>
            <w:bottom w:val="nil"/>
            <w:right w:val="nil"/>
          </w:tcBorders>
        </w:tcPr>
        <w:p w:rsidR="004A5079" w:rsidRPr="005A3173" w:rsidRDefault="004A5079" w:rsidP="005A3173">
          <w:pPr>
            <w:pStyle w:val="Header"/>
            <w:spacing w:line="276" w:lineRule="auto"/>
            <w:rPr>
              <w:rFonts w:ascii="Calibri" w:eastAsia="MS Gothic" w:hAnsi="Calibri"/>
              <w:b/>
              <w:bCs/>
              <w:color w:val="4F81BD"/>
            </w:rPr>
          </w:pPr>
        </w:p>
      </w:tc>
      <w:tc>
        <w:tcPr>
          <w:tcW w:w="0" w:type="auto"/>
          <w:vMerge/>
          <w:vAlign w:val="center"/>
          <w:hideMark/>
        </w:tcPr>
        <w:p w:rsidR="004A5079" w:rsidRPr="005A3173" w:rsidRDefault="004A5079" w:rsidP="005A3173">
          <w:pPr>
            <w:rPr>
              <w:rFonts w:ascii="Calibri" w:hAnsi="Calibri"/>
              <w:color w:val="365F91"/>
              <w:sz w:val="22"/>
              <w:szCs w:val="22"/>
            </w:rPr>
          </w:pPr>
        </w:p>
      </w:tc>
      <w:tc>
        <w:tcPr>
          <w:tcW w:w="2250" w:type="pct"/>
          <w:tcBorders>
            <w:top w:val="single" w:sz="4" w:space="0" w:color="4F81BD"/>
            <w:left w:val="nil"/>
            <w:bottom w:val="nil"/>
            <w:right w:val="nil"/>
          </w:tcBorders>
        </w:tcPr>
        <w:p w:rsidR="004A5079" w:rsidRPr="005A3173" w:rsidRDefault="004A5079" w:rsidP="005A3173">
          <w:pPr>
            <w:pStyle w:val="Header"/>
            <w:spacing w:line="276" w:lineRule="auto"/>
            <w:rPr>
              <w:rFonts w:ascii="Calibri" w:eastAsia="MS Gothic" w:hAnsi="Calibri"/>
              <w:b/>
              <w:bCs/>
              <w:color w:val="4F81BD"/>
            </w:rPr>
          </w:pPr>
        </w:p>
      </w:tc>
    </w:tr>
  </w:tbl>
  <w:p w:rsidR="004A5079" w:rsidRDefault="004A507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5079" w:rsidRDefault="004A5079">
    <w:pPr>
      <w:pStyle w:val="Footer"/>
    </w:pPr>
  </w:p>
  <w:p w:rsidR="004A5079" w:rsidRDefault="004A50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352562"/>
      <w:docPartObj>
        <w:docPartGallery w:val="Page Numbers (Bottom of Page)"/>
        <w:docPartUnique/>
      </w:docPartObj>
    </w:sdtPr>
    <w:sdtEndPr>
      <w:rPr>
        <w:rFonts w:asciiTheme="minorHAnsi" w:hAnsiTheme="minorHAnsi"/>
        <w:noProof/>
      </w:rPr>
    </w:sdtEndPr>
    <w:sdtContent>
      <w:p w:rsidR="004A5079" w:rsidRPr="00EE4327" w:rsidRDefault="004A5079">
        <w:pPr>
          <w:pStyle w:val="Footer"/>
          <w:jc w:val="center"/>
          <w:rPr>
            <w:rFonts w:asciiTheme="minorHAnsi" w:hAnsiTheme="minorHAnsi"/>
          </w:rPr>
        </w:pPr>
        <w:r w:rsidRPr="00EE4327">
          <w:rPr>
            <w:rFonts w:asciiTheme="minorHAnsi" w:hAnsiTheme="minorHAnsi"/>
          </w:rPr>
          <w:fldChar w:fldCharType="begin"/>
        </w:r>
        <w:r w:rsidRPr="00EE4327">
          <w:rPr>
            <w:rFonts w:asciiTheme="minorHAnsi" w:hAnsiTheme="minorHAnsi"/>
          </w:rPr>
          <w:instrText xml:space="preserve"> PAGE   \* MERGEFORMAT </w:instrText>
        </w:r>
        <w:r w:rsidRPr="00EE4327">
          <w:rPr>
            <w:rFonts w:asciiTheme="minorHAnsi" w:hAnsiTheme="minorHAnsi"/>
          </w:rPr>
          <w:fldChar w:fldCharType="separate"/>
        </w:r>
        <w:r w:rsidR="001C3A81">
          <w:rPr>
            <w:rFonts w:asciiTheme="minorHAnsi" w:hAnsiTheme="minorHAnsi"/>
            <w:noProof/>
          </w:rPr>
          <w:t>16</w:t>
        </w:r>
        <w:r w:rsidRPr="00EE4327">
          <w:rPr>
            <w:rFonts w:asciiTheme="minorHAnsi" w:hAnsiTheme="minorHAnsi"/>
            <w:noProof/>
          </w:rPr>
          <w:fldChar w:fldCharType="end"/>
        </w:r>
      </w:p>
    </w:sdtContent>
  </w:sdt>
  <w:p w:rsidR="004A5079" w:rsidRPr="005E1333" w:rsidRDefault="004A5079"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A5079" w:rsidTr="005A3173">
      <w:trPr>
        <w:trHeight w:val="151"/>
      </w:trPr>
      <w:tc>
        <w:tcPr>
          <w:tcW w:w="2250" w:type="pct"/>
          <w:tcBorders>
            <w:top w:val="nil"/>
            <w:left w:val="nil"/>
            <w:bottom w:val="single" w:sz="4" w:space="0" w:color="4F81BD"/>
            <w:right w:val="nil"/>
          </w:tcBorders>
        </w:tcPr>
        <w:p w:rsidR="004A5079" w:rsidRPr="005A3173" w:rsidRDefault="004A507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A5079" w:rsidRPr="005A3173" w:rsidRDefault="004A507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A5079" w:rsidRPr="005A3173" w:rsidRDefault="004A5079" w:rsidP="005A3173">
          <w:pPr>
            <w:pStyle w:val="Header"/>
            <w:spacing w:line="276" w:lineRule="auto"/>
            <w:rPr>
              <w:rFonts w:ascii="Calibri" w:eastAsia="MS Gothic" w:hAnsi="Calibri"/>
              <w:b/>
              <w:bCs/>
              <w:color w:val="4F81BD"/>
            </w:rPr>
          </w:pPr>
        </w:p>
      </w:tc>
    </w:tr>
    <w:tr w:rsidR="004A5079" w:rsidTr="005A3173">
      <w:trPr>
        <w:trHeight w:val="150"/>
      </w:trPr>
      <w:tc>
        <w:tcPr>
          <w:tcW w:w="2250" w:type="pct"/>
          <w:tcBorders>
            <w:top w:val="single" w:sz="4" w:space="0" w:color="4F81BD"/>
            <w:left w:val="nil"/>
            <w:bottom w:val="nil"/>
            <w:right w:val="nil"/>
          </w:tcBorders>
        </w:tcPr>
        <w:p w:rsidR="004A5079" w:rsidRPr="005A3173" w:rsidRDefault="004A5079" w:rsidP="005A3173">
          <w:pPr>
            <w:pStyle w:val="Header"/>
            <w:spacing w:line="276" w:lineRule="auto"/>
            <w:rPr>
              <w:rFonts w:ascii="Calibri" w:eastAsia="MS Gothic" w:hAnsi="Calibri"/>
              <w:b/>
              <w:bCs/>
              <w:color w:val="4F81BD"/>
            </w:rPr>
          </w:pPr>
        </w:p>
      </w:tc>
      <w:tc>
        <w:tcPr>
          <w:tcW w:w="0" w:type="auto"/>
          <w:vMerge/>
          <w:vAlign w:val="center"/>
          <w:hideMark/>
        </w:tcPr>
        <w:p w:rsidR="004A5079" w:rsidRPr="005A3173" w:rsidRDefault="004A5079" w:rsidP="005A3173">
          <w:pPr>
            <w:rPr>
              <w:rFonts w:ascii="Calibri" w:hAnsi="Calibri"/>
              <w:color w:val="365F91"/>
              <w:sz w:val="22"/>
              <w:szCs w:val="22"/>
            </w:rPr>
          </w:pPr>
        </w:p>
      </w:tc>
      <w:tc>
        <w:tcPr>
          <w:tcW w:w="2250" w:type="pct"/>
          <w:tcBorders>
            <w:top w:val="single" w:sz="4" w:space="0" w:color="4F81BD"/>
            <w:left w:val="nil"/>
            <w:bottom w:val="nil"/>
            <w:right w:val="nil"/>
          </w:tcBorders>
        </w:tcPr>
        <w:p w:rsidR="004A5079" w:rsidRPr="005A3173" w:rsidRDefault="004A507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A5079" w:rsidTr="005A3173">
      <w:trPr>
        <w:trHeight w:val="151"/>
      </w:trPr>
      <w:tc>
        <w:tcPr>
          <w:tcW w:w="2250" w:type="pct"/>
          <w:tcBorders>
            <w:top w:val="nil"/>
            <w:left w:val="nil"/>
            <w:bottom w:val="single" w:sz="4" w:space="0" w:color="4F81BD"/>
            <w:right w:val="nil"/>
          </w:tcBorders>
        </w:tcPr>
        <w:p w:rsidR="004A5079" w:rsidRPr="005A3173" w:rsidRDefault="004A507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A5079" w:rsidRPr="005A3173" w:rsidRDefault="004A507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A5079" w:rsidRPr="005A3173" w:rsidRDefault="004A5079" w:rsidP="005A3173">
          <w:pPr>
            <w:pStyle w:val="Header"/>
            <w:spacing w:line="276" w:lineRule="auto"/>
            <w:rPr>
              <w:rFonts w:ascii="Calibri" w:eastAsia="MS Gothic" w:hAnsi="Calibri"/>
              <w:b/>
              <w:bCs/>
              <w:color w:val="4F81BD"/>
            </w:rPr>
          </w:pPr>
        </w:p>
      </w:tc>
    </w:tr>
    <w:tr w:rsidR="004A5079" w:rsidTr="005A3173">
      <w:trPr>
        <w:trHeight w:val="150"/>
      </w:trPr>
      <w:tc>
        <w:tcPr>
          <w:tcW w:w="2250" w:type="pct"/>
          <w:tcBorders>
            <w:top w:val="single" w:sz="4" w:space="0" w:color="4F81BD"/>
            <w:left w:val="nil"/>
            <w:bottom w:val="nil"/>
            <w:right w:val="nil"/>
          </w:tcBorders>
        </w:tcPr>
        <w:p w:rsidR="004A5079" w:rsidRPr="005A3173" w:rsidRDefault="004A5079" w:rsidP="005A3173">
          <w:pPr>
            <w:pStyle w:val="Header"/>
            <w:spacing w:line="276" w:lineRule="auto"/>
            <w:rPr>
              <w:rFonts w:ascii="Calibri" w:eastAsia="MS Gothic" w:hAnsi="Calibri"/>
              <w:b/>
              <w:bCs/>
              <w:color w:val="4F81BD"/>
            </w:rPr>
          </w:pPr>
        </w:p>
      </w:tc>
      <w:tc>
        <w:tcPr>
          <w:tcW w:w="0" w:type="auto"/>
          <w:vMerge/>
          <w:vAlign w:val="center"/>
          <w:hideMark/>
        </w:tcPr>
        <w:p w:rsidR="004A5079" w:rsidRPr="005A3173" w:rsidRDefault="004A5079" w:rsidP="005A3173">
          <w:pPr>
            <w:rPr>
              <w:rFonts w:ascii="Calibri" w:hAnsi="Calibri"/>
              <w:color w:val="365F91"/>
              <w:sz w:val="22"/>
              <w:szCs w:val="22"/>
            </w:rPr>
          </w:pPr>
        </w:p>
      </w:tc>
      <w:tc>
        <w:tcPr>
          <w:tcW w:w="2250" w:type="pct"/>
          <w:tcBorders>
            <w:top w:val="single" w:sz="4" w:space="0" w:color="4F81BD"/>
            <w:left w:val="nil"/>
            <w:bottom w:val="nil"/>
            <w:right w:val="nil"/>
          </w:tcBorders>
        </w:tcPr>
        <w:p w:rsidR="004A5079" w:rsidRPr="005A3173" w:rsidRDefault="004A5079" w:rsidP="005A3173">
          <w:pPr>
            <w:pStyle w:val="Header"/>
            <w:spacing w:line="276" w:lineRule="auto"/>
            <w:rPr>
              <w:rFonts w:ascii="Calibri" w:eastAsia="MS Gothic" w:hAnsi="Calibri"/>
              <w:b/>
              <w:bCs/>
              <w:color w:val="4F81BD"/>
            </w:rPr>
          </w:pPr>
        </w:p>
      </w:tc>
    </w:tr>
  </w:tbl>
  <w:p w:rsidR="00CC5D24" w:rsidRDefault="004A5079" w:rsidP="007C0F57">
    <w:pPr>
      <w:pStyle w:val="Footer"/>
      <w:jc w:val="center"/>
      <w:rPr>
        <w:b/>
        <w:i/>
        <w:sz w:val="20"/>
        <w:szCs w:val="20"/>
      </w:rPr>
    </w:pPr>
    <w:r w:rsidRPr="007C0F57">
      <w:rPr>
        <w:b/>
        <w:i/>
        <w:sz w:val="20"/>
        <w:szCs w:val="20"/>
      </w:rPr>
      <w:t xml:space="preserve">Draft </w:t>
    </w:r>
    <w:r w:rsidR="00CC5D24">
      <w:rPr>
        <w:b/>
        <w:i/>
        <w:sz w:val="20"/>
        <w:szCs w:val="20"/>
      </w:rPr>
      <w:t>effective price</w:t>
    </w:r>
  </w:p>
  <w:p w:rsidR="004A5079" w:rsidRPr="007C0F57" w:rsidRDefault="004A5079" w:rsidP="007C0F57">
    <w:pPr>
      <w:pStyle w:val="Footer"/>
      <w:jc w:val="center"/>
      <w:rPr>
        <w:b/>
        <w:i/>
        <w:sz w:val="20"/>
        <w:szCs w:val="20"/>
      </w:rPr>
    </w:pPr>
    <w:proofErr w:type="gramStart"/>
    <w:r w:rsidRPr="007C0F57">
      <w:rPr>
        <w:b/>
        <w:i/>
        <w:sz w:val="20"/>
        <w:szCs w:val="20"/>
      </w:rPr>
      <w:t>s</w:t>
    </w:r>
    <w:proofErr w:type="gramEnd"/>
    <w:r w:rsidRPr="007C0F57">
      <w:rPr>
        <w:b/>
        <w:i/>
        <w:sz w:val="20"/>
        <w:szCs w:val="20"/>
      </w:rPr>
      <w:t xml:space="preserve">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A5079" w:rsidRPr="007C0F57" w:rsidRDefault="004A5079" w:rsidP="007C0F57">
    <w:pPr>
      <w:pStyle w:val="Footer"/>
      <w:jc w:val="center"/>
      <w:rPr>
        <w:b/>
        <w:i/>
        <w:sz w:val="20"/>
        <w:szCs w:val="20"/>
      </w:rPr>
    </w:pPr>
    <w:r w:rsidRPr="007C0F57">
      <w:rPr>
        <w:b/>
        <w:i/>
        <w:sz w:val="20"/>
        <w:szCs w:val="20"/>
      </w:rPr>
      <w:t>Commercial-in-Confidence</w:t>
    </w:r>
  </w:p>
  <w:p w:rsidR="004A5079" w:rsidRDefault="004A50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42F" w:rsidRDefault="0086342F">
      <w:r>
        <w:separator/>
      </w:r>
    </w:p>
    <w:p w:rsidR="0086342F" w:rsidRDefault="0086342F"/>
  </w:footnote>
  <w:footnote w:type="continuationSeparator" w:id="0">
    <w:p w:rsidR="0086342F" w:rsidRDefault="0086342F">
      <w:r>
        <w:continuationSeparator/>
      </w:r>
    </w:p>
    <w:p w:rsidR="0086342F" w:rsidRDefault="0086342F"/>
  </w:footnote>
  <w:footnote w:id="1">
    <w:p w:rsidR="004A5079" w:rsidRDefault="004A5079" w:rsidP="00065878">
      <w:pPr>
        <w:pStyle w:val="FootnoteText"/>
      </w:pPr>
      <w:r>
        <w:rPr>
          <w:rStyle w:val="FootnoteReference"/>
        </w:rPr>
        <w:footnoteRef/>
      </w:r>
      <w:r>
        <w:t xml:space="preserve"> </w:t>
      </w:r>
      <w:proofErr w:type="spellStart"/>
      <w:r w:rsidRPr="007509D1">
        <w:t>Mowat</w:t>
      </w:r>
      <w:proofErr w:type="spellEnd"/>
      <w:r w:rsidRPr="007509D1">
        <w:t xml:space="preserve"> C, Cole A, Windsor A, Ahmad T, Arnott I, Driscoll R, Mitton S, Orchard T, Rutter M, </w:t>
      </w:r>
      <w:proofErr w:type="spellStart"/>
      <w:r w:rsidRPr="007509D1">
        <w:t>Younge</w:t>
      </w:r>
      <w:proofErr w:type="spellEnd"/>
      <w:r w:rsidRPr="007509D1">
        <w:t xml:space="preserve"> L, Lees C, Ho GT, </w:t>
      </w:r>
      <w:proofErr w:type="spellStart"/>
      <w:r w:rsidRPr="007509D1">
        <w:t>Satsangi</w:t>
      </w:r>
      <w:proofErr w:type="spellEnd"/>
      <w:r w:rsidRPr="007509D1">
        <w:t xml:space="preserve"> J, Bloom S, IBD Section of the British Society of Gastroenterology</w:t>
      </w:r>
      <w:r>
        <w:t>, Guidelines for the management of inflammatory bowel disease in adults., Gut. 2011</w:t>
      </w:r>
      <w:proofErr w:type="gramStart"/>
      <w:r>
        <w:t>;60</w:t>
      </w:r>
      <w:proofErr w:type="gramEnd"/>
      <w:r>
        <w:t xml:space="preserve">(5):571. </w:t>
      </w:r>
    </w:p>
  </w:footnote>
  <w:footnote w:id="2">
    <w:p w:rsidR="004A5079" w:rsidRDefault="004A5079" w:rsidP="00065878">
      <w:pPr>
        <w:pStyle w:val="FootnoteText"/>
      </w:pPr>
      <w:r>
        <w:rPr>
          <w:rStyle w:val="FootnoteReference"/>
        </w:rPr>
        <w:footnoteRef/>
      </w:r>
      <w:r>
        <w:t xml:space="preserve"> </w:t>
      </w:r>
      <w:proofErr w:type="spellStart"/>
      <w:r w:rsidRPr="00710904">
        <w:t>Hanauer</w:t>
      </w:r>
      <w:proofErr w:type="spellEnd"/>
      <w:r w:rsidRPr="00710904">
        <w:t xml:space="preserve"> SB, </w:t>
      </w:r>
      <w:proofErr w:type="spellStart"/>
      <w:r w:rsidRPr="00710904">
        <w:t>Sandborn</w:t>
      </w:r>
      <w:proofErr w:type="spellEnd"/>
      <w:r w:rsidRPr="00710904">
        <w:t xml:space="preserve"> W, Practice Parameters Committee of the American College of Gastroenterology</w:t>
      </w:r>
      <w:r>
        <w:t>,</w:t>
      </w:r>
      <w:r w:rsidRPr="00710904">
        <w:t xml:space="preserve"> </w:t>
      </w:r>
      <w:r>
        <w:t xml:space="preserve">Management of Crohn's disease in adults. </w:t>
      </w:r>
      <w:proofErr w:type="gramStart"/>
      <w:r w:rsidRPr="00AD3BE1">
        <w:t xml:space="preserve">Am J </w:t>
      </w:r>
      <w:proofErr w:type="spellStart"/>
      <w:r w:rsidRPr="00AD3BE1">
        <w:t>Gastroenterol</w:t>
      </w:r>
      <w:proofErr w:type="spellEnd"/>
      <w:r w:rsidRPr="00AD3BE1">
        <w:t>.</w:t>
      </w:r>
      <w:proofErr w:type="gramEnd"/>
      <w:r w:rsidRPr="00AD3BE1">
        <w:t xml:space="preserve"> 2001</w:t>
      </w:r>
      <w:proofErr w:type="gramStart"/>
      <w:r w:rsidRPr="00AD3BE1">
        <w:t>;96</w:t>
      </w:r>
      <w:proofErr w:type="gramEnd"/>
      <w:r w:rsidRPr="00AD3BE1">
        <w:t>(3):635.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A5079" w:rsidRPr="008E0D90" w:rsidTr="00A06225">
      <w:trPr>
        <w:trHeight w:val="151"/>
      </w:trPr>
      <w:tc>
        <w:tcPr>
          <w:tcW w:w="2389" w:type="pct"/>
          <w:tcBorders>
            <w:top w:val="nil"/>
            <w:left w:val="nil"/>
            <w:bottom w:val="single" w:sz="4" w:space="0" w:color="4F81BD"/>
            <w:right w:val="nil"/>
          </w:tcBorders>
        </w:tcPr>
        <w:p w:rsidR="004A5079" w:rsidRPr="00A06225" w:rsidRDefault="004A5079">
          <w:pPr>
            <w:pStyle w:val="Header"/>
            <w:spacing w:line="276" w:lineRule="auto"/>
            <w:rPr>
              <w:rFonts w:ascii="Cambria" w:eastAsia="MS Gothic" w:hAnsi="Cambria"/>
              <w:b/>
              <w:bCs/>
              <w:color w:val="4F81BD"/>
            </w:rPr>
          </w:pPr>
        </w:p>
      </w:tc>
      <w:tc>
        <w:tcPr>
          <w:tcW w:w="333" w:type="pct"/>
          <w:vMerge w:val="restart"/>
          <w:noWrap/>
          <w:vAlign w:val="center"/>
          <w:hideMark/>
        </w:tcPr>
        <w:p w:rsidR="004A5079" w:rsidRPr="00A06225" w:rsidRDefault="004A507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A5079" w:rsidRPr="00A06225" w:rsidRDefault="004A5079">
          <w:pPr>
            <w:pStyle w:val="Header"/>
            <w:spacing w:line="276" w:lineRule="auto"/>
            <w:rPr>
              <w:rFonts w:ascii="Cambria" w:eastAsia="MS Gothic" w:hAnsi="Cambria"/>
              <w:b/>
              <w:bCs/>
              <w:color w:val="4F81BD"/>
            </w:rPr>
          </w:pPr>
        </w:p>
      </w:tc>
    </w:tr>
    <w:tr w:rsidR="004A5079" w:rsidRPr="008E0D90" w:rsidTr="00A06225">
      <w:trPr>
        <w:trHeight w:val="150"/>
      </w:trPr>
      <w:tc>
        <w:tcPr>
          <w:tcW w:w="2389" w:type="pct"/>
          <w:tcBorders>
            <w:top w:val="single" w:sz="4" w:space="0" w:color="4F81BD"/>
            <w:left w:val="nil"/>
            <w:bottom w:val="nil"/>
            <w:right w:val="nil"/>
          </w:tcBorders>
        </w:tcPr>
        <w:p w:rsidR="004A5079" w:rsidRPr="00A06225" w:rsidRDefault="004A5079">
          <w:pPr>
            <w:pStyle w:val="Header"/>
            <w:spacing w:line="276" w:lineRule="auto"/>
            <w:rPr>
              <w:rFonts w:ascii="Cambria" w:eastAsia="MS Gothic" w:hAnsi="Cambria"/>
              <w:b/>
              <w:bCs/>
              <w:color w:val="4F81BD"/>
            </w:rPr>
          </w:pPr>
        </w:p>
      </w:tc>
      <w:tc>
        <w:tcPr>
          <w:tcW w:w="0" w:type="auto"/>
          <w:vMerge/>
          <w:vAlign w:val="center"/>
          <w:hideMark/>
        </w:tcPr>
        <w:p w:rsidR="004A5079" w:rsidRPr="00A06225" w:rsidRDefault="004A5079">
          <w:pPr>
            <w:rPr>
              <w:rFonts w:ascii="Cambria" w:hAnsi="Cambria"/>
              <w:color w:val="4F81BD"/>
              <w:sz w:val="22"/>
              <w:szCs w:val="22"/>
            </w:rPr>
          </w:pPr>
        </w:p>
      </w:tc>
      <w:tc>
        <w:tcPr>
          <w:tcW w:w="2278" w:type="pct"/>
          <w:tcBorders>
            <w:top w:val="single" w:sz="4" w:space="0" w:color="4F81BD"/>
            <w:left w:val="nil"/>
            <w:bottom w:val="nil"/>
            <w:right w:val="nil"/>
          </w:tcBorders>
        </w:tcPr>
        <w:p w:rsidR="004A5079" w:rsidRPr="00A06225" w:rsidRDefault="004A5079">
          <w:pPr>
            <w:pStyle w:val="Header"/>
            <w:spacing w:line="276" w:lineRule="auto"/>
            <w:rPr>
              <w:rFonts w:ascii="Cambria" w:eastAsia="MS Gothic" w:hAnsi="Cambria"/>
              <w:b/>
              <w:bCs/>
              <w:color w:val="4F81BD"/>
            </w:rPr>
          </w:pPr>
        </w:p>
      </w:tc>
    </w:tr>
  </w:tbl>
  <w:p w:rsidR="004A5079" w:rsidRDefault="004A5079">
    <w:pPr>
      <w:pStyle w:val="Header"/>
    </w:pPr>
  </w:p>
  <w:p w:rsidR="004A5079" w:rsidRDefault="004A507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079" w:rsidRPr="004A5079" w:rsidRDefault="004A5079" w:rsidP="004A5079">
    <w:pPr>
      <w:tabs>
        <w:tab w:val="center" w:pos="4513"/>
        <w:tab w:val="right" w:pos="9026"/>
      </w:tabs>
      <w:jc w:val="center"/>
      <w:rPr>
        <w:rFonts w:asciiTheme="minorHAnsi" w:eastAsiaTheme="minorHAnsi" w:hAnsiTheme="minorHAnsi" w:cstheme="minorHAnsi"/>
        <w:i/>
        <w:color w:val="808080"/>
        <w:sz w:val="22"/>
        <w:szCs w:val="22"/>
        <w:lang w:eastAsia="en-US"/>
      </w:rPr>
    </w:pPr>
    <w:r w:rsidRPr="004A5079">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4A5079">
      <w:rPr>
        <w:rFonts w:asciiTheme="minorHAnsi" w:eastAsiaTheme="minorHAnsi" w:hAnsiTheme="minorHAnsi" w:cstheme="minorHAnsi"/>
        <w:i/>
        <w:color w:val="808080"/>
        <w:sz w:val="22"/>
        <w:szCs w:val="22"/>
        <w:lang w:eastAsia="en-US"/>
      </w:rPr>
      <w:t xml:space="preserve"> PBAC Meeting</w:t>
    </w:r>
  </w:p>
  <w:p w:rsidR="004A5079" w:rsidRPr="00EE4327" w:rsidRDefault="004A5079" w:rsidP="00EE4327">
    <w:pPr>
      <w:pStyle w:val="Header"/>
      <w:ind w:left="360"/>
      <w:jc w:val="center"/>
      <w:rPr>
        <w:rFonts w:asciiTheme="minorHAnsi" w:hAnsiTheme="minorHAnsi" w:cs="Arial"/>
        <w:i/>
        <w:color w:val="80808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2F" w:rsidRDefault="00863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34A321A"/>
    <w:multiLevelType w:val="hybridMultilevel"/>
    <w:tmpl w:val="883E5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073D18"/>
    <w:multiLevelType w:val="hybridMultilevel"/>
    <w:tmpl w:val="F52C39AE"/>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B776D20"/>
    <w:multiLevelType w:val="hybridMultilevel"/>
    <w:tmpl w:val="6206054C"/>
    <w:lvl w:ilvl="0" w:tplc="9D78AB28">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E6825"/>
    <w:multiLevelType w:val="multilevel"/>
    <w:tmpl w:val="9A7056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84D033C"/>
    <w:multiLevelType w:val="multilevel"/>
    <w:tmpl w:val="A5BA5A9A"/>
    <w:lvl w:ilvl="0">
      <w:start w:val="1"/>
      <w:numFmt w:val="decimal"/>
      <w:pStyle w:val="PBACHeading1"/>
      <w:lvlText w:val="%1"/>
      <w:lvlJc w:val="left"/>
      <w:pPr>
        <w:ind w:left="720" w:hanging="720"/>
      </w:pPr>
      <w:rPr>
        <w:rFonts w:hint="default"/>
        <w:b/>
        <w:sz w:val="32"/>
        <w:szCs w:val="32"/>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6"/>
  </w:num>
  <w:num w:numId="4">
    <w:abstractNumId w:val="18"/>
  </w:num>
  <w:num w:numId="5">
    <w:abstractNumId w:val="21"/>
  </w:num>
  <w:num w:numId="6">
    <w:abstractNumId w:val="8"/>
  </w:num>
  <w:num w:numId="7">
    <w:abstractNumId w:val="17"/>
  </w:num>
  <w:num w:numId="8">
    <w:abstractNumId w:val="4"/>
  </w:num>
  <w:num w:numId="9">
    <w:abstractNumId w:val="16"/>
  </w:num>
  <w:num w:numId="10">
    <w:abstractNumId w:val="15"/>
  </w:num>
  <w:num w:numId="11">
    <w:abstractNumId w:val="14"/>
  </w:num>
  <w:num w:numId="12">
    <w:abstractNumId w:val="1"/>
  </w:num>
  <w:num w:numId="13">
    <w:abstractNumId w:val="0"/>
  </w:num>
  <w:num w:numId="14">
    <w:abstractNumId w:val="21"/>
  </w:num>
  <w:num w:numId="15">
    <w:abstractNumId w:val="10"/>
  </w:num>
  <w:num w:numId="16">
    <w:abstractNumId w:val="9"/>
  </w:num>
  <w:num w:numId="17">
    <w:abstractNumId w:val="7"/>
  </w:num>
  <w:num w:numId="18">
    <w:abstractNumId w:val="21"/>
  </w:num>
  <w:num w:numId="19">
    <w:abstractNumId w:val="1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0"/>
  </w:num>
  <w:num w:numId="23">
    <w:abstractNumId w:val="5"/>
  </w:num>
  <w:num w:numId="24">
    <w:abstractNumId w:val="2"/>
  </w:num>
  <w:num w:numId="2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158"/>
    <w:rsid w:val="000025AD"/>
    <w:rsid w:val="0000335D"/>
    <w:rsid w:val="0002464A"/>
    <w:rsid w:val="0003106B"/>
    <w:rsid w:val="0003189D"/>
    <w:rsid w:val="00034C0E"/>
    <w:rsid w:val="00041AF9"/>
    <w:rsid w:val="000421A1"/>
    <w:rsid w:val="0004240E"/>
    <w:rsid w:val="000445E3"/>
    <w:rsid w:val="00045E26"/>
    <w:rsid w:val="000514B5"/>
    <w:rsid w:val="00057996"/>
    <w:rsid w:val="00060E64"/>
    <w:rsid w:val="00065878"/>
    <w:rsid w:val="00066755"/>
    <w:rsid w:val="000729CC"/>
    <w:rsid w:val="00076CEF"/>
    <w:rsid w:val="00077143"/>
    <w:rsid w:val="00082169"/>
    <w:rsid w:val="00082943"/>
    <w:rsid w:val="00083976"/>
    <w:rsid w:val="000969AD"/>
    <w:rsid w:val="000A0484"/>
    <w:rsid w:val="000A7364"/>
    <w:rsid w:val="000B0861"/>
    <w:rsid w:val="000B558D"/>
    <w:rsid w:val="000C2FF5"/>
    <w:rsid w:val="000C3102"/>
    <w:rsid w:val="000C6996"/>
    <w:rsid w:val="000C7C9B"/>
    <w:rsid w:val="000D04C9"/>
    <w:rsid w:val="000D23BA"/>
    <w:rsid w:val="000D34D8"/>
    <w:rsid w:val="000E326E"/>
    <w:rsid w:val="000E681E"/>
    <w:rsid w:val="000E73C7"/>
    <w:rsid w:val="000F0003"/>
    <w:rsid w:val="000F11A0"/>
    <w:rsid w:val="000F4E6A"/>
    <w:rsid w:val="00104227"/>
    <w:rsid w:val="001107BF"/>
    <w:rsid w:val="00120650"/>
    <w:rsid w:val="0012417C"/>
    <w:rsid w:val="00131850"/>
    <w:rsid w:val="00133E5D"/>
    <w:rsid w:val="0013747B"/>
    <w:rsid w:val="00142395"/>
    <w:rsid w:val="00142714"/>
    <w:rsid w:val="001452ED"/>
    <w:rsid w:val="00146C82"/>
    <w:rsid w:val="001475F3"/>
    <w:rsid w:val="001502FE"/>
    <w:rsid w:val="00163329"/>
    <w:rsid w:val="00163BF1"/>
    <w:rsid w:val="00164623"/>
    <w:rsid w:val="00165B64"/>
    <w:rsid w:val="00170D55"/>
    <w:rsid w:val="0017515F"/>
    <w:rsid w:val="0017581E"/>
    <w:rsid w:val="00180713"/>
    <w:rsid w:val="00180B70"/>
    <w:rsid w:val="00180EDD"/>
    <w:rsid w:val="00182974"/>
    <w:rsid w:val="001830CE"/>
    <w:rsid w:val="0018643B"/>
    <w:rsid w:val="00186BD6"/>
    <w:rsid w:val="00196307"/>
    <w:rsid w:val="001A2845"/>
    <w:rsid w:val="001A33EA"/>
    <w:rsid w:val="001A6A10"/>
    <w:rsid w:val="001B017F"/>
    <w:rsid w:val="001B2BBC"/>
    <w:rsid w:val="001B41CD"/>
    <w:rsid w:val="001B5129"/>
    <w:rsid w:val="001B51FB"/>
    <w:rsid w:val="001C0C02"/>
    <w:rsid w:val="001C1195"/>
    <w:rsid w:val="001C3A81"/>
    <w:rsid w:val="001D2B87"/>
    <w:rsid w:val="001F1850"/>
    <w:rsid w:val="00203FAC"/>
    <w:rsid w:val="00212EEE"/>
    <w:rsid w:val="00213CFB"/>
    <w:rsid w:val="00214E98"/>
    <w:rsid w:val="00217BE1"/>
    <w:rsid w:val="00224805"/>
    <w:rsid w:val="00246311"/>
    <w:rsid w:val="00260C55"/>
    <w:rsid w:val="00267AE9"/>
    <w:rsid w:val="00270263"/>
    <w:rsid w:val="00271BA1"/>
    <w:rsid w:val="00272BA3"/>
    <w:rsid w:val="002762FA"/>
    <w:rsid w:val="00277505"/>
    <w:rsid w:val="0029458F"/>
    <w:rsid w:val="00297A27"/>
    <w:rsid w:val="002A104C"/>
    <w:rsid w:val="002A1DCB"/>
    <w:rsid w:val="002A34B6"/>
    <w:rsid w:val="002A4960"/>
    <w:rsid w:val="002B151D"/>
    <w:rsid w:val="002B1AE6"/>
    <w:rsid w:val="002B2DE8"/>
    <w:rsid w:val="002B30F8"/>
    <w:rsid w:val="002B5596"/>
    <w:rsid w:val="002C212F"/>
    <w:rsid w:val="002D4543"/>
    <w:rsid w:val="002E3153"/>
    <w:rsid w:val="002E4DEC"/>
    <w:rsid w:val="002E5A0E"/>
    <w:rsid w:val="002E72CA"/>
    <w:rsid w:val="002F25B6"/>
    <w:rsid w:val="002F4A81"/>
    <w:rsid w:val="002F600D"/>
    <w:rsid w:val="00300AD6"/>
    <w:rsid w:val="00307878"/>
    <w:rsid w:val="00312A24"/>
    <w:rsid w:val="00317C6C"/>
    <w:rsid w:val="00326E79"/>
    <w:rsid w:val="00334112"/>
    <w:rsid w:val="003345A8"/>
    <w:rsid w:val="0033518A"/>
    <w:rsid w:val="003367EF"/>
    <w:rsid w:val="00341AE4"/>
    <w:rsid w:val="00346A5A"/>
    <w:rsid w:val="00374295"/>
    <w:rsid w:val="00380CF0"/>
    <w:rsid w:val="00381E40"/>
    <w:rsid w:val="003872CF"/>
    <w:rsid w:val="003976D3"/>
    <w:rsid w:val="0039782C"/>
    <w:rsid w:val="003A5B4A"/>
    <w:rsid w:val="003B23C5"/>
    <w:rsid w:val="003B2A75"/>
    <w:rsid w:val="003B49D0"/>
    <w:rsid w:val="003B6124"/>
    <w:rsid w:val="003C2FB5"/>
    <w:rsid w:val="003C5681"/>
    <w:rsid w:val="003C5B87"/>
    <w:rsid w:val="003D1B6E"/>
    <w:rsid w:val="003D4AC4"/>
    <w:rsid w:val="003D55C0"/>
    <w:rsid w:val="003D63B7"/>
    <w:rsid w:val="003E468B"/>
    <w:rsid w:val="003F1F9D"/>
    <w:rsid w:val="003F3228"/>
    <w:rsid w:val="003F5C8C"/>
    <w:rsid w:val="004138BA"/>
    <w:rsid w:val="00414E6E"/>
    <w:rsid w:val="004222EE"/>
    <w:rsid w:val="004232D8"/>
    <w:rsid w:val="00423CAE"/>
    <w:rsid w:val="004252EC"/>
    <w:rsid w:val="0042792D"/>
    <w:rsid w:val="00440F58"/>
    <w:rsid w:val="00442D3C"/>
    <w:rsid w:val="004465BD"/>
    <w:rsid w:val="0045062C"/>
    <w:rsid w:val="00466ADA"/>
    <w:rsid w:val="00470CFA"/>
    <w:rsid w:val="00473866"/>
    <w:rsid w:val="004752EF"/>
    <w:rsid w:val="00475D1E"/>
    <w:rsid w:val="00476245"/>
    <w:rsid w:val="00476A11"/>
    <w:rsid w:val="00483035"/>
    <w:rsid w:val="00485940"/>
    <w:rsid w:val="00494AFB"/>
    <w:rsid w:val="004A037C"/>
    <w:rsid w:val="004A1253"/>
    <w:rsid w:val="004A2484"/>
    <w:rsid w:val="004A4150"/>
    <w:rsid w:val="004A5079"/>
    <w:rsid w:val="004A5A85"/>
    <w:rsid w:val="004A71D1"/>
    <w:rsid w:val="004B5640"/>
    <w:rsid w:val="004C1BD7"/>
    <w:rsid w:val="004C31FE"/>
    <w:rsid w:val="004C691D"/>
    <w:rsid w:val="004C6C07"/>
    <w:rsid w:val="004E692D"/>
    <w:rsid w:val="00501554"/>
    <w:rsid w:val="00501D99"/>
    <w:rsid w:val="00514CD7"/>
    <w:rsid w:val="005319B2"/>
    <w:rsid w:val="00532402"/>
    <w:rsid w:val="00532C74"/>
    <w:rsid w:val="00534E2E"/>
    <w:rsid w:val="00540C62"/>
    <w:rsid w:val="00544552"/>
    <w:rsid w:val="00553906"/>
    <w:rsid w:val="00557989"/>
    <w:rsid w:val="00566A5D"/>
    <w:rsid w:val="005710E5"/>
    <w:rsid w:val="00576C34"/>
    <w:rsid w:val="00577C4D"/>
    <w:rsid w:val="00581932"/>
    <w:rsid w:val="0058281D"/>
    <w:rsid w:val="00583295"/>
    <w:rsid w:val="00587157"/>
    <w:rsid w:val="00593236"/>
    <w:rsid w:val="005963BB"/>
    <w:rsid w:val="005A0E1B"/>
    <w:rsid w:val="005A3173"/>
    <w:rsid w:val="005A3223"/>
    <w:rsid w:val="005A3DA3"/>
    <w:rsid w:val="005A52C4"/>
    <w:rsid w:val="005B1C5C"/>
    <w:rsid w:val="005B5FB7"/>
    <w:rsid w:val="005C22F9"/>
    <w:rsid w:val="005C3554"/>
    <w:rsid w:val="005C5647"/>
    <w:rsid w:val="005C57E3"/>
    <w:rsid w:val="005D03AB"/>
    <w:rsid w:val="005D5017"/>
    <w:rsid w:val="005E1333"/>
    <w:rsid w:val="005E3F26"/>
    <w:rsid w:val="005E78D7"/>
    <w:rsid w:val="005F3630"/>
    <w:rsid w:val="00601A91"/>
    <w:rsid w:val="00602BA3"/>
    <w:rsid w:val="00612E34"/>
    <w:rsid w:val="00614159"/>
    <w:rsid w:val="00614F17"/>
    <w:rsid w:val="00617C00"/>
    <w:rsid w:val="006202DC"/>
    <w:rsid w:val="00624374"/>
    <w:rsid w:val="006263BF"/>
    <w:rsid w:val="0062748A"/>
    <w:rsid w:val="00630A2C"/>
    <w:rsid w:val="0063682E"/>
    <w:rsid w:val="00637D54"/>
    <w:rsid w:val="00640BD9"/>
    <w:rsid w:val="006415D8"/>
    <w:rsid w:val="006436CD"/>
    <w:rsid w:val="00650D01"/>
    <w:rsid w:val="00651169"/>
    <w:rsid w:val="00653D69"/>
    <w:rsid w:val="00656562"/>
    <w:rsid w:val="006670BE"/>
    <w:rsid w:val="00670A76"/>
    <w:rsid w:val="006711AA"/>
    <w:rsid w:val="00672B57"/>
    <w:rsid w:val="00675622"/>
    <w:rsid w:val="0067747D"/>
    <w:rsid w:val="0068410F"/>
    <w:rsid w:val="006906DB"/>
    <w:rsid w:val="00691E6C"/>
    <w:rsid w:val="00696129"/>
    <w:rsid w:val="00697CF2"/>
    <w:rsid w:val="006A12A5"/>
    <w:rsid w:val="006B06FD"/>
    <w:rsid w:val="006B0D94"/>
    <w:rsid w:val="006B485D"/>
    <w:rsid w:val="006C0493"/>
    <w:rsid w:val="006C0E6C"/>
    <w:rsid w:val="006C451E"/>
    <w:rsid w:val="006C6847"/>
    <w:rsid w:val="006C708E"/>
    <w:rsid w:val="006D14E7"/>
    <w:rsid w:val="006D32A5"/>
    <w:rsid w:val="006D43A1"/>
    <w:rsid w:val="006D6493"/>
    <w:rsid w:val="006D6EC7"/>
    <w:rsid w:val="006D739B"/>
    <w:rsid w:val="006E022D"/>
    <w:rsid w:val="006E3BED"/>
    <w:rsid w:val="006E5227"/>
    <w:rsid w:val="006F1C6A"/>
    <w:rsid w:val="006F5125"/>
    <w:rsid w:val="006F696A"/>
    <w:rsid w:val="00702B6F"/>
    <w:rsid w:val="0071340B"/>
    <w:rsid w:val="00715660"/>
    <w:rsid w:val="007174BB"/>
    <w:rsid w:val="007200CB"/>
    <w:rsid w:val="0072025D"/>
    <w:rsid w:val="00733CFC"/>
    <w:rsid w:val="00734DA2"/>
    <w:rsid w:val="007353D3"/>
    <w:rsid w:val="00737FFA"/>
    <w:rsid w:val="007400C6"/>
    <w:rsid w:val="007421C6"/>
    <w:rsid w:val="00746771"/>
    <w:rsid w:val="0076420C"/>
    <w:rsid w:val="007721B6"/>
    <w:rsid w:val="007753C2"/>
    <w:rsid w:val="007838B8"/>
    <w:rsid w:val="00797180"/>
    <w:rsid w:val="007A2121"/>
    <w:rsid w:val="007B2399"/>
    <w:rsid w:val="007C0F57"/>
    <w:rsid w:val="007C40B6"/>
    <w:rsid w:val="007C5F8C"/>
    <w:rsid w:val="007C729F"/>
    <w:rsid w:val="007D6076"/>
    <w:rsid w:val="007E1D28"/>
    <w:rsid w:val="007E22A6"/>
    <w:rsid w:val="007F2641"/>
    <w:rsid w:val="007F7C36"/>
    <w:rsid w:val="00800E7E"/>
    <w:rsid w:val="0080668A"/>
    <w:rsid w:val="00806796"/>
    <w:rsid w:val="008151D6"/>
    <w:rsid w:val="00826F6D"/>
    <w:rsid w:val="008306F3"/>
    <w:rsid w:val="0083643C"/>
    <w:rsid w:val="008424CC"/>
    <w:rsid w:val="0084543F"/>
    <w:rsid w:val="00846758"/>
    <w:rsid w:val="008528D5"/>
    <w:rsid w:val="008534B6"/>
    <w:rsid w:val="00856DDD"/>
    <w:rsid w:val="0086342F"/>
    <w:rsid w:val="00863E68"/>
    <w:rsid w:val="00865292"/>
    <w:rsid w:val="00882085"/>
    <w:rsid w:val="00883188"/>
    <w:rsid w:val="00883B8A"/>
    <w:rsid w:val="00897D58"/>
    <w:rsid w:val="00897F22"/>
    <w:rsid w:val="008A1956"/>
    <w:rsid w:val="008A4065"/>
    <w:rsid w:val="008A4937"/>
    <w:rsid w:val="008A50F1"/>
    <w:rsid w:val="008B3623"/>
    <w:rsid w:val="008C5E50"/>
    <w:rsid w:val="008D04B1"/>
    <w:rsid w:val="008D1B5C"/>
    <w:rsid w:val="008D3C82"/>
    <w:rsid w:val="008D447E"/>
    <w:rsid w:val="008D7A41"/>
    <w:rsid w:val="008E3680"/>
    <w:rsid w:val="008E4CBE"/>
    <w:rsid w:val="008E5870"/>
    <w:rsid w:val="008E5EF6"/>
    <w:rsid w:val="008F1434"/>
    <w:rsid w:val="008F7355"/>
    <w:rsid w:val="009067B7"/>
    <w:rsid w:val="00912F56"/>
    <w:rsid w:val="0091484C"/>
    <w:rsid w:val="0091654D"/>
    <w:rsid w:val="00917E55"/>
    <w:rsid w:val="00930937"/>
    <w:rsid w:val="00933E6C"/>
    <w:rsid w:val="00937958"/>
    <w:rsid w:val="00942160"/>
    <w:rsid w:val="0095146F"/>
    <w:rsid w:val="00951AB9"/>
    <w:rsid w:val="009602C5"/>
    <w:rsid w:val="00962223"/>
    <w:rsid w:val="009632E0"/>
    <w:rsid w:val="00966D0D"/>
    <w:rsid w:val="00974C21"/>
    <w:rsid w:val="009812D7"/>
    <w:rsid w:val="00985D98"/>
    <w:rsid w:val="009A4CE6"/>
    <w:rsid w:val="009B0F67"/>
    <w:rsid w:val="009C703C"/>
    <w:rsid w:val="009D103E"/>
    <w:rsid w:val="009D3CAA"/>
    <w:rsid w:val="009E1D54"/>
    <w:rsid w:val="009E2398"/>
    <w:rsid w:val="009E3FC4"/>
    <w:rsid w:val="009E40E1"/>
    <w:rsid w:val="009F422F"/>
    <w:rsid w:val="009F4E46"/>
    <w:rsid w:val="009F5B65"/>
    <w:rsid w:val="009F5F2E"/>
    <w:rsid w:val="00A00660"/>
    <w:rsid w:val="00A03CF3"/>
    <w:rsid w:val="00A06225"/>
    <w:rsid w:val="00A07D78"/>
    <w:rsid w:val="00A10C8A"/>
    <w:rsid w:val="00A128E6"/>
    <w:rsid w:val="00A25A62"/>
    <w:rsid w:val="00A34E6C"/>
    <w:rsid w:val="00A37C8D"/>
    <w:rsid w:val="00A40901"/>
    <w:rsid w:val="00A5273B"/>
    <w:rsid w:val="00A53A9D"/>
    <w:rsid w:val="00A53AFD"/>
    <w:rsid w:val="00A55FEE"/>
    <w:rsid w:val="00A62C1A"/>
    <w:rsid w:val="00A6426D"/>
    <w:rsid w:val="00A665C1"/>
    <w:rsid w:val="00A70622"/>
    <w:rsid w:val="00A70977"/>
    <w:rsid w:val="00A77613"/>
    <w:rsid w:val="00A813CF"/>
    <w:rsid w:val="00A8390C"/>
    <w:rsid w:val="00A90332"/>
    <w:rsid w:val="00A928BD"/>
    <w:rsid w:val="00AA283A"/>
    <w:rsid w:val="00AA36CA"/>
    <w:rsid w:val="00AA4D1C"/>
    <w:rsid w:val="00AB144A"/>
    <w:rsid w:val="00AB5029"/>
    <w:rsid w:val="00AC193C"/>
    <w:rsid w:val="00AC3702"/>
    <w:rsid w:val="00AC5206"/>
    <w:rsid w:val="00AD0779"/>
    <w:rsid w:val="00AD50E8"/>
    <w:rsid w:val="00AD6D4E"/>
    <w:rsid w:val="00AE11A5"/>
    <w:rsid w:val="00AE13E2"/>
    <w:rsid w:val="00AE22D3"/>
    <w:rsid w:val="00AE461F"/>
    <w:rsid w:val="00AF29EA"/>
    <w:rsid w:val="00AF2E2A"/>
    <w:rsid w:val="00AF62DF"/>
    <w:rsid w:val="00AF68CC"/>
    <w:rsid w:val="00B036BD"/>
    <w:rsid w:val="00B1059E"/>
    <w:rsid w:val="00B12C10"/>
    <w:rsid w:val="00B176C8"/>
    <w:rsid w:val="00B205AA"/>
    <w:rsid w:val="00B22E84"/>
    <w:rsid w:val="00B25F75"/>
    <w:rsid w:val="00B26B3F"/>
    <w:rsid w:val="00B356AA"/>
    <w:rsid w:val="00B40276"/>
    <w:rsid w:val="00B423A8"/>
    <w:rsid w:val="00B43E90"/>
    <w:rsid w:val="00B467DC"/>
    <w:rsid w:val="00B56118"/>
    <w:rsid w:val="00B6773F"/>
    <w:rsid w:val="00B801BA"/>
    <w:rsid w:val="00B84D5C"/>
    <w:rsid w:val="00B85203"/>
    <w:rsid w:val="00B86AA2"/>
    <w:rsid w:val="00B9091D"/>
    <w:rsid w:val="00B92653"/>
    <w:rsid w:val="00BB69F5"/>
    <w:rsid w:val="00BB7EC3"/>
    <w:rsid w:val="00BC30AB"/>
    <w:rsid w:val="00BC4B9A"/>
    <w:rsid w:val="00BD212C"/>
    <w:rsid w:val="00BD3A59"/>
    <w:rsid w:val="00BD3C41"/>
    <w:rsid w:val="00BD784C"/>
    <w:rsid w:val="00BF4CB6"/>
    <w:rsid w:val="00C00DA7"/>
    <w:rsid w:val="00C06977"/>
    <w:rsid w:val="00C12768"/>
    <w:rsid w:val="00C24217"/>
    <w:rsid w:val="00C26177"/>
    <w:rsid w:val="00C27B58"/>
    <w:rsid w:val="00C35996"/>
    <w:rsid w:val="00C44E01"/>
    <w:rsid w:val="00C4747E"/>
    <w:rsid w:val="00C50B34"/>
    <w:rsid w:val="00C512CB"/>
    <w:rsid w:val="00C51866"/>
    <w:rsid w:val="00C52D06"/>
    <w:rsid w:val="00C5342C"/>
    <w:rsid w:val="00C603D4"/>
    <w:rsid w:val="00C6256A"/>
    <w:rsid w:val="00C66B9E"/>
    <w:rsid w:val="00C7555A"/>
    <w:rsid w:val="00C76FCE"/>
    <w:rsid w:val="00C77891"/>
    <w:rsid w:val="00C91449"/>
    <w:rsid w:val="00C92D10"/>
    <w:rsid w:val="00CA3A45"/>
    <w:rsid w:val="00CC1B3A"/>
    <w:rsid w:val="00CC5D24"/>
    <w:rsid w:val="00CD0B2C"/>
    <w:rsid w:val="00CD10E2"/>
    <w:rsid w:val="00CD4DEB"/>
    <w:rsid w:val="00CE10C4"/>
    <w:rsid w:val="00CE27A5"/>
    <w:rsid w:val="00CE27B5"/>
    <w:rsid w:val="00CE7FC3"/>
    <w:rsid w:val="00CF446D"/>
    <w:rsid w:val="00D01ED9"/>
    <w:rsid w:val="00D0321E"/>
    <w:rsid w:val="00D12BD9"/>
    <w:rsid w:val="00D1455A"/>
    <w:rsid w:val="00D23E80"/>
    <w:rsid w:val="00D31150"/>
    <w:rsid w:val="00D3138B"/>
    <w:rsid w:val="00D31FB7"/>
    <w:rsid w:val="00D3280C"/>
    <w:rsid w:val="00D3406A"/>
    <w:rsid w:val="00D42E54"/>
    <w:rsid w:val="00D4572C"/>
    <w:rsid w:val="00D46227"/>
    <w:rsid w:val="00D469B2"/>
    <w:rsid w:val="00D6171B"/>
    <w:rsid w:val="00D62161"/>
    <w:rsid w:val="00D741EB"/>
    <w:rsid w:val="00D83605"/>
    <w:rsid w:val="00D84934"/>
    <w:rsid w:val="00D902E7"/>
    <w:rsid w:val="00D90CBF"/>
    <w:rsid w:val="00D91271"/>
    <w:rsid w:val="00D91321"/>
    <w:rsid w:val="00D919F5"/>
    <w:rsid w:val="00D94F03"/>
    <w:rsid w:val="00DA2CB5"/>
    <w:rsid w:val="00DA4BAC"/>
    <w:rsid w:val="00DA6A16"/>
    <w:rsid w:val="00DB514F"/>
    <w:rsid w:val="00DD1E54"/>
    <w:rsid w:val="00DD40DB"/>
    <w:rsid w:val="00DE0C92"/>
    <w:rsid w:val="00DE4F0B"/>
    <w:rsid w:val="00DE5BC5"/>
    <w:rsid w:val="00DE6D27"/>
    <w:rsid w:val="00DF217D"/>
    <w:rsid w:val="00DF26A7"/>
    <w:rsid w:val="00DF3737"/>
    <w:rsid w:val="00E0644F"/>
    <w:rsid w:val="00E15627"/>
    <w:rsid w:val="00E164B3"/>
    <w:rsid w:val="00E16910"/>
    <w:rsid w:val="00E17B9A"/>
    <w:rsid w:val="00E27C65"/>
    <w:rsid w:val="00E420CE"/>
    <w:rsid w:val="00E42BDB"/>
    <w:rsid w:val="00E43C36"/>
    <w:rsid w:val="00E57EEB"/>
    <w:rsid w:val="00E61624"/>
    <w:rsid w:val="00E62D94"/>
    <w:rsid w:val="00E65E54"/>
    <w:rsid w:val="00E74FD2"/>
    <w:rsid w:val="00E80155"/>
    <w:rsid w:val="00E81F28"/>
    <w:rsid w:val="00E848C0"/>
    <w:rsid w:val="00E851C0"/>
    <w:rsid w:val="00E91B96"/>
    <w:rsid w:val="00E941A1"/>
    <w:rsid w:val="00E95CE3"/>
    <w:rsid w:val="00EA2825"/>
    <w:rsid w:val="00EA78C4"/>
    <w:rsid w:val="00EB0B63"/>
    <w:rsid w:val="00EB1936"/>
    <w:rsid w:val="00EB5088"/>
    <w:rsid w:val="00EC2D3B"/>
    <w:rsid w:val="00ED1644"/>
    <w:rsid w:val="00ED2593"/>
    <w:rsid w:val="00ED7D9C"/>
    <w:rsid w:val="00EE4327"/>
    <w:rsid w:val="00EF44A0"/>
    <w:rsid w:val="00EF4FED"/>
    <w:rsid w:val="00F050BD"/>
    <w:rsid w:val="00F05657"/>
    <w:rsid w:val="00F06314"/>
    <w:rsid w:val="00F0742D"/>
    <w:rsid w:val="00F25010"/>
    <w:rsid w:val="00F2524E"/>
    <w:rsid w:val="00F25300"/>
    <w:rsid w:val="00F25578"/>
    <w:rsid w:val="00F258E5"/>
    <w:rsid w:val="00F26AAE"/>
    <w:rsid w:val="00F300BC"/>
    <w:rsid w:val="00F30187"/>
    <w:rsid w:val="00F32D8E"/>
    <w:rsid w:val="00F3334E"/>
    <w:rsid w:val="00F36CCB"/>
    <w:rsid w:val="00F374E5"/>
    <w:rsid w:val="00F43AF2"/>
    <w:rsid w:val="00F4610A"/>
    <w:rsid w:val="00F472AD"/>
    <w:rsid w:val="00F50EC4"/>
    <w:rsid w:val="00F51647"/>
    <w:rsid w:val="00F550CF"/>
    <w:rsid w:val="00F57A6D"/>
    <w:rsid w:val="00F57FE5"/>
    <w:rsid w:val="00F615A2"/>
    <w:rsid w:val="00F638CC"/>
    <w:rsid w:val="00F64CC1"/>
    <w:rsid w:val="00F72317"/>
    <w:rsid w:val="00F725B8"/>
    <w:rsid w:val="00F7745E"/>
    <w:rsid w:val="00F80475"/>
    <w:rsid w:val="00F8247A"/>
    <w:rsid w:val="00F91E0D"/>
    <w:rsid w:val="00F9629A"/>
    <w:rsid w:val="00F97EFC"/>
    <w:rsid w:val="00FA018C"/>
    <w:rsid w:val="00FA5883"/>
    <w:rsid w:val="00FA5AA3"/>
    <w:rsid w:val="00FA6055"/>
    <w:rsid w:val="00FA6E04"/>
    <w:rsid w:val="00FB0510"/>
    <w:rsid w:val="00FB0AFA"/>
    <w:rsid w:val="00FB2B6C"/>
    <w:rsid w:val="00FB322F"/>
    <w:rsid w:val="00FB442F"/>
    <w:rsid w:val="00FC1929"/>
    <w:rsid w:val="00FC5B46"/>
    <w:rsid w:val="00FD1891"/>
    <w:rsid w:val="00FD63CE"/>
    <w:rsid w:val="00FD6D8E"/>
    <w:rsid w:val="00FE0E94"/>
    <w:rsid w:val="00FF00BD"/>
    <w:rsid w:val="00FF1ED4"/>
    <w:rsid w:val="00FF2801"/>
    <w:rsid w:val="00FF28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uiPriority="7"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uiPriority="3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C512CB"/>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uiPriority w:val="99"/>
    <w:unhideWhenUsed/>
    <w:rsid w:val="00065878"/>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065878"/>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065878"/>
    <w:rPr>
      <w:vertAlign w:val="superscript"/>
    </w:rPr>
  </w:style>
  <w:style w:type="character" w:customStyle="1" w:styleId="Heading8Char">
    <w:name w:val="Heading 8 Char"/>
    <w:basedOn w:val="DefaultParagraphFont"/>
    <w:link w:val="Heading8"/>
    <w:uiPriority w:val="7"/>
    <w:rsid w:val="00C512CB"/>
    <w:rPr>
      <w:rFonts w:asciiTheme="majorHAnsi" w:eastAsiaTheme="majorEastAsia" w:hAnsiTheme="majorHAnsi" w:cstheme="majorBidi"/>
      <w:color w:val="272727" w:themeColor="text1" w:themeTint="D8"/>
      <w:sz w:val="21"/>
      <w:szCs w:val="21"/>
      <w:lang w:eastAsia="en-US"/>
    </w:rPr>
  </w:style>
  <w:style w:type="paragraph" w:customStyle="1" w:styleId="TableText0">
    <w:name w:val="Table Text"/>
    <w:basedOn w:val="Normal"/>
    <w:link w:val="TableTextChar"/>
    <w:qFormat/>
    <w:rsid w:val="000C2FF5"/>
    <w:pPr>
      <w:spacing w:before="40" w:after="40"/>
    </w:pPr>
    <w:rPr>
      <w:rFonts w:ascii="Garamond" w:eastAsiaTheme="minorHAnsi" w:hAnsi="Garamond" w:cstheme="minorBidi"/>
      <w:sz w:val="22"/>
      <w:szCs w:val="22"/>
      <w:lang w:eastAsia="en-US"/>
    </w:rPr>
  </w:style>
  <w:style w:type="character" w:customStyle="1" w:styleId="TableTextChar">
    <w:name w:val="Table Text Char"/>
    <w:link w:val="TableText0"/>
    <w:rsid w:val="000C2FF5"/>
    <w:rPr>
      <w:rFonts w:ascii="Garamond" w:eastAsiaTheme="minorHAnsi" w:hAnsi="Garamond" w:cstheme="minorBidi"/>
      <w:sz w:val="22"/>
      <w:szCs w:val="22"/>
      <w:lang w:eastAsia="en-US"/>
    </w:rPr>
  </w:style>
  <w:style w:type="character" w:customStyle="1" w:styleId="A10">
    <w:name w:val="A10"/>
    <w:uiPriority w:val="99"/>
    <w:rsid w:val="00576C34"/>
    <w:rPr>
      <w:rFonts w:cs="Calibri Light"/>
      <w:color w:val="000000"/>
      <w:sz w:val="12"/>
      <w:szCs w:val="12"/>
    </w:rPr>
  </w:style>
  <w:style w:type="paragraph" w:styleId="Revision">
    <w:name w:val="Revision"/>
    <w:hidden/>
    <w:uiPriority w:val="71"/>
    <w:rsid w:val="00186BD6"/>
    <w:rPr>
      <w:sz w:val="24"/>
      <w:szCs w:val="24"/>
    </w:rPr>
  </w:style>
  <w:style w:type="character" w:customStyle="1" w:styleId="MainBodyTextEmphasiswithBold">
    <w:name w:val="Main Body Text Emphasis with Bold"/>
    <w:qFormat/>
    <w:rsid w:val="0030787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uiPriority="7"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uiPriority="3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C512CB"/>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uiPriority w:val="99"/>
    <w:unhideWhenUsed/>
    <w:rsid w:val="00065878"/>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065878"/>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065878"/>
    <w:rPr>
      <w:vertAlign w:val="superscript"/>
    </w:rPr>
  </w:style>
  <w:style w:type="character" w:customStyle="1" w:styleId="Heading8Char">
    <w:name w:val="Heading 8 Char"/>
    <w:basedOn w:val="DefaultParagraphFont"/>
    <w:link w:val="Heading8"/>
    <w:uiPriority w:val="7"/>
    <w:rsid w:val="00C512CB"/>
    <w:rPr>
      <w:rFonts w:asciiTheme="majorHAnsi" w:eastAsiaTheme="majorEastAsia" w:hAnsiTheme="majorHAnsi" w:cstheme="majorBidi"/>
      <w:color w:val="272727" w:themeColor="text1" w:themeTint="D8"/>
      <w:sz w:val="21"/>
      <w:szCs w:val="21"/>
      <w:lang w:eastAsia="en-US"/>
    </w:rPr>
  </w:style>
  <w:style w:type="paragraph" w:customStyle="1" w:styleId="TableText0">
    <w:name w:val="Table Text"/>
    <w:basedOn w:val="Normal"/>
    <w:link w:val="TableTextChar"/>
    <w:qFormat/>
    <w:rsid w:val="000C2FF5"/>
    <w:pPr>
      <w:spacing w:before="40" w:after="40"/>
    </w:pPr>
    <w:rPr>
      <w:rFonts w:ascii="Garamond" w:eastAsiaTheme="minorHAnsi" w:hAnsi="Garamond" w:cstheme="minorBidi"/>
      <w:sz w:val="22"/>
      <w:szCs w:val="22"/>
      <w:lang w:eastAsia="en-US"/>
    </w:rPr>
  </w:style>
  <w:style w:type="character" w:customStyle="1" w:styleId="TableTextChar">
    <w:name w:val="Table Text Char"/>
    <w:link w:val="TableText0"/>
    <w:rsid w:val="000C2FF5"/>
    <w:rPr>
      <w:rFonts w:ascii="Garamond" w:eastAsiaTheme="minorHAnsi" w:hAnsi="Garamond" w:cstheme="minorBidi"/>
      <w:sz w:val="22"/>
      <w:szCs w:val="22"/>
      <w:lang w:eastAsia="en-US"/>
    </w:rPr>
  </w:style>
  <w:style w:type="character" w:customStyle="1" w:styleId="A10">
    <w:name w:val="A10"/>
    <w:uiPriority w:val="99"/>
    <w:rsid w:val="00576C34"/>
    <w:rPr>
      <w:rFonts w:cs="Calibri Light"/>
      <w:color w:val="000000"/>
      <w:sz w:val="12"/>
      <w:szCs w:val="12"/>
    </w:rPr>
  </w:style>
  <w:style w:type="paragraph" w:styleId="Revision">
    <w:name w:val="Revision"/>
    <w:hidden/>
    <w:uiPriority w:val="71"/>
    <w:rsid w:val="00186BD6"/>
    <w:rPr>
      <w:sz w:val="24"/>
      <w:szCs w:val="24"/>
    </w:rPr>
  </w:style>
  <w:style w:type="character" w:customStyle="1" w:styleId="MainBodyTextEmphasiswithBold">
    <w:name w:val="Main Body Text Emphasis with Bold"/>
    <w:qFormat/>
    <w:rsid w:val="0030787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5477057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6502555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F4ECC-D1C5-490C-96A2-A13EF203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6143</Words>
  <Characters>34058</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2018-09-27T03:56:00Z</dcterms:created>
  <dcterms:modified xsi:type="dcterms:W3CDTF">2018-10-18T05:17:00Z</dcterms:modified>
</cp:coreProperties>
</file>