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22357A" w:rsidRDefault="00B60939" w:rsidP="00207D00"/>
    <w:p w:rsidR="00F11CCA" w:rsidRPr="0022357A" w:rsidRDefault="00F11CCA" w:rsidP="00C12C14">
      <w:pPr>
        <w:rPr>
          <w:b/>
          <w:sz w:val="36"/>
          <w:szCs w:val="36"/>
        </w:rPr>
      </w:pPr>
      <w:r w:rsidRPr="0022357A">
        <w:rPr>
          <w:b/>
          <w:sz w:val="36"/>
          <w:szCs w:val="36"/>
        </w:rPr>
        <w:t>6.02</w:t>
      </w:r>
      <w:r w:rsidR="00B60939" w:rsidRPr="0022357A">
        <w:rPr>
          <w:b/>
          <w:sz w:val="36"/>
          <w:szCs w:val="36"/>
        </w:rPr>
        <w:tab/>
      </w:r>
      <w:r w:rsidR="0027404B" w:rsidRPr="0022357A">
        <w:rPr>
          <w:b/>
          <w:sz w:val="36"/>
          <w:szCs w:val="36"/>
        </w:rPr>
        <w:t>B</w:t>
      </w:r>
      <w:r w:rsidR="00056C2F" w:rsidRPr="0022357A">
        <w:rPr>
          <w:b/>
          <w:sz w:val="36"/>
          <w:szCs w:val="36"/>
        </w:rPr>
        <w:t>rentuximab vedotin</w:t>
      </w:r>
    </w:p>
    <w:p w:rsidR="00F11CCA" w:rsidRPr="0022357A" w:rsidRDefault="00B60939" w:rsidP="00C12C14">
      <w:pPr>
        <w:rPr>
          <w:b/>
          <w:sz w:val="36"/>
          <w:szCs w:val="36"/>
        </w:rPr>
      </w:pPr>
      <w:r w:rsidRPr="0022357A">
        <w:rPr>
          <w:b/>
          <w:sz w:val="36"/>
          <w:szCs w:val="36"/>
        </w:rPr>
        <w:t xml:space="preserve"> </w:t>
      </w:r>
      <w:r w:rsidR="00F11CCA" w:rsidRPr="0022357A">
        <w:rPr>
          <w:b/>
          <w:sz w:val="36"/>
          <w:szCs w:val="36"/>
        </w:rPr>
        <w:tab/>
      </w:r>
      <w:r w:rsidR="00575F9C" w:rsidRPr="0022357A">
        <w:rPr>
          <w:b/>
          <w:sz w:val="36"/>
          <w:szCs w:val="36"/>
        </w:rPr>
        <w:t>Powder for I.V. infusion 50 mg</w:t>
      </w:r>
      <w:r w:rsidRPr="0022357A">
        <w:rPr>
          <w:b/>
          <w:sz w:val="36"/>
          <w:szCs w:val="36"/>
        </w:rPr>
        <w:t xml:space="preserve">, </w:t>
      </w:r>
      <w:r w:rsidR="00575F9C" w:rsidRPr="0022357A">
        <w:rPr>
          <w:b/>
          <w:sz w:val="36"/>
          <w:szCs w:val="36"/>
        </w:rPr>
        <w:t xml:space="preserve">Adcetris®, </w:t>
      </w:r>
    </w:p>
    <w:p w:rsidR="0022357A" w:rsidRPr="00B1472E" w:rsidRDefault="00575F9C" w:rsidP="00B1472E">
      <w:pPr>
        <w:ind w:firstLine="720"/>
        <w:rPr>
          <w:b/>
          <w:sz w:val="36"/>
          <w:szCs w:val="36"/>
        </w:rPr>
      </w:pPr>
      <w:r w:rsidRPr="0022357A">
        <w:rPr>
          <w:b/>
          <w:sz w:val="36"/>
          <w:szCs w:val="36"/>
        </w:rPr>
        <w:t>Takeda Pharmaceuticals Australia Pty Ltd</w:t>
      </w:r>
      <w:r w:rsidR="00B60939" w:rsidRPr="0022357A">
        <w:rPr>
          <w:b/>
          <w:sz w:val="36"/>
          <w:szCs w:val="36"/>
        </w:rPr>
        <w:t>.</w:t>
      </w:r>
    </w:p>
    <w:p w:rsidR="00B60939" w:rsidRPr="0022357A" w:rsidRDefault="00B50DB8" w:rsidP="00B60939">
      <w:pPr>
        <w:pStyle w:val="PBACHeading1"/>
      </w:pPr>
      <w:bookmarkStart w:id="0" w:name="_Toc514237303"/>
      <w:r w:rsidRPr="0022357A">
        <w:t>Purpose of Application</w:t>
      </w:r>
      <w:bookmarkEnd w:id="0"/>
    </w:p>
    <w:p w:rsidR="0027404B" w:rsidRPr="0022357A" w:rsidRDefault="0027404B" w:rsidP="0027404B">
      <w:pPr>
        <w:pStyle w:val="ListParagraph"/>
        <w:widowControl/>
        <w:numPr>
          <w:ilvl w:val="1"/>
          <w:numId w:val="3"/>
        </w:numPr>
      </w:pPr>
      <w:r w:rsidRPr="0022357A">
        <w:t xml:space="preserve">The submission requested a Section 100 (Efficient Funding of Chemotherapy) listing for brentuximab vedotin for the treatment of relapsed or refractory </w:t>
      </w:r>
      <w:r w:rsidR="00C41ABE" w:rsidRPr="0022357A">
        <w:t>CD30 positive cutaneous T-cell lymphoma (</w:t>
      </w:r>
      <w:r w:rsidRPr="0022357A">
        <w:t>CTCL</w:t>
      </w:r>
      <w:r w:rsidR="00C41ABE" w:rsidRPr="0022357A">
        <w:t>)</w:t>
      </w:r>
      <w:r w:rsidRPr="0022357A">
        <w:t xml:space="preserve"> in patients who have previously used systemic therapy. This was the first brentuximab vedotin submission for this indication.</w:t>
      </w:r>
    </w:p>
    <w:p w:rsidR="0027404B" w:rsidRPr="0022357A" w:rsidRDefault="0027404B" w:rsidP="0027404B">
      <w:pPr>
        <w:pStyle w:val="ListParagraph"/>
        <w:widowControl/>
        <w:numPr>
          <w:ilvl w:val="1"/>
          <w:numId w:val="3"/>
        </w:numPr>
        <w:spacing w:after="120"/>
      </w:pPr>
      <w:r w:rsidRPr="0022357A">
        <w:t>The requested listing was based on cost-effectiveness analyses and a cost-</w:t>
      </w:r>
      <w:r w:rsidR="0076173F" w:rsidRPr="0022357A">
        <w:t>utility</w:t>
      </w:r>
      <w:r w:rsidRPr="0022357A">
        <w:t xml:space="preserve"> analysis comparing brentuximab vedotin to its main comparator, vorinostat, and to its supplementary comparator, methotrexate. </w:t>
      </w:r>
    </w:p>
    <w:p w:rsidR="0027404B" w:rsidRPr="0022357A" w:rsidRDefault="0027404B" w:rsidP="0027404B">
      <w:pPr>
        <w:rPr>
          <w:rStyle w:val="CommentReference"/>
        </w:rPr>
      </w:pPr>
      <w:r w:rsidRPr="0022357A">
        <w:rPr>
          <w:rStyle w:val="CommentReference"/>
        </w:rPr>
        <w:t>Table 1: Key components of the clinical issue addressed by the submission</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535"/>
      </w:tblGrid>
      <w:tr w:rsidR="0027404B" w:rsidRPr="0022357A" w:rsidTr="0056712A">
        <w:trPr>
          <w:cantSplit/>
          <w:tblHeader/>
        </w:trPr>
        <w:tc>
          <w:tcPr>
            <w:tcW w:w="876" w:type="pct"/>
            <w:shd w:val="clear" w:color="auto" w:fill="auto"/>
          </w:tcPr>
          <w:p w:rsidR="0027404B" w:rsidRPr="0022357A" w:rsidRDefault="0027404B" w:rsidP="00022DCB">
            <w:pPr>
              <w:pStyle w:val="Tabletext"/>
              <w:rPr>
                <w:b/>
                <w:szCs w:val="20"/>
              </w:rPr>
            </w:pPr>
            <w:r w:rsidRPr="0022357A">
              <w:rPr>
                <w:b/>
              </w:rPr>
              <w:t>Component</w:t>
            </w:r>
          </w:p>
        </w:tc>
        <w:tc>
          <w:tcPr>
            <w:tcW w:w="4124" w:type="pct"/>
            <w:shd w:val="clear" w:color="auto" w:fill="auto"/>
          </w:tcPr>
          <w:p w:rsidR="0027404B" w:rsidRPr="0022357A" w:rsidRDefault="0027404B" w:rsidP="00022DCB">
            <w:pPr>
              <w:pStyle w:val="Tabletext"/>
              <w:jc w:val="center"/>
              <w:rPr>
                <w:b/>
              </w:rPr>
            </w:pPr>
            <w:r w:rsidRPr="0022357A">
              <w:rPr>
                <w:b/>
              </w:rPr>
              <w:t>Description</w:t>
            </w:r>
          </w:p>
        </w:tc>
      </w:tr>
      <w:tr w:rsidR="0027404B" w:rsidRPr="0022357A" w:rsidTr="0056712A">
        <w:trPr>
          <w:cantSplit/>
        </w:trPr>
        <w:tc>
          <w:tcPr>
            <w:tcW w:w="876" w:type="pct"/>
            <w:shd w:val="clear" w:color="auto" w:fill="auto"/>
          </w:tcPr>
          <w:p w:rsidR="0027404B" w:rsidRPr="0022357A" w:rsidRDefault="0027404B" w:rsidP="00022DCB">
            <w:pPr>
              <w:pStyle w:val="Tabletext"/>
            </w:pPr>
            <w:r w:rsidRPr="0022357A">
              <w:t>Population</w:t>
            </w:r>
          </w:p>
        </w:tc>
        <w:tc>
          <w:tcPr>
            <w:tcW w:w="4124" w:type="pct"/>
            <w:vAlign w:val="center"/>
          </w:tcPr>
          <w:p w:rsidR="0027404B" w:rsidRPr="0022357A" w:rsidRDefault="0027404B" w:rsidP="00022DCB">
            <w:pPr>
              <w:pStyle w:val="Tabletext"/>
            </w:pPr>
            <w:r w:rsidRPr="0022357A">
              <w:t xml:space="preserve">Relapsed or refractory </w:t>
            </w:r>
            <w:r w:rsidR="002B0B41" w:rsidRPr="0022357A">
              <w:t xml:space="preserve">CD30+ </w:t>
            </w:r>
            <w:r w:rsidRPr="0022357A">
              <w:t>cutaneous T-cell lymphoma (CTCL)</w:t>
            </w:r>
          </w:p>
        </w:tc>
      </w:tr>
      <w:tr w:rsidR="0027404B" w:rsidRPr="0022357A" w:rsidTr="0056712A">
        <w:trPr>
          <w:cantSplit/>
        </w:trPr>
        <w:tc>
          <w:tcPr>
            <w:tcW w:w="876" w:type="pct"/>
            <w:shd w:val="clear" w:color="auto" w:fill="auto"/>
          </w:tcPr>
          <w:p w:rsidR="0027404B" w:rsidRPr="0022357A" w:rsidRDefault="0027404B" w:rsidP="00022DCB">
            <w:pPr>
              <w:pStyle w:val="Tabletext"/>
            </w:pPr>
            <w:r w:rsidRPr="0022357A">
              <w:t>Intervention</w:t>
            </w:r>
          </w:p>
        </w:tc>
        <w:tc>
          <w:tcPr>
            <w:tcW w:w="4124" w:type="pct"/>
            <w:vAlign w:val="center"/>
          </w:tcPr>
          <w:p w:rsidR="0027404B" w:rsidRPr="0022357A" w:rsidRDefault="0027404B" w:rsidP="00022DCB">
            <w:pPr>
              <w:pStyle w:val="Tabletext"/>
            </w:pPr>
            <w:r w:rsidRPr="0022357A">
              <w:t xml:space="preserve">Brentuximab vedotin </w:t>
            </w:r>
          </w:p>
        </w:tc>
      </w:tr>
      <w:tr w:rsidR="0027404B" w:rsidRPr="0022357A" w:rsidTr="0056712A">
        <w:trPr>
          <w:cantSplit/>
        </w:trPr>
        <w:tc>
          <w:tcPr>
            <w:tcW w:w="876" w:type="pct"/>
            <w:shd w:val="clear" w:color="auto" w:fill="auto"/>
          </w:tcPr>
          <w:p w:rsidR="0027404B" w:rsidRPr="0022357A" w:rsidRDefault="0027404B" w:rsidP="00022DCB">
            <w:pPr>
              <w:pStyle w:val="Tabletext"/>
            </w:pPr>
            <w:r w:rsidRPr="0022357A">
              <w:t>Comparator</w:t>
            </w:r>
          </w:p>
        </w:tc>
        <w:tc>
          <w:tcPr>
            <w:tcW w:w="4124" w:type="pct"/>
            <w:vAlign w:val="center"/>
          </w:tcPr>
          <w:p w:rsidR="0027404B" w:rsidRPr="0022357A" w:rsidRDefault="0027404B" w:rsidP="00022DCB">
            <w:pPr>
              <w:pStyle w:val="Tabletext"/>
            </w:pPr>
            <w:r w:rsidRPr="0022357A">
              <w:t xml:space="preserve">Vorinostat (primary comparator). Methotrexate (supplementary comparator) </w:t>
            </w:r>
          </w:p>
        </w:tc>
      </w:tr>
      <w:tr w:rsidR="0027404B" w:rsidRPr="0022357A" w:rsidTr="0056712A">
        <w:trPr>
          <w:cantSplit/>
        </w:trPr>
        <w:tc>
          <w:tcPr>
            <w:tcW w:w="876" w:type="pct"/>
            <w:shd w:val="clear" w:color="auto" w:fill="auto"/>
          </w:tcPr>
          <w:p w:rsidR="0027404B" w:rsidRPr="0022357A" w:rsidRDefault="0027404B" w:rsidP="00022DCB">
            <w:pPr>
              <w:pStyle w:val="Tabletext"/>
            </w:pPr>
            <w:r w:rsidRPr="0022357A">
              <w:t>Outcomes</w:t>
            </w:r>
          </w:p>
        </w:tc>
        <w:tc>
          <w:tcPr>
            <w:tcW w:w="4124" w:type="pct"/>
            <w:vAlign w:val="center"/>
          </w:tcPr>
          <w:p w:rsidR="0027404B" w:rsidRPr="0022357A" w:rsidRDefault="00F9145D" w:rsidP="00022DCB">
            <w:pPr>
              <w:pStyle w:val="Tabletext"/>
            </w:pPr>
            <w:r w:rsidRPr="0022357A">
              <w:t xml:space="preserve">Objective </w:t>
            </w:r>
            <w:r w:rsidR="0027404B" w:rsidRPr="0022357A">
              <w:t>response rate, ORR4, complete response, progression-free survival and adverse events</w:t>
            </w:r>
          </w:p>
        </w:tc>
      </w:tr>
      <w:tr w:rsidR="0027404B" w:rsidRPr="0022357A" w:rsidTr="0056712A">
        <w:trPr>
          <w:cantSplit/>
        </w:trPr>
        <w:tc>
          <w:tcPr>
            <w:tcW w:w="876" w:type="pct"/>
            <w:shd w:val="clear" w:color="auto" w:fill="auto"/>
          </w:tcPr>
          <w:p w:rsidR="0027404B" w:rsidRPr="0022357A" w:rsidRDefault="0027404B" w:rsidP="00022DCB">
            <w:pPr>
              <w:pStyle w:val="Tabletext"/>
            </w:pPr>
            <w:r w:rsidRPr="0022357A">
              <w:t>Clinical claim</w:t>
            </w:r>
          </w:p>
        </w:tc>
        <w:tc>
          <w:tcPr>
            <w:tcW w:w="4124" w:type="pct"/>
            <w:vAlign w:val="center"/>
          </w:tcPr>
          <w:p w:rsidR="0027404B" w:rsidRPr="0022357A" w:rsidRDefault="0027404B" w:rsidP="00476D2E">
            <w:pPr>
              <w:pStyle w:val="Tabletext"/>
            </w:pPr>
            <w:r w:rsidRPr="0022357A">
              <w:t xml:space="preserve">In patients with relapsed or refractory </w:t>
            </w:r>
            <w:r w:rsidR="00C41ABE" w:rsidRPr="0022357A">
              <w:t>CD30+</w:t>
            </w:r>
            <w:r w:rsidRPr="0022357A">
              <w:t xml:space="preserve">CTCL, brentuximab vedotin is more effective than vorinostat </w:t>
            </w:r>
            <w:r w:rsidR="002B0B41" w:rsidRPr="0022357A">
              <w:t xml:space="preserve">or </w:t>
            </w:r>
            <w:r w:rsidRPr="0022357A">
              <w:t xml:space="preserve">methotrexate at </w:t>
            </w:r>
            <w:r w:rsidR="00896E73" w:rsidRPr="0022357A">
              <w:t xml:space="preserve">improving clinical response </w:t>
            </w:r>
            <w:r w:rsidRPr="0022357A">
              <w:t xml:space="preserve">(higher </w:t>
            </w:r>
            <w:r w:rsidR="00476D2E" w:rsidRPr="0022357A">
              <w:t xml:space="preserve">objective </w:t>
            </w:r>
            <w:r w:rsidRPr="0022357A">
              <w:t xml:space="preserve">response rate) and has a longer progression-free survival. Brentuximab vedotin has a different, non-inferior safety profile to </w:t>
            </w:r>
            <w:r w:rsidR="00C41ABE" w:rsidRPr="0022357A">
              <w:t xml:space="preserve">both </w:t>
            </w:r>
            <w:r w:rsidRPr="0022357A">
              <w:t xml:space="preserve">vorinostat and methotrexate that is considered tolerable and manageable. </w:t>
            </w:r>
          </w:p>
        </w:tc>
      </w:tr>
    </w:tbl>
    <w:p w:rsidR="0027404B" w:rsidRPr="0022357A" w:rsidRDefault="0027404B" w:rsidP="0027404B">
      <w:pPr>
        <w:pStyle w:val="TableFooter"/>
      </w:pPr>
      <w:r w:rsidRPr="0022357A">
        <w:t xml:space="preserve">Source: 1.1-1, p21 of the submission </w:t>
      </w:r>
    </w:p>
    <w:p w:rsidR="0027404B" w:rsidRPr="0022357A" w:rsidRDefault="0027404B" w:rsidP="0027404B">
      <w:pPr>
        <w:pStyle w:val="TableFooter"/>
      </w:pPr>
      <w:r w:rsidRPr="0022357A">
        <w:t xml:space="preserve">CTCL = cutaneous T-cell lymphoma; ORR4 = </w:t>
      </w:r>
      <w:r w:rsidR="003D02C0" w:rsidRPr="0022357A">
        <w:t xml:space="preserve">objective </w:t>
      </w:r>
      <w:r w:rsidRPr="0022357A">
        <w:t>global response lasting 4 months</w:t>
      </w:r>
    </w:p>
    <w:p w:rsidR="00B60939" w:rsidRPr="0022357A" w:rsidRDefault="00B50DB8" w:rsidP="0027404B">
      <w:pPr>
        <w:pStyle w:val="PBACHeading1"/>
        <w:keepNext/>
      </w:pPr>
      <w:bookmarkStart w:id="1" w:name="_Toc514237304"/>
      <w:r w:rsidRPr="0022357A">
        <w:t>Requested listing</w:t>
      </w:r>
      <w:bookmarkEnd w:id="1"/>
    </w:p>
    <w:tbl>
      <w:tblPr>
        <w:tblW w:w="5000" w:type="pct"/>
        <w:tblCellMar>
          <w:left w:w="28" w:type="dxa"/>
          <w:right w:w="28" w:type="dxa"/>
        </w:tblCellMar>
        <w:tblLook w:val="0000" w:firstRow="0" w:lastRow="0" w:firstColumn="0" w:lastColumn="0" w:noHBand="0" w:noVBand="0"/>
      </w:tblPr>
      <w:tblGrid>
        <w:gridCol w:w="2154"/>
        <w:gridCol w:w="1134"/>
        <w:gridCol w:w="1702"/>
        <w:gridCol w:w="2291"/>
        <w:gridCol w:w="1802"/>
      </w:tblGrid>
      <w:tr w:rsidR="0027404B" w:rsidRPr="0022357A" w:rsidTr="0056712A">
        <w:trPr>
          <w:cantSplit/>
          <w:trHeight w:val="463"/>
        </w:trPr>
        <w:tc>
          <w:tcPr>
            <w:tcW w:w="1186" w:type="pct"/>
            <w:tcBorders>
              <w:top w:val="single" w:sz="4" w:space="0" w:color="auto"/>
              <w:bottom w:val="single" w:sz="4" w:space="0" w:color="auto"/>
            </w:tcBorders>
            <w:vAlign w:val="center"/>
          </w:tcPr>
          <w:p w:rsidR="0027404B" w:rsidRPr="0022357A" w:rsidRDefault="0027404B" w:rsidP="00022DCB">
            <w:pPr>
              <w:keepNext/>
              <w:jc w:val="left"/>
              <w:rPr>
                <w:rFonts w:ascii="Arial Narrow" w:hAnsi="Arial Narrow"/>
                <w:b/>
                <w:sz w:val="20"/>
              </w:rPr>
            </w:pPr>
            <w:r w:rsidRPr="0022357A">
              <w:rPr>
                <w:rFonts w:ascii="Arial Narrow" w:hAnsi="Arial Narrow"/>
                <w:b/>
                <w:sz w:val="20"/>
              </w:rPr>
              <w:t>Name, Restriction,</w:t>
            </w:r>
          </w:p>
          <w:p w:rsidR="0027404B" w:rsidRPr="0022357A" w:rsidRDefault="0027404B" w:rsidP="00022DCB">
            <w:pPr>
              <w:keepNext/>
              <w:jc w:val="left"/>
              <w:rPr>
                <w:rFonts w:ascii="Arial Narrow" w:hAnsi="Arial Narrow"/>
                <w:b/>
                <w:sz w:val="20"/>
              </w:rPr>
            </w:pPr>
            <w:r w:rsidRPr="0022357A">
              <w:rPr>
                <w:rFonts w:ascii="Arial Narrow" w:hAnsi="Arial Narrow"/>
                <w:b/>
                <w:sz w:val="20"/>
              </w:rPr>
              <w:t>Manner of administration and form</w:t>
            </w:r>
          </w:p>
        </w:tc>
        <w:tc>
          <w:tcPr>
            <w:tcW w:w="624" w:type="pct"/>
            <w:tcBorders>
              <w:top w:val="single" w:sz="4" w:space="0" w:color="auto"/>
              <w:bottom w:val="single" w:sz="4" w:space="0" w:color="auto"/>
            </w:tcBorders>
            <w:vAlign w:val="center"/>
          </w:tcPr>
          <w:p w:rsidR="0027404B" w:rsidRPr="0022357A" w:rsidRDefault="0027404B" w:rsidP="0056712A">
            <w:pPr>
              <w:keepNext/>
              <w:jc w:val="left"/>
              <w:rPr>
                <w:rFonts w:ascii="Arial Narrow" w:hAnsi="Arial Narrow"/>
                <w:b/>
                <w:sz w:val="20"/>
              </w:rPr>
            </w:pPr>
            <w:r w:rsidRPr="0022357A">
              <w:rPr>
                <w:rFonts w:ascii="Arial Narrow" w:hAnsi="Arial Narrow"/>
                <w:b/>
                <w:sz w:val="20"/>
              </w:rPr>
              <w:t>Max</w:t>
            </w:r>
            <w:r w:rsidR="0056712A">
              <w:rPr>
                <w:rFonts w:ascii="Arial Narrow" w:hAnsi="Arial Narrow"/>
                <w:b/>
                <w:sz w:val="20"/>
              </w:rPr>
              <w:t>.</w:t>
            </w:r>
            <w:r w:rsidRPr="0022357A">
              <w:rPr>
                <w:rFonts w:ascii="Arial Narrow" w:hAnsi="Arial Narrow"/>
                <w:b/>
                <w:sz w:val="20"/>
              </w:rPr>
              <w:t xml:space="preserve"> Amt</w:t>
            </w:r>
            <w:r w:rsidR="0056712A">
              <w:rPr>
                <w:rFonts w:ascii="Arial Narrow" w:hAnsi="Arial Narrow"/>
                <w:b/>
                <w:sz w:val="20"/>
              </w:rPr>
              <w:t>.</w:t>
            </w:r>
          </w:p>
        </w:tc>
        <w:tc>
          <w:tcPr>
            <w:tcW w:w="937" w:type="pct"/>
            <w:tcBorders>
              <w:top w:val="single" w:sz="4" w:space="0" w:color="auto"/>
              <w:bottom w:val="single" w:sz="4" w:space="0" w:color="auto"/>
            </w:tcBorders>
            <w:vAlign w:val="center"/>
          </w:tcPr>
          <w:p w:rsidR="0027404B" w:rsidRPr="0022357A" w:rsidRDefault="0027404B" w:rsidP="0056712A">
            <w:pPr>
              <w:keepNext/>
              <w:jc w:val="left"/>
              <w:rPr>
                <w:rFonts w:ascii="Arial Narrow" w:hAnsi="Arial Narrow"/>
                <w:b/>
                <w:sz w:val="20"/>
              </w:rPr>
            </w:pPr>
            <w:r w:rsidRPr="0022357A">
              <w:rPr>
                <w:rFonts w:ascii="Arial Narrow" w:hAnsi="Arial Narrow" w:cs="Times New Roman"/>
                <w:b/>
                <w:sz w:val="20"/>
              </w:rPr>
              <w:t>№</w:t>
            </w:r>
            <w:r w:rsidRPr="0022357A">
              <w:rPr>
                <w:rFonts w:ascii="Arial Narrow" w:hAnsi="Arial Narrow"/>
                <w:b/>
                <w:sz w:val="20"/>
              </w:rPr>
              <w:t>.of</w:t>
            </w:r>
          </w:p>
          <w:p w:rsidR="0027404B" w:rsidRPr="0022357A" w:rsidRDefault="0027404B" w:rsidP="0056712A">
            <w:pPr>
              <w:keepNext/>
              <w:jc w:val="left"/>
              <w:rPr>
                <w:rFonts w:ascii="Arial Narrow" w:hAnsi="Arial Narrow"/>
                <w:b/>
                <w:sz w:val="20"/>
              </w:rPr>
            </w:pPr>
            <w:r w:rsidRPr="0022357A">
              <w:rPr>
                <w:rFonts w:ascii="Arial Narrow" w:hAnsi="Arial Narrow"/>
                <w:b/>
                <w:sz w:val="20"/>
              </w:rPr>
              <w:t>Rpts</w:t>
            </w:r>
          </w:p>
        </w:tc>
        <w:tc>
          <w:tcPr>
            <w:tcW w:w="1261" w:type="pct"/>
            <w:tcBorders>
              <w:top w:val="single" w:sz="4" w:space="0" w:color="auto"/>
              <w:bottom w:val="single" w:sz="4" w:space="0" w:color="auto"/>
            </w:tcBorders>
            <w:vAlign w:val="center"/>
          </w:tcPr>
          <w:p w:rsidR="0027404B" w:rsidRPr="0022357A" w:rsidRDefault="0027404B" w:rsidP="0056712A">
            <w:pPr>
              <w:keepNext/>
              <w:jc w:val="left"/>
              <w:rPr>
                <w:rFonts w:ascii="Arial Narrow" w:hAnsi="Arial Narrow"/>
                <w:b/>
                <w:sz w:val="20"/>
              </w:rPr>
            </w:pPr>
            <w:r w:rsidRPr="0022357A">
              <w:rPr>
                <w:rFonts w:ascii="Arial Narrow" w:hAnsi="Arial Narrow"/>
                <w:b/>
                <w:sz w:val="20"/>
              </w:rPr>
              <w:t xml:space="preserve">Dispensed Price </w:t>
            </w:r>
            <w:r w:rsidRPr="0022357A">
              <w:rPr>
                <w:rFonts w:ascii="Arial Narrow" w:hAnsi="Arial Narrow"/>
                <w:b/>
                <w:sz w:val="20"/>
              </w:rPr>
              <w:br/>
              <w:t>Max</w:t>
            </w:r>
            <w:r w:rsidR="0056712A">
              <w:rPr>
                <w:rFonts w:ascii="Arial Narrow" w:hAnsi="Arial Narrow"/>
                <w:b/>
                <w:sz w:val="20"/>
              </w:rPr>
              <w:t>.</w:t>
            </w:r>
            <w:r w:rsidRPr="0022357A">
              <w:rPr>
                <w:rFonts w:ascii="Arial Narrow" w:hAnsi="Arial Narrow"/>
                <w:b/>
                <w:sz w:val="20"/>
              </w:rPr>
              <w:t xml:space="preserve"> Amt</w:t>
            </w:r>
            <w:r w:rsidR="0056712A">
              <w:rPr>
                <w:rFonts w:ascii="Arial Narrow" w:hAnsi="Arial Narrow"/>
                <w:b/>
                <w:sz w:val="20"/>
              </w:rPr>
              <w:t>.</w:t>
            </w:r>
          </w:p>
        </w:tc>
        <w:tc>
          <w:tcPr>
            <w:tcW w:w="992" w:type="pct"/>
            <w:tcBorders>
              <w:top w:val="single" w:sz="4" w:space="0" w:color="auto"/>
              <w:bottom w:val="single" w:sz="4" w:space="0" w:color="auto"/>
            </w:tcBorders>
            <w:vAlign w:val="center"/>
          </w:tcPr>
          <w:p w:rsidR="0027404B" w:rsidRPr="0022357A" w:rsidRDefault="0027404B" w:rsidP="00022DCB">
            <w:pPr>
              <w:keepNext/>
              <w:jc w:val="center"/>
              <w:rPr>
                <w:rFonts w:ascii="Arial Narrow" w:hAnsi="Arial Narrow"/>
                <w:b/>
                <w:sz w:val="20"/>
              </w:rPr>
            </w:pPr>
            <w:r w:rsidRPr="0022357A">
              <w:rPr>
                <w:rFonts w:ascii="Arial Narrow" w:hAnsi="Arial Narrow"/>
                <w:b/>
                <w:sz w:val="20"/>
              </w:rPr>
              <w:t>Proprietary Name and Manufacturer</w:t>
            </w:r>
          </w:p>
        </w:tc>
      </w:tr>
      <w:tr w:rsidR="0027404B" w:rsidRPr="0022357A" w:rsidTr="0056712A">
        <w:trPr>
          <w:cantSplit/>
          <w:trHeight w:val="567"/>
        </w:trPr>
        <w:tc>
          <w:tcPr>
            <w:tcW w:w="1186" w:type="pct"/>
          </w:tcPr>
          <w:p w:rsidR="0027404B" w:rsidRPr="0022357A" w:rsidRDefault="0027404B" w:rsidP="00DA4C7B">
            <w:pPr>
              <w:keepNext/>
              <w:jc w:val="left"/>
              <w:rPr>
                <w:rFonts w:ascii="Arial Narrow" w:hAnsi="Arial Narrow"/>
                <w:smallCaps/>
                <w:sz w:val="20"/>
              </w:rPr>
            </w:pPr>
            <w:r w:rsidRPr="0022357A">
              <w:rPr>
                <w:rFonts w:ascii="Arial Narrow" w:hAnsi="Arial Narrow"/>
                <w:smallCaps/>
                <w:sz w:val="20"/>
              </w:rPr>
              <w:t xml:space="preserve">Brentuximab Vedotin </w:t>
            </w:r>
          </w:p>
          <w:p w:rsidR="0027404B" w:rsidRPr="0022357A" w:rsidRDefault="0027404B" w:rsidP="00DA4C7B">
            <w:pPr>
              <w:keepNext/>
              <w:jc w:val="left"/>
              <w:rPr>
                <w:rFonts w:ascii="Arial Narrow" w:hAnsi="Arial Narrow"/>
                <w:sz w:val="20"/>
              </w:rPr>
            </w:pPr>
            <w:r w:rsidRPr="0022357A">
              <w:rPr>
                <w:rFonts w:ascii="Arial Narrow" w:hAnsi="Arial Narrow"/>
                <w:sz w:val="20"/>
              </w:rPr>
              <w:t>50 mg</w:t>
            </w:r>
            <w:r w:rsidR="00C41ABE" w:rsidRPr="0022357A">
              <w:rPr>
                <w:rFonts w:ascii="Arial Narrow" w:hAnsi="Arial Narrow"/>
                <w:sz w:val="20"/>
              </w:rPr>
              <w:t xml:space="preserve"> </w:t>
            </w:r>
            <w:r w:rsidRPr="0022357A">
              <w:rPr>
                <w:rFonts w:ascii="Arial Narrow" w:hAnsi="Arial Narrow"/>
                <w:sz w:val="20"/>
              </w:rPr>
              <w:t>injection</w:t>
            </w:r>
            <w:r w:rsidR="00C41ABE" w:rsidRPr="0022357A">
              <w:rPr>
                <w:rFonts w:ascii="Arial Narrow" w:hAnsi="Arial Narrow"/>
                <w:sz w:val="20"/>
              </w:rPr>
              <w:t>, 1</w:t>
            </w:r>
            <w:r w:rsidRPr="0022357A">
              <w:rPr>
                <w:rFonts w:ascii="Arial Narrow" w:hAnsi="Arial Narrow"/>
                <w:sz w:val="20"/>
              </w:rPr>
              <w:t>vial</w:t>
            </w:r>
          </w:p>
        </w:tc>
        <w:tc>
          <w:tcPr>
            <w:tcW w:w="624" w:type="pct"/>
          </w:tcPr>
          <w:p w:rsidR="0027404B" w:rsidRPr="0022357A" w:rsidRDefault="0027404B" w:rsidP="00DA4C7B">
            <w:pPr>
              <w:keepNext/>
              <w:jc w:val="left"/>
              <w:rPr>
                <w:rFonts w:ascii="Arial Narrow" w:hAnsi="Arial Narrow"/>
                <w:sz w:val="20"/>
              </w:rPr>
            </w:pPr>
          </w:p>
          <w:p w:rsidR="0027404B" w:rsidRPr="0022357A" w:rsidRDefault="0027404B" w:rsidP="00DA4C7B">
            <w:pPr>
              <w:keepNext/>
              <w:jc w:val="left"/>
              <w:rPr>
                <w:rFonts w:ascii="Arial Narrow" w:hAnsi="Arial Narrow"/>
                <w:sz w:val="20"/>
              </w:rPr>
            </w:pPr>
            <w:r w:rsidRPr="0022357A">
              <w:rPr>
                <w:rFonts w:ascii="Arial Narrow" w:hAnsi="Arial Narrow"/>
                <w:sz w:val="20"/>
              </w:rPr>
              <w:t>200 mg</w:t>
            </w:r>
          </w:p>
        </w:tc>
        <w:tc>
          <w:tcPr>
            <w:tcW w:w="937" w:type="pct"/>
          </w:tcPr>
          <w:p w:rsidR="0027404B" w:rsidRPr="0022357A" w:rsidRDefault="0027404B" w:rsidP="00DA4C7B">
            <w:pPr>
              <w:keepNext/>
              <w:jc w:val="left"/>
              <w:rPr>
                <w:rFonts w:ascii="Arial Narrow" w:hAnsi="Arial Narrow"/>
                <w:sz w:val="20"/>
              </w:rPr>
            </w:pPr>
          </w:p>
          <w:p w:rsidR="0027404B" w:rsidRPr="0022357A" w:rsidRDefault="0076173F" w:rsidP="00DA4C7B">
            <w:pPr>
              <w:keepNext/>
              <w:jc w:val="left"/>
              <w:rPr>
                <w:rFonts w:ascii="Arial Narrow" w:hAnsi="Arial Narrow"/>
                <w:sz w:val="20"/>
              </w:rPr>
            </w:pPr>
            <w:r w:rsidRPr="0022357A">
              <w:rPr>
                <w:rFonts w:ascii="Arial Narrow" w:hAnsi="Arial Narrow"/>
                <w:sz w:val="20"/>
              </w:rPr>
              <w:t>Initial</w:t>
            </w:r>
            <w:r w:rsidR="0027404B" w:rsidRPr="0022357A">
              <w:rPr>
                <w:rFonts w:ascii="Arial Narrow" w:hAnsi="Arial Narrow"/>
                <w:sz w:val="20"/>
              </w:rPr>
              <w:t>: 3</w:t>
            </w:r>
          </w:p>
          <w:p w:rsidR="0027404B" w:rsidRPr="0022357A" w:rsidRDefault="0027404B" w:rsidP="00DA4C7B">
            <w:pPr>
              <w:keepNext/>
              <w:jc w:val="left"/>
              <w:rPr>
                <w:rFonts w:ascii="Arial Narrow" w:hAnsi="Arial Narrow"/>
                <w:sz w:val="20"/>
              </w:rPr>
            </w:pPr>
            <w:r w:rsidRPr="0022357A">
              <w:rPr>
                <w:rFonts w:ascii="Arial Narrow" w:hAnsi="Arial Narrow"/>
                <w:sz w:val="20"/>
              </w:rPr>
              <w:t>Continuing: 11</w:t>
            </w:r>
          </w:p>
        </w:tc>
        <w:tc>
          <w:tcPr>
            <w:tcW w:w="1261" w:type="pct"/>
          </w:tcPr>
          <w:p w:rsidR="0027404B" w:rsidRPr="0022357A" w:rsidRDefault="0027404B" w:rsidP="00DA4C7B">
            <w:pPr>
              <w:keepNext/>
              <w:jc w:val="left"/>
              <w:rPr>
                <w:rFonts w:ascii="Arial Narrow" w:hAnsi="Arial Narrow"/>
                <w:sz w:val="20"/>
              </w:rPr>
            </w:pPr>
            <w:r w:rsidRPr="0022357A">
              <w:rPr>
                <w:rFonts w:ascii="Arial Narrow" w:hAnsi="Arial Narrow"/>
                <w:sz w:val="20"/>
              </w:rPr>
              <w:t>Effective</w:t>
            </w:r>
          </w:p>
          <w:p w:rsidR="0027404B" w:rsidRPr="0022357A" w:rsidRDefault="0027404B" w:rsidP="00DA4C7B">
            <w:pPr>
              <w:keepNext/>
              <w:jc w:val="left"/>
              <w:rPr>
                <w:rFonts w:ascii="Arial Narrow" w:hAnsi="Arial Narrow"/>
                <w:sz w:val="20"/>
              </w:rPr>
            </w:pPr>
            <w:r w:rsidRPr="0022357A">
              <w:rPr>
                <w:rFonts w:ascii="Arial Narrow" w:hAnsi="Arial Narrow"/>
                <w:sz w:val="20"/>
              </w:rPr>
              <w:t>Private $</w:t>
            </w:r>
            <w:r w:rsidR="00F72571">
              <w:rPr>
                <w:rFonts w:ascii="Arial Narrow" w:hAnsi="Arial Narrow"/>
                <w:noProof/>
                <w:color w:val="000000"/>
                <w:sz w:val="20"/>
                <w:highlight w:val="black"/>
              </w:rPr>
              <w:t>'''''''''''''''''''''''</w:t>
            </w:r>
          </w:p>
          <w:p w:rsidR="0027404B" w:rsidRPr="0022357A" w:rsidRDefault="0027404B" w:rsidP="00DA4C7B">
            <w:pPr>
              <w:keepNext/>
              <w:jc w:val="left"/>
              <w:rPr>
                <w:rFonts w:ascii="Arial Narrow" w:hAnsi="Arial Narrow"/>
                <w:sz w:val="20"/>
              </w:rPr>
            </w:pPr>
            <w:r w:rsidRPr="0022357A">
              <w:rPr>
                <w:rFonts w:ascii="Arial Narrow" w:hAnsi="Arial Narrow"/>
                <w:sz w:val="20"/>
              </w:rPr>
              <w:t>Public $</w:t>
            </w:r>
            <w:r w:rsidR="00F72571">
              <w:rPr>
                <w:rFonts w:ascii="Arial Narrow" w:hAnsi="Arial Narrow"/>
                <w:noProof/>
                <w:color w:val="000000"/>
                <w:sz w:val="20"/>
                <w:highlight w:val="black"/>
              </w:rPr>
              <w:t>'''''''''''''''''''''''</w:t>
            </w:r>
          </w:p>
          <w:p w:rsidR="0027404B" w:rsidRPr="0022357A" w:rsidRDefault="0027404B" w:rsidP="00DA4C7B">
            <w:pPr>
              <w:keepNext/>
              <w:jc w:val="left"/>
              <w:rPr>
                <w:rFonts w:ascii="Arial Narrow" w:hAnsi="Arial Narrow"/>
                <w:sz w:val="20"/>
              </w:rPr>
            </w:pPr>
            <w:r w:rsidRPr="0022357A">
              <w:rPr>
                <w:rFonts w:ascii="Arial Narrow" w:hAnsi="Arial Narrow"/>
                <w:sz w:val="20"/>
              </w:rPr>
              <w:t>Published</w:t>
            </w:r>
          </w:p>
          <w:p w:rsidR="0027404B" w:rsidRPr="0022357A" w:rsidRDefault="0027404B" w:rsidP="00DA4C7B">
            <w:pPr>
              <w:keepNext/>
              <w:jc w:val="left"/>
              <w:rPr>
                <w:rFonts w:ascii="Arial Narrow" w:hAnsi="Arial Narrow"/>
                <w:sz w:val="20"/>
              </w:rPr>
            </w:pPr>
            <w:r w:rsidRPr="0022357A">
              <w:rPr>
                <w:rFonts w:ascii="Arial Narrow" w:hAnsi="Arial Narrow"/>
                <w:sz w:val="20"/>
              </w:rPr>
              <w:t>Private $</w:t>
            </w:r>
            <w:r w:rsidRPr="00406B77">
              <w:rPr>
                <w:rFonts w:ascii="Arial Narrow" w:hAnsi="Arial Narrow"/>
                <w:sz w:val="20"/>
              </w:rPr>
              <w:t>21,427.47</w:t>
            </w:r>
          </w:p>
          <w:p w:rsidR="0027404B" w:rsidRPr="0022357A" w:rsidRDefault="0027404B" w:rsidP="00DA4C7B">
            <w:pPr>
              <w:keepNext/>
              <w:jc w:val="left"/>
              <w:rPr>
                <w:rFonts w:ascii="Arial Narrow" w:hAnsi="Arial Narrow"/>
                <w:sz w:val="20"/>
              </w:rPr>
            </w:pPr>
            <w:r w:rsidRPr="0022357A">
              <w:rPr>
                <w:rFonts w:ascii="Arial Narrow" w:hAnsi="Arial Narrow"/>
                <w:sz w:val="20"/>
              </w:rPr>
              <w:t xml:space="preserve">Public $ </w:t>
            </w:r>
            <w:r w:rsidRPr="00406B77">
              <w:rPr>
                <w:rFonts w:ascii="Arial Narrow" w:hAnsi="Arial Narrow"/>
                <w:sz w:val="20"/>
              </w:rPr>
              <w:t>21,283.83</w:t>
            </w:r>
          </w:p>
        </w:tc>
        <w:tc>
          <w:tcPr>
            <w:tcW w:w="992" w:type="pct"/>
          </w:tcPr>
          <w:p w:rsidR="0027404B" w:rsidRPr="0022357A" w:rsidRDefault="0027404B" w:rsidP="00DA4C7B">
            <w:pPr>
              <w:keepNext/>
              <w:jc w:val="left"/>
              <w:rPr>
                <w:rFonts w:ascii="Arial Narrow" w:hAnsi="Arial Narrow"/>
                <w:sz w:val="20"/>
              </w:rPr>
            </w:pPr>
            <w:r w:rsidRPr="0022357A">
              <w:rPr>
                <w:rFonts w:ascii="Arial Narrow" w:hAnsi="Arial Narrow"/>
                <w:sz w:val="20"/>
              </w:rPr>
              <w:t xml:space="preserve">Adcetris </w:t>
            </w:r>
          </w:p>
          <w:p w:rsidR="0027404B" w:rsidRPr="0022357A" w:rsidRDefault="0027404B" w:rsidP="00DA4C7B">
            <w:pPr>
              <w:keepNext/>
              <w:jc w:val="left"/>
              <w:rPr>
                <w:rFonts w:ascii="Arial Narrow" w:hAnsi="Arial Narrow"/>
                <w:sz w:val="20"/>
              </w:rPr>
            </w:pPr>
            <w:r w:rsidRPr="0022357A">
              <w:rPr>
                <w:rFonts w:ascii="Arial Narrow" w:hAnsi="Arial Narrow"/>
                <w:sz w:val="20"/>
              </w:rPr>
              <w:t>Takeda Pharmaceuticals Australia Pty Ltd</w:t>
            </w:r>
          </w:p>
        </w:tc>
      </w:tr>
      <w:tr w:rsidR="0027404B" w:rsidRPr="0022357A" w:rsidTr="00567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6" w:type="pct"/>
            <w:tcBorders>
              <w:top w:val="single" w:sz="4" w:space="0" w:color="auto"/>
              <w:left w:val="single" w:sz="4" w:space="0" w:color="auto"/>
              <w:bottom w:val="single" w:sz="4" w:space="0" w:color="auto"/>
              <w:right w:val="single" w:sz="4" w:space="0" w:color="auto"/>
            </w:tcBorders>
            <w:hideMark/>
          </w:tcPr>
          <w:p w:rsidR="0027404B" w:rsidRPr="0022357A" w:rsidRDefault="0027404B" w:rsidP="00022DCB">
            <w:pPr>
              <w:pStyle w:val="Tabletext"/>
              <w:rPr>
                <w:lang w:eastAsia="en-AU"/>
              </w:rPr>
            </w:pPr>
            <w:r w:rsidRPr="0022357A">
              <w:rPr>
                <w:lang w:eastAsia="en-AU"/>
              </w:rPr>
              <w:t>Category/Program:</w:t>
            </w:r>
          </w:p>
        </w:tc>
        <w:tc>
          <w:tcPr>
            <w:tcW w:w="3814" w:type="pct"/>
            <w:gridSpan w:val="4"/>
            <w:tcBorders>
              <w:top w:val="single" w:sz="4" w:space="0" w:color="auto"/>
              <w:left w:val="single" w:sz="4" w:space="0" w:color="auto"/>
              <w:bottom w:val="single" w:sz="4" w:space="0" w:color="auto"/>
              <w:right w:val="single" w:sz="4" w:space="0" w:color="auto"/>
            </w:tcBorders>
          </w:tcPr>
          <w:p w:rsidR="0027404B" w:rsidRPr="0022357A" w:rsidRDefault="0027404B" w:rsidP="00022DCB">
            <w:pPr>
              <w:pStyle w:val="Tabletext"/>
              <w:rPr>
                <w:lang w:eastAsia="en-AU"/>
              </w:rPr>
            </w:pPr>
            <w:r w:rsidRPr="0022357A">
              <w:rPr>
                <w:lang w:eastAsia="en-AU"/>
              </w:rPr>
              <w:t>Section 100 – Efficient Funding for Chemotherapy</w:t>
            </w:r>
          </w:p>
        </w:tc>
      </w:tr>
      <w:tr w:rsidR="0027404B" w:rsidRPr="0022357A" w:rsidTr="00567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6" w:type="pct"/>
            <w:tcBorders>
              <w:top w:val="single" w:sz="4" w:space="0" w:color="auto"/>
              <w:left w:val="single" w:sz="4" w:space="0" w:color="auto"/>
              <w:bottom w:val="single" w:sz="4" w:space="0" w:color="auto"/>
              <w:right w:val="single" w:sz="4" w:space="0" w:color="auto"/>
            </w:tcBorders>
            <w:hideMark/>
          </w:tcPr>
          <w:p w:rsidR="0027404B" w:rsidRPr="0022357A" w:rsidRDefault="0027404B" w:rsidP="00022DCB">
            <w:pPr>
              <w:pStyle w:val="Tabletext"/>
              <w:rPr>
                <w:lang w:eastAsia="en-AU"/>
              </w:rPr>
            </w:pPr>
            <w:r w:rsidRPr="0022357A">
              <w:rPr>
                <w:lang w:eastAsia="en-AU"/>
              </w:rPr>
              <w:t>PBS indication:</w:t>
            </w:r>
          </w:p>
        </w:tc>
        <w:tc>
          <w:tcPr>
            <w:tcW w:w="3814" w:type="pct"/>
            <w:gridSpan w:val="4"/>
            <w:tcBorders>
              <w:top w:val="single" w:sz="4" w:space="0" w:color="auto"/>
              <w:left w:val="single" w:sz="4" w:space="0" w:color="auto"/>
              <w:bottom w:val="single" w:sz="4" w:space="0" w:color="auto"/>
              <w:right w:val="single" w:sz="4" w:space="0" w:color="auto"/>
            </w:tcBorders>
          </w:tcPr>
          <w:p w:rsidR="0027404B" w:rsidRPr="0022357A" w:rsidRDefault="0027404B" w:rsidP="00022DCB">
            <w:pPr>
              <w:pStyle w:val="Tabletext"/>
              <w:rPr>
                <w:lang w:eastAsia="en-AU"/>
              </w:rPr>
            </w:pPr>
            <w:r w:rsidRPr="0022357A">
              <w:rPr>
                <w:lang w:eastAsia="en-AU"/>
              </w:rPr>
              <w:t>CD30 positive cutaneous T-cell lymphoma</w:t>
            </w:r>
          </w:p>
        </w:tc>
      </w:tr>
      <w:tr w:rsidR="0027404B" w:rsidRPr="0022357A" w:rsidTr="00567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6" w:type="pct"/>
            <w:tcBorders>
              <w:top w:val="single" w:sz="4" w:space="0" w:color="auto"/>
              <w:left w:val="single" w:sz="4" w:space="0" w:color="auto"/>
              <w:bottom w:val="single" w:sz="4" w:space="0" w:color="auto"/>
              <w:right w:val="single" w:sz="4" w:space="0" w:color="auto"/>
            </w:tcBorders>
            <w:hideMark/>
          </w:tcPr>
          <w:p w:rsidR="0027404B" w:rsidRPr="0022357A" w:rsidRDefault="0027404B" w:rsidP="00022DCB">
            <w:pPr>
              <w:pStyle w:val="Tabletext"/>
              <w:rPr>
                <w:lang w:eastAsia="en-AU"/>
              </w:rPr>
            </w:pPr>
            <w:r w:rsidRPr="0022357A">
              <w:rPr>
                <w:lang w:eastAsia="en-AU"/>
              </w:rPr>
              <w:t>Treatment phase:</w:t>
            </w:r>
          </w:p>
        </w:tc>
        <w:tc>
          <w:tcPr>
            <w:tcW w:w="3814" w:type="pct"/>
            <w:gridSpan w:val="4"/>
            <w:tcBorders>
              <w:top w:val="single" w:sz="4" w:space="0" w:color="auto"/>
              <w:left w:val="single" w:sz="4" w:space="0" w:color="auto"/>
              <w:bottom w:val="single" w:sz="4" w:space="0" w:color="auto"/>
              <w:right w:val="single" w:sz="4" w:space="0" w:color="auto"/>
            </w:tcBorders>
          </w:tcPr>
          <w:p w:rsidR="0027404B" w:rsidRPr="0022357A" w:rsidRDefault="0027404B" w:rsidP="00022DCB">
            <w:pPr>
              <w:pStyle w:val="Tabletext"/>
              <w:rPr>
                <w:lang w:eastAsia="en-AU"/>
              </w:rPr>
            </w:pPr>
            <w:r w:rsidRPr="0022357A">
              <w:rPr>
                <w:lang w:eastAsia="en-AU"/>
              </w:rPr>
              <w:t>Initial and continuing</w:t>
            </w:r>
          </w:p>
        </w:tc>
      </w:tr>
      <w:tr w:rsidR="0027404B" w:rsidRPr="0022357A" w:rsidTr="00567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6" w:type="pct"/>
            <w:tcBorders>
              <w:top w:val="single" w:sz="4" w:space="0" w:color="auto"/>
              <w:left w:val="single" w:sz="4" w:space="0" w:color="auto"/>
              <w:bottom w:val="single" w:sz="4" w:space="0" w:color="auto"/>
              <w:right w:val="single" w:sz="4" w:space="0" w:color="auto"/>
            </w:tcBorders>
            <w:hideMark/>
          </w:tcPr>
          <w:p w:rsidR="0027404B" w:rsidRPr="0022357A" w:rsidRDefault="0027404B" w:rsidP="00022DCB">
            <w:pPr>
              <w:pStyle w:val="Tabletext"/>
              <w:rPr>
                <w:lang w:eastAsia="en-AU"/>
              </w:rPr>
            </w:pPr>
            <w:r w:rsidRPr="0022357A">
              <w:rPr>
                <w:lang w:eastAsia="en-AU"/>
              </w:rPr>
              <w:t>Restriction:</w:t>
            </w:r>
          </w:p>
        </w:tc>
        <w:tc>
          <w:tcPr>
            <w:tcW w:w="3814" w:type="pct"/>
            <w:gridSpan w:val="4"/>
            <w:tcBorders>
              <w:top w:val="single" w:sz="4" w:space="0" w:color="auto"/>
              <w:left w:val="single" w:sz="4" w:space="0" w:color="auto"/>
              <w:bottom w:val="single" w:sz="4" w:space="0" w:color="auto"/>
              <w:right w:val="single" w:sz="4" w:space="0" w:color="auto"/>
            </w:tcBorders>
          </w:tcPr>
          <w:p w:rsidR="0027404B" w:rsidRPr="0022357A" w:rsidRDefault="0027404B" w:rsidP="00022DCB">
            <w:pPr>
              <w:pStyle w:val="Tabletext"/>
              <w:rPr>
                <w:lang w:eastAsia="en-AU"/>
              </w:rPr>
            </w:pPr>
            <w:r w:rsidRPr="0022357A">
              <w:rPr>
                <w:lang w:eastAsia="en-AU"/>
              </w:rPr>
              <w:t>Authority Required (In Writing – Initial) (Telephone – Continuing)</w:t>
            </w:r>
          </w:p>
        </w:tc>
      </w:tr>
      <w:tr w:rsidR="0027404B" w:rsidRPr="0022357A" w:rsidTr="00567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186" w:type="pct"/>
            <w:tcBorders>
              <w:top w:val="single" w:sz="4" w:space="0" w:color="auto"/>
              <w:left w:val="single" w:sz="4" w:space="0" w:color="auto"/>
              <w:bottom w:val="single" w:sz="4" w:space="0" w:color="auto"/>
              <w:right w:val="single" w:sz="4" w:space="0" w:color="auto"/>
            </w:tcBorders>
            <w:hideMark/>
          </w:tcPr>
          <w:p w:rsidR="0027404B" w:rsidRPr="0022357A" w:rsidRDefault="0027404B" w:rsidP="00022DCB">
            <w:pPr>
              <w:pStyle w:val="Tabletext"/>
              <w:rPr>
                <w:lang w:eastAsia="en-AU"/>
              </w:rPr>
            </w:pPr>
            <w:r w:rsidRPr="0022357A">
              <w:rPr>
                <w:lang w:eastAsia="en-AU"/>
              </w:rPr>
              <w:lastRenderedPageBreak/>
              <w:t>Clinical criteria:</w:t>
            </w:r>
          </w:p>
        </w:tc>
        <w:tc>
          <w:tcPr>
            <w:tcW w:w="3814" w:type="pct"/>
            <w:gridSpan w:val="4"/>
            <w:tcBorders>
              <w:top w:val="single" w:sz="4" w:space="0" w:color="auto"/>
              <w:left w:val="single" w:sz="4" w:space="0" w:color="auto"/>
              <w:bottom w:val="single" w:sz="4" w:space="0" w:color="auto"/>
              <w:right w:val="single" w:sz="4" w:space="0" w:color="auto"/>
            </w:tcBorders>
          </w:tcPr>
          <w:p w:rsidR="0027404B" w:rsidRPr="0022357A" w:rsidRDefault="0027404B" w:rsidP="00022DCB">
            <w:pPr>
              <w:pStyle w:val="Tabletext"/>
              <w:rPr>
                <w:u w:val="single"/>
                <w:lang w:eastAsia="en-AU"/>
              </w:rPr>
            </w:pPr>
            <w:r w:rsidRPr="0022357A">
              <w:rPr>
                <w:u w:val="single"/>
                <w:lang w:eastAsia="en-AU"/>
              </w:rPr>
              <w:t>Initial:</w:t>
            </w:r>
          </w:p>
          <w:p w:rsidR="0027404B" w:rsidRPr="0022357A" w:rsidRDefault="0027404B" w:rsidP="00022DCB">
            <w:pPr>
              <w:pStyle w:val="Tabletext"/>
              <w:rPr>
                <w:lang w:eastAsia="en-AU"/>
              </w:rPr>
            </w:pPr>
            <w:r w:rsidRPr="0022357A">
              <w:rPr>
                <w:lang w:eastAsia="en-AU"/>
              </w:rPr>
              <w:t>Patient must have histologically confirmed CD30 positive disease,</w:t>
            </w:r>
          </w:p>
          <w:p w:rsidR="0027404B" w:rsidRPr="0022357A" w:rsidRDefault="0027404B" w:rsidP="00022DCB">
            <w:pPr>
              <w:pStyle w:val="Tabletext"/>
              <w:rPr>
                <w:lang w:eastAsia="en-AU"/>
              </w:rPr>
            </w:pPr>
            <w:r w:rsidRPr="0022357A">
              <w:rPr>
                <w:lang w:eastAsia="en-AU"/>
              </w:rPr>
              <w:t>AND</w:t>
            </w:r>
          </w:p>
          <w:p w:rsidR="0027404B" w:rsidRPr="0022357A" w:rsidRDefault="0027404B" w:rsidP="00022DCB">
            <w:pPr>
              <w:pStyle w:val="Tabletext"/>
              <w:rPr>
                <w:lang w:eastAsia="en-AU"/>
              </w:rPr>
            </w:pPr>
            <w:r w:rsidRPr="0022357A">
              <w:rPr>
                <w:lang w:eastAsia="en-AU"/>
              </w:rPr>
              <w:t>Patient must have had prior systemic treatment,</w:t>
            </w:r>
          </w:p>
          <w:p w:rsidR="0027404B" w:rsidRPr="0022357A" w:rsidRDefault="0027404B" w:rsidP="00022DCB">
            <w:pPr>
              <w:pStyle w:val="Tabletext"/>
              <w:rPr>
                <w:lang w:eastAsia="en-AU"/>
              </w:rPr>
            </w:pPr>
            <w:r w:rsidRPr="0022357A">
              <w:rPr>
                <w:lang w:eastAsia="en-AU"/>
              </w:rPr>
              <w:t>AND</w:t>
            </w:r>
          </w:p>
          <w:p w:rsidR="0027404B" w:rsidRPr="0022357A" w:rsidRDefault="0027404B" w:rsidP="00022DCB">
            <w:pPr>
              <w:pStyle w:val="Tabletext"/>
              <w:rPr>
                <w:lang w:eastAsia="en-AU"/>
              </w:rPr>
            </w:pPr>
            <w:r w:rsidRPr="0022357A">
              <w:rPr>
                <w:lang w:eastAsia="en-AU"/>
              </w:rPr>
              <w:t>Patient must demonstrate relapsed or refractory disease,</w:t>
            </w:r>
          </w:p>
          <w:p w:rsidR="0027404B" w:rsidRPr="0022357A" w:rsidRDefault="0027404B" w:rsidP="00022DCB">
            <w:pPr>
              <w:pStyle w:val="Tabletext"/>
              <w:rPr>
                <w:lang w:eastAsia="en-AU"/>
              </w:rPr>
            </w:pPr>
            <w:r w:rsidRPr="0022357A">
              <w:rPr>
                <w:lang w:eastAsia="en-AU"/>
              </w:rPr>
              <w:t>AND</w:t>
            </w:r>
          </w:p>
          <w:p w:rsidR="0027404B" w:rsidRPr="0022357A" w:rsidRDefault="0027404B" w:rsidP="00022DCB">
            <w:pPr>
              <w:pStyle w:val="Tabletext"/>
              <w:rPr>
                <w:lang w:eastAsia="en-AU"/>
              </w:rPr>
            </w:pPr>
            <w:r w:rsidRPr="0022357A">
              <w:rPr>
                <w:lang w:eastAsia="en-AU"/>
              </w:rPr>
              <w:t>Patient must not receive more than 4 cycles of treatment under this restriction.</w:t>
            </w:r>
          </w:p>
          <w:p w:rsidR="0027404B" w:rsidRPr="0022357A" w:rsidRDefault="0027404B" w:rsidP="00022DCB">
            <w:pPr>
              <w:pStyle w:val="Tabletext"/>
              <w:rPr>
                <w:u w:val="single"/>
                <w:lang w:eastAsia="en-AU"/>
              </w:rPr>
            </w:pPr>
            <w:r w:rsidRPr="0022357A">
              <w:rPr>
                <w:u w:val="single"/>
                <w:lang w:eastAsia="en-AU"/>
              </w:rPr>
              <w:t>Continuing:</w:t>
            </w:r>
          </w:p>
          <w:p w:rsidR="0027404B" w:rsidRPr="0022357A" w:rsidRDefault="0027404B" w:rsidP="00022DCB">
            <w:pPr>
              <w:pStyle w:val="Tabletext"/>
              <w:rPr>
                <w:rFonts w:cs="Arial"/>
              </w:rPr>
            </w:pPr>
            <w:r w:rsidRPr="0022357A">
              <w:rPr>
                <w:rFonts w:cs="Arial"/>
              </w:rPr>
              <w:t>Patient must have previously received PBS-subsidised treatment with this drug for this condition,</w:t>
            </w:r>
          </w:p>
          <w:p w:rsidR="0027404B" w:rsidRPr="0022357A" w:rsidRDefault="0027404B" w:rsidP="00022DCB">
            <w:pPr>
              <w:pStyle w:val="Tabletext"/>
              <w:rPr>
                <w:rFonts w:cs="Arial"/>
              </w:rPr>
            </w:pPr>
            <w:r w:rsidRPr="0022357A">
              <w:rPr>
                <w:rFonts w:cs="Arial"/>
              </w:rPr>
              <w:t>AND</w:t>
            </w:r>
          </w:p>
          <w:p w:rsidR="0027404B" w:rsidRPr="0022357A" w:rsidRDefault="0027404B" w:rsidP="00022DCB">
            <w:pPr>
              <w:pStyle w:val="Tabletext"/>
              <w:rPr>
                <w:rFonts w:cs="Arial"/>
              </w:rPr>
            </w:pPr>
            <w:r w:rsidRPr="0022357A">
              <w:rPr>
                <w:rFonts w:cs="Arial"/>
              </w:rPr>
              <w:t>Patient must not have progressive disease while receiving PBS-subsidised treatment with this drug for this condition,</w:t>
            </w:r>
          </w:p>
          <w:p w:rsidR="0027404B" w:rsidRPr="0022357A" w:rsidRDefault="0027404B" w:rsidP="00022DCB">
            <w:pPr>
              <w:pStyle w:val="Tabletext"/>
              <w:rPr>
                <w:rFonts w:cs="Arial"/>
              </w:rPr>
            </w:pPr>
            <w:r w:rsidRPr="0022357A">
              <w:rPr>
                <w:rFonts w:cs="Arial"/>
              </w:rPr>
              <w:t>AND</w:t>
            </w:r>
          </w:p>
          <w:p w:rsidR="0027404B" w:rsidRPr="0022357A" w:rsidRDefault="0027404B" w:rsidP="00022DCB">
            <w:pPr>
              <w:pStyle w:val="Tabletext"/>
              <w:rPr>
                <w:u w:val="single"/>
                <w:lang w:eastAsia="en-AU"/>
              </w:rPr>
            </w:pPr>
            <w:r w:rsidRPr="0022357A">
              <w:rPr>
                <w:rFonts w:cs="Arial"/>
              </w:rPr>
              <w:t>Patient must not receive more than 12 cycles of treatment under this restriction.</w:t>
            </w:r>
          </w:p>
        </w:tc>
      </w:tr>
      <w:tr w:rsidR="00DA4C7B" w:rsidRPr="0022357A" w:rsidTr="00567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186" w:type="pct"/>
            <w:tcBorders>
              <w:top w:val="single" w:sz="4" w:space="0" w:color="auto"/>
              <w:left w:val="single" w:sz="4" w:space="0" w:color="auto"/>
              <w:bottom w:val="single" w:sz="4" w:space="0" w:color="auto"/>
              <w:right w:val="single" w:sz="4" w:space="0" w:color="auto"/>
            </w:tcBorders>
          </w:tcPr>
          <w:p w:rsidR="00DA4C7B" w:rsidRPr="0022357A" w:rsidRDefault="00DA4C7B" w:rsidP="00022DCB">
            <w:pPr>
              <w:pStyle w:val="Tabletext"/>
              <w:rPr>
                <w:lang w:eastAsia="en-AU"/>
              </w:rPr>
            </w:pPr>
            <w:r>
              <w:rPr>
                <w:lang w:eastAsia="en-AU"/>
              </w:rPr>
              <w:t>Prescriber Instructions:</w:t>
            </w:r>
          </w:p>
        </w:tc>
        <w:tc>
          <w:tcPr>
            <w:tcW w:w="3814" w:type="pct"/>
            <w:gridSpan w:val="4"/>
            <w:tcBorders>
              <w:top w:val="single" w:sz="4" w:space="0" w:color="auto"/>
              <w:left w:val="single" w:sz="4" w:space="0" w:color="auto"/>
              <w:bottom w:val="single" w:sz="4" w:space="0" w:color="auto"/>
              <w:right w:val="single" w:sz="4" w:space="0" w:color="auto"/>
            </w:tcBorders>
          </w:tcPr>
          <w:p w:rsidR="00DA4C7B" w:rsidRDefault="00DA4C7B" w:rsidP="00022DCB">
            <w:pPr>
              <w:pStyle w:val="Tabletext"/>
              <w:rPr>
                <w:u w:val="single"/>
                <w:lang w:eastAsia="en-AU"/>
              </w:rPr>
            </w:pPr>
            <w:r>
              <w:rPr>
                <w:u w:val="single"/>
                <w:lang w:eastAsia="en-AU"/>
              </w:rPr>
              <w:t>Initial:</w:t>
            </w:r>
          </w:p>
          <w:p w:rsidR="00DA4C7B" w:rsidRDefault="00DA4C7B" w:rsidP="00DA4C7B">
            <w:pPr>
              <w:pStyle w:val="Tabletext"/>
            </w:pPr>
            <w:r>
              <w:t>Applications for authorisation of initial treatment must be in writing and must include:</w:t>
            </w:r>
          </w:p>
          <w:p w:rsidR="00DA4C7B" w:rsidRDefault="00DA4C7B" w:rsidP="00DA4C7B">
            <w:pPr>
              <w:pStyle w:val="Tabletext"/>
            </w:pPr>
            <w:r>
              <w:t>(a)</w:t>
            </w:r>
            <w:r>
              <w:tab/>
              <w:t>a completed authority prescription form; and</w:t>
            </w:r>
          </w:p>
          <w:p w:rsidR="00DA4C7B" w:rsidRDefault="00DA4C7B" w:rsidP="00DA4C7B">
            <w:pPr>
              <w:pStyle w:val="Tabletext"/>
            </w:pPr>
            <w:r>
              <w:t>(b)</w:t>
            </w:r>
            <w:r>
              <w:tab/>
              <w:t>a completed cutaneous T-cell lymphoma (CTCL) bren</w:t>
            </w:r>
            <w:r w:rsidR="00B1472E">
              <w:t xml:space="preserve">tuximab vedotin PBS Authority </w:t>
            </w:r>
            <w:r w:rsidR="00B1472E">
              <w:br/>
            </w:r>
            <w:r>
              <w:t>Application</w:t>
            </w:r>
          </w:p>
          <w:p w:rsidR="00DA4C7B" w:rsidRPr="0022357A" w:rsidRDefault="00DA4C7B" w:rsidP="00DA4C7B">
            <w:pPr>
              <w:pStyle w:val="Tabletext"/>
              <w:rPr>
                <w:u w:val="single"/>
                <w:lang w:eastAsia="en-AU"/>
              </w:rPr>
            </w:pPr>
            <w:r w:rsidRPr="0022357A">
              <w:rPr>
                <w:u w:val="single"/>
                <w:lang w:eastAsia="en-AU"/>
              </w:rPr>
              <w:t>Continuing:</w:t>
            </w:r>
          </w:p>
          <w:p w:rsidR="00DA4C7B" w:rsidRPr="0022357A" w:rsidRDefault="00DA4C7B" w:rsidP="00DA4C7B">
            <w:pPr>
              <w:pStyle w:val="Tabletext"/>
              <w:rPr>
                <w:u w:val="single"/>
                <w:lang w:eastAsia="en-AU"/>
              </w:rPr>
            </w:pPr>
            <w:r w:rsidRPr="006A170C">
              <w:t>The treatment must not exceed a lifetime total of 16 cycles</w:t>
            </w:r>
            <w:r>
              <w:t>.</w:t>
            </w:r>
          </w:p>
        </w:tc>
      </w:tr>
    </w:tbl>
    <w:p w:rsidR="0027404B" w:rsidRPr="0022357A" w:rsidRDefault="0027404B" w:rsidP="004B1CB4"/>
    <w:p w:rsidR="0027404B" w:rsidRPr="0022357A" w:rsidRDefault="0027404B" w:rsidP="00D74B7D">
      <w:pPr>
        <w:pStyle w:val="ListParagraph"/>
        <w:widowControl/>
        <w:numPr>
          <w:ilvl w:val="1"/>
          <w:numId w:val="3"/>
        </w:numPr>
      </w:pPr>
      <w:r w:rsidRPr="0022357A">
        <w:t xml:space="preserve">The submission requested a special pricing arrangement (SPA) where the current published </w:t>
      </w:r>
      <w:r w:rsidR="004F54D5" w:rsidRPr="0022357A">
        <w:t xml:space="preserve">ex-manufacturer </w:t>
      </w:r>
      <w:r w:rsidRPr="0022357A">
        <w:t>price of $5,</w:t>
      </w:r>
      <w:r w:rsidR="00C41ABE" w:rsidRPr="0022357A">
        <w:t>3</w:t>
      </w:r>
      <w:r w:rsidRPr="0022357A">
        <w:t xml:space="preserve">00 per vial is </w:t>
      </w:r>
      <w:proofErr w:type="gramStart"/>
      <w:r w:rsidRPr="0022357A">
        <w:t>maintained</w:t>
      </w:r>
      <w:r w:rsidR="00A34E56" w:rsidRPr="0022357A">
        <w:t>,</w:t>
      </w:r>
      <w:proofErr w:type="gramEnd"/>
      <w:r w:rsidR="00A34E56" w:rsidRPr="0022357A">
        <w:t xml:space="preserve"> resulting in published dispensed price</w:t>
      </w:r>
      <w:r w:rsidR="00D74B7D" w:rsidRPr="0022357A">
        <w:t>s</w:t>
      </w:r>
      <w:r w:rsidR="00A34E56" w:rsidRPr="0022357A">
        <w:t xml:space="preserve"> for maximum amount </w:t>
      </w:r>
      <w:r w:rsidR="00D74B7D" w:rsidRPr="0022357A">
        <w:t>of $21,283.83 (public) and $21,427.47 (private). The proposed effective approved ex-manufacturer price (AEMP) is $</w:t>
      </w:r>
      <w:r w:rsidR="00F72571">
        <w:rPr>
          <w:noProof/>
          <w:color w:val="000000"/>
          <w:highlight w:val="black"/>
        </w:rPr>
        <w:t>''''''''''</w:t>
      </w:r>
      <w:r w:rsidR="00D74B7D" w:rsidRPr="0022357A">
        <w:t xml:space="preserve"> per vial. </w:t>
      </w:r>
      <w:r w:rsidR="00FA6517">
        <w:t xml:space="preserve">The pre-PBAC response offered a </w:t>
      </w:r>
      <w:r w:rsidR="00F72571">
        <w:rPr>
          <w:noProof/>
          <w:color w:val="000000"/>
          <w:highlight w:val="black"/>
        </w:rPr>
        <w:t>''''''</w:t>
      </w:r>
      <w:r w:rsidR="00FA6517" w:rsidRPr="00932A94">
        <w:t>% price reduction on the proposed price of $</w:t>
      </w:r>
      <w:r w:rsidR="00F72571">
        <w:rPr>
          <w:noProof/>
          <w:color w:val="000000"/>
          <w:highlight w:val="black"/>
        </w:rPr>
        <w:t>'''''''''''</w:t>
      </w:r>
      <w:r w:rsidR="00FA6517" w:rsidRPr="00932A94">
        <w:t xml:space="preserve"> for the MF, SS and pcALCL subtypes, while for the LyP subtype a price co</w:t>
      </w:r>
      <w:r w:rsidR="00FA6517">
        <w:t>nsistent with the current ASCT n</w:t>
      </w:r>
      <w:r w:rsidR="00FA6517" w:rsidRPr="00932A94">
        <w:t>aive RR HL indication was proposed (i.e. $</w:t>
      </w:r>
      <w:r w:rsidR="00F72571">
        <w:rPr>
          <w:noProof/>
          <w:color w:val="000000"/>
          <w:highlight w:val="black"/>
        </w:rPr>
        <w:t>''''''''''''''''</w:t>
      </w:r>
      <w:r w:rsidR="00FA6517" w:rsidRPr="00932A94">
        <w:t xml:space="preserve">). </w:t>
      </w:r>
      <w:r w:rsidR="00FA6517">
        <w:t xml:space="preserve">The </w:t>
      </w:r>
      <w:r w:rsidR="002657F4">
        <w:t>pre-PBAC response stated</w:t>
      </w:r>
      <w:r w:rsidR="00FA6517">
        <w:t xml:space="preserve"> that, a</w:t>
      </w:r>
      <w:r w:rsidR="00FA6517" w:rsidRPr="00932A94">
        <w:t xml:space="preserve">ssuming a proportional split </w:t>
      </w:r>
      <w:r w:rsidR="00FA6517" w:rsidRPr="008C6F50">
        <w:t xml:space="preserve">of </w:t>
      </w:r>
      <w:r w:rsidR="003E41CF" w:rsidRPr="008C6F50">
        <w:t xml:space="preserve">MF </w:t>
      </w:r>
      <w:r w:rsidR="00F72571">
        <w:rPr>
          <w:noProof/>
          <w:color w:val="000000"/>
          <w:highlight w:val="black"/>
        </w:rPr>
        <w:t>'''''</w:t>
      </w:r>
      <w:r w:rsidR="003E41CF" w:rsidRPr="008C6F50">
        <w:t xml:space="preserve">%, SS </w:t>
      </w:r>
      <w:r w:rsidR="00F72571">
        <w:rPr>
          <w:noProof/>
          <w:color w:val="000000"/>
          <w:highlight w:val="black"/>
        </w:rPr>
        <w:t>'''</w:t>
      </w:r>
      <w:r w:rsidR="003E41CF" w:rsidRPr="008C6F50">
        <w:t xml:space="preserve">%, pcALCL </w:t>
      </w:r>
      <w:r w:rsidR="00F72571">
        <w:rPr>
          <w:noProof/>
          <w:color w:val="000000"/>
          <w:highlight w:val="black"/>
        </w:rPr>
        <w:t>'''''</w:t>
      </w:r>
      <w:r w:rsidR="003E41CF" w:rsidRPr="008C6F50">
        <w:t xml:space="preserve">% and LyP </w:t>
      </w:r>
      <w:r w:rsidR="00F72571">
        <w:rPr>
          <w:noProof/>
          <w:color w:val="000000"/>
          <w:highlight w:val="black"/>
        </w:rPr>
        <w:t>''''''</w:t>
      </w:r>
      <w:r w:rsidR="003E41CF" w:rsidRPr="008C6F50">
        <w:t>%</w:t>
      </w:r>
      <w:r w:rsidR="008C6F50" w:rsidRPr="008C6F50">
        <w:t>,</w:t>
      </w:r>
      <w:r w:rsidR="008C6F50" w:rsidRPr="00932A94">
        <w:t xml:space="preserve"> the</w:t>
      </w:r>
      <w:r w:rsidR="00FA6517">
        <w:t xml:space="preserve"> price reduction resulted</w:t>
      </w:r>
      <w:r w:rsidR="00FA6517" w:rsidRPr="00932A94">
        <w:t xml:space="preserve"> in a weighted average price of $</w:t>
      </w:r>
      <w:r w:rsidR="00F72571">
        <w:rPr>
          <w:noProof/>
          <w:color w:val="000000"/>
          <w:highlight w:val="black"/>
        </w:rPr>
        <w:t>''''''''''''</w:t>
      </w:r>
      <w:r w:rsidR="00FA6517" w:rsidRPr="00932A94">
        <w:t xml:space="preserve"> per vial.</w:t>
      </w:r>
    </w:p>
    <w:p w:rsidR="0027404B" w:rsidRPr="0022357A" w:rsidRDefault="0027404B" w:rsidP="0027404B">
      <w:pPr>
        <w:pStyle w:val="ListParagraph"/>
        <w:widowControl/>
        <w:numPr>
          <w:ilvl w:val="1"/>
          <w:numId w:val="3"/>
        </w:numPr>
      </w:pPr>
      <w:r w:rsidRPr="0022357A">
        <w:t xml:space="preserve">The proposed restriction was consistent with the TGA indication. </w:t>
      </w:r>
    </w:p>
    <w:p w:rsidR="00BD555E" w:rsidRPr="00E72366" w:rsidRDefault="005665FF" w:rsidP="00BD555E">
      <w:pPr>
        <w:pStyle w:val="ListParagraph"/>
        <w:widowControl/>
        <w:numPr>
          <w:ilvl w:val="1"/>
          <w:numId w:val="3"/>
        </w:numPr>
        <w:rPr>
          <w:i/>
        </w:rPr>
      </w:pPr>
      <w:r w:rsidRPr="0022357A">
        <w:t xml:space="preserve">Consistent with the current PBS listings of </w:t>
      </w:r>
      <w:r w:rsidR="00ED4125" w:rsidRPr="0022357A">
        <w:t>brentuximab</w:t>
      </w:r>
      <w:r w:rsidRPr="0022357A">
        <w:t xml:space="preserve"> vedotin </w:t>
      </w:r>
      <w:r w:rsidR="001D348A" w:rsidRPr="001869D5">
        <w:t>t</w:t>
      </w:r>
      <w:r w:rsidR="00BD286E" w:rsidRPr="001869D5">
        <w:t>he proposed listing did not include an explicit definition of CD30 positivity.</w:t>
      </w:r>
      <w:r w:rsidR="00D16E6A" w:rsidRPr="0022357A">
        <w:t xml:space="preserve"> </w:t>
      </w:r>
      <w:r w:rsidR="0003584E" w:rsidRPr="0022357A">
        <w:t xml:space="preserve">The </w:t>
      </w:r>
      <w:r w:rsidR="0027404B" w:rsidRPr="0022357A">
        <w:t xml:space="preserve">definition </w:t>
      </w:r>
      <w:r w:rsidR="003805EC" w:rsidRPr="0022357A">
        <w:t xml:space="preserve">and reporting </w:t>
      </w:r>
      <w:r w:rsidR="0027404B" w:rsidRPr="0022357A">
        <w:t xml:space="preserve">of CD30 </w:t>
      </w:r>
      <w:r w:rsidR="0003584E" w:rsidRPr="0022357A">
        <w:t xml:space="preserve">status </w:t>
      </w:r>
      <w:r w:rsidR="003805EC" w:rsidRPr="0022357A">
        <w:t xml:space="preserve">may be </w:t>
      </w:r>
      <w:r w:rsidR="0027404B" w:rsidRPr="0022357A">
        <w:t xml:space="preserve">inconsistent across Australian </w:t>
      </w:r>
      <w:r w:rsidR="0003584E" w:rsidRPr="0022357A">
        <w:t xml:space="preserve">pathology </w:t>
      </w:r>
      <w:r w:rsidR="0027404B" w:rsidRPr="0022357A">
        <w:t xml:space="preserve">practice. The key ALCANZA trial only recruited patients whose biopsy had 10% or more target cells with CD30 staining. </w:t>
      </w:r>
      <w:r w:rsidR="00837542" w:rsidRPr="00C35104">
        <w:t>The</w:t>
      </w:r>
      <w:r w:rsidR="005B41EC" w:rsidRPr="00C35104">
        <w:t xml:space="preserve"> Pre-Sub-Committee Response (</w:t>
      </w:r>
      <w:r w:rsidR="00837542" w:rsidRPr="00C35104">
        <w:t>PSCR</w:t>
      </w:r>
      <w:r w:rsidR="005B41EC" w:rsidRPr="00C35104">
        <w:t>)</w:t>
      </w:r>
      <w:r w:rsidR="00837542" w:rsidRPr="00C35104">
        <w:t xml:space="preserve"> highlighted that in the ALCANZA trial, response to brentuximab vedotin was seen across a range of baseline CD30 expression from 3% to 100% and there was no correlation between CD30 expression and </w:t>
      </w:r>
      <w:r w:rsidR="00771665" w:rsidRPr="00C35104">
        <w:t>objective global response lasting 4 months (</w:t>
      </w:r>
      <w:r w:rsidR="00837542" w:rsidRPr="00C35104">
        <w:t>ORR4</w:t>
      </w:r>
      <w:r w:rsidR="00771665" w:rsidRPr="00C35104">
        <w:t>)</w:t>
      </w:r>
      <w:r w:rsidR="00837542" w:rsidRPr="00C35104">
        <w:t>. The PSCR supported a CTCL authority application requiring provision of a histology report showing evidence of CD30 positivity as per the current brentuximab vedotin authority application for systemic anaplastic large cell lymphoma (sALCL) if required.</w:t>
      </w:r>
      <w:r w:rsidR="00F2638C">
        <w:t xml:space="preserve"> </w:t>
      </w:r>
      <w:r w:rsidR="00F2638C">
        <w:lastRenderedPageBreak/>
        <w:t>The PBAC considered that the proposed restriction should include a requirement for the provision of a histology report showing evidence of CD30 positivity.</w:t>
      </w:r>
      <w:r w:rsidR="00BD555E">
        <w:t xml:space="preserve"> </w:t>
      </w:r>
      <w:r w:rsidR="00BD555E" w:rsidRPr="009F52B3">
        <w:t xml:space="preserve">The PBAC noted that no explicit definition of CD30 positivity </w:t>
      </w:r>
      <w:r w:rsidR="00993C4C">
        <w:t xml:space="preserve">in CTCL </w:t>
      </w:r>
      <w:r w:rsidR="00BD555E" w:rsidRPr="009F52B3">
        <w:t xml:space="preserve">was included </w:t>
      </w:r>
      <w:r w:rsidR="00E72366">
        <w:t xml:space="preserve">in the restriction </w:t>
      </w:r>
      <w:r w:rsidR="00BD555E" w:rsidRPr="009F52B3">
        <w:t xml:space="preserve">and considered that </w:t>
      </w:r>
      <w:r w:rsidR="00E72366">
        <w:t xml:space="preserve">a clear definition was </w:t>
      </w:r>
      <w:r w:rsidR="00F30268">
        <w:t xml:space="preserve">desirable </w:t>
      </w:r>
      <w:r w:rsidR="00E72366">
        <w:t xml:space="preserve">to </w:t>
      </w:r>
      <w:r w:rsidR="00F30268">
        <w:t xml:space="preserve">minimise </w:t>
      </w:r>
      <w:r w:rsidR="00E72366">
        <w:t xml:space="preserve">the potential for inconsistency </w:t>
      </w:r>
      <w:r w:rsidR="00BD555E" w:rsidRPr="009F52B3">
        <w:t>across Australian pathology practice</w:t>
      </w:r>
      <w:r w:rsidR="00711C2D">
        <w:t xml:space="preserve"> </w:t>
      </w:r>
      <w:r w:rsidR="00993C4C">
        <w:t xml:space="preserve">to reduce </w:t>
      </w:r>
      <w:r w:rsidR="00D7591D">
        <w:t xml:space="preserve">access that is not </w:t>
      </w:r>
      <w:r w:rsidR="00993C4C">
        <w:t>cost-effective</w:t>
      </w:r>
      <w:r w:rsidR="00BD555E" w:rsidRPr="009F52B3">
        <w:t xml:space="preserve">. </w:t>
      </w:r>
    </w:p>
    <w:p w:rsidR="00E72366" w:rsidRPr="000B11A7" w:rsidRDefault="00E72366" w:rsidP="000B11A7">
      <w:pPr>
        <w:pStyle w:val="ListParagraph"/>
        <w:widowControl/>
        <w:numPr>
          <w:ilvl w:val="1"/>
          <w:numId w:val="3"/>
        </w:numPr>
      </w:pPr>
      <w:r w:rsidRPr="000B11A7">
        <w:t>The PBAC considered that the listing for continuing treatment</w:t>
      </w:r>
      <w:r w:rsidR="000B11A7" w:rsidRPr="000B11A7">
        <w:t xml:space="preserve"> should include a requirement for the patient to have achieved a response to therapy</w:t>
      </w:r>
      <w:r w:rsidR="00F2638C">
        <w:t xml:space="preserve">. </w:t>
      </w:r>
      <w:r w:rsidR="00993C4C">
        <w:t>T</w:t>
      </w:r>
      <w:r w:rsidR="00F2638C">
        <w:t xml:space="preserve">he PBAC </w:t>
      </w:r>
      <w:r w:rsidR="00993C4C">
        <w:t xml:space="preserve">considered </w:t>
      </w:r>
      <w:r w:rsidR="00F2638C">
        <w:t xml:space="preserve">that </w:t>
      </w:r>
      <w:r w:rsidR="002D5672">
        <w:t>further</w:t>
      </w:r>
      <w:r w:rsidR="00F2638C">
        <w:t xml:space="preserve"> advice is required on </w:t>
      </w:r>
      <w:r w:rsidR="00993C4C">
        <w:t xml:space="preserve">how response assessment can be pragmatically included </w:t>
      </w:r>
      <w:r w:rsidR="00F2638C">
        <w:t xml:space="preserve">as part of a restriction </w:t>
      </w:r>
      <w:r w:rsidR="00993C4C">
        <w:t>that is amenable to</w:t>
      </w:r>
      <w:r w:rsidR="00F2638C">
        <w:t xml:space="preserve"> </w:t>
      </w:r>
      <w:r w:rsidR="00993C4C">
        <w:t xml:space="preserve">use in </w:t>
      </w:r>
      <w:r w:rsidR="00F2638C">
        <w:t>clinical practice</w:t>
      </w:r>
      <w:r w:rsidRPr="000B11A7">
        <w:t>.</w:t>
      </w:r>
    </w:p>
    <w:p w:rsidR="0056712A" w:rsidRPr="00B1472E" w:rsidRDefault="004714C2" w:rsidP="00B1472E">
      <w:pPr>
        <w:pStyle w:val="ListParagraph"/>
        <w:widowControl/>
        <w:rPr>
          <w:i/>
        </w:rPr>
      </w:pPr>
      <w:r w:rsidRPr="0051635D">
        <w:rPr>
          <w:i/>
        </w:rPr>
        <w:t xml:space="preserve">For more detail on </w:t>
      </w:r>
      <w:r w:rsidRPr="000B11A7">
        <w:rPr>
          <w:i/>
        </w:rPr>
        <w:t>PBAC’s</w:t>
      </w:r>
      <w:r w:rsidRPr="0051635D">
        <w:rPr>
          <w:i/>
        </w:rPr>
        <w:t xml:space="preserve"> view, see section 7 PBAC outcome.</w:t>
      </w:r>
    </w:p>
    <w:p w:rsidR="0036146C" w:rsidRPr="0022357A" w:rsidRDefault="00B50DB8" w:rsidP="00DD207B">
      <w:pPr>
        <w:pStyle w:val="PBACHeading1"/>
      </w:pPr>
      <w:bookmarkStart w:id="2" w:name="_Toc514237305"/>
      <w:r w:rsidRPr="0022357A">
        <w:t>Background</w:t>
      </w:r>
      <w:bookmarkEnd w:id="2"/>
    </w:p>
    <w:p w:rsidR="00591957" w:rsidRPr="00B1472E" w:rsidRDefault="00591957" w:rsidP="00B1472E">
      <w:pPr>
        <w:spacing w:before="240" w:after="120"/>
        <w:rPr>
          <w:b/>
          <w:sz w:val="28"/>
          <w:szCs w:val="28"/>
        </w:rPr>
      </w:pPr>
      <w:r w:rsidRPr="0022357A">
        <w:rPr>
          <w:b/>
          <w:sz w:val="28"/>
          <w:szCs w:val="28"/>
        </w:rPr>
        <w:t>Registration status</w:t>
      </w:r>
    </w:p>
    <w:p w:rsidR="00837542" w:rsidRPr="009776A3" w:rsidRDefault="0027404B" w:rsidP="00837542">
      <w:pPr>
        <w:pStyle w:val="ListParagraph"/>
        <w:widowControl/>
        <w:numPr>
          <w:ilvl w:val="1"/>
          <w:numId w:val="3"/>
        </w:numPr>
        <w:rPr>
          <w:b/>
          <w:i/>
        </w:rPr>
      </w:pPr>
      <w:r w:rsidRPr="009F52B3">
        <w:t>The submission was</w:t>
      </w:r>
      <w:r w:rsidR="00C41ABE" w:rsidRPr="009F52B3">
        <w:t xml:space="preserve"> lodged</w:t>
      </w:r>
      <w:r w:rsidRPr="009F52B3">
        <w:t xml:space="preserve"> under </w:t>
      </w:r>
      <w:r w:rsidR="00C41ABE" w:rsidRPr="009F52B3">
        <w:t xml:space="preserve">the </w:t>
      </w:r>
      <w:r w:rsidRPr="009F52B3">
        <w:t xml:space="preserve">TGA/PBAC Parallel Process. </w:t>
      </w:r>
      <w:r w:rsidR="00837542" w:rsidRPr="00C35104">
        <w:t xml:space="preserve">On 23 May 2018 the delegate’s overview and approval of registration of brentuximab vedotin in the new indication for CTCL was received. The </w:t>
      </w:r>
      <w:r w:rsidR="00FD48EF" w:rsidRPr="00C35104">
        <w:t>registered</w:t>
      </w:r>
      <w:r w:rsidR="00837542" w:rsidRPr="00C35104">
        <w:t xml:space="preserve"> indications are now:</w:t>
      </w:r>
    </w:p>
    <w:p w:rsidR="00505B6E" w:rsidRPr="0022357A" w:rsidRDefault="00505B6E" w:rsidP="006B48CE">
      <w:pPr>
        <w:pStyle w:val="Bulletpoints"/>
        <w:numPr>
          <w:ilvl w:val="1"/>
          <w:numId w:val="4"/>
        </w:numPr>
      </w:pPr>
      <w:r w:rsidRPr="0022357A">
        <w:t xml:space="preserve">Treatment of adult patients with relapsed or refractory CD30+ Hodgkin lymphoma (HL) following autologous stem cell transplant (ASCT) or following at least two prior therapies when ASCT or multi-agent chemotherapy is not a treatment option. </w:t>
      </w:r>
    </w:p>
    <w:p w:rsidR="00505B6E" w:rsidRPr="0022357A" w:rsidRDefault="00505B6E" w:rsidP="006B48CE">
      <w:pPr>
        <w:pStyle w:val="Bulletpoints"/>
        <w:numPr>
          <w:ilvl w:val="1"/>
          <w:numId w:val="4"/>
        </w:numPr>
      </w:pPr>
      <w:r w:rsidRPr="0022357A">
        <w:t xml:space="preserve">Treatment of adult patients with CD30+ HL at higher risk of relapse or progression following ASCT; and </w:t>
      </w:r>
    </w:p>
    <w:p w:rsidR="00505B6E" w:rsidRDefault="00505B6E" w:rsidP="006B48CE">
      <w:pPr>
        <w:pStyle w:val="Bulletpoints"/>
        <w:numPr>
          <w:ilvl w:val="1"/>
          <w:numId w:val="4"/>
        </w:numPr>
      </w:pPr>
      <w:r w:rsidRPr="0022357A">
        <w:t>Treatment of adult patients with relapsed or refractory systemic anaplastic large cell lymphoma (sALCL).</w:t>
      </w:r>
    </w:p>
    <w:p w:rsidR="00505B6E" w:rsidRPr="0022357A" w:rsidRDefault="00837542" w:rsidP="00B1472E">
      <w:pPr>
        <w:pStyle w:val="Bulletpoints"/>
        <w:numPr>
          <w:ilvl w:val="1"/>
          <w:numId w:val="4"/>
        </w:numPr>
      </w:pPr>
      <w:r w:rsidRPr="00C35104">
        <w:t>Treatment of adult patients with CD30+ cutaneous T-cell lymphoma (CTCL) after at least 1 prior systemic therapy.</w:t>
      </w:r>
    </w:p>
    <w:p w:rsidR="00B033E5" w:rsidRPr="00B1472E" w:rsidRDefault="00B033E5" w:rsidP="00B1472E">
      <w:pPr>
        <w:widowControl/>
        <w:spacing w:before="240" w:after="120"/>
        <w:rPr>
          <w:b/>
          <w:sz w:val="28"/>
          <w:szCs w:val="28"/>
        </w:rPr>
      </w:pPr>
      <w:r w:rsidRPr="0022357A">
        <w:rPr>
          <w:b/>
          <w:sz w:val="28"/>
          <w:szCs w:val="28"/>
        </w:rPr>
        <w:t>Previous PBAC consideration</w:t>
      </w:r>
    </w:p>
    <w:p w:rsidR="00C41ABE" w:rsidRPr="0022357A" w:rsidRDefault="00E11A60" w:rsidP="004B1CB4">
      <w:pPr>
        <w:pStyle w:val="ListParagraph"/>
        <w:widowControl/>
        <w:numPr>
          <w:ilvl w:val="1"/>
          <w:numId w:val="3"/>
        </w:numPr>
      </w:pPr>
      <w:r w:rsidRPr="0022357A">
        <w:t>This is the first submission to PBAC requesting listing of brentuximab vedotin for the treatment of relapsed or refractory CD30 positive CTCL.</w:t>
      </w:r>
    </w:p>
    <w:p w:rsidR="00E55BB5" w:rsidRDefault="0027404B" w:rsidP="004B1CB4">
      <w:pPr>
        <w:pStyle w:val="ListParagraph"/>
        <w:widowControl/>
        <w:numPr>
          <w:ilvl w:val="1"/>
          <w:numId w:val="3"/>
        </w:numPr>
      </w:pPr>
      <w:r w:rsidRPr="0022357A">
        <w:t xml:space="preserve">Vorinostat was listed on the PBS on 1 July 2017 for the treatment of CTCL that was relapsed or refractory after systemic treatment with chemotherapy. The March 2017 PBAC recommendation for listing was based on, among other matters, its assessment that the cost-effectiveness of vorinostat would be acceptable (paragraph 5.2, March 2017 Public Summary Document (PSD)). The cost effectiveness analysis that was considered at the March 2017 PBAC meeting was a cost per responder </w:t>
      </w:r>
      <w:r w:rsidRPr="0022357A">
        <w:lastRenderedPageBreak/>
        <w:t>analysis</w:t>
      </w:r>
      <w:r w:rsidR="00D74B7D" w:rsidRPr="0022357A">
        <w:t>, in which</w:t>
      </w:r>
      <w:r w:rsidRPr="0022357A">
        <w:t xml:space="preserve"> response was </w:t>
      </w:r>
      <w:r w:rsidR="00D74B7D" w:rsidRPr="0022357A">
        <w:t xml:space="preserve">defined as </w:t>
      </w:r>
      <w:r w:rsidRPr="0022357A">
        <w:t>a ≥ 25% decrease in the modified Severity-Weighted Assessment Tool (mSWAT).</w:t>
      </w:r>
    </w:p>
    <w:p w:rsidR="004714C2" w:rsidRPr="00B1472E" w:rsidRDefault="004714C2" w:rsidP="00B1472E">
      <w:pPr>
        <w:pStyle w:val="PBACHeading1"/>
        <w:numPr>
          <w:ilvl w:val="0"/>
          <w:numId w:val="0"/>
        </w:numPr>
        <w:ind w:left="720"/>
        <w:rPr>
          <w:b w:val="0"/>
          <w:i/>
          <w:sz w:val="24"/>
          <w:szCs w:val="24"/>
        </w:rPr>
      </w:pPr>
      <w:r w:rsidRPr="0051635D">
        <w:rPr>
          <w:b w:val="0"/>
          <w:i/>
          <w:sz w:val="24"/>
          <w:szCs w:val="24"/>
        </w:rPr>
        <w:t>For more detail on PBAC’s view, see section 7 PBAC outcome.</w:t>
      </w:r>
    </w:p>
    <w:p w:rsidR="00B60939" w:rsidRPr="0022357A" w:rsidRDefault="00203181" w:rsidP="00B60939">
      <w:pPr>
        <w:pStyle w:val="PBACHeading1"/>
      </w:pPr>
      <w:bookmarkStart w:id="3" w:name="_Toc514237306"/>
      <w:r w:rsidRPr="0022357A">
        <w:t xml:space="preserve">Population and </w:t>
      </w:r>
      <w:r w:rsidR="008E0D3C" w:rsidRPr="0022357A">
        <w:t>d</w:t>
      </w:r>
      <w:r w:rsidRPr="0022357A">
        <w:t>isease</w:t>
      </w:r>
      <w:bookmarkEnd w:id="3"/>
    </w:p>
    <w:p w:rsidR="00AE73AA" w:rsidRPr="00C35104" w:rsidRDefault="00AE73AA" w:rsidP="00B727D2">
      <w:pPr>
        <w:pStyle w:val="ListParagraph"/>
        <w:widowControl/>
        <w:numPr>
          <w:ilvl w:val="1"/>
          <w:numId w:val="3"/>
        </w:numPr>
      </w:pPr>
      <w:r w:rsidRPr="0022357A">
        <w:t xml:space="preserve">CTCLs are a group of non-Hodgkin lymphomas (NHLs) in which malignant T-cell clones accumulate in the skin. The symptoms and prognosis of CTCL </w:t>
      </w:r>
      <w:r w:rsidR="00336F44" w:rsidRPr="0022357A">
        <w:t xml:space="preserve">are </w:t>
      </w:r>
      <w:r w:rsidRPr="0022357A">
        <w:t xml:space="preserve">highly varied and depend on the subtype </w:t>
      </w:r>
      <w:r w:rsidR="00540408" w:rsidRPr="0022357A">
        <w:t xml:space="preserve">and stage </w:t>
      </w:r>
      <w:r w:rsidRPr="0022357A">
        <w:t>of disease. CTCL may cause skin lesions, tumours, pruritus and erythroderma and may affect the blood and visceral organs. Patients with advanced disease may have extensive skin disease that is disfiguring.</w:t>
      </w:r>
      <w:r w:rsidR="002A3C0B">
        <w:t xml:space="preserve"> </w:t>
      </w:r>
      <w:r w:rsidR="002A3C0B" w:rsidRPr="00C35104">
        <w:t>The ESC acknowledged that there is a need for additional/alternative therapies for patients with advanced CTCL who have failed prior systemic therapies</w:t>
      </w:r>
      <w:r w:rsidR="00B727D2" w:rsidRPr="00C35104">
        <w:t xml:space="preserve"> but also</w:t>
      </w:r>
      <w:r w:rsidR="0028063E" w:rsidRPr="00C35104">
        <w:t xml:space="preserve"> considered that with vorinostat listed, the unmet need addressed by brentuximab vedotin is </w:t>
      </w:r>
      <w:r w:rsidR="00B727D2" w:rsidRPr="00C35104">
        <w:t xml:space="preserve">somewhat </w:t>
      </w:r>
      <w:r w:rsidR="0028063E" w:rsidRPr="00C35104">
        <w:t>reduced.</w:t>
      </w:r>
      <w:r w:rsidR="00CB0831">
        <w:t xml:space="preserve"> </w:t>
      </w:r>
      <w:r w:rsidR="00CB0831" w:rsidRPr="004527CE">
        <w:t xml:space="preserve">The </w:t>
      </w:r>
      <w:r w:rsidR="00246DDA">
        <w:t xml:space="preserve">pre-PBAC response </w:t>
      </w:r>
      <w:r w:rsidR="00CB0831" w:rsidRPr="004527CE">
        <w:t>disputed that the unmet need is reduced</w:t>
      </w:r>
      <w:r w:rsidR="00AE3941" w:rsidRPr="004527CE">
        <w:t xml:space="preserve">, </w:t>
      </w:r>
      <w:r w:rsidR="00246DDA">
        <w:t>citing</w:t>
      </w:r>
      <w:r w:rsidR="00AE3941" w:rsidRPr="004527CE">
        <w:t xml:space="preserve"> </w:t>
      </w:r>
      <w:r w:rsidR="002D5672">
        <w:t>clinician</w:t>
      </w:r>
      <w:r w:rsidR="00246DDA">
        <w:t xml:space="preserve"> feedback</w:t>
      </w:r>
      <w:r w:rsidR="00AE3941" w:rsidRPr="004527CE">
        <w:t xml:space="preserve"> that current treatments are characterised by low response rates and short durations of response. The PBAC agreed with </w:t>
      </w:r>
      <w:r w:rsidR="000D2E60">
        <w:t xml:space="preserve">the </w:t>
      </w:r>
      <w:r w:rsidR="00AE3941" w:rsidRPr="004527CE">
        <w:t xml:space="preserve">ESC that vorinostat has provided an additional treatment option for patients with CTCL </w:t>
      </w:r>
      <w:r w:rsidR="004D7C0C" w:rsidRPr="004527CE">
        <w:t>and</w:t>
      </w:r>
      <w:r w:rsidR="00AE3941" w:rsidRPr="004527CE">
        <w:t xml:space="preserve"> also </w:t>
      </w:r>
      <w:r w:rsidR="004D7C0C" w:rsidRPr="004527CE">
        <w:t>agreed with the sponsor</w:t>
      </w:r>
      <w:r w:rsidR="00AE3941" w:rsidRPr="004527CE">
        <w:t xml:space="preserve"> that there remains a substa</w:t>
      </w:r>
      <w:r w:rsidR="004D7C0C" w:rsidRPr="004527CE">
        <w:t>n</w:t>
      </w:r>
      <w:r w:rsidR="00AE3941" w:rsidRPr="004527CE">
        <w:t xml:space="preserve">tial unmet clinical need for effective treatments </w:t>
      </w:r>
      <w:r w:rsidR="004D7C0C" w:rsidRPr="004527CE">
        <w:t xml:space="preserve">that provide a lasting response </w:t>
      </w:r>
      <w:r w:rsidR="00AE3941" w:rsidRPr="004527CE">
        <w:t>for these patients.</w:t>
      </w:r>
      <w:r w:rsidR="00CB0831">
        <w:t xml:space="preserve"> </w:t>
      </w:r>
      <w:r w:rsidR="004527CE">
        <w:t xml:space="preserve">The PBAC noted the impact of </w:t>
      </w:r>
      <w:r w:rsidR="002D5672">
        <w:t>pruritus</w:t>
      </w:r>
      <w:r w:rsidR="004527CE">
        <w:t xml:space="preserve">, chronic inflammation and ulceration and frequent infections on quality of life for patients with CTCL. </w:t>
      </w:r>
    </w:p>
    <w:p w:rsidR="00A260D8" w:rsidRPr="00A260D8" w:rsidRDefault="00AE73AA" w:rsidP="00AE73AA">
      <w:pPr>
        <w:pStyle w:val="ListParagraph"/>
        <w:widowControl/>
        <w:numPr>
          <w:ilvl w:val="1"/>
          <w:numId w:val="3"/>
        </w:numPr>
        <w:rPr>
          <w:szCs w:val="24"/>
        </w:rPr>
      </w:pPr>
      <w:r w:rsidRPr="0022357A">
        <w:t>Mycosis fungoides (MF) is the most common form of CTCL. It results in plaques and patches on the skin, in addition to lesions and tumours in the more advanced stages. Patients diagnosed with advanced stage disease (stages IIB, III and IVA) or visceral involvement (other organs affected, stage IVB) have median overall survival</w:t>
      </w:r>
      <w:r w:rsidR="00D74B7D" w:rsidRPr="0022357A">
        <w:t>s</w:t>
      </w:r>
      <w:r w:rsidRPr="0022357A">
        <w:t xml:space="preserve"> (OS) of five years and 2.5 years, respectively. Sézary syndrome (SS) is a leukemic form of CTCL that affects the blood and causes erythroderma. It has a poor prognosis with a median OS of five years. </w:t>
      </w:r>
      <w:r w:rsidR="000D1A79" w:rsidRPr="004527CE">
        <w:t xml:space="preserve">The PBAC noted that </w:t>
      </w:r>
      <w:r w:rsidR="000D1A79" w:rsidRPr="00246DDA">
        <w:t xml:space="preserve">in a </w:t>
      </w:r>
      <w:r w:rsidR="000D1A79">
        <w:t xml:space="preserve">large cohort </w:t>
      </w:r>
      <w:r w:rsidR="000D1A79" w:rsidRPr="00246DDA">
        <w:t>study</w:t>
      </w:r>
      <w:r w:rsidR="000D1A79">
        <w:t xml:space="preserve"> of MF and SS patients with clinical stage IIB or higher disease</w:t>
      </w:r>
      <w:r w:rsidR="000D1A79" w:rsidRPr="00246DDA">
        <w:rPr>
          <w:rStyle w:val="FootnoteReference"/>
        </w:rPr>
        <w:footnoteReference w:id="1"/>
      </w:r>
      <w:r w:rsidR="000D1A79" w:rsidRPr="00246DDA">
        <w:t xml:space="preserve"> only 23% </w:t>
      </w:r>
      <w:r w:rsidR="000D1A79">
        <w:t xml:space="preserve">had </w:t>
      </w:r>
      <w:r w:rsidR="000D1A79" w:rsidRPr="00246DDA">
        <w:t>CD30</w:t>
      </w:r>
      <w:r w:rsidR="000D1A79">
        <w:t xml:space="preserve"> positivity of more than </w:t>
      </w:r>
      <w:r w:rsidR="000D1A79" w:rsidRPr="00246DDA">
        <w:t>10%</w:t>
      </w:r>
      <w:r w:rsidR="000D1A79">
        <w:t>. Hence</w:t>
      </w:r>
      <w:r w:rsidR="000D1A79" w:rsidRPr="00246DDA">
        <w:t xml:space="preserve">, </w:t>
      </w:r>
      <w:r w:rsidR="000D1A79">
        <w:t>the PBAC considered</w:t>
      </w:r>
      <w:r w:rsidR="000D1A79" w:rsidRPr="00246DDA">
        <w:t xml:space="preserve"> only a minority of stage IIB - IVB patients would</w:t>
      </w:r>
      <w:r w:rsidR="000D1A79">
        <w:t xml:space="preserve"> have been</w:t>
      </w:r>
      <w:r w:rsidR="000D1A79" w:rsidRPr="00246DDA">
        <w:t xml:space="preserve"> eligible</w:t>
      </w:r>
      <w:r w:rsidR="000D1A79">
        <w:t xml:space="preserve"> for the ALCANZA trial</w:t>
      </w:r>
      <w:r w:rsidR="000D1A79" w:rsidRPr="00246DDA">
        <w:t xml:space="preserve">. The PBAC considered that this was a major issue when considering </w:t>
      </w:r>
      <w:r w:rsidR="00993C4C">
        <w:t xml:space="preserve">how to perform fair comparisons with alternative </w:t>
      </w:r>
      <w:r w:rsidR="00993C4C" w:rsidRPr="00246DDA">
        <w:t>therap</w:t>
      </w:r>
      <w:r w:rsidR="00993C4C">
        <w:t xml:space="preserve">ies which have not been evaluated </w:t>
      </w:r>
      <w:r w:rsidR="00D7591D">
        <w:t xml:space="preserve">in </w:t>
      </w:r>
      <w:r w:rsidR="00993C4C">
        <w:t>CTCL</w:t>
      </w:r>
      <w:r w:rsidR="00E37A95">
        <w:t xml:space="preserve"> selected on the basis of CD30 positivity</w:t>
      </w:r>
      <w:r w:rsidR="000D1A79">
        <w:t xml:space="preserve">, </w:t>
      </w:r>
      <w:r w:rsidR="00E37A95">
        <w:t xml:space="preserve">and also when considering </w:t>
      </w:r>
      <w:r w:rsidR="000D1A79" w:rsidRPr="00246DDA">
        <w:t xml:space="preserve">the </w:t>
      </w:r>
      <w:r w:rsidR="00CD21E6">
        <w:t xml:space="preserve">restriction and </w:t>
      </w:r>
      <w:r w:rsidR="00E37A95">
        <w:t xml:space="preserve">any </w:t>
      </w:r>
      <w:r w:rsidR="00CD21E6">
        <w:t>measures required to address</w:t>
      </w:r>
      <w:r w:rsidR="000D1A79" w:rsidRPr="00246DDA">
        <w:t xml:space="preserve"> </w:t>
      </w:r>
      <w:r w:rsidR="000D1A79">
        <w:t>the potential for use outside of the restriction</w:t>
      </w:r>
      <w:r w:rsidR="000D1A79" w:rsidRPr="00246DDA">
        <w:t xml:space="preserve">. </w:t>
      </w:r>
    </w:p>
    <w:p w:rsidR="00AE73AA" w:rsidRPr="00C35104" w:rsidRDefault="00AE73AA" w:rsidP="00AE73AA">
      <w:pPr>
        <w:pStyle w:val="ListParagraph"/>
        <w:widowControl/>
        <w:numPr>
          <w:ilvl w:val="1"/>
          <w:numId w:val="3"/>
        </w:numPr>
        <w:rPr>
          <w:szCs w:val="24"/>
        </w:rPr>
      </w:pPr>
      <w:r w:rsidRPr="0022357A">
        <w:t xml:space="preserve">Primary cutaneous anaplastic large cell lymphoma (pcALCL) is an indolent lymphoma that causes raised red skin lesions, nodules or tumours. Ten-year survival with </w:t>
      </w:r>
      <w:r w:rsidRPr="0022357A">
        <w:lastRenderedPageBreak/>
        <w:t xml:space="preserve">pcALCL is approximately 77% (Liu (2003)). </w:t>
      </w:r>
      <w:r w:rsidR="00771665" w:rsidRPr="00C35104">
        <w:t>The ESC considered that, a</w:t>
      </w:r>
      <w:r w:rsidR="002532D7" w:rsidRPr="00C35104">
        <w:t>lthough it is a cancer, pcALCL generally doesn’t require systemic therapy.</w:t>
      </w:r>
      <w:r w:rsidR="002532D7" w:rsidRPr="002532D7">
        <w:rPr>
          <w:i/>
        </w:rPr>
        <w:t xml:space="preserve"> </w:t>
      </w:r>
      <w:r w:rsidR="0026629D" w:rsidRPr="0026629D">
        <w:rPr>
          <w:szCs w:val="24"/>
        </w:rPr>
        <w:t>Lymphomatoid papulosis</w:t>
      </w:r>
      <w:r w:rsidR="0026629D" w:rsidRPr="0027404B">
        <w:rPr>
          <w:i/>
          <w:szCs w:val="24"/>
        </w:rPr>
        <w:t xml:space="preserve"> </w:t>
      </w:r>
      <w:r w:rsidR="0026629D">
        <w:t>(</w:t>
      </w:r>
      <w:r w:rsidRPr="0022357A">
        <w:t>LyP</w:t>
      </w:r>
      <w:r w:rsidR="0026629D">
        <w:t>)</w:t>
      </w:r>
      <w:r w:rsidRPr="0022357A">
        <w:t xml:space="preserve"> is a benign, chronic skin condition that causes skin lesions that can self-resolve. It does not affect life expectancy (Liu (2003)). LyP is not </w:t>
      </w:r>
      <w:r w:rsidR="000E2369" w:rsidRPr="0022357A">
        <w:t xml:space="preserve">consistently </w:t>
      </w:r>
      <w:r w:rsidRPr="0022357A">
        <w:t xml:space="preserve">considered </w:t>
      </w:r>
      <w:r w:rsidR="000E2369" w:rsidRPr="0022357A">
        <w:t xml:space="preserve">to be </w:t>
      </w:r>
      <w:r w:rsidRPr="0022357A">
        <w:t>a cancer</w:t>
      </w:r>
      <w:r w:rsidRPr="001869D5">
        <w:rPr>
          <w:i/>
          <w:szCs w:val="24"/>
        </w:rPr>
        <w:t xml:space="preserve">. </w:t>
      </w:r>
      <w:r w:rsidR="00837542" w:rsidRPr="00C35104">
        <w:rPr>
          <w:szCs w:val="24"/>
        </w:rPr>
        <w:t>The PSCR noted that although LyP is not considered to be as severe as other CD30</w:t>
      </w:r>
      <w:r w:rsidR="00E52147">
        <w:rPr>
          <w:szCs w:val="24"/>
        </w:rPr>
        <w:t xml:space="preserve"> positive</w:t>
      </w:r>
      <w:r w:rsidR="00837542" w:rsidRPr="00C35104">
        <w:rPr>
          <w:szCs w:val="24"/>
        </w:rPr>
        <w:t xml:space="preserve"> CTCL subtypes and survival is unaffected, patients with LyP require treatment as they are at risk for second cutaneous or nodal lymphoid malignancies, including MF, pcALCL, and Hodgkin lymphoma (HL) (</w:t>
      </w:r>
      <w:proofErr w:type="spellStart"/>
      <w:r w:rsidR="00837542" w:rsidRPr="00C35104">
        <w:rPr>
          <w:szCs w:val="24"/>
        </w:rPr>
        <w:t>Willemze</w:t>
      </w:r>
      <w:proofErr w:type="spellEnd"/>
      <w:r w:rsidR="00837542" w:rsidRPr="00C35104">
        <w:rPr>
          <w:szCs w:val="24"/>
        </w:rPr>
        <w:t xml:space="preserve"> et al, 2005; Prince et al, 2016). However, the </w:t>
      </w:r>
      <w:r w:rsidR="00771665" w:rsidRPr="00C35104">
        <w:rPr>
          <w:szCs w:val="24"/>
        </w:rPr>
        <w:t xml:space="preserve">ESC noted the </w:t>
      </w:r>
      <w:r w:rsidR="00837542" w:rsidRPr="00C35104">
        <w:rPr>
          <w:szCs w:val="24"/>
        </w:rPr>
        <w:t>submission did not present evidence suggesting that brentuximab vedotin treatment would affect the likelihood of developing a LyP-associated malignancy.</w:t>
      </w:r>
      <w:r w:rsidR="002A3C0B" w:rsidRPr="00C35104">
        <w:rPr>
          <w:szCs w:val="24"/>
        </w:rPr>
        <w:t xml:space="preserve"> The ESC considered that given the potential toxicity of brentuximab vedotin it may not be appropriate to use in patients with LyP.</w:t>
      </w:r>
      <w:r w:rsidR="0051635D">
        <w:rPr>
          <w:szCs w:val="24"/>
        </w:rPr>
        <w:t xml:space="preserve"> The </w:t>
      </w:r>
      <w:r w:rsidR="00A260D8">
        <w:rPr>
          <w:szCs w:val="24"/>
        </w:rPr>
        <w:t>p</w:t>
      </w:r>
      <w:r w:rsidR="0051635D">
        <w:rPr>
          <w:szCs w:val="24"/>
        </w:rPr>
        <w:t xml:space="preserve">re-PBAC response noted that the </w:t>
      </w:r>
      <w:r w:rsidR="00CF5528" w:rsidRPr="0022357A">
        <w:rPr>
          <w:color w:val="000000" w:themeColor="text1"/>
        </w:rPr>
        <w:t xml:space="preserve">Australian Cutaneous Lymphoma Network </w:t>
      </w:r>
      <w:r w:rsidR="00CF5528">
        <w:rPr>
          <w:color w:val="000000" w:themeColor="text1"/>
        </w:rPr>
        <w:t>(</w:t>
      </w:r>
      <w:r w:rsidR="0051635D" w:rsidRPr="008C6F50">
        <w:rPr>
          <w:szCs w:val="24"/>
        </w:rPr>
        <w:t>ACLN</w:t>
      </w:r>
      <w:r w:rsidR="00CF5528" w:rsidRPr="008C6F50">
        <w:rPr>
          <w:szCs w:val="24"/>
        </w:rPr>
        <w:t>)</w:t>
      </w:r>
      <w:r w:rsidR="0051635D" w:rsidRPr="008C6F50">
        <w:rPr>
          <w:szCs w:val="24"/>
        </w:rPr>
        <w:t xml:space="preserve"> database </w:t>
      </w:r>
      <w:r w:rsidR="00B36499" w:rsidRPr="008C6F50">
        <w:rPr>
          <w:szCs w:val="24"/>
        </w:rPr>
        <w:t>showed</w:t>
      </w:r>
      <w:r w:rsidR="0051635D" w:rsidRPr="008C6F50">
        <w:rPr>
          <w:szCs w:val="24"/>
        </w:rPr>
        <w:t xml:space="preserve"> </w:t>
      </w:r>
      <w:r w:rsidR="00F72571">
        <w:rPr>
          <w:noProof/>
          <w:color w:val="000000"/>
          <w:szCs w:val="24"/>
          <w:highlight w:val="black"/>
        </w:rPr>
        <w:t>'''''</w:t>
      </w:r>
      <w:r w:rsidR="00E823DA" w:rsidRPr="008C6F50">
        <w:rPr>
          <w:szCs w:val="24"/>
        </w:rPr>
        <w:t>/</w:t>
      </w:r>
      <w:r w:rsidR="00F72571">
        <w:rPr>
          <w:noProof/>
          <w:color w:val="000000"/>
          <w:szCs w:val="24"/>
          <w:highlight w:val="black"/>
        </w:rPr>
        <w:t xml:space="preserve">''''' </w:t>
      </w:r>
      <w:r w:rsidR="00E823DA" w:rsidRPr="008C6F50">
        <w:rPr>
          <w:szCs w:val="24"/>
        </w:rPr>
        <w:t>(</w:t>
      </w:r>
      <w:r w:rsidR="00F72571">
        <w:rPr>
          <w:noProof/>
          <w:color w:val="000000"/>
          <w:szCs w:val="24"/>
          <w:highlight w:val="black"/>
        </w:rPr>
        <w:t>''''''''</w:t>
      </w:r>
      <w:r w:rsidR="00E823DA" w:rsidRPr="008C6F50">
        <w:rPr>
          <w:szCs w:val="24"/>
        </w:rPr>
        <w:t>%)</w:t>
      </w:r>
      <w:r w:rsidR="008C6F50">
        <w:rPr>
          <w:szCs w:val="24"/>
        </w:rPr>
        <w:t xml:space="preserve"> </w:t>
      </w:r>
      <w:r w:rsidR="00B36499" w:rsidRPr="008C6F50">
        <w:rPr>
          <w:szCs w:val="24"/>
        </w:rPr>
        <w:t xml:space="preserve">of patients with </w:t>
      </w:r>
      <w:r w:rsidR="00CF5528" w:rsidRPr="008C6F50">
        <w:rPr>
          <w:szCs w:val="24"/>
        </w:rPr>
        <w:t xml:space="preserve">a </w:t>
      </w:r>
      <w:r w:rsidR="00B36499" w:rsidRPr="008C6F50">
        <w:rPr>
          <w:szCs w:val="24"/>
        </w:rPr>
        <w:t>confirmed CD30</w:t>
      </w:r>
      <w:r w:rsidR="00E52147" w:rsidRPr="008C6F50">
        <w:rPr>
          <w:szCs w:val="24"/>
        </w:rPr>
        <w:t xml:space="preserve"> positive</w:t>
      </w:r>
      <w:r w:rsidR="00B36499" w:rsidRPr="008C6F50">
        <w:rPr>
          <w:szCs w:val="24"/>
        </w:rPr>
        <w:t xml:space="preserve"> LyP diagnosis were repeatedly treated with various</w:t>
      </w:r>
      <w:r w:rsidR="00B36499">
        <w:rPr>
          <w:szCs w:val="24"/>
        </w:rPr>
        <w:t xml:space="preserve"> systemic therapies, and argued this suggests that a proportion of these patients do require systemic treatment. </w:t>
      </w:r>
    </w:p>
    <w:p w:rsidR="00AE73AA" w:rsidRPr="0022357A" w:rsidRDefault="00AE73AA" w:rsidP="00E47185">
      <w:pPr>
        <w:pStyle w:val="ListParagraph"/>
        <w:numPr>
          <w:ilvl w:val="1"/>
          <w:numId w:val="3"/>
        </w:numPr>
      </w:pPr>
      <w:r w:rsidRPr="0022357A">
        <w:t>Early stage CTCL is managed using skin-directed therapies. This includes topical corticosteroids, phototherapy and total skin electron beam (TSEB) therapy. Systemic therapy is used by patients who do not respond to, or are refractory to, initial skin-directed therapies. Systemic therapies include low dose methotrexate, interferon</w:t>
      </w:r>
      <w:r w:rsidRPr="0022357A">
        <w:noBreakHyphen/>
        <w:t xml:space="preserve">alpha, </w:t>
      </w:r>
      <w:proofErr w:type="spellStart"/>
      <w:r w:rsidRPr="0022357A">
        <w:t>retinoids</w:t>
      </w:r>
      <w:proofErr w:type="spellEnd"/>
      <w:r w:rsidRPr="0022357A">
        <w:t xml:space="preserve">, histone deacetylase (HDAC) inhibitors, chemotherapy and extracorporeal </w:t>
      </w:r>
      <w:proofErr w:type="spellStart"/>
      <w:r w:rsidR="00E47185" w:rsidRPr="0022357A">
        <w:t>photopheresis</w:t>
      </w:r>
      <w:proofErr w:type="spellEnd"/>
      <w:r w:rsidR="00E47185" w:rsidRPr="0022357A">
        <w:t xml:space="preserve"> </w:t>
      </w:r>
      <w:r w:rsidRPr="0022357A">
        <w:t>(ECP), where available. Radiotherapy is also used for pcALCL. For LyP, methotrexate may be used chronically or episodically (Newland (2015)). T</w:t>
      </w:r>
      <w:r w:rsidR="00A260D8">
        <w:t>he PBAC noted that t</w:t>
      </w:r>
      <w:r w:rsidRPr="0022357A">
        <w:t xml:space="preserve">here is no clearly defined standard of care for CTCL. The approach to treatment is based on CTCL subtype, disease severity and prior treatments. Previously used therapies may be re-used for subsequent lines of therapy. </w:t>
      </w:r>
    </w:p>
    <w:p w:rsidR="00E55BB5" w:rsidRDefault="00AE73AA" w:rsidP="00AE73AA">
      <w:pPr>
        <w:pStyle w:val="ListParagraph"/>
        <w:widowControl/>
        <w:numPr>
          <w:ilvl w:val="1"/>
          <w:numId w:val="3"/>
        </w:numPr>
      </w:pPr>
      <w:r w:rsidRPr="0022357A">
        <w:t>The submission proposed that brentuximab vedotin would be used after first-line systemic therapy and will displace current treatment options, such as vorinostat. The clinical management algorithm appropriately reflected the use of several sequential lines of systemic therapy.</w:t>
      </w:r>
    </w:p>
    <w:p w:rsidR="004714C2" w:rsidRPr="00B1472E" w:rsidRDefault="004714C2" w:rsidP="00B1472E">
      <w:pPr>
        <w:pStyle w:val="PBACHeading1"/>
        <w:numPr>
          <w:ilvl w:val="0"/>
          <w:numId w:val="0"/>
        </w:numPr>
        <w:ind w:left="720"/>
        <w:rPr>
          <w:b w:val="0"/>
          <w:i/>
          <w:sz w:val="24"/>
          <w:szCs w:val="24"/>
        </w:rPr>
      </w:pPr>
      <w:r w:rsidRPr="00B36499">
        <w:rPr>
          <w:b w:val="0"/>
          <w:i/>
          <w:sz w:val="24"/>
          <w:szCs w:val="24"/>
        </w:rPr>
        <w:t>For more detail on PBAC’s view, see section 7 PBAC outcome.</w:t>
      </w:r>
    </w:p>
    <w:p w:rsidR="00B60939" w:rsidRPr="0022357A" w:rsidRDefault="00B50DB8" w:rsidP="004B1CB4">
      <w:pPr>
        <w:pStyle w:val="PBACHeading1"/>
      </w:pPr>
      <w:bookmarkStart w:id="4" w:name="_Toc514237307"/>
      <w:r w:rsidRPr="0022357A">
        <w:t>Comparator</w:t>
      </w:r>
      <w:bookmarkEnd w:id="4"/>
    </w:p>
    <w:p w:rsidR="008B149B" w:rsidRPr="00C421C1" w:rsidRDefault="00AE73AA" w:rsidP="00C421C1">
      <w:pPr>
        <w:pStyle w:val="ListParagraph"/>
        <w:widowControl/>
        <w:numPr>
          <w:ilvl w:val="1"/>
          <w:numId w:val="3"/>
        </w:numPr>
        <w:rPr>
          <w:color w:val="000000" w:themeColor="text1"/>
        </w:rPr>
      </w:pPr>
      <w:r w:rsidRPr="0022357A">
        <w:rPr>
          <w:color w:val="000000" w:themeColor="text1"/>
        </w:rPr>
        <w:t>The submission nominated vorinostat as the main comparator. Th</w:t>
      </w:r>
      <w:r w:rsidR="00FD5F2B">
        <w:rPr>
          <w:color w:val="000000" w:themeColor="text1"/>
        </w:rPr>
        <w:t>e ESC considered this to be</w:t>
      </w:r>
      <w:r w:rsidRPr="0022357A">
        <w:rPr>
          <w:color w:val="000000" w:themeColor="text1"/>
        </w:rPr>
        <w:t xml:space="preserve"> appropriate for the MF and SS subtypes of CTCL. </w:t>
      </w:r>
      <w:r w:rsidR="00FD5F2B">
        <w:rPr>
          <w:color w:val="000000" w:themeColor="text1"/>
        </w:rPr>
        <w:t>However, i</w:t>
      </w:r>
      <w:r w:rsidRPr="0022357A">
        <w:rPr>
          <w:color w:val="000000" w:themeColor="text1"/>
        </w:rPr>
        <w:t>t may not have been appropriate for the pcALCL and LyP subtypes as the clinical evidence presented</w:t>
      </w:r>
      <w:r w:rsidR="009A5427" w:rsidRPr="0022357A">
        <w:rPr>
          <w:color w:val="000000" w:themeColor="text1"/>
        </w:rPr>
        <w:t xml:space="preserve"> for vorinostat</w:t>
      </w:r>
      <w:r w:rsidRPr="0022357A">
        <w:rPr>
          <w:color w:val="000000" w:themeColor="text1"/>
        </w:rPr>
        <w:t xml:space="preserve"> was based on the treatment of MF and SS only. It was unclear whether </w:t>
      </w:r>
      <w:r w:rsidRPr="0022357A">
        <w:rPr>
          <w:color w:val="000000" w:themeColor="text1"/>
        </w:rPr>
        <w:lastRenderedPageBreak/>
        <w:t xml:space="preserve">vorinostat is used to treat pcALCL and LyP in Australian clinical </w:t>
      </w:r>
      <w:proofErr w:type="gramStart"/>
      <w:r w:rsidRPr="0022357A">
        <w:rPr>
          <w:color w:val="000000" w:themeColor="text1"/>
        </w:rPr>
        <w:t>practice</w:t>
      </w:r>
      <w:r w:rsidR="00FD5F2B">
        <w:rPr>
          <w:color w:val="000000" w:themeColor="text1"/>
        </w:rPr>
        <w:t>,</w:t>
      </w:r>
      <w:proofErr w:type="gramEnd"/>
      <w:r w:rsidR="00FD5F2B">
        <w:rPr>
          <w:color w:val="000000" w:themeColor="text1"/>
        </w:rPr>
        <w:t xml:space="preserve"> although</w:t>
      </w:r>
      <w:r w:rsidR="00536A7B">
        <w:rPr>
          <w:color w:val="000000" w:themeColor="text1"/>
        </w:rPr>
        <w:t xml:space="preserve"> </w:t>
      </w:r>
      <w:r w:rsidR="002A3C0B" w:rsidRPr="00C35104">
        <w:rPr>
          <w:color w:val="000000" w:themeColor="text1"/>
        </w:rPr>
        <w:t>the</w:t>
      </w:r>
      <w:r w:rsidR="00771665" w:rsidRPr="00C35104">
        <w:rPr>
          <w:color w:val="000000" w:themeColor="text1"/>
        </w:rPr>
        <w:t xml:space="preserve"> ESC </w:t>
      </w:r>
      <w:r w:rsidR="002A3C0B" w:rsidRPr="00C35104">
        <w:rPr>
          <w:color w:val="000000" w:themeColor="text1"/>
        </w:rPr>
        <w:t>noted that</w:t>
      </w:r>
      <w:r w:rsidR="00771665" w:rsidRPr="00C35104">
        <w:rPr>
          <w:color w:val="000000" w:themeColor="text1"/>
        </w:rPr>
        <w:t xml:space="preserve"> the</w:t>
      </w:r>
      <w:r w:rsidR="002A3C0B" w:rsidRPr="00C35104">
        <w:rPr>
          <w:color w:val="000000" w:themeColor="text1"/>
        </w:rPr>
        <w:t xml:space="preserve"> vorinostat PBS</w:t>
      </w:r>
      <w:r w:rsidR="00771665" w:rsidRPr="00C35104">
        <w:rPr>
          <w:color w:val="000000" w:themeColor="text1"/>
        </w:rPr>
        <w:t xml:space="preserve"> listing also allows</w:t>
      </w:r>
      <w:r w:rsidR="002A3C0B" w:rsidRPr="00C35104">
        <w:rPr>
          <w:color w:val="000000" w:themeColor="text1"/>
        </w:rPr>
        <w:t xml:space="preserve"> use in patients with pcALCL and LyP.</w:t>
      </w:r>
      <w:r w:rsidR="004159AD">
        <w:rPr>
          <w:color w:val="000000" w:themeColor="text1"/>
        </w:rPr>
        <w:t xml:space="preserve"> </w:t>
      </w:r>
      <w:r w:rsidR="004159AD" w:rsidRPr="004527CE">
        <w:rPr>
          <w:color w:val="000000" w:themeColor="text1"/>
        </w:rPr>
        <w:t xml:space="preserve">The </w:t>
      </w:r>
      <w:r w:rsidR="008B149B">
        <w:rPr>
          <w:color w:val="000000" w:themeColor="text1"/>
        </w:rPr>
        <w:t xml:space="preserve">pre-PBAC response </w:t>
      </w:r>
      <w:r w:rsidR="004159AD" w:rsidRPr="004527CE">
        <w:rPr>
          <w:color w:val="000000" w:themeColor="text1"/>
        </w:rPr>
        <w:t xml:space="preserve">argued that there is evidence of a benefit in these patients, though it is from a limited evidence base, and that the decision to use a specific treatment for a CTCL sub-type should be for the specialist clinicians who manage these patients. The PBAC considered that the evidence for brentuximab vedotin in MF and SS </w:t>
      </w:r>
      <w:r w:rsidR="008B149B">
        <w:rPr>
          <w:color w:val="000000" w:themeColor="text1"/>
        </w:rPr>
        <w:t>sh</w:t>
      </w:r>
      <w:r w:rsidR="00DB0895" w:rsidRPr="004527CE">
        <w:rPr>
          <w:color w:val="000000" w:themeColor="text1"/>
        </w:rPr>
        <w:t xml:space="preserve">ould form the basis for decision-making as evidence in pcALCL and LyP is limited. </w:t>
      </w:r>
      <w:r w:rsidR="00BF3391">
        <w:rPr>
          <w:color w:val="000000" w:themeColor="text1"/>
        </w:rPr>
        <w:t xml:space="preserve">However, the PBAC considered the use of vorinostat as a comparator </w:t>
      </w:r>
      <w:r w:rsidR="00C421C1">
        <w:rPr>
          <w:color w:val="000000" w:themeColor="text1"/>
        </w:rPr>
        <w:t xml:space="preserve">in this submission </w:t>
      </w:r>
      <w:r w:rsidR="00BF3391">
        <w:rPr>
          <w:color w:val="000000" w:themeColor="text1"/>
        </w:rPr>
        <w:t xml:space="preserve">was </w:t>
      </w:r>
      <w:r w:rsidR="00D43B3F">
        <w:rPr>
          <w:color w:val="000000" w:themeColor="text1"/>
        </w:rPr>
        <w:t xml:space="preserve">limited by </w:t>
      </w:r>
      <w:r w:rsidR="00BF3391">
        <w:rPr>
          <w:color w:val="000000" w:themeColor="text1"/>
        </w:rPr>
        <w:t>the fact that, unlike brentuximab vedotin, its use was not restricted to CD30 positive CTCL.</w:t>
      </w:r>
    </w:p>
    <w:p w:rsidR="006C2369" w:rsidRDefault="00AE73AA" w:rsidP="00AE73AA">
      <w:pPr>
        <w:pStyle w:val="ListParagraph"/>
        <w:widowControl/>
        <w:numPr>
          <w:ilvl w:val="1"/>
          <w:numId w:val="3"/>
        </w:numPr>
        <w:rPr>
          <w:color w:val="000000" w:themeColor="text1"/>
        </w:rPr>
      </w:pPr>
      <w:r w:rsidRPr="0022357A">
        <w:rPr>
          <w:color w:val="000000" w:themeColor="text1"/>
        </w:rPr>
        <w:t xml:space="preserve">The submission nominated low dose methotrexate as a supplementary comparator. </w:t>
      </w:r>
      <w:r w:rsidR="003864A4">
        <w:rPr>
          <w:color w:val="000000" w:themeColor="text1"/>
        </w:rPr>
        <w:t>The evaluators considered a</w:t>
      </w:r>
      <w:r w:rsidRPr="0022357A">
        <w:rPr>
          <w:color w:val="000000" w:themeColor="text1"/>
        </w:rPr>
        <w:t xml:space="preserve"> basket of comparators may have been more appropriate. Data from the ACL</w:t>
      </w:r>
      <w:r w:rsidR="00006BB9">
        <w:rPr>
          <w:color w:val="000000" w:themeColor="text1"/>
        </w:rPr>
        <w:t>N</w:t>
      </w:r>
      <w:r w:rsidRPr="0022357A">
        <w:rPr>
          <w:color w:val="000000" w:themeColor="text1"/>
        </w:rPr>
        <w:t xml:space="preserve"> database, from 2010 to prior to the July 2017 PBS-listing of vorinostat, demonstrated that TSEB was the most commonly used second line therapy (</w:t>
      </w:r>
      <w:r w:rsidR="00F72571">
        <w:rPr>
          <w:noProof/>
          <w:color w:val="000000"/>
          <w:highlight w:val="black"/>
        </w:rPr>
        <w:t>'''''</w:t>
      </w:r>
      <w:r w:rsidRPr="0022357A">
        <w:rPr>
          <w:color w:val="000000" w:themeColor="text1"/>
        </w:rPr>
        <w:t>%), followed by methotrexate (</w:t>
      </w:r>
      <w:proofErr w:type="gramStart"/>
      <w:r w:rsidR="00F72571">
        <w:rPr>
          <w:noProof/>
          <w:color w:val="000000"/>
          <w:highlight w:val="black"/>
        </w:rPr>
        <w:t>''''''</w:t>
      </w:r>
      <w:r w:rsidRPr="0022357A">
        <w:rPr>
          <w:color w:val="000000" w:themeColor="text1"/>
        </w:rPr>
        <w:t>%</w:t>
      </w:r>
      <w:proofErr w:type="gramEnd"/>
      <w:r w:rsidRPr="0022357A">
        <w:rPr>
          <w:color w:val="000000" w:themeColor="text1"/>
        </w:rPr>
        <w:t>) and interferon (</w:t>
      </w:r>
      <w:r w:rsidR="00F72571">
        <w:rPr>
          <w:noProof/>
          <w:color w:val="000000"/>
          <w:highlight w:val="black"/>
        </w:rPr>
        <w:t>''''''</w:t>
      </w:r>
      <w:r w:rsidRPr="0022357A">
        <w:rPr>
          <w:color w:val="000000" w:themeColor="text1"/>
        </w:rPr>
        <w:t xml:space="preserve">%). </w:t>
      </w:r>
      <w:r w:rsidR="00837542" w:rsidRPr="00C35104">
        <w:rPr>
          <w:color w:val="000000" w:themeColor="text1"/>
        </w:rPr>
        <w:t xml:space="preserve">The PSCR </w:t>
      </w:r>
      <w:r w:rsidR="006755E9" w:rsidRPr="00C35104">
        <w:rPr>
          <w:color w:val="000000" w:themeColor="text1"/>
        </w:rPr>
        <w:t>argued</w:t>
      </w:r>
      <w:r w:rsidR="00837542" w:rsidRPr="00C35104">
        <w:rPr>
          <w:color w:val="000000" w:themeColor="text1"/>
        </w:rPr>
        <w:t xml:space="preserve"> that </w:t>
      </w:r>
      <w:r w:rsidR="00771665" w:rsidRPr="00C35104">
        <w:t xml:space="preserve">psoralen plus ultraviolet </w:t>
      </w:r>
      <w:proofErr w:type="gramStart"/>
      <w:r w:rsidR="00771665" w:rsidRPr="00C35104">
        <w:t>A</w:t>
      </w:r>
      <w:proofErr w:type="gramEnd"/>
      <w:r w:rsidR="00771665" w:rsidRPr="00C35104">
        <w:t xml:space="preserve"> radiation (PUVA)</w:t>
      </w:r>
      <w:r w:rsidR="00837542" w:rsidRPr="00C35104">
        <w:rPr>
          <w:color w:val="000000" w:themeColor="text1"/>
        </w:rPr>
        <w:t xml:space="preserve"> and TSEB are not </w:t>
      </w:r>
      <w:r w:rsidR="00837542" w:rsidRPr="00C35104">
        <w:rPr>
          <w:color w:val="000000" w:themeColor="text1"/>
          <w:szCs w:val="24"/>
        </w:rPr>
        <w:t>considered systemic treatments based on the sponsor’s advisory board minutes</w:t>
      </w:r>
      <w:r w:rsidR="003C1239" w:rsidRPr="00C35104">
        <w:rPr>
          <w:color w:val="000000" w:themeColor="text1"/>
          <w:szCs w:val="24"/>
        </w:rPr>
        <w:t>.</w:t>
      </w:r>
      <w:r w:rsidR="00837542" w:rsidRPr="00C35104">
        <w:rPr>
          <w:color w:val="000000" w:themeColor="text1"/>
          <w:szCs w:val="24"/>
        </w:rPr>
        <w:t xml:space="preserve"> However, </w:t>
      </w:r>
      <w:r w:rsidR="006755E9" w:rsidRPr="00C35104">
        <w:rPr>
          <w:color w:val="000000" w:themeColor="text1"/>
          <w:szCs w:val="24"/>
        </w:rPr>
        <w:t xml:space="preserve">the ESC noted that </w:t>
      </w:r>
      <w:r w:rsidR="00837542" w:rsidRPr="00C35104">
        <w:rPr>
          <w:szCs w:val="24"/>
        </w:rPr>
        <w:t>TSEB was commonly used as a second line treatment after first line systemic therapy. This makes TSEB a potential comparator, irrespective of its classification as a systemic or topical therapy.</w:t>
      </w:r>
      <w:r w:rsidR="003C1239" w:rsidRPr="00C35104">
        <w:rPr>
          <w:szCs w:val="24"/>
        </w:rPr>
        <w:t xml:space="preserve"> The ESC considered that m</w:t>
      </w:r>
      <w:r w:rsidR="003C1239" w:rsidRPr="00C35104">
        <w:rPr>
          <w:color w:val="000000" w:themeColor="text1"/>
        </w:rPr>
        <w:t xml:space="preserve">ethotrexate is not standard of care for relapsed </w:t>
      </w:r>
      <w:r w:rsidR="00204273" w:rsidRPr="00C35104">
        <w:rPr>
          <w:color w:val="000000" w:themeColor="text1"/>
        </w:rPr>
        <w:t xml:space="preserve">or </w:t>
      </w:r>
      <w:r w:rsidR="003C1239" w:rsidRPr="00C35104">
        <w:rPr>
          <w:color w:val="000000" w:themeColor="text1"/>
        </w:rPr>
        <w:t xml:space="preserve">refractory CTCL, </w:t>
      </w:r>
      <w:r w:rsidR="006755E9" w:rsidRPr="00C35104">
        <w:rPr>
          <w:color w:val="000000" w:themeColor="text1"/>
        </w:rPr>
        <w:t xml:space="preserve">and </w:t>
      </w:r>
      <w:r w:rsidR="009776A3" w:rsidRPr="00C35104">
        <w:rPr>
          <w:color w:val="000000" w:themeColor="text1"/>
        </w:rPr>
        <w:t xml:space="preserve">agreed with the evaluation that </w:t>
      </w:r>
      <w:r w:rsidR="003C1239" w:rsidRPr="00C35104">
        <w:rPr>
          <w:color w:val="000000" w:themeColor="text1"/>
        </w:rPr>
        <w:t>a basket of therapies would be an appropriate comparator, particularly for pcALCL and LyP</w:t>
      </w:r>
      <w:r w:rsidR="009776A3" w:rsidRPr="00C35104">
        <w:rPr>
          <w:color w:val="000000" w:themeColor="text1"/>
        </w:rPr>
        <w:t xml:space="preserve"> subtypes</w:t>
      </w:r>
      <w:r w:rsidR="003C1239" w:rsidRPr="00C35104">
        <w:rPr>
          <w:color w:val="000000" w:themeColor="text1"/>
        </w:rPr>
        <w:t>.</w:t>
      </w:r>
      <w:r w:rsidR="00DB0895">
        <w:rPr>
          <w:color w:val="000000" w:themeColor="text1"/>
        </w:rPr>
        <w:t xml:space="preserve"> </w:t>
      </w:r>
      <w:r w:rsidR="006C2369">
        <w:rPr>
          <w:color w:val="000000" w:themeColor="text1"/>
        </w:rPr>
        <w:t>T</w:t>
      </w:r>
      <w:r w:rsidR="00DB0895" w:rsidRPr="004527CE">
        <w:rPr>
          <w:color w:val="000000" w:themeColor="text1"/>
        </w:rPr>
        <w:t xml:space="preserve">he pre-PBAC response disagreed that methotrexate is not standard of care, arguing that methotrexate is used extensively in multiple lines of treatment, particularly in patients with advanced stage disease. </w:t>
      </w:r>
    </w:p>
    <w:p w:rsidR="00B60939" w:rsidRDefault="00DB0895" w:rsidP="00AE73AA">
      <w:pPr>
        <w:pStyle w:val="ListParagraph"/>
        <w:widowControl/>
        <w:numPr>
          <w:ilvl w:val="1"/>
          <w:numId w:val="3"/>
        </w:numPr>
        <w:rPr>
          <w:color w:val="000000" w:themeColor="text1"/>
        </w:rPr>
      </w:pPr>
      <w:r w:rsidRPr="004527CE">
        <w:rPr>
          <w:color w:val="000000" w:themeColor="text1"/>
        </w:rPr>
        <w:t xml:space="preserve">The PBAC </w:t>
      </w:r>
      <w:r w:rsidR="001C3A62" w:rsidRPr="004527CE">
        <w:rPr>
          <w:color w:val="000000" w:themeColor="text1"/>
        </w:rPr>
        <w:t xml:space="preserve">noted </w:t>
      </w:r>
      <w:r w:rsidR="006C2369">
        <w:rPr>
          <w:color w:val="000000" w:themeColor="text1"/>
        </w:rPr>
        <w:t xml:space="preserve">that there was no defined standard of care for relapsed or refractory CTCL. As such, the PBAC considered that the use of a basket of therapies as a supplementary comparator </w:t>
      </w:r>
      <w:r w:rsidR="006D5A33">
        <w:rPr>
          <w:color w:val="000000" w:themeColor="text1"/>
        </w:rPr>
        <w:t xml:space="preserve">had significant limitations </w:t>
      </w:r>
      <w:r w:rsidR="006C2369">
        <w:rPr>
          <w:color w:val="000000" w:themeColor="text1"/>
        </w:rPr>
        <w:t xml:space="preserve">as the </w:t>
      </w:r>
      <w:r w:rsidR="006D5A33">
        <w:rPr>
          <w:color w:val="000000" w:themeColor="text1"/>
        </w:rPr>
        <w:t xml:space="preserve">relative weighting </w:t>
      </w:r>
      <w:r w:rsidR="001C3A62" w:rsidRPr="004527CE">
        <w:rPr>
          <w:color w:val="000000" w:themeColor="text1"/>
        </w:rPr>
        <w:t xml:space="preserve">of </w:t>
      </w:r>
      <w:r w:rsidR="006D5A33">
        <w:rPr>
          <w:color w:val="000000" w:themeColor="text1"/>
        </w:rPr>
        <w:t xml:space="preserve">each </w:t>
      </w:r>
      <w:r w:rsidR="006D5A33" w:rsidRPr="004527CE">
        <w:rPr>
          <w:color w:val="000000" w:themeColor="text1"/>
        </w:rPr>
        <w:t>therap</w:t>
      </w:r>
      <w:r w:rsidR="006D5A33">
        <w:rPr>
          <w:color w:val="000000" w:themeColor="text1"/>
        </w:rPr>
        <w:t>y</w:t>
      </w:r>
      <w:r w:rsidR="006D5A33" w:rsidRPr="004527CE">
        <w:rPr>
          <w:color w:val="000000" w:themeColor="text1"/>
        </w:rPr>
        <w:t xml:space="preserve"> </w:t>
      </w:r>
      <w:r w:rsidR="006D5A33">
        <w:rPr>
          <w:color w:val="000000" w:themeColor="text1"/>
        </w:rPr>
        <w:t xml:space="preserve">would carry substantial </w:t>
      </w:r>
      <w:r w:rsidR="001C3A62" w:rsidRPr="004527CE">
        <w:rPr>
          <w:color w:val="000000" w:themeColor="text1"/>
        </w:rPr>
        <w:t>uncertain</w:t>
      </w:r>
      <w:r w:rsidR="006D5A33">
        <w:rPr>
          <w:color w:val="000000" w:themeColor="text1"/>
        </w:rPr>
        <w:t>ty</w:t>
      </w:r>
      <w:r w:rsidR="00070C34" w:rsidRPr="004527CE">
        <w:rPr>
          <w:color w:val="000000" w:themeColor="text1"/>
        </w:rPr>
        <w:t xml:space="preserve">. </w:t>
      </w:r>
      <w:r w:rsidR="00D254D8">
        <w:rPr>
          <w:color w:val="000000" w:themeColor="text1"/>
        </w:rPr>
        <w:t xml:space="preserve">In addition, the PBAC considered that such a comparison would also be limited by </w:t>
      </w:r>
      <w:r w:rsidR="00711C2D">
        <w:rPr>
          <w:color w:val="000000" w:themeColor="text1"/>
        </w:rPr>
        <w:t xml:space="preserve">the </w:t>
      </w:r>
      <w:r w:rsidR="00D254D8">
        <w:rPr>
          <w:color w:val="000000" w:themeColor="text1"/>
        </w:rPr>
        <w:t xml:space="preserve">fact that, </w:t>
      </w:r>
      <w:r w:rsidR="00017645">
        <w:rPr>
          <w:color w:val="000000" w:themeColor="text1"/>
        </w:rPr>
        <w:t>unlike brentuximab vedotin, the use of these therapies is</w:t>
      </w:r>
      <w:r w:rsidR="00D254D8">
        <w:rPr>
          <w:color w:val="000000" w:themeColor="text1"/>
        </w:rPr>
        <w:t xml:space="preserve"> not restricted to CD30 positive CTCL. </w:t>
      </w:r>
      <w:r w:rsidR="00340700" w:rsidRPr="004527CE">
        <w:rPr>
          <w:color w:val="000000" w:themeColor="text1"/>
        </w:rPr>
        <w:t xml:space="preserve">The PBAC noted that the best comparative evidence available </w:t>
      </w:r>
      <w:r w:rsidR="00340700">
        <w:rPr>
          <w:color w:val="000000" w:themeColor="text1"/>
        </w:rPr>
        <w:t xml:space="preserve">in this submission </w:t>
      </w:r>
      <w:r w:rsidR="00340700" w:rsidRPr="004527CE">
        <w:rPr>
          <w:color w:val="000000" w:themeColor="text1"/>
        </w:rPr>
        <w:t>is for patients treated with</w:t>
      </w:r>
      <w:r w:rsidR="00D254D8">
        <w:rPr>
          <w:color w:val="000000" w:themeColor="text1"/>
        </w:rPr>
        <w:t xml:space="preserve"> methotrexate, which is </w:t>
      </w:r>
      <w:r w:rsidR="00340700" w:rsidRPr="004527CE">
        <w:rPr>
          <w:color w:val="000000" w:themeColor="text1"/>
        </w:rPr>
        <w:t>one of the standard therapies in Australia</w:t>
      </w:r>
      <w:r w:rsidR="00D254D8">
        <w:rPr>
          <w:color w:val="000000" w:themeColor="text1"/>
        </w:rPr>
        <w:t xml:space="preserve"> for this rare condition</w:t>
      </w:r>
      <w:r w:rsidR="00340700" w:rsidRPr="004527CE">
        <w:rPr>
          <w:color w:val="000000" w:themeColor="text1"/>
        </w:rPr>
        <w:t>.</w:t>
      </w:r>
      <w:r w:rsidR="008C6F50">
        <w:rPr>
          <w:color w:val="000000" w:themeColor="text1"/>
        </w:rPr>
        <w:t xml:space="preserve"> </w:t>
      </w:r>
    </w:p>
    <w:p w:rsidR="004714C2" w:rsidRPr="00B1472E" w:rsidRDefault="004714C2" w:rsidP="00B1472E">
      <w:pPr>
        <w:pStyle w:val="PBACHeading1"/>
        <w:numPr>
          <w:ilvl w:val="0"/>
          <w:numId w:val="0"/>
        </w:numPr>
        <w:ind w:left="720"/>
        <w:rPr>
          <w:b w:val="0"/>
          <w:i/>
          <w:sz w:val="24"/>
          <w:szCs w:val="24"/>
        </w:rPr>
      </w:pPr>
      <w:r w:rsidRPr="00B36499">
        <w:rPr>
          <w:b w:val="0"/>
          <w:i/>
          <w:sz w:val="24"/>
          <w:szCs w:val="24"/>
        </w:rPr>
        <w:t>For more detail on PBAC’s view, see section 7 PBAC outcome.</w:t>
      </w:r>
    </w:p>
    <w:p w:rsidR="00B60939" w:rsidRPr="0022357A" w:rsidRDefault="00BD6CF3" w:rsidP="004B1CB4">
      <w:pPr>
        <w:pStyle w:val="PBACHeading1"/>
      </w:pPr>
      <w:bookmarkStart w:id="5" w:name="_Toc514237308"/>
      <w:r w:rsidRPr="0022357A">
        <w:t>C</w:t>
      </w:r>
      <w:r w:rsidR="00B50DB8" w:rsidRPr="0022357A">
        <w:t>onsideration of the evidence</w:t>
      </w:r>
      <w:bookmarkEnd w:id="5"/>
    </w:p>
    <w:p w:rsidR="004714C2" w:rsidRPr="004527CE" w:rsidRDefault="004714C2" w:rsidP="004714C2">
      <w:pPr>
        <w:spacing w:before="240" w:line="276" w:lineRule="auto"/>
        <w:rPr>
          <w:rFonts w:asciiTheme="minorHAnsi" w:hAnsiTheme="minorHAnsi"/>
          <w:b/>
          <w:bCs/>
          <w:sz w:val="28"/>
          <w:szCs w:val="28"/>
        </w:rPr>
      </w:pPr>
      <w:bookmarkStart w:id="6" w:name="_Toc514237309"/>
      <w:r w:rsidRPr="004527CE">
        <w:rPr>
          <w:rFonts w:asciiTheme="minorHAnsi" w:hAnsiTheme="minorHAnsi"/>
          <w:b/>
          <w:bCs/>
          <w:sz w:val="28"/>
          <w:szCs w:val="28"/>
        </w:rPr>
        <w:t>Sponsor hearing</w:t>
      </w:r>
    </w:p>
    <w:p w:rsidR="004714C2" w:rsidRPr="004527CE" w:rsidRDefault="004714C2" w:rsidP="004714C2">
      <w:pPr>
        <w:numPr>
          <w:ilvl w:val="1"/>
          <w:numId w:val="3"/>
        </w:numPr>
        <w:spacing w:after="120"/>
        <w:rPr>
          <w:rFonts w:asciiTheme="minorHAnsi" w:hAnsiTheme="minorHAnsi"/>
          <w:bCs/>
        </w:rPr>
      </w:pPr>
      <w:r w:rsidRPr="004527CE">
        <w:rPr>
          <w:rFonts w:asciiTheme="minorHAnsi" w:hAnsiTheme="minorHAnsi"/>
          <w:bCs/>
        </w:rPr>
        <w:t>The sponsor requested a hearing for this item.</w:t>
      </w:r>
      <w:r w:rsidR="008C6F50">
        <w:rPr>
          <w:rFonts w:asciiTheme="minorHAnsi" w:hAnsiTheme="minorHAnsi"/>
          <w:bCs/>
        </w:rPr>
        <w:t xml:space="preserve"> </w:t>
      </w:r>
      <w:r w:rsidRPr="004527CE">
        <w:rPr>
          <w:rFonts w:asciiTheme="minorHAnsi" w:hAnsiTheme="minorHAnsi"/>
          <w:bCs/>
        </w:rPr>
        <w:t xml:space="preserve">The clinician presented clinical case </w:t>
      </w:r>
      <w:r w:rsidRPr="004527CE">
        <w:rPr>
          <w:rFonts w:asciiTheme="minorHAnsi" w:hAnsiTheme="minorHAnsi"/>
          <w:bCs/>
        </w:rPr>
        <w:lastRenderedPageBreak/>
        <w:t xml:space="preserve">studies and discussed the natural history of the disease, how </w:t>
      </w:r>
      <w:r w:rsidR="00574A8A" w:rsidRPr="004527CE">
        <w:rPr>
          <w:rFonts w:asciiTheme="minorHAnsi" w:hAnsiTheme="minorHAnsi"/>
          <w:bCs/>
        </w:rPr>
        <w:t xml:space="preserve">brentuximab vedotin </w:t>
      </w:r>
      <w:r w:rsidRPr="004527CE">
        <w:rPr>
          <w:rFonts w:asciiTheme="minorHAnsi" w:hAnsiTheme="minorHAnsi"/>
          <w:bCs/>
        </w:rPr>
        <w:t>would be used in practice, and addressed other matters in response to the Committee’s questions.</w:t>
      </w:r>
      <w:r w:rsidR="008C6F50">
        <w:rPr>
          <w:rFonts w:asciiTheme="minorHAnsi" w:hAnsiTheme="minorHAnsi"/>
          <w:bCs/>
        </w:rPr>
        <w:t xml:space="preserve"> </w:t>
      </w:r>
      <w:r w:rsidRPr="004527CE">
        <w:rPr>
          <w:rFonts w:asciiTheme="minorHAnsi" w:hAnsiTheme="minorHAnsi"/>
          <w:bCs/>
        </w:rPr>
        <w:t>The PBAC considered that the hearing was informative as it provided a clinical perspective on treating this uncommon disease</w:t>
      </w:r>
      <w:r w:rsidR="00922D98">
        <w:rPr>
          <w:rFonts w:asciiTheme="minorHAnsi" w:hAnsiTheme="minorHAnsi"/>
          <w:bCs/>
        </w:rPr>
        <w:t>. The PBAC also considered it provided</w:t>
      </w:r>
      <w:r w:rsidR="00574A8A" w:rsidRPr="004527CE">
        <w:rPr>
          <w:rFonts w:asciiTheme="minorHAnsi" w:hAnsiTheme="minorHAnsi"/>
          <w:bCs/>
        </w:rPr>
        <w:t xml:space="preserve"> additional information</w:t>
      </w:r>
      <w:r w:rsidR="006D5A33">
        <w:rPr>
          <w:rFonts w:asciiTheme="minorHAnsi" w:hAnsiTheme="minorHAnsi"/>
          <w:bCs/>
        </w:rPr>
        <w:t>, not all readily verifiable,</w:t>
      </w:r>
      <w:r w:rsidR="00574A8A" w:rsidRPr="004527CE">
        <w:rPr>
          <w:rFonts w:asciiTheme="minorHAnsi" w:hAnsiTheme="minorHAnsi"/>
          <w:bCs/>
        </w:rPr>
        <w:t xml:space="preserve"> regarding the proportion of </w:t>
      </w:r>
      <w:r w:rsidR="00922D98">
        <w:rPr>
          <w:rFonts w:asciiTheme="minorHAnsi" w:hAnsiTheme="minorHAnsi"/>
          <w:bCs/>
        </w:rPr>
        <w:t xml:space="preserve">patients with </w:t>
      </w:r>
      <w:r w:rsidR="00574A8A" w:rsidRPr="004527CE">
        <w:rPr>
          <w:rFonts w:asciiTheme="minorHAnsi" w:hAnsiTheme="minorHAnsi"/>
          <w:bCs/>
        </w:rPr>
        <w:t>CD30</w:t>
      </w:r>
      <w:r w:rsidR="00E52147">
        <w:rPr>
          <w:rFonts w:asciiTheme="minorHAnsi" w:hAnsiTheme="minorHAnsi"/>
          <w:bCs/>
        </w:rPr>
        <w:t xml:space="preserve"> positive</w:t>
      </w:r>
      <w:r w:rsidR="00574A8A" w:rsidRPr="004527CE">
        <w:rPr>
          <w:rFonts w:asciiTheme="minorHAnsi" w:hAnsiTheme="minorHAnsi"/>
          <w:bCs/>
        </w:rPr>
        <w:t xml:space="preserve"> </w:t>
      </w:r>
      <w:r w:rsidR="00CF5BC1" w:rsidRPr="004527CE">
        <w:rPr>
          <w:rFonts w:asciiTheme="minorHAnsi" w:hAnsiTheme="minorHAnsi"/>
          <w:bCs/>
        </w:rPr>
        <w:t>disease</w:t>
      </w:r>
      <w:r w:rsidR="00922D98">
        <w:rPr>
          <w:rFonts w:asciiTheme="minorHAnsi" w:hAnsiTheme="minorHAnsi"/>
          <w:bCs/>
        </w:rPr>
        <w:t>,</w:t>
      </w:r>
      <w:r w:rsidR="00574A8A" w:rsidRPr="004527CE">
        <w:rPr>
          <w:rFonts w:asciiTheme="minorHAnsi" w:hAnsiTheme="minorHAnsi"/>
          <w:bCs/>
        </w:rPr>
        <w:t xml:space="preserve"> the </w:t>
      </w:r>
      <w:r w:rsidR="00D43B3F">
        <w:rPr>
          <w:rFonts w:asciiTheme="minorHAnsi" w:hAnsiTheme="minorHAnsi"/>
          <w:bCs/>
        </w:rPr>
        <w:t xml:space="preserve">treatment </w:t>
      </w:r>
      <w:r w:rsidR="00574A8A" w:rsidRPr="004527CE">
        <w:rPr>
          <w:rFonts w:asciiTheme="minorHAnsi" w:hAnsiTheme="minorHAnsi"/>
          <w:bCs/>
        </w:rPr>
        <w:t xml:space="preserve">implications of </w:t>
      </w:r>
      <w:r w:rsidR="00922D98">
        <w:rPr>
          <w:rFonts w:asciiTheme="minorHAnsi" w:hAnsiTheme="minorHAnsi"/>
          <w:bCs/>
        </w:rPr>
        <w:t xml:space="preserve">levels of </w:t>
      </w:r>
      <w:r w:rsidR="00574A8A" w:rsidRPr="004527CE">
        <w:rPr>
          <w:rFonts w:asciiTheme="minorHAnsi" w:hAnsiTheme="minorHAnsi"/>
          <w:bCs/>
        </w:rPr>
        <w:t xml:space="preserve">CD30 </w:t>
      </w:r>
      <w:r w:rsidR="00922D98">
        <w:rPr>
          <w:rFonts w:asciiTheme="minorHAnsi" w:hAnsiTheme="minorHAnsi"/>
          <w:bCs/>
        </w:rPr>
        <w:t>positivity</w:t>
      </w:r>
      <w:r w:rsidR="00574A8A" w:rsidRPr="004527CE">
        <w:rPr>
          <w:rFonts w:asciiTheme="minorHAnsi" w:hAnsiTheme="minorHAnsi"/>
          <w:bCs/>
        </w:rPr>
        <w:t xml:space="preserve"> and </w:t>
      </w:r>
      <w:r w:rsidR="00922D98">
        <w:rPr>
          <w:rFonts w:asciiTheme="minorHAnsi" w:hAnsiTheme="minorHAnsi"/>
          <w:bCs/>
        </w:rPr>
        <w:t xml:space="preserve">the </w:t>
      </w:r>
      <w:r w:rsidR="00574A8A" w:rsidRPr="004527CE">
        <w:rPr>
          <w:rFonts w:asciiTheme="minorHAnsi" w:hAnsiTheme="minorHAnsi"/>
          <w:bCs/>
        </w:rPr>
        <w:t xml:space="preserve">CD30 status of patients with </w:t>
      </w:r>
      <w:r w:rsidR="00CF5BC1" w:rsidRPr="004527CE">
        <w:rPr>
          <w:rFonts w:asciiTheme="minorHAnsi" w:hAnsiTheme="minorHAnsi"/>
          <w:bCs/>
        </w:rPr>
        <w:t>CT</w:t>
      </w:r>
      <w:r w:rsidR="00574A8A" w:rsidRPr="004527CE">
        <w:rPr>
          <w:rFonts w:asciiTheme="minorHAnsi" w:hAnsiTheme="minorHAnsi"/>
          <w:bCs/>
        </w:rPr>
        <w:t>CL</w:t>
      </w:r>
      <w:r w:rsidRPr="004527CE">
        <w:rPr>
          <w:rFonts w:asciiTheme="minorHAnsi" w:hAnsiTheme="minorHAnsi"/>
          <w:bCs/>
        </w:rPr>
        <w:t>.</w:t>
      </w:r>
    </w:p>
    <w:p w:rsidR="004714C2" w:rsidRPr="004527CE" w:rsidRDefault="004714C2" w:rsidP="00B1472E">
      <w:pPr>
        <w:spacing w:before="240" w:after="120" w:line="276" w:lineRule="auto"/>
        <w:rPr>
          <w:rFonts w:asciiTheme="minorHAnsi" w:hAnsiTheme="minorHAnsi"/>
          <w:b/>
          <w:bCs/>
          <w:sz w:val="28"/>
          <w:szCs w:val="28"/>
        </w:rPr>
      </w:pPr>
      <w:r w:rsidRPr="004527CE">
        <w:rPr>
          <w:rFonts w:asciiTheme="minorHAnsi" w:hAnsiTheme="minorHAnsi"/>
          <w:b/>
          <w:bCs/>
          <w:sz w:val="28"/>
          <w:szCs w:val="28"/>
        </w:rPr>
        <w:t>Consumer comments</w:t>
      </w:r>
    </w:p>
    <w:p w:rsidR="004714C2" w:rsidRPr="004527CE" w:rsidRDefault="004714C2" w:rsidP="004714C2">
      <w:pPr>
        <w:numPr>
          <w:ilvl w:val="1"/>
          <w:numId w:val="3"/>
        </w:numPr>
        <w:spacing w:after="120"/>
        <w:rPr>
          <w:rFonts w:asciiTheme="minorHAnsi" w:hAnsiTheme="minorHAnsi"/>
          <w:bCs/>
        </w:rPr>
      </w:pPr>
      <w:r w:rsidRPr="004527CE">
        <w:rPr>
          <w:rFonts w:asciiTheme="minorHAnsi" w:hAnsiTheme="minorHAnsi"/>
          <w:bCs/>
        </w:rPr>
        <w:t>The PBAC noted and welcom</w:t>
      </w:r>
      <w:r w:rsidR="00F51C9A" w:rsidRPr="004527CE">
        <w:rPr>
          <w:rFonts w:asciiTheme="minorHAnsi" w:hAnsiTheme="minorHAnsi"/>
          <w:bCs/>
        </w:rPr>
        <w:t>ed the input from individuals (8</w:t>
      </w:r>
      <w:r w:rsidRPr="004527CE">
        <w:rPr>
          <w:rFonts w:asciiTheme="minorHAnsi" w:hAnsiTheme="minorHAnsi"/>
          <w:bCs/>
        </w:rPr>
        <w:t>), health care professionals (1) and organisations (1) via the Consumer Comments facility on the PBS website.</w:t>
      </w:r>
      <w:r w:rsidR="008C6F50">
        <w:rPr>
          <w:rFonts w:asciiTheme="minorHAnsi" w:hAnsiTheme="minorHAnsi"/>
          <w:bCs/>
        </w:rPr>
        <w:t xml:space="preserve"> </w:t>
      </w:r>
      <w:r w:rsidRPr="004527CE">
        <w:rPr>
          <w:rFonts w:asciiTheme="minorHAnsi" w:hAnsiTheme="minorHAnsi"/>
          <w:bCs/>
        </w:rPr>
        <w:t>The comments described a range of benefits of treatment with</w:t>
      </w:r>
      <w:r w:rsidR="008870D6" w:rsidRPr="004527CE">
        <w:rPr>
          <w:rFonts w:asciiTheme="minorHAnsi" w:hAnsiTheme="minorHAnsi"/>
          <w:bCs/>
        </w:rPr>
        <w:t xml:space="preserve"> brentuximab vedotin</w:t>
      </w:r>
      <w:r w:rsidRPr="004527CE">
        <w:rPr>
          <w:rFonts w:asciiTheme="minorHAnsi" w:hAnsiTheme="minorHAnsi"/>
          <w:bCs/>
        </w:rPr>
        <w:t xml:space="preserve"> including the ability to return to </w:t>
      </w:r>
      <w:r w:rsidR="008870D6" w:rsidRPr="004527CE">
        <w:rPr>
          <w:rFonts w:asciiTheme="minorHAnsi" w:hAnsiTheme="minorHAnsi"/>
          <w:bCs/>
        </w:rPr>
        <w:t>normal daily activities</w:t>
      </w:r>
      <w:r w:rsidRPr="004527CE">
        <w:rPr>
          <w:rFonts w:asciiTheme="minorHAnsi" w:hAnsiTheme="minorHAnsi"/>
          <w:bCs/>
        </w:rPr>
        <w:t xml:space="preserve">, </w:t>
      </w:r>
      <w:r w:rsidR="008870D6" w:rsidRPr="004527CE">
        <w:rPr>
          <w:rFonts w:asciiTheme="minorHAnsi" w:hAnsiTheme="minorHAnsi"/>
          <w:bCs/>
        </w:rPr>
        <w:t>relief from rash, constant itch, peeling skin, frequent skin and ear infections, total body hair loss, hand nail deterioration and loss. Individuals noted the limited treatment options for patients with CTCL and the expense associated with brentuximab treatment currently. Patients noted a will</w:t>
      </w:r>
      <w:r w:rsidR="00732536" w:rsidRPr="004527CE">
        <w:rPr>
          <w:rFonts w:asciiTheme="minorHAnsi" w:hAnsiTheme="minorHAnsi"/>
          <w:bCs/>
        </w:rPr>
        <w:t>ing</w:t>
      </w:r>
      <w:r w:rsidR="003B0949" w:rsidRPr="004527CE">
        <w:rPr>
          <w:rFonts w:asciiTheme="minorHAnsi" w:hAnsiTheme="minorHAnsi"/>
          <w:bCs/>
        </w:rPr>
        <w:t>ness to endure potential side</w:t>
      </w:r>
      <w:r w:rsidR="008870D6" w:rsidRPr="004527CE">
        <w:rPr>
          <w:rFonts w:asciiTheme="minorHAnsi" w:hAnsiTheme="minorHAnsi"/>
          <w:bCs/>
        </w:rPr>
        <w:t xml:space="preserve"> effects associated with treatment as the</w:t>
      </w:r>
      <w:r w:rsidR="00732536" w:rsidRPr="004527CE">
        <w:rPr>
          <w:rFonts w:asciiTheme="minorHAnsi" w:hAnsiTheme="minorHAnsi"/>
          <w:bCs/>
        </w:rPr>
        <w:t>y valued the benefits provided by the treatment</w:t>
      </w:r>
      <w:r w:rsidR="00F40FCE" w:rsidRPr="004527CE">
        <w:rPr>
          <w:rFonts w:asciiTheme="minorHAnsi" w:hAnsiTheme="minorHAnsi"/>
          <w:bCs/>
        </w:rPr>
        <w:t>.</w:t>
      </w:r>
    </w:p>
    <w:p w:rsidR="005B5FDE" w:rsidRPr="00B1472E" w:rsidRDefault="004714C2" w:rsidP="000763AC">
      <w:pPr>
        <w:widowControl/>
        <w:numPr>
          <w:ilvl w:val="1"/>
          <w:numId w:val="3"/>
        </w:numPr>
        <w:autoSpaceDE w:val="0"/>
        <w:autoSpaceDN w:val="0"/>
        <w:adjustRightInd w:val="0"/>
        <w:spacing w:after="120"/>
        <w:rPr>
          <w:rFonts w:asciiTheme="minorHAnsi" w:hAnsiTheme="minorHAnsi"/>
          <w:bCs/>
        </w:rPr>
      </w:pPr>
      <w:r w:rsidRPr="004527CE">
        <w:rPr>
          <w:rFonts w:asciiTheme="minorHAnsi" w:hAnsiTheme="minorHAnsi"/>
          <w:bCs/>
        </w:rPr>
        <w:t xml:space="preserve">The PBAC noted the </w:t>
      </w:r>
      <w:r w:rsidR="00AE3941" w:rsidRPr="004527CE">
        <w:rPr>
          <w:rFonts w:asciiTheme="minorHAnsi" w:hAnsiTheme="minorHAnsi"/>
          <w:bCs/>
        </w:rPr>
        <w:t xml:space="preserve">support for brentuximab vedotin </w:t>
      </w:r>
      <w:r w:rsidRPr="004527CE">
        <w:rPr>
          <w:rFonts w:asciiTheme="minorHAnsi" w:hAnsiTheme="minorHAnsi"/>
          <w:bCs/>
        </w:rPr>
        <w:t xml:space="preserve">from </w:t>
      </w:r>
      <w:r w:rsidR="00F51C9A" w:rsidRPr="004527CE">
        <w:rPr>
          <w:rFonts w:asciiTheme="minorHAnsi" w:hAnsiTheme="minorHAnsi"/>
          <w:bCs/>
        </w:rPr>
        <w:t>Rare Cancers Australia</w:t>
      </w:r>
      <w:r w:rsidR="00AE3941" w:rsidRPr="004527CE">
        <w:rPr>
          <w:rFonts w:asciiTheme="minorHAnsi" w:hAnsiTheme="minorHAnsi"/>
          <w:bCs/>
        </w:rPr>
        <w:t>, stating</w:t>
      </w:r>
      <w:r w:rsidR="00985904">
        <w:rPr>
          <w:rFonts w:asciiTheme="minorHAnsi" w:hAnsiTheme="minorHAnsi"/>
          <w:bCs/>
        </w:rPr>
        <w:t xml:space="preserve"> </w:t>
      </w:r>
      <w:r w:rsidR="00F51C9A" w:rsidRPr="004527CE">
        <w:rPr>
          <w:rFonts w:asciiTheme="minorHAnsi" w:hAnsiTheme="minorHAnsi"/>
          <w:bCs/>
        </w:rPr>
        <w:t>that brentuximab vedotin would be of benefit to patients as an additional treatment option to vorinostat</w:t>
      </w:r>
      <w:r w:rsidRPr="004527CE">
        <w:rPr>
          <w:rFonts w:asciiTheme="minorHAnsi" w:hAnsiTheme="minorHAnsi"/>
          <w:bCs/>
        </w:rPr>
        <w:t xml:space="preserve">. The PBAC specifically noted the </w:t>
      </w:r>
      <w:r w:rsidR="00CF5BC1" w:rsidRPr="004527CE">
        <w:rPr>
          <w:rFonts w:asciiTheme="minorHAnsi" w:hAnsiTheme="minorHAnsi"/>
          <w:bCs/>
        </w:rPr>
        <w:t xml:space="preserve">information provided </w:t>
      </w:r>
      <w:r w:rsidR="00F51C9A" w:rsidRPr="004527CE">
        <w:rPr>
          <w:rFonts w:asciiTheme="minorHAnsi" w:hAnsiTheme="minorHAnsi"/>
          <w:bCs/>
        </w:rPr>
        <w:t>regarding the patient e</w:t>
      </w:r>
      <w:r w:rsidR="00F40FCE" w:rsidRPr="004527CE">
        <w:rPr>
          <w:rFonts w:asciiTheme="minorHAnsi" w:hAnsiTheme="minorHAnsi"/>
          <w:bCs/>
        </w:rPr>
        <w:t xml:space="preserve">xperience </w:t>
      </w:r>
      <w:r w:rsidR="00F51C9A" w:rsidRPr="004527CE">
        <w:rPr>
          <w:rFonts w:asciiTheme="minorHAnsi" w:hAnsiTheme="minorHAnsi"/>
          <w:bCs/>
        </w:rPr>
        <w:t xml:space="preserve">of CTCL, particularly the physical impact on the skin of the disease and the side effects of the older chemotherapy and radiation treatments. </w:t>
      </w:r>
    </w:p>
    <w:p w:rsidR="00B60939" w:rsidRPr="00B1472E" w:rsidRDefault="00B60939" w:rsidP="00B1472E">
      <w:pPr>
        <w:pStyle w:val="Heading2"/>
        <w:spacing w:before="240" w:after="120"/>
        <w:rPr>
          <w:i w:val="0"/>
        </w:rPr>
      </w:pPr>
      <w:r w:rsidRPr="0022357A">
        <w:rPr>
          <w:i w:val="0"/>
        </w:rPr>
        <w:t>Clinical trials</w:t>
      </w:r>
      <w:bookmarkEnd w:id="6"/>
    </w:p>
    <w:p w:rsidR="00AE73AA" w:rsidRPr="0022357A" w:rsidRDefault="00AE73AA" w:rsidP="00AE73AA">
      <w:pPr>
        <w:pStyle w:val="ListParagraph"/>
        <w:widowControl/>
        <w:numPr>
          <w:ilvl w:val="1"/>
          <w:numId w:val="3"/>
        </w:numPr>
      </w:pPr>
      <w:r w:rsidRPr="0022357A">
        <w:t>The submission’s primary comparison was a naïve comparison of the brentuximab vedotin arm of the Phase III, open-label ALCANZA randomised controlled trial (RCT) (n=131) with the vorinostat arm of the Phase III, open-label MAVORIC RCT (n=372). The submission also presented two single-arm studies of brentuximab vedotin: Duvic (2015) (N=48) and Kim (2015) (N=32); and two single-arm studies of vorinostat: P001 (n=7</w:t>
      </w:r>
      <w:r w:rsidR="00E11A60" w:rsidRPr="0022357A">
        <w:t>4</w:t>
      </w:r>
      <w:r w:rsidRPr="0022357A">
        <w:t>) and P005 (n=33). Studies P001 and P005 were the basis of November 2016 vorinostat submission (paragraph 6.7 November 2016 PSD).</w:t>
      </w:r>
    </w:p>
    <w:p w:rsidR="00AE73AA" w:rsidRPr="00C417DF" w:rsidRDefault="00AE73AA" w:rsidP="00C417DF">
      <w:pPr>
        <w:pStyle w:val="ListParagraph"/>
        <w:widowControl/>
        <w:numPr>
          <w:ilvl w:val="1"/>
          <w:numId w:val="3"/>
        </w:numPr>
      </w:pPr>
      <w:r w:rsidRPr="0022357A">
        <w:t>The submission’s supplementary comparison with methotrexate was based on one head-to-head randomised trial (</w:t>
      </w:r>
      <w:r w:rsidR="0046358A" w:rsidRPr="0022357A">
        <w:t>ALCANZA)</w:t>
      </w:r>
      <w:r w:rsidRPr="0022357A">
        <w:t xml:space="preserve"> that compared brentuximab vedotin with methotrexate or bexarotene (physician’s choice) (N = 131).The submission compared the brentuximab vedotin arm of the study with the methotrexate subgroup of the physician’s choice arm (n = 26). An additional single</w:t>
      </w:r>
      <w:r w:rsidRPr="0022357A">
        <w:noBreakHyphen/>
        <w:t xml:space="preserve">arm, retrospective, Australian study (Newland 2015) of methotrexate in the CTCL subtype LyP was included during the evaluation. This was because the submission did not include evidence comparing </w:t>
      </w:r>
      <w:r w:rsidRPr="0022357A">
        <w:lastRenderedPageBreak/>
        <w:t xml:space="preserve">brentuximab vedotin to either of the comparators in LyP patients and as an Australian study, it was considered reflective of Australian treatment practices. </w:t>
      </w:r>
      <w:r w:rsidR="00837542" w:rsidRPr="00C35104">
        <w:rPr>
          <w:szCs w:val="24"/>
        </w:rPr>
        <w:t xml:space="preserve">The PSCR contended that Newland (2015) should not be relied upon as a base from which to draw effectiveness and safety conclusions as it was a ‘letter to the editor’ and lacked detail on outcome assessment, survival and duration of response data. The ESC considered that although </w:t>
      </w:r>
      <w:r w:rsidR="003C1239" w:rsidRPr="00C35104">
        <w:rPr>
          <w:szCs w:val="24"/>
        </w:rPr>
        <w:t xml:space="preserve">there are limitations to the </w:t>
      </w:r>
      <w:r w:rsidR="00837542" w:rsidRPr="00C35104">
        <w:rPr>
          <w:szCs w:val="24"/>
        </w:rPr>
        <w:t xml:space="preserve">Newland </w:t>
      </w:r>
      <w:r w:rsidR="003C1239" w:rsidRPr="00C35104">
        <w:rPr>
          <w:szCs w:val="24"/>
        </w:rPr>
        <w:t>study</w:t>
      </w:r>
      <w:r w:rsidR="00837542" w:rsidRPr="00C35104">
        <w:rPr>
          <w:szCs w:val="24"/>
        </w:rPr>
        <w:t xml:space="preserve"> it was unreasonable to exclude as </w:t>
      </w:r>
      <w:r w:rsidR="00835254" w:rsidRPr="00C35104">
        <w:rPr>
          <w:szCs w:val="24"/>
        </w:rPr>
        <w:t xml:space="preserve">it </w:t>
      </w:r>
      <w:r w:rsidR="003C1239" w:rsidRPr="00C35104">
        <w:rPr>
          <w:szCs w:val="24"/>
        </w:rPr>
        <w:t>added</w:t>
      </w:r>
      <w:r w:rsidR="00837542" w:rsidRPr="00C35104">
        <w:rPr>
          <w:szCs w:val="24"/>
        </w:rPr>
        <w:t xml:space="preserve"> </w:t>
      </w:r>
      <w:r w:rsidR="003C1239" w:rsidRPr="00C35104">
        <w:t xml:space="preserve">to </w:t>
      </w:r>
      <w:r w:rsidR="00E274D6" w:rsidRPr="00C35104">
        <w:t xml:space="preserve">the limited evidence available on </w:t>
      </w:r>
      <w:r w:rsidR="003C1239" w:rsidRPr="00C35104">
        <w:t>the use of methotrexate in patients with LyP.</w:t>
      </w:r>
      <w:r w:rsidR="002C08F0" w:rsidRPr="00B36499">
        <w:t xml:space="preserve"> The PBAC agreed with </w:t>
      </w:r>
      <w:r w:rsidR="000D2E60">
        <w:t xml:space="preserve">the </w:t>
      </w:r>
      <w:r w:rsidR="002C08F0" w:rsidRPr="00B36499">
        <w:t xml:space="preserve">ESC that it was unreasonable to exclude </w:t>
      </w:r>
      <w:r w:rsidR="00C417DF" w:rsidRPr="00B36499">
        <w:t xml:space="preserve">Newland </w:t>
      </w:r>
      <w:r w:rsidR="00D43B3F">
        <w:t>(</w:t>
      </w:r>
      <w:r w:rsidR="00C417DF" w:rsidRPr="00B36499">
        <w:t>2015</w:t>
      </w:r>
      <w:r w:rsidR="00D43B3F">
        <w:t>)</w:t>
      </w:r>
      <w:r w:rsidR="002C08F0" w:rsidRPr="00B36499">
        <w:t xml:space="preserve"> but </w:t>
      </w:r>
      <w:r w:rsidR="00B36499">
        <w:t xml:space="preserve">also </w:t>
      </w:r>
      <w:r w:rsidR="00985904">
        <w:t>considered</w:t>
      </w:r>
      <w:r w:rsidR="002C08F0" w:rsidRPr="00B36499">
        <w:t xml:space="preserve"> that this study was of limited relevance to the submission </w:t>
      </w:r>
      <w:r w:rsidR="00C417DF" w:rsidRPr="00B36499">
        <w:t xml:space="preserve">overall </w:t>
      </w:r>
      <w:r w:rsidR="008C0D31" w:rsidRPr="00B36499">
        <w:rPr>
          <w:iCs/>
        </w:rPr>
        <w:t>given</w:t>
      </w:r>
      <w:r w:rsidR="002C08F0" w:rsidRPr="00B36499">
        <w:rPr>
          <w:iCs/>
        </w:rPr>
        <w:t xml:space="preserve"> the</w:t>
      </w:r>
      <w:r w:rsidR="008C0D31" w:rsidRPr="00B36499">
        <w:rPr>
          <w:iCs/>
        </w:rPr>
        <w:t xml:space="preserve"> indolent nature of LyP, </w:t>
      </w:r>
      <w:r w:rsidR="002C08F0" w:rsidRPr="00B36499">
        <w:rPr>
          <w:iCs/>
        </w:rPr>
        <w:t xml:space="preserve">the </w:t>
      </w:r>
      <w:r w:rsidR="008C0D31" w:rsidRPr="00B36499">
        <w:rPr>
          <w:iCs/>
        </w:rPr>
        <w:t>common watch &amp; wait approach</w:t>
      </w:r>
      <w:r w:rsidR="00985904">
        <w:rPr>
          <w:iCs/>
        </w:rPr>
        <w:t xml:space="preserve"> used in its management</w:t>
      </w:r>
      <w:r w:rsidR="008C0D31" w:rsidRPr="00B36499">
        <w:rPr>
          <w:iCs/>
        </w:rPr>
        <w:t xml:space="preserve">, and </w:t>
      </w:r>
      <w:r w:rsidR="002C08F0" w:rsidRPr="00B36499">
        <w:rPr>
          <w:iCs/>
        </w:rPr>
        <w:t xml:space="preserve">the </w:t>
      </w:r>
      <w:r w:rsidR="002D5672" w:rsidRPr="00B36499">
        <w:rPr>
          <w:iCs/>
        </w:rPr>
        <w:t>ability</w:t>
      </w:r>
      <w:r w:rsidR="008C0D31" w:rsidRPr="00B36499">
        <w:rPr>
          <w:iCs/>
        </w:rPr>
        <w:t xml:space="preserve"> to use other </w:t>
      </w:r>
      <w:r w:rsidR="00985904">
        <w:rPr>
          <w:iCs/>
        </w:rPr>
        <w:t xml:space="preserve">therapies </w:t>
      </w:r>
      <w:r w:rsidR="00C417DF" w:rsidRPr="00B36499">
        <w:rPr>
          <w:iCs/>
        </w:rPr>
        <w:t>such as</w:t>
      </w:r>
      <w:r w:rsidR="008C0D31" w:rsidRPr="00B36499">
        <w:rPr>
          <w:iCs/>
        </w:rPr>
        <w:t xml:space="preserve"> topical steroids or oral </w:t>
      </w:r>
      <w:proofErr w:type="spellStart"/>
      <w:r w:rsidR="008C0D31" w:rsidRPr="00B36499">
        <w:rPr>
          <w:iCs/>
        </w:rPr>
        <w:t>retinoids</w:t>
      </w:r>
      <w:proofErr w:type="spellEnd"/>
      <w:r w:rsidR="00985904">
        <w:rPr>
          <w:iCs/>
        </w:rPr>
        <w:t xml:space="preserve"> in patients with this subtype of CTCL</w:t>
      </w:r>
      <w:r w:rsidR="00C417DF" w:rsidRPr="00B36499">
        <w:rPr>
          <w:iCs/>
        </w:rPr>
        <w:t>.</w:t>
      </w:r>
    </w:p>
    <w:p w:rsidR="00AE73AA" w:rsidRPr="0022357A" w:rsidRDefault="00AE73AA" w:rsidP="00A65DFB">
      <w:pPr>
        <w:pStyle w:val="ListParagraph"/>
        <w:widowControl/>
        <w:numPr>
          <w:ilvl w:val="1"/>
          <w:numId w:val="3"/>
        </w:numPr>
        <w:rPr>
          <w:rFonts w:cs="Calibri"/>
          <w:snapToGrid/>
          <w:szCs w:val="24"/>
          <w:lang w:eastAsia="en-AU"/>
        </w:rPr>
      </w:pPr>
      <w:r w:rsidRPr="0022357A">
        <w:rPr>
          <w:rFonts w:cs="Calibri"/>
          <w:snapToGrid/>
          <w:szCs w:val="24"/>
          <w:lang w:eastAsia="en-AU"/>
        </w:rPr>
        <w:t xml:space="preserve">Details of the studies presented in the submission </w:t>
      </w:r>
      <w:r w:rsidR="00D74B7D" w:rsidRPr="0022357A">
        <w:rPr>
          <w:rFonts w:cs="Calibri"/>
          <w:snapToGrid/>
          <w:szCs w:val="24"/>
          <w:lang w:eastAsia="en-AU"/>
        </w:rPr>
        <w:t xml:space="preserve">and included during the evaluation </w:t>
      </w:r>
      <w:r w:rsidRPr="0022357A">
        <w:rPr>
          <w:rFonts w:cs="Calibri"/>
          <w:snapToGrid/>
          <w:szCs w:val="24"/>
          <w:lang w:eastAsia="en-AU"/>
        </w:rPr>
        <w:t xml:space="preserve">are provided in the table below. </w:t>
      </w:r>
    </w:p>
    <w:p w:rsidR="00AE73AA" w:rsidRPr="0022357A" w:rsidRDefault="00AE73AA" w:rsidP="008C6F50">
      <w:pPr>
        <w:keepNext/>
        <w:keepLines/>
        <w:widowControl/>
        <w:rPr>
          <w:rStyle w:val="CommentReference"/>
        </w:rPr>
      </w:pPr>
      <w:r w:rsidRPr="0022357A">
        <w:rPr>
          <w:rStyle w:val="CommentReference"/>
        </w:rPr>
        <w:lastRenderedPageBreak/>
        <w:t>Table 2: Trials and associated reports presented in the submission</w:t>
      </w:r>
      <w:r w:rsidR="00D74B7D" w:rsidRPr="0022357A">
        <w:rPr>
          <w:rStyle w:val="CommentReference"/>
        </w:rPr>
        <w:t xml:space="preserve"> and included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AE73AA" w:rsidRPr="0022357A" w:rsidTr="00A91A99">
        <w:trPr>
          <w:tblHeader/>
        </w:trPr>
        <w:tc>
          <w:tcPr>
            <w:tcW w:w="796" w:type="pct"/>
            <w:vAlign w:val="center"/>
          </w:tcPr>
          <w:p w:rsidR="00AE73AA" w:rsidRPr="0022357A" w:rsidRDefault="00AE73AA" w:rsidP="008C6F50">
            <w:pPr>
              <w:pStyle w:val="Tabletext"/>
              <w:keepNext/>
              <w:keepLines/>
              <w:rPr>
                <w:b/>
              </w:rPr>
            </w:pPr>
            <w:r w:rsidRPr="0022357A">
              <w:rPr>
                <w:b/>
              </w:rPr>
              <w:t>Trial ID</w:t>
            </w:r>
          </w:p>
        </w:tc>
        <w:tc>
          <w:tcPr>
            <w:tcW w:w="3027" w:type="pct"/>
            <w:vAlign w:val="center"/>
          </w:tcPr>
          <w:p w:rsidR="00AE73AA" w:rsidRPr="0022357A" w:rsidRDefault="0027437A" w:rsidP="008C6F50">
            <w:pPr>
              <w:pStyle w:val="Tabletext"/>
              <w:keepNext/>
              <w:keepLines/>
              <w:jc w:val="center"/>
              <w:rPr>
                <w:b/>
              </w:rPr>
            </w:pPr>
            <w:r>
              <w:rPr>
                <w:b/>
              </w:rPr>
              <w:t>Protocol title/</w:t>
            </w:r>
            <w:r w:rsidR="00AE73AA" w:rsidRPr="0022357A">
              <w:rPr>
                <w:b/>
              </w:rPr>
              <w:t>Publication title</w:t>
            </w:r>
          </w:p>
        </w:tc>
        <w:tc>
          <w:tcPr>
            <w:tcW w:w="1177" w:type="pct"/>
            <w:vAlign w:val="center"/>
          </w:tcPr>
          <w:p w:rsidR="00AE73AA" w:rsidRPr="0022357A" w:rsidRDefault="00AE73AA" w:rsidP="008C6F50">
            <w:pPr>
              <w:pStyle w:val="Tabletext"/>
              <w:keepNext/>
              <w:keepLines/>
              <w:jc w:val="center"/>
              <w:rPr>
                <w:b/>
              </w:rPr>
            </w:pPr>
            <w:r w:rsidRPr="0022357A">
              <w:rPr>
                <w:b/>
              </w:rPr>
              <w:t>Publication citation</w:t>
            </w:r>
          </w:p>
        </w:tc>
      </w:tr>
      <w:tr w:rsidR="00AE73AA" w:rsidRPr="0022357A" w:rsidTr="00A91A99">
        <w:tc>
          <w:tcPr>
            <w:tcW w:w="5000" w:type="pct"/>
            <w:gridSpan w:val="3"/>
            <w:tcBorders>
              <w:bottom w:val="nil"/>
            </w:tcBorders>
            <w:vAlign w:val="center"/>
          </w:tcPr>
          <w:p w:rsidR="00AE73AA" w:rsidRPr="0022357A" w:rsidRDefault="00AE73AA" w:rsidP="008C6F50">
            <w:pPr>
              <w:pStyle w:val="Tabletext"/>
              <w:keepNext/>
              <w:keepLines/>
              <w:rPr>
                <w:b/>
              </w:rPr>
            </w:pPr>
            <w:r w:rsidRPr="0022357A">
              <w:rPr>
                <w:b/>
              </w:rPr>
              <w:t xml:space="preserve">Brentuximab vedotin randomised trial </w:t>
            </w:r>
          </w:p>
        </w:tc>
      </w:tr>
      <w:tr w:rsidR="00AE73AA" w:rsidRPr="0022357A" w:rsidTr="00A91A99">
        <w:tc>
          <w:tcPr>
            <w:tcW w:w="796" w:type="pct"/>
            <w:vMerge w:val="restart"/>
            <w:vAlign w:val="center"/>
          </w:tcPr>
          <w:p w:rsidR="00AE73AA" w:rsidRPr="0022357A" w:rsidRDefault="00AE73AA" w:rsidP="008C6F50">
            <w:pPr>
              <w:pStyle w:val="Tabletext"/>
              <w:keepNext/>
              <w:keepLines/>
              <w:rPr>
                <w:rFonts w:ascii="Times" w:hAnsi="Times"/>
              </w:rPr>
            </w:pPr>
            <w:r w:rsidRPr="0022357A">
              <w:t>ALCANZA</w:t>
            </w:r>
          </w:p>
        </w:tc>
        <w:tc>
          <w:tcPr>
            <w:tcW w:w="3027" w:type="pct"/>
            <w:tcBorders>
              <w:bottom w:val="nil"/>
            </w:tcBorders>
            <w:vAlign w:val="center"/>
          </w:tcPr>
          <w:p w:rsidR="00AE73AA" w:rsidRPr="0022357A" w:rsidRDefault="00AE73AA" w:rsidP="008C6F50">
            <w:pPr>
              <w:pStyle w:val="Tabletext"/>
              <w:keepNext/>
              <w:keepLines/>
              <w:rPr>
                <w:szCs w:val="18"/>
              </w:rPr>
            </w:pPr>
            <w:r w:rsidRPr="0022357A">
              <w:rPr>
                <w:szCs w:val="18"/>
              </w:rPr>
              <w:t>A randomised, open-label, phase 3 Trial of brentuximab vedotin (SGN-35) versus physician's choice (methotrexate or bexarotene) in patients with CD30-positive cutaneous T-cell lymphoma.</w:t>
            </w:r>
          </w:p>
        </w:tc>
        <w:tc>
          <w:tcPr>
            <w:tcW w:w="1177" w:type="pct"/>
            <w:tcBorders>
              <w:bottom w:val="nil"/>
            </w:tcBorders>
          </w:tcPr>
          <w:p w:rsidR="00AE73AA" w:rsidRPr="0022357A" w:rsidRDefault="00AE73AA" w:rsidP="008C6F50">
            <w:pPr>
              <w:pStyle w:val="Tabletext"/>
              <w:keepNext/>
              <w:keepLines/>
            </w:pPr>
            <w:r w:rsidRPr="0022357A">
              <w:t>CSR (February 2017)</w:t>
            </w:r>
          </w:p>
        </w:tc>
      </w:tr>
      <w:tr w:rsidR="00AE73AA" w:rsidRPr="0022357A" w:rsidTr="00A91A99">
        <w:tc>
          <w:tcPr>
            <w:tcW w:w="796" w:type="pct"/>
            <w:vMerge/>
            <w:tcBorders>
              <w:bottom w:val="nil"/>
            </w:tcBorders>
            <w:vAlign w:val="center"/>
          </w:tcPr>
          <w:p w:rsidR="00AE73AA" w:rsidRPr="0022357A" w:rsidRDefault="00AE73AA" w:rsidP="008C6F50">
            <w:pPr>
              <w:pStyle w:val="Tabletext"/>
              <w:keepNext/>
              <w:keepLines/>
              <w:rPr>
                <w:rFonts w:ascii="Times" w:hAnsi="Times"/>
              </w:rPr>
            </w:pPr>
          </w:p>
        </w:tc>
        <w:tc>
          <w:tcPr>
            <w:tcW w:w="3027" w:type="pct"/>
            <w:tcBorders>
              <w:bottom w:val="nil"/>
            </w:tcBorders>
            <w:vAlign w:val="center"/>
          </w:tcPr>
          <w:p w:rsidR="00AE73AA" w:rsidRPr="0022357A" w:rsidRDefault="00AE73AA" w:rsidP="008C6F50">
            <w:pPr>
              <w:pStyle w:val="Tabletext"/>
              <w:keepNext/>
              <w:keepLines/>
              <w:rPr>
                <w:szCs w:val="18"/>
              </w:rPr>
            </w:pPr>
            <w:r w:rsidRPr="0022357A">
              <w:rPr>
                <w:szCs w:val="18"/>
              </w:rPr>
              <w:t xml:space="preserve">Prince HM, Kim YH, Horwitz SM, </w:t>
            </w:r>
            <w:r w:rsidRPr="0022357A">
              <w:rPr>
                <w:rFonts w:asciiTheme="minorHAnsi" w:hAnsiTheme="minorHAnsi"/>
                <w:szCs w:val="18"/>
              </w:rPr>
              <w:t>et al.</w:t>
            </w:r>
            <w:r w:rsidRPr="0022357A">
              <w:rPr>
                <w:szCs w:val="18"/>
              </w:rPr>
              <w:t xml:space="preserve"> Brentuximab vedotin or physician's choice in CD30-positive cutaneous T-cell lymphoma (ALCANZA): an international, open-label, randomised, phase 3, multicentre trial.</w:t>
            </w:r>
          </w:p>
        </w:tc>
        <w:tc>
          <w:tcPr>
            <w:tcW w:w="1177" w:type="pct"/>
            <w:tcBorders>
              <w:bottom w:val="nil"/>
            </w:tcBorders>
          </w:tcPr>
          <w:p w:rsidR="00AE73AA" w:rsidRPr="0022357A" w:rsidRDefault="00AE73AA" w:rsidP="008C6F50">
            <w:pPr>
              <w:pStyle w:val="Tabletext"/>
              <w:keepNext/>
              <w:keepLines/>
            </w:pPr>
            <w:r w:rsidRPr="0022357A">
              <w:t>The Lancet 2017; 390(10094):555-66</w:t>
            </w:r>
          </w:p>
        </w:tc>
      </w:tr>
      <w:tr w:rsidR="00AE73AA" w:rsidRPr="0022357A" w:rsidTr="00A91A99">
        <w:tc>
          <w:tcPr>
            <w:tcW w:w="5000" w:type="pct"/>
            <w:gridSpan w:val="3"/>
            <w:tcBorders>
              <w:bottom w:val="nil"/>
            </w:tcBorders>
            <w:vAlign w:val="center"/>
          </w:tcPr>
          <w:p w:rsidR="00AE73AA" w:rsidRPr="0022357A" w:rsidRDefault="00232A81" w:rsidP="008C6F50">
            <w:pPr>
              <w:pStyle w:val="Tabletext"/>
              <w:keepNext/>
              <w:keepLines/>
              <w:rPr>
                <w:b/>
              </w:rPr>
            </w:pPr>
            <w:r w:rsidRPr="0022357A">
              <w:rPr>
                <w:b/>
              </w:rPr>
              <w:t>Brentuximab vedotin</w:t>
            </w:r>
            <w:r w:rsidR="00AE73AA" w:rsidRPr="0022357A">
              <w:rPr>
                <w:b/>
              </w:rPr>
              <w:t>: non-randomised studies</w:t>
            </w:r>
          </w:p>
        </w:tc>
      </w:tr>
      <w:tr w:rsidR="00AE73AA" w:rsidRPr="0022357A" w:rsidTr="00A91A99">
        <w:tc>
          <w:tcPr>
            <w:tcW w:w="796" w:type="pct"/>
            <w:vMerge w:val="restart"/>
            <w:vAlign w:val="center"/>
          </w:tcPr>
          <w:p w:rsidR="00AE73AA" w:rsidRPr="0022357A" w:rsidRDefault="00AE73AA" w:rsidP="008C6F50">
            <w:pPr>
              <w:pStyle w:val="Tabletext"/>
              <w:keepNext/>
              <w:keepLines/>
            </w:pPr>
            <w:r w:rsidRPr="0022357A">
              <w:t>Duvic (2015)</w:t>
            </w:r>
          </w:p>
        </w:tc>
        <w:tc>
          <w:tcPr>
            <w:tcW w:w="3027" w:type="pct"/>
            <w:tcBorders>
              <w:bottom w:val="nil"/>
            </w:tcBorders>
          </w:tcPr>
          <w:p w:rsidR="00AE73AA" w:rsidRPr="0022357A" w:rsidRDefault="00AE73AA" w:rsidP="008C6F50">
            <w:pPr>
              <w:pStyle w:val="Tabletext"/>
              <w:keepNext/>
              <w:keepLines/>
              <w:rPr>
                <w:szCs w:val="18"/>
              </w:rPr>
            </w:pPr>
            <w:r w:rsidRPr="0022357A">
              <w:rPr>
                <w:szCs w:val="18"/>
              </w:rPr>
              <w:t xml:space="preserve">Duvic M, </w:t>
            </w:r>
            <w:proofErr w:type="spellStart"/>
            <w:r w:rsidRPr="0022357A">
              <w:rPr>
                <w:szCs w:val="18"/>
              </w:rPr>
              <w:t>Tetzlaff</w:t>
            </w:r>
            <w:proofErr w:type="spellEnd"/>
            <w:r w:rsidRPr="0022357A">
              <w:rPr>
                <w:szCs w:val="18"/>
              </w:rPr>
              <w:t xml:space="preserve"> MT, </w:t>
            </w:r>
            <w:proofErr w:type="spellStart"/>
            <w:r w:rsidRPr="0022357A">
              <w:rPr>
                <w:szCs w:val="18"/>
              </w:rPr>
              <w:t>Gangar</w:t>
            </w:r>
            <w:proofErr w:type="spellEnd"/>
            <w:r w:rsidRPr="0022357A">
              <w:rPr>
                <w:szCs w:val="18"/>
              </w:rPr>
              <w:t xml:space="preserve"> P, et al. Results of a phase II trial of brentuximab vedotin for CD30+ cutaneous T-cell lymphoma and lymphomatoid papulosis.</w:t>
            </w:r>
          </w:p>
        </w:tc>
        <w:tc>
          <w:tcPr>
            <w:tcW w:w="1177" w:type="pct"/>
            <w:tcBorders>
              <w:bottom w:val="nil"/>
            </w:tcBorders>
          </w:tcPr>
          <w:p w:rsidR="00AE73AA" w:rsidRPr="0022357A" w:rsidRDefault="00AE73AA" w:rsidP="008C6F50">
            <w:pPr>
              <w:pStyle w:val="Tabletext"/>
              <w:keepNext/>
              <w:keepLines/>
            </w:pPr>
            <w:r w:rsidRPr="0022357A">
              <w:t xml:space="preserve">J </w:t>
            </w:r>
            <w:proofErr w:type="spellStart"/>
            <w:r w:rsidRPr="0022357A">
              <w:t>Clin</w:t>
            </w:r>
            <w:proofErr w:type="spellEnd"/>
            <w:r w:rsidRPr="0022357A">
              <w:t xml:space="preserve"> </w:t>
            </w:r>
            <w:proofErr w:type="spellStart"/>
            <w:r w:rsidRPr="0022357A">
              <w:t>Oncol</w:t>
            </w:r>
            <w:proofErr w:type="spellEnd"/>
            <w:r w:rsidRPr="0022357A">
              <w:t>. 2015; 33(32):3759-65</w:t>
            </w:r>
          </w:p>
        </w:tc>
      </w:tr>
      <w:tr w:rsidR="00AE73AA" w:rsidRPr="0022357A" w:rsidTr="00A91A99">
        <w:tc>
          <w:tcPr>
            <w:tcW w:w="796" w:type="pct"/>
            <w:vMerge/>
            <w:tcBorders>
              <w:bottom w:val="nil"/>
            </w:tcBorders>
            <w:vAlign w:val="center"/>
          </w:tcPr>
          <w:p w:rsidR="00AE73AA" w:rsidRPr="0022357A" w:rsidRDefault="00AE73AA" w:rsidP="008C6F50">
            <w:pPr>
              <w:pStyle w:val="Tabletext"/>
              <w:keepNext/>
              <w:keepLines/>
              <w:rPr>
                <w:rFonts w:ascii="Times" w:hAnsi="Times"/>
              </w:rPr>
            </w:pPr>
          </w:p>
        </w:tc>
        <w:tc>
          <w:tcPr>
            <w:tcW w:w="3027" w:type="pct"/>
            <w:tcBorders>
              <w:bottom w:val="nil"/>
            </w:tcBorders>
          </w:tcPr>
          <w:p w:rsidR="00AE73AA" w:rsidRPr="0022357A" w:rsidRDefault="00AE73AA" w:rsidP="008C6F50">
            <w:pPr>
              <w:pStyle w:val="Tabletext"/>
              <w:keepNext/>
              <w:keepLines/>
              <w:rPr>
                <w:szCs w:val="18"/>
              </w:rPr>
            </w:pPr>
            <w:r w:rsidRPr="0022357A">
              <w:rPr>
                <w:szCs w:val="18"/>
              </w:rPr>
              <w:t xml:space="preserve">Lewis DJ, Talpur R, </w:t>
            </w:r>
            <w:proofErr w:type="spellStart"/>
            <w:r w:rsidRPr="0022357A">
              <w:rPr>
                <w:szCs w:val="18"/>
              </w:rPr>
              <w:t>Huen</w:t>
            </w:r>
            <w:proofErr w:type="spellEnd"/>
            <w:r w:rsidRPr="0022357A">
              <w:rPr>
                <w:szCs w:val="18"/>
              </w:rPr>
              <w:t xml:space="preserve"> AO, et al. Brentuximab Vedotin for Patients With Refractory Lymphomatoid Papulosis: An Analysis of Phase 2 Results.</w:t>
            </w:r>
          </w:p>
        </w:tc>
        <w:tc>
          <w:tcPr>
            <w:tcW w:w="1177" w:type="pct"/>
            <w:tcBorders>
              <w:bottom w:val="nil"/>
            </w:tcBorders>
          </w:tcPr>
          <w:p w:rsidR="00AE73AA" w:rsidRPr="0022357A" w:rsidRDefault="00AE73AA" w:rsidP="008C6F50">
            <w:pPr>
              <w:pStyle w:val="Tabletext"/>
              <w:keepNext/>
              <w:keepLines/>
            </w:pPr>
            <w:r w:rsidRPr="0022357A">
              <w:t>JAMA Dermatology 2017; 153(12):1302-1306</w:t>
            </w:r>
          </w:p>
        </w:tc>
      </w:tr>
      <w:tr w:rsidR="00AE73AA" w:rsidRPr="0022357A" w:rsidTr="00A91A99">
        <w:tc>
          <w:tcPr>
            <w:tcW w:w="796" w:type="pct"/>
            <w:tcBorders>
              <w:bottom w:val="nil"/>
            </w:tcBorders>
            <w:vAlign w:val="center"/>
          </w:tcPr>
          <w:p w:rsidR="00AE73AA" w:rsidRPr="0022357A" w:rsidRDefault="00AE73AA" w:rsidP="008C6F50">
            <w:pPr>
              <w:pStyle w:val="Tabletext"/>
              <w:keepNext/>
              <w:keepLines/>
            </w:pPr>
            <w:r w:rsidRPr="0022357A">
              <w:t>Kim (2015)</w:t>
            </w:r>
          </w:p>
        </w:tc>
        <w:tc>
          <w:tcPr>
            <w:tcW w:w="3027" w:type="pct"/>
            <w:tcBorders>
              <w:bottom w:val="nil"/>
            </w:tcBorders>
            <w:vAlign w:val="center"/>
          </w:tcPr>
          <w:p w:rsidR="00AE73AA" w:rsidRPr="0022357A" w:rsidRDefault="00AE73AA" w:rsidP="008C6F50">
            <w:pPr>
              <w:pStyle w:val="Tabletext"/>
              <w:keepNext/>
              <w:keepLines/>
              <w:rPr>
                <w:szCs w:val="18"/>
              </w:rPr>
            </w:pPr>
            <w:r w:rsidRPr="0022357A">
              <w:rPr>
                <w:szCs w:val="18"/>
              </w:rPr>
              <w:t xml:space="preserve">Kim YH, </w:t>
            </w:r>
            <w:proofErr w:type="spellStart"/>
            <w:r w:rsidRPr="0022357A">
              <w:rPr>
                <w:szCs w:val="18"/>
              </w:rPr>
              <w:t>Tavallaee</w:t>
            </w:r>
            <w:proofErr w:type="spellEnd"/>
            <w:r w:rsidRPr="0022357A">
              <w:rPr>
                <w:szCs w:val="18"/>
              </w:rPr>
              <w:t xml:space="preserve"> M, </w:t>
            </w:r>
            <w:proofErr w:type="spellStart"/>
            <w:r w:rsidRPr="0022357A">
              <w:rPr>
                <w:szCs w:val="18"/>
              </w:rPr>
              <w:t>Sundram</w:t>
            </w:r>
            <w:proofErr w:type="spellEnd"/>
            <w:r w:rsidRPr="0022357A">
              <w:rPr>
                <w:szCs w:val="18"/>
              </w:rPr>
              <w:t xml:space="preserve"> U, et al. Phase II investigator-initiated study of brentuximab vedotin in mycosis fungoides and Sézary syndrome with variable CD30 expression level: A multi-institution collaborative project.</w:t>
            </w:r>
          </w:p>
        </w:tc>
        <w:tc>
          <w:tcPr>
            <w:tcW w:w="1177" w:type="pct"/>
            <w:tcBorders>
              <w:bottom w:val="nil"/>
            </w:tcBorders>
          </w:tcPr>
          <w:p w:rsidR="00AE73AA" w:rsidRPr="0022357A" w:rsidRDefault="00AE73AA" w:rsidP="008C6F50">
            <w:pPr>
              <w:pStyle w:val="Tabletext"/>
              <w:keepNext/>
              <w:keepLines/>
            </w:pPr>
            <w:r w:rsidRPr="0022357A">
              <w:t xml:space="preserve">J </w:t>
            </w:r>
            <w:proofErr w:type="spellStart"/>
            <w:r w:rsidRPr="0022357A">
              <w:t>Clin</w:t>
            </w:r>
            <w:proofErr w:type="spellEnd"/>
            <w:r w:rsidRPr="0022357A">
              <w:t xml:space="preserve"> </w:t>
            </w:r>
            <w:proofErr w:type="spellStart"/>
            <w:r w:rsidRPr="0022357A">
              <w:t>Oncol</w:t>
            </w:r>
            <w:proofErr w:type="spellEnd"/>
            <w:r w:rsidRPr="0022357A">
              <w:t>. 2015 Nov</w:t>
            </w:r>
          </w:p>
          <w:p w:rsidR="00AE73AA" w:rsidRPr="0022357A" w:rsidRDefault="00AE73AA" w:rsidP="008C6F50">
            <w:pPr>
              <w:pStyle w:val="Tabletext"/>
              <w:keepNext/>
              <w:keepLines/>
            </w:pPr>
            <w:r w:rsidRPr="0022357A">
              <w:t>10;33(32):3750-8</w:t>
            </w:r>
          </w:p>
        </w:tc>
      </w:tr>
      <w:tr w:rsidR="00AE73AA" w:rsidRPr="0022357A" w:rsidTr="00A91A99">
        <w:tc>
          <w:tcPr>
            <w:tcW w:w="5000" w:type="pct"/>
            <w:gridSpan w:val="3"/>
            <w:tcBorders>
              <w:bottom w:val="nil"/>
            </w:tcBorders>
            <w:vAlign w:val="center"/>
          </w:tcPr>
          <w:p w:rsidR="00AE73AA" w:rsidRPr="0022357A" w:rsidRDefault="00AE73AA" w:rsidP="008C6F50">
            <w:pPr>
              <w:pStyle w:val="Tabletext"/>
              <w:keepNext/>
              <w:keepLines/>
              <w:rPr>
                <w:b/>
              </w:rPr>
            </w:pPr>
            <w:r w:rsidRPr="0022357A">
              <w:rPr>
                <w:b/>
              </w:rPr>
              <w:t>Vorinostat randomised trial</w:t>
            </w:r>
          </w:p>
        </w:tc>
      </w:tr>
      <w:tr w:rsidR="00AE73AA" w:rsidRPr="0022357A" w:rsidTr="00A91A99">
        <w:tc>
          <w:tcPr>
            <w:tcW w:w="796" w:type="pct"/>
            <w:tcBorders>
              <w:bottom w:val="nil"/>
            </w:tcBorders>
            <w:vAlign w:val="center"/>
          </w:tcPr>
          <w:p w:rsidR="00AE73AA" w:rsidRPr="0022357A" w:rsidRDefault="00AE73AA" w:rsidP="008C6F50">
            <w:pPr>
              <w:pStyle w:val="Tabletext"/>
              <w:keepNext/>
              <w:keepLines/>
            </w:pPr>
            <w:r w:rsidRPr="0022357A">
              <w:t xml:space="preserve">MAVORIC </w:t>
            </w:r>
          </w:p>
        </w:tc>
        <w:tc>
          <w:tcPr>
            <w:tcW w:w="3027" w:type="pct"/>
            <w:tcBorders>
              <w:bottom w:val="nil"/>
            </w:tcBorders>
            <w:vAlign w:val="center"/>
          </w:tcPr>
          <w:p w:rsidR="00AE73AA" w:rsidRPr="0022357A" w:rsidRDefault="00AE73AA" w:rsidP="008C6F50">
            <w:pPr>
              <w:pStyle w:val="Tabletext"/>
              <w:keepNext/>
              <w:keepLines/>
              <w:rPr>
                <w:szCs w:val="18"/>
              </w:rPr>
            </w:pPr>
            <w:r w:rsidRPr="0022357A">
              <w:rPr>
                <w:szCs w:val="18"/>
              </w:rPr>
              <w:t>Kim YH, Bagot M, Pinter-Brown L, et al. Anti-CCR4 Monoclonal Antibody, Mogamulizumab, Demonstrates Significant Improvement in PFS Compared to Vorinostat in Patients with Previously Treated Cutaneous T-Cell Lymphoma (CTCL): Results from the Phase III MAVORIC Study (abstract)</w:t>
            </w:r>
          </w:p>
        </w:tc>
        <w:tc>
          <w:tcPr>
            <w:tcW w:w="1177" w:type="pct"/>
            <w:tcBorders>
              <w:bottom w:val="nil"/>
            </w:tcBorders>
          </w:tcPr>
          <w:p w:rsidR="00AE73AA" w:rsidRPr="0022357A" w:rsidRDefault="00AE73AA" w:rsidP="008C6F50">
            <w:pPr>
              <w:pStyle w:val="Tabletext"/>
              <w:keepNext/>
              <w:keepLines/>
            </w:pPr>
            <w:r w:rsidRPr="0022357A">
              <w:t>American Society of Hematology conference</w:t>
            </w:r>
          </w:p>
        </w:tc>
      </w:tr>
      <w:tr w:rsidR="00AE73AA" w:rsidRPr="0022357A" w:rsidTr="00A91A99">
        <w:tc>
          <w:tcPr>
            <w:tcW w:w="5000" w:type="pct"/>
            <w:gridSpan w:val="3"/>
            <w:tcBorders>
              <w:bottom w:val="nil"/>
            </w:tcBorders>
            <w:vAlign w:val="center"/>
          </w:tcPr>
          <w:p w:rsidR="00AE73AA" w:rsidRPr="0022357A" w:rsidRDefault="00AE73AA" w:rsidP="008C6F50">
            <w:pPr>
              <w:pStyle w:val="Tabletext"/>
              <w:keepNext/>
              <w:keepLines/>
              <w:rPr>
                <w:b/>
              </w:rPr>
            </w:pPr>
            <w:r w:rsidRPr="0022357A">
              <w:rPr>
                <w:b/>
              </w:rPr>
              <w:t>Vorinostat non-randomised studies</w:t>
            </w:r>
          </w:p>
        </w:tc>
      </w:tr>
      <w:tr w:rsidR="00AE73AA" w:rsidRPr="0022357A" w:rsidTr="00A91A99">
        <w:tc>
          <w:tcPr>
            <w:tcW w:w="796" w:type="pct"/>
            <w:vMerge w:val="restart"/>
            <w:vAlign w:val="center"/>
          </w:tcPr>
          <w:p w:rsidR="00AE73AA" w:rsidRPr="0022357A" w:rsidRDefault="00AE73AA" w:rsidP="008C6F50">
            <w:pPr>
              <w:pStyle w:val="Tabletext"/>
              <w:keepNext/>
              <w:keepLines/>
            </w:pPr>
            <w:r w:rsidRPr="0022357A">
              <w:t xml:space="preserve">P001 </w:t>
            </w:r>
          </w:p>
        </w:tc>
        <w:tc>
          <w:tcPr>
            <w:tcW w:w="3027" w:type="pct"/>
            <w:tcBorders>
              <w:bottom w:val="nil"/>
            </w:tcBorders>
            <w:vAlign w:val="center"/>
          </w:tcPr>
          <w:p w:rsidR="00AE73AA" w:rsidRPr="0022357A" w:rsidRDefault="00AE73AA" w:rsidP="008C6F50">
            <w:pPr>
              <w:pStyle w:val="Tabletext"/>
              <w:keepNext/>
              <w:keepLines/>
              <w:rPr>
                <w:szCs w:val="18"/>
              </w:rPr>
            </w:pPr>
            <w:r w:rsidRPr="0022357A">
              <w:rPr>
                <w:szCs w:val="18"/>
              </w:rPr>
              <w:t xml:space="preserve">Olsen EA, Kim YH, </w:t>
            </w:r>
            <w:proofErr w:type="spellStart"/>
            <w:r w:rsidRPr="0022357A">
              <w:rPr>
                <w:szCs w:val="18"/>
              </w:rPr>
              <w:t>Kuzel</w:t>
            </w:r>
            <w:proofErr w:type="spellEnd"/>
            <w:r w:rsidRPr="0022357A">
              <w:rPr>
                <w:szCs w:val="18"/>
              </w:rPr>
              <w:t xml:space="preserve"> TM, et al. Phase IIB </w:t>
            </w:r>
            <w:proofErr w:type="spellStart"/>
            <w:r w:rsidRPr="0022357A">
              <w:rPr>
                <w:szCs w:val="18"/>
              </w:rPr>
              <w:t>multicenter</w:t>
            </w:r>
            <w:proofErr w:type="spellEnd"/>
            <w:r w:rsidRPr="0022357A">
              <w:rPr>
                <w:szCs w:val="18"/>
              </w:rPr>
              <w:t xml:space="preserve"> trial of vorinostat in patients with persistent, progressive, or treatment refractory cutaneous t-cell lymphoma. </w:t>
            </w:r>
          </w:p>
        </w:tc>
        <w:tc>
          <w:tcPr>
            <w:tcW w:w="1177" w:type="pct"/>
            <w:tcBorders>
              <w:bottom w:val="nil"/>
            </w:tcBorders>
          </w:tcPr>
          <w:p w:rsidR="00AE73AA" w:rsidRPr="0022357A" w:rsidRDefault="00AE73AA" w:rsidP="008C6F50">
            <w:pPr>
              <w:pStyle w:val="Tabletext"/>
              <w:keepNext/>
              <w:keepLines/>
            </w:pPr>
            <w:r w:rsidRPr="0022357A">
              <w:t xml:space="preserve">J </w:t>
            </w:r>
            <w:proofErr w:type="spellStart"/>
            <w:r w:rsidRPr="0022357A">
              <w:t>Clin</w:t>
            </w:r>
            <w:proofErr w:type="spellEnd"/>
            <w:r w:rsidRPr="0022357A">
              <w:t xml:space="preserve"> </w:t>
            </w:r>
            <w:proofErr w:type="spellStart"/>
            <w:r w:rsidRPr="0022357A">
              <w:t>Oncol</w:t>
            </w:r>
            <w:proofErr w:type="spellEnd"/>
            <w:r w:rsidRPr="0022357A">
              <w:t xml:space="preserve">. </w:t>
            </w:r>
            <w:r w:rsidRPr="0022357A">
              <w:rPr>
                <w:szCs w:val="18"/>
              </w:rPr>
              <w:t>2007; 25(21):3109-15</w:t>
            </w:r>
          </w:p>
        </w:tc>
      </w:tr>
      <w:tr w:rsidR="00AE73AA" w:rsidRPr="0022357A" w:rsidTr="00A91A99">
        <w:tc>
          <w:tcPr>
            <w:tcW w:w="796" w:type="pct"/>
            <w:vMerge/>
            <w:tcBorders>
              <w:bottom w:val="single" w:sz="4" w:space="0" w:color="auto"/>
            </w:tcBorders>
            <w:vAlign w:val="center"/>
          </w:tcPr>
          <w:p w:rsidR="00AE73AA" w:rsidRPr="0022357A" w:rsidRDefault="00AE73AA" w:rsidP="008C6F50">
            <w:pPr>
              <w:pStyle w:val="Tabletext"/>
              <w:keepNext/>
              <w:keepLines/>
            </w:pPr>
          </w:p>
        </w:tc>
        <w:tc>
          <w:tcPr>
            <w:tcW w:w="3027" w:type="pct"/>
            <w:tcBorders>
              <w:bottom w:val="single" w:sz="4" w:space="0" w:color="auto"/>
            </w:tcBorders>
            <w:vAlign w:val="center"/>
          </w:tcPr>
          <w:p w:rsidR="00AE73AA" w:rsidRPr="0022357A" w:rsidRDefault="00AE73AA" w:rsidP="008C6F50">
            <w:pPr>
              <w:pStyle w:val="Tabletext"/>
              <w:keepNext/>
              <w:keepLines/>
              <w:rPr>
                <w:szCs w:val="18"/>
              </w:rPr>
            </w:pPr>
            <w:r w:rsidRPr="0022357A">
              <w:rPr>
                <w:szCs w:val="18"/>
              </w:rPr>
              <w:t xml:space="preserve">Duvic M, Olsen E, </w:t>
            </w:r>
            <w:proofErr w:type="spellStart"/>
            <w:r w:rsidRPr="0022357A">
              <w:rPr>
                <w:szCs w:val="18"/>
              </w:rPr>
              <w:t>Breneman</w:t>
            </w:r>
            <w:proofErr w:type="spellEnd"/>
            <w:r w:rsidRPr="0022357A">
              <w:rPr>
                <w:szCs w:val="18"/>
              </w:rPr>
              <w:t xml:space="preserve"> D, Pacheco T, Parker S, </w:t>
            </w:r>
            <w:proofErr w:type="spellStart"/>
            <w:r w:rsidRPr="0022357A">
              <w:rPr>
                <w:szCs w:val="18"/>
              </w:rPr>
              <w:t>Vonderheid</w:t>
            </w:r>
            <w:proofErr w:type="spellEnd"/>
            <w:r w:rsidRPr="0022357A">
              <w:rPr>
                <w:szCs w:val="18"/>
              </w:rPr>
              <w:t xml:space="preserve"> E, et al. Evaluation of the long-term tolerability and clinical benefit of vorinostat in patients with advanced cutaneous T-cell lymphoma.</w:t>
            </w:r>
          </w:p>
        </w:tc>
        <w:tc>
          <w:tcPr>
            <w:tcW w:w="1177" w:type="pct"/>
            <w:tcBorders>
              <w:bottom w:val="single" w:sz="4" w:space="0" w:color="auto"/>
            </w:tcBorders>
          </w:tcPr>
          <w:p w:rsidR="00AE73AA" w:rsidRPr="0022357A" w:rsidRDefault="00AE73AA" w:rsidP="008C6F50">
            <w:pPr>
              <w:pStyle w:val="Tabletext"/>
              <w:keepNext/>
              <w:keepLines/>
            </w:pPr>
            <w:r w:rsidRPr="0022357A">
              <w:rPr>
                <w:szCs w:val="18"/>
              </w:rPr>
              <w:t>Clinical Lymphoma and Myeloma 2009; 9(6):412-6.</w:t>
            </w:r>
          </w:p>
        </w:tc>
      </w:tr>
      <w:tr w:rsidR="00AE73AA" w:rsidRPr="0022357A" w:rsidTr="00A91A99">
        <w:tc>
          <w:tcPr>
            <w:tcW w:w="796" w:type="pct"/>
            <w:vAlign w:val="center"/>
          </w:tcPr>
          <w:p w:rsidR="00AE73AA" w:rsidRPr="0022357A" w:rsidRDefault="00AE73AA" w:rsidP="008C6F50">
            <w:pPr>
              <w:pStyle w:val="Tabletext"/>
              <w:keepNext/>
              <w:keepLines/>
            </w:pPr>
            <w:r w:rsidRPr="0022357A">
              <w:t xml:space="preserve">P005 </w:t>
            </w:r>
          </w:p>
        </w:tc>
        <w:tc>
          <w:tcPr>
            <w:tcW w:w="3027" w:type="pct"/>
            <w:vAlign w:val="center"/>
          </w:tcPr>
          <w:p w:rsidR="00AE73AA" w:rsidRPr="0022357A" w:rsidRDefault="00AE73AA" w:rsidP="008C6F50">
            <w:pPr>
              <w:pStyle w:val="Tabletext"/>
              <w:keepNext/>
              <w:keepLines/>
              <w:rPr>
                <w:szCs w:val="18"/>
              </w:rPr>
            </w:pPr>
            <w:r w:rsidRPr="0022357A">
              <w:rPr>
                <w:szCs w:val="18"/>
              </w:rPr>
              <w:t>Duvic M, Talpur R, Ni X, et al. Phase 2 trial of oral vorinostat (</w:t>
            </w:r>
            <w:proofErr w:type="spellStart"/>
            <w:r w:rsidRPr="0022357A">
              <w:rPr>
                <w:szCs w:val="18"/>
              </w:rPr>
              <w:t>suberoylanilide</w:t>
            </w:r>
            <w:proofErr w:type="spellEnd"/>
            <w:r w:rsidRPr="0022357A">
              <w:rPr>
                <w:szCs w:val="18"/>
              </w:rPr>
              <w:t xml:space="preserve"> </w:t>
            </w:r>
            <w:proofErr w:type="spellStart"/>
            <w:r w:rsidRPr="0022357A">
              <w:rPr>
                <w:szCs w:val="18"/>
              </w:rPr>
              <w:t>hydroxamic</w:t>
            </w:r>
            <w:proofErr w:type="spellEnd"/>
            <w:r w:rsidRPr="0022357A">
              <w:rPr>
                <w:szCs w:val="18"/>
              </w:rPr>
              <w:t xml:space="preserve"> acid, SAHA) for refractory cutaneous T-cell lymphoma (CTCL). </w:t>
            </w:r>
          </w:p>
        </w:tc>
        <w:tc>
          <w:tcPr>
            <w:tcW w:w="1177" w:type="pct"/>
          </w:tcPr>
          <w:p w:rsidR="00AE73AA" w:rsidRPr="0022357A" w:rsidRDefault="00AE73AA" w:rsidP="008C6F50">
            <w:pPr>
              <w:pStyle w:val="Tabletext"/>
              <w:keepNext/>
              <w:keepLines/>
            </w:pPr>
            <w:r w:rsidRPr="0022357A">
              <w:rPr>
                <w:szCs w:val="18"/>
              </w:rPr>
              <w:t>Blood 2007; 109(1):31-9.</w:t>
            </w:r>
          </w:p>
        </w:tc>
      </w:tr>
      <w:tr w:rsidR="00D735E2" w:rsidRPr="0022357A" w:rsidTr="00D735E2">
        <w:tc>
          <w:tcPr>
            <w:tcW w:w="5000" w:type="pct"/>
            <w:gridSpan w:val="3"/>
            <w:tcBorders>
              <w:bottom w:val="single" w:sz="4" w:space="0" w:color="auto"/>
            </w:tcBorders>
            <w:vAlign w:val="center"/>
          </w:tcPr>
          <w:p w:rsidR="00D735E2" w:rsidRPr="0022357A" w:rsidRDefault="00D735E2" w:rsidP="008C6F50">
            <w:pPr>
              <w:pStyle w:val="Tabletext"/>
              <w:keepNext/>
              <w:keepLines/>
              <w:rPr>
                <w:szCs w:val="18"/>
              </w:rPr>
            </w:pPr>
            <w:r w:rsidRPr="00D735E2">
              <w:rPr>
                <w:b/>
              </w:rPr>
              <w:t>Methotrexate non-randomised study</w:t>
            </w:r>
          </w:p>
        </w:tc>
      </w:tr>
      <w:tr w:rsidR="00D74B7D" w:rsidRPr="0022357A" w:rsidTr="00A91A99">
        <w:tc>
          <w:tcPr>
            <w:tcW w:w="796" w:type="pct"/>
            <w:tcBorders>
              <w:bottom w:val="single" w:sz="4" w:space="0" w:color="auto"/>
            </w:tcBorders>
            <w:vAlign w:val="center"/>
          </w:tcPr>
          <w:p w:rsidR="00D74B7D" w:rsidRPr="0022357A" w:rsidRDefault="00D74B7D" w:rsidP="008C6F50">
            <w:pPr>
              <w:pStyle w:val="Tabletext"/>
              <w:keepNext/>
              <w:keepLines/>
            </w:pPr>
            <w:r w:rsidRPr="0022357A">
              <w:t>Newland (2015)</w:t>
            </w:r>
          </w:p>
        </w:tc>
        <w:tc>
          <w:tcPr>
            <w:tcW w:w="3027" w:type="pct"/>
            <w:tcBorders>
              <w:bottom w:val="single" w:sz="4" w:space="0" w:color="auto"/>
            </w:tcBorders>
            <w:vAlign w:val="center"/>
          </w:tcPr>
          <w:p w:rsidR="00D74B7D" w:rsidRPr="0022357A" w:rsidRDefault="00D74B7D" w:rsidP="008C6F50">
            <w:pPr>
              <w:pStyle w:val="Tabletext"/>
              <w:keepNext/>
              <w:keepLines/>
              <w:rPr>
                <w:szCs w:val="18"/>
              </w:rPr>
            </w:pPr>
            <w:r w:rsidRPr="0022357A">
              <w:rPr>
                <w:szCs w:val="18"/>
              </w:rPr>
              <w:t xml:space="preserve">Newland KM, McCormack CJ, </w:t>
            </w:r>
            <w:proofErr w:type="spellStart"/>
            <w:r w:rsidRPr="0022357A">
              <w:rPr>
                <w:szCs w:val="18"/>
              </w:rPr>
              <w:t>Twigger</w:t>
            </w:r>
            <w:proofErr w:type="spellEnd"/>
            <w:r w:rsidRPr="0022357A">
              <w:rPr>
                <w:szCs w:val="18"/>
              </w:rPr>
              <w:t xml:space="preserve"> R, et al. The efficacy of methotrexate for lymphomatoid papulosis.</w:t>
            </w:r>
          </w:p>
        </w:tc>
        <w:tc>
          <w:tcPr>
            <w:tcW w:w="1177" w:type="pct"/>
            <w:tcBorders>
              <w:bottom w:val="single" w:sz="4" w:space="0" w:color="auto"/>
            </w:tcBorders>
          </w:tcPr>
          <w:p w:rsidR="00D74B7D" w:rsidRPr="0022357A" w:rsidRDefault="00D74B7D" w:rsidP="008C6F50">
            <w:pPr>
              <w:pStyle w:val="Tabletext"/>
              <w:keepNext/>
              <w:keepLines/>
              <w:rPr>
                <w:szCs w:val="18"/>
              </w:rPr>
            </w:pPr>
            <w:r w:rsidRPr="0022357A">
              <w:rPr>
                <w:szCs w:val="18"/>
              </w:rPr>
              <w:t xml:space="preserve">J Am </w:t>
            </w:r>
            <w:proofErr w:type="spellStart"/>
            <w:r w:rsidRPr="0022357A">
              <w:rPr>
                <w:szCs w:val="18"/>
              </w:rPr>
              <w:t>Acad</w:t>
            </w:r>
            <w:proofErr w:type="spellEnd"/>
            <w:r w:rsidRPr="0022357A">
              <w:rPr>
                <w:szCs w:val="18"/>
              </w:rPr>
              <w:t xml:space="preserve"> </w:t>
            </w:r>
            <w:proofErr w:type="spellStart"/>
            <w:r w:rsidRPr="0022357A">
              <w:rPr>
                <w:szCs w:val="18"/>
              </w:rPr>
              <w:t>Dermatol</w:t>
            </w:r>
            <w:proofErr w:type="spellEnd"/>
            <w:r w:rsidRPr="0022357A">
              <w:rPr>
                <w:szCs w:val="18"/>
              </w:rPr>
              <w:t>. 2015 Jun</w:t>
            </w:r>
            <w:proofErr w:type="gramStart"/>
            <w:r w:rsidRPr="0022357A">
              <w:rPr>
                <w:szCs w:val="18"/>
              </w:rPr>
              <w:t>;72</w:t>
            </w:r>
            <w:proofErr w:type="gramEnd"/>
            <w:r w:rsidRPr="0022357A">
              <w:rPr>
                <w:szCs w:val="18"/>
              </w:rPr>
              <w:t>(6):1088-90.</w:t>
            </w:r>
          </w:p>
        </w:tc>
      </w:tr>
    </w:tbl>
    <w:p w:rsidR="00AE73AA" w:rsidRDefault="00AE73AA" w:rsidP="008C6F50">
      <w:pPr>
        <w:pStyle w:val="TableFooter"/>
        <w:keepNext/>
        <w:keepLines/>
        <w:widowControl/>
      </w:pPr>
      <w:r w:rsidRPr="0022357A">
        <w:t>Source: Table 2.2-1, p59 of the submission</w:t>
      </w:r>
    </w:p>
    <w:p w:rsidR="0025551C" w:rsidRPr="0022357A" w:rsidRDefault="0025551C" w:rsidP="00AE73AA">
      <w:pPr>
        <w:pStyle w:val="TableFooter"/>
        <w:rPr>
          <w:sz w:val="20"/>
        </w:rPr>
      </w:pPr>
    </w:p>
    <w:p w:rsidR="008423B9" w:rsidRPr="00B1472E" w:rsidRDefault="00AE73AA" w:rsidP="00B1472E">
      <w:pPr>
        <w:pStyle w:val="ListParagraph"/>
        <w:widowControl/>
        <w:numPr>
          <w:ilvl w:val="1"/>
          <w:numId w:val="3"/>
        </w:numPr>
        <w:rPr>
          <w:rStyle w:val="CommentReference"/>
          <w:rFonts w:ascii="Calibri" w:hAnsi="Calibri"/>
          <w:b w:val="0"/>
          <w:sz w:val="24"/>
          <w:szCs w:val="22"/>
        </w:rPr>
      </w:pPr>
      <w:r w:rsidRPr="0022357A">
        <w:rPr>
          <w:rFonts w:cs="Calibri"/>
          <w:snapToGrid/>
          <w:color w:val="3366FF"/>
          <w:szCs w:val="24"/>
          <w:lang w:eastAsia="en-AU"/>
        </w:rPr>
        <w:t xml:space="preserve"> </w:t>
      </w:r>
      <w:r w:rsidRPr="0022357A">
        <w:t xml:space="preserve">The key features of the included evidence are summarised in the table below. </w:t>
      </w:r>
    </w:p>
    <w:p w:rsidR="00AE73AA" w:rsidRPr="0022357A" w:rsidRDefault="00AE73AA" w:rsidP="0027437A">
      <w:pPr>
        <w:keepNext/>
        <w:rPr>
          <w:rStyle w:val="CommentReference"/>
        </w:rPr>
      </w:pPr>
      <w:r w:rsidRPr="0022357A">
        <w:rPr>
          <w:rStyle w:val="CommentReference"/>
        </w:rPr>
        <w:lastRenderedPageBreak/>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9"/>
        <w:gridCol w:w="412"/>
        <w:gridCol w:w="1853"/>
        <w:gridCol w:w="718"/>
        <w:gridCol w:w="1715"/>
        <w:gridCol w:w="1711"/>
        <w:gridCol w:w="1375"/>
      </w:tblGrid>
      <w:tr w:rsidR="00AE73AA" w:rsidRPr="0022357A" w:rsidTr="00A91A99">
        <w:tc>
          <w:tcPr>
            <w:tcW w:w="715" w:type="pct"/>
            <w:shd w:val="clear" w:color="auto" w:fill="auto"/>
            <w:vAlign w:val="center"/>
          </w:tcPr>
          <w:p w:rsidR="00AE73AA" w:rsidRPr="0022357A" w:rsidRDefault="00AE73AA" w:rsidP="0027437A">
            <w:pPr>
              <w:pStyle w:val="Tabletext"/>
              <w:keepNext/>
              <w:rPr>
                <w:b/>
              </w:rPr>
            </w:pPr>
            <w:r w:rsidRPr="0022357A">
              <w:rPr>
                <w:b/>
              </w:rPr>
              <w:t>Trial</w:t>
            </w:r>
          </w:p>
        </w:tc>
        <w:tc>
          <w:tcPr>
            <w:tcW w:w="227" w:type="pct"/>
            <w:shd w:val="clear" w:color="auto" w:fill="auto"/>
            <w:vAlign w:val="center"/>
          </w:tcPr>
          <w:p w:rsidR="00AE73AA" w:rsidRPr="0022357A" w:rsidRDefault="00AE73AA" w:rsidP="0027437A">
            <w:pPr>
              <w:pStyle w:val="Tabletext"/>
              <w:keepNext/>
              <w:jc w:val="center"/>
              <w:rPr>
                <w:b/>
              </w:rPr>
            </w:pPr>
            <w:r w:rsidRPr="0022357A">
              <w:rPr>
                <w:b/>
              </w:rPr>
              <w:t>N</w:t>
            </w:r>
          </w:p>
        </w:tc>
        <w:tc>
          <w:tcPr>
            <w:tcW w:w="1020" w:type="pct"/>
            <w:shd w:val="clear" w:color="auto" w:fill="auto"/>
            <w:vAlign w:val="center"/>
          </w:tcPr>
          <w:p w:rsidR="00AE73AA" w:rsidRPr="0022357A" w:rsidRDefault="00AE73AA" w:rsidP="0027437A">
            <w:pPr>
              <w:pStyle w:val="Tabletext"/>
              <w:keepNext/>
              <w:jc w:val="center"/>
              <w:rPr>
                <w:b/>
              </w:rPr>
            </w:pPr>
            <w:r w:rsidRPr="0022357A">
              <w:rPr>
                <w:b/>
              </w:rPr>
              <w:t>Design/ duration</w:t>
            </w:r>
          </w:p>
        </w:tc>
        <w:tc>
          <w:tcPr>
            <w:tcW w:w="395" w:type="pct"/>
            <w:shd w:val="clear" w:color="auto" w:fill="auto"/>
            <w:vAlign w:val="center"/>
          </w:tcPr>
          <w:p w:rsidR="00AE73AA" w:rsidRPr="0022357A" w:rsidRDefault="00AE73AA" w:rsidP="0027437A">
            <w:pPr>
              <w:pStyle w:val="Tabletext"/>
              <w:keepNext/>
              <w:jc w:val="center"/>
              <w:rPr>
                <w:b/>
              </w:rPr>
            </w:pPr>
            <w:r w:rsidRPr="0022357A">
              <w:rPr>
                <w:b/>
              </w:rPr>
              <w:t>Risk of bias</w:t>
            </w:r>
          </w:p>
        </w:tc>
        <w:tc>
          <w:tcPr>
            <w:tcW w:w="944" w:type="pct"/>
            <w:shd w:val="clear" w:color="auto" w:fill="auto"/>
            <w:vAlign w:val="center"/>
          </w:tcPr>
          <w:p w:rsidR="00AE73AA" w:rsidRPr="0022357A" w:rsidRDefault="00AE73AA" w:rsidP="0027437A">
            <w:pPr>
              <w:pStyle w:val="Tabletext"/>
              <w:keepNext/>
              <w:jc w:val="center"/>
              <w:rPr>
                <w:b/>
              </w:rPr>
            </w:pPr>
            <w:r w:rsidRPr="0022357A">
              <w:rPr>
                <w:b/>
              </w:rPr>
              <w:t>Patient population</w:t>
            </w:r>
          </w:p>
        </w:tc>
        <w:tc>
          <w:tcPr>
            <w:tcW w:w="942" w:type="pct"/>
            <w:shd w:val="clear" w:color="auto" w:fill="auto"/>
            <w:vAlign w:val="center"/>
          </w:tcPr>
          <w:p w:rsidR="00AE73AA" w:rsidRPr="0022357A" w:rsidRDefault="00AE73AA" w:rsidP="0027437A">
            <w:pPr>
              <w:pStyle w:val="Tabletext"/>
              <w:keepNext/>
              <w:jc w:val="center"/>
              <w:rPr>
                <w:b/>
              </w:rPr>
            </w:pPr>
            <w:r w:rsidRPr="0022357A">
              <w:rPr>
                <w:b/>
              </w:rPr>
              <w:t>Outcomes</w:t>
            </w:r>
          </w:p>
        </w:tc>
        <w:tc>
          <w:tcPr>
            <w:tcW w:w="757" w:type="pct"/>
            <w:shd w:val="clear" w:color="auto" w:fill="auto"/>
            <w:vAlign w:val="center"/>
          </w:tcPr>
          <w:p w:rsidR="00AE73AA" w:rsidRPr="0022357A" w:rsidRDefault="00AE73AA" w:rsidP="0027437A">
            <w:pPr>
              <w:pStyle w:val="Tabletext"/>
              <w:keepNext/>
              <w:jc w:val="center"/>
              <w:rPr>
                <w:b/>
              </w:rPr>
            </w:pPr>
            <w:r w:rsidRPr="0022357A">
              <w:rPr>
                <w:b/>
              </w:rPr>
              <w:t>Use in modelled evaluation</w:t>
            </w:r>
          </w:p>
        </w:tc>
      </w:tr>
      <w:tr w:rsidR="00AE73AA" w:rsidRPr="0022357A" w:rsidTr="00A91A99">
        <w:tc>
          <w:tcPr>
            <w:tcW w:w="5000" w:type="pct"/>
            <w:gridSpan w:val="7"/>
            <w:shd w:val="clear" w:color="auto" w:fill="auto"/>
            <w:vAlign w:val="center"/>
          </w:tcPr>
          <w:p w:rsidR="00AE73AA" w:rsidRPr="0022357A" w:rsidRDefault="00AE73AA" w:rsidP="0027437A">
            <w:pPr>
              <w:pStyle w:val="Tabletext"/>
              <w:keepNext/>
              <w:rPr>
                <w:b/>
              </w:rPr>
            </w:pPr>
            <w:r w:rsidRPr="0022357A">
              <w:rPr>
                <w:b/>
              </w:rPr>
              <w:t xml:space="preserve">Brentuximab vedotin vs. vorinostat </w:t>
            </w:r>
          </w:p>
        </w:tc>
      </w:tr>
      <w:tr w:rsidR="00AE73AA" w:rsidRPr="0022357A" w:rsidTr="00A91A99">
        <w:tc>
          <w:tcPr>
            <w:tcW w:w="715" w:type="pct"/>
            <w:shd w:val="clear" w:color="auto" w:fill="auto"/>
            <w:vAlign w:val="center"/>
          </w:tcPr>
          <w:p w:rsidR="00AE73AA" w:rsidRPr="0022357A" w:rsidRDefault="00AE73AA" w:rsidP="0027437A">
            <w:pPr>
              <w:pStyle w:val="Tabletext"/>
              <w:keepNext/>
            </w:pPr>
            <w:r w:rsidRPr="0022357A">
              <w:t xml:space="preserve">ALCANZA </w:t>
            </w:r>
          </w:p>
          <w:p w:rsidR="00AE73AA" w:rsidRPr="0022357A" w:rsidRDefault="00AE73AA" w:rsidP="0027437A">
            <w:pPr>
              <w:pStyle w:val="Tabletext"/>
              <w:keepNext/>
            </w:pPr>
            <w:r w:rsidRPr="0022357A">
              <w:t xml:space="preserve">(brentuximab) </w:t>
            </w:r>
          </w:p>
        </w:tc>
        <w:tc>
          <w:tcPr>
            <w:tcW w:w="227" w:type="pct"/>
            <w:shd w:val="clear" w:color="auto" w:fill="auto"/>
            <w:vAlign w:val="center"/>
          </w:tcPr>
          <w:p w:rsidR="00AE73AA" w:rsidRPr="0022357A" w:rsidRDefault="00AE73AA" w:rsidP="0027437A">
            <w:pPr>
              <w:pStyle w:val="Tabletext"/>
              <w:keepNext/>
              <w:jc w:val="center"/>
            </w:pPr>
            <w:r w:rsidRPr="0022357A">
              <w:t>131</w:t>
            </w:r>
          </w:p>
        </w:tc>
        <w:tc>
          <w:tcPr>
            <w:tcW w:w="1020" w:type="pct"/>
            <w:shd w:val="clear" w:color="auto" w:fill="auto"/>
            <w:vAlign w:val="center"/>
          </w:tcPr>
          <w:p w:rsidR="00AE73AA" w:rsidRPr="0022357A" w:rsidRDefault="00AE73AA" w:rsidP="0027437A">
            <w:pPr>
              <w:pStyle w:val="Tabletext"/>
              <w:keepNext/>
              <w:jc w:val="center"/>
            </w:pPr>
            <w:r w:rsidRPr="0022357A">
              <w:t>R, OL</w:t>
            </w:r>
          </w:p>
          <w:p w:rsidR="00AE73AA" w:rsidRPr="0022357A" w:rsidRDefault="00AE73AA" w:rsidP="0027437A">
            <w:pPr>
              <w:pStyle w:val="Tabletext"/>
              <w:keepNext/>
              <w:jc w:val="center"/>
            </w:pPr>
            <w:r w:rsidRPr="0022357A">
              <w:t xml:space="preserve">22.9 months </w:t>
            </w:r>
            <w:r w:rsidRPr="0022357A">
              <w:rPr>
                <w:vertAlign w:val="superscript"/>
              </w:rPr>
              <w:t>a</w:t>
            </w:r>
          </w:p>
        </w:tc>
        <w:tc>
          <w:tcPr>
            <w:tcW w:w="395" w:type="pct"/>
            <w:shd w:val="clear" w:color="auto" w:fill="auto"/>
            <w:vAlign w:val="center"/>
          </w:tcPr>
          <w:p w:rsidR="00AE73AA" w:rsidRPr="0022357A" w:rsidRDefault="00AE73AA" w:rsidP="0027437A">
            <w:pPr>
              <w:pStyle w:val="Tabletext"/>
              <w:keepNext/>
              <w:jc w:val="center"/>
            </w:pPr>
            <w:r w:rsidRPr="0022357A">
              <w:t>High</w:t>
            </w:r>
          </w:p>
        </w:tc>
        <w:tc>
          <w:tcPr>
            <w:tcW w:w="944" w:type="pct"/>
            <w:shd w:val="clear" w:color="auto" w:fill="auto"/>
            <w:vAlign w:val="center"/>
          </w:tcPr>
          <w:p w:rsidR="00AE73AA" w:rsidRPr="0022357A" w:rsidRDefault="00AE73AA" w:rsidP="0027437A">
            <w:pPr>
              <w:pStyle w:val="Tabletext"/>
              <w:keepNext/>
              <w:jc w:val="center"/>
            </w:pPr>
            <w:r w:rsidRPr="0022357A">
              <w:t>CD30 +</w:t>
            </w:r>
            <w:r w:rsidRPr="0022357A">
              <w:br/>
              <w:t xml:space="preserve"> MF or pcALCL </w:t>
            </w:r>
          </w:p>
          <w:p w:rsidR="00AE73AA" w:rsidRPr="0022357A" w:rsidRDefault="00AE73AA" w:rsidP="0027437A">
            <w:pPr>
              <w:pStyle w:val="Tabletext"/>
              <w:keepNext/>
              <w:jc w:val="center"/>
              <w:rPr>
                <w:vertAlign w:val="superscript"/>
              </w:rPr>
            </w:pPr>
            <w:r w:rsidRPr="0022357A">
              <w:t xml:space="preserve">≥ 1 prior therapy </w:t>
            </w:r>
            <w:r w:rsidRPr="0022357A">
              <w:rPr>
                <w:vertAlign w:val="superscript"/>
              </w:rPr>
              <w:t>b</w:t>
            </w:r>
          </w:p>
        </w:tc>
        <w:tc>
          <w:tcPr>
            <w:tcW w:w="942" w:type="pct"/>
            <w:shd w:val="clear" w:color="auto" w:fill="auto"/>
            <w:vAlign w:val="center"/>
          </w:tcPr>
          <w:p w:rsidR="00AE73AA" w:rsidRPr="0022357A" w:rsidRDefault="00AE73AA" w:rsidP="0027437A">
            <w:pPr>
              <w:pStyle w:val="Tabletext"/>
              <w:keepNext/>
              <w:jc w:val="center"/>
            </w:pPr>
            <w:r w:rsidRPr="0022357A">
              <w:t>ORR, ORR4, CR, PR, PFS, mSWAT,</w:t>
            </w:r>
            <w:r w:rsidRPr="0022357A">
              <w:br/>
              <w:t xml:space="preserve"> EQ-5D-3L, AEs   </w:t>
            </w:r>
          </w:p>
        </w:tc>
        <w:tc>
          <w:tcPr>
            <w:tcW w:w="757" w:type="pct"/>
            <w:shd w:val="clear" w:color="auto" w:fill="auto"/>
            <w:vAlign w:val="center"/>
          </w:tcPr>
          <w:p w:rsidR="00AE73AA" w:rsidRPr="0022357A" w:rsidRDefault="00AE73AA" w:rsidP="0027437A">
            <w:pPr>
              <w:pStyle w:val="Tabletext"/>
              <w:keepNext/>
              <w:jc w:val="center"/>
            </w:pPr>
            <w:r w:rsidRPr="0022357A">
              <w:t xml:space="preserve">PFS, </w:t>
            </w:r>
            <w:r w:rsidRPr="0022357A">
              <w:br/>
              <w:t xml:space="preserve">EQ-5D-3L </w:t>
            </w:r>
          </w:p>
        </w:tc>
      </w:tr>
      <w:tr w:rsidR="00AE73AA" w:rsidRPr="0022357A" w:rsidTr="00A91A99">
        <w:tc>
          <w:tcPr>
            <w:tcW w:w="715" w:type="pct"/>
            <w:shd w:val="clear" w:color="auto" w:fill="auto"/>
            <w:vAlign w:val="center"/>
          </w:tcPr>
          <w:p w:rsidR="00AE73AA" w:rsidRPr="0022357A" w:rsidRDefault="00AE73AA" w:rsidP="0027437A">
            <w:pPr>
              <w:pStyle w:val="Tabletext"/>
              <w:keepNext/>
            </w:pPr>
            <w:r w:rsidRPr="0022357A">
              <w:t>Duvic (2015)</w:t>
            </w:r>
          </w:p>
          <w:p w:rsidR="00AE73AA" w:rsidRPr="0022357A" w:rsidRDefault="00AE73AA" w:rsidP="0027437A">
            <w:pPr>
              <w:pStyle w:val="Tabletext"/>
              <w:keepNext/>
            </w:pPr>
            <w:r w:rsidRPr="0022357A">
              <w:t xml:space="preserve">(brentuximab) </w:t>
            </w:r>
          </w:p>
        </w:tc>
        <w:tc>
          <w:tcPr>
            <w:tcW w:w="227" w:type="pct"/>
            <w:shd w:val="clear" w:color="auto" w:fill="auto"/>
            <w:vAlign w:val="center"/>
          </w:tcPr>
          <w:p w:rsidR="00AE73AA" w:rsidRPr="0022357A" w:rsidRDefault="00AE73AA" w:rsidP="0027437A">
            <w:pPr>
              <w:pStyle w:val="Tabletext"/>
              <w:keepNext/>
              <w:jc w:val="center"/>
            </w:pPr>
            <w:r w:rsidRPr="0022357A">
              <w:t>48</w:t>
            </w:r>
          </w:p>
        </w:tc>
        <w:tc>
          <w:tcPr>
            <w:tcW w:w="1020" w:type="pct"/>
            <w:shd w:val="clear" w:color="auto" w:fill="auto"/>
            <w:vAlign w:val="center"/>
          </w:tcPr>
          <w:p w:rsidR="00AE73AA" w:rsidRPr="0022357A" w:rsidRDefault="00AE73AA" w:rsidP="0027437A">
            <w:pPr>
              <w:pStyle w:val="Tabletext"/>
              <w:keepNext/>
              <w:jc w:val="center"/>
            </w:pPr>
            <w:r w:rsidRPr="0022357A">
              <w:t>Single-arm, OL</w:t>
            </w:r>
          </w:p>
          <w:p w:rsidR="00AE73AA" w:rsidRPr="0022357A" w:rsidRDefault="00AE73AA" w:rsidP="0027437A">
            <w:pPr>
              <w:pStyle w:val="Tabletext"/>
              <w:keepNext/>
              <w:jc w:val="center"/>
              <w:rPr>
                <w:vertAlign w:val="superscript"/>
              </w:rPr>
            </w:pPr>
            <w:r w:rsidRPr="0022357A">
              <w:t xml:space="preserve">27 months </w:t>
            </w:r>
            <w:r w:rsidRPr="0022357A">
              <w:rPr>
                <w:vertAlign w:val="superscript"/>
              </w:rPr>
              <w:t>a</w:t>
            </w:r>
          </w:p>
        </w:tc>
        <w:tc>
          <w:tcPr>
            <w:tcW w:w="395" w:type="pct"/>
            <w:shd w:val="clear" w:color="auto" w:fill="auto"/>
            <w:vAlign w:val="center"/>
          </w:tcPr>
          <w:p w:rsidR="00AE73AA" w:rsidRPr="0022357A" w:rsidRDefault="00AE73AA" w:rsidP="0027437A">
            <w:pPr>
              <w:pStyle w:val="Tabletext"/>
              <w:keepNext/>
              <w:jc w:val="center"/>
            </w:pPr>
            <w:r w:rsidRPr="0022357A">
              <w:t>High</w:t>
            </w:r>
          </w:p>
        </w:tc>
        <w:tc>
          <w:tcPr>
            <w:tcW w:w="944" w:type="pct"/>
            <w:shd w:val="clear" w:color="auto" w:fill="auto"/>
            <w:vAlign w:val="center"/>
          </w:tcPr>
          <w:p w:rsidR="00AE73AA" w:rsidRPr="0022357A" w:rsidRDefault="00AE73AA" w:rsidP="0027437A">
            <w:pPr>
              <w:pStyle w:val="Tabletext"/>
              <w:keepNext/>
              <w:jc w:val="center"/>
            </w:pPr>
            <w:r w:rsidRPr="0022357A">
              <w:t xml:space="preserve">CD30+ MF, pcALCL  or LyP </w:t>
            </w:r>
            <w:r w:rsidRPr="0022357A">
              <w:rPr>
                <w:vertAlign w:val="superscript"/>
              </w:rPr>
              <w:t>c</w:t>
            </w:r>
            <w:r w:rsidRPr="0022357A">
              <w:t xml:space="preserve"> </w:t>
            </w:r>
          </w:p>
          <w:p w:rsidR="00AE73AA" w:rsidRPr="0022357A" w:rsidRDefault="00AE73AA" w:rsidP="0027437A">
            <w:pPr>
              <w:pStyle w:val="Tabletext"/>
              <w:keepNext/>
              <w:jc w:val="center"/>
            </w:pPr>
            <w:r w:rsidRPr="0022357A">
              <w:t>≥ 1 prior therapy</w:t>
            </w:r>
          </w:p>
        </w:tc>
        <w:tc>
          <w:tcPr>
            <w:tcW w:w="942" w:type="pct"/>
            <w:shd w:val="clear" w:color="auto" w:fill="auto"/>
            <w:vAlign w:val="center"/>
          </w:tcPr>
          <w:p w:rsidR="00AE73AA" w:rsidRPr="0022357A" w:rsidRDefault="00AE73AA" w:rsidP="0027437A">
            <w:pPr>
              <w:pStyle w:val="Tabletext"/>
              <w:keepNext/>
              <w:jc w:val="center"/>
            </w:pPr>
            <w:r w:rsidRPr="0022357A">
              <w:t xml:space="preserve">ORR, </w:t>
            </w:r>
            <w:r w:rsidR="009E141E" w:rsidRPr="0022357A">
              <w:t xml:space="preserve">CR, </w:t>
            </w:r>
            <w:r w:rsidRPr="0022357A">
              <w:t>PR, PFS, mSWAT</w:t>
            </w:r>
            <w:r w:rsidR="002E47FF" w:rsidRPr="0022357A">
              <w:t xml:space="preserve">, AEs   </w:t>
            </w:r>
          </w:p>
        </w:tc>
        <w:tc>
          <w:tcPr>
            <w:tcW w:w="757" w:type="pct"/>
            <w:shd w:val="clear" w:color="auto" w:fill="auto"/>
            <w:vAlign w:val="center"/>
          </w:tcPr>
          <w:p w:rsidR="00AE73AA" w:rsidRPr="0022357A" w:rsidRDefault="00460791" w:rsidP="0027437A">
            <w:pPr>
              <w:pStyle w:val="Tabletext"/>
              <w:keepNext/>
              <w:jc w:val="center"/>
            </w:pPr>
            <w:r w:rsidRPr="0022357A">
              <w:t>Not used</w:t>
            </w:r>
          </w:p>
        </w:tc>
      </w:tr>
      <w:tr w:rsidR="00AE73AA" w:rsidRPr="0022357A" w:rsidTr="00A91A99">
        <w:tc>
          <w:tcPr>
            <w:tcW w:w="715" w:type="pct"/>
            <w:shd w:val="clear" w:color="auto" w:fill="auto"/>
            <w:vAlign w:val="center"/>
          </w:tcPr>
          <w:p w:rsidR="00AE73AA" w:rsidRPr="0022357A" w:rsidRDefault="00AE73AA" w:rsidP="0027437A">
            <w:pPr>
              <w:pStyle w:val="Tabletext"/>
              <w:keepNext/>
            </w:pPr>
            <w:r w:rsidRPr="0022357A">
              <w:t>Kim (2015)</w:t>
            </w:r>
          </w:p>
          <w:p w:rsidR="00AE73AA" w:rsidRPr="0022357A" w:rsidRDefault="00AE73AA" w:rsidP="0027437A">
            <w:pPr>
              <w:pStyle w:val="Tabletext"/>
              <w:keepNext/>
            </w:pPr>
            <w:r w:rsidRPr="0022357A">
              <w:t>(brentuximab)</w:t>
            </w:r>
          </w:p>
        </w:tc>
        <w:tc>
          <w:tcPr>
            <w:tcW w:w="227" w:type="pct"/>
            <w:shd w:val="clear" w:color="auto" w:fill="auto"/>
            <w:vAlign w:val="center"/>
          </w:tcPr>
          <w:p w:rsidR="00AE73AA" w:rsidRPr="0022357A" w:rsidRDefault="00AE73AA" w:rsidP="0027437A">
            <w:pPr>
              <w:pStyle w:val="Tabletext"/>
              <w:keepNext/>
              <w:jc w:val="center"/>
            </w:pPr>
            <w:r w:rsidRPr="0022357A">
              <w:t>32</w:t>
            </w:r>
          </w:p>
        </w:tc>
        <w:tc>
          <w:tcPr>
            <w:tcW w:w="1020" w:type="pct"/>
            <w:shd w:val="clear" w:color="auto" w:fill="auto"/>
            <w:vAlign w:val="center"/>
          </w:tcPr>
          <w:p w:rsidR="00AE73AA" w:rsidRPr="0022357A" w:rsidRDefault="00AE73AA" w:rsidP="0027437A">
            <w:pPr>
              <w:pStyle w:val="Tabletext"/>
              <w:keepNext/>
              <w:jc w:val="center"/>
            </w:pPr>
            <w:r w:rsidRPr="0022357A">
              <w:t>Single-arm, OL</w:t>
            </w:r>
          </w:p>
          <w:p w:rsidR="00AE73AA" w:rsidRPr="0022357A" w:rsidRDefault="00AE73AA" w:rsidP="0027437A">
            <w:pPr>
              <w:pStyle w:val="Tabletext"/>
              <w:keepNext/>
              <w:jc w:val="center"/>
              <w:rPr>
                <w:vertAlign w:val="superscript"/>
              </w:rPr>
            </w:pPr>
            <w:r w:rsidRPr="0022357A">
              <w:t xml:space="preserve">71.7 weeks </w:t>
            </w:r>
            <w:r w:rsidRPr="0022357A">
              <w:rPr>
                <w:vertAlign w:val="superscript"/>
              </w:rPr>
              <w:t>a</w:t>
            </w:r>
          </w:p>
        </w:tc>
        <w:tc>
          <w:tcPr>
            <w:tcW w:w="395" w:type="pct"/>
            <w:shd w:val="clear" w:color="auto" w:fill="auto"/>
            <w:vAlign w:val="center"/>
          </w:tcPr>
          <w:p w:rsidR="00AE73AA" w:rsidRPr="0022357A" w:rsidRDefault="00AE73AA" w:rsidP="0027437A">
            <w:pPr>
              <w:pStyle w:val="Tabletext"/>
              <w:keepNext/>
              <w:jc w:val="center"/>
            </w:pPr>
            <w:r w:rsidRPr="0022357A">
              <w:t>High</w:t>
            </w:r>
          </w:p>
        </w:tc>
        <w:tc>
          <w:tcPr>
            <w:tcW w:w="944" w:type="pct"/>
            <w:shd w:val="clear" w:color="auto" w:fill="auto"/>
            <w:vAlign w:val="center"/>
          </w:tcPr>
          <w:p w:rsidR="00AE73AA" w:rsidRPr="0022357A" w:rsidRDefault="00AE73AA" w:rsidP="0027437A">
            <w:pPr>
              <w:pStyle w:val="Tabletext"/>
              <w:keepNext/>
              <w:jc w:val="center"/>
            </w:pPr>
            <w:r w:rsidRPr="0022357A">
              <w:t>MF or SS</w:t>
            </w:r>
          </w:p>
          <w:p w:rsidR="00AE73AA" w:rsidRPr="0022357A" w:rsidRDefault="00AE73AA" w:rsidP="0027437A">
            <w:pPr>
              <w:pStyle w:val="Tabletext"/>
              <w:keepNext/>
              <w:jc w:val="center"/>
            </w:pPr>
            <w:r w:rsidRPr="0022357A">
              <w:t>≥ 1 prior therapy</w:t>
            </w:r>
          </w:p>
        </w:tc>
        <w:tc>
          <w:tcPr>
            <w:tcW w:w="942" w:type="pct"/>
            <w:shd w:val="clear" w:color="auto" w:fill="auto"/>
            <w:vAlign w:val="center"/>
          </w:tcPr>
          <w:p w:rsidR="00AE73AA" w:rsidRPr="0022357A" w:rsidRDefault="00AE73AA" w:rsidP="0027437A">
            <w:pPr>
              <w:pStyle w:val="Tabletext"/>
              <w:keepNext/>
              <w:jc w:val="center"/>
            </w:pPr>
            <w:r w:rsidRPr="0022357A">
              <w:t>ORR, CR, PR,</w:t>
            </w:r>
            <w:r w:rsidR="00FD0A48" w:rsidRPr="0022357A">
              <w:t xml:space="preserve"> mSWAT,</w:t>
            </w:r>
            <w:r w:rsidRPr="0022357A">
              <w:t xml:space="preserve"> PFS </w:t>
            </w:r>
            <w:r w:rsidR="002E47FF" w:rsidRPr="0022357A">
              <w:t xml:space="preserve">, AEs   </w:t>
            </w:r>
          </w:p>
        </w:tc>
        <w:tc>
          <w:tcPr>
            <w:tcW w:w="757" w:type="pct"/>
            <w:shd w:val="clear" w:color="auto" w:fill="auto"/>
            <w:vAlign w:val="center"/>
          </w:tcPr>
          <w:p w:rsidR="00AE73AA" w:rsidRPr="0022357A" w:rsidRDefault="006B0189" w:rsidP="0027437A">
            <w:pPr>
              <w:pStyle w:val="Tabletext"/>
              <w:keepNext/>
              <w:jc w:val="center"/>
            </w:pPr>
            <w:r w:rsidRPr="0022357A">
              <w:t>Not used</w:t>
            </w:r>
          </w:p>
        </w:tc>
      </w:tr>
      <w:tr w:rsidR="00AE73AA" w:rsidRPr="0022357A" w:rsidTr="00A91A99">
        <w:tc>
          <w:tcPr>
            <w:tcW w:w="715" w:type="pct"/>
            <w:shd w:val="clear" w:color="auto" w:fill="auto"/>
            <w:vAlign w:val="center"/>
          </w:tcPr>
          <w:p w:rsidR="00AE73AA" w:rsidRPr="0022357A" w:rsidRDefault="00AE73AA" w:rsidP="0027437A">
            <w:pPr>
              <w:pStyle w:val="Tabletext"/>
              <w:keepNext/>
            </w:pPr>
            <w:r w:rsidRPr="0022357A">
              <w:t xml:space="preserve">MAVORIC </w:t>
            </w:r>
          </w:p>
          <w:p w:rsidR="00AE73AA" w:rsidRPr="0022357A" w:rsidRDefault="00AE73AA" w:rsidP="0027437A">
            <w:pPr>
              <w:pStyle w:val="Tabletext"/>
              <w:keepNext/>
            </w:pPr>
            <w:r w:rsidRPr="0022357A">
              <w:t xml:space="preserve">(vorinostat) </w:t>
            </w:r>
          </w:p>
        </w:tc>
        <w:tc>
          <w:tcPr>
            <w:tcW w:w="227" w:type="pct"/>
            <w:shd w:val="clear" w:color="auto" w:fill="auto"/>
            <w:vAlign w:val="center"/>
          </w:tcPr>
          <w:p w:rsidR="00AE73AA" w:rsidRPr="0022357A" w:rsidRDefault="00AE73AA" w:rsidP="0027437A">
            <w:pPr>
              <w:pStyle w:val="Tabletext"/>
              <w:keepNext/>
              <w:jc w:val="center"/>
            </w:pPr>
            <w:r w:rsidRPr="0022357A">
              <w:t>372</w:t>
            </w:r>
          </w:p>
        </w:tc>
        <w:tc>
          <w:tcPr>
            <w:tcW w:w="1020" w:type="pct"/>
            <w:shd w:val="clear" w:color="auto" w:fill="auto"/>
            <w:vAlign w:val="center"/>
          </w:tcPr>
          <w:p w:rsidR="00AE73AA" w:rsidRPr="0022357A" w:rsidRDefault="00AE73AA" w:rsidP="0027437A">
            <w:pPr>
              <w:pStyle w:val="Tabletext"/>
              <w:keepNext/>
              <w:jc w:val="center"/>
            </w:pPr>
            <w:r w:rsidRPr="0022357A">
              <w:t xml:space="preserve">R, OL </w:t>
            </w:r>
          </w:p>
          <w:p w:rsidR="00AE73AA" w:rsidRPr="0022357A" w:rsidRDefault="00AE73AA" w:rsidP="0027437A">
            <w:pPr>
              <w:pStyle w:val="Tabletext"/>
              <w:keepNext/>
              <w:jc w:val="center"/>
              <w:rPr>
                <w:vertAlign w:val="superscript"/>
              </w:rPr>
            </w:pPr>
            <w:r w:rsidRPr="0022357A">
              <w:t xml:space="preserve">≈ 7.7 months </w:t>
            </w:r>
            <w:r w:rsidRPr="0022357A">
              <w:rPr>
                <w:vertAlign w:val="superscript"/>
              </w:rPr>
              <w:t>d</w:t>
            </w:r>
          </w:p>
        </w:tc>
        <w:tc>
          <w:tcPr>
            <w:tcW w:w="395" w:type="pct"/>
            <w:shd w:val="clear" w:color="auto" w:fill="auto"/>
            <w:vAlign w:val="center"/>
          </w:tcPr>
          <w:p w:rsidR="00AE73AA" w:rsidRPr="0022357A" w:rsidRDefault="00AE73AA" w:rsidP="0027437A">
            <w:pPr>
              <w:pStyle w:val="Tabletext"/>
              <w:keepNext/>
              <w:jc w:val="center"/>
            </w:pPr>
            <w:r w:rsidRPr="0022357A">
              <w:t xml:space="preserve">High </w:t>
            </w:r>
          </w:p>
        </w:tc>
        <w:tc>
          <w:tcPr>
            <w:tcW w:w="944" w:type="pct"/>
            <w:shd w:val="clear" w:color="auto" w:fill="auto"/>
            <w:vAlign w:val="center"/>
          </w:tcPr>
          <w:p w:rsidR="00AE73AA" w:rsidRPr="0022357A" w:rsidRDefault="00AE73AA" w:rsidP="0027437A">
            <w:pPr>
              <w:pStyle w:val="Tabletext"/>
              <w:keepNext/>
              <w:jc w:val="center"/>
            </w:pPr>
            <w:r w:rsidRPr="0022357A">
              <w:t>MF or SS</w:t>
            </w:r>
          </w:p>
          <w:p w:rsidR="00AE73AA" w:rsidRPr="0022357A" w:rsidRDefault="00AE73AA" w:rsidP="0027437A">
            <w:pPr>
              <w:pStyle w:val="Tabletext"/>
              <w:keepNext/>
              <w:jc w:val="center"/>
            </w:pPr>
            <w:r w:rsidRPr="0022357A">
              <w:t>≥ 1 prior therapy</w:t>
            </w:r>
          </w:p>
        </w:tc>
        <w:tc>
          <w:tcPr>
            <w:tcW w:w="942" w:type="pct"/>
            <w:shd w:val="clear" w:color="auto" w:fill="auto"/>
            <w:vAlign w:val="center"/>
          </w:tcPr>
          <w:p w:rsidR="00AE73AA" w:rsidRPr="0022357A" w:rsidRDefault="00AE73AA" w:rsidP="0027437A">
            <w:pPr>
              <w:pStyle w:val="Tabletext"/>
              <w:keepNext/>
              <w:jc w:val="center"/>
            </w:pPr>
            <w:r w:rsidRPr="0022357A">
              <w:t xml:space="preserve">ORR, PFS, AEs </w:t>
            </w:r>
          </w:p>
        </w:tc>
        <w:tc>
          <w:tcPr>
            <w:tcW w:w="757" w:type="pct"/>
            <w:shd w:val="clear" w:color="auto" w:fill="auto"/>
            <w:vAlign w:val="center"/>
          </w:tcPr>
          <w:p w:rsidR="00AE73AA" w:rsidRPr="0022357A" w:rsidRDefault="00AE73AA" w:rsidP="0027437A">
            <w:pPr>
              <w:pStyle w:val="Tabletext"/>
              <w:keepNext/>
              <w:jc w:val="center"/>
            </w:pPr>
            <w:r w:rsidRPr="0022357A">
              <w:t>PFS</w:t>
            </w:r>
          </w:p>
        </w:tc>
      </w:tr>
      <w:tr w:rsidR="00AE73AA" w:rsidRPr="0022357A" w:rsidTr="00A91A99">
        <w:tc>
          <w:tcPr>
            <w:tcW w:w="715" w:type="pct"/>
            <w:shd w:val="clear" w:color="auto" w:fill="auto"/>
            <w:vAlign w:val="center"/>
          </w:tcPr>
          <w:p w:rsidR="00AE73AA" w:rsidRPr="0022357A" w:rsidRDefault="00AE73AA" w:rsidP="0027437A">
            <w:pPr>
              <w:pStyle w:val="Tabletext"/>
              <w:keepNext/>
            </w:pPr>
            <w:r w:rsidRPr="0022357A">
              <w:t xml:space="preserve">P001 </w:t>
            </w:r>
            <w:r w:rsidRPr="0022357A">
              <w:br/>
              <w:t>(vorinostat)</w:t>
            </w:r>
          </w:p>
        </w:tc>
        <w:tc>
          <w:tcPr>
            <w:tcW w:w="227" w:type="pct"/>
            <w:shd w:val="clear" w:color="auto" w:fill="auto"/>
            <w:vAlign w:val="center"/>
          </w:tcPr>
          <w:p w:rsidR="00AE73AA" w:rsidRPr="0022357A" w:rsidRDefault="00AE73AA" w:rsidP="0027437A">
            <w:pPr>
              <w:pStyle w:val="Tabletext"/>
              <w:keepNext/>
              <w:jc w:val="center"/>
            </w:pPr>
            <w:r w:rsidRPr="0022357A">
              <w:t>7</w:t>
            </w:r>
            <w:r w:rsidR="0085564C" w:rsidRPr="0022357A">
              <w:t>4</w:t>
            </w:r>
          </w:p>
        </w:tc>
        <w:tc>
          <w:tcPr>
            <w:tcW w:w="1020" w:type="pct"/>
            <w:shd w:val="clear" w:color="auto" w:fill="auto"/>
            <w:vAlign w:val="center"/>
          </w:tcPr>
          <w:p w:rsidR="00AE73AA" w:rsidRPr="0022357A" w:rsidRDefault="00AE73AA" w:rsidP="0027437A">
            <w:pPr>
              <w:pStyle w:val="Tabletext"/>
              <w:keepNext/>
              <w:jc w:val="center"/>
            </w:pPr>
            <w:r w:rsidRPr="0022357A">
              <w:t>Single-arm, OL</w:t>
            </w:r>
          </w:p>
          <w:p w:rsidR="00AE73AA" w:rsidRPr="0022357A" w:rsidRDefault="00AE73AA" w:rsidP="0027437A">
            <w:pPr>
              <w:pStyle w:val="Tabletext"/>
              <w:keepNext/>
              <w:jc w:val="center"/>
            </w:pPr>
            <w:r w:rsidRPr="0022357A">
              <w:t>14.7 months</w:t>
            </w:r>
          </w:p>
        </w:tc>
        <w:tc>
          <w:tcPr>
            <w:tcW w:w="395" w:type="pct"/>
            <w:shd w:val="clear" w:color="auto" w:fill="auto"/>
            <w:vAlign w:val="center"/>
          </w:tcPr>
          <w:p w:rsidR="00AE73AA" w:rsidRPr="0022357A" w:rsidRDefault="00AE73AA" w:rsidP="0027437A">
            <w:pPr>
              <w:pStyle w:val="Tabletext"/>
              <w:keepNext/>
              <w:jc w:val="center"/>
            </w:pPr>
            <w:r w:rsidRPr="0022357A">
              <w:t>High</w:t>
            </w:r>
          </w:p>
        </w:tc>
        <w:tc>
          <w:tcPr>
            <w:tcW w:w="944" w:type="pct"/>
            <w:shd w:val="clear" w:color="auto" w:fill="auto"/>
            <w:vAlign w:val="center"/>
          </w:tcPr>
          <w:p w:rsidR="00AE73AA" w:rsidRPr="0022357A" w:rsidRDefault="00AE73AA" w:rsidP="0027437A">
            <w:pPr>
              <w:pStyle w:val="Tabletext"/>
              <w:keepNext/>
              <w:jc w:val="center"/>
            </w:pPr>
            <w:r w:rsidRPr="0022357A">
              <w:t>MF or SS</w:t>
            </w:r>
          </w:p>
          <w:p w:rsidR="00AE73AA" w:rsidRPr="0022357A" w:rsidRDefault="00AE73AA" w:rsidP="0027437A">
            <w:pPr>
              <w:pStyle w:val="Tabletext"/>
              <w:keepNext/>
              <w:jc w:val="center"/>
            </w:pPr>
            <w:r w:rsidRPr="0022357A">
              <w:t>≥ 2 prior therapies</w:t>
            </w:r>
          </w:p>
        </w:tc>
        <w:tc>
          <w:tcPr>
            <w:tcW w:w="942" w:type="pct"/>
            <w:shd w:val="clear" w:color="auto" w:fill="auto"/>
            <w:vAlign w:val="center"/>
          </w:tcPr>
          <w:p w:rsidR="00AE73AA" w:rsidRPr="0022357A" w:rsidRDefault="00AE73AA" w:rsidP="0027437A">
            <w:pPr>
              <w:pStyle w:val="Tabletext"/>
              <w:keepNext/>
              <w:jc w:val="center"/>
            </w:pPr>
            <w:r w:rsidRPr="0022357A">
              <w:t>ORR, CR, PR, mSWAT</w:t>
            </w:r>
            <w:r w:rsidR="002E47FF" w:rsidRPr="0022357A">
              <w:t xml:space="preserve">, AEs   </w:t>
            </w:r>
          </w:p>
        </w:tc>
        <w:tc>
          <w:tcPr>
            <w:tcW w:w="757" w:type="pct"/>
            <w:shd w:val="clear" w:color="auto" w:fill="auto"/>
            <w:vAlign w:val="center"/>
          </w:tcPr>
          <w:p w:rsidR="00AE73AA" w:rsidRPr="0022357A" w:rsidRDefault="00AE73AA" w:rsidP="0027437A">
            <w:pPr>
              <w:pStyle w:val="Tabletext"/>
              <w:keepNext/>
              <w:jc w:val="center"/>
            </w:pPr>
            <w:r w:rsidRPr="0022357A">
              <w:t xml:space="preserve">Not used </w:t>
            </w:r>
          </w:p>
        </w:tc>
      </w:tr>
      <w:tr w:rsidR="00AE73AA" w:rsidRPr="0022357A" w:rsidTr="00A91A99">
        <w:tc>
          <w:tcPr>
            <w:tcW w:w="715" w:type="pct"/>
            <w:shd w:val="clear" w:color="auto" w:fill="auto"/>
            <w:vAlign w:val="center"/>
          </w:tcPr>
          <w:p w:rsidR="00AE73AA" w:rsidRPr="0022357A" w:rsidRDefault="00AE73AA" w:rsidP="0027437A">
            <w:pPr>
              <w:pStyle w:val="Tabletext"/>
              <w:keepNext/>
            </w:pPr>
            <w:r w:rsidRPr="0022357A">
              <w:t xml:space="preserve">P005 (vorinostat) </w:t>
            </w:r>
          </w:p>
        </w:tc>
        <w:tc>
          <w:tcPr>
            <w:tcW w:w="227" w:type="pct"/>
            <w:shd w:val="clear" w:color="auto" w:fill="auto"/>
            <w:vAlign w:val="center"/>
          </w:tcPr>
          <w:p w:rsidR="00AE73AA" w:rsidRPr="0022357A" w:rsidRDefault="00AE73AA" w:rsidP="0027437A">
            <w:pPr>
              <w:pStyle w:val="Tabletext"/>
              <w:keepNext/>
              <w:jc w:val="center"/>
            </w:pPr>
            <w:r w:rsidRPr="0022357A">
              <w:t>33</w:t>
            </w:r>
          </w:p>
        </w:tc>
        <w:tc>
          <w:tcPr>
            <w:tcW w:w="1020" w:type="pct"/>
            <w:shd w:val="clear" w:color="auto" w:fill="auto"/>
            <w:vAlign w:val="center"/>
          </w:tcPr>
          <w:p w:rsidR="00AE73AA" w:rsidRPr="0022357A" w:rsidRDefault="00AE73AA" w:rsidP="0027437A">
            <w:pPr>
              <w:pStyle w:val="Tabletext"/>
              <w:keepNext/>
              <w:jc w:val="center"/>
            </w:pPr>
            <w:r w:rsidRPr="0022357A">
              <w:t>OL</w:t>
            </w:r>
          </w:p>
          <w:p w:rsidR="00AE73AA" w:rsidRPr="0022357A" w:rsidRDefault="00AE73AA" w:rsidP="0027437A">
            <w:pPr>
              <w:pStyle w:val="Tabletext"/>
              <w:keepNext/>
              <w:jc w:val="center"/>
            </w:pPr>
            <w:r w:rsidRPr="0022357A">
              <w:t>40 months</w:t>
            </w:r>
          </w:p>
        </w:tc>
        <w:tc>
          <w:tcPr>
            <w:tcW w:w="395" w:type="pct"/>
            <w:shd w:val="clear" w:color="auto" w:fill="auto"/>
            <w:vAlign w:val="center"/>
          </w:tcPr>
          <w:p w:rsidR="00AE73AA" w:rsidRPr="0022357A" w:rsidRDefault="00AE73AA" w:rsidP="0027437A">
            <w:pPr>
              <w:pStyle w:val="Tabletext"/>
              <w:keepNext/>
              <w:jc w:val="center"/>
            </w:pPr>
            <w:r w:rsidRPr="0022357A">
              <w:t>High</w:t>
            </w:r>
          </w:p>
        </w:tc>
        <w:tc>
          <w:tcPr>
            <w:tcW w:w="944" w:type="pct"/>
            <w:shd w:val="clear" w:color="auto" w:fill="auto"/>
            <w:vAlign w:val="center"/>
          </w:tcPr>
          <w:p w:rsidR="00AE73AA" w:rsidRPr="0022357A" w:rsidRDefault="00AE73AA" w:rsidP="0027437A">
            <w:pPr>
              <w:pStyle w:val="Tabletext"/>
              <w:keepNext/>
              <w:jc w:val="center"/>
            </w:pPr>
            <w:r w:rsidRPr="0022357A">
              <w:t xml:space="preserve">CTCL </w:t>
            </w:r>
          </w:p>
          <w:p w:rsidR="00AE73AA" w:rsidRPr="0022357A" w:rsidRDefault="00AE73AA" w:rsidP="0027437A">
            <w:pPr>
              <w:pStyle w:val="Tabletext"/>
              <w:keepNext/>
              <w:jc w:val="center"/>
            </w:pPr>
            <w:r w:rsidRPr="0022357A">
              <w:t xml:space="preserve">Refractory to </w:t>
            </w:r>
            <w:proofErr w:type="spellStart"/>
            <w:r w:rsidRPr="0022357A">
              <w:t>tx</w:t>
            </w:r>
            <w:proofErr w:type="spellEnd"/>
          </w:p>
        </w:tc>
        <w:tc>
          <w:tcPr>
            <w:tcW w:w="942" w:type="pct"/>
            <w:shd w:val="clear" w:color="auto" w:fill="auto"/>
            <w:vAlign w:val="center"/>
          </w:tcPr>
          <w:p w:rsidR="00AE73AA" w:rsidRPr="0022357A" w:rsidRDefault="009E141E" w:rsidP="0027437A">
            <w:pPr>
              <w:pStyle w:val="Tabletext"/>
              <w:keepNext/>
              <w:jc w:val="center"/>
            </w:pPr>
            <w:r w:rsidRPr="0022357A">
              <w:t xml:space="preserve">ORR, </w:t>
            </w:r>
            <w:r w:rsidR="00DB5266" w:rsidRPr="0022357A">
              <w:t xml:space="preserve">CR, PR, TTP, AEs </w:t>
            </w:r>
          </w:p>
        </w:tc>
        <w:tc>
          <w:tcPr>
            <w:tcW w:w="757" w:type="pct"/>
            <w:shd w:val="clear" w:color="auto" w:fill="auto"/>
            <w:vAlign w:val="center"/>
          </w:tcPr>
          <w:p w:rsidR="00AE73AA" w:rsidRPr="0022357A" w:rsidRDefault="00460791" w:rsidP="0027437A">
            <w:pPr>
              <w:pStyle w:val="Tabletext"/>
              <w:keepNext/>
              <w:jc w:val="center"/>
            </w:pPr>
            <w:r w:rsidRPr="0022357A">
              <w:t>TTP</w:t>
            </w:r>
          </w:p>
        </w:tc>
      </w:tr>
      <w:tr w:rsidR="00AE73AA" w:rsidRPr="0022357A" w:rsidTr="00A91A99">
        <w:tc>
          <w:tcPr>
            <w:tcW w:w="5000" w:type="pct"/>
            <w:gridSpan w:val="7"/>
            <w:shd w:val="clear" w:color="auto" w:fill="auto"/>
            <w:vAlign w:val="center"/>
          </w:tcPr>
          <w:p w:rsidR="00AE73AA" w:rsidRPr="0022357A" w:rsidRDefault="00AE73AA" w:rsidP="0027437A">
            <w:pPr>
              <w:pStyle w:val="Tabletext"/>
              <w:keepNext/>
              <w:rPr>
                <w:b/>
              </w:rPr>
            </w:pPr>
            <w:r w:rsidRPr="0022357A">
              <w:rPr>
                <w:b/>
              </w:rPr>
              <w:t xml:space="preserve">Brentuximab vedotin vs. methotrexate </w:t>
            </w:r>
          </w:p>
        </w:tc>
      </w:tr>
      <w:tr w:rsidR="00AE73AA" w:rsidRPr="0022357A" w:rsidTr="00A91A99">
        <w:tc>
          <w:tcPr>
            <w:tcW w:w="715" w:type="pct"/>
            <w:shd w:val="clear" w:color="auto" w:fill="auto"/>
            <w:vAlign w:val="center"/>
          </w:tcPr>
          <w:p w:rsidR="00AE73AA" w:rsidRPr="0022357A" w:rsidRDefault="00AE73AA" w:rsidP="0027437A">
            <w:pPr>
              <w:pStyle w:val="Tabletext"/>
              <w:keepNext/>
            </w:pPr>
            <w:r w:rsidRPr="0022357A">
              <w:t xml:space="preserve">ALCANZA </w:t>
            </w:r>
          </w:p>
        </w:tc>
        <w:tc>
          <w:tcPr>
            <w:tcW w:w="227" w:type="pct"/>
            <w:shd w:val="clear" w:color="auto" w:fill="auto"/>
            <w:vAlign w:val="center"/>
          </w:tcPr>
          <w:p w:rsidR="00AE73AA" w:rsidRPr="0022357A" w:rsidRDefault="00AE73AA" w:rsidP="0027437A">
            <w:pPr>
              <w:pStyle w:val="Tabletext"/>
              <w:keepNext/>
              <w:jc w:val="center"/>
            </w:pPr>
            <w:r w:rsidRPr="0022357A">
              <w:t>131</w:t>
            </w:r>
          </w:p>
        </w:tc>
        <w:tc>
          <w:tcPr>
            <w:tcW w:w="1020" w:type="pct"/>
            <w:shd w:val="clear" w:color="auto" w:fill="auto"/>
            <w:vAlign w:val="center"/>
          </w:tcPr>
          <w:p w:rsidR="00AE73AA" w:rsidRPr="0022357A" w:rsidRDefault="00AE73AA" w:rsidP="0027437A">
            <w:pPr>
              <w:pStyle w:val="Tabletext"/>
              <w:keepNext/>
              <w:jc w:val="center"/>
            </w:pPr>
            <w:r w:rsidRPr="0022357A">
              <w:t>R, OL</w:t>
            </w:r>
          </w:p>
          <w:p w:rsidR="00AE73AA" w:rsidRPr="0022357A" w:rsidRDefault="00AE73AA" w:rsidP="0027437A">
            <w:pPr>
              <w:pStyle w:val="Tabletext"/>
              <w:keepNext/>
              <w:jc w:val="center"/>
              <w:rPr>
                <w:vertAlign w:val="superscript"/>
              </w:rPr>
            </w:pPr>
            <w:r w:rsidRPr="0022357A">
              <w:t xml:space="preserve">22.9 months </w:t>
            </w:r>
            <w:r w:rsidRPr="0022357A">
              <w:rPr>
                <w:vertAlign w:val="superscript"/>
              </w:rPr>
              <w:t>a</w:t>
            </w:r>
          </w:p>
        </w:tc>
        <w:tc>
          <w:tcPr>
            <w:tcW w:w="395" w:type="pct"/>
            <w:shd w:val="clear" w:color="auto" w:fill="auto"/>
            <w:vAlign w:val="center"/>
          </w:tcPr>
          <w:p w:rsidR="00AE73AA" w:rsidRPr="0022357A" w:rsidRDefault="00AE73AA" w:rsidP="0027437A">
            <w:pPr>
              <w:pStyle w:val="Tabletext"/>
              <w:keepNext/>
              <w:jc w:val="center"/>
            </w:pPr>
            <w:r w:rsidRPr="0022357A">
              <w:t>High</w:t>
            </w:r>
          </w:p>
        </w:tc>
        <w:tc>
          <w:tcPr>
            <w:tcW w:w="944" w:type="pct"/>
            <w:shd w:val="clear" w:color="auto" w:fill="auto"/>
            <w:vAlign w:val="center"/>
          </w:tcPr>
          <w:p w:rsidR="00AE73AA" w:rsidRPr="0022357A" w:rsidRDefault="00AE73AA" w:rsidP="0027437A">
            <w:pPr>
              <w:pStyle w:val="Tabletext"/>
              <w:keepNext/>
              <w:jc w:val="center"/>
            </w:pPr>
            <w:r w:rsidRPr="0022357A">
              <w:t>CD30 +</w:t>
            </w:r>
            <w:r w:rsidRPr="0022357A">
              <w:br/>
              <w:t xml:space="preserve"> MF or pcALCL </w:t>
            </w:r>
          </w:p>
          <w:p w:rsidR="00AE73AA" w:rsidRPr="0022357A" w:rsidRDefault="00AE73AA" w:rsidP="0027437A">
            <w:pPr>
              <w:pStyle w:val="Tabletext"/>
              <w:keepNext/>
              <w:jc w:val="center"/>
            </w:pPr>
            <w:r w:rsidRPr="0022357A">
              <w:t>≥ 1 prior therapy</w:t>
            </w:r>
          </w:p>
        </w:tc>
        <w:tc>
          <w:tcPr>
            <w:tcW w:w="942" w:type="pct"/>
            <w:shd w:val="clear" w:color="auto" w:fill="auto"/>
            <w:vAlign w:val="center"/>
          </w:tcPr>
          <w:p w:rsidR="00AE73AA" w:rsidRPr="0022357A" w:rsidRDefault="00AE73AA" w:rsidP="0027437A">
            <w:pPr>
              <w:pStyle w:val="Tabletext"/>
              <w:keepNext/>
              <w:jc w:val="center"/>
            </w:pPr>
            <w:r w:rsidRPr="0022357A">
              <w:t xml:space="preserve">ORR, ORR4, CR, PR, PFS, AEs </w:t>
            </w:r>
          </w:p>
        </w:tc>
        <w:tc>
          <w:tcPr>
            <w:tcW w:w="757" w:type="pct"/>
            <w:shd w:val="clear" w:color="auto" w:fill="auto"/>
            <w:vAlign w:val="center"/>
          </w:tcPr>
          <w:p w:rsidR="00AE73AA" w:rsidRPr="0022357A" w:rsidRDefault="00AE73AA" w:rsidP="0027437A">
            <w:pPr>
              <w:pStyle w:val="Tabletext"/>
              <w:keepNext/>
              <w:jc w:val="center"/>
            </w:pPr>
            <w:r w:rsidRPr="0022357A">
              <w:t xml:space="preserve">PFS </w:t>
            </w:r>
          </w:p>
        </w:tc>
      </w:tr>
      <w:tr w:rsidR="00AE73AA" w:rsidRPr="0022357A" w:rsidTr="00A91A99">
        <w:tc>
          <w:tcPr>
            <w:tcW w:w="715" w:type="pct"/>
            <w:shd w:val="clear" w:color="auto" w:fill="auto"/>
            <w:vAlign w:val="center"/>
          </w:tcPr>
          <w:p w:rsidR="00AE73AA" w:rsidRPr="0022357A" w:rsidRDefault="00AE73AA" w:rsidP="0027437A">
            <w:pPr>
              <w:pStyle w:val="Tabletext"/>
              <w:keepNext/>
            </w:pPr>
            <w:r w:rsidRPr="0022357A">
              <w:t>Newland (2015)</w:t>
            </w:r>
          </w:p>
        </w:tc>
        <w:tc>
          <w:tcPr>
            <w:tcW w:w="227" w:type="pct"/>
            <w:shd w:val="clear" w:color="auto" w:fill="auto"/>
            <w:vAlign w:val="center"/>
          </w:tcPr>
          <w:p w:rsidR="00AE73AA" w:rsidRPr="0022357A" w:rsidRDefault="00AE73AA" w:rsidP="0027437A">
            <w:pPr>
              <w:pStyle w:val="Tabletext"/>
              <w:keepNext/>
              <w:jc w:val="center"/>
            </w:pPr>
            <w:r w:rsidRPr="0022357A">
              <w:t>53</w:t>
            </w:r>
          </w:p>
        </w:tc>
        <w:tc>
          <w:tcPr>
            <w:tcW w:w="1020" w:type="pct"/>
            <w:shd w:val="clear" w:color="auto" w:fill="auto"/>
            <w:vAlign w:val="center"/>
          </w:tcPr>
          <w:p w:rsidR="00AE73AA" w:rsidRPr="0022357A" w:rsidRDefault="00AE73AA" w:rsidP="0027437A">
            <w:pPr>
              <w:pStyle w:val="Tabletext"/>
              <w:keepNext/>
              <w:jc w:val="center"/>
            </w:pPr>
            <w:r w:rsidRPr="0022357A">
              <w:t>Single-arm, OL, Retro</w:t>
            </w:r>
          </w:p>
          <w:p w:rsidR="00AE73AA" w:rsidRPr="0022357A" w:rsidRDefault="00AE73AA" w:rsidP="0027437A">
            <w:pPr>
              <w:pStyle w:val="Tabletext"/>
              <w:keepNext/>
              <w:jc w:val="center"/>
            </w:pPr>
            <w:r w:rsidRPr="0022357A">
              <w:t>Duration not stated</w:t>
            </w:r>
          </w:p>
        </w:tc>
        <w:tc>
          <w:tcPr>
            <w:tcW w:w="395" w:type="pct"/>
            <w:shd w:val="clear" w:color="auto" w:fill="auto"/>
            <w:vAlign w:val="center"/>
          </w:tcPr>
          <w:p w:rsidR="00AE73AA" w:rsidRPr="0022357A" w:rsidRDefault="00AE73AA" w:rsidP="0027437A">
            <w:pPr>
              <w:pStyle w:val="Tabletext"/>
              <w:keepNext/>
              <w:jc w:val="center"/>
            </w:pPr>
            <w:r w:rsidRPr="0022357A">
              <w:t>High</w:t>
            </w:r>
          </w:p>
        </w:tc>
        <w:tc>
          <w:tcPr>
            <w:tcW w:w="944" w:type="pct"/>
            <w:shd w:val="clear" w:color="auto" w:fill="auto"/>
            <w:vAlign w:val="center"/>
          </w:tcPr>
          <w:p w:rsidR="00AE73AA" w:rsidRPr="0022357A" w:rsidRDefault="00AE73AA" w:rsidP="0027437A">
            <w:pPr>
              <w:pStyle w:val="Tabletext"/>
              <w:keepNext/>
              <w:jc w:val="center"/>
            </w:pPr>
            <w:r w:rsidRPr="0022357A">
              <w:t xml:space="preserve">LyP </w:t>
            </w:r>
          </w:p>
          <w:p w:rsidR="00AE73AA" w:rsidRPr="0022357A" w:rsidRDefault="00AE73AA" w:rsidP="0027437A">
            <w:pPr>
              <w:pStyle w:val="Tabletext"/>
              <w:keepNext/>
              <w:jc w:val="center"/>
            </w:pPr>
            <w:r w:rsidRPr="0022357A">
              <w:t xml:space="preserve">MTX or topical </w:t>
            </w:r>
            <w:proofErr w:type="spellStart"/>
            <w:r w:rsidRPr="0022357A">
              <w:t>tx</w:t>
            </w:r>
            <w:proofErr w:type="spellEnd"/>
          </w:p>
        </w:tc>
        <w:tc>
          <w:tcPr>
            <w:tcW w:w="942" w:type="pct"/>
            <w:shd w:val="clear" w:color="auto" w:fill="auto"/>
            <w:vAlign w:val="center"/>
          </w:tcPr>
          <w:p w:rsidR="00AE73AA" w:rsidRPr="0022357A" w:rsidRDefault="009E141E" w:rsidP="0027437A">
            <w:pPr>
              <w:pStyle w:val="Tabletext"/>
              <w:keepNext/>
              <w:jc w:val="center"/>
            </w:pPr>
            <w:r w:rsidRPr="0022357A">
              <w:t xml:space="preserve">ORR, </w:t>
            </w:r>
            <w:r w:rsidR="00AE73AA" w:rsidRPr="0022357A">
              <w:t>CR, PR</w:t>
            </w:r>
          </w:p>
        </w:tc>
        <w:tc>
          <w:tcPr>
            <w:tcW w:w="757" w:type="pct"/>
            <w:shd w:val="clear" w:color="auto" w:fill="auto"/>
            <w:vAlign w:val="center"/>
          </w:tcPr>
          <w:p w:rsidR="00AE73AA" w:rsidRPr="0022357A" w:rsidRDefault="00AE73AA" w:rsidP="0027437A">
            <w:pPr>
              <w:pStyle w:val="Tabletext"/>
              <w:keepNext/>
              <w:jc w:val="center"/>
            </w:pPr>
            <w:r w:rsidRPr="0022357A">
              <w:t>Not used</w:t>
            </w:r>
          </w:p>
        </w:tc>
      </w:tr>
    </w:tbl>
    <w:p w:rsidR="00AE73AA" w:rsidRPr="0022357A" w:rsidRDefault="00AE73AA" w:rsidP="00AE73AA">
      <w:pPr>
        <w:pStyle w:val="TableFooter"/>
      </w:pPr>
      <w:r w:rsidRPr="0022357A">
        <w:t>Source: Tables 2.2-1 to 2.6-2, pp59 – 127 of the submission and compiled during evaluation</w:t>
      </w:r>
    </w:p>
    <w:p w:rsidR="00AE73AA" w:rsidRPr="0022357A" w:rsidRDefault="00AE73AA" w:rsidP="00AE73AA">
      <w:pPr>
        <w:pStyle w:val="TableFooter"/>
      </w:pPr>
      <w:r w:rsidRPr="0022357A">
        <w:t xml:space="preserve">AE = adverse event; CR = complete response; CTCL = cutaneous T-cell lymphoma; EQ-5D-3L = euroQol-5 dimension-3 levels; LyP = lymphomatoid papulosis; MF = mycosis fungoides; </w:t>
      </w:r>
      <w:r w:rsidR="00AD4ACC" w:rsidRPr="0022357A">
        <w:t xml:space="preserve">mSWAT = modified severity weighted assessment tool; </w:t>
      </w:r>
      <w:r w:rsidRPr="0022357A">
        <w:t xml:space="preserve">MTX = methotrexate; ORR = objective response rate; ORR4 = </w:t>
      </w:r>
      <w:r w:rsidR="003D02C0" w:rsidRPr="0022357A">
        <w:t xml:space="preserve">objective </w:t>
      </w:r>
      <w:r w:rsidRPr="0022357A">
        <w:t xml:space="preserve">global response lasting 4 months; PFS = progression-free survival; OL=open label; pcALCL = primary cutaneous anaplastic large cell lymphoma; PFS=progression-free survival; SS = Sézary syndrome; R=randomised; retro = retrospective; </w:t>
      </w:r>
      <w:r w:rsidR="00460791" w:rsidRPr="0022357A">
        <w:t xml:space="preserve">TTP = time to progression; </w:t>
      </w:r>
      <w:proofErr w:type="spellStart"/>
      <w:r w:rsidRPr="0022357A">
        <w:t>tx</w:t>
      </w:r>
      <w:proofErr w:type="spellEnd"/>
      <w:r w:rsidRPr="0022357A">
        <w:t xml:space="preserve"> = treatments</w:t>
      </w:r>
    </w:p>
    <w:p w:rsidR="00AE73AA" w:rsidRPr="0022357A" w:rsidRDefault="00AE73AA" w:rsidP="00AE73AA">
      <w:pPr>
        <w:pStyle w:val="TableFooter"/>
      </w:pPr>
      <w:r w:rsidRPr="0022357A">
        <w:t xml:space="preserve">Source: Table 2.4-5, p81; </w:t>
      </w:r>
    </w:p>
    <w:p w:rsidR="00AE73AA" w:rsidRPr="0022357A" w:rsidRDefault="002730A5" w:rsidP="00AE73AA">
      <w:pPr>
        <w:pStyle w:val="TableFooter"/>
      </w:pPr>
      <w:proofErr w:type="gramStart"/>
      <w:r w:rsidRPr="0022357A">
        <w:rPr>
          <w:vertAlign w:val="superscript"/>
        </w:rPr>
        <w:t>a</w:t>
      </w:r>
      <w:proofErr w:type="gramEnd"/>
      <w:r w:rsidRPr="0022357A">
        <w:rPr>
          <w:vertAlign w:val="superscript"/>
        </w:rPr>
        <w:t xml:space="preserve"> </w:t>
      </w:r>
      <w:r w:rsidRPr="0022357A">
        <w:t>Median</w:t>
      </w:r>
      <w:r w:rsidR="00D74B7D" w:rsidRPr="0022357A">
        <w:t xml:space="preserve"> </w:t>
      </w:r>
      <w:r w:rsidR="00AE73AA" w:rsidRPr="0022357A">
        <w:t>follow-up</w:t>
      </w:r>
    </w:p>
    <w:p w:rsidR="00AE73AA" w:rsidRPr="0022357A" w:rsidRDefault="00AE73AA" w:rsidP="00AE73AA">
      <w:pPr>
        <w:pStyle w:val="TableFooter"/>
      </w:pPr>
      <w:proofErr w:type="gramStart"/>
      <w:r w:rsidRPr="0022357A">
        <w:rPr>
          <w:vertAlign w:val="superscript"/>
        </w:rPr>
        <w:t>b</w:t>
      </w:r>
      <w:proofErr w:type="gramEnd"/>
      <w:r w:rsidRPr="0022357A">
        <w:t xml:space="preserve"> Systemic therapy for MF, systemic therapy or radiotherapy for pcALCL </w:t>
      </w:r>
    </w:p>
    <w:p w:rsidR="00AE73AA" w:rsidRPr="0022357A" w:rsidRDefault="00AE73AA" w:rsidP="00AE73AA">
      <w:pPr>
        <w:pStyle w:val="TableFooter"/>
      </w:pPr>
      <w:proofErr w:type="gramStart"/>
      <w:r w:rsidRPr="0022357A">
        <w:rPr>
          <w:vertAlign w:val="superscript"/>
        </w:rPr>
        <w:t>c</w:t>
      </w:r>
      <w:proofErr w:type="gramEnd"/>
      <w:r w:rsidRPr="0022357A">
        <w:t xml:space="preserve"> Systemic therapy for MF and pcALCL. For LyP, more than 10 lesions, scarring, or active lesions on the face, hands, or feet requiring systemic treatment</w:t>
      </w:r>
    </w:p>
    <w:p w:rsidR="00AE73AA" w:rsidRPr="0022357A" w:rsidRDefault="00AE73AA" w:rsidP="00AE73AA">
      <w:pPr>
        <w:pStyle w:val="TableFooter"/>
      </w:pPr>
      <w:proofErr w:type="gramStart"/>
      <w:r w:rsidRPr="0022357A">
        <w:rPr>
          <w:vertAlign w:val="superscript"/>
        </w:rPr>
        <w:t>d</w:t>
      </w:r>
      <w:proofErr w:type="gramEnd"/>
      <w:r w:rsidRPr="0022357A">
        <w:rPr>
          <w:vertAlign w:val="superscript"/>
        </w:rPr>
        <w:t xml:space="preserve"> </w:t>
      </w:r>
      <w:r w:rsidRPr="0022357A">
        <w:t>Median follow-up not reported in abstract publication. Median PFS for vorinostat was 7.7 months.</w:t>
      </w:r>
    </w:p>
    <w:p w:rsidR="00AE73AA" w:rsidRPr="0022357A" w:rsidRDefault="00AE73AA" w:rsidP="00AE73AA">
      <w:pPr>
        <w:widowControl/>
      </w:pPr>
    </w:p>
    <w:p w:rsidR="00AE73AA" w:rsidRPr="00207C1E" w:rsidRDefault="00AE73AA" w:rsidP="00207C1E">
      <w:pPr>
        <w:pStyle w:val="ListParagraph"/>
        <w:widowControl/>
        <w:numPr>
          <w:ilvl w:val="1"/>
          <w:numId w:val="3"/>
        </w:numPr>
        <w:rPr>
          <w:szCs w:val="24"/>
        </w:rPr>
      </w:pPr>
      <w:r w:rsidRPr="00207C1E">
        <w:rPr>
          <w:szCs w:val="24"/>
        </w:rPr>
        <w:t xml:space="preserve">The main comparison in the submission (brentuximab vedotin vs. vorinostat) was considered </w:t>
      </w:r>
      <w:r w:rsidR="00E274D6" w:rsidRPr="00C35104">
        <w:rPr>
          <w:szCs w:val="24"/>
        </w:rPr>
        <w:t xml:space="preserve">by </w:t>
      </w:r>
      <w:r w:rsidR="00BE296C" w:rsidRPr="00C35104">
        <w:rPr>
          <w:szCs w:val="24"/>
        </w:rPr>
        <w:t xml:space="preserve">the </w:t>
      </w:r>
      <w:r w:rsidR="00E274D6" w:rsidRPr="00C35104">
        <w:rPr>
          <w:szCs w:val="24"/>
        </w:rPr>
        <w:t>ESC</w:t>
      </w:r>
      <w:r w:rsidR="00E274D6">
        <w:rPr>
          <w:i/>
          <w:szCs w:val="24"/>
        </w:rPr>
        <w:t xml:space="preserve"> </w:t>
      </w:r>
      <w:r w:rsidRPr="00207C1E">
        <w:rPr>
          <w:szCs w:val="24"/>
        </w:rPr>
        <w:t>to have a high risk of bias because it was based on a naïve comparison of studies with poor transitivity that may have confounded the observed clinical outcome</w:t>
      </w:r>
      <w:r w:rsidR="00FC66BC" w:rsidRPr="00207C1E">
        <w:rPr>
          <w:szCs w:val="24"/>
        </w:rPr>
        <w:t>s</w:t>
      </w:r>
      <w:r w:rsidRPr="00207C1E">
        <w:rPr>
          <w:szCs w:val="24"/>
        </w:rPr>
        <w:t>. Th</w:t>
      </w:r>
      <w:r w:rsidR="005665FF" w:rsidRPr="00207C1E">
        <w:rPr>
          <w:szCs w:val="24"/>
        </w:rPr>
        <w:t>e transitivity issues</w:t>
      </w:r>
      <w:r w:rsidRPr="00207C1E">
        <w:rPr>
          <w:szCs w:val="24"/>
        </w:rPr>
        <w:t xml:space="preserve"> included</w:t>
      </w:r>
      <w:r w:rsidR="00FC66BC" w:rsidRPr="00207C1E">
        <w:rPr>
          <w:szCs w:val="24"/>
        </w:rPr>
        <w:t>:</w:t>
      </w:r>
      <w:r w:rsidRPr="00207C1E">
        <w:rPr>
          <w:szCs w:val="24"/>
        </w:rPr>
        <w:t xml:space="preserve"> more patients with the more severe subtypes of CTCL in the vorinostat studies compared to the brentuximab vedotin studies (more patients with SS, no patients with pcALCL</w:t>
      </w:r>
      <w:r w:rsidR="003C1239">
        <w:rPr>
          <w:szCs w:val="24"/>
        </w:rPr>
        <w:t xml:space="preserve"> or LyP</w:t>
      </w:r>
      <w:r w:rsidRPr="00207C1E">
        <w:rPr>
          <w:szCs w:val="24"/>
        </w:rPr>
        <w:t>)</w:t>
      </w:r>
      <w:r w:rsidR="00920CCC" w:rsidRPr="00207C1E">
        <w:rPr>
          <w:szCs w:val="24"/>
        </w:rPr>
        <w:t>;</w:t>
      </w:r>
      <w:r w:rsidRPr="00207C1E">
        <w:rPr>
          <w:szCs w:val="24"/>
        </w:rPr>
        <w:t xml:space="preserve"> differences in CTCL stage</w:t>
      </w:r>
      <w:r w:rsidR="00920CCC" w:rsidRPr="00207C1E">
        <w:rPr>
          <w:szCs w:val="24"/>
        </w:rPr>
        <w:t>;</w:t>
      </w:r>
      <w:r w:rsidRPr="00207C1E">
        <w:rPr>
          <w:szCs w:val="24"/>
        </w:rPr>
        <w:t xml:space="preserve"> potential differences in treatment practices due to studies being conducted over 12 years apart</w:t>
      </w:r>
      <w:r w:rsidR="00920CCC" w:rsidRPr="00207C1E">
        <w:rPr>
          <w:szCs w:val="24"/>
        </w:rPr>
        <w:t>;</w:t>
      </w:r>
      <w:r w:rsidRPr="00207C1E">
        <w:rPr>
          <w:szCs w:val="24"/>
        </w:rPr>
        <w:t xml:space="preserve"> </w:t>
      </w:r>
      <w:r w:rsidR="005665FF" w:rsidRPr="00207C1E">
        <w:rPr>
          <w:szCs w:val="24"/>
        </w:rPr>
        <w:t xml:space="preserve">and </w:t>
      </w:r>
      <w:r w:rsidR="00920CCC" w:rsidRPr="00207C1E">
        <w:rPr>
          <w:szCs w:val="24"/>
        </w:rPr>
        <w:t xml:space="preserve">differences in the </w:t>
      </w:r>
      <w:r w:rsidRPr="00207C1E">
        <w:rPr>
          <w:szCs w:val="24"/>
        </w:rPr>
        <w:t xml:space="preserve">use of prior therapies, performance status, age, and CD30 positivity. </w:t>
      </w:r>
      <w:r w:rsidR="00C417DF" w:rsidRPr="0025551C">
        <w:rPr>
          <w:szCs w:val="24"/>
        </w:rPr>
        <w:t xml:space="preserve">The PBAC </w:t>
      </w:r>
      <w:r w:rsidR="0025551C">
        <w:rPr>
          <w:szCs w:val="24"/>
        </w:rPr>
        <w:t xml:space="preserve">agreed with the ESC and </w:t>
      </w:r>
      <w:r w:rsidR="00C417DF" w:rsidRPr="0025551C">
        <w:rPr>
          <w:szCs w:val="24"/>
        </w:rPr>
        <w:t>considered that differences in CD30 positivity between patients included in the trials was a major transitivity issue because the efficacy of vorinostat in a CD30</w:t>
      </w:r>
      <w:r w:rsidR="00E52147" w:rsidRPr="0025551C">
        <w:rPr>
          <w:szCs w:val="24"/>
        </w:rPr>
        <w:t xml:space="preserve"> positive</w:t>
      </w:r>
      <w:r w:rsidR="00C417DF" w:rsidRPr="0025551C">
        <w:rPr>
          <w:szCs w:val="24"/>
        </w:rPr>
        <w:t xml:space="preserve"> subset of CTCL, especially MF, is unknown.</w:t>
      </w:r>
    </w:p>
    <w:p w:rsidR="00AE73AA" w:rsidRPr="00EF2D25" w:rsidRDefault="00AE73AA" w:rsidP="00EF2D25">
      <w:pPr>
        <w:pStyle w:val="ListParagraph"/>
        <w:widowControl/>
        <w:numPr>
          <w:ilvl w:val="1"/>
          <w:numId w:val="3"/>
        </w:numPr>
      </w:pPr>
      <w:r w:rsidRPr="00207C1E">
        <w:rPr>
          <w:szCs w:val="24"/>
        </w:rPr>
        <w:lastRenderedPageBreak/>
        <w:t>The key studies for brentuximab vedotin (ALCANZA trial, Duvic (2015), Kim (2015)) and vorinostat (MAVORIC trial) assessed response outcomes and PFS in accordance with the International Society for Cutaneous Lymphomas (ISCL), the US Cutaneous Lymphoma Consortium, and the Cutaneous Lymphoma Task Force of the European Organisation for Research and Treatment of Cancer (EORTC) 2011 consensus guidelines</w:t>
      </w:r>
      <w:r w:rsidRPr="0022357A">
        <w:t xml:space="preserve"> (ISCL/EORTC CTCL guidelines for brevity). These studies</w:t>
      </w:r>
      <w:r w:rsidR="001E0E55" w:rsidRPr="0022357A">
        <w:t xml:space="preserve">, excluding the MAVORIC trial, </w:t>
      </w:r>
      <w:r w:rsidRPr="0022357A">
        <w:t xml:space="preserve">also used the mSWAT to assess skin disease. Study P001 (vorinostat) used mSWAT to assess skin response and appeared </w:t>
      </w:r>
      <w:r w:rsidR="003A2B0B" w:rsidRPr="0022357A">
        <w:t xml:space="preserve">consistent with the </w:t>
      </w:r>
      <w:r w:rsidRPr="0022357A">
        <w:t>ISCL/EORTC CTCL guidelines for skin response. Response outcomes from Study P005 (vorinostat) were not fully comparable</w:t>
      </w:r>
      <w:r w:rsidR="00FC66BC" w:rsidRPr="0022357A">
        <w:t xml:space="preserve"> with</w:t>
      </w:r>
      <w:r w:rsidRPr="0022357A">
        <w:t xml:space="preserve"> the other studies because </w:t>
      </w:r>
      <w:r w:rsidR="00D74B7D" w:rsidRPr="0022357A">
        <w:t xml:space="preserve">P005 </w:t>
      </w:r>
      <w:r w:rsidR="003A2B0B" w:rsidRPr="0022357A">
        <w:t>used Physician’s</w:t>
      </w:r>
      <w:r w:rsidRPr="0022357A">
        <w:t xml:space="preserve"> Global Assessment</w:t>
      </w:r>
      <w:r w:rsidR="00D74B7D" w:rsidRPr="0022357A">
        <w:t xml:space="preserve"> rather than mSWAT</w:t>
      </w:r>
      <w:r w:rsidRPr="0022357A">
        <w:t xml:space="preserve">. </w:t>
      </w:r>
      <w:r w:rsidR="00D74B7D" w:rsidRPr="0022357A">
        <w:t>In P005, r</w:t>
      </w:r>
      <w:r w:rsidRPr="0022357A">
        <w:t xml:space="preserve">esponse was defined as a 50% or greater clearance of skin surface area or erythroderma skin score and reduction in </w:t>
      </w:r>
      <w:r w:rsidRPr="000725AC">
        <w:t>lymph or blood disease</w:t>
      </w:r>
      <w:r w:rsidRPr="001B5D69">
        <w:rPr>
          <w:sz w:val="22"/>
        </w:rPr>
        <w:t>.</w:t>
      </w:r>
      <w:r w:rsidR="00207C1E">
        <w:rPr>
          <w:sz w:val="22"/>
        </w:rPr>
        <w:t xml:space="preserve"> </w:t>
      </w:r>
      <w:r w:rsidR="00736E30" w:rsidRPr="00C35104">
        <w:rPr>
          <w:szCs w:val="24"/>
        </w:rPr>
        <w:t xml:space="preserve">The PSCR considered that comparison of the ALCANZA trial (brentuximab vedotin) with the MAVORIC trial (vorinostat) would address some of the transitivity issues, such as differences in outcome assessments because both trials assessed outcomes in accordance with the 2011 ISCL/EORTC CTCL guidelines (Olsen et al 2011). </w:t>
      </w:r>
      <w:r w:rsidR="00EF2D25" w:rsidRPr="00C35104">
        <w:rPr>
          <w:szCs w:val="24"/>
        </w:rPr>
        <w:t xml:space="preserve">The ESC considered that mSWAT is also an appropriate measure of efficacy as adopted previously by PBAC. The committee considered that mSWAT may give a better indication of skin involvement and better reflect patient </w:t>
      </w:r>
      <w:r w:rsidR="000725AC" w:rsidRPr="00C35104">
        <w:rPr>
          <w:szCs w:val="24"/>
        </w:rPr>
        <w:t>quality of life</w:t>
      </w:r>
      <w:r w:rsidR="00EF2D25" w:rsidRPr="00C35104">
        <w:rPr>
          <w:szCs w:val="24"/>
        </w:rPr>
        <w:t xml:space="preserve"> and the requirement for hospitalisation.</w:t>
      </w:r>
      <w:r w:rsidR="00EF2D25">
        <w:rPr>
          <w:i/>
          <w:szCs w:val="24"/>
        </w:rPr>
        <w:t xml:space="preserve"> </w:t>
      </w:r>
      <w:r w:rsidR="008F2D99" w:rsidRPr="004527CE">
        <w:rPr>
          <w:szCs w:val="24"/>
        </w:rPr>
        <w:t>The pre-PBAC response</w:t>
      </w:r>
      <w:r w:rsidR="00080F8D">
        <w:rPr>
          <w:szCs w:val="24"/>
        </w:rPr>
        <w:t xml:space="preserve"> argued that mSWAT is a subjectively assessed measure whose use has now been replaced with the ISCL system</w:t>
      </w:r>
      <w:r w:rsidR="00501AC1" w:rsidRPr="004527CE">
        <w:rPr>
          <w:szCs w:val="24"/>
        </w:rPr>
        <w:t xml:space="preserve">. The PBAC </w:t>
      </w:r>
      <w:r w:rsidR="00080F8D">
        <w:rPr>
          <w:szCs w:val="24"/>
        </w:rPr>
        <w:t>considered</w:t>
      </w:r>
      <w:r w:rsidR="00501AC1" w:rsidRPr="004527CE">
        <w:rPr>
          <w:szCs w:val="24"/>
        </w:rPr>
        <w:t xml:space="preserve"> that mSWAT </w:t>
      </w:r>
      <w:r w:rsidR="00080F8D">
        <w:rPr>
          <w:szCs w:val="24"/>
        </w:rPr>
        <w:t>may be</w:t>
      </w:r>
      <w:r w:rsidR="00501AC1" w:rsidRPr="004527CE">
        <w:rPr>
          <w:szCs w:val="24"/>
        </w:rPr>
        <w:t xml:space="preserve"> less relevant for patients with more severe CTCL, who are the group with greatest clinical need. The PBAC</w:t>
      </w:r>
      <w:r w:rsidR="008F2D99" w:rsidRPr="004527CE">
        <w:rPr>
          <w:szCs w:val="24"/>
        </w:rPr>
        <w:t xml:space="preserve"> considered that it was appropriate to </w:t>
      </w:r>
      <w:r w:rsidR="00DF5055" w:rsidRPr="004527CE">
        <w:rPr>
          <w:szCs w:val="24"/>
        </w:rPr>
        <w:t>take into account all outcomes that were common across the included studies.</w:t>
      </w:r>
    </w:p>
    <w:p w:rsidR="004D766D" w:rsidRPr="00785935" w:rsidRDefault="00AE73AA" w:rsidP="004D766D">
      <w:pPr>
        <w:pStyle w:val="ListParagraph"/>
        <w:widowControl/>
        <w:numPr>
          <w:ilvl w:val="1"/>
          <w:numId w:val="3"/>
        </w:numPr>
        <w:rPr>
          <w:szCs w:val="24"/>
        </w:rPr>
      </w:pPr>
      <w:r w:rsidRPr="001B5D69">
        <w:rPr>
          <w:szCs w:val="24"/>
        </w:rPr>
        <w:t>The submission’s supplementary comparison (brentuximab vedotin vs. methotrexate) was based on a subgroup analysis of the open</w:t>
      </w:r>
      <w:r w:rsidRPr="001B5D69">
        <w:rPr>
          <w:szCs w:val="24"/>
        </w:rPr>
        <w:noBreakHyphen/>
        <w:t xml:space="preserve">label ALCANZA trial. </w:t>
      </w:r>
      <w:r w:rsidR="00D2384E" w:rsidRPr="001B5D69">
        <w:rPr>
          <w:szCs w:val="24"/>
        </w:rPr>
        <w:t>The comparis</w:t>
      </w:r>
      <w:r w:rsidRPr="001B5D69">
        <w:rPr>
          <w:szCs w:val="24"/>
        </w:rPr>
        <w:t xml:space="preserve">on was considered </w:t>
      </w:r>
      <w:r w:rsidR="000725AC" w:rsidRPr="00C35104">
        <w:rPr>
          <w:szCs w:val="24"/>
        </w:rPr>
        <w:t>by the ESC</w:t>
      </w:r>
      <w:r w:rsidR="000725AC">
        <w:rPr>
          <w:i/>
          <w:szCs w:val="24"/>
        </w:rPr>
        <w:t xml:space="preserve"> </w:t>
      </w:r>
      <w:r w:rsidRPr="001B5D69">
        <w:rPr>
          <w:szCs w:val="24"/>
        </w:rPr>
        <w:t xml:space="preserve">to have a high risk of bias because selection of physician’s choice treatment (methotrexate or bexarotene), and assessment of skin response (mSWAT) were performed by an unblinded investigator. </w:t>
      </w:r>
      <w:r w:rsidR="003C1239" w:rsidRPr="00C35104">
        <w:rPr>
          <w:szCs w:val="24"/>
        </w:rPr>
        <w:t xml:space="preserve">The PSCR contended that Newland (2015) also had a high risk of bias – likely in favour of methotrexate. The PSCR noted that patients in Newland (2015) were younger at diagnosis (median age 39 years for treated and untreated patients) </w:t>
      </w:r>
      <w:r w:rsidR="003C1239" w:rsidRPr="008C6F50">
        <w:rPr>
          <w:szCs w:val="24"/>
        </w:rPr>
        <w:t xml:space="preserve">compared with </w:t>
      </w:r>
      <w:r w:rsidR="00F72571">
        <w:rPr>
          <w:noProof/>
          <w:color w:val="000000"/>
          <w:szCs w:val="24"/>
          <w:highlight w:val="black"/>
        </w:rPr>
        <w:t>'''''</w:t>
      </w:r>
      <w:r w:rsidR="003C1239" w:rsidRPr="008C6F50">
        <w:rPr>
          <w:szCs w:val="24"/>
        </w:rPr>
        <w:t xml:space="preserve"> years</w:t>
      </w:r>
      <w:r w:rsidR="003C1239" w:rsidRPr="00C35104">
        <w:rPr>
          <w:szCs w:val="24"/>
        </w:rPr>
        <w:t xml:space="preserve"> for the ACL</w:t>
      </w:r>
      <w:r w:rsidR="00006BB9">
        <w:rPr>
          <w:szCs w:val="24"/>
        </w:rPr>
        <w:t>N</w:t>
      </w:r>
      <w:r w:rsidR="003C1239" w:rsidRPr="00C35104">
        <w:rPr>
          <w:szCs w:val="24"/>
        </w:rPr>
        <w:t xml:space="preserve"> database patients. The ESC noted that no reliable data </w:t>
      </w:r>
      <w:r w:rsidR="00A7031F">
        <w:rPr>
          <w:szCs w:val="24"/>
        </w:rPr>
        <w:t>are</w:t>
      </w:r>
      <w:r w:rsidR="00A7031F" w:rsidRPr="00C35104">
        <w:rPr>
          <w:szCs w:val="24"/>
        </w:rPr>
        <w:t xml:space="preserve"> </w:t>
      </w:r>
      <w:r w:rsidR="003C1239" w:rsidRPr="00C35104">
        <w:rPr>
          <w:szCs w:val="24"/>
        </w:rPr>
        <w:t xml:space="preserve">available </w:t>
      </w:r>
      <w:r w:rsidR="00736E30" w:rsidRPr="00C35104">
        <w:rPr>
          <w:szCs w:val="24"/>
        </w:rPr>
        <w:t>for methotrexate in CTCL.</w:t>
      </w:r>
      <w:r w:rsidR="00DF5055">
        <w:rPr>
          <w:szCs w:val="24"/>
        </w:rPr>
        <w:t xml:space="preserve"> </w:t>
      </w:r>
      <w:r w:rsidR="00DF5055" w:rsidRPr="004527CE">
        <w:rPr>
          <w:szCs w:val="24"/>
        </w:rPr>
        <w:t xml:space="preserve">The PBAC agreed with the sponsor that there may be bias in favour of methotrexate in Newland (2015) and with </w:t>
      </w:r>
      <w:r w:rsidR="000D2E60">
        <w:rPr>
          <w:szCs w:val="24"/>
        </w:rPr>
        <w:t xml:space="preserve">the </w:t>
      </w:r>
      <w:r w:rsidR="00DF5055" w:rsidRPr="004527CE">
        <w:rPr>
          <w:szCs w:val="24"/>
        </w:rPr>
        <w:t>ESC that overall data on methotrexate is suboptimal in robustness.</w:t>
      </w:r>
      <w:r w:rsidR="006B5D23">
        <w:rPr>
          <w:szCs w:val="24"/>
        </w:rPr>
        <w:t xml:space="preserve"> However, the PBAC noted the ALCANZA trial did provide data on the efficacy of methotrexate, although underpowered, in a CD30 positive subset of CTCL.</w:t>
      </w:r>
    </w:p>
    <w:p w:rsidR="00B60939" w:rsidRPr="0022357A" w:rsidRDefault="00B60939" w:rsidP="0027437A">
      <w:pPr>
        <w:pStyle w:val="Heading2"/>
        <w:keepNext/>
        <w:rPr>
          <w:i w:val="0"/>
        </w:rPr>
      </w:pPr>
      <w:bookmarkStart w:id="7" w:name="_Toc514237310"/>
      <w:r w:rsidRPr="0022357A">
        <w:rPr>
          <w:i w:val="0"/>
        </w:rPr>
        <w:lastRenderedPageBreak/>
        <w:t>Comparative effectiveness</w:t>
      </w:r>
      <w:bookmarkEnd w:id="7"/>
    </w:p>
    <w:p w:rsidR="00B60939" w:rsidRPr="0022357A" w:rsidRDefault="00B60939" w:rsidP="0027437A">
      <w:pPr>
        <w:keepNext/>
      </w:pPr>
    </w:p>
    <w:p w:rsidR="00AE73AA" w:rsidRPr="0022357A" w:rsidRDefault="00AE73AA" w:rsidP="0027437A">
      <w:pPr>
        <w:pStyle w:val="ListParagraph"/>
        <w:keepNext/>
        <w:widowControl/>
        <w:numPr>
          <w:ilvl w:val="1"/>
          <w:numId w:val="3"/>
        </w:numPr>
      </w:pPr>
      <w:r w:rsidRPr="0022357A">
        <w:t xml:space="preserve">The key effectiveness outcomes were response, either </w:t>
      </w:r>
      <w:r w:rsidR="00F9145D" w:rsidRPr="0022357A">
        <w:t xml:space="preserve">objective </w:t>
      </w:r>
      <w:r w:rsidR="00AD4ACC" w:rsidRPr="0022357A">
        <w:t>response rate (</w:t>
      </w:r>
      <w:r w:rsidRPr="0022357A">
        <w:t>ORR</w:t>
      </w:r>
      <w:r w:rsidR="00AD4ACC" w:rsidRPr="0022357A">
        <w:t>)</w:t>
      </w:r>
      <w:r w:rsidRPr="0022357A">
        <w:t xml:space="preserve"> or ≥ 25% improvement in mSWAT, and PFS. A ≥ 25% improvement in mSWAT was the basis of the vorinostat cost per responder analysis considered by the PBAC in March 2017 (paragraph 4.5, March 2017 PSD).</w:t>
      </w:r>
    </w:p>
    <w:p w:rsidR="00AE73AA" w:rsidRPr="0022357A" w:rsidRDefault="00AE73AA" w:rsidP="00A65DFB">
      <w:pPr>
        <w:keepNext/>
        <w:widowControl/>
        <w:rPr>
          <w:u w:val="single"/>
        </w:rPr>
      </w:pPr>
      <w:r w:rsidRPr="0022357A">
        <w:rPr>
          <w:u w:val="single"/>
        </w:rPr>
        <w:t xml:space="preserve">Brentuximab vedotin vs. vorinostat </w:t>
      </w:r>
    </w:p>
    <w:p w:rsidR="00AE73AA" w:rsidRPr="0022357A" w:rsidRDefault="00AE73AA" w:rsidP="00A65DFB">
      <w:pPr>
        <w:keepNext/>
        <w:widowControl/>
        <w:rPr>
          <w:color w:val="3366FF"/>
        </w:rPr>
      </w:pPr>
    </w:p>
    <w:p w:rsidR="00AE73AA" w:rsidRPr="0022357A" w:rsidRDefault="00AE73AA" w:rsidP="00A65DFB">
      <w:pPr>
        <w:keepNext/>
        <w:rPr>
          <w:rStyle w:val="CommentReference"/>
        </w:rPr>
      </w:pPr>
      <w:r w:rsidRPr="0022357A">
        <w:rPr>
          <w:rStyle w:val="CommentReference"/>
        </w:rPr>
        <w:t xml:space="preserve">Table 4: Results of response outcomes (brentuximab vedotin vs. vorinostat naïve comparison)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428"/>
        <w:gridCol w:w="856"/>
        <w:gridCol w:w="841"/>
        <w:gridCol w:w="874"/>
        <w:gridCol w:w="1284"/>
        <w:gridCol w:w="1286"/>
        <w:gridCol w:w="1233"/>
      </w:tblGrid>
      <w:tr w:rsidR="00AE73AA" w:rsidRPr="0022357A" w:rsidTr="00A91A99">
        <w:trPr>
          <w:cantSplit/>
          <w:tblHeader/>
        </w:trPr>
        <w:tc>
          <w:tcPr>
            <w:tcW w:w="705" w:type="pct"/>
            <w:vMerge w:val="restart"/>
            <w:tcMar>
              <w:left w:w="28" w:type="dxa"/>
              <w:right w:w="28" w:type="dxa"/>
            </w:tcMar>
            <w:vAlign w:val="center"/>
          </w:tcPr>
          <w:p w:rsidR="00AE73AA" w:rsidRPr="0022357A" w:rsidRDefault="00AE73AA" w:rsidP="00A65DFB">
            <w:pPr>
              <w:pStyle w:val="Tabletext"/>
              <w:keepNext/>
              <w:rPr>
                <w:b/>
              </w:rPr>
            </w:pPr>
            <w:r w:rsidRPr="0022357A">
              <w:rPr>
                <w:b/>
              </w:rPr>
              <w:t>Outcome</w:t>
            </w:r>
          </w:p>
        </w:tc>
        <w:tc>
          <w:tcPr>
            <w:tcW w:w="1720" w:type="pct"/>
            <w:gridSpan w:val="3"/>
            <w:tcBorders>
              <w:right w:val="double" w:sz="4" w:space="0" w:color="auto"/>
            </w:tcBorders>
            <w:tcMar>
              <w:left w:w="28" w:type="dxa"/>
              <w:right w:w="28" w:type="dxa"/>
            </w:tcMar>
            <w:vAlign w:val="center"/>
          </w:tcPr>
          <w:p w:rsidR="00AE73AA" w:rsidRPr="0022357A" w:rsidRDefault="00AE73AA" w:rsidP="00A65DFB">
            <w:pPr>
              <w:pStyle w:val="Tabletext"/>
              <w:keepNext/>
              <w:jc w:val="center"/>
              <w:rPr>
                <w:b/>
              </w:rPr>
            </w:pPr>
            <w:r w:rsidRPr="0022357A">
              <w:rPr>
                <w:b/>
              </w:rPr>
              <w:t xml:space="preserve">Brentuximab vedotin </w:t>
            </w:r>
          </w:p>
        </w:tc>
        <w:tc>
          <w:tcPr>
            <w:tcW w:w="2575" w:type="pct"/>
            <w:gridSpan w:val="4"/>
            <w:tcBorders>
              <w:left w:val="double" w:sz="4" w:space="0" w:color="auto"/>
            </w:tcBorders>
            <w:tcMar>
              <w:left w:w="28" w:type="dxa"/>
              <w:right w:w="28" w:type="dxa"/>
            </w:tcMar>
            <w:vAlign w:val="center"/>
          </w:tcPr>
          <w:p w:rsidR="00AE73AA" w:rsidRPr="0022357A" w:rsidRDefault="00AE73AA" w:rsidP="00A65DFB">
            <w:pPr>
              <w:pStyle w:val="Tabletext"/>
              <w:keepNext/>
              <w:jc w:val="center"/>
              <w:rPr>
                <w:b/>
              </w:rPr>
            </w:pPr>
            <w:r w:rsidRPr="0022357A">
              <w:rPr>
                <w:b/>
              </w:rPr>
              <w:t>Vorinostat</w:t>
            </w:r>
          </w:p>
        </w:tc>
      </w:tr>
      <w:tr w:rsidR="00AE73AA" w:rsidRPr="0022357A" w:rsidTr="00A91A99">
        <w:trPr>
          <w:cantSplit/>
        </w:trPr>
        <w:tc>
          <w:tcPr>
            <w:tcW w:w="705" w:type="pct"/>
            <w:vMerge/>
            <w:tcMar>
              <w:left w:w="28" w:type="dxa"/>
              <w:right w:w="28" w:type="dxa"/>
            </w:tcMar>
            <w:vAlign w:val="center"/>
          </w:tcPr>
          <w:p w:rsidR="00AE73AA" w:rsidRPr="0022357A" w:rsidRDefault="00AE73AA" w:rsidP="00A65DFB">
            <w:pPr>
              <w:pStyle w:val="Tabletext"/>
              <w:keepNext/>
            </w:pPr>
          </w:p>
        </w:tc>
        <w:tc>
          <w:tcPr>
            <w:tcW w:w="786" w:type="pct"/>
            <w:tcMar>
              <w:left w:w="28" w:type="dxa"/>
              <w:right w:w="28" w:type="dxa"/>
            </w:tcMar>
            <w:vAlign w:val="center"/>
          </w:tcPr>
          <w:p w:rsidR="00AE73AA" w:rsidRPr="0022357A" w:rsidRDefault="00AE73AA" w:rsidP="00A65DFB">
            <w:pPr>
              <w:pStyle w:val="Tabletext"/>
              <w:keepNext/>
              <w:jc w:val="center"/>
              <w:rPr>
                <w:b/>
              </w:rPr>
            </w:pPr>
            <w:r w:rsidRPr="0022357A">
              <w:rPr>
                <w:b/>
              </w:rPr>
              <w:t>ALCANZA</w:t>
            </w:r>
          </w:p>
        </w:tc>
        <w:tc>
          <w:tcPr>
            <w:tcW w:w="471" w:type="pct"/>
            <w:tcMar>
              <w:left w:w="28" w:type="dxa"/>
              <w:right w:w="28" w:type="dxa"/>
            </w:tcMar>
          </w:tcPr>
          <w:p w:rsidR="00AE73AA" w:rsidRPr="0022357A" w:rsidRDefault="00AE73AA" w:rsidP="00A65DFB">
            <w:pPr>
              <w:pStyle w:val="Tabletext"/>
              <w:keepNext/>
              <w:jc w:val="center"/>
              <w:rPr>
                <w:b/>
              </w:rPr>
            </w:pPr>
            <w:r w:rsidRPr="0022357A">
              <w:rPr>
                <w:b/>
              </w:rPr>
              <w:t>Duvic (2015)</w:t>
            </w:r>
          </w:p>
        </w:tc>
        <w:tc>
          <w:tcPr>
            <w:tcW w:w="463" w:type="pct"/>
            <w:tcBorders>
              <w:right w:val="double" w:sz="4" w:space="0" w:color="auto"/>
            </w:tcBorders>
            <w:tcMar>
              <w:left w:w="28" w:type="dxa"/>
              <w:right w:w="28" w:type="dxa"/>
            </w:tcMar>
            <w:vAlign w:val="center"/>
          </w:tcPr>
          <w:p w:rsidR="00AE73AA" w:rsidRPr="0022357A" w:rsidRDefault="00AE73AA" w:rsidP="00A65DFB">
            <w:pPr>
              <w:pStyle w:val="Tabletext"/>
              <w:keepNext/>
              <w:jc w:val="center"/>
              <w:rPr>
                <w:b/>
              </w:rPr>
            </w:pPr>
            <w:r w:rsidRPr="0022357A">
              <w:rPr>
                <w:b/>
              </w:rPr>
              <w:t>Kim (2015)</w:t>
            </w:r>
          </w:p>
        </w:tc>
        <w:tc>
          <w:tcPr>
            <w:tcW w:w="481" w:type="pct"/>
            <w:tcBorders>
              <w:left w:val="double" w:sz="4" w:space="0" w:color="auto"/>
            </w:tcBorders>
            <w:tcMar>
              <w:left w:w="28" w:type="dxa"/>
              <w:right w:w="28" w:type="dxa"/>
            </w:tcMar>
            <w:vAlign w:val="center"/>
          </w:tcPr>
          <w:p w:rsidR="00AE73AA" w:rsidRPr="0022357A" w:rsidRDefault="00AE73AA" w:rsidP="00A65DFB">
            <w:pPr>
              <w:pStyle w:val="Tabletext"/>
              <w:keepNext/>
              <w:jc w:val="center"/>
              <w:rPr>
                <w:b/>
              </w:rPr>
            </w:pPr>
            <w:r w:rsidRPr="0022357A">
              <w:rPr>
                <w:b/>
              </w:rPr>
              <w:t>MAVORIC</w:t>
            </w:r>
          </w:p>
        </w:tc>
        <w:tc>
          <w:tcPr>
            <w:tcW w:w="707" w:type="pct"/>
            <w:tcMar>
              <w:left w:w="28" w:type="dxa"/>
              <w:right w:w="28" w:type="dxa"/>
            </w:tcMar>
            <w:vAlign w:val="center"/>
          </w:tcPr>
          <w:p w:rsidR="00AE73AA" w:rsidRPr="0022357A" w:rsidRDefault="00AE73AA" w:rsidP="00A65DFB">
            <w:pPr>
              <w:pStyle w:val="Tabletext"/>
              <w:keepNext/>
              <w:jc w:val="center"/>
              <w:rPr>
                <w:b/>
              </w:rPr>
            </w:pPr>
            <w:r w:rsidRPr="0022357A">
              <w:rPr>
                <w:b/>
              </w:rPr>
              <w:t>P001</w:t>
            </w:r>
          </w:p>
        </w:tc>
        <w:tc>
          <w:tcPr>
            <w:tcW w:w="708" w:type="pct"/>
            <w:tcMar>
              <w:left w:w="28" w:type="dxa"/>
              <w:right w:w="28" w:type="dxa"/>
            </w:tcMar>
            <w:vAlign w:val="center"/>
          </w:tcPr>
          <w:p w:rsidR="00AE73AA" w:rsidRPr="0022357A" w:rsidRDefault="00AE73AA" w:rsidP="00A65DFB">
            <w:pPr>
              <w:pStyle w:val="Tabletext"/>
              <w:keepNext/>
              <w:jc w:val="center"/>
              <w:rPr>
                <w:b/>
              </w:rPr>
            </w:pPr>
            <w:r w:rsidRPr="0022357A">
              <w:rPr>
                <w:b/>
              </w:rPr>
              <w:t>P005</w:t>
            </w:r>
          </w:p>
          <w:p w:rsidR="00AE73AA" w:rsidRPr="0022357A" w:rsidRDefault="00AE73AA" w:rsidP="00A65DFB">
            <w:pPr>
              <w:pStyle w:val="Tabletext"/>
              <w:keepNext/>
              <w:jc w:val="center"/>
              <w:rPr>
                <w:b/>
              </w:rPr>
            </w:pPr>
            <w:r w:rsidRPr="0022357A">
              <w:rPr>
                <w:b/>
              </w:rPr>
              <w:t>(all patients)</w:t>
            </w:r>
          </w:p>
        </w:tc>
        <w:tc>
          <w:tcPr>
            <w:tcW w:w="679" w:type="pct"/>
            <w:tcMar>
              <w:left w:w="28" w:type="dxa"/>
              <w:right w:w="28" w:type="dxa"/>
            </w:tcMar>
          </w:tcPr>
          <w:p w:rsidR="00AE73AA" w:rsidRPr="0022357A" w:rsidRDefault="00AE73AA" w:rsidP="00A65DFB">
            <w:pPr>
              <w:pStyle w:val="Tabletext"/>
              <w:keepNext/>
              <w:jc w:val="center"/>
              <w:rPr>
                <w:b/>
              </w:rPr>
            </w:pPr>
            <w:r w:rsidRPr="0022357A">
              <w:rPr>
                <w:b/>
              </w:rPr>
              <w:t>P005</w:t>
            </w:r>
          </w:p>
          <w:p w:rsidR="00AE73AA" w:rsidRPr="0022357A" w:rsidRDefault="00AE73AA" w:rsidP="00A65DFB">
            <w:pPr>
              <w:pStyle w:val="Tabletext"/>
              <w:keepNext/>
              <w:jc w:val="center"/>
              <w:rPr>
                <w:b/>
              </w:rPr>
            </w:pPr>
            <w:r w:rsidRPr="0022357A">
              <w:rPr>
                <w:b/>
              </w:rPr>
              <w:t>(PI dose)</w:t>
            </w:r>
          </w:p>
        </w:tc>
      </w:tr>
      <w:tr w:rsidR="00AE73AA" w:rsidRPr="0022357A" w:rsidTr="00A91A99">
        <w:trPr>
          <w:cantSplit/>
        </w:trPr>
        <w:tc>
          <w:tcPr>
            <w:tcW w:w="705" w:type="pct"/>
            <w:tcMar>
              <w:left w:w="28" w:type="dxa"/>
              <w:right w:w="28" w:type="dxa"/>
            </w:tcMar>
            <w:vAlign w:val="center"/>
          </w:tcPr>
          <w:p w:rsidR="00AE73AA" w:rsidRPr="0022357A" w:rsidRDefault="00AE73AA" w:rsidP="00A65DFB">
            <w:pPr>
              <w:pStyle w:val="Tabletext"/>
              <w:keepNext/>
            </w:pPr>
            <w:r w:rsidRPr="0022357A">
              <w:t>ORR</w:t>
            </w:r>
          </w:p>
        </w:tc>
        <w:tc>
          <w:tcPr>
            <w:tcW w:w="786" w:type="pct"/>
            <w:tcMar>
              <w:left w:w="28" w:type="dxa"/>
              <w:right w:w="28" w:type="dxa"/>
            </w:tcMar>
            <w:vAlign w:val="center"/>
          </w:tcPr>
          <w:p w:rsidR="00AE73AA" w:rsidRPr="0022357A" w:rsidRDefault="00AE73AA" w:rsidP="00A65DFB">
            <w:pPr>
              <w:pStyle w:val="Tabletext"/>
              <w:keepNext/>
              <w:jc w:val="center"/>
            </w:pPr>
            <w:r w:rsidRPr="0022357A">
              <w:t xml:space="preserve">43/64 </w:t>
            </w:r>
          </w:p>
          <w:p w:rsidR="00AE73AA" w:rsidRPr="0022357A" w:rsidRDefault="00AE73AA" w:rsidP="00A65DFB">
            <w:pPr>
              <w:pStyle w:val="Tabletext"/>
              <w:keepNext/>
              <w:jc w:val="center"/>
            </w:pPr>
            <w:r w:rsidRPr="0022357A">
              <w:t xml:space="preserve">(67%) </w:t>
            </w:r>
            <w:r w:rsidRPr="0022357A">
              <w:rPr>
                <w:vertAlign w:val="superscript"/>
              </w:rPr>
              <w:t>a</w:t>
            </w:r>
          </w:p>
          <w:p w:rsidR="00AE73AA" w:rsidRPr="0022357A" w:rsidRDefault="00AE73AA" w:rsidP="00A65DFB">
            <w:pPr>
              <w:pStyle w:val="Tabletext"/>
              <w:keepNext/>
              <w:jc w:val="center"/>
            </w:pPr>
            <w:r w:rsidRPr="0022357A">
              <w:t xml:space="preserve">(95% CI: </w:t>
            </w:r>
            <w:r w:rsidR="00F72571">
              <w:rPr>
                <w:noProof/>
                <w:color w:val="000000"/>
                <w:highlight w:val="black"/>
              </w:rPr>
              <w:t>'''''</w:t>
            </w:r>
            <w:r w:rsidRPr="0022357A">
              <w:t xml:space="preserve">, </w:t>
            </w:r>
            <w:r w:rsidR="00F72571">
              <w:rPr>
                <w:noProof/>
                <w:color w:val="000000"/>
                <w:highlight w:val="black"/>
              </w:rPr>
              <w:t>''''''</w:t>
            </w:r>
            <w:r w:rsidRPr="0022357A">
              <w:t>)</w:t>
            </w:r>
          </w:p>
        </w:tc>
        <w:tc>
          <w:tcPr>
            <w:tcW w:w="471" w:type="pct"/>
            <w:tcMar>
              <w:left w:w="28" w:type="dxa"/>
              <w:right w:w="28" w:type="dxa"/>
            </w:tcMar>
          </w:tcPr>
          <w:p w:rsidR="00AE73AA" w:rsidRPr="0022357A" w:rsidRDefault="00AE73AA" w:rsidP="00A65DFB">
            <w:pPr>
              <w:pStyle w:val="Tabletext"/>
              <w:keepNext/>
              <w:jc w:val="center"/>
            </w:pPr>
            <w:r w:rsidRPr="0022357A">
              <w:t xml:space="preserve">35/48 (73%) </w:t>
            </w:r>
            <w:r w:rsidRPr="0022357A">
              <w:rPr>
                <w:vertAlign w:val="superscript"/>
              </w:rPr>
              <w:t>b</w:t>
            </w:r>
          </w:p>
        </w:tc>
        <w:tc>
          <w:tcPr>
            <w:tcW w:w="463" w:type="pct"/>
            <w:tcBorders>
              <w:right w:val="double" w:sz="4" w:space="0" w:color="auto"/>
            </w:tcBorders>
            <w:tcMar>
              <w:left w:w="28" w:type="dxa"/>
              <w:right w:w="28" w:type="dxa"/>
            </w:tcMar>
          </w:tcPr>
          <w:p w:rsidR="00AE73AA" w:rsidRPr="0022357A" w:rsidRDefault="00AE73AA" w:rsidP="00A65DFB">
            <w:pPr>
              <w:pStyle w:val="Tabletext"/>
              <w:keepNext/>
              <w:jc w:val="center"/>
            </w:pPr>
            <w:r w:rsidRPr="0022357A">
              <w:t xml:space="preserve">21/30 </w:t>
            </w:r>
          </w:p>
          <w:p w:rsidR="00AE73AA" w:rsidRPr="0022357A" w:rsidRDefault="00AE73AA" w:rsidP="00A65DFB">
            <w:pPr>
              <w:pStyle w:val="Tabletext"/>
              <w:keepNext/>
              <w:jc w:val="center"/>
              <w:rPr>
                <w:vertAlign w:val="superscript"/>
              </w:rPr>
            </w:pPr>
            <w:r w:rsidRPr="0022357A">
              <w:t xml:space="preserve">(70%) </w:t>
            </w:r>
            <w:r w:rsidRPr="0022357A">
              <w:rPr>
                <w:vertAlign w:val="superscript"/>
              </w:rPr>
              <w:t>b</w:t>
            </w:r>
          </w:p>
        </w:tc>
        <w:tc>
          <w:tcPr>
            <w:tcW w:w="481" w:type="pct"/>
            <w:tcBorders>
              <w:left w:val="double" w:sz="4" w:space="0" w:color="auto"/>
            </w:tcBorders>
            <w:tcMar>
              <w:left w:w="28" w:type="dxa"/>
              <w:right w:w="28" w:type="dxa"/>
            </w:tcMar>
          </w:tcPr>
          <w:p w:rsidR="00AE73AA" w:rsidRPr="0022357A" w:rsidRDefault="00AE73AA" w:rsidP="00A65DFB">
            <w:pPr>
              <w:pStyle w:val="Tabletext"/>
              <w:keepNext/>
              <w:jc w:val="center"/>
            </w:pPr>
            <w:r w:rsidRPr="0022357A">
              <w:t>9/186</w:t>
            </w:r>
          </w:p>
          <w:p w:rsidR="00AE73AA" w:rsidRPr="0022357A" w:rsidRDefault="00AE73AA" w:rsidP="00A65DFB">
            <w:pPr>
              <w:pStyle w:val="Tabletext"/>
              <w:keepNext/>
              <w:jc w:val="center"/>
            </w:pPr>
            <w:r w:rsidRPr="0022357A">
              <w:t xml:space="preserve">(4.8%) </w:t>
            </w:r>
            <w:r w:rsidRPr="0022357A">
              <w:rPr>
                <w:vertAlign w:val="superscript"/>
              </w:rPr>
              <w:t>a</w:t>
            </w:r>
          </w:p>
        </w:tc>
        <w:tc>
          <w:tcPr>
            <w:tcW w:w="707" w:type="pct"/>
            <w:tcMar>
              <w:left w:w="28" w:type="dxa"/>
              <w:right w:w="28" w:type="dxa"/>
            </w:tcMar>
            <w:vAlign w:val="center"/>
          </w:tcPr>
          <w:p w:rsidR="00AE73AA" w:rsidRPr="0022357A" w:rsidRDefault="00AE73AA" w:rsidP="00A65DFB">
            <w:pPr>
              <w:pStyle w:val="Tabletext"/>
              <w:keepNext/>
              <w:jc w:val="center"/>
            </w:pPr>
            <w:r w:rsidRPr="0022357A">
              <w:t xml:space="preserve">22/74 </w:t>
            </w:r>
          </w:p>
          <w:p w:rsidR="00AE73AA" w:rsidRPr="0022357A" w:rsidRDefault="00AE73AA" w:rsidP="00A65DFB">
            <w:pPr>
              <w:pStyle w:val="Tabletext"/>
              <w:keepNext/>
              <w:jc w:val="center"/>
            </w:pPr>
            <w:r w:rsidRPr="0022357A">
              <w:t>(30%)</w:t>
            </w:r>
          </w:p>
          <w:p w:rsidR="00AE73AA" w:rsidRPr="0022357A" w:rsidRDefault="00AE73AA" w:rsidP="00A65DFB">
            <w:pPr>
              <w:pStyle w:val="Tabletext"/>
              <w:keepNext/>
              <w:jc w:val="center"/>
            </w:pPr>
            <w:r w:rsidRPr="0022357A">
              <w:t>(95% CI: 20, 42)</w:t>
            </w:r>
          </w:p>
        </w:tc>
        <w:tc>
          <w:tcPr>
            <w:tcW w:w="708" w:type="pct"/>
            <w:tcMar>
              <w:left w:w="28" w:type="dxa"/>
              <w:right w:w="28" w:type="dxa"/>
            </w:tcMar>
          </w:tcPr>
          <w:p w:rsidR="00AE73AA" w:rsidRPr="0022357A" w:rsidRDefault="00AE73AA" w:rsidP="00A65DFB">
            <w:pPr>
              <w:pStyle w:val="Tabletext"/>
              <w:keepNext/>
              <w:jc w:val="center"/>
            </w:pPr>
            <w:r w:rsidRPr="0022357A">
              <w:t xml:space="preserve">8/33 </w:t>
            </w:r>
          </w:p>
          <w:p w:rsidR="00AE73AA" w:rsidRPr="0022357A" w:rsidRDefault="00AE73AA" w:rsidP="00A65DFB">
            <w:pPr>
              <w:pStyle w:val="Tabletext"/>
              <w:keepNext/>
              <w:jc w:val="center"/>
            </w:pPr>
            <w:r w:rsidRPr="0022357A">
              <w:t xml:space="preserve">(24%) </w:t>
            </w:r>
            <w:proofErr w:type="spellStart"/>
            <w:r w:rsidRPr="0022357A">
              <w:rPr>
                <w:vertAlign w:val="superscript"/>
              </w:rPr>
              <w:t>b,c</w:t>
            </w:r>
            <w:proofErr w:type="spellEnd"/>
          </w:p>
          <w:p w:rsidR="00AE73AA" w:rsidRPr="0022357A" w:rsidRDefault="00AE73AA" w:rsidP="00A65DFB">
            <w:pPr>
              <w:pStyle w:val="Tabletext"/>
              <w:keepNext/>
              <w:jc w:val="center"/>
            </w:pPr>
            <w:r w:rsidRPr="0022357A">
              <w:t>(95% CI: 11, 42)</w:t>
            </w:r>
          </w:p>
        </w:tc>
        <w:tc>
          <w:tcPr>
            <w:tcW w:w="679" w:type="pct"/>
            <w:tcMar>
              <w:left w:w="28" w:type="dxa"/>
              <w:right w:w="28" w:type="dxa"/>
            </w:tcMar>
            <w:vAlign w:val="center"/>
          </w:tcPr>
          <w:p w:rsidR="00AE73AA" w:rsidRPr="0022357A" w:rsidRDefault="00AE73AA" w:rsidP="00A65DFB">
            <w:pPr>
              <w:pStyle w:val="Tabletext"/>
              <w:keepNext/>
              <w:jc w:val="center"/>
            </w:pPr>
            <w:r w:rsidRPr="0022357A">
              <w:t xml:space="preserve">4/13 </w:t>
            </w:r>
          </w:p>
          <w:p w:rsidR="00AE73AA" w:rsidRPr="0022357A" w:rsidRDefault="00AE73AA" w:rsidP="00A65DFB">
            <w:pPr>
              <w:pStyle w:val="Tabletext"/>
              <w:keepNext/>
              <w:jc w:val="center"/>
            </w:pPr>
            <w:r w:rsidRPr="0022357A">
              <w:t xml:space="preserve">(31%) </w:t>
            </w:r>
            <w:proofErr w:type="spellStart"/>
            <w:r w:rsidRPr="0022357A">
              <w:rPr>
                <w:vertAlign w:val="superscript"/>
              </w:rPr>
              <w:t>b,c</w:t>
            </w:r>
            <w:proofErr w:type="spellEnd"/>
          </w:p>
          <w:p w:rsidR="00AE73AA" w:rsidRPr="0022357A" w:rsidRDefault="00AE73AA" w:rsidP="00A65DFB">
            <w:pPr>
              <w:pStyle w:val="Tabletext"/>
              <w:keepNext/>
              <w:jc w:val="center"/>
            </w:pPr>
            <w:r w:rsidRPr="0022357A">
              <w:t>(95% CI: 9, 61)</w:t>
            </w:r>
          </w:p>
        </w:tc>
      </w:tr>
      <w:tr w:rsidR="00AE73AA" w:rsidRPr="0022357A" w:rsidTr="00A91A99">
        <w:trPr>
          <w:cantSplit/>
        </w:trPr>
        <w:tc>
          <w:tcPr>
            <w:tcW w:w="705" w:type="pct"/>
            <w:tcMar>
              <w:left w:w="28" w:type="dxa"/>
              <w:right w:w="28" w:type="dxa"/>
            </w:tcMar>
            <w:vAlign w:val="center"/>
          </w:tcPr>
          <w:p w:rsidR="00AE73AA" w:rsidRPr="0022357A" w:rsidRDefault="00AE73AA" w:rsidP="00A65DFB">
            <w:pPr>
              <w:pStyle w:val="Tabletext"/>
              <w:keepNext/>
            </w:pPr>
            <w:r w:rsidRPr="0022357A">
              <w:t>CR</w:t>
            </w:r>
          </w:p>
        </w:tc>
        <w:tc>
          <w:tcPr>
            <w:tcW w:w="786" w:type="pct"/>
            <w:tcMar>
              <w:left w:w="28" w:type="dxa"/>
              <w:right w:w="28" w:type="dxa"/>
            </w:tcMar>
            <w:vAlign w:val="center"/>
          </w:tcPr>
          <w:p w:rsidR="00AE73AA" w:rsidRPr="0022357A" w:rsidRDefault="00AE73AA" w:rsidP="00A65DFB">
            <w:pPr>
              <w:pStyle w:val="Tabletext"/>
              <w:keepNext/>
              <w:jc w:val="center"/>
            </w:pPr>
            <w:r w:rsidRPr="0022357A">
              <w:t xml:space="preserve">10/64 </w:t>
            </w:r>
          </w:p>
          <w:p w:rsidR="00AE73AA" w:rsidRPr="0022357A" w:rsidRDefault="00AE73AA" w:rsidP="00A65DFB">
            <w:pPr>
              <w:pStyle w:val="Tabletext"/>
              <w:keepNext/>
              <w:jc w:val="center"/>
            </w:pPr>
            <w:r w:rsidRPr="0022357A">
              <w:t xml:space="preserve">(16%) </w:t>
            </w:r>
            <w:r w:rsidRPr="0022357A">
              <w:rPr>
                <w:vertAlign w:val="superscript"/>
              </w:rPr>
              <w:t>a</w:t>
            </w:r>
          </w:p>
          <w:p w:rsidR="00AE73AA" w:rsidRPr="0022357A" w:rsidRDefault="00AE73AA" w:rsidP="00A65DFB">
            <w:pPr>
              <w:pStyle w:val="Tabletext"/>
              <w:keepNext/>
              <w:jc w:val="center"/>
            </w:pPr>
            <w:r w:rsidRPr="0022357A">
              <w:t xml:space="preserve">(95% CI: </w:t>
            </w:r>
            <w:r w:rsidR="00F72571">
              <w:rPr>
                <w:noProof/>
                <w:color w:val="000000"/>
                <w:highlight w:val="black"/>
              </w:rPr>
              <w:t>''''</w:t>
            </w:r>
            <w:r w:rsidRPr="0022357A">
              <w:t xml:space="preserve">, </w:t>
            </w:r>
            <w:r w:rsidR="00F72571">
              <w:rPr>
                <w:noProof/>
                <w:color w:val="000000"/>
                <w:highlight w:val="black"/>
              </w:rPr>
              <w:t>''''''</w:t>
            </w:r>
            <w:r w:rsidRPr="0022357A">
              <w:t>)</w:t>
            </w:r>
          </w:p>
        </w:tc>
        <w:tc>
          <w:tcPr>
            <w:tcW w:w="471" w:type="pct"/>
            <w:tcMar>
              <w:left w:w="28" w:type="dxa"/>
              <w:right w:w="28" w:type="dxa"/>
            </w:tcMar>
          </w:tcPr>
          <w:p w:rsidR="00AE73AA" w:rsidRPr="0022357A" w:rsidRDefault="00AE73AA" w:rsidP="00A65DFB">
            <w:pPr>
              <w:pStyle w:val="Tabletext"/>
              <w:keepNext/>
              <w:jc w:val="center"/>
            </w:pPr>
            <w:r w:rsidRPr="0022357A">
              <w:t xml:space="preserve">17/48 (35%) </w:t>
            </w:r>
            <w:r w:rsidRPr="0022357A">
              <w:rPr>
                <w:vertAlign w:val="superscript"/>
              </w:rPr>
              <w:t>b</w:t>
            </w:r>
          </w:p>
        </w:tc>
        <w:tc>
          <w:tcPr>
            <w:tcW w:w="463" w:type="pct"/>
            <w:tcBorders>
              <w:right w:val="double" w:sz="4" w:space="0" w:color="auto"/>
            </w:tcBorders>
            <w:tcMar>
              <w:left w:w="28" w:type="dxa"/>
              <w:right w:w="28" w:type="dxa"/>
            </w:tcMar>
          </w:tcPr>
          <w:p w:rsidR="00AE73AA" w:rsidRPr="0022357A" w:rsidRDefault="00AE73AA" w:rsidP="00A65DFB">
            <w:pPr>
              <w:pStyle w:val="Tabletext"/>
              <w:keepNext/>
              <w:jc w:val="center"/>
            </w:pPr>
            <w:r w:rsidRPr="0022357A">
              <w:t xml:space="preserve">1/30 </w:t>
            </w:r>
            <w:r w:rsidRPr="0022357A">
              <w:br/>
              <w:t xml:space="preserve">(3%) </w:t>
            </w:r>
            <w:r w:rsidRPr="0022357A">
              <w:rPr>
                <w:vertAlign w:val="superscript"/>
              </w:rPr>
              <w:t>b</w:t>
            </w:r>
          </w:p>
        </w:tc>
        <w:tc>
          <w:tcPr>
            <w:tcW w:w="481" w:type="pct"/>
            <w:tcBorders>
              <w:lef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707" w:type="pct"/>
            <w:tcMar>
              <w:left w:w="28" w:type="dxa"/>
              <w:right w:w="28" w:type="dxa"/>
            </w:tcMar>
          </w:tcPr>
          <w:p w:rsidR="00AE73AA" w:rsidRPr="0022357A" w:rsidRDefault="00AE73AA" w:rsidP="00A65DFB">
            <w:pPr>
              <w:pStyle w:val="Tabletext"/>
              <w:keepNext/>
              <w:jc w:val="center"/>
            </w:pPr>
            <w:r w:rsidRPr="0022357A">
              <w:t>1/74</w:t>
            </w:r>
          </w:p>
          <w:p w:rsidR="00AE73AA" w:rsidRPr="0022357A" w:rsidRDefault="00AE73AA" w:rsidP="00A65DFB">
            <w:pPr>
              <w:pStyle w:val="Tabletext"/>
              <w:keepNext/>
              <w:jc w:val="center"/>
            </w:pPr>
            <w:r w:rsidRPr="0022357A">
              <w:t xml:space="preserve">(1%) </w:t>
            </w:r>
            <w:proofErr w:type="spellStart"/>
            <w:r w:rsidRPr="0022357A">
              <w:rPr>
                <w:vertAlign w:val="superscript"/>
              </w:rPr>
              <w:t>b,c</w:t>
            </w:r>
            <w:proofErr w:type="spellEnd"/>
          </w:p>
        </w:tc>
        <w:tc>
          <w:tcPr>
            <w:tcW w:w="708" w:type="pct"/>
            <w:tcMar>
              <w:left w:w="28" w:type="dxa"/>
              <w:right w:w="28" w:type="dxa"/>
            </w:tcMar>
          </w:tcPr>
          <w:p w:rsidR="00AE73AA" w:rsidRPr="0022357A" w:rsidRDefault="00AE73AA" w:rsidP="00A65DFB">
            <w:pPr>
              <w:pStyle w:val="Tabletext"/>
              <w:keepNext/>
              <w:jc w:val="center"/>
            </w:pPr>
            <w:r w:rsidRPr="0022357A">
              <w:t>0/33</w:t>
            </w:r>
          </w:p>
          <w:p w:rsidR="00AE73AA" w:rsidRPr="0022357A" w:rsidRDefault="00AE73AA" w:rsidP="00A65DFB">
            <w:pPr>
              <w:pStyle w:val="Tabletext"/>
              <w:keepNext/>
              <w:jc w:val="center"/>
            </w:pPr>
            <w:r w:rsidRPr="0022357A">
              <w:t>(0%)</w:t>
            </w:r>
            <w:r w:rsidRPr="0022357A">
              <w:rPr>
                <w:vertAlign w:val="superscript"/>
              </w:rPr>
              <w:t xml:space="preserve"> </w:t>
            </w:r>
            <w:proofErr w:type="spellStart"/>
            <w:r w:rsidRPr="0022357A">
              <w:rPr>
                <w:vertAlign w:val="superscript"/>
              </w:rPr>
              <w:t>b,c</w:t>
            </w:r>
            <w:proofErr w:type="spellEnd"/>
          </w:p>
        </w:tc>
        <w:tc>
          <w:tcPr>
            <w:tcW w:w="679" w:type="pct"/>
            <w:tcMar>
              <w:left w:w="28" w:type="dxa"/>
              <w:right w:w="28" w:type="dxa"/>
            </w:tcMar>
          </w:tcPr>
          <w:p w:rsidR="00AE73AA" w:rsidRPr="0022357A" w:rsidRDefault="00AE73AA" w:rsidP="00A65DFB">
            <w:pPr>
              <w:pStyle w:val="Tabletext"/>
              <w:keepNext/>
              <w:jc w:val="center"/>
            </w:pPr>
            <w:r w:rsidRPr="0022357A">
              <w:t>0/13</w:t>
            </w:r>
          </w:p>
          <w:p w:rsidR="00AE73AA" w:rsidRPr="0022357A" w:rsidRDefault="00AE73AA" w:rsidP="00A65DFB">
            <w:pPr>
              <w:pStyle w:val="Tabletext"/>
              <w:keepNext/>
              <w:jc w:val="center"/>
            </w:pPr>
            <w:r w:rsidRPr="0022357A">
              <w:t>(0%)</w:t>
            </w:r>
            <w:r w:rsidRPr="0022357A">
              <w:rPr>
                <w:vertAlign w:val="superscript"/>
              </w:rPr>
              <w:t xml:space="preserve"> </w:t>
            </w:r>
            <w:proofErr w:type="spellStart"/>
            <w:r w:rsidRPr="0022357A">
              <w:rPr>
                <w:vertAlign w:val="superscript"/>
              </w:rPr>
              <w:t>b,c</w:t>
            </w:r>
            <w:proofErr w:type="spellEnd"/>
          </w:p>
        </w:tc>
      </w:tr>
      <w:tr w:rsidR="00AE73AA" w:rsidRPr="0022357A" w:rsidTr="00A91A99">
        <w:trPr>
          <w:cantSplit/>
        </w:trPr>
        <w:tc>
          <w:tcPr>
            <w:tcW w:w="705" w:type="pct"/>
            <w:tcMar>
              <w:left w:w="28" w:type="dxa"/>
              <w:right w:w="28" w:type="dxa"/>
            </w:tcMar>
            <w:vAlign w:val="center"/>
          </w:tcPr>
          <w:p w:rsidR="00AE73AA" w:rsidRPr="0022357A" w:rsidRDefault="00AE73AA" w:rsidP="00A65DFB">
            <w:pPr>
              <w:pStyle w:val="Tabletext"/>
              <w:keepNext/>
            </w:pPr>
            <w:r w:rsidRPr="0022357A">
              <w:t>PR</w:t>
            </w:r>
          </w:p>
        </w:tc>
        <w:tc>
          <w:tcPr>
            <w:tcW w:w="786" w:type="pct"/>
            <w:tcMar>
              <w:left w:w="28" w:type="dxa"/>
              <w:right w:w="28" w:type="dxa"/>
            </w:tcMar>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 xml:space="preserve">'''''' </w:t>
            </w:r>
          </w:p>
          <w:p w:rsidR="00AE73AA" w:rsidRPr="0022357A" w:rsidRDefault="00AE73AA" w:rsidP="00A65DFB">
            <w:pPr>
              <w:pStyle w:val="Tabletext"/>
              <w:keepNext/>
              <w:jc w:val="center"/>
            </w:pPr>
            <w:r w:rsidRPr="0022357A">
              <w:t>(</w:t>
            </w:r>
            <w:r w:rsidR="00F72571">
              <w:rPr>
                <w:noProof/>
                <w:color w:val="000000"/>
                <w:highlight w:val="black"/>
              </w:rPr>
              <w:t>'''''''</w:t>
            </w:r>
            <w:r w:rsidRPr="0022357A">
              <w:t xml:space="preserve">%) </w:t>
            </w:r>
            <w:r w:rsidRPr="0022357A">
              <w:rPr>
                <w:vertAlign w:val="superscript"/>
              </w:rPr>
              <w:t>a</w:t>
            </w:r>
          </w:p>
          <w:p w:rsidR="00AE73AA" w:rsidRPr="0022357A" w:rsidRDefault="00AE73AA" w:rsidP="00A65DFB">
            <w:pPr>
              <w:pStyle w:val="Tabletext"/>
              <w:keepNext/>
              <w:jc w:val="center"/>
            </w:pPr>
            <w:r w:rsidRPr="0022357A">
              <w:t xml:space="preserve">(95% CI: </w:t>
            </w:r>
            <w:r w:rsidR="00F72571">
              <w:rPr>
                <w:noProof/>
                <w:color w:val="000000"/>
                <w:highlight w:val="black"/>
              </w:rPr>
              <w:t>''''''</w:t>
            </w:r>
            <w:r w:rsidRPr="0022357A">
              <w:t xml:space="preserve">, </w:t>
            </w:r>
            <w:r w:rsidR="00F72571">
              <w:rPr>
                <w:noProof/>
                <w:color w:val="000000"/>
                <w:highlight w:val="black"/>
              </w:rPr>
              <w:t>''''''</w:t>
            </w:r>
            <w:r w:rsidRPr="0022357A">
              <w:t>)</w:t>
            </w:r>
          </w:p>
        </w:tc>
        <w:tc>
          <w:tcPr>
            <w:tcW w:w="471" w:type="pct"/>
            <w:tcMar>
              <w:left w:w="28" w:type="dxa"/>
              <w:right w:w="28" w:type="dxa"/>
            </w:tcMar>
          </w:tcPr>
          <w:p w:rsidR="00AE73AA" w:rsidRPr="0022357A" w:rsidRDefault="00AE73AA" w:rsidP="00A65DFB">
            <w:pPr>
              <w:pStyle w:val="Tabletext"/>
              <w:keepNext/>
              <w:jc w:val="center"/>
            </w:pPr>
            <w:r w:rsidRPr="0022357A">
              <w:t xml:space="preserve">18/48 (38%) </w:t>
            </w:r>
            <w:r w:rsidRPr="0022357A">
              <w:rPr>
                <w:vertAlign w:val="superscript"/>
              </w:rPr>
              <w:t>b</w:t>
            </w:r>
          </w:p>
        </w:tc>
        <w:tc>
          <w:tcPr>
            <w:tcW w:w="463" w:type="pct"/>
            <w:tcBorders>
              <w:right w:val="double" w:sz="4" w:space="0" w:color="auto"/>
            </w:tcBorders>
            <w:tcMar>
              <w:left w:w="28" w:type="dxa"/>
              <w:right w:w="28" w:type="dxa"/>
            </w:tcMar>
          </w:tcPr>
          <w:p w:rsidR="00AE73AA" w:rsidRPr="0022357A" w:rsidRDefault="00AE73AA" w:rsidP="00A65DFB">
            <w:pPr>
              <w:pStyle w:val="Tabletext"/>
              <w:keepNext/>
              <w:jc w:val="center"/>
            </w:pPr>
            <w:r w:rsidRPr="0022357A">
              <w:t xml:space="preserve">20/30 (67%) </w:t>
            </w:r>
            <w:r w:rsidRPr="0022357A">
              <w:rPr>
                <w:vertAlign w:val="superscript"/>
              </w:rPr>
              <w:t>b</w:t>
            </w:r>
          </w:p>
        </w:tc>
        <w:tc>
          <w:tcPr>
            <w:tcW w:w="481" w:type="pct"/>
            <w:tcBorders>
              <w:lef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707" w:type="pct"/>
            <w:tcMar>
              <w:left w:w="28" w:type="dxa"/>
              <w:right w:w="28" w:type="dxa"/>
            </w:tcMar>
          </w:tcPr>
          <w:p w:rsidR="00AE73AA" w:rsidRPr="0022357A" w:rsidRDefault="00AE73AA" w:rsidP="00A65DFB">
            <w:pPr>
              <w:pStyle w:val="Tabletext"/>
              <w:keepNext/>
              <w:jc w:val="center"/>
            </w:pPr>
            <w:r w:rsidRPr="0022357A">
              <w:t>21/74</w:t>
            </w:r>
          </w:p>
          <w:p w:rsidR="00AE73AA" w:rsidRPr="0022357A" w:rsidRDefault="00AE73AA" w:rsidP="00A65DFB">
            <w:pPr>
              <w:pStyle w:val="Tabletext"/>
              <w:keepNext/>
              <w:jc w:val="center"/>
            </w:pPr>
            <w:r w:rsidRPr="0022357A">
              <w:t xml:space="preserve">(28%) </w:t>
            </w:r>
            <w:proofErr w:type="spellStart"/>
            <w:r w:rsidRPr="0022357A">
              <w:rPr>
                <w:vertAlign w:val="superscript"/>
              </w:rPr>
              <w:t>b,c</w:t>
            </w:r>
            <w:proofErr w:type="spellEnd"/>
          </w:p>
        </w:tc>
        <w:tc>
          <w:tcPr>
            <w:tcW w:w="708" w:type="pct"/>
            <w:tcMar>
              <w:left w:w="28" w:type="dxa"/>
              <w:right w:w="28" w:type="dxa"/>
            </w:tcMar>
            <w:vAlign w:val="center"/>
          </w:tcPr>
          <w:p w:rsidR="00AE73AA" w:rsidRPr="0022357A" w:rsidRDefault="00AE73AA" w:rsidP="00A65DFB">
            <w:pPr>
              <w:pStyle w:val="Tabletext"/>
              <w:keepNext/>
              <w:jc w:val="center"/>
            </w:pPr>
            <w:r w:rsidRPr="0022357A">
              <w:t xml:space="preserve">8/33 </w:t>
            </w:r>
          </w:p>
          <w:p w:rsidR="00AE73AA" w:rsidRPr="0022357A" w:rsidRDefault="00AE73AA" w:rsidP="00A65DFB">
            <w:pPr>
              <w:pStyle w:val="Tabletext"/>
              <w:keepNext/>
              <w:jc w:val="center"/>
            </w:pPr>
            <w:r w:rsidRPr="0022357A">
              <w:t xml:space="preserve">(24%) </w:t>
            </w:r>
            <w:proofErr w:type="spellStart"/>
            <w:r w:rsidRPr="0022357A">
              <w:rPr>
                <w:vertAlign w:val="superscript"/>
              </w:rPr>
              <w:t>b,c</w:t>
            </w:r>
            <w:proofErr w:type="spellEnd"/>
            <w:r w:rsidRPr="0022357A">
              <w:t xml:space="preserve"> </w:t>
            </w:r>
            <w:r w:rsidRPr="0022357A">
              <w:br/>
              <w:t>(95% CI: 11, 42)</w:t>
            </w:r>
          </w:p>
        </w:tc>
        <w:tc>
          <w:tcPr>
            <w:tcW w:w="679" w:type="pct"/>
            <w:tcMar>
              <w:left w:w="28" w:type="dxa"/>
              <w:right w:w="28" w:type="dxa"/>
            </w:tcMar>
            <w:vAlign w:val="center"/>
          </w:tcPr>
          <w:p w:rsidR="00AE73AA" w:rsidRPr="0022357A" w:rsidRDefault="00AE73AA" w:rsidP="00A65DFB">
            <w:pPr>
              <w:pStyle w:val="Tabletext"/>
              <w:keepNext/>
              <w:jc w:val="center"/>
            </w:pPr>
            <w:r w:rsidRPr="0022357A">
              <w:t xml:space="preserve">4/13 </w:t>
            </w:r>
          </w:p>
          <w:p w:rsidR="00AE73AA" w:rsidRPr="0022357A" w:rsidRDefault="00AE73AA" w:rsidP="00A65DFB">
            <w:pPr>
              <w:pStyle w:val="Tabletext"/>
              <w:keepNext/>
              <w:jc w:val="center"/>
            </w:pPr>
            <w:r w:rsidRPr="0022357A">
              <w:t xml:space="preserve">(31%) </w:t>
            </w:r>
            <w:proofErr w:type="spellStart"/>
            <w:r w:rsidRPr="0022357A">
              <w:rPr>
                <w:vertAlign w:val="superscript"/>
              </w:rPr>
              <w:t>b,c</w:t>
            </w:r>
            <w:proofErr w:type="spellEnd"/>
            <w:r w:rsidRPr="0022357A">
              <w:t xml:space="preserve"> </w:t>
            </w:r>
            <w:r w:rsidRPr="0022357A">
              <w:br/>
              <w:t>(95% CI: 9, 61)</w:t>
            </w:r>
          </w:p>
        </w:tc>
      </w:tr>
      <w:tr w:rsidR="00AE73AA" w:rsidRPr="0022357A" w:rsidTr="00A91A99">
        <w:trPr>
          <w:cantSplit/>
        </w:trPr>
        <w:tc>
          <w:tcPr>
            <w:tcW w:w="705" w:type="pct"/>
            <w:tcMar>
              <w:left w:w="28" w:type="dxa"/>
              <w:right w:w="28" w:type="dxa"/>
            </w:tcMar>
            <w:vAlign w:val="center"/>
          </w:tcPr>
          <w:p w:rsidR="00AE73AA" w:rsidRPr="0022357A" w:rsidRDefault="00AE73AA" w:rsidP="00A65DFB">
            <w:pPr>
              <w:pStyle w:val="Tabletext"/>
              <w:keepNext/>
              <w:rPr>
                <w:vertAlign w:val="superscript"/>
              </w:rPr>
            </w:pPr>
            <w:r w:rsidRPr="0022357A">
              <w:t>≥ 25% mSWAT  decrease </w:t>
            </w:r>
            <w:r w:rsidRPr="0022357A">
              <w:rPr>
                <w:vertAlign w:val="superscript"/>
              </w:rPr>
              <w:t>d</w:t>
            </w:r>
          </w:p>
        </w:tc>
        <w:tc>
          <w:tcPr>
            <w:tcW w:w="786" w:type="pct"/>
            <w:tcMar>
              <w:left w:w="28" w:type="dxa"/>
              <w:right w:w="28" w:type="dxa"/>
            </w:tcMar>
            <w:vAlign w:val="center"/>
          </w:tcPr>
          <w:p w:rsidR="00AE73AA" w:rsidRPr="0022357A" w:rsidRDefault="00F72571" w:rsidP="00A65DFB">
            <w:pPr>
              <w:pStyle w:val="Tabletext"/>
              <w:keepNext/>
              <w:jc w:val="center"/>
              <w:rPr>
                <w:vertAlign w:val="superscript"/>
              </w:rPr>
            </w:pPr>
            <w:r>
              <w:rPr>
                <w:noProof/>
                <w:color w:val="000000"/>
                <w:highlight w:val="black"/>
              </w:rPr>
              <w:t>'''''</w:t>
            </w:r>
            <w:r w:rsidR="00AE73AA" w:rsidRPr="0022357A">
              <w:t xml:space="preserve">% </w:t>
            </w:r>
            <w:r w:rsidR="00AE73AA" w:rsidRPr="0022357A">
              <w:rPr>
                <w:vertAlign w:val="superscript"/>
              </w:rPr>
              <w:t>b</w:t>
            </w:r>
          </w:p>
        </w:tc>
        <w:tc>
          <w:tcPr>
            <w:tcW w:w="471" w:type="pct"/>
            <w:tcMar>
              <w:left w:w="28" w:type="dxa"/>
              <w:right w:w="28" w:type="dxa"/>
            </w:tcMar>
            <w:vAlign w:val="center"/>
          </w:tcPr>
          <w:p w:rsidR="00AE73AA" w:rsidRPr="0022357A" w:rsidRDefault="00AE73AA" w:rsidP="00A65DFB">
            <w:pPr>
              <w:pStyle w:val="Tabletext"/>
              <w:keepNext/>
              <w:jc w:val="center"/>
            </w:pPr>
            <w:r w:rsidRPr="0022357A">
              <w:t>NR</w:t>
            </w:r>
          </w:p>
        </w:tc>
        <w:tc>
          <w:tcPr>
            <w:tcW w:w="463" w:type="pct"/>
            <w:tcBorders>
              <w:righ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481" w:type="pct"/>
            <w:tcBorders>
              <w:lef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1415" w:type="pct"/>
            <w:gridSpan w:val="2"/>
            <w:tcMar>
              <w:left w:w="28" w:type="dxa"/>
              <w:right w:w="28" w:type="dxa"/>
            </w:tcMar>
            <w:vAlign w:val="center"/>
          </w:tcPr>
          <w:p w:rsidR="00AE73AA" w:rsidRPr="0022357A" w:rsidRDefault="00AE73AA" w:rsidP="00A65DFB">
            <w:pPr>
              <w:pStyle w:val="Tabletext"/>
              <w:keepNext/>
              <w:jc w:val="center"/>
              <w:rPr>
                <w:vertAlign w:val="superscript"/>
              </w:rPr>
            </w:pPr>
            <w:r w:rsidRPr="0022357A">
              <w:t xml:space="preserve">49% </w:t>
            </w:r>
            <w:r w:rsidRPr="0022357A">
              <w:rPr>
                <w:vertAlign w:val="superscript"/>
              </w:rPr>
              <w:t>d</w:t>
            </w:r>
          </w:p>
        </w:tc>
        <w:tc>
          <w:tcPr>
            <w:tcW w:w="679" w:type="pct"/>
            <w:tcMar>
              <w:left w:w="28" w:type="dxa"/>
              <w:right w:w="28" w:type="dxa"/>
            </w:tcMar>
            <w:vAlign w:val="center"/>
          </w:tcPr>
          <w:p w:rsidR="00AE73AA" w:rsidRPr="0022357A" w:rsidRDefault="00AE73AA" w:rsidP="00A65DFB">
            <w:pPr>
              <w:pStyle w:val="Tabletext"/>
              <w:keepNext/>
              <w:jc w:val="center"/>
            </w:pPr>
            <w:r w:rsidRPr="0022357A">
              <w:t>NR</w:t>
            </w:r>
          </w:p>
        </w:tc>
      </w:tr>
    </w:tbl>
    <w:p w:rsidR="00AE73AA" w:rsidRPr="0022357A" w:rsidRDefault="00AE73AA" w:rsidP="00A65DFB">
      <w:pPr>
        <w:pStyle w:val="TableFooter"/>
        <w:keepNext/>
        <w:rPr>
          <w:sz w:val="20"/>
        </w:rPr>
      </w:pPr>
      <w:r w:rsidRPr="0022357A">
        <w:t xml:space="preserve">Source: Table 2-6-1, p126 of the submission </w:t>
      </w:r>
    </w:p>
    <w:p w:rsidR="00AE73AA" w:rsidRPr="0022357A" w:rsidRDefault="00AE73AA" w:rsidP="00A65DFB">
      <w:pPr>
        <w:pStyle w:val="TableFooter"/>
        <w:keepNext/>
        <w:rPr>
          <w:rFonts w:eastAsia="Calibri"/>
        </w:rPr>
      </w:pPr>
      <w:r w:rsidRPr="0022357A">
        <w:rPr>
          <w:rFonts w:eastAsia="Calibri"/>
        </w:rPr>
        <w:t>CI = confidence interval; CR = complete response; EORTC = European Organisation for Research and Treatment of Cancer; ISCL = International Society for Cutaneous Lymphomas; n = number of participants with event; N = total participants in group; ORR = objective response rate; PR = partial response; PSD = public summary document</w:t>
      </w:r>
    </w:p>
    <w:p w:rsidR="00AE73AA" w:rsidRPr="0022357A" w:rsidRDefault="00AE73AA" w:rsidP="00A65DFB">
      <w:pPr>
        <w:pStyle w:val="TableFooter"/>
        <w:keepNext/>
        <w:rPr>
          <w:rFonts w:eastAsia="Calibri"/>
        </w:rPr>
      </w:pPr>
      <w:proofErr w:type="gramStart"/>
      <w:r w:rsidRPr="0022357A">
        <w:rPr>
          <w:rFonts w:eastAsia="Calibri"/>
          <w:vertAlign w:val="superscript"/>
        </w:rPr>
        <w:t>a</w:t>
      </w:r>
      <w:proofErr w:type="gramEnd"/>
      <w:r w:rsidRPr="0022357A">
        <w:rPr>
          <w:rFonts w:eastAsia="Calibri"/>
        </w:rPr>
        <w:t xml:space="preserve"> IRF assessment </w:t>
      </w:r>
    </w:p>
    <w:p w:rsidR="00AE73AA" w:rsidRPr="0022357A" w:rsidRDefault="00AE73AA" w:rsidP="00A65DFB">
      <w:pPr>
        <w:pStyle w:val="TableFooter"/>
        <w:keepNext/>
        <w:rPr>
          <w:rFonts w:eastAsia="Calibri"/>
        </w:rPr>
      </w:pPr>
      <w:proofErr w:type="gramStart"/>
      <w:r w:rsidRPr="0022357A">
        <w:rPr>
          <w:rFonts w:eastAsia="Calibri"/>
          <w:vertAlign w:val="superscript"/>
        </w:rPr>
        <w:t>b</w:t>
      </w:r>
      <w:proofErr w:type="gramEnd"/>
      <w:r w:rsidRPr="0022357A">
        <w:rPr>
          <w:rFonts w:eastAsia="Calibri"/>
        </w:rPr>
        <w:t xml:space="preserve"> Investigator assessment</w:t>
      </w:r>
    </w:p>
    <w:p w:rsidR="00AE73AA" w:rsidRPr="0022357A" w:rsidRDefault="00AE73AA" w:rsidP="00A65DFB">
      <w:pPr>
        <w:pStyle w:val="TableFooter"/>
        <w:keepNext/>
        <w:rPr>
          <w:rFonts w:eastAsia="Calibri"/>
        </w:rPr>
      </w:pPr>
      <w:proofErr w:type="gramStart"/>
      <w:r w:rsidRPr="0022357A">
        <w:rPr>
          <w:rFonts w:eastAsia="Calibri"/>
          <w:vertAlign w:val="superscript"/>
        </w:rPr>
        <w:t>c</w:t>
      </w:r>
      <w:proofErr w:type="gramEnd"/>
      <w:r w:rsidRPr="0022357A">
        <w:rPr>
          <w:rFonts w:eastAsia="Calibri"/>
        </w:rPr>
        <w:t xml:space="preserve"> Response not assessed according to 2011 ISCL/EORTC definitions</w:t>
      </w:r>
    </w:p>
    <w:p w:rsidR="00AE73AA" w:rsidRPr="0022357A" w:rsidRDefault="00AE73AA" w:rsidP="00A65DFB">
      <w:pPr>
        <w:pStyle w:val="TableFooter"/>
        <w:keepNext/>
        <w:rPr>
          <w:rFonts w:eastAsia="Calibri"/>
        </w:rPr>
      </w:pPr>
      <w:proofErr w:type="gramStart"/>
      <w:r w:rsidRPr="0022357A">
        <w:rPr>
          <w:rFonts w:eastAsia="Calibri"/>
          <w:vertAlign w:val="superscript"/>
        </w:rPr>
        <w:t>d</w:t>
      </w:r>
      <w:proofErr w:type="gramEnd"/>
      <w:r w:rsidRPr="0022357A">
        <w:rPr>
          <w:rFonts w:eastAsia="Calibri"/>
        </w:rPr>
        <w:t xml:space="preserve"> Outcome used in the March 2017 vorinostat </w:t>
      </w:r>
      <w:r w:rsidR="00A0488F" w:rsidRPr="0022357A">
        <w:rPr>
          <w:rFonts w:eastAsia="Calibri"/>
        </w:rPr>
        <w:t>consideration when it was recommended for listing</w:t>
      </w:r>
      <w:r w:rsidRPr="0022357A">
        <w:rPr>
          <w:rFonts w:eastAsia="Calibri"/>
        </w:rPr>
        <w:t xml:space="preserve"> (Vorinostat PSD March 2017)</w:t>
      </w:r>
    </w:p>
    <w:p w:rsidR="00AE73AA" w:rsidRPr="0022357A" w:rsidRDefault="00AE73AA" w:rsidP="00AE73AA">
      <w:pPr>
        <w:widowControl/>
        <w:rPr>
          <w:color w:val="3366FF"/>
        </w:rPr>
      </w:pPr>
    </w:p>
    <w:p w:rsidR="00AE73AA" w:rsidRPr="0022357A" w:rsidRDefault="00AE73AA" w:rsidP="00AE73AA">
      <w:pPr>
        <w:pStyle w:val="ListParagraph"/>
        <w:widowControl/>
        <w:numPr>
          <w:ilvl w:val="1"/>
          <w:numId w:val="3"/>
        </w:numPr>
      </w:pPr>
      <w:r w:rsidRPr="0022357A">
        <w:rPr>
          <w:rFonts w:cs="Calibri"/>
          <w:snapToGrid/>
          <w:szCs w:val="24"/>
          <w:lang w:eastAsia="en-AU"/>
        </w:rPr>
        <w:t>The ORR in the brentuximab vedotin studies ranged from 67</w:t>
      </w:r>
      <w:r w:rsidRPr="00511DAB">
        <w:rPr>
          <w:rFonts w:cs="Calibri"/>
          <w:snapToGrid/>
          <w:szCs w:val="24"/>
          <w:lang w:eastAsia="en-AU"/>
        </w:rPr>
        <w:t xml:space="preserve">% to 73%. </w:t>
      </w:r>
      <w:r w:rsidR="00376F88" w:rsidRPr="00511DAB">
        <w:rPr>
          <w:rFonts w:cs="Calibri"/>
          <w:snapToGrid/>
          <w:szCs w:val="24"/>
          <w:lang w:eastAsia="en-AU"/>
        </w:rPr>
        <w:t>The ESC noted t</w:t>
      </w:r>
      <w:r w:rsidRPr="00511DAB">
        <w:rPr>
          <w:rFonts w:cs="Calibri"/>
          <w:snapToGrid/>
          <w:szCs w:val="24"/>
          <w:lang w:eastAsia="en-AU"/>
        </w:rPr>
        <w:t>his was higher than the ORR in vorinostat studies, which ranged from 4.8% to 31%. The vorinostat ORR in the MAVORIC trial was substantially lower</w:t>
      </w:r>
      <w:r w:rsidRPr="0022357A">
        <w:rPr>
          <w:rFonts w:cs="Calibri"/>
          <w:snapToGrid/>
          <w:szCs w:val="24"/>
          <w:lang w:eastAsia="en-AU"/>
        </w:rPr>
        <w:t xml:space="preserve"> than the ORR in studies P001 and P005. P001 and P005 were the basis of the March 2017 PBAC recommendation for vorinostat listing on the PBS. The submission inferred that </w:t>
      </w:r>
      <w:r w:rsidR="0037083E" w:rsidRPr="0022357A">
        <w:rPr>
          <w:rFonts w:cs="Calibri"/>
          <w:snapToGrid/>
          <w:szCs w:val="24"/>
          <w:lang w:eastAsia="en-AU"/>
        </w:rPr>
        <w:t xml:space="preserve">the lower ORR in the </w:t>
      </w:r>
      <w:r w:rsidRPr="0022357A">
        <w:rPr>
          <w:rFonts w:cs="Calibri"/>
          <w:snapToGrid/>
          <w:szCs w:val="24"/>
          <w:lang w:eastAsia="en-AU"/>
        </w:rPr>
        <w:t xml:space="preserve">MAVORIC study </w:t>
      </w:r>
      <w:r w:rsidR="0037083E" w:rsidRPr="0022357A">
        <w:rPr>
          <w:rFonts w:cs="Calibri"/>
          <w:snapToGrid/>
          <w:szCs w:val="24"/>
          <w:lang w:eastAsia="en-AU"/>
        </w:rPr>
        <w:t xml:space="preserve">was due to </w:t>
      </w:r>
      <w:r w:rsidRPr="0022357A">
        <w:rPr>
          <w:rFonts w:cs="Calibri"/>
          <w:snapToGrid/>
          <w:szCs w:val="24"/>
          <w:lang w:eastAsia="en-AU"/>
        </w:rPr>
        <w:t>the “more stringent” 2011 ISCL/EORTC guideline definitions of response. However, this did not fully explain the difference in response rates. The MAVORIC trial reported that 15.6% of patients had a skin response, higher than the ORR of 4.8%</w:t>
      </w:r>
      <w:r w:rsidR="001E0E55" w:rsidRPr="0022357A">
        <w:rPr>
          <w:rFonts w:cs="Calibri"/>
          <w:snapToGrid/>
          <w:szCs w:val="24"/>
          <w:lang w:eastAsia="en-AU"/>
        </w:rPr>
        <w:t>. Study P001 did not appear to assess lymph nodes, blood or visceral disease. This suggested that</w:t>
      </w:r>
      <w:r w:rsidRPr="0022357A">
        <w:rPr>
          <w:rFonts w:cs="Calibri"/>
          <w:snapToGrid/>
          <w:szCs w:val="24"/>
          <w:lang w:eastAsia="en-AU"/>
        </w:rPr>
        <w:t xml:space="preserve"> assessment of lymph nodes, blood and visceral disease may </w:t>
      </w:r>
      <w:r w:rsidR="00D74B7D" w:rsidRPr="0022357A">
        <w:rPr>
          <w:rFonts w:cs="Calibri"/>
          <w:snapToGrid/>
          <w:szCs w:val="24"/>
          <w:lang w:eastAsia="en-AU"/>
        </w:rPr>
        <w:t xml:space="preserve">have </w:t>
      </w:r>
      <w:r w:rsidRPr="0022357A">
        <w:rPr>
          <w:rFonts w:cs="Calibri"/>
          <w:snapToGrid/>
          <w:szCs w:val="24"/>
          <w:lang w:eastAsia="en-AU"/>
        </w:rPr>
        <w:t>detect</w:t>
      </w:r>
      <w:r w:rsidR="00D74B7D" w:rsidRPr="0022357A">
        <w:rPr>
          <w:rFonts w:cs="Calibri"/>
          <w:snapToGrid/>
          <w:szCs w:val="24"/>
          <w:lang w:eastAsia="en-AU"/>
        </w:rPr>
        <w:t>ed</w:t>
      </w:r>
      <w:r w:rsidRPr="0022357A">
        <w:rPr>
          <w:rFonts w:cs="Calibri"/>
          <w:snapToGrid/>
          <w:szCs w:val="24"/>
          <w:lang w:eastAsia="en-AU"/>
        </w:rPr>
        <w:t xml:space="preserve"> a lack of global response. </w:t>
      </w:r>
      <w:r w:rsidR="00511DAB" w:rsidRPr="008704F7">
        <w:rPr>
          <w:rFonts w:cs="Calibri"/>
          <w:snapToGrid/>
          <w:szCs w:val="24"/>
          <w:lang w:eastAsia="en-AU"/>
        </w:rPr>
        <w:t xml:space="preserve">The PBAC </w:t>
      </w:r>
      <w:r w:rsidR="00300B1B" w:rsidRPr="008704F7">
        <w:rPr>
          <w:rFonts w:cs="Calibri"/>
          <w:snapToGrid/>
          <w:szCs w:val="24"/>
          <w:lang w:eastAsia="en-AU"/>
        </w:rPr>
        <w:t>considered</w:t>
      </w:r>
      <w:r w:rsidR="00511DAB" w:rsidRPr="008704F7">
        <w:rPr>
          <w:rFonts w:cs="Calibri"/>
          <w:snapToGrid/>
          <w:szCs w:val="24"/>
          <w:lang w:eastAsia="en-AU"/>
        </w:rPr>
        <w:t xml:space="preserve"> that the difference in response rates is likely to be due to the different mix of subtypes and disease stages included in the studies</w:t>
      </w:r>
      <w:r w:rsidR="00AB3CA6">
        <w:rPr>
          <w:rFonts w:cs="Calibri"/>
          <w:snapToGrid/>
          <w:szCs w:val="24"/>
          <w:lang w:eastAsia="en-AU"/>
        </w:rPr>
        <w:t xml:space="preserve">. However, the PBAC also considered the </w:t>
      </w:r>
      <w:r w:rsidR="00840870">
        <w:rPr>
          <w:rFonts w:cs="Calibri"/>
          <w:snapToGrid/>
          <w:szCs w:val="24"/>
          <w:lang w:eastAsia="en-AU"/>
        </w:rPr>
        <w:t>disparity observed</w:t>
      </w:r>
      <w:r w:rsidR="00AB3CA6">
        <w:rPr>
          <w:rFonts w:cs="Calibri"/>
          <w:snapToGrid/>
          <w:szCs w:val="24"/>
          <w:lang w:eastAsia="en-AU"/>
        </w:rPr>
        <w:t xml:space="preserve"> may </w:t>
      </w:r>
      <w:r w:rsidR="00511DAB" w:rsidRPr="008704F7">
        <w:rPr>
          <w:rFonts w:cs="Calibri"/>
          <w:snapToGrid/>
          <w:szCs w:val="24"/>
          <w:lang w:eastAsia="en-AU"/>
        </w:rPr>
        <w:t>be due to difference</w:t>
      </w:r>
      <w:r w:rsidR="00AB3CA6">
        <w:rPr>
          <w:rFonts w:cs="Calibri"/>
          <w:snapToGrid/>
          <w:szCs w:val="24"/>
          <w:lang w:eastAsia="en-AU"/>
        </w:rPr>
        <w:t>s</w:t>
      </w:r>
      <w:r w:rsidR="00511DAB" w:rsidRPr="008704F7">
        <w:rPr>
          <w:rFonts w:cs="Calibri"/>
          <w:snapToGrid/>
          <w:szCs w:val="24"/>
          <w:lang w:eastAsia="en-AU"/>
        </w:rPr>
        <w:t xml:space="preserve"> in response </w:t>
      </w:r>
      <w:r w:rsidR="00AB3CA6">
        <w:rPr>
          <w:rFonts w:cs="Calibri"/>
          <w:snapToGrid/>
          <w:szCs w:val="24"/>
          <w:lang w:eastAsia="en-AU"/>
        </w:rPr>
        <w:t xml:space="preserve">rates </w:t>
      </w:r>
      <w:r w:rsidR="00511DAB" w:rsidRPr="008704F7">
        <w:rPr>
          <w:rFonts w:cs="Calibri"/>
          <w:snapToGrid/>
          <w:szCs w:val="24"/>
          <w:lang w:eastAsia="en-AU"/>
        </w:rPr>
        <w:t xml:space="preserve">between CD30 positive and CD30 negative </w:t>
      </w:r>
      <w:r w:rsidR="00AB3CA6">
        <w:rPr>
          <w:rFonts w:cs="Calibri"/>
          <w:snapToGrid/>
          <w:szCs w:val="24"/>
          <w:lang w:eastAsia="en-AU"/>
        </w:rPr>
        <w:t xml:space="preserve">CTCL </w:t>
      </w:r>
      <w:r w:rsidR="00511DAB" w:rsidRPr="008704F7">
        <w:rPr>
          <w:rFonts w:cs="Calibri"/>
          <w:snapToGrid/>
          <w:szCs w:val="24"/>
          <w:lang w:eastAsia="en-AU"/>
        </w:rPr>
        <w:t>patients.</w:t>
      </w:r>
    </w:p>
    <w:p w:rsidR="00AE73AA" w:rsidRPr="0022357A" w:rsidRDefault="00AE73AA" w:rsidP="00AE73AA">
      <w:pPr>
        <w:pStyle w:val="ListParagraph"/>
        <w:widowControl/>
        <w:numPr>
          <w:ilvl w:val="1"/>
          <w:numId w:val="3"/>
        </w:numPr>
      </w:pPr>
      <w:r w:rsidRPr="0022357A">
        <w:rPr>
          <w:rFonts w:cs="Calibri"/>
          <w:snapToGrid/>
          <w:szCs w:val="24"/>
          <w:lang w:eastAsia="en-AU"/>
        </w:rPr>
        <w:lastRenderedPageBreak/>
        <w:t>Table 5 presents the results of PFS for the brentuximab vedotin and vorinostat studies.</w:t>
      </w:r>
      <w:r w:rsidRPr="0022357A">
        <w:t xml:space="preserve"> </w:t>
      </w:r>
    </w:p>
    <w:p w:rsidR="00AE73AA" w:rsidRPr="0022357A" w:rsidRDefault="00AE73AA" w:rsidP="00A65DFB">
      <w:pPr>
        <w:keepNext/>
        <w:rPr>
          <w:rStyle w:val="CommentReference"/>
        </w:rPr>
      </w:pPr>
      <w:r w:rsidRPr="0022357A">
        <w:rPr>
          <w:rStyle w:val="CommentReference"/>
        </w:rPr>
        <w:t xml:space="preserve">Table 5: Results of PFS across the studies (brentuximab vedotin vs. vorinostat)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283"/>
        <w:gridCol w:w="1286"/>
        <w:gridCol w:w="1284"/>
        <w:gridCol w:w="1286"/>
        <w:gridCol w:w="1143"/>
        <w:gridCol w:w="1233"/>
      </w:tblGrid>
      <w:tr w:rsidR="00AE73AA" w:rsidRPr="0022357A" w:rsidTr="00A91A99">
        <w:trPr>
          <w:tblHeader/>
        </w:trPr>
        <w:tc>
          <w:tcPr>
            <w:tcW w:w="863" w:type="pct"/>
            <w:vMerge w:val="restart"/>
            <w:tcMar>
              <w:left w:w="28" w:type="dxa"/>
              <w:right w:w="28" w:type="dxa"/>
            </w:tcMar>
            <w:vAlign w:val="center"/>
          </w:tcPr>
          <w:p w:rsidR="00AE73AA" w:rsidRPr="0022357A" w:rsidRDefault="00AE73AA" w:rsidP="00A65DFB">
            <w:pPr>
              <w:pStyle w:val="Tabletext"/>
              <w:keepNext/>
              <w:rPr>
                <w:b/>
              </w:rPr>
            </w:pPr>
            <w:r w:rsidRPr="0022357A">
              <w:rPr>
                <w:b/>
              </w:rPr>
              <w:t>Outcome</w:t>
            </w:r>
          </w:p>
        </w:tc>
        <w:tc>
          <w:tcPr>
            <w:tcW w:w="2829" w:type="pct"/>
            <w:gridSpan w:val="4"/>
            <w:tcBorders>
              <w:right w:val="double" w:sz="4" w:space="0" w:color="auto"/>
            </w:tcBorders>
            <w:tcMar>
              <w:left w:w="28" w:type="dxa"/>
              <w:right w:w="28" w:type="dxa"/>
            </w:tcMar>
          </w:tcPr>
          <w:p w:rsidR="00AE73AA" w:rsidRPr="0022357A" w:rsidRDefault="00AE73AA" w:rsidP="00A65DFB">
            <w:pPr>
              <w:pStyle w:val="Tabletext"/>
              <w:keepNext/>
              <w:jc w:val="center"/>
              <w:rPr>
                <w:b/>
              </w:rPr>
            </w:pPr>
            <w:r w:rsidRPr="0022357A">
              <w:rPr>
                <w:b/>
              </w:rPr>
              <w:t xml:space="preserve">Brentuximab vedotin </w:t>
            </w:r>
          </w:p>
        </w:tc>
        <w:tc>
          <w:tcPr>
            <w:tcW w:w="1308" w:type="pct"/>
            <w:gridSpan w:val="2"/>
            <w:tcBorders>
              <w:left w:val="double" w:sz="4" w:space="0" w:color="auto"/>
            </w:tcBorders>
            <w:tcMar>
              <w:left w:w="28" w:type="dxa"/>
              <w:right w:w="28" w:type="dxa"/>
            </w:tcMar>
          </w:tcPr>
          <w:p w:rsidR="00AE73AA" w:rsidRPr="0022357A" w:rsidRDefault="00AE73AA" w:rsidP="00A65DFB">
            <w:pPr>
              <w:pStyle w:val="Tabletext"/>
              <w:keepNext/>
              <w:jc w:val="center"/>
              <w:rPr>
                <w:b/>
              </w:rPr>
            </w:pPr>
            <w:r w:rsidRPr="0022357A">
              <w:rPr>
                <w:b/>
              </w:rPr>
              <w:t>Vorinostat</w:t>
            </w:r>
          </w:p>
        </w:tc>
      </w:tr>
      <w:tr w:rsidR="00AE73AA" w:rsidRPr="0022357A" w:rsidTr="00A91A99">
        <w:tc>
          <w:tcPr>
            <w:tcW w:w="863" w:type="pct"/>
            <w:vMerge/>
            <w:tcMar>
              <w:left w:w="28" w:type="dxa"/>
              <w:right w:w="28" w:type="dxa"/>
            </w:tcMar>
            <w:vAlign w:val="center"/>
          </w:tcPr>
          <w:p w:rsidR="00AE73AA" w:rsidRPr="0022357A" w:rsidRDefault="00AE73AA" w:rsidP="00A65DFB">
            <w:pPr>
              <w:pStyle w:val="Tabletext"/>
              <w:keepNext/>
            </w:pPr>
          </w:p>
        </w:tc>
        <w:tc>
          <w:tcPr>
            <w:tcW w:w="706" w:type="pct"/>
            <w:tcMar>
              <w:left w:w="28" w:type="dxa"/>
              <w:right w:w="28" w:type="dxa"/>
            </w:tcMar>
            <w:vAlign w:val="center"/>
          </w:tcPr>
          <w:p w:rsidR="00AE73AA" w:rsidRPr="0022357A" w:rsidRDefault="00AE73AA" w:rsidP="00A65DFB">
            <w:pPr>
              <w:pStyle w:val="Tabletext"/>
              <w:keepNext/>
              <w:jc w:val="center"/>
              <w:rPr>
                <w:b/>
              </w:rPr>
            </w:pPr>
            <w:r w:rsidRPr="0022357A">
              <w:rPr>
                <w:b/>
              </w:rPr>
              <w:t>ALCANZA</w:t>
            </w:r>
            <w:r w:rsidRPr="0022357A">
              <w:rPr>
                <w:b/>
                <w:vertAlign w:val="superscript"/>
              </w:rPr>
              <w:t xml:space="preserve"> </w:t>
            </w:r>
            <w:r w:rsidRPr="0022357A">
              <w:rPr>
                <w:b/>
              </w:rPr>
              <w:t>(IRF)</w:t>
            </w:r>
            <w:r w:rsidRPr="0022357A">
              <w:rPr>
                <w:b/>
                <w:vertAlign w:val="superscript"/>
              </w:rPr>
              <w:t>a</w:t>
            </w:r>
          </w:p>
        </w:tc>
        <w:tc>
          <w:tcPr>
            <w:tcW w:w="708" w:type="pct"/>
            <w:tcMar>
              <w:left w:w="28" w:type="dxa"/>
              <w:right w:w="28" w:type="dxa"/>
            </w:tcMar>
            <w:vAlign w:val="center"/>
          </w:tcPr>
          <w:p w:rsidR="00AE73AA" w:rsidRPr="0022357A" w:rsidRDefault="00AE73AA" w:rsidP="00A65DFB">
            <w:pPr>
              <w:pStyle w:val="Tabletext"/>
              <w:keepNext/>
              <w:jc w:val="center"/>
              <w:rPr>
                <w:b/>
                <w:vertAlign w:val="superscript"/>
              </w:rPr>
            </w:pPr>
            <w:r w:rsidRPr="0022357A">
              <w:rPr>
                <w:b/>
              </w:rPr>
              <w:t>ALCANZA</w:t>
            </w:r>
            <w:r w:rsidRPr="0022357A">
              <w:rPr>
                <w:b/>
                <w:vertAlign w:val="superscript"/>
              </w:rPr>
              <w:t xml:space="preserve"> </w:t>
            </w:r>
            <w:r w:rsidRPr="0022357A">
              <w:rPr>
                <w:b/>
              </w:rPr>
              <w:t>(Investigator)</w:t>
            </w:r>
            <w:r w:rsidRPr="0022357A">
              <w:rPr>
                <w:b/>
                <w:vertAlign w:val="superscript"/>
              </w:rPr>
              <w:t>b</w:t>
            </w:r>
          </w:p>
        </w:tc>
        <w:tc>
          <w:tcPr>
            <w:tcW w:w="707" w:type="pct"/>
            <w:tcMar>
              <w:left w:w="28" w:type="dxa"/>
              <w:right w:w="28" w:type="dxa"/>
            </w:tcMar>
            <w:vAlign w:val="center"/>
          </w:tcPr>
          <w:p w:rsidR="00AE73AA" w:rsidRPr="0022357A" w:rsidRDefault="00AE73AA" w:rsidP="00A65DFB">
            <w:pPr>
              <w:pStyle w:val="Tabletext"/>
              <w:keepNext/>
              <w:jc w:val="center"/>
              <w:rPr>
                <w:b/>
                <w:vertAlign w:val="superscript"/>
              </w:rPr>
            </w:pPr>
            <w:r w:rsidRPr="0022357A">
              <w:rPr>
                <w:b/>
              </w:rPr>
              <w:t>Duvic (2015)</w:t>
            </w:r>
            <w:r w:rsidRPr="0022357A">
              <w:rPr>
                <w:b/>
                <w:vertAlign w:val="superscript"/>
              </w:rPr>
              <w:t>b</w:t>
            </w:r>
          </w:p>
        </w:tc>
        <w:tc>
          <w:tcPr>
            <w:tcW w:w="708" w:type="pct"/>
            <w:tcBorders>
              <w:right w:val="double" w:sz="4" w:space="0" w:color="auto"/>
            </w:tcBorders>
            <w:tcMar>
              <w:left w:w="28" w:type="dxa"/>
              <w:right w:w="28" w:type="dxa"/>
            </w:tcMar>
            <w:vAlign w:val="center"/>
          </w:tcPr>
          <w:p w:rsidR="00AE73AA" w:rsidRPr="0022357A" w:rsidRDefault="00AE73AA" w:rsidP="00A65DFB">
            <w:pPr>
              <w:pStyle w:val="Tabletext"/>
              <w:keepNext/>
              <w:jc w:val="center"/>
              <w:rPr>
                <w:b/>
              </w:rPr>
            </w:pPr>
            <w:r w:rsidRPr="0022357A">
              <w:rPr>
                <w:b/>
              </w:rPr>
              <w:t>Kim (2015)</w:t>
            </w:r>
          </w:p>
        </w:tc>
        <w:tc>
          <w:tcPr>
            <w:tcW w:w="629" w:type="pct"/>
            <w:tcBorders>
              <w:left w:val="double" w:sz="4" w:space="0" w:color="auto"/>
            </w:tcBorders>
            <w:tcMar>
              <w:left w:w="28" w:type="dxa"/>
              <w:right w:w="28" w:type="dxa"/>
            </w:tcMar>
            <w:vAlign w:val="center"/>
          </w:tcPr>
          <w:p w:rsidR="00AE73AA" w:rsidRPr="0022357A" w:rsidRDefault="00AE73AA" w:rsidP="00A65DFB">
            <w:pPr>
              <w:pStyle w:val="Tabletext"/>
              <w:keepNext/>
              <w:jc w:val="center"/>
              <w:rPr>
                <w:b/>
              </w:rPr>
            </w:pPr>
            <w:r w:rsidRPr="0022357A">
              <w:rPr>
                <w:b/>
              </w:rPr>
              <w:t>MAVORIC (Investigator)</w:t>
            </w:r>
          </w:p>
        </w:tc>
        <w:tc>
          <w:tcPr>
            <w:tcW w:w="679" w:type="pct"/>
            <w:tcMar>
              <w:left w:w="28" w:type="dxa"/>
              <w:right w:w="28" w:type="dxa"/>
            </w:tcMar>
          </w:tcPr>
          <w:p w:rsidR="00AE73AA" w:rsidRPr="0022357A" w:rsidRDefault="00AE73AA" w:rsidP="00A65DFB">
            <w:pPr>
              <w:pStyle w:val="Tabletext"/>
              <w:keepNext/>
              <w:jc w:val="center"/>
              <w:rPr>
                <w:b/>
              </w:rPr>
            </w:pPr>
            <w:r w:rsidRPr="0022357A">
              <w:rPr>
                <w:b/>
              </w:rPr>
              <w:t>MAVORIC (IRF)</w:t>
            </w:r>
          </w:p>
        </w:tc>
      </w:tr>
      <w:tr w:rsidR="00AE73AA" w:rsidRPr="0022357A" w:rsidTr="00A91A99">
        <w:tc>
          <w:tcPr>
            <w:tcW w:w="863" w:type="pct"/>
            <w:tcMar>
              <w:left w:w="28" w:type="dxa"/>
              <w:right w:w="28" w:type="dxa"/>
            </w:tcMar>
            <w:vAlign w:val="center"/>
          </w:tcPr>
          <w:p w:rsidR="00AE73AA" w:rsidRPr="0022357A" w:rsidRDefault="00AE73AA" w:rsidP="00A65DFB">
            <w:pPr>
              <w:pStyle w:val="Tabletext"/>
              <w:keepNext/>
            </w:pPr>
            <w:r w:rsidRPr="0022357A">
              <w:t>N</w:t>
            </w:r>
          </w:p>
        </w:tc>
        <w:tc>
          <w:tcPr>
            <w:tcW w:w="706" w:type="pct"/>
            <w:tcMar>
              <w:left w:w="28" w:type="dxa"/>
              <w:right w:w="28" w:type="dxa"/>
            </w:tcMar>
            <w:vAlign w:val="center"/>
          </w:tcPr>
          <w:p w:rsidR="00AE73AA" w:rsidRPr="0022357A" w:rsidRDefault="00AE73AA" w:rsidP="00A65DFB">
            <w:pPr>
              <w:pStyle w:val="Tabletext"/>
              <w:keepNext/>
              <w:jc w:val="center"/>
            </w:pPr>
            <w:r w:rsidRPr="0022357A">
              <w:t>64</w:t>
            </w:r>
          </w:p>
        </w:tc>
        <w:tc>
          <w:tcPr>
            <w:tcW w:w="708" w:type="pct"/>
            <w:tcMar>
              <w:left w:w="28" w:type="dxa"/>
              <w:right w:w="28" w:type="dxa"/>
            </w:tcMar>
            <w:vAlign w:val="center"/>
          </w:tcPr>
          <w:p w:rsidR="00AE73AA" w:rsidRPr="0022357A" w:rsidRDefault="00AE73AA" w:rsidP="00A65DFB">
            <w:pPr>
              <w:pStyle w:val="Tabletext"/>
              <w:keepNext/>
              <w:jc w:val="center"/>
            </w:pPr>
            <w:r w:rsidRPr="0022357A">
              <w:t>64</w:t>
            </w:r>
          </w:p>
        </w:tc>
        <w:tc>
          <w:tcPr>
            <w:tcW w:w="707" w:type="pct"/>
            <w:tcMar>
              <w:left w:w="28" w:type="dxa"/>
              <w:right w:w="28" w:type="dxa"/>
            </w:tcMar>
            <w:vAlign w:val="center"/>
          </w:tcPr>
          <w:p w:rsidR="00AE73AA" w:rsidRPr="0022357A" w:rsidRDefault="00AE73AA" w:rsidP="00A65DFB">
            <w:pPr>
              <w:pStyle w:val="Tabletext"/>
              <w:keepNext/>
              <w:jc w:val="center"/>
            </w:pPr>
            <w:r w:rsidRPr="0022357A">
              <w:t>48</w:t>
            </w:r>
          </w:p>
        </w:tc>
        <w:tc>
          <w:tcPr>
            <w:tcW w:w="708" w:type="pct"/>
            <w:tcBorders>
              <w:right w:val="double" w:sz="4" w:space="0" w:color="auto"/>
            </w:tcBorders>
            <w:tcMar>
              <w:left w:w="28" w:type="dxa"/>
              <w:right w:w="28" w:type="dxa"/>
            </w:tcMar>
          </w:tcPr>
          <w:p w:rsidR="00AE73AA" w:rsidRPr="0022357A" w:rsidRDefault="00AE73AA" w:rsidP="00A65DFB">
            <w:pPr>
              <w:pStyle w:val="Tabletext"/>
              <w:keepNext/>
              <w:jc w:val="center"/>
            </w:pPr>
            <w:r w:rsidRPr="0022357A">
              <w:t>30</w:t>
            </w:r>
          </w:p>
        </w:tc>
        <w:tc>
          <w:tcPr>
            <w:tcW w:w="629" w:type="pct"/>
            <w:tcBorders>
              <w:left w:val="double" w:sz="4" w:space="0" w:color="auto"/>
            </w:tcBorders>
            <w:tcMar>
              <w:left w:w="28" w:type="dxa"/>
              <w:right w:w="28" w:type="dxa"/>
            </w:tcMar>
            <w:vAlign w:val="center"/>
          </w:tcPr>
          <w:p w:rsidR="00AE73AA" w:rsidRPr="0022357A" w:rsidRDefault="00AE73AA" w:rsidP="00A65DFB">
            <w:pPr>
              <w:pStyle w:val="Tabletext"/>
              <w:keepNext/>
              <w:jc w:val="center"/>
            </w:pPr>
            <w:r w:rsidRPr="0022357A">
              <w:t>186</w:t>
            </w:r>
          </w:p>
        </w:tc>
        <w:tc>
          <w:tcPr>
            <w:tcW w:w="679" w:type="pct"/>
            <w:tcMar>
              <w:left w:w="28" w:type="dxa"/>
              <w:right w:w="28" w:type="dxa"/>
            </w:tcMar>
            <w:vAlign w:val="center"/>
          </w:tcPr>
          <w:p w:rsidR="00AE73AA" w:rsidRPr="0022357A" w:rsidRDefault="00AE73AA" w:rsidP="00A65DFB">
            <w:pPr>
              <w:pStyle w:val="Tabletext"/>
              <w:keepNext/>
              <w:jc w:val="center"/>
            </w:pPr>
            <w:r w:rsidRPr="0022357A">
              <w:t>186</w:t>
            </w:r>
          </w:p>
        </w:tc>
      </w:tr>
      <w:tr w:rsidR="00AE73AA" w:rsidRPr="0022357A" w:rsidTr="00A91A99">
        <w:tc>
          <w:tcPr>
            <w:tcW w:w="863" w:type="pct"/>
            <w:tcMar>
              <w:left w:w="28" w:type="dxa"/>
              <w:right w:w="28" w:type="dxa"/>
            </w:tcMar>
            <w:vAlign w:val="center"/>
          </w:tcPr>
          <w:p w:rsidR="00AE73AA" w:rsidRPr="0022357A" w:rsidRDefault="00AE73AA" w:rsidP="00A65DFB">
            <w:pPr>
              <w:pStyle w:val="Tabletext"/>
              <w:keepNext/>
            </w:pPr>
            <w:r w:rsidRPr="0022357A">
              <w:t>Median follow-up</w:t>
            </w:r>
          </w:p>
        </w:tc>
        <w:tc>
          <w:tcPr>
            <w:tcW w:w="706" w:type="pct"/>
            <w:tcMar>
              <w:left w:w="28" w:type="dxa"/>
              <w:right w:w="28" w:type="dxa"/>
            </w:tcMar>
            <w:vAlign w:val="center"/>
          </w:tcPr>
          <w:p w:rsidR="00AE73AA" w:rsidRPr="0022357A" w:rsidRDefault="00AE73AA" w:rsidP="00A65DFB">
            <w:pPr>
              <w:pStyle w:val="Tabletext"/>
              <w:keepNext/>
              <w:jc w:val="center"/>
            </w:pPr>
            <w:r w:rsidRPr="0022357A">
              <w:t>17.5 months</w:t>
            </w:r>
          </w:p>
        </w:tc>
        <w:tc>
          <w:tcPr>
            <w:tcW w:w="708" w:type="pct"/>
            <w:tcMar>
              <w:left w:w="28" w:type="dxa"/>
              <w:right w:w="28" w:type="dxa"/>
            </w:tcMar>
            <w:vAlign w:val="center"/>
          </w:tcPr>
          <w:p w:rsidR="00AE73AA" w:rsidRPr="0022357A" w:rsidRDefault="00AE73AA" w:rsidP="00A65DFB">
            <w:pPr>
              <w:pStyle w:val="Tabletext"/>
              <w:keepNext/>
              <w:jc w:val="center"/>
            </w:pPr>
            <w:r w:rsidRPr="00957065">
              <w:t>20.6</w:t>
            </w:r>
            <w:r w:rsidRPr="0022357A">
              <w:t xml:space="preserve"> months</w:t>
            </w:r>
          </w:p>
        </w:tc>
        <w:tc>
          <w:tcPr>
            <w:tcW w:w="707" w:type="pct"/>
            <w:tcMar>
              <w:left w:w="28" w:type="dxa"/>
              <w:right w:w="28" w:type="dxa"/>
            </w:tcMar>
            <w:vAlign w:val="center"/>
          </w:tcPr>
          <w:p w:rsidR="00AE73AA" w:rsidRPr="0022357A" w:rsidRDefault="00AE73AA" w:rsidP="00A65DFB">
            <w:pPr>
              <w:pStyle w:val="Tabletext"/>
              <w:keepNext/>
              <w:jc w:val="center"/>
              <w:rPr>
                <w:vertAlign w:val="superscript"/>
              </w:rPr>
            </w:pPr>
            <w:r w:rsidRPr="0022357A">
              <w:t xml:space="preserve">23-27 months </w:t>
            </w:r>
            <w:r w:rsidRPr="0022357A">
              <w:rPr>
                <w:vertAlign w:val="superscript"/>
              </w:rPr>
              <w:t>c</w:t>
            </w:r>
          </w:p>
        </w:tc>
        <w:tc>
          <w:tcPr>
            <w:tcW w:w="708" w:type="pct"/>
            <w:tcBorders>
              <w:right w:val="double" w:sz="4" w:space="0" w:color="auto"/>
            </w:tcBorders>
            <w:tcMar>
              <w:left w:w="28" w:type="dxa"/>
              <w:right w:w="28" w:type="dxa"/>
            </w:tcMar>
          </w:tcPr>
          <w:p w:rsidR="00AE73AA" w:rsidRPr="0022357A" w:rsidRDefault="00AE73AA" w:rsidP="00A65DFB">
            <w:pPr>
              <w:pStyle w:val="Tabletext"/>
              <w:keepNext/>
              <w:jc w:val="center"/>
            </w:pPr>
            <w:r w:rsidRPr="0022357A">
              <w:t>16.5 months </w:t>
            </w:r>
            <w:r w:rsidRPr="0022357A">
              <w:rPr>
                <w:vertAlign w:val="superscript"/>
              </w:rPr>
              <w:t>d</w:t>
            </w:r>
            <w:r w:rsidRPr="0022357A">
              <w:t xml:space="preserve"> </w:t>
            </w:r>
          </w:p>
        </w:tc>
        <w:tc>
          <w:tcPr>
            <w:tcW w:w="629" w:type="pct"/>
            <w:tcBorders>
              <w:lef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679" w:type="pct"/>
            <w:tcMar>
              <w:left w:w="28" w:type="dxa"/>
              <w:right w:w="28" w:type="dxa"/>
            </w:tcMar>
            <w:vAlign w:val="center"/>
          </w:tcPr>
          <w:p w:rsidR="00AE73AA" w:rsidRPr="0022357A" w:rsidRDefault="00AE73AA" w:rsidP="00A65DFB">
            <w:pPr>
              <w:pStyle w:val="Tabletext"/>
              <w:keepNext/>
              <w:jc w:val="center"/>
            </w:pPr>
            <w:r w:rsidRPr="0022357A">
              <w:t>NR</w:t>
            </w:r>
          </w:p>
        </w:tc>
      </w:tr>
      <w:tr w:rsidR="00AE73AA" w:rsidRPr="0022357A" w:rsidTr="00A91A99">
        <w:tc>
          <w:tcPr>
            <w:tcW w:w="863" w:type="pct"/>
            <w:tcMar>
              <w:left w:w="28" w:type="dxa"/>
              <w:right w:w="28" w:type="dxa"/>
            </w:tcMar>
            <w:vAlign w:val="center"/>
          </w:tcPr>
          <w:p w:rsidR="00AE73AA" w:rsidRPr="0022357A" w:rsidRDefault="00AE73AA" w:rsidP="00A65DFB">
            <w:pPr>
              <w:pStyle w:val="Tabletext"/>
              <w:keepNext/>
            </w:pPr>
            <w:r w:rsidRPr="0022357A">
              <w:t>Patients with events Progression</w:t>
            </w:r>
          </w:p>
          <w:p w:rsidR="00AE73AA" w:rsidRPr="0022357A" w:rsidRDefault="00AE73AA" w:rsidP="00A65DFB">
            <w:pPr>
              <w:pStyle w:val="Tabletext"/>
              <w:keepNext/>
            </w:pPr>
            <w:r w:rsidRPr="0022357A">
              <w:t>Death</w:t>
            </w:r>
          </w:p>
        </w:tc>
        <w:tc>
          <w:tcPr>
            <w:tcW w:w="706" w:type="pct"/>
            <w:tcMar>
              <w:left w:w="28" w:type="dxa"/>
              <w:right w:w="28" w:type="dxa"/>
            </w:tcMar>
          </w:tcPr>
          <w:p w:rsidR="00AE73AA" w:rsidRPr="0022357A" w:rsidRDefault="00AE73AA" w:rsidP="00A65DFB">
            <w:pPr>
              <w:pStyle w:val="Tabletext"/>
              <w:keepNext/>
              <w:jc w:val="center"/>
            </w:pPr>
            <w:r w:rsidRPr="0022357A">
              <w:t>36/64 (56%)</w:t>
            </w:r>
          </w:p>
          <w:p w:rsidR="00AE73AA" w:rsidRPr="0022357A" w:rsidRDefault="00AE73AA" w:rsidP="00A65DFB">
            <w:pPr>
              <w:pStyle w:val="Tabletext"/>
              <w:keepNext/>
              <w:jc w:val="center"/>
            </w:pPr>
            <w:r w:rsidRPr="0022357A">
              <w:t>30/64 (47%)</w:t>
            </w:r>
          </w:p>
          <w:p w:rsidR="00AE73AA" w:rsidRPr="0022357A" w:rsidRDefault="00AE73AA" w:rsidP="00A65DFB">
            <w:pPr>
              <w:pStyle w:val="Tabletext"/>
              <w:keepNext/>
              <w:jc w:val="center"/>
            </w:pPr>
            <w:r w:rsidRPr="0022357A">
              <w:t>6/64 (9%)</w:t>
            </w:r>
          </w:p>
        </w:tc>
        <w:tc>
          <w:tcPr>
            <w:tcW w:w="708" w:type="pct"/>
            <w:tcMar>
              <w:left w:w="28" w:type="dxa"/>
              <w:right w:w="28" w:type="dxa"/>
            </w:tcMar>
          </w:tcPr>
          <w:p w:rsidR="00AE73AA" w:rsidRPr="0022357A" w:rsidRDefault="00AE73AA" w:rsidP="00A65DFB">
            <w:pPr>
              <w:pStyle w:val="Tabletext"/>
              <w:keepNext/>
              <w:jc w:val="center"/>
            </w:pPr>
            <w:r w:rsidRPr="00957065">
              <w:t>40</w:t>
            </w:r>
            <w:r w:rsidRPr="0022357A">
              <w:t>/</w:t>
            </w:r>
            <w:r w:rsidRPr="00957065">
              <w:t>64</w:t>
            </w:r>
            <w:r w:rsidRPr="0022357A">
              <w:t xml:space="preserve"> (</w:t>
            </w:r>
            <w:r w:rsidRPr="00957065">
              <w:t>63</w:t>
            </w:r>
            <w:r w:rsidRPr="0022357A">
              <w:t>%)</w:t>
            </w:r>
          </w:p>
          <w:p w:rsidR="00AE73AA" w:rsidRPr="0022357A" w:rsidRDefault="00AE73AA" w:rsidP="00A65DFB">
            <w:pPr>
              <w:pStyle w:val="Tabletext"/>
              <w:keepNext/>
              <w:jc w:val="center"/>
            </w:pPr>
            <w:r w:rsidRPr="00957065">
              <w:t>35</w:t>
            </w:r>
            <w:r w:rsidRPr="0022357A">
              <w:t>/</w:t>
            </w:r>
            <w:r w:rsidRPr="00957065">
              <w:t>64</w:t>
            </w:r>
            <w:r w:rsidRPr="0022357A">
              <w:t xml:space="preserve"> (</w:t>
            </w:r>
            <w:r w:rsidRPr="00957065">
              <w:t>55</w:t>
            </w:r>
            <w:r w:rsidRPr="0022357A">
              <w:t>%)</w:t>
            </w:r>
          </w:p>
          <w:p w:rsidR="00AE73AA" w:rsidRPr="0022357A" w:rsidRDefault="00AE73AA" w:rsidP="00A65DFB">
            <w:pPr>
              <w:pStyle w:val="Tabletext"/>
              <w:keepNext/>
              <w:jc w:val="center"/>
            </w:pPr>
            <w:r w:rsidRPr="00957065">
              <w:t>5</w:t>
            </w:r>
            <w:r w:rsidRPr="0022357A">
              <w:t>/</w:t>
            </w:r>
            <w:r w:rsidRPr="00957065">
              <w:t>64</w:t>
            </w:r>
            <w:r w:rsidRPr="0022357A">
              <w:t xml:space="preserve"> (</w:t>
            </w:r>
            <w:r w:rsidRPr="00957065">
              <w:t>8</w:t>
            </w:r>
            <w:r w:rsidRPr="0022357A">
              <w:t>%)</w:t>
            </w:r>
          </w:p>
        </w:tc>
        <w:tc>
          <w:tcPr>
            <w:tcW w:w="707" w:type="pct"/>
            <w:tcMar>
              <w:left w:w="28" w:type="dxa"/>
              <w:right w:w="28" w:type="dxa"/>
            </w:tcMar>
            <w:vAlign w:val="center"/>
          </w:tcPr>
          <w:p w:rsidR="00AE73AA" w:rsidRPr="0022357A" w:rsidRDefault="00AE73AA" w:rsidP="00A65DFB">
            <w:pPr>
              <w:pStyle w:val="Tabletext"/>
              <w:keepNext/>
              <w:jc w:val="center"/>
            </w:pPr>
            <w:r w:rsidRPr="0022357A">
              <w:t>NR</w:t>
            </w:r>
          </w:p>
        </w:tc>
        <w:tc>
          <w:tcPr>
            <w:tcW w:w="708" w:type="pct"/>
            <w:tcBorders>
              <w:righ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629" w:type="pct"/>
            <w:tcBorders>
              <w:lef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679" w:type="pct"/>
            <w:tcMar>
              <w:left w:w="28" w:type="dxa"/>
              <w:right w:w="28" w:type="dxa"/>
            </w:tcMar>
            <w:vAlign w:val="center"/>
          </w:tcPr>
          <w:p w:rsidR="00AE73AA" w:rsidRPr="0022357A" w:rsidRDefault="00AE73AA" w:rsidP="00A65DFB">
            <w:pPr>
              <w:pStyle w:val="Tabletext"/>
              <w:keepNext/>
              <w:jc w:val="center"/>
            </w:pPr>
            <w:r w:rsidRPr="0022357A">
              <w:t>NR</w:t>
            </w:r>
          </w:p>
        </w:tc>
      </w:tr>
      <w:tr w:rsidR="00AE73AA" w:rsidRPr="0022357A" w:rsidTr="00A91A99">
        <w:tc>
          <w:tcPr>
            <w:tcW w:w="863" w:type="pct"/>
            <w:tcMar>
              <w:left w:w="28" w:type="dxa"/>
              <w:right w:w="28" w:type="dxa"/>
            </w:tcMar>
            <w:vAlign w:val="center"/>
          </w:tcPr>
          <w:p w:rsidR="00AE73AA" w:rsidRPr="0022357A" w:rsidRDefault="00AE73AA" w:rsidP="00A65DFB">
            <w:pPr>
              <w:pStyle w:val="Tabletext"/>
              <w:keepNext/>
            </w:pPr>
            <w:r w:rsidRPr="0022357A">
              <w:t>Censored</w:t>
            </w:r>
          </w:p>
        </w:tc>
        <w:tc>
          <w:tcPr>
            <w:tcW w:w="706" w:type="pct"/>
            <w:tcMar>
              <w:left w:w="28" w:type="dxa"/>
              <w:right w:w="28" w:type="dxa"/>
            </w:tcMar>
            <w:vAlign w:val="center"/>
          </w:tcPr>
          <w:p w:rsidR="00AE73AA" w:rsidRPr="0022357A" w:rsidRDefault="00AE73AA" w:rsidP="00A65DFB">
            <w:pPr>
              <w:pStyle w:val="Tabletext"/>
              <w:keepNext/>
              <w:jc w:val="center"/>
            </w:pPr>
            <w:r w:rsidRPr="0022357A">
              <w:t>28/64 (44%)</w:t>
            </w:r>
          </w:p>
        </w:tc>
        <w:tc>
          <w:tcPr>
            <w:tcW w:w="708" w:type="pct"/>
            <w:tcMar>
              <w:left w:w="28" w:type="dxa"/>
              <w:right w:w="28" w:type="dxa"/>
            </w:tcMar>
            <w:vAlign w:val="center"/>
          </w:tcPr>
          <w:p w:rsidR="00AE73AA" w:rsidRPr="0022357A" w:rsidRDefault="00AE73AA" w:rsidP="00A65DFB">
            <w:pPr>
              <w:pStyle w:val="Tabletext"/>
              <w:keepNext/>
              <w:jc w:val="center"/>
            </w:pPr>
            <w:r w:rsidRPr="00957065">
              <w:t>24</w:t>
            </w:r>
            <w:r w:rsidRPr="0022357A">
              <w:t>/</w:t>
            </w:r>
            <w:r w:rsidRPr="00957065">
              <w:t>64</w:t>
            </w:r>
            <w:r w:rsidRPr="0022357A">
              <w:t xml:space="preserve"> (</w:t>
            </w:r>
            <w:r w:rsidRPr="00957065">
              <w:t>38</w:t>
            </w:r>
            <w:r w:rsidRPr="0022357A">
              <w:t>%)</w:t>
            </w:r>
          </w:p>
        </w:tc>
        <w:tc>
          <w:tcPr>
            <w:tcW w:w="707" w:type="pct"/>
            <w:tcMar>
              <w:left w:w="28" w:type="dxa"/>
              <w:right w:w="28" w:type="dxa"/>
            </w:tcMar>
            <w:vAlign w:val="center"/>
          </w:tcPr>
          <w:p w:rsidR="00AE73AA" w:rsidRPr="0022357A" w:rsidRDefault="00AE73AA" w:rsidP="00A65DFB">
            <w:pPr>
              <w:pStyle w:val="Tabletext"/>
              <w:keepNext/>
              <w:jc w:val="center"/>
            </w:pPr>
            <w:r w:rsidRPr="0022357A">
              <w:t>NR</w:t>
            </w:r>
          </w:p>
        </w:tc>
        <w:tc>
          <w:tcPr>
            <w:tcW w:w="708" w:type="pct"/>
            <w:tcBorders>
              <w:righ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629" w:type="pct"/>
            <w:tcBorders>
              <w:lef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679" w:type="pct"/>
            <w:tcMar>
              <w:left w:w="28" w:type="dxa"/>
              <w:right w:w="28" w:type="dxa"/>
            </w:tcMar>
            <w:vAlign w:val="center"/>
          </w:tcPr>
          <w:p w:rsidR="00AE73AA" w:rsidRPr="0022357A" w:rsidRDefault="00AE73AA" w:rsidP="00A65DFB">
            <w:pPr>
              <w:pStyle w:val="Tabletext"/>
              <w:keepNext/>
              <w:jc w:val="center"/>
            </w:pPr>
            <w:r w:rsidRPr="0022357A">
              <w:t>NR</w:t>
            </w:r>
          </w:p>
        </w:tc>
      </w:tr>
      <w:tr w:rsidR="00AE73AA" w:rsidRPr="0022357A" w:rsidTr="00A91A99">
        <w:tc>
          <w:tcPr>
            <w:tcW w:w="863" w:type="pct"/>
            <w:tcMar>
              <w:left w:w="28" w:type="dxa"/>
              <w:right w:w="28" w:type="dxa"/>
            </w:tcMar>
            <w:vAlign w:val="center"/>
          </w:tcPr>
          <w:p w:rsidR="00AE73AA" w:rsidRPr="0022357A" w:rsidRDefault="00AE73AA" w:rsidP="00A65DFB">
            <w:pPr>
              <w:pStyle w:val="Tabletext"/>
              <w:keepNext/>
            </w:pPr>
            <w:r w:rsidRPr="0022357A">
              <w:t xml:space="preserve">Median PFS </w:t>
            </w:r>
            <w:r w:rsidRPr="0022357A">
              <w:br/>
              <w:t>(95% CI)</w:t>
            </w:r>
          </w:p>
        </w:tc>
        <w:tc>
          <w:tcPr>
            <w:tcW w:w="706" w:type="pct"/>
            <w:tcMar>
              <w:left w:w="28" w:type="dxa"/>
              <w:right w:w="28" w:type="dxa"/>
            </w:tcMar>
            <w:vAlign w:val="center"/>
          </w:tcPr>
          <w:p w:rsidR="00AE73AA" w:rsidRPr="0022357A" w:rsidRDefault="00AE73AA" w:rsidP="00A65DFB">
            <w:pPr>
              <w:pStyle w:val="Tabletext"/>
              <w:keepNext/>
              <w:jc w:val="center"/>
            </w:pPr>
            <w:r w:rsidRPr="0022357A">
              <w:t>16.7 months</w:t>
            </w:r>
          </w:p>
          <w:p w:rsidR="00AE73AA" w:rsidRPr="0022357A" w:rsidRDefault="00AE73AA" w:rsidP="00A65DFB">
            <w:pPr>
              <w:pStyle w:val="Tabletext"/>
              <w:keepNext/>
              <w:jc w:val="center"/>
            </w:pPr>
            <w:r w:rsidRPr="0022357A">
              <w:t>(14.9, 22.8)</w:t>
            </w:r>
          </w:p>
        </w:tc>
        <w:tc>
          <w:tcPr>
            <w:tcW w:w="708" w:type="pct"/>
            <w:tcMar>
              <w:left w:w="28" w:type="dxa"/>
              <w:right w:w="28" w:type="dxa"/>
            </w:tcMar>
            <w:vAlign w:val="center"/>
          </w:tcPr>
          <w:p w:rsidR="00AE73AA" w:rsidRPr="0022357A" w:rsidRDefault="00F72571" w:rsidP="00A65DFB">
            <w:pPr>
              <w:pStyle w:val="Tabletext"/>
              <w:keepNext/>
              <w:jc w:val="center"/>
            </w:pPr>
            <w:r>
              <w:rPr>
                <w:noProof/>
                <w:color w:val="000000"/>
                <w:highlight w:val="black"/>
              </w:rPr>
              <w:t>'''''''''''</w:t>
            </w:r>
            <w:r w:rsidR="00AE73AA" w:rsidRPr="0022357A">
              <w:t xml:space="preserve"> months</w:t>
            </w:r>
            <w:r w:rsidR="00AE73AA" w:rsidRPr="0022357A">
              <w:br/>
              <w:t>(</w:t>
            </w:r>
            <w:r>
              <w:rPr>
                <w:noProof/>
                <w:color w:val="000000"/>
                <w:highlight w:val="black"/>
              </w:rPr>
              <w:t>''''''''''</w:t>
            </w:r>
            <w:r w:rsidR="00AE73AA" w:rsidRPr="0022357A">
              <w:t xml:space="preserve">, </w:t>
            </w:r>
            <w:r>
              <w:rPr>
                <w:noProof/>
                <w:color w:val="000000"/>
                <w:highlight w:val="black"/>
              </w:rPr>
              <w:t>''''''''''</w:t>
            </w:r>
            <w:r w:rsidR="00AE73AA" w:rsidRPr="0022357A">
              <w:t>)</w:t>
            </w:r>
          </w:p>
        </w:tc>
        <w:tc>
          <w:tcPr>
            <w:tcW w:w="707" w:type="pct"/>
            <w:tcMar>
              <w:left w:w="28" w:type="dxa"/>
              <w:right w:w="28" w:type="dxa"/>
            </w:tcMar>
            <w:vAlign w:val="center"/>
          </w:tcPr>
          <w:p w:rsidR="00AE73AA" w:rsidRPr="0022357A" w:rsidRDefault="00AE73AA" w:rsidP="00A65DFB">
            <w:pPr>
              <w:pStyle w:val="Tabletext"/>
              <w:keepNext/>
              <w:jc w:val="center"/>
            </w:pPr>
            <w:r w:rsidRPr="0022357A">
              <w:t>13.2 months</w:t>
            </w:r>
          </w:p>
          <w:p w:rsidR="00AE73AA" w:rsidRPr="0022357A" w:rsidRDefault="00AE73AA" w:rsidP="00A65DFB">
            <w:pPr>
              <w:pStyle w:val="Tabletext"/>
              <w:keepNext/>
              <w:jc w:val="center"/>
            </w:pPr>
            <w:r w:rsidRPr="0022357A">
              <w:t>(10.8, 16.8)</w:t>
            </w:r>
          </w:p>
        </w:tc>
        <w:tc>
          <w:tcPr>
            <w:tcW w:w="708" w:type="pct"/>
            <w:tcBorders>
              <w:right w:val="double" w:sz="4" w:space="0" w:color="auto"/>
            </w:tcBorders>
            <w:tcMar>
              <w:left w:w="28" w:type="dxa"/>
              <w:right w:w="28" w:type="dxa"/>
            </w:tcMar>
          </w:tcPr>
          <w:p w:rsidR="00AE73AA" w:rsidRPr="0022357A" w:rsidRDefault="00AE73AA" w:rsidP="00A65DFB">
            <w:pPr>
              <w:pStyle w:val="Tabletext"/>
              <w:keepNext/>
              <w:jc w:val="center"/>
            </w:pPr>
            <w:r w:rsidRPr="0022357A">
              <w:t>Not reached</w:t>
            </w:r>
          </w:p>
        </w:tc>
        <w:tc>
          <w:tcPr>
            <w:tcW w:w="629" w:type="pct"/>
            <w:tcBorders>
              <w:left w:val="double" w:sz="4" w:space="0" w:color="auto"/>
            </w:tcBorders>
            <w:tcMar>
              <w:left w:w="28" w:type="dxa"/>
              <w:right w:w="28" w:type="dxa"/>
            </w:tcMar>
            <w:vAlign w:val="center"/>
          </w:tcPr>
          <w:p w:rsidR="00AE73AA" w:rsidRPr="0022357A" w:rsidRDefault="00AE73AA" w:rsidP="00A65DFB">
            <w:pPr>
              <w:pStyle w:val="Tabletext"/>
              <w:keepNext/>
              <w:jc w:val="center"/>
            </w:pPr>
            <w:r w:rsidRPr="0022357A">
              <w:t xml:space="preserve">3.1 months </w:t>
            </w:r>
            <w:r w:rsidRPr="0022357A">
              <w:br/>
              <w:t>(2.9, 4.1)</w:t>
            </w:r>
          </w:p>
        </w:tc>
        <w:tc>
          <w:tcPr>
            <w:tcW w:w="679" w:type="pct"/>
            <w:tcMar>
              <w:left w:w="28" w:type="dxa"/>
              <w:right w:w="28" w:type="dxa"/>
            </w:tcMar>
          </w:tcPr>
          <w:p w:rsidR="00AE73AA" w:rsidRPr="0022357A" w:rsidRDefault="00AE73AA" w:rsidP="00A65DFB">
            <w:pPr>
              <w:pStyle w:val="Tabletext"/>
              <w:keepNext/>
              <w:jc w:val="center"/>
            </w:pPr>
            <w:r w:rsidRPr="0022357A">
              <w:t>3.8 months (NR, NR)</w:t>
            </w:r>
          </w:p>
        </w:tc>
      </w:tr>
      <w:tr w:rsidR="00AE73AA" w:rsidRPr="0022357A" w:rsidTr="00A91A99">
        <w:tc>
          <w:tcPr>
            <w:tcW w:w="5000" w:type="pct"/>
            <w:gridSpan w:val="7"/>
            <w:tcMar>
              <w:left w:w="28" w:type="dxa"/>
              <w:right w:w="28" w:type="dxa"/>
            </w:tcMar>
            <w:vAlign w:val="center"/>
          </w:tcPr>
          <w:p w:rsidR="00AE73AA" w:rsidRPr="0022357A" w:rsidRDefault="00AE73AA" w:rsidP="00A65DFB">
            <w:pPr>
              <w:pStyle w:val="Tabletext"/>
              <w:keepNext/>
            </w:pPr>
            <w:r w:rsidRPr="0022357A">
              <w:t xml:space="preserve">KM estimate for PFS (95% </w:t>
            </w:r>
            <w:r w:rsidR="00CE7B60" w:rsidRPr="00004430">
              <w:t>CI</w:t>
            </w:r>
            <w:r w:rsidRPr="0022357A">
              <w:t>)</w:t>
            </w:r>
          </w:p>
        </w:tc>
      </w:tr>
      <w:tr w:rsidR="00AE73AA" w:rsidRPr="0022357A" w:rsidTr="00A91A99">
        <w:tc>
          <w:tcPr>
            <w:tcW w:w="863" w:type="pct"/>
            <w:tcMar>
              <w:left w:w="28" w:type="dxa"/>
              <w:right w:w="28" w:type="dxa"/>
            </w:tcMar>
            <w:vAlign w:val="center"/>
          </w:tcPr>
          <w:p w:rsidR="00AE73AA" w:rsidRPr="0022357A" w:rsidRDefault="00AE73AA" w:rsidP="00A65DFB">
            <w:pPr>
              <w:pStyle w:val="Tabletext"/>
              <w:keepNext/>
            </w:pPr>
            <w:r w:rsidRPr="0022357A">
              <w:t>6 months</w:t>
            </w:r>
          </w:p>
        </w:tc>
        <w:tc>
          <w:tcPr>
            <w:tcW w:w="706" w:type="pct"/>
            <w:tcMar>
              <w:left w:w="28" w:type="dxa"/>
              <w:right w:w="28" w:type="dxa"/>
            </w:tcMar>
          </w:tcPr>
          <w:p w:rsidR="00AE73AA" w:rsidRPr="0022357A" w:rsidRDefault="00AE73AA" w:rsidP="00A65DFB">
            <w:pPr>
              <w:pStyle w:val="Tabletext"/>
              <w:keepNext/>
              <w:jc w:val="center"/>
            </w:pPr>
            <w:r w:rsidRPr="0022357A">
              <w:t>82% (70, 90)</w:t>
            </w:r>
          </w:p>
          <w:p w:rsidR="00AE73AA" w:rsidRPr="0022357A" w:rsidRDefault="00AE73AA" w:rsidP="00A65DFB">
            <w:pPr>
              <w:pStyle w:val="Tabletext"/>
              <w:keepNext/>
              <w:jc w:val="center"/>
            </w:pPr>
            <w:r w:rsidRPr="0022357A">
              <w:t>[n=48]</w:t>
            </w:r>
          </w:p>
        </w:tc>
        <w:tc>
          <w:tcPr>
            <w:tcW w:w="708" w:type="pct"/>
            <w:tcMar>
              <w:left w:w="28" w:type="dxa"/>
              <w:right w:w="28" w:type="dxa"/>
            </w:tcMar>
            <w:vAlign w:val="center"/>
          </w:tcPr>
          <w:p w:rsidR="00AE73AA" w:rsidRPr="0022357A" w:rsidRDefault="00AE73AA" w:rsidP="00A65DFB">
            <w:pPr>
              <w:pStyle w:val="Tabletext"/>
              <w:keepNext/>
              <w:jc w:val="center"/>
            </w:pPr>
            <w:r w:rsidRPr="0022357A">
              <w:t>79% (66, 87)</w:t>
            </w:r>
          </w:p>
          <w:p w:rsidR="00AE73AA" w:rsidRPr="0022357A" w:rsidRDefault="00AE73AA" w:rsidP="00A65DFB">
            <w:pPr>
              <w:pStyle w:val="Tabletext"/>
              <w:keepNext/>
              <w:jc w:val="center"/>
            </w:pPr>
            <w:r w:rsidRPr="0022357A">
              <w:t>[n=48]</w:t>
            </w:r>
          </w:p>
        </w:tc>
        <w:tc>
          <w:tcPr>
            <w:tcW w:w="707" w:type="pct"/>
            <w:tcMar>
              <w:left w:w="28" w:type="dxa"/>
              <w:right w:w="28" w:type="dxa"/>
            </w:tcMar>
            <w:vAlign w:val="center"/>
          </w:tcPr>
          <w:p w:rsidR="00AE73AA" w:rsidRPr="0022357A" w:rsidRDefault="00AE73AA" w:rsidP="00A65DFB">
            <w:pPr>
              <w:pStyle w:val="Tabletext"/>
              <w:keepNext/>
              <w:jc w:val="center"/>
            </w:pPr>
            <w:r w:rsidRPr="0022357A">
              <w:t>NR</w:t>
            </w:r>
          </w:p>
        </w:tc>
        <w:tc>
          <w:tcPr>
            <w:tcW w:w="708" w:type="pct"/>
            <w:tcBorders>
              <w:righ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629" w:type="pct"/>
            <w:tcBorders>
              <w:lef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679" w:type="pct"/>
            <w:tcMar>
              <w:left w:w="28" w:type="dxa"/>
              <w:right w:w="28" w:type="dxa"/>
            </w:tcMar>
            <w:vAlign w:val="center"/>
          </w:tcPr>
          <w:p w:rsidR="00AE73AA" w:rsidRPr="0022357A" w:rsidRDefault="00AE73AA" w:rsidP="00A65DFB">
            <w:pPr>
              <w:pStyle w:val="Tabletext"/>
              <w:keepNext/>
              <w:jc w:val="center"/>
            </w:pPr>
            <w:r w:rsidRPr="0022357A">
              <w:t>NR</w:t>
            </w:r>
          </w:p>
        </w:tc>
      </w:tr>
      <w:tr w:rsidR="00AE73AA" w:rsidRPr="0022357A" w:rsidTr="00A91A99">
        <w:tc>
          <w:tcPr>
            <w:tcW w:w="863" w:type="pct"/>
            <w:tcMar>
              <w:left w:w="28" w:type="dxa"/>
              <w:right w:w="28" w:type="dxa"/>
            </w:tcMar>
            <w:vAlign w:val="center"/>
          </w:tcPr>
          <w:p w:rsidR="00AE73AA" w:rsidRPr="0022357A" w:rsidRDefault="00AE73AA" w:rsidP="00A65DFB">
            <w:pPr>
              <w:pStyle w:val="Tabletext"/>
              <w:keepNext/>
            </w:pPr>
            <w:r w:rsidRPr="0022357A">
              <w:t>12 months</w:t>
            </w:r>
          </w:p>
        </w:tc>
        <w:tc>
          <w:tcPr>
            <w:tcW w:w="706" w:type="pct"/>
            <w:tcMar>
              <w:left w:w="28" w:type="dxa"/>
              <w:right w:w="28" w:type="dxa"/>
            </w:tcMar>
          </w:tcPr>
          <w:p w:rsidR="00AE73AA" w:rsidRPr="0022357A" w:rsidRDefault="00AE73AA" w:rsidP="00A65DFB">
            <w:pPr>
              <w:pStyle w:val="Tabletext"/>
              <w:keepNext/>
              <w:jc w:val="center"/>
            </w:pPr>
            <w:r w:rsidRPr="0022357A">
              <w:t>68% (54, 78)</w:t>
            </w:r>
          </w:p>
          <w:p w:rsidR="00AE73AA" w:rsidRPr="0022357A" w:rsidRDefault="00AE73AA" w:rsidP="00A65DFB">
            <w:pPr>
              <w:pStyle w:val="Tabletext"/>
              <w:keepNext/>
              <w:jc w:val="center"/>
            </w:pPr>
            <w:r w:rsidRPr="0022357A">
              <w:t>[n=29]</w:t>
            </w:r>
          </w:p>
        </w:tc>
        <w:tc>
          <w:tcPr>
            <w:tcW w:w="708" w:type="pct"/>
            <w:tcMar>
              <w:left w:w="28" w:type="dxa"/>
              <w:right w:w="28" w:type="dxa"/>
            </w:tcMar>
            <w:vAlign w:val="center"/>
          </w:tcPr>
          <w:p w:rsidR="00AE73AA" w:rsidRPr="0022357A" w:rsidRDefault="00AE73AA" w:rsidP="00A65DFB">
            <w:pPr>
              <w:pStyle w:val="Tabletext"/>
              <w:keepNext/>
              <w:jc w:val="center"/>
            </w:pPr>
            <w:r w:rsidRPr="0022357A">
              <w:t>63% (50, 74)</w:t>
            </w:r>
          </w:p>
          <w:p w:rsidR="00AE73AA" w:rsidRPr="0022357A" w:rsidRDefault="00AE73AA" w:rsidP="00A65DFB">
            <w:pPr>
              <w:pStyle w:val="Tabletext"/>
              <w:keepNext/>
              <w:jc w:val="center"/>
            </w:pPr>
            <w:r w:rsidRPr="0022357A">
              <w:t>[n=30]</w:t>
            </w:r>
          </w:p>
        </w:tc>
        <w:tc>
          <w:tcPr>
            <w:tcW w:w="707" w:type="pct"/>
            <w:tcMar>
              <w:left w:w="28" w:type="dxa"/>
              <w:right w:w="28" w:type="dxa"/>
            </w:tcMar>
            <w:vAlign w:val="center"/>
          </w:tcPr>
          <w:p w:rsidR="00AE73AA" w:rsidRPr="0022357A" w:rsidRDefault="00AE73AA" w:rsidP="00A65DFB">
            <w:pPr>
              <w:pStyle w:val="Tabletext"/>
              <w:keepNext/>
              <w:jc w:val="center"/>
            </w:pPr>
            <w:r w:rsidRPr="0022357A">
              <w:t>NR</w:t>
            </w:r>
          </w:p>
        </w:tc>
        <w:tc>
          <w:tcPr>
            <w:tcW w:w="708" w:type="pct"/>
            <w:tcBorders>
              <w:righ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629" w:type="pct"/>
            <w:tcBorders>
              <w:lef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679" w:type="pct"/>
            <w:tcMar>
              <w:left w:w="28" w:type="dxa"/>
              <w:right w:w="28" w:type="dxa"/>
            </w:tcMar>
            <w:vAlign w:val="center"/>
          </w:tcPr>
          <w:p w:rsidR="00AE73AA" w:rsidRPr="0022357A" w:rsidRDefault="00AE73AA" w:rsidP="00A65DFB">
            <w:pPr>
              <w:pStyle w:val="Tabletext"/>
              <w:keepNext/>
              <w:jc w:val="center"/>
            </w:pPr>
            <w:r w:rsidRPr="0022357A">
              <w:t>NR</w:t>
            </w:r>
          </w:p>
        </w:tc>
      </w:tr>
      <w:tr w:rsidR="00AE73AA" w:rsidRPr="0022357A" w:rsidTr="00A91A99">
        <w:tc>
          <w:tcPr>
            <w:tcW w:w="863" w:type="pct"/>
            <w:tcMar>
              <w:left w:w="28" w:type="dxa"/>
              <w:right w:w="28" w:type="dxa"/>
            </w:tcMar>
            <w:vAlign w:val="center"/>
          </w:tcPr>
          <w:p w:rsidR="00AE73AA" w:rsidRPr="0022357A" w:rsidRDefault="00AE73AA" w:rsidP="00A65DFB">
            <w:pPr>
              <w:pStyle w:val="Tabletext"/>
              <w:keepNext/>
            </w:pPr>
            <w:r w:rsidRPr="0022357A">
              <w:t>18 months</w:t>
            </w:r>
          </w:p>
        </w:tc>
        <w:tc>
          <w:tcPr>
            <w:tcW w:w="706" w:type="pct"/>
            <w:tcMar>
              <w:left w:w="28" w:type="dxa"/>
              <w:right w:w="28" w:type="dxa"/>
            </w:tcMar>
          </w:tcPr>
          <w:p w:rsidR="00AE73AA" w:rsidRPr="0022357A" w:rsidRDefault="00AE73AA" w:rsidP="00A65DFB">
            <w:pPr>
              <w:pStyle w:val="Tabletext"/>
              <w:keepNext/>
              <w:jc w:val="center"/>
            </w:pPr>
            <w:r w:rsidRPr="0022357A">
              <w:t>40% (26, 55)</w:t>
            </w:r>
          </w:p>
          <w:p w:rsidR="00AE73AA" w:rsidRPr="0022357A" w:rsidRDefault="00AE73AA" w:rsidP="00A65DFB">
            <w:pPr>
              <w:pStyle w:val="Tabletext"/>
              <w:keepNext/>
              <w:jc w:val="center"/>
            </w:pPr>
            <w:r w:rsidRPr="0022357A">
              <w:t>[n=13]</w:t>
            </w:r>
          </w:p>
        </w:tc>
        <w:tc>
          <w:tcPr>
            <w:tcW w:w="708" w:type="pct"/>
            <w:tcMar>
              <w:left w:w="28" w:type="dxa"/>
              <w:right w:w="28" w:type="dxa"/>
            </w:tcMar>
            <w:vAlign w:val="center"/>
          </w:tcPr>
          <w:p w:rsidR="00AE73AA" w:rsidRPr="0022357A" w:rsidRDefault="00AE73AA" w:rsidP="00A65DFB">
            <w:pPr>
              <w:pStyle w:val="Tabletext"/>
              <w:keepNext/>
              <w:jc w:val="center"/>
            </w:pPr>
            <w:r w:rsidRPr="0022357A">
              <w:t>31% (19, 46)</w:t>
            </w:r>
          </w:p>
          <w:p w:rsidR="00AE73AA" w:rsidRPr="0022357A" w:rsidRDefault="00AE73AA" w:rsidP="00A65DFB">
            <w:pPr>
              <w:pStyle w:val="Tabletext"/>
              <w:keepNext/>
              <w:jc w:val="center"/>
            </w:pPr>
            <w:r w:rsidRPr="0022357A">
              <w:t>[n=12]</w:t>
            </w:r>
          </w:p>
        </w:tc>
        <w:tc>
          <w:tcPr>
            <w:tcW w:w="707" w:type="pct"/>
            <w:tcMar>
              <w:left w:w="28" w:type="dxa"/>
              <w:right w:w="28" w:type="dxa"/>
            </w:tcMar>
            <w:vAlign w:val="center"/>
          </w:tcPr>
          <w:p w:rsidR="00AE73AA" w:rsidRPr="0022357A" w:rsidRDefault="00AE73AA" w:rsidP="00A65DFB">
            <w:pPr>
              <w:pStyle w:val="Tabletext"/>
              <w:keepNext/>
              <w:jc w:val="center"/>
            </w:pPr>
            <w:r w:rsidRPr="0022357A">
              <w:t>NR</w:t>
            </w:r>
          </w:p>
        </w:tc>
        <w:tc>
          <w:tcPr>
            <w:tcW w:w="708" w:type="pct"/>
            <w:tcBorders>
              <w:righ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629" w:type="pct"/>
            <w:tcBorders>
              <w:left w:val="double" w:sz="4" w:space="0" w:color="auto"/>
            </w:tcBorders>
            <w:tcMar>
              <w:left w:w="28" w:type="dxa"/>
              <w:right w:w="28" w:type="dxa"/>
            </w:tcMar>
            <w:vAlign w:val="center"/>
          </w:tcPr>
          <w:p w:rsidR="00AE73AA" w:rsidRPr="0022357A" w:rsidRDefault="00AE73AA" w:rsidP="00A65DFB">
            <w:pPr>
              <w:pStyle w:val="Tabletext"/>
              <w:keepNext/>
              <w:jc w:val="center"/>
            </w:pPr>
            <w:r w:rsidRPr="0022357A">
              <w:t>NR</w:t>
            </w:r>
          </w:p>
        </w:tc>
        <w:tc>
          <w:tcPr>
            <w:tcW w:w="679" w:type="pct"/>
            <w:tcMar>
              <w:left w:w="28" w:type="dxa"/>
              <w:right w:w="28" w:type="dxa"/>
            </w:tcMar>
            <w:vAlign w:val="center"/>
          </w:tcPr>
          <w:p w:rsidR="00AE73AA" w:rsidRPr="0022357A" w:rsidRDefault="00AE73AA" w:rsidP="00A65DFB">
            <w:pPr>
              <w:pStyle w:val="Tabletext"/>
              <w:keepNext/>
              <w:jc w:val="center"/>
            </w:pPr>
            <w:r w:rsidRPr="0022357A">
              <w:t>NR</w:t>
            </w:r>
          </w:p>
        </w:tc>
      </w:tr>
    </w:tbl>
    <w:p w:rsidR="00AE73AA" w:rsidRPr="0022357A" w:rsidRDefault="00AE73AA" w:rsidP="00A65DFB">
      <w:pPr>
        <w:pStyle w:val="TableFooter"/>
        <w:keepNext/>
        <w:rPr>
          <w:sz w:val="20"/>
        </w:rPr>
      </w:pPr>
      <w:r w:rsidRPr="0022357A">
        <w:t xml:space="preserve">Source: Table 2.5-4, p106; Table 2.6-2, p127 of the submission; Table 11n, p96; Table 11p, p101 of the ALCANZA CSR; </w:t>
      </w:r>
    </w:p>
    <w:p w:rsidR="00AE73AA" w:rsidRPr="0022357A" w:rsidRDefault="00AE73AA" w:rsidP="00A65DFB">
      <w:pPr>
        <w:pStyle w:val="TableFooter"/>
        <w:keepNext/>
        <w:rPr>
          <w:rFonts w:eastAsia="Calibri"/>
        </w:rPr>
      </w:pPr>
      <w:r w:rsidRPr="0022357A">
        <w:rPr>
          <w:rFonts w:eastAsia="Calibri"/>
        </w:rPr>
        <w:t>CI = confidence interval; IRF = independent review facility; KM= Kaplan-Meier</w:t>
      </w:r>
      <w:r w:rsidR="0060150D" w:rsidRPr="0022357A">
        <w:rPr>
          <w:rFonts w:eastAsia="Calibri"/>
        </w:rPr>
        <w:t xml:space="preserve">; </w:t>
      </w:r>
      <w:r w:rsidRPr="0022357A">
        <w:rPr>
          <w:rFonts w:eastAsia="Calibri"/>
        </w:rPr>
        <w:t>N = total participants in group; NR = not reported; PFS = progression-free survival;</w:t>
      </w:r>
    </w:p>
    <w:p w:rsidR="00AE73AA" w:rsidRPr="0022357A" w:rsidRDefault="00AE73AA" w:rsidP="00A65DFB">
      <w:pPr>
        <w:pStyle w:val="TableFooter"/>
        <w:keepNext/>
        <w:rPr>
          <w:rFonts w:eastAsia="Calibri"/>
        </w:rPr>
      </w:pPr>
      <w:proofErr w:type="spellStart"/>
      <w:proofErr w:type="gramStart"/>
      <w:r w:rsidRPr="0022357A">
        <w:rPr>
          <w:rFonts w:eastAsia="Calibri"/>
          <w:vertAlign w:val="superscript"/>
        </w:rPr>
        <w:t>a</w:t>
      </w:r>
      <w:proofErr w:type="spellEnd"/>
      <w:proofErr w:type="gramEnd"/>
      <w:r w:rsidRPr="0022357A">
        <w:rPr>
          <w:rFonts w:eastAsia="Calibri"/>
        </w:rPr>
        <w:t xml:space="preserve"> Independent review </w:t>
      </w:r>
    </w:p>
    <w:p w:rsidR="00AE73AA" w:rsidRPr="0022357A" w:rsidRDefault="00AE73AA" w:rsidP="00A65DFB">
      <w:pPr>
        <w:pStyle w:val="TableFooter"/>
        <w:keepNext/>
        <w:rPr>
          <w:rFonts w:eastAsia="Calibri"/>
        </w:rPr>
      </w:pPr>
      <w:proofErr w:type="gramStart"/>
      <w:r w:rsidRPr="0022357A">
        <w:rPr>
          <w:rFonts w:eastAsia="Calibri"/>
          <w:vertAlign w:val="superscript"/>
        </w:rPr>
        <w:t>b</w:t>
      </w:r>
      <w:proofErr w:type="gramEnd"/>
      <w:r w:rsidRPr="0022357A">
        <w:rPr>
          <w:rFonts w:eastAsia="Calibri"/>
        </w:rPr>
        <w:t xml:space="preserve"> Investigator</w:t>
      </w:r>
    </w:p>
    <w:p w:rsidR="00AE73AA" w:rsidRPr="0022357A" w:rsidRDefault="00AE73AA" w:rsidP="00A65DFB">
      <w:pPr>
        <w:pStyle w:val="TableFooter"/>
        <w:keepNext/>
        <w:rPr>
          <w:rStyle w:val="CommentReference"/>
          <w:rFonts w:eastAsia="Calibri"/>
          <w:b w:val="0"/>
          <w:sz w:val="18"/>
          <w:szCs w:val="22"/>
        </w:rPr>
      </w:pPr>
      <w:proofErr w:type="gramStart"/>
      <w:r w:rsidRPr="0022357A">
        <w:rPr>
          <w:rFonts w:eastAsia="Calibri"/>
          <w:vertAlign w:val="superscript"/>
        </w:rPr>
        <w:t>c</w:t>
      </w:r>
      <w:proofErr w:type="gramEnd"/>
      <w:r w:rsidRPr="0022357A">
        <w:rPr>
          <w:rFonts w:eastAsia="Calibri"/>
        </w:rPr>
        <w:t xml:space="preserve"> 23 months for LyP and pcALCL, 27 months for MF  </w:t>
      </w:r>
    </w:p>
    <w:p w:rsidR="00AE73AA" w:rsidRPr="0022357A" w:rsidRDefault="00AE73AA" w:rsidP="00A65DFB">
      <w:pPr>
        <w:pStyle w:val="TableFooter"/>
        <w:keepNext/>
      </w:pPr>
      <w:proofErr w:type="gramStart"/>
      <w:r w:rsidRPr="0022357A">
        <w:rPr>
          <w:vertAlign w:val="superscript"/>
        </w:rPr>
        <w:t>d</w:t>
      </w:r>
      <w:proofErr w:type="gramEnd"/>
      <w:r w:rsidRPr="0022357A">
        <w:rPr>
          <w:vertAlign w:val="superscript"/>
        </w:rPr>
        <w:t xml:space="preserve"> </w:t>
      </w:r>
      <w:r w:rsidRPr="0022357A">
        <w:t>71.7 weeks converted to months by dividing by 0.23</w:t>
      </w:r>
    </w:p>
    <w:p w:rsidR="00AE73AA" w:rsidRPr="0022357A" w:rsidRDefault="00AE73AA" w:rsidP="00AE73AA">
      <w:pPr>
        <w:pStyle w:val="TableFooter"/>
      </w:pPr>
    </w:p>
    <w:p w:rsidR="00AE73AA" w:rsidRPr="00C35104" w:rsidRDefault="00817FCA" w:rsidP="00AE73AA">
      <w:pPr>
        <w:pStyle w:val="ListParagraph"/>
        <w:widowControl/>
        <w:numPr>
          <w:ilvl w:val="1"/>
          <w:numId w:val="3"/>
        </w:numPr>
      </w:pPr>
      <w:r>
        <w:t xml:space="preserve">The </w:t>
      </w:r>
      <w:r w:rsidR="00AE73AA" w:rsidRPr="0022357A">
        <w:t xml:space="preserve">brentuximab vedotin studies reported a median PFS ranging from 13.2 months to 16.7 months. This was substantially longer than the 3.1 months to 3.8 months reported in the vorinostat (MAVORIC) trial. Patients who are </w:t>
      </w:r>
      <w:r w:rsidR="0027386B" w:rsidRPr="0022357A">
        <w:t xml:space="preserve">defined as </w:t>
      </w:r>
      <w:r w:rsidR="00AE73AA" w:rsidRPr="0022357A">
        <w:t>progression</w:t>
      </w:r>
      <w:r w:rsidR="0027386B" w:rsidRPr="0022357A">
        <w:noBreakHyphen/>
      </w:r>
      <w:r w:rsidR="00AE73AA" w:rsidRPr="0022357A">
        <w:t>free do not necessarily have a response to treatment as patients can be considered progression-free with</w:t>
      </w:r>
      <w:r w:rsidR="0027386B" w:rsidRPr="0022357A">
        <w:t>:</w:t>
      </w:r>
      <w:r w:rsidR="00AE73AA" w:rsidRPr="0022357A">
        <w:t xml:space="preserve"> a small increase in skin disease (&lt; 25% increase</w:t>
      </w:r>
      <w:r w:rsidR="0027386B" w:rsidRPr="0022357A">
        <w:t xml:space="preserve">); </w:t>
      </w:r>
      <w:r w:rsidR="00AE73AA" w:rsidRPr="0022357A">
        <w:t>no improvement (stable disease</w:t>
      </w:r>
      <w:r w:rsidR="0027386B" w:rsidRPr="0022357A">
        <w:t xml:space="preserve">); </w:t>
      </w:r>
      <w:r w:rsidR="00AE73AA" w:rsidRPr="0022357A">
        <w:t>a minor skin response (&lt; 50% clearance required for partial response</w:t>
      </w:r>
      <w:r w:rsidR="0027386B" w:rsidRPr="0022357A">
        <w:t xml:space="preserve">); </w:t>
      </w:r>
      <w:r w:rsidR="00AE73AA" w:rsidRPr="0022357A">
        <w:t>partial response</w:t>
      </w:r>
      <w:r w:rsidR="0027386B" w:rsidRPr="0022357A">
        <w:t xml:space="preserve">; </w:t>
      </w:r>
      <w:r w:rsidR="00AE73AA" w:rsidRPr="0022357A">
        <w:t>or complete response.</w:t>
      </w:r>
      <w:r w:rsidR="00EF2D25">
        <w:t xml:space="preserve"> </w:t>
      </w:r>
      <w:r w:rsidR="00EF2D25" w:rsidRPr="00C35104">
        <w:t>The ESC considered that PFS appeared to be improved for patients tre</w:t>
      </w:r>
      <w:r w:rsidR="00376F88" w:rsidRPr="00C35104">
        <w:t>a</w:t>
      </w:r>
      <w:r w:rsidR="00EF2D25" w:rsidRPr="00C35104">
        <w:t xml:space="preserve">ted with brentuximab vedotin but most data </w:t>
      </w:r>
      <w:r w:rsidR="003901F6" w:rsidRPr="00C35104">
        <w:t>were</w:t>
      </w:r>
      <w:r w:rsidR="00EF2D25" w:rsidRPr="00C35104">
        <w:t xml:space="preserve"> in the MF subtype and the extent of PFS improvement was difficult to determine.</w:t>
      </w:r>
      <w:r w:rsidR="00511DAB">
        <w:t xml:space="preserve"> </w:t>
      </w:r>
      <w:r w:rsidR="00511DAB" w:rsidRPr="008704F7">
        <w:t xml:space="preserve">The pre-PBAC response </w:t>
      </w:r>
      <w:r w:rsidR="00501AC1" w:rsidRPr="008704F7">
        <w:t xml:space="preserve">contended that PFS is the most appropriate measure of efficacy to inform decision-making in this context as it is objectively assessed and captured both response and duration of response. The PBAC </w:t>
      </w:r>
      <w:r w:rsidR="00AD3EA5">
        <w:t>considered</w:t>
      </w:r>
      <w:r w:rsidR="00501AC1" w:rsidRPr="008704F7">
        <w:t xml:space="preserve"> that </w:t>
      </w:r>
      <w:r w:rsidR="006C7881" w:rsidRPr="008704F7">
        <w:t xml:space="preserve">PFS was difficult to interpret and compare across the trials due to differences in the patient populations and outcome measurement. </w:t>
      </w:r>
      <w:r w:rsidR="00B36499">
        <w:t>The PBAC also considered that time to next treatment (TTNT), adjusted for the time therapy ceased, may be a more appropriate outcome for considering the duration of treatment response.</w:t>
      </w:r>
      <w:r w:rsidR="0038208B">
        <w:rPr>
          <w:i/>
        </w:rPr>
        <w:t xml:space="preserve"> </w:t>
      </w:r>
    </w:p>
    <w:p w:rsidR="00AE73AA" w:rsidRPr="0022357A" w:rsidRDefault="00AE73AA" w:rsidP="00AE73AA">
      <w:pPr>
        <w:pStyle w:val="ListParagraph"/>
        <w:widowControl/>
        <w:numPr>
          <w:ilvl w:val="1"/>
          <w:numId w:val="3"/>
        </w:numPr>
      </w:pPr>
      <w:r w:rsidRPr="0022357A">
        <w:lastRenderedPageBreak/>
        <w:t xml:space="preserve">Brentuximab vedotin appeared to provide a substantial improvement in response and PFS compared with vorinostat. However, the </w:t>
      </w:r>
      <w:r w:rsidR="00A50A0B">
        <w:t xml:space="preserve">PBAC considered that the </w:t>
      </w:r>
      <w:r w:rsidRPr="0022357A">
        <w:t>extent of the incremental benefit was difficult to determine because the comparison was based on a naïve comparison of treatment groups with poor transitivity. This was due to more patients with CTCL subtypes with worse prognosis (more SS, no pcALCL and LyP) in the vorinostat studies; more patients with Stage III or IV CTCL in the vorinostat studies</w:t>
      </w:r>
      <w:r w:rsidR="00446AB1" w:rsidRPr="0022357A">
        <w:t>;</w:t>
      </w:r>
      <w:r w:rsidRPr="0022357A">
        <w:t xml:space="preserve"> fewer prior systemic therapies used by patients in the brentuximab vedotin studies; differences in outcome assessment; and potential changes in CTCL treatment due to some of the vorinostat studies being conducted 12 years </w:t>
      </w:r>
      <w:r w:rsidR="0027386B" w:rsidRPr="0022357A">
        <w:t xml:space="preserve">earlier than </w:t>
      </w:r>
      <w:r w:rsidRPr="0022357A">
        <w:t xml:space="preserve">the brentuximab vedotin studies. These factors mostly favoured brentuximab vedotin. </w:t>
      </w:r>
      <w:r w:rsidR="00A50A0B">
        <w:t xml:space="preserve">In addition, the PBAC considered that </w:t>
      </w:r>
      <w:r w:rsidR="00A50A0B">
        <w:rPr>
          <w:color w:val="000000" w:themeColor="text1"/>
        </w:rPr>
        <w:t>a major concern with the naïve comparison presented was the fact that, unlike brentuximab vedotin, vorinostat use was not restricted to patients with CD30 positive CTCL.</w:t>
      </w:r>
    </w:p>
    <w:p w:rsidR="00AE73AA" w:rsidRPr="0022357A" w:rsidRDefault="00AE73AA" w:rsidP="00A65DFB">
      <w:pPr>
        <w:pStyle w:val="BodyText"/>
        <w:keepNext/>
        <w:rPr>
          <w:u w:val="single"/>
        </w:rPr>
      </w:pPr>
      <w:r w:rsidRPr="0022357A">
        <w:rPr>
          <w:u w:val="single"/>
        </w:rPr>
        <w:t xml:space="preserve">Brentuximab vedotin vs. methotrexate </w:t>
      </w:r>
    </w:p>
    <w:p w:rsidR="0027386B" w:rsidRPr="0022357A" w:rsidRDefault="0027386B" w:rsidP="00A65DFB">
      <w:pPr>
        <w:pStyle w:val="BodyText"/>
        <w:keepNext/>
        <w:rPr>
          <w:u w:val="single"/>
        </w:rPr>
      </w:pPr>
    </w:p>
    <w:p w:rsidR="00AE73AA" w:rsidRPr="0022357A" w:rsidRDefault="00AE73AA" w:rsidP="00A65DFB">
      <w:pPr>
        <w:pStyle w:val="ListParagraph"/>
        <w:keepNext/>
        <w:widowControl/>
        <w:numPr>
          <w:ilvl w:val="1"/>
          <w:numId w:val="3"/>
        </w:numPr>
      </w:pPr>
      <w:r w:rsidRPr="0022357A">
        <w:t>Table 6 presents the response outcomes from the ALCANZA trial that compared brentuximab vedotin with physician’s choice of methotrexate or bexarotene.</w:t>
      </w:r>
    </w:p>
    <w:p w:rsidR="00AE73AA" w:rsidRPr="0022357A" w:rsidRDefault="00AE73AA" w:rsidP="00A65DFB">
      <w:pPr>
        <w:keepNext/>
        <w:rPr>
          <w:rStyle w:val="CommentReference"/>
        </w:rPr>
      </w:pPr>
      <w:r w:rsidRPr="0022357A">
        <w:rPr>
          <w:rStyle w:val="CommentReference"/>
        </w:rPr>
        <w:t xml:space="preserve">Table 6: Results of response outcomes from the ALCANZA trial (brentuximab vedotin vs. </w:t>
      </w:r>
      <w:r w:rsidR="00957065" w:rsidRPr="0022357A">
        <w:rPr>
          <w:rStyle w:val="CommentReference"/>
        </w:rPr>
        <w:t xml:space="preserve">methotrexate)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597"/>
        <w:gridCol w:w="1454"/>
        <w:gridCol w:w="1745"/>
        <w:gridCol w:w="1597"/>
        <w:gridCol w:w="1400"/>
      </w:tblGrid>
      <w:tr w:rsidR="00AE73AA" w:rsidRPr="0022357A" w:rsidTr="0056712A">
        <w:trPr>
          <w:tblHeader/>
        </w:trPr>
        <w:tc>
          <w:tcPr>
            <w:tcW w:w="735" w:type="pct"/>
            <w:vAlign w:val="center"/>
          </w:tcPr>
          <w:p w:rsidR="00AE73AA" w:rsidRPr="0022357A" w:rsidRDefault="00AE73AA" w:rsidP="00A65DFB">
            <w:pPr>
              <w:pStyle w:val="Tabletext"/>
              <w:keepNext/>
              <w:rPr>
                <w:b/>
              </w:rPr>
            </w:pPr>
            <w:r w:rsidRPr="0022357A">
              <w:rPr>
                <w:b/>
              </w:rPr>
              <w:t xml:space="preserve">Outcome and assessor </w:t>
            </w:r>
          </w:p>
        </w:tc>
        <w:tc>
          <w:tcPr>
            <w:tcW w:w="874" w:type="pct"/>
            <w:vAlign w:val="center"/>
          </w:tcPr>
          <w:p w:rsidR="00AE73AA" w:rsidRPr="0022357A" w:rsidRDefault="00AE73AA" w:rsidP="00A65DFB">
            <w:pPr>
              <w:pStyle w:val="Tabletext"/>
              <w:keepNext/>
              <w:jc w:val="center"/>
              <w:rPr>
                <w:b/>
              </w:rPr>
            </w:pPr>
            <w:r w:rsidRPr="0022357A">
              <w:rPr>
                <w:b/>
              </w:rPr>
              <w:t xml:space="preserve">BV </w:t>
            </w:r>
          </w:p>
        </w:tc>
        <w:tc>
          <w:tcPr>
            <w:tcW w:w="796" w:type="pct"/>
            <w:vAlign w:val="center"/>
          </w:tcPr>
          <w:p w:rsidR="00AE73AA" w:rsidRPr="0022357A" w:rsidRDefault="00AE73AA" w:rsidP="00A65DFB">
            <w:pPr>
              <w:pStyle w:val="Tabletext"/>
              <w:keepNext/>
              <w:jc w:val="center"/>
              <w:rPr>
                <w:b/>
              </w:rPr>
            </w:pPr>
            <w:r w:rsidRPr="0022357A">
              <w:rPr>
                <w:b/>
              </w:rPr>
              <w:t xml:space="preserve">PC </w:t>
            </w:r>
            <w:r w:rsidRPr="0022357A">
              <w:rPr>
                <w:b/>
              </w:rPr>
              <w:br/>
              <w:t>(BEX or MTX)</w:t>
            </w:r>
          </w:p>
        </w:tc>
        <w:tc>
          <w:tcPr>
            <w:tcW w:w="955" w:type="pct"/>
          </w:tcPr>
          <w:p w:rsidR="00AE73AA" w:rsidRPr="0022357A" w:rsidRDefault="00AE73AA" w:rsidP="00A65DFB">
            <w:pPr>
              <w:pStyle w:val="Tabletext"/>
              <w:keepNext/>
              <w:jc w:val="center"/>
              <w:rPr>
                <w:b/>
              </w:rPr>
            </w:pPr>
            <w:r w:rsidRPr="0022357A">
              <w:rPr>
                <w:b/>
              </w:rPr>
              <w:t xml:space="preserve">Risk difference </w:t>
            </w:r>
            <w:r w:rsidRPr="0022357A">
              <w:rPr>
                <w:b/>
              </w:rPr>
              <w:br/>
              <w:t>BV vs PC (95% CI)</w:t>
            </w:r>
          </w:p>
        </w:tc>
        <w:tc>
          <w:tcPr>
            <w:tcW w:w="874" w:type="pct"/>
            <w:vAlign w:val="center"/>
          </w:tcPr>
          <w:p w:rsidR="00AE73AA" w:rsidRPr="0022357A" w:rsidRDefault="00AE73AA" w:rsidP="00A65DFB">
            <w:pPr>
              <w:pStyle w:val="Tabletext"/>
              <w:keepNext/>
              <w:jc w:val="center"/>
              <w:rPr>
                <w:b/>
              </w:rPr>
            </w:pPr>
            <w:r w:rsidRPr="0022357A">
              <w:rPr>
                <w:b/>
              </w:rPr>
              <w:t>MTX</w:t>
            </w:r>
          </w:p>
        </w:tc>
        <w:tc>
          <w:tcPr>
            <w:tcW w:w="766" w:type="pct"/>
            <w:vAlign w:val="center"/>
          </w:tcPr>
          <w:p w:rsidR="00AE73AA" w:rsidRPr="0022357A" w:rsidRDefault="00AE73AA" w:rsidP="00A65DFB">
            <w:pPr>
              <w:pStyle w:val="Tabletext"/>
              <w:keepNext/>
              <w:jc w:val="center"/>
              <w:rPr>
                <w:b/>
              </w:rPr>
            </w:pPr>
            <w:r w:rsidRPr="0022357A">
              <w:rPr>
                <w:b/>
              </w:rPr>
              <w:t xml:space="preserve">BEX </w:t>
            </w:r>
          </w:p>
        </w:tc>
      </w:tr>
      <w:tr w:rsidR="00AE73AA" w:rsidRPr="0022357A" w:rsidTr="0056712A">
        <w:tc>
          <w:tcPr>
            <w:tcW w:w="5000" w:type="pct"/>
            <w:gridSpan w:val="6"/>
          </w:tcPr>
          <w:p w:rsidR="00AE73AA" w:rsidRPr="0022357A" w:rsidRDefault="00AE73AA" w:rsidP="00A65DFB">
            <w:pPr>
              <w:pStyle w:val="Tabletext"/>
              <w:keepNext/>
              <w:rPr>
                <w:b/>
              </w:rPr>
            </w:pPr>
            <w:r w:rsidRPr="0022357A">
              <w:rPr>
                <w:b/>
              </w:rPr>
              <w:t>ORR4 (primary outcome)</w:t>
            </w:r>
          </w:p>
        </w:tc>
      </w:tr>
      <w:tr w:rsidR="00AE73AA" w:rsidRPr="0022357A" w:rsidTr="0056712A">
        <w:tc>
          <w:tcPr>
            <w:tcW w:w="735" w:type="pct"/>
            <w:vAlign w:val="center"/>
          </w:tcPr>
          <w:p w:rsidR="00AE73AA" w:rsidRPr="0022357A" w:rsidRDefault="00AE73AA" w:rsidP="00A65DFB">
            <w:pPr>
              <w:pStyle w:val="Tabletext"/>
              <w:keepNext/>
            </w:pPr>
            <w:r w:rsidRPr="0022357A">
              <w:t xml:space="preserve">IRF </w:t>
            </w:r>
          </w:p>
        </w:tc>
        <w:tc>
          <w:tcPr>
            <w:tcW w:w="874" w:type="pct"/>
            <w:vAlign w:val="center"/>
          </w:tcPr>
          <w:p w:rsidR="00AE73AA" w:rsidRPr="0022357A" w:rsidRDefault="00AE73AA" w:rsidP="00A65DFB">
            <w:pPr>
              <w:pStyle w:val="Tabletext"/>
              <w:keepNext/>
              <w:jc w:val="center"/>
            </w:pPr>
            <w:r w:rsidRPr="0022357A">
              <w:t>36/64 (56%)</w:t>
            </w:r>
          </w:p>
        </w:tc>
        <w:tc>
          <w:tcPr>
            <w:tcW w:w="796" w:type="pct"/>
            <w:vAlign w:val="center"/>
          </w:tcPr>
          <w:p w:rsidR="00AE73AA" w:rsidRPr="0022357A" w:rsidRDefault="00AE73AA" w:rsidP="00A65DFB">
            <w:pPr>
              <w:pStyle w:val="Tabletext"/>
              <w:keepNext/>
              <w:jc w:val="center"/>
            </w:pPr>
            <w:r w:rsidRPr="0022357A">
              <w:t>8/64 (13%)</w:t>
            </w:r>
          </w:p>
        </w:tc>
        <w:tc>
          <w:tcPr>
            <w:tcW w:w="955" w:type="pct"/>
            <w:vAlign w:val="center"/>
          </w:tcPr>
          <w:p w:rsidR="00AE73AA" w:rsidRPr="0022357A" w:rsidRDefault="00AE73AA" w:rsidP="00A65DFB">
            <w:pPr>
              <w:pStyle w:val="Tabletext"/>
              <w:keepNext/>
              <w:jc w:val="center"/>
              <w:rPr>
                <w:b/>
              </w:rPr>
            </w:pPr>
            <w:r w:rsidRPr="0022357A">
              <w:rPr>
                <w:b/>
              </w:rPr>
              <w:t>44% (29, 58)</w:t>
            </w:r>
          </w:p>
        </w:tc>
        <w:tc>
          <w:tcPr>
            <w:tcW w:w="874"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c>
          <w:tcPr>
            <w:tcW w:w="766"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r>
      <w:tr w:rsidR="00AE73AA" w:rsidRPr="0022357A" w:rsidTr="0056712A">
        <w:tc>
          <w:tcPr>
            <w:tcW w:w="735" w:type="pct"/>
            <w:vAlign w:val="center"/>
          </w:tcPr>
          <w:p w:rsidR="00AE73AA" w:rsidRPr="0022357A" w:rsidRDefault="00AE73AA" w:rsidP="00A65DFB">
            <w:pPr>
              <w:pStyle w:val="Tabletext"/>
              <w:keepNext/>
            </w:pPr>
            <w:r w:rsidRPr="0022357A">
              <w:t xml:space="preserve">Investigator </w:t>
            </w:r>
          </w:p>
        </w:tc>
        <w:tc>
          <w:tcPr>
            <w:tcW w:w="874" w:type="pct"/>
            <w:vAlign w:val="center"/>
          </w:tcPr>
          <w:p w:rsidR="00AE73AA" w:rsidRPr="0022357A" w:rsidRDefault="00AE73AA" w:rsidP="00A65DFB">
            <w:pPr>
              <w:pStyle w:val="Tabletext"/>
              <w:keepNext/>
              <w:jc w:val="center"/>
            </w:pPr>
            <w:r w:rsidRPr="0022357A">
              <w:t>38/64 (60%)</w:t>
            </w:r>
          </w:p>
        </w:tc>
        <w:tc>
          <w:tcPr>
            <w:tcW w:w="796" w:type="pct"/>
            <w:vAlign w:val="center"/>
          </w:tcPr>
          <w:p w:rsidR="00AE73AA" w:rsidRPr="0022357A" w:rsidRDefault="00AE73AA" w:rsidP="00A65DFB">
            <w:pPr>
              <w:pStyle w:val="Tabletext"/>
              <w:keepNext/>
              <w:jc w:val="center"/>
            </w:pPr>
            <w:r w:rsidRPr="0022357A">
              <w:t>5/64 (8%)</w:t>
            </w:r>
          </w:p>
        </w:tc>
        <w:tc>
          <w:tcPr>
            <w:tcW w:w="955" w:type="pct"/>
          </w:tcPr>
          <w:p w:rsidR="00AE73AA" w:rsidRPr="0022357A" w:rsidRDefault="00AE73AA" w:rsidP="00A65DFB">
            <w:pPr>
              <w:pStyle w:val="Tabletext"/>
              <w:keepNext/>
              <w:jc w:val="center"/>
              <w:rPr>
                <w:b/>
              </w:rPr>
            </w:pPr>
            <w:r w:rsidRPr="0022357A">
              <w:rPr>
                <w:b/>
              </w:rPr>
              <w:t>52% (35, 66)</w:t>
            </w:r>
          </w:p>
        </w:tc>
        <w:tc>
          <w:tcPr>
            <w:tcW w:w="874"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c>
          <w:tcPr>
            <w:tcW w:w="766"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r>
      <w:tr w:rsidR="00AE73AA" w:rsidRPr="0022357A" w:rsidTr="0056712A">
        <w:tc>
          <w:tcPr>
            <w:tcW w:w="5000" w:type="pct"/>
            <w:gridSpan w:val="6"/>
            <w:vAlign w:val="center"/>
          </w:tcPr>
          <w:p w:rsidR="00AE73AA" w:rsidRPr="0022357A" w:rsidRDefault="00AE73AA" w:rsidP="00A65DFB">
            <w:pPr>
              <w:pStyle w:val="Tabletext"/>
              <w:keepNext/>
              <w:rPr>
                <w:b/>
              </w:rPr>
            </w:pPr>
            <w:r w:rsidRPr="0022357A">
              <w:rPr>
                <w:b/>
              </w:rPr>
              <w:t>ORR (CR + PR)</w:t>
            </w:r>
          </w:p>
        </w:tc>
      </w:tr>
      <w:tr w:rsidR="00AE73AA" w:rsidRPr="0022357A" w:rsidTr="0056712A">
        <w:tc>
          <w:tcPr>
            <w:tcW w:w="735" w:type="pct"/>
            <w:vAlign w:val="center"/>
          </w:tcPr>
          <w:p w:rsidR="00AE73AA" w:rsidRPr="0022357A" w:rsidRDefault="00AE73AA" w:rsidP="00A65DFB">
            <w:pPr>
              <w:pStyle w:val="Tabletext"/>
              <w:keepNext/>
            </w:pPr>
            <w:r w:rsidRPr="0022357A">
              <w:t xml:space="preserve">IRF </w:t>
            </w:r>
          </w:p>
        </w:tc>
        <w:tc>
          <w:tcPr>
            <w:tcW w:w="874" w:type="pct"/>
            <w:vAlign w:val="center"/>
          </w:tcPr>
          <w:p w:rsidR="00AE73AA" w:rsidRPr="0022357A" w:rsidRDefault="00AE73AA" w:rsidP="00A65DFB">
            <w:pPr>
              <w:pStyle w:val="Tabletext"/>
              <w:keepNext/>
              <w:jc w:val="center"/>
            </w:pPr>
            <w:r w:rsidRPr="0022357A">
              <w:t>43/64 (67%)</w:t>
            </w:r>
          </w:p>
        </w:tc>
        <w:tc>
          <w:tcPr>
            <w:tcW w:w="796" w:type="pct"/>
            <w:vAlign w:val="center"/>
          </w:tcPr>
          <w:p w:rsidR="00AE73AA" w:rsidRPr="0022357A" w:rsidRDefault="00AE73AA" w:rsidP="00A65DFB">
            <w:pPr>
              <w:pStyle w:val="Tabletext"/>
              <w:keepNext/>
              <w:jc w:val="center"/>
            </w:pPr>
            <w:r w:rsidRPr="0022357A">
              <w:t>13/64 (20%)</w:t>
            </w:r>
          </w:p>
        </w:tc>
        <w:tc>
          <w:tcPr>
            <w:tcW w:w="955" w:type="pct"/>
            <w:vAlign w:val="center"/>
          </w:tcPr>
          <w:p w:rsidR="00AE73AA" w:rsidRPr="0022357A" w:rsidRDefault="00AE73AA" w:rsidP="00A65DFB">
            <w:pPr>
              <w:pStyle w:val="Tabletext"/>
              <w:keepNext/>
              <w:jc w:val="center"/>
              <w:rPr>
                <w:b/>
              </w:rPr>
            </w:pPr>
            <w:r w:rsidRPr="0022357A">
              <w:rPr>
                <w:b/>
              </w:rPr>
              <w:t>47% (32, 62)</w:t>
            </w:r>
          </w:p>
        </w:tc>
        <w:tc>
          <w:tcPr>
            <w:tcW w:w="874"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c>
          <w:tcPr>
            <w:tcW w:w="766"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r>
      <w:tr w:rsidR="00AE73AA" w:rsidRPr="0022357A" w:rsidTr="0056712A">
        <w:tc>
          <w:tcPr>
            <w:tcW w:w="735" w:type="pct"/>
            <w:vAlign w:val="center"/>
          </w:tcPr>
          <w:p w:rsidR="00AE73AA" w:rsidRPr="0022357A" w:rsidRDefault="00AE73AA" w:rsidP="00A65DFB">
            <w:pPr>
              <w:pStyle w:val="Tabletext"/>
              <w:keepNext/>
            </w:pPr>
            <w:r w:rsidRPr="0022357A">
              <w:t xml:space="preserve">Investigator </w:t>
            </w:r>
          </w:p>
        </w:tc>
        <w:tc>
          <w:tcPr>
            <w:tcW w:w="874" w:type="pct"/>
            <w:vAlign w:val="center"/>
          </w:tcPr>
          <w:p w:rsidR="00AE73AA" w:rsidRPr="0022357A" w:rsidRDefault="00F72571" w:rsidP="00A65DFB">
            <w:pPr>
              <w:pStyle w:val="Tabletext"/>
              <w:keepNext/>
              <w:jc w:val="center"/>
            </w:pPr>
            <w:r>
              <w:rPr>
                <w:noProof/>
                <w:color w:val="000000"/>
                <w:highlight w:val="black"/>
              </w:rPr>
              <w:t>''''''</w:t>
            </w:r>
            <w:r w:rsidR="00AE73AA" w:rsidRPr="0022357A">
              <w:t>/64 (</w:t>
            </w:r>
            <w:proofErr w:type="gramStart"/>
            <w:r>
              <w:rPr>
                <w:noProof/>
                <w:color w:val="000000"/>
                <w:highlight w:val="black"/>
              </w:rPr>
              <w:t>''''''</w:t>
            </w:r>
            <w:r w:rsidR="00AE73AA" w:rsidRPr="0022357A">
              <w:t>%</w:t>
            </w:r>
            <w:proofErr w:type="gramEnd"/>
            <w:r w:rsidR="00AE73AA" w:rsidRPr="0022357A">
              <w:t>)</w:t>
            </w:r>
          </w:p>
        </w:tc>
        <w:tc>
          <w:tcPr>
            <w:tcW w:w="796" w:type="pct"/>
            <w:vAlign w:val="center"/>
          </w:tcPr>
          <w:p w:rsidR="00AE73AA" w:rsidRPr="0022357A" w:rsidRDefault="00F72571" w:rsidP="00A65DFB">
            <w:pPr>
              <w:pStyle w:val="Tabletext"/>
              <w:keepNext/>
              <w:jc w:val="center"/>
            </w:pPr>
            <w:r>
              <w:rPr>
                <w:noProof/>
                <w:color w:val="000000"/>
                <w:highlight w:val="black"/>
              </w:rPr>
              <w:t>''''''</w:t>
            </w:r>
            <w:r w:rsidR="00AE73AA" w:rsidRPr="0022357A">
              <w:t>/64 (</w:t>
            </w:r>
            <w:proofErr w:type="gramStart"/>
            <w:r>
              <w:rPr>
                <w:noProof/>
                <w:color w:val="000000"/>
                <w:highlight w:val="black"/>
              </w:rPr>
              <w:t>''''''</w:t>
            </w:r>
            <w:r w:rsidR="00AE73AA" w:rsidRPr="0022357A">
              <w:t>%</w:t>
            </w:r>
            <w:proofErr w:type="gramEnd"/>
            <w:r w:rsidR="00AE73AA" w:rsidRPr="0022357A">
              <w:t>)</w:t>
            </w:r>
          </w:p>
        </w:tc>
        <w:tc>
          <w:tcPr>
            <w:tcW w:w="955" w:type="pct"/>
          </w:tcPr>
          <w:p w:rsidR="00AE73AA" w:rsidRPr="0022357A" w:rsidRDefault="00F72571" w:rsidP="00A65DFB">
            <w:pPr>
              <w:pStyle w:val="Tabletext"/>
              <w:keepNext/>
              <w:jc w:val="center"/>
              <w:rPr>
                <w:b/>
              </w:rPr>
            </w:pPr>
            <w:r>
              <w:rPr>
                <w:b/>
                <w:noProof/>
                <w:color w:val="000000"/>
                <w:highlight w:val="black"/>
              </w:rPr>
              <w:t>''''</w:t>
            </w:r>
            <w:r w:rsidR="00AE73AA" w:rsidRPr="0022357A">
              <w:rPr>
                <w:b/>
              </w:rPr>
              <w:t>% (</w:t>
            </w:r>
            <w:r>
              <w:rPr>
                <w:b/>
                <w:noProof/>
                <w:color w:val="000000"/>
                <w:highlight w:val="black"/>
              </w:rPr>
              <w:t>'''''</w:t>
            </w:r>
            <w:r w:rsidR="00AE73AA" w:rsidRPr="0022357A">
              <w:rPr>
                <w:b/>
              </w:rPr>
              <w:t xml:space="preserve">, </w:t>
            </w:r>
            <w:r>
              <w:rPr>
                <w:b/>
                <w:noProof/>
                <w:color w:val="000000"/>
                <w:highlight w:val="black"/>
              </w:rPr>
              <w:t>''''''</w:t>
            </w:r>
            <w:r w:rsidR="00AE73AA" w:rsidRPr="0022357A">
              <w:rPr>
                <w:b/>
              </w:rPr>
              <w:t>)</w:t>
            </w:r>
          </w:p>
        </w:tc>
        <w:tc>
          <w:tcPr>
            <w:tcW w:w="874"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c>
          <w:tcPr>
            <w:tcW w:w="766"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 xml:space="preserve">''''''' </w:t>
            </w:r>
            <w:r w:rsidR="00AE73AA" w:rsidRPr="0022357A">
              <w:t>(</w:t>
            </w:r>
            <w:r>
              <w:rPr>
                <w:noProof/>
                <w:color w:val="000000"/>
                <w:highlight w:val="black"/>
              </w:rPr>
              <w:t>''''''</w:t>
            </w:r>
            <w:r w:rsidR="00AE73AA" w:rsidRPr="0022357A">
              <w:t>%)</w:t>
            </w:r>
          </w:p>
        </w:tc>
      </w:tr>
      <w:tr w:rsidR="00AE73AA" w:rsidRPr="0022357A" w:rsidTr="0056712A">
        <w:tc>
          <w:tcPr>
            <w:tcW w:w="5000" w:type="pct"/>
            <w:gridSpan w:val="6"/>
            <w:vAlign w:val="center"/>
          </w:tcPr>
          <w:p w:rsidR="00AE73AA" w:rsidRPr="0022357A" w:rsidRDefault="00AE73AA" w:rsidP="00A65DFB">
            <w:pPr>
              <w:pStyle w:val="Tabletext"/>
              <w:keepNext/>
              <w:rPr>
                <w:b/>
              </w:rPr>
            </w:pPr>
            <w:r w:rsidRPr="0022357A">
              <w:rPr>
                <w:b/>
              </w:rPr>
              <w:t xml:space="preserve">PR </w:t>
            </w:r>
          </w:p>
        </w:tc>
      </w:tr>
      <w:tr w:rsidR="00AE73AA" w:rsidRPr="0022357A" w:rsidTr="0056712A">
        <w:tc>
          <w:tcPr>
            <w:tcW w:w="735" w:type="pct"/>
            <w:vAlign w:val="center"/>
          </w:tcPr>
          <w:p w:rsidR="00AE73AA" w:rsidRPr="0022357A" w:rsidRDefault="00AE73AA" w:rsidP="00A65DFB">
            <w:pPr>
              <w:pStyle w:val="Tabletext"/>
              <w:keepNext/>
            </w:pPr>
            <w:r w:rsidRPr="0022357A">
              <w:t xml:space="preserve">IRF </w:t>
            </w:r>
          </w:p>
        </w:tc>
        <w:tc>
          <w:tcPr>
            <w:tcW w:w="874" w:type="pct"/>
            <w:vAlign w:val="center"/>
          </w:tcPr>
          <w:p w:rsidR="00AE73AA" w:rsidRPr="0022357A" w:rsidRDefault="00F72571" w:rsidP="00A65DFB">
            <w:pPr>
              <w:pStyle w:val="Tabletext"/>
              <w:keepNext/>
              <w:jc w:val="center"/>
            </w:pPr>
            <w:r>
              <w:rPr>
                <w:noProof/>
                <w:color w:val="000000"/>
                <w:highlight w:val="black"/>
              </w:rPr>
              <w:t>''''''</w:t>
            </w:r>
            <w:r w:rsidR="00AE73AA" w:rsidRPr="0022357A">
              <w:t>/64 (</w:t>
            </w:r>
            <w:proofErr w:type="gramStart"/>
            <w:r>
              <w:rPr>
                <w:noProof/>
                <w:color w:val="000000"/>
                <w:highlight w:val="black"/>
              </w:rPr>
              <w:t>''''''</w:t>
            </w:r>
            <w:r w:rsidR="00AE73AA" w:rsidRPr="0022357A">
              <w:t>%</w:t>
            </w:r>
            <w:proofErr w:type="gramEnd"/>
            <w:r w:rsidR="00AE73AA" w:rsidRPr="0022357A">
              <w:t>)</w:t>
            </w:r>
          </w:p>
        </w:tc>
        <w:tc>
          <w:tcPr>
            <w:tcW w:w="796" w:type="pct"/>
            <w:vAlign w:val="center"/>
          </w:tcPr>
          <w:p w:rsidR="00AE73AA" w:rsidRPr="0022357A" w:rsidRDefault="00F72571" w:rsidP="00A65DFB">
            <w:pPr>
              <w:pStyle w:val="Tabletext"/>
              <w:keepNext/>
              <w:jc w:val="center"/>
            </w:pPr>
            <w:r>
              <w:rPr>
                <w:noProof/>
                <w:color w:val="000000"/>
                <w:highlight w:val="black"/>
              </w:rPr>
              <w:t>'''''</w:t>
            </w:r>
            <w:r w:rsidR="00AE73AA" w:rsidRPr="0022357A">
              <w:t>/64 (</w:t>
            </w:r>
            <w:r>
              <w:rPr>
                <w:noProof/>
                <w:color w:val="000000"/>
                <w:highlight w:val="black"/>
              </w:rPr>
              <w:t>'''''''</w:t>
            </w:r>
            <w:r w:rsidR="00AE73AA" w:rsidRPr="0022357A">
              <w:t>%)</w:t>
            </w:r>
          </w:p>
        </w:tc>
        <w:tc>
          <w:tcPr>
            <w:tcW w:w="955" w:type="pct"/>
            <w:vAlign w:val="center"/>
          </w:tcPr>
          <w:p w:rsidR="00AE73AA" w:rsidRPr="0022357A" w:rsidRDefault="00AE73AA" w:rsidP="00A65DFB">
            <w:pPr>
              <w:pStyle w:val="Tabletext"/>
              <w:keepNext/>
              <w:jc w:val="center"/>
            </w:pPr>
            <w:r w:rsidRPr="0022357A">
              <w:t>NR</w:t>
            </w:r>
          </w:p>
        </w:tc>
        <w:tc>
          <w:tcPr>
            <w:tcW w:w="874"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c>
          <w:tcPr>
            <w:tcW w:w="766"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r>
      <w:tr w:rsidR="00AE73AA" w:rsidRPr="0022357A" w:rsidTr="0056712A">
        <w:tc>
          <w:tcPr>
            <w:tcW w:w="735" w:type="pct"/>
            <w:vAlign w:val="center"/>
          </w:tcPr>
          <w:p w:rsidR="00AE73AA" w:rsidRPr="0022357A" w:rsidRDefault="00AE73AA" w:rsidP="00A65DFB">
            <w:pPr>
              <w:pStyle w:val="Tabletext"/>
              <w:keepNext/>
            </w:pPr>
            <w:r w:rsidRPr="0022357A">
              <w:t xml:space="preserve">Investigator </w:t>
            </w:r>
          </w:p>
        </w:tc>
        <w:tc>
          <w:tcPr>
            <w:tcW w:w="874" w:type="pct"/>
            <w:vAlign w:val="center"/>
          </w:tcPr>
          <w:p w:rsidR="00AE73AA" w:rsidRPr="0022357A" w:rsidRDefault="00F72571" w:rsidP="00A65DFB">
            <w:pPr>
              <w:pStyle w:val="Tabletext"/>
              <w:keepNext/>
              <w:jc w:val="center"/>
            </w:pPr>
            <w:r>
              <w:rPr>
                <w:noProof/>
                <w:color w:val="000000"/>
                <w:highlight w:val="black"/>
              </w:rPr>
              <w:t>''''''</w:t>
            </w:r>
            <w:r w:rsidR="00AE73AA" w:rsidRPr="0022357A">
              <w:t>/64 (</w:t>
            </w:r>
            <w:proofErr w:type="gramStart"/>
            <w:r>
              <w:rPr>
                <w:noProof/>
                <w:color w:val="000000"/>
                <w:highlight w:val="black"/>
              </w:rPr>
              <w:t>''''''</w:t>
            </w:r>
            <w:r w:rsidR="00AE73AA" w:rsidRPr="0022357A">
              <w:t>%</w:t>
            </w:r>
            <w:proofErr w:type="gramEnd"/>
            <w:r w:rsidR="00AE73AA" w:rsidRPr="0022357A">
              <w:t>)</w:t>
            </w:r>
          </w:p>
        </w:tc>
        <w:tc>
          <w:tcPr>
            <w:tcW w:w="796" w:type="pct"/>
            <w:vAlign w:val="center"/>
          </w:tcPr>
          <w:p w:rsidR="00AE73AA" w:rsidRPr="0022357A" w:rsidRDefault="00F72571" w:rsidP="00A65DFB">
            <w:pPr>
              <w:pStyle w:val="Tabletext"/>
              <w:keepNext/>
              <w:jc w:val="center"/>
            </w:pPr>
            <w:r>
              <w:rPr>
                <w:noProof/>
                <w:color w:val="000000"/>
                <w:highlight w:val="black"/>
              </w:rPr>
              <w:t>'''''</w:t>
            </w:r>
            <w:r w:rsidR="00AE73AA" w:rsidRPr="0022357A">
              <w:t>/64 (</w:t>
            </w:r>
            <w:r>
              <w:rPr>
                <w:noProof/>
                <w:color w:val="000000"/>
                <w:highlight w:val="black"/>
              </w:rPr>
              <w:t>'''''</w:t>
            </w:r>
            <w:r w:rsidR="00AE73AA" w:rsidRPr="0022357A">
              <w:t>%)</w:t>
            </w:r>
          </w:p>
        </w:tc>
        <w:tc>
          <w:tcPr>
            <w:tcW w:w="955" w:type="pct"/>
          </w:tcPr>
          <w:p w:rsidR="00AE73AA" w:rsidRPr="0022357A" w:rsidRDefault="00AE73AA" w:rsidP="00A65DFB">
            <w:pPr>
              <w:pStyle w:val="Tabletext"/>
              <w:keepNext/>
              <w:jc w:val="center"/>
            </w:pPr>
            <w:r w:rsidRPr="0022357A">
              <w:t>NR</w:t>
            </w:r>
          </w:p>
        </w:tc>
        <w:tc>
          <w:tcPr>
            <w:tcW w:w="874"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c>
          <w:tcPr>
            <w:tcW w:w="766"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r>
      <w:tr w:rsidR="00AE73AA" w:rsidRPr="0022357A" w:rsidTr="0056712A">
        <w:tc>
          <w:tcPr>
            <w:tcW w:w="5000" w:type="pct"/>
            <w:gridSpan w:val="6"/>
            <w:vAlign w:val="center"/>
          </w:tcPr>
          <w:p w:rsidR="00AE73AA" w:rsidRPr="0022357A" w:rsidRDefault="00AE73AA" w:rsidP="00A65DFB">
            <w:pPr>
              <w:pStyle w:val="Tabletext"/>
              <w:keepNext/>
            </w:pPr>
            <w:r w:rsidRPr="0022357A">
              <w:rPr>
                <w:b/>
              </w:rPr>
              <w:t>CR</w:t>
            </w:r>
          </w:p>
        </w:tc>
      </w:tr>
      <w:tr w:rsidR="00AE73AA" w:rsidRPr="0022357A" w:rsidTr="0056712A">
        <w:tc>
          <w:tcPr>
            <w:tcW w:w="735" w:type="pct"/>
            <w:vAlign w:val="center"/>
          </w:tcPr>
          <w:p w:rsidR="00AE73AA" w:rsidRPr="0022357A" w:rsidRDefault="00AE73AA" w:rsidP="00A65DFB">
            <w:pPr>
              <w:pStyle w:val="Tabletext"/>
              <w:keepNext/>
            </w:pPr>
            <w:r w:rsidRPr="0022357A">
              <w:t xml:space="preserve">IRF </w:t>
            </w:r>
          </w:p>
        </w:tc>
        <w:tc>
          <w:tcPr>
            <w:tcW w:w="874" w:type="pct"/>
            <w:vAlign w:val="center"/>
          </w:tcPr>
          <w:p w:rsidR="00AE73AA" w:rsidRPr="0022357A" w:rsidRDefault="00AE73AA" w:rsidP="00A65DFB">
            <w:pPr>
              <w:pStyle w:val="Tabletext"/>
              <w:keepNext/>
              <w:jc w:val="center"/>
            </w:pPr>
            <w:r w:rsidRPr="0022357A">
              <w:t>10/64 (16%)</w:t>
            </w:r>
          </w:p>
        </w:tc>
        <w:tc>
          <w:tcPr>
            <w:tcW w:w="796" w:type="pct"/>
            <w:vAlign w:val="center"/>
          </w:tcPr>
          <w:p w:rsidR="00AE73AA" w:rsidRPr="0022357A" w:rsidRDefault="00AE73AA" w:rsidP="00A65DFB">
            <w:pPr>
              <w:pStyle w:val="Tabletext"/>
              <w:keepNext/>
              <w:jc w:val="center"/>
            </w:pPr>
            <w:r w:rsidRPr="0022357A">
              <w:t>1/64 (2%)</w:t>
            </w:r>
          </w:p>
        </w:tc>
        <w:tc>
          <w:tcPr>
            <w:tcW w:w="955" w:type="pct"/>
            <w:vAlign w:val="center"/>
          </w:tcPr>
          <w:p w:rsidR="00AE73AA" w:rsidRPr="0022357A" w:rsidRDefault="00AE73AA" w:rsidP="00A65DFB">
            <w:pPr>
              <w:pStyle w:val="Tabletext"/>
              <w:keepNext/>
              <w:jc w:val="center"/>
            </w:pPr>
            <w:r w:rsidRPr="0022357A">
              <w:t>14% (-4, 32)</w:t>
            </w:r>
          </w:p>
        </w:tc>
        <w:tc>
          <w:tcPr>
            <w:tcW w:w="874"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c>
          <w:tcPr>
            <w:tcW w:w="766"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r>
      <w:tr w:rsidR="00AE73AA" w:rsidRPr="0022357A" w:rsidTr="0056712A">
        <w:tc>
          <w:tcPr>
            <w:tcW w:w="735" w:type="pct"/>
            <w:vAlign w:val="center"/>
          </w:tcPr>
          <w:p w:rsidR="00AE73AA" w:rsidRPr="0022357A" w:rsidRDefault="00AE73AA" w:rsidP="00A65DFB">
            <w:pPr>
              <w:pStyle w:val="Tabletext"/>
              <w:keepNext/>
            </w:pPr>
            <w:r w:rsidRPr="0022357A">
              <w:t xml:space="preserve">Investigator </w:t>
            </w:r>
          </w:p>
        </w:tc>
        <w:tc>
          <w:tcPr>
            <w:tcW w:w="874" w:type="pct"/>
            <w:vAlign w:val="center"/>
          </w:tcPr>
          <w:p w:rsidR="00AE73AA" w:rsidRPr="0022357A" w:rsidRDefault="00AE73AA" w:rsidP="00A65DFB">
            <w:pPr>
              <w:pStyle w:val="Tabletext"/>
              <w:keepNext/>
              <w:jc w:val="center"/>
            </w:pPr>
            <w:r w:rsidRPr="0022357A">
              <w:t>12/64 (19%)</w:t>
            </w:r>
          </w:p>
        </w:tc>
        <w:tc>
          <w:tcPr>
            <w:tcW w:w="796" w:type="pct"/>
            <w:vAlign w:val="center"/>
          </w:tcPr>
          <w:p w:rsidR="00AE73AA" w:rsidRPr="0022357A" w:rsidRDefault="00AE73AA" w:rsidP="00A65DFB">
            <w:pPr>
              <w:pStyle w:val="Tabletext"/>
              <w:keepNext/>
              <w:jc w:val="center"/>
            </w:pPr>
            <w:r w:rsidRPr="0022357A">
              <w:t>0/64 (0%)</w:t>
            </w:r>
          </w:p>
        </w:tc>
        <w:tc>
          <w:tcPr>
            <w:tcW w:w="955" w:type="pct"/>
          </w:tcPr>
          <w:p w:rsidR="00AE73AA" w:rsidRPr="0022357A" w:rsidRDefault="00AE73AA" w:rsidP="00A65DFB">
            <w:pPr>
              <w:pStyle w:val="Tabletext"/>
              <w:keepNext/>
              <w:jc w:val="center"/>
              <w:rPr>
                <w:b/>
              </w:rPr>
            </w:pPr>
            <w:r w:rsidRPr="0022357A">
              <w:rPr>
                <w:b/>
              </w:rPr>
              <w:t>19% (1, 36)</w:t>
            </w:r>
          </w:p>
        </w:tc>
        <w:tc>
          <w:tcPr>
            <w:tcW w:w="874"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c>
          <w:tcPr>
            <w:tcW w:w="766"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r>
      <w:tr w:rsidR="00AE73AA" w:rsidRPr="0022357A" w:rsidTr="0056712A">
        <w:tc>
          <w:tcPr>
            <w:tcW w:w="5000" w:type="pct"/>
            <w:gridSpan w:val="6"/>
            <w:vAlign w:val="center"/>
          </w:tcPr>
          <w:p w:rsidR="00AE73AA" w:rsidRPr="0022357A" w:rsidRDefault="00AE73AA" w:rsidP="00A65DFB">
            <w:pPr>
              <w:pStyle w:val="Tabletext"/>
              <w:keepNext/>
              <w:rPr>
                <w:b/>
              </w:rPr>
            </w:pPr>
            <w:r w:rsidRPr="0022357A">
              <w:rPr>
                <w:b/>
              </w:rPr>
              <w:t>≥ 25% mSWAT reduction</w:t>
            </w:r>
          </w:p>
        </w:tc>
      </w:tr>
      <w:tr w:rsidR="00AE73AA" w:rsidRPr="0022357A" w:rsidTr="0056712A">
        <w:tc>
          <w:tcPr>
            <w:tcW w:w="735" w:type="pct"/>
            <w:vAlign w:val="center"/>
          </w:tcPr>
          <w:p w:rsidR="00AE73AA" w:rsidRPr="0022357A" w:rsidRDefault="00AE73AA" w:rsidP="00A65DFB">
            <w:pPr>
              <w:pStyle w:val="Tabletext"/>
              <w:keepNext/>
            </w:pPr>
            <w:r w:rsidRPr="0022357A">
              <w:t xml:space="preserve">Investigator </w:t>
            </w:r>
          </w:p>
        </w:tc>
        <w:tc>
          <w:tcPr>
            <w:tcW w:w="874"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c>
          <w:tcPr>
            <w:tcW w:w="796"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c>
          <w:tcPr>
            <w:tcW w:w="955" w:type="pct"/>
          </w:tcPr>
          <w:p w:rsidR="00AE73AA" w:rsidRPr="0022357A" w:rsidRDefault="00AE73AA" w:rsidP="00A65DFB">
            <w:pPr>
              <w:pStyle w:val="Tabletext"/>
              <w:keepNext/>
              <w:jc w:val="center"/>
            </w:pPr>
            <w:r w:rsidRPr="0022357A">
              <w:t>NR</w:t>
            </w:r>
          </w:p>
        </w:tc>
        <w:tc>
          <w:tcPr>
            <w:tcW w:w="874"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c>
          <w:tcPr>
            <w:tcW w:w="766" w:type="pct"/>
            <w:vAlign w:val="center"/>
          </w:tcPr>
          <w:p w:rsidR="00AE73AA" w:rsidRPr="0022357A" w:rsidRDefault="00F72571" w:rsidP="00A65DFB">
            <w:pPr>
              <w:pStyle w:val="Tabletext"/>
              <w:keepNext/>
              <w:jc w:val="center"/>
            </w:pPr>
            <w:r>
              <w:rPr>
                <w:noProof/>
                <w:color w:val="000000"/>
                <w:highlight w:val="black"/>
              </w:rPr>
              <w:t>''''''</w:t>
            </w:r>
            <w:r w:rsidR="00AE73AA" w:rsidRPr="0022357A">
              <w:t>/</w:t>
            </w:r>
            <w:r>
              <w:rPr>
                <w:noProof/>
                <w:color w:val="000000"/>
                <w:highlight w:val="black"/>
              </w:rPr>
              <w:t>''''''</w:t>
            </w:r>
            <w:r w:rsidR="00AE73AA" w:rsidRPr="0022357A">
              <w:t xml:space="preserve"> (</w:t>
            </w:r>
            <w:r>
              <w:rPr>
                <w:noProof/>
                <w:color w:val="000000"/>
                <w:highlight w:val="black"/>
              </w:rPr>
              <w:t>'''''</w:t>
            </w:r>
            <w:r w:rsidR="00AE73AA" w:rsidRPr="0022357A">
              <w:t>%)</w:t>
            </w:r>
          </w:p>
        </w:tc>
      </w:tr>
    </w:tbl>
    <w:p w:rsidR="00AE73AA" w:rsidRPr="0022357A" w:rsidRDefault="00AE73AA" w:rsidP="00A65DFB">
      <w:pPr>
        <w:pStyle w:val="TableFooter"/>
        <w:keepNext/>
        <w:rPr>
          <w:sz w:val="20"/>
        </w:rPr>
      </w:pPr>
      <w:r w:rsidRPr="0022357A">
        <w:t xml:space="preserve">Source: Table 2.5-1 to Table 2.5-3, pp100-104 of the submission. </w:t>
      </w:r>
    </w:p>
    <w:p w:rsidR="00AE73AA" w:rsidRPr="0022357A" w:rsidRDefault="00AE73AA" w:rsidP="00A65DFB">
      <w:pPr>
        <w:pStyle w:val="TableFooter"/>
        <w:keepNext/>
      </w:pPr>
      <w:r w:rsidRPr="0022357A">
        <w:rPr>
          <w:rFonts w:eastAsia="Calibri"/>
        </w:rPr>
        <w:t xml:space="preserve">BEX = bexarotene; BV = Brentuximab vedotin; CI = confidence interval; CR = complete response; IRF = independent review facility; MTX = methotrexate; </w:t>
      </w:r>
      <w:r w:rsidR="00446AB1" w:rsidRPr="0022357A">
        <w:rPr>
          <w:rFonts w:eastAsia="Calibri"/>
        </w:rPr>
        <w:t xml:space="preserve">NR = not reported; </w:t>
      </w:r>
      <w:r w:rsidRPr="0022357A">
        <w:rPr>
          <w:rFonts w:eastAsia="Calibri"/>
        </w:rPr>
        <w:t xml:space="preserve">ORR = objective response rate; ORR4 = </w:t>
      </w:r>
      <w:r w:rsidR="00476D2E" w:rsidRPr="0022357A">
        <w:rPr>
          <w:rFonts w:eastAsia="Calibri"/>
        </w:rPr>
        <w:t xml:space="preserve">objective </w:t>
      </w:r>
      <w:r w:rsidRPr="0022357A">
        <w:rPr>
          <w:rFonts w:eastAsia="Calibri"/>
        </w:rPr>
        <w:t xml:space="preserve">global response lasting 4 months; PC = Physician's Choice; PR = partial response; </w:t>
      </w:r>
      <w:r w:rsidRPr="0022357A">
        <w:rPr>
          <w:b/>
        </w:rPr>
        <w:t xml:space="preserve">Bold </w:t>
      </w:r>
      <w:r w:rsidRPr="0022357A">
        <w:t xml:space="preserve">= statistically significant </w:t>
      </w:r>
    </w:p>
    <w:p w:rsidR="00AE73AA" w:rsidRPr="0022357A" w:rsidRDefault="00AE73AA" w:rsidP="00AE73AA">
      <w:pPr>
        <w:pStyle w:val="TableFooter"/>
        <w:rPr>
          <w:rFonts w:eastAsia="Calibri"/>
        </w:rPr>
      </w:pPr>
    </w:p>
    <w:p w:rsidR="00AE73AA" w:rsidRDefault="00817FCA" w:rsidP="003D02C0">
      <w:pPr>
        <w:pStyle w:val="ListParagraph"/>
        <w:widowControl/>
        <w:numPr>
          <w:ilvl w:val="1"/>
          <w:numId w:val="3"/>
        </w:numPr>
      </w:pPr>
      <w:r>
        <w:t>The PBAC noted that p</w:t>
      </w:r>
      <w:r w:rsidR="00AE73AA" w:rsidRPr="0022357A">
        <w:t>atients in the brentuximab vedotin arm had higher ORR, ORR4</w:t>
      </w:r>
      <w:r w:rsidR="003D02C0" w:rsidRPr="0022357A">
        <w:t xml:space="preserve"> (objective response rate lasting at least 4 months)</w:t>
      </w:r>
      <w:r w:rsidR="00AE73AA" w:rsidRPr="0022357A">
        <w:t xml:space="preserve"> and complete response rates than patients in the methotrexate arm. </w:t>
      </w:r>
      <w:r w:rsidR="00F603AC" w:rsidRPr="0022357A">
        <w:t xml:space="preserve">No formal statistical analyses were presented for the comparison between brentuximab vedotin and the methotrexate subgroup. </w:t>
      </w:r>
      <w:r w:rsidR="00AE73AA" w:rsidRPr="0022357A">
        <w:t>The differences in ORR, ORR4, and investigator-assessed complete response were statistically significantly higher in the brentuximab vedotin arm than the physician’s choice arm (methotrexate or bexarotene).</w:t>
      </w:r>
      <w:r w:rsidR="00763B21" w:rsidRPr="0022357A">
        <w:t xml:space="preserve"> </w:t>
      </w:r>
    </w:p>
    <w:p w:rsidR="00D735E2" w:rsidRPr="0022357A" w:rsidRDefault="00D735E2" w:rsidP="00D735E2">
      <w:pPr>
        <w:pStyle w:val="ListParagraph"/>
        <w:widowControl/>
        <w:numPr>
          <w:ilvl w:val="1"/>
          <w:numId w:val="3"/>
        </w:numPr>
      </w:pPr>
      <w:r w:rsidRPr="0022357A">
        <w:lastRenderedPageBreak/>
        <w:t xml:space="preserve">Table </w:t>
      </w:r>
      <w:r>
        <w:t>7</w:t>
      </w:r>
      <w:r w:rsidRPr="0022357A">
        <w:t xml:space="preserve"> presents the PFS outcomes from the ALCANZA trial.</w:t>
      </w:r>
    </w:p>
    <w:p w:rsidR="00D735E2" w:rsidRPr="0022357A" w:rsidRDefault="00D735E2" w:rsidP="00D735E2">
      <w:pPr>
        <w:keepNext/>
        <w:rPr>
          <w:rStyle w:val="CommentReference"/>
        </w:rPr>
      </w:pPr>
      <w:r w:rsidRPr="0022357A">
        <w:rPr>
          <w:rStyle w:val="CommentReference"/>
        </w:rPr>
        <w:t xml:space="preserve">Table </w:t>
      </w:r>
      <w:r>
        <w:rPr>
          <w:rStyle w:val="CommentReference"/>
        </w:rPr>
        <w:t>7</w:t>
      </w:r>
      <w:r w:rsidRPr="0022357A">
        <w:rPr>
          <w:rStyle w:val="CommentReference"/>
        </w:rPr>
        <w:t xml:space="preserve">: Results of PFS from the ALCANZA trial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37"/>
        <w:gridCol w:w="1253"/>
        <w:gridCol w:w="837"/>
        <w:gridCol w:w="1226"/>
        <w:gridCol w:w="1097"/>
        <w:gridCol w:w="1359"/>
        <w:gridCol w:w="1221"/>
      </w:tblGrid>
      <w:tr w:rsidR="00D735E2" w:rsidRPr="0022357A" w:rsidTr="00DF2C1A">
        <w:trPr>
          <w:tblHeader/>
        </w:trPr>
        <w:tc>
          <w:tcPr>
            <w:tcW w:w="689" w:type="pct"/>
            <w:vMerge w:val="restart"/>
            <w:tcMar>
              <w:left w:w="28" w:type="dxa"/>
              <w:right w:w="28" w:type="dxa"/>
            </w:tcMar>
            <w:vAlign w:val="center"/>
          </w:tcPr>
          <w:p w:rsidR="00D735E2" w:rsidRPr="0022357A" w:rsidRDefault="00D735E2" w:rsidP="00DF0CA6">
            <w:pPr>
              <w:pStyle w:val="Tabletext"/>
              <w:keepNext/>
              <w:rPr>
                <w:b/>
              </w:rPr>
            </w:pPr>
            <w:r w:rsidRPr="0022357A">
              <w:rPr>
                <w:b/>
              </w:rPr>
              <w:t>Comparison</w:t>
            </w:r>
          </w:p>
        </w:tc>
        <w:tc>
          <w:tcPr>
            <w:tcW w:w="1151" w:type="pct"/>
            <w:gridSpan w:val="2"/>
            <w:tcMar>
              <w:left w:w="28" w:type="dxa"/>
              <w:right w:w="28" w:type="dxa"/>
            </w:tcMar>
            <w:vAlign w:val="center"/>
          </w:tcPr>
          <w:p w:rsidR="00D735E2" w:rsidRPr="0022357A" w:rsidRDefault="00D735E2" w:rsidP="00DF0CA6">
            <w:pPr>
              <w:pStyle w:val="Tabletext"/>
              <w:keepNext/>
              <w:jc w:val="center"/>
              <w:rPr>
                <w:b/>
              </w:rPr>
            </w:pPr>
            <w:r w:rsidRPr="0022357A">
              <w:rPr>
                <w:b/>
              </w:rPr>
              <w:t xml:space="preserve">Brentuximab vedotin </w:t>
            </w:r>
          </w:p>
        </w:tc>
        <w:tc>
          <w:tcPr>
            <w:tcW w:w="1136" w:type="pct"/>
            <w:gridSpan w:val="2"/>
            <w:tcMar>
              <w:left w:w="28" w:type="dxa"/>
              <w:right w:w="28" w:type="dxa"/>
            </w:tcMar>
            <w:vAlign w:val="center"/>
          </w:tcPr>
          <w:p w:rsidR="00D735E2" w:rsidRPr="0022357A" w:rsidRDefault="00D735E2" w:rsidP="00DF0CA6">
            <w:pPr>
              <w:pStyle w:val="Tabletext"/>
              <w:keepNext/>
              <w:jc w:val="center"/>
              <w:rPr>
                <w:b/>
              </w:rPr>
            </w:pPr>
            <w:r w:rsidRPr="0022357A">
              <w:rPr>
                <w:b/>
              </w:rPr>
              <w:t>Comparator</w:t>
            </w:r>
          </w:p>
        </w:tc>
        <w:tc>
          <w:tcPr>
            <w:tcW w:w="604" w:type="pct"/>
            <w:vMerge w:val="restart"/>
            <w:tcMar>
              <w:left w:w="28" w:type="dxa"/>
              <w:right w:w="28" w:type="dxa"/>
            </w:tcMar>
            <w:vAlign w:val="center"/>
          </w:tcPr>
          <w:p w:rsidR="00D735E2" w:rsidRPr="0022357A" w:rsidRDefault="00D735E2" w:rsidP="00DF0CA6">
            <w:pPr>
              <w:pStyle w:val="Tabletext"/>
              <w:keepNext/>
              <w:jc w:val="center"/>
              <w:rPr>
                <w:b/>
              </w:rPr>
            </w:pPr>
            <w:r w:rsidRPr="0022357A">
              <w:rPr>
                <w:b/>
              </w:rPr>
              <w:t>Difference in median</w:t>
            </w:r>
          </w:p>
        </w:tc>
        <w:tc>
          <w:tcPr>
            <w:tcW w:w="748" w:type="pct"/>
            <w:vMerge w:val="restart"/>
            <w:tcMar>
              <w:left w:w="28" w:type="dxa"/>
              <w:right w:w="28" w:type="dxa"/>
            </w:tcMar>
            <w:vAlign w:val="center"/>
          </w:tcPr>
          <w:p w:rsidR="00D735E2" w:rsidRPr="0022357A" w:rsidRDefault="00D735E2" w:rsidP="00DF0CA6">
            <w:pPr>
              <w:pStyle w:val="Tabletext"/>
              <w:keepNext/>
              <w:jc w:val="center"/>
              <w:rPr>
                <w:b/>
              </w:rPr>
            </w:pPr>
            <w:r w:rsidRPr="0022357A">
              <w:rPr>
                <w:b/>
              </w:rPr>
              <w:t>P value</w:t>
            </w:r>
          </w:p>
          <w:p w:rsidR="00D735E2" w:rsidRPr="0022357A" w:rsidRDefault="00D735E2" w:rsidP="00DF0CA6">
            <w:pPr>
              <w:pStyle w:val="Tabletext"/>
              <w:keepNext/>
              <w:jc w:val="center"/>
              <w:rPr>
                <w:b/>
              </w:rPr>
            </w:pPr>
            <w:r w:rsidRPr="0022357A">
              <w:rPr>
                <w:b/>
              </w:rPr>
              <w:t>(log rank test)</w:t>
            </w:r>
          </w:p>
        </w:tc>
        <w:tc>
          <w:tcPr>
            <w:tcW w:w="673" w:type="pct"/>
            <w:vMerge w:val="restart"/>
            <w:tcMar>
              <w:left w:w="28" w:type="dxa"/>
              <w:right w:w="28" w:type="dxa"/>
            </w:tcMar>
            <w:vAlign w:val="center"/>
          </w:tcPr>
          <w:p w:rsidR="00D735E2" w:rsidRPr="0022357A" w:rsidRDefault="00D735E2" w:rsidP="00DF0CA6">
            <w:pPr>
              <w:pStyle w:val="Tabletext"/>
              <w:keepNext/>
              <w:jc w:val="center"/>
              <w:rPr>
                <w:b/>
              </w:rPr>
            </w:pPr>
            <w:r w:rsidRPr="0022357A">
              <w:rPr>
                <w:b/>
              </w:rPr>
              <w:t>Hazard ratio (95% CI)</w:t>
            </w:r>
          </w:p>
        </w:tc>
      </w:tr>
      <w:tr w:rsidR="00D735E2" w:rsidRPr="0022357A" w:rsidTr="00DF2C1A">
        <w:tc>
          <w:tcPr>
            <w:tcW w:w="689" w:type="pct"/>
            <w:vMerge/>
            <w:tcMar>
              <w:left w:w="28" w:type="dxa"/>
              <w:right w:w="28" w:type="dxa"/>
            </w:tcMar>
            <w:vAlign w:val="center"/>
          </w:tcPr>
          <w:p w:rsidR="00D735E2" w:rsidRPr="0022357A" w:rsidRDefault="00D735E2" w:rsidP="00DF0CA6">
            <w:pPr>
              <w:pStyle w:val="Tabletext"/>
              <w:keepNext/>
            </w:pPr>
          </w:p>
        </w:tc>
        <w:tc>
          <w:tcPr>
            <w:tcW w:w="461" w:type="pct"/>
            <w:tcMar>
              <w:left w:w="28" w:type="dxa"/>
              <w:right w:w="28" w:type="dxa"/>
            </w:tcMar>
            <w:vAlign w:val="center"/>
          </w:tcPr>
          <w:p w:rsidR="00D735E2" w:rsidRPr="0022357A" w:rsidRDefault="00D735E2" w:rsidP="00DF0CA6">
            <w:pPr>
              <w:pStyle w:val="Tabletext"/>
              <w:keepNext/>
              <w:jc w:val="center"/>
              <w:rPr>
                <w:b/>
              </w:rPr>
            </w:pPr>
            <w:r w:rsidRPr="0022357A">
              <w:rPr>
                <w:b/>
              </w:rPr>
              <w:t>Events</w:t>
            </w:r>
          </w:p>
        </w:tc>
        <w:tc>
          <w:tcPr>
            <w:tcW w:w="690" w:type="pct"/>
            <w:tcMar>
              <w:left w:w="28" w:type="dxa"/>
              <w:right w:w="28" w:type="dxa"/>
            </w:tcMar>
            <w:vAlign w:val="center"/>
          </w:tcPr>
          <w:p w:rsidR="00D735E2" w:rsidRPr="0022357A" w:rsidRDefault="00D735E2" w:rsidP="00DF0CA6">
            <w:pPr>
              <w:pStyle w:val="Tabletext"/>
              <w:keepNext/>
              <w:jc w:val="center"/>
              <w:rPr>
                <w:b/>
              </w:rPr>
            </w:pPr>
            <w:r w:rsidRPr="0022357A">
              <w:rPr>
                <w:b/>
              </w:rPr>
              <w:t>Median PFS</w:t>
            </w:r>
          </w:p>
        </w:tc>
        <w:tc>
          <w:tcPr>
            <w:tcW w:w="461" w:type="pct"/>
            <w:tcMar>
              <w:left w:w="28" w:type="dxa"/>
              <w:right w:w="28" w:type="dxa"/>
            </w:tcMar>
            <w:vAlign w:val="center"/>
          </w:tcPr>
          <w:p w:rsidR="00D735E2" w:rsidRPr="0022357A" w:rsidRDefault="00D735E2" w:rsidP="00DF0CA6">
            <w:pPr>
              <w:pStyle w:val="Tabletext"/>
              <w:keepNext/>
              <w:jc w:val="center"/>
              <w:rPr>
                <w:b/>
              </w:rPr>
            </w:pPr>
            <w:r w:rsidRPr="0022357A">
              <w:rPr>
                <w:b/>
              </w:rPr>
              <w:t>Events</w:t>
            </w:r>
          </w:p>
        </w:tc>
        <w:tc>
          <w:tcPr>
            <w:tcW w:w="675" w:type="pct"/>
            <w:tcMar>
              <w:left w:w="28" w:type="dxa"/>
              <w:right w:w="28" w:type="dxa"/>
            </w:tcMar>
            <w:vAlign w:val="center"/>
          </w:tcPr>
          <w:p w:rsidR="00D735E2" w:rsidRPr="0022357A" w:rsidRDefault="00D735E2" w:rsidP="00DF0CA6">
            <w:pPr>
              <w:pStyle w:val="Tabletext"/>
              <w:keepNext/>
              <w:jc w:val="center"/>
              <w:rPr>
                <w:b/>
              </w:rPr>
            </w:pPr>
            <w:r w:rsidRPr="0022357A">
              <w:rPr>
                <w:b/>
              </w:rPr>
              <w:t>Median PFS</w:t>
            </w:r>
          </w:p>
        </w:tc>
        <w:tc>
          <w:tcPr>
            <w:tcW w:w="604" w:type="pct"/>
            <w:vMerge/>
            <w:tcMar>
              <w:left w:w="28" w:type="dxa"/>
              <w:right w:w="28" w:type="dxa"/>
            </w:tcMar>
            <w:vAlign w:val="center"/>
          </w:tcPr>
          <w:p w:rsidR="00D735E2" w:rsidRPr="0022357A" w:rsidRDefault="00D735E2" w:rsidP="00DF0CA6">
            <w:pPr>
              <w:pStyle w:val="Tabletext"/>
              <w:keepNext/>
              <w:jc w:val="center"/>
            </w:pPr>
          </w:p>
        </w:tc>
        <w:tc>
          <w:tcPr>
            <w:tcW w:w="748" w:type="pct"/>
            <w:vMerge/>
            <w:tcMar>
              <w:left w:w="28" w:type="dxa"/>
              <w:right w:w="28" w:type="dxa"/>
            </w:tcMar>
            <w:vAlign w:val="center"/>
          </w:tcPr>
          <w:p w:rsidR="00D735E2" w:rsidRPr="0022357A" w:rsidRDefault="00D735E2" w:rsidP="00DF0CA6">
            <w:pPr>
              <w:pStyle w:val="Tabletext"/>
              <w:keepNext/>
              <w:jc w:val="center"/>
            </w:pPr>
          </w:p>
        </w:tc>
        <w:tc>
          <w:tcPr>
            <w:tcW w:w="673" w:type="pct"/>
            <w:vMerge/>
            <w:tcMar>
              <w:left w:w="28" w:type="dxa"/>
              <w:right w:w="28" w:type="dxa"/>
            </w:tcMar>
            <w:vAlign w:val="center"/>
          </w:tcPr>
          <w:p w:rsidR="00D735E2" w:rsidRPr="0022357A" w:rsidRDefault="00D735E2" w:rsidP="00DF0CA6">
            <w:pPr>
              <w:pStyle w:val="Tabletext"/>
              <w:keepNext/>
              <w:jc w:val="center"/>
            </w:pPr>
          </w:p>
        </w:tc>
      </w:tr>
      <w:tr w:rsidR="00D735E2" w:rsidRPr="0022357A" w:rsidTr="00DF0CA6">
        <w:tc>
          <w:tcPr>
            <w:tcW w:w="5000" w:type="pct"/>
            <w:gridSpan w:val="8"/>
            <w:tcMar>
              <w:left w:w="28" w:type="dxa"/>
              <w:right w:w="28" w:type="dxa"/>
            </w:tcMar>
            <w:vAlign w:val="center"/>
          </w:tcPr>
          <w:p w:rsidR="00D735E2" w:rsidRPr="0022357A" w:rsidRDefault="00D735E2" w:rsidP="00DF0CA6">
            <w:pPr>
              <w:pStyle w:val="Tabletext"/>
              <w:keepNext/>
              <w:rPr>
                <w:b/>
              </w:rPr>
            </w:pPr>
            <w:r w:rsidRPr="0022357A">
              <w:rPr>
                <w:b/>
              </w:rPr>
              <w:t xml:space="preserve">Brentuximab vedotin vs. physician’s choice (methotrexate or bexarotene) </w:t>
            </w:r>
          </w:p>
        </w:tc>
      </w:tr>
      <w:tr w:rsidR="00D735E2" w:rsidRPr="0022357A" w:rsidTr="00DF2C1A">
        <w:tc>
          <w:tcPr>
            <w:tcW w:w="689" w:type="pct"/>
            <w:tcMar>
              <w:left w:w="28" w:type="dxa"/>
              <w:right w:w="28" w:type="dxa"/>
            </w:tcMar>
            <w:vAlign w:val="center"/>
          </w:tcPr>
          <w:p w:rsidR="00D735E2" w:rsidRPr="0022357A" w:rsidRDefault="00D735E2" w:rsidP="00DF0CA6">
            <w:pPr>
              <w:pStyle w:val="Tabletext"/>
              <w:keepNext/>
            </w:pPr>
            <w:r w:rsidRPr="0022357A">
              <w:t>IRF</w:t>
            </w:r>
          </w:p>
        </w:tc>
        <w:tc>
          <w:tcPr>
            <w:tcW w:w="461" w:type="pct"/>
            <w:tcMar>
              <w:left w:w="28" w:type="dxa"/>
              <w:right w:w="28" w:type="dxa"/>
            </w:tcMar>
            <w:vAlign w:val="center"/>
          </w:tcPr>
          <w:p w:rsidR="00D735E2" w:rsidRPr="0022357A" w:rsidRDefault="00D735E2" w:rsidP="00DF0CA6">
            <w:pPr>
              <w:pStyle w:val="Tabletext"/>
              <w:keepNext/>
              <w:jc w:val="center"/>
            </w:pPr>
            <w:r w:rsidRPr="0022357A">
              <w:t>36/64 (56%)</w:t>
            </w:r>
          </w:p>
        </w:tc>
        <w:tc>
          <w:tcPr>
            <w:tcW w:w="690" w:type="pct"/>
            <w:tcMar>
              <w:left w:w="28" w:type="dxa"/>
              <w:right w:w="28" w:type="dxa"/>
            </w:tcMar>
            <w:vAlign w:val="center"/>
          </w:tcPr>
          <w:p w:rsidR="00D735E2" w:rsidRPr="0022357A" w:rsidRDefault="00D735E2" w:rsidP="00DF0CA6">
            <w:pPr>
              <w:pStyle w:val="Tabletext"/>
              <w:keepNext/>
              <w:jc w:val="center"/>
            </w:pPr>
            <w:r w:rsidRPr="0022357A">
              <w:t>16.7 months</w:t>
            </w:r>
            <w:r w:rsidRPr="0022357A">
              <w:br/>
              <w:t>(14.9, 22.8)</w:t>
            </w:r>
          </w:p>
        </w:tc>
        <w:tc>
          <w:tcPr>
            <w:tcW w:w="461" w:type="pct"/>
            <w:tcMar>
              <w:left w:w="28" w:type="dxa"/>
              <w:right w:w="28" w:type="dxa"/>
            </w:tcMar>
            <w:vAlign w:val="center"/>
          </w:tcPr>
          <w:p w:rsidR="00D735E2" w:rsidRPr="0022357A" w:rsidRDefault="00D735E2" w:rsidP="00DF0CA6">
            <w:pPr>
              <w:pStyle w:val="Tabletext"/>
              <w:keepNext/>
              <w:jc w:val="center"/>
            </w:pPr>
            <w:r w:rsidRPr="0022357A">
              <w:t>50/64 (78%)</w:t>
            </w:r>
          </w:p>
        </w:tc>
        <w:tc>
          <w:tcPr>
            <w:tcW w:w="675" w:type="pct"/>
            <w:tcMar>
              <w:left w:w="28" w:type="dxa"/>
              <w:right w:w="28" w:type="dxa"/>
            </w:tcMar>
            <w:vAlign w:val="center"/>
          </w:tcPr>
          <w:p w:rsidR="00D735E2" w:rsidRPr="0022357A" w:rsidRDefault="00D735E2" w:rsidP="00DF0CA6">
            <w:pPr>
              <w:pStyle w:val="Tabletext"/>
              <w:keepNext/>
              <w:jc w:val="center"/>
            </w:pPr>
            <w:r w:rsidRPr="0022357A">
              <w:t>3.5 months</w:t>
            </w:r>
            <w:r w:rsidRPr="0022357A">
              <w:br/>
              <w:t>(2.4, 4.6)</w:t>
            </w:r>
          </w:p>
        </w:tc>
        <w:tc>
          <w:tcPr>
            <w:tcW w:w="604" w:type="pct"/>
            <w:tcMar>
              <w:left w:w="28" w:type="dxa"/>
              <w:right w:w="28" w:type="dxa"/>
            </w:tcMar>
            <w:vAlign w:val="center"/>
          </w:tcPr>
          <w:p w:rsidR="00D735E2" w:rsidRPr="0022357A" w:rsidRDefault="00D735E2" w:rsidP="00DF0CA6">
            <w:pPr>
              <w:pStyle w:val="Tabletext"/>
              <w:keepNext/>
              <w:jc w:val="center"/>
            </w:pPr>
            <w:r w:rsidRPr="0022357A">
              <w:t>13.2 months</w:t>
            </w:r>
          </w:p>
        </w:tc>
        <w:tc>
          <w:tcPr>
            <w:tcW w:w="748" w:type="pct"/>
            <w:tcMar>
              <w:left w:w="28" w:type="dxa"/>
              <w:right w:w="28" w:type="dxa"/>
            </w:tcMar>
            <w:vAlign w:val="center"/>
          </w:tcPr>
          <w:p w:rsidR="00D735E2" w:rsidRPr="0022357A" w:rsidRDefault="00D735E2" w:rsidP="00DF0CA6">
            <w:pPr>
              <w:pStyle w:val="Tabletext"/>
              <w:keepNext/>
              <w:jc w:val="center"/>
              <w:rPr>
                <w:b/>
                <w:vertAlign w:val="superscript"/>
              </w:rPr>
            </w:pPr>
            <w:r w:rsidRPr="0022357A">
              <w:rPr>
                <w:b/>
              </w:rPr>
              <w:t>&lt; 0.001</w:t>
            </w:r>
            <w:r w:rsidRPr="0022357A">
              <w:rPr>
                <w:b/>
                <w:vertAlign w:val="superscript"/>
              </w:rPr>
              <w:t>a</w:t>
            </w:r>
          </w:p>
        </w:tc>
        <w:tc>
          <w:tcPr>
            <w:tcW w:w="673" w:type="pct"/>
            <w:tcMar>
              <w:left w:w="28" w:type="dxa"/>
              <w:right w:w="28" w:type="dxa"/>
            </w:tcMar>
            <w:vAlign w:val="center"/>
          </w:tcPr>
          <w:p w:rsidR="00D735E2" w:rsidRPr="0022357A" w:rsidRDefault="00D735E2" w:rsidP="00DF0CA6">
            <w:pPr>
              <w:pStyle w:val="Tabletext"/>
              <w:keepNext/>
              <w:jc w:val="center"/>
              <w:rPr>
                <w:b/>
              </w:rPr>
            </w:pPr>
            <w:r w:rsidRPr="0022357A">
              <w:rPr>
                <w:b/>
              </w:rPr>
              <w:t>0.27</w:t>
            </w:r>
          </w:p>
          <w:p w:rsidR="00D735E2" w:rsidRPr="0022357A" w:rsidRDefault="00D735E2" w:rsidP="00DF0CA6">
            <w:pPr>
              <w:pStyle w:val="Tabletext"/>
              <w:keepNext/>
              <w:jc w:val="center"/>
              <w:rPr>
                <w:b/>
              </w:rPr>
            </w:pPr>
            <w:r w:rsidRPr="0022357A">
              <w:rPr>
                <w:b/>
              </w:rPr>
              <w:t>(0.17, 0.43)</w:t>
            </w:r>
          </w:p>
        </w:tc>
      </w:tr>
      <w:tr w:rsidR="00D735E2" w:rsidRPr="0022357A" w:rsidTr="00DF2C1A">
        <w:tc>
          <w:tcPr>
            <w:tcW w:w="689" w:type="pct"/>
            <w:tcMar>
              <w:left w:w="28" w:type="dxa"/>
              <w:right w:w="28" w:type="dxa"/>
            </w:tcMar>
            <w:vAlign w:val="center"/>
          </w:tcPr>
          <w:p w:rsidR="00D735E2" w:rsidRPr="0022357A" w:rsidRDefault="00D735E2" w:rsidP="00DF0CA6">
            <w:pPr>
              <w:pStyle w:val="Tabletext"/>
              <w:keepNext/>
            </w:pPr>
            <w:r w:rsidRPr="0022357A">
              <w:t>Investigator</w:t>
            </w:r>
          </w:p>
        </w:tc>
        <w:tc>
          <w:tcPr>
            <w:tcW w:w="461" w:type="pct"/>
            <w:tcMar>
              <w:left w:w="28" w:type="dxa"/>
              <w:right w:w="28" w:type="dxa"/>
            </w:tcMar>
            <w:vAlign w:val="center"/>
          </w:tcPr>
          <w:p w:rsidR="00D735E2" w:rsidRPr="0022357A" w:rsidRDefault="00D735E2" w:rsidP="00DF0CA6">
            <w:pPr>
              <w:pStyle w:val="Tabletext"/>
              <w:keepNext/>
              <w:jc w:val="center"/>
            </w:pPr>
            <w:r w:rsidRPr="0022357A">
              <w:t>40/64 (63%)</w:t>
            </w:r>
          </w:p>
        </w:tc>
        <w:tc>
          <w:tcPr>
            <w:tcW w:w="690" w:type="pct"/>
            <w:tcMar>
              <w:left w:w="28" w:type="dxa"/>
              <w:right w:w="28" w:type="dxa"/>
            </w:tcMar>
            <w:vAlign w:val="center"/>
          </w:tcPr>
          <w:p w:rsidR="00D735E2" w:rsidRPr="0022357A" w:rsidRDefault="00D735E2" w:rsidP="00DF0CA6">
            <w:pPr>
              <w:pStyle w:val="Tabletext"/>
              <w:keepNext/>
              <w:jc w:val="center"/>
            </w:pPr>
            <w:r w:rsidRPr="0022357A">
              <w:t>15.7 months</w:t>
            </w:r>
          </w:p>
          <w:p w:rsidR="00D735E2" w:rsidRPr="0022357A" w:rsidRDefault="00D735E2" w:rsidP="00DF0CA6">
            <w:pPr>
              <w:pStyle w:val="Tabletext"/>
              <w:keepNext/>
              <w:jc w:val="center"/>
            </w:pPr>
            <w:r w:rsidRPr="0022357A">
              <w:t>(11.7, 17.2)</w:t>
            </w:r>
          </w:p>
        </w:tc>
        <w:tc>
          <w:tcPr>
            <w:tcW w:w="461" w:type="pct"/>
            <w:tcMar>
              <w:left w:w="28" w:type="dxa"/>
              <w:right w:w="28" w:type="dxa"/>
            </w:tcMar>
            <w:vAlign w:val="center"/>
          </w:tcPr>
          <w:p w:rsidR="00D735E2" w:rsidRPr="0022357A" w:rsidRDefault="00D735E2" w:rsidP="00DF0CA6">
            <w:pPr>
              <w:pStyle w:val="Tabletext"/>
              <w:keepNext/>
              <w:jc w:val="center"/>
            </w:pPr>
            <w:r w:rsidRPr="0022357A">
              <w:t>51/64 (80%)</w:t>
            </w:r>
          </w:p>
        </w:tc>
        <w:tc>
          <w:tcPr>
            <w:tcW w:w="675" w:type="pct"/>
            <w:tcMar>
              <w:left w:w="28" w:type="dxa"/>
              <w:right w:w="28" w:type="dxa"/>
            </w:tcMar>
            <w:vAlign w:val="center"/>
          </w:tcPr>
          <w:p w:rsidR="00D735E2" w:rsidRPr="0022357A" w:rsidRDefault="00D735E2" w:rsidP="00DF0CA6">
            <w:pPr>
              <w:pStyle w:val="Tabletext"/>
              <w:keepNext/>
              <w:jc w:val="center"/>
            </w:pPr>
            <w:r w:rsidRPr="0022357A">
              <w:t>3.6 months</w:t>
            </w:r>
          </w:p>
          <w:p w:rsidR="00D735E2" w:rsidRPr="0022357A" w:rsidRDefault="00D735E2" w:rsidP="00DF0CA6">
            <w:pPr>
              <w:pStyle w:val="Tabletext"/>
              <w:keepNext/>
              <w:jc w:val="center"/>
            </w:pPr>
            <w:r w:rsidRPr="0022357A">
              <w:t>(2.5, 4.5)</w:t>
            </w:r>
          </w:p>
        </w:tc>
        <w:tc>
          <w:tcPr>
            <w:tcW w:w="604" w:type="pct"/>
            <w:tcMar>
              <w:left w:w="28" w:type="dxa"/>
              <w:right w:w="28" w:type="dxa"/>
            </w:tcMar>
            <w:vAlign w:val="center"/>
          </w:tcPr>
          <w:p w:rsidR="00D735E2" w:rsidRPr="0022357A" w:rsidRDefault="00D735E2" w:rsidP="00DF0CA6">
            <w:pPr>
              <w:pStyle w:val="Tabletext"/>
              <w:keepNext/>
              <w:jc w:val="center"/>
            </w:pPr>
            <w:r w:rsidRPr="0022357A">
              <w:t>12.1 months</w:t>
            </w:r>
          </w:p>
        </w:tc>
        <w:tc>
          <w:tcPr>
            <w:tcW w:w="748" w:type="pct"/>
            <w:tcMar>
              <w:left w:w="28" w:type="dxa"/>
              <w:right w:w="28" w:type="dxa"/>
            </w:tcMar>
            <w:vAlign w:val="center"/>
          </w:tcPr>
          <w:p w:rsidR="00D735E2" w:rsidRPr="0022357A" w:rsidRDefault="00D735E2" w:rsidP="00DF0CA6">
            <w:pPr>
              <w:pStyle w:val="Tabletext"/>
              <w:keepNext/>
              <w:jc w:val="center"/>
              <w:rPr>
                <w:b/>
              </w:rPr>
            </w:pPr>
            <w:r w:rsidRPr="0022357A">
              <w:rPr>
                <w:b/>
              </w:rPr>
              <w:t>&lt; 0.001</w:t>
            </w:r>
            <w:r w:rsidRPr="0022357A">
              <w:rPr>
                <w:b/>
                <w:vertAlign w:val="superscript"/>
              </w:rPr>
              <w:t xml:space="preserve"> a</w:t>
            </w:r>
          </w:p>
        </w:tc>
        <w:tc>
          <w:tcPr>
            <w:tcW w:w="673" w:type="pct"/>
            <w:tcMar>
              <w:left w:w="28" w:type="dxa"/>
              <w:right w:w="28" w:type="dxa"/>
            </w:tcMar>
            <w:vAlign w:val="center"/>
          </w:tcPr>
          <w:p w:rsidR="00D735E2" w:rsidRPr="0022357A" w:rsidRDefault="00D735E2" w:rsidP="00DF0CA6">
            <w:pPr>
              <w:pStyle w:val="Tabletext"/>
              <w:keepNext/>
              <w:jc w:val="center"/>
              <w:rPr>
                <w:b/>
              </w:rPr>
            </w:pPr>
            <w:r w:rsidRPr="0022357A">
              <w:rPr>
                <w:b/>
              </w:rPr>
              <w:t>0.32</w:t>
            </w:r>
          </w:p>
          <w:p w:rsidR="00D735E2" w:rsidRPr="0022357A" w:rsidRDefault="00D735E2" w:rsidP="00DF0CA6">
            <w:pPr>
              <w:pStyle w:val="Tabletext"/>
              <w:keepNext/>
              <w:jc w:val="center"/>
              <w:rPr>
                <w:b/>
              </w:rPr>
            </w:pPr>
            <w:r w:rsidRPr="0022357A">
              <w:rPr>
                <w:b/>
              </w:rPr>
              <w:t>(0.21, 0.50)</w:t>
            </w:r>
          </w:p>
        </w:tc>
      </w:tr>
      <w:tr w:rsidR="00D735E2" w:rsidRPr="0022357A" w:rsidTr="00DF0CA6">
        <w:tc>
          <w:tcPr>
            <w:tcW w:w="5000" w:type="pct"/>
            <w:gridSpan w:val="8"/>
            <w:tcMar>
              <w:left w:w="28" w:type="dxa"/>
              <w:right w:w="28" w:type="dxa"/>
            </w:tcMar>
            <w:vAlign w:val="center"/>
          </w:tcPr>
          <w:p w:rsidR="00D735E2" w:rsidRPr="0022357A" w:rsidRDefault="00D735E2" w:rsidP="00DF0CA6">
            <w:pPr>
              <w:pStyle w:val="Tabletext"/>
              <w:keepNext/>
            </w:pPr>
            <w:r w:rsidRPr="0022357A">
              <w:rPr>
                <w:b/>
              </w:rPr>
              <w:t xml:space="preserve">Brentuximab vedotin vs. methotrexate </w:t>
            </w:r>
          </w:p>
        </w:tc>
      </w:tr>
      <w:tr w:rsidR="00D735E2" w:rsidRPr="0022357A" w:rsidTr="00DF2C1A">
        <w:tc>
          <w:tcPr>
            <w:tcW w:w="689" w:type="pct"/>
            <w:tcMar>
              <w:left w:w="28" w:type="dxa"/>
              <w:right w:w="28" w:type="dxa"/>
            </w:tcMar>
            <w:vAlign w:val="center"/>
          </w:tcPr>
          <w:p w:rsidR="00D735E2" w:rsidRPr="0022357A" w:rsidRDefault="00D735E2" w:rsidP="00DF0CA6">
            <w:pPr>
              <w:pStyle w:val="Tabletext"/>
              <w:keepNext/>
            </w:pPr>
            <w:r w:rsidRPr="0022357A">
              <w:t>IRF</w:t>
            </w:r>
          </w:p>
        </w:tc>
        <w:tc>
          <w:tcPr>
            <w:tcW w:w="461" w:type="pct"/>
            <w:tcMar>
              <w:left w:w="28" w:type="dxa"/>
              <w:right w:w="28" w:type="dxa"/>
            </w:tcMar>
            <w:vAlign w:val="center"/>
          </w:tcPr>
          <w:p w:rsidR="00D735E2" w:rsidRPr="0022357A" w:rsidRDefault="00D735E2" w:rsidP="00DF0CA6">
            <w:pPr>
              <w:pStyle w:val="Tabletext"/>
              <w:keepNext/>
              <w:jc w:val="center"/>
            </w:pPr>
            <w:r w:rsidRPr="0022357A">
              <w:t>36/64 (56%)</w:t>
            </w:r>
          </w:p>
        </w:tc>
        <w:tc>
          <w:tcPr>
            <w:tcW w:w="690" w:type="pct"/>
            <w:tcMar>
              <w:left w:w="28" w:type="dxa"/>
              <w:right w:w="28" w:type="dxa"/>
            </w:tcMar>
            <w:vAlign w:val="center"/>
          </w:tcPr>
          <w:p w:rsidR="00D735E2" w:rsidRPr="0022357A" w:rsidRDefault="00D735E2" w:rsidP="00DF0CA6">
            <w:pPr>
              <w:pStyle w:val="Tabletext"/>
              <w:keepNext/>
              <w:jc w:val="center"/>
              <w:rPr>
                <w:b/>
              </w:rPr>
            </w:pPr>
            <w:r w:rsidRPr="0022357A">
              <w:rPr>
                <w:b/>
              </w:rPr>
              <w:t>16.7 months</w:t>
            </w:r>
            <w:r w:rsidRPr="0022357A">
              <w:rPr>
                <w:b/>
              </w:rPr>
              <w:br/>
              <w:t>(14.9, 22.8)</w:t>
            </w:r>
          </w:p>
        </w:tc>
        <w:tc>
          <w:tcPr>
            <w:tcW w:w="461" w:type="pct"/>
            <w:tcMar>
              <w:left w:w="28" w:type="dxa"/>
              <w:right w:w="28" w:type="dxa"/>
            </w:tcMar>
            <w:vAlign w:val="center"/>
          </w:tcPr>
          <w:p w:rsidR="00D735E2" w:rsidRPr="0022357A" w:rsidRDefault="00D735E2" w:rsidP="00DF0CA6">
            <w:pPr>
              <w:pStyle w:val="Tabletext"/>
              <w:keepNext/>
              <w:jc w:val="center"/>
            </w:pPr>
            <w:r w:rsidRPr="0022357A">
              <w:t>22/26 (85%)</w:t>
            </w:r>
          </w:p>
        </w:tc>
        <w:tc>
          <w:tcPr>
            <w:tcW w:w="675" w:type="pct"/>
            <w:tcMar>
              <w:left w:w="28" w:type="dxa"/>
              <w:right w:w="28" w:type="dxa"/>
            </w:tcMar>
            <w:vAlign w:val="center"/>
          </w:tcPr>
          <w:p w:rsidR="00D735E2" w:rsidRPr="0022357A" w:rsidRDefault="00D735E2" w:rsidP="00DF0CA6">
            <w:pPr>
              <w:pStyle w:val="Tabletext"/>
              <w:keepNext/>
              <w:jc w:val="center"/>
              <w:rPr>
                <w:b/>
              </w:rPr>
            </w:pPr>
            <w:r w:rsidRPr="0022357A">
              <w:rPr>
                <w:b/>
              </w:rPr>
              <w:t>2.3 months</w:t>
            </w:r>
          </w:p>
          <w:p w:rsidR="00D735E2" w:rsidRPr="0022357A" w:rsidRDefault="00D735E2" w:rsidP="00DF0CA6">
            <w:pPr>
              <w:pStyle w:val="Tabletext"/>
              <w:keepNext/>
              <w:jc w:val="center"/>
            </w:pPr>
            <w:r w:rsidRPr="0022357A">
              <w:rPr>
                <w:b/>
              </w:rPr>
              <w:t>(1.2, 3.5)</w:t>
            </w:r>
          </w:p>
        </w:tc>
        <w:tc>
          <w:tcPr>
            <w:tcW w:w="604" w:type="pct"/>
            <w:tcMar>
              <w:left w:w="28" w:type="dxa"/>
              <w:right w:w="28" w:type="dxa"/>
            </w:tcMar>
            <w:vAlign w:val="center"/>
          </w:tcPr>
          <w:p w:rsidR="00D735E2" w:rsidRPr="0022357A" w:rsidRDefault="00D735E2" w:rsidP="00DF0CA6">
            <w:pPr>
              <w:pStyle w:val="Tabletext"/>
              <w:keepNext/>
              <w:jc w:val="center"/>
            </w:pPr>
            <w:r w:rsidRPr="0022357A">
              <w:t>14.4 months</w:t>
            </w:r>
          </w:p>
        </w:tc>
        <w:tc>
          <w:tcPr>
            <w:tcW w:w="748" w:type="pct"/>
            <w:tcMar>
              <w:left w:w="28" w:type="dxa"/>
              <w:right w:w="28" w:type="dxa"/>
            </w:tcMar>
            <w:vAlign w:val="center"/>
          </w:tcPr>
          <w:p w:rsidR="00D735E2" w:rsidRPr="0022357A" w:rsidRDefault="00D735E2" w:rsidP="00DF0CA6">
            <w:pPr>
              <w:pStyle w:val="Tabletext"/>
              <w:keepNext/>
              <w:jc w:val="center"/>
            </w:pPr>
            <w:r w:rsidRPr="0022357A">
              <w:t>NR</w:t>
            </w:r>
          </w:p>
        </w:tc>
        <w:tc>
          <w:tcPr>
            <w:tcW w:w="673" w:type="pct"/>
            <w:tcMar>
              <w:left w:w="28" w:type="dxa"/>
              <w:right w:w="28" w:type="dxa"/>
            </w:tcMar>
            <w:vAlign w:val="center"/>
          </w:tcPr>
          <w:p w:rsidR="00D735E2" w:rsidRPr="0022357A" w:rsidRDefault="00D735E2" w:rsidP="00DF0CA6">
            <w:pPr>
              <w:pStyle w:val="Tabletext"/>
              <w:keepNext/>
              <w:jc w:val="center"/>
              <w:rPr>
                <w:b/>
              </w:rPr>
            </w:pPr>
            <w:r w:rsidRPr="0022357A">
              <w:rPr>
                <w:b/>
              </w:rPr>
              <w:t>0.17</w:t>
            </w:r>
            <w:r w:rsidRPr="0022357A">
              <w:rPr>
                <w:b/>
              </w:rPr>
              <w:br/>
              <w:t>(0.09, 0.31)</w:t>
            </w:r>
          </w:p>
        </w:tc>
      </w:tr>
      <w:tr w:rsidR="00DF2C1A" w:rsidRPr="0022357A" w:rsidTr="00DF2C1A">
        <w:tc>
          <w:tcPr>
            <w:tcW w:w="689" w:type="pct"/>
            <w:tcMar>
              <w:left w:w="28" w:type="dxa"/>
              <w:right w:w="28" w:type="dxa"/>
            </w:tcMar>
            <w:vAlign w:val="center"/>
          </w:tcPr>
          <w:p w:rsidR="00DF2C1A" w:rsidRPr="0022357A" w:rsidRDefault="00DF2C1A" w:rsidP="00DF0CA6">
            <w:pPr>
              <w:pStyle w:val="Tabletext"/>
              <w:keepNext/>
            </w:pPr>
            <w:r w:rsidRPr="0022357A">
              <w:t>Investigator</w:t>
            </w:r>
          </w:p>
        </w:tc>
        <w:tc>
          <w:tcPr>
            <w:tcW w:w="461" w:type="pct"/>
            <w:tcMar>
              <w:left w:w="28" w:type="dxa"/>
              <w:right w:w="28" w:type="dxa"/>
            </w:tcMar>
            <w:vAlign w:val="center"/>
          </w:tcPr>
          <w:p w:rsidR="00DF2C1A" w:rsidRPr="0022357A" w:rsidRDefault="00DF2C1A" w:rsidP="00DF0CA6">
            <w:pPr>
              <w:pStyle w:val="Tabletext"/>
              <w:keepNext/>
              <w:jc w:val="center"/>
            </w:pPr>
            <w:r w:rsidRPr="0022357A">
              <w:t>40/64 (63%)</w:t>
            </w:r>
          </w:p>
        </w:tc>
        <w:tc>
          <w:tcPr>
            <w:tcW w:w="690" w:type="pct"/>
            <w:tcMar>
              <w:left w:w="28" w:type="dxa"/>
              <w:right w:w="28" w:type="dxa"/>
            </w:tcMar>
            <w:vAlign w:val="center"/>
          </w:tcPr>
          <w:p w:rsidR="00DF2C1A" w:rsidRPr="0022357A" w:rsidRDefault="00DF2C1A" w:rsidP="00DF0CA6">
            <w:pPr>
              <w:pStyle w:val="Tabletext"/>
              <w:keepNext/>
              <w:jc w:val="center"/>
            </w:pPr>
            <w:r w:rsidRPr="0022357A">
              <w:t>15.7 months</w:t>
            </w:r>
          </w:p>
          <w:p w:rsidR="00DF2C1A" w:rsidRPr="0022357A" w:rsidRDefault="00DF2C1A" w:rsidP="00DF0CA6">
            <w:pPr>
              <w:pStyle w:val="Tabletext"/>
              <w:keepNext/>
              <w:jc w:val="center"/>
            </w:pPr>
            <w:r w:rsidRPr="0022357A">
              <w:t>(11.7, 17.2)</w:t>
            </w:r>
          </w:p>
        </w:tc>
        <w:tc>
          <w:tcPr>
            <w:tcW w:w="461" w:type="pct"/>
            <w:tcMar>
              <w:left w:w="28" w:type="dxa"/>
              <w:right w:w="28" w:type="dxa"/>
            </w:tcMar>
            <w:vAlign w:val="center"/>
          </w:tcPr>
          <w:p w:rsidR="00DF2C1A" w:rsidRPr="00DF2C1A" w:rsidRDefault="00F72571" w:rsidP="00DF0CA6">
            <w:pPr>
              <w:pStyle w:val="Tabletext"/>
              <w:keepNext/>
              <w:jc w:val="center"/>
            </w:pPr>
            <w:r>
              <w:rPr>
                <w:noProof/>
                <w:color w:val="000000"/>
                <w:highlight w:val="black"/>
              </w:rPr>
              <w:t>''''''</w:t>
            </w:r>
            <w:r w:rsidR="00DF2C1A" w:rsidRPr="00DF2C1A">
              <w:t>/26 (</w:t>
            </w:r>
            <w:r>
              <w:rPr>
                <w:noProof/>
                <w:color w:val="000000"/>
                <w:highlight w:val="black"/>
              </w:rPr>
              <w:t>'''''</w:t>
            </w:r>
            <w:r w:rsidR="00DF2C1A" w:rsidRPr="00DF2C1A">
              <w:t>%)</w:t>
            </w:r>
          </w:p>
        </w:tc>
        <w:tc>
          <w:tcPr>
            <w:tcW w:w="675" w:type="pct"/>
            <w:tcMar>
              <w:left w:w="28" w:type="dxa"/>
              <w:right w:w="28" w:type="dxa"/>
            </w:tcMar>
            <w:vAlign w:val="center"/>
          </w:tcPr>
          <w:p w:rsidR="00DF2C1A" w:rsidRPr="00DF2C1A" w:rsidRDefault="00F72571" w:rsidP="00163B08">
            <w:pPr>
              <w:pStyle w:val="Tabletext"/>
              <w:keepNext/>
              <w:jc w:val="center"/>
            </w:pPr>
            <w:r>
              <w:rPr>
                <w:noProof/>
                <w:color w:val="000000"/>
                <w:highlight w:val="black"/>
              </w:rPr>
              <w:t>'''''''</w:t>
            </w:r>
            <w:r w:rsidR="00DF2C1A" w:rsidRPr="00DF2C1A">
              <w:t xml:space="preserve"> months</w:t>
            </w:r>
          </w:p>
          <w:p w:rsidR="00DF2C1A" w:rsidRPr="00DF2C1A" w:rsidRDefault="00DF2C1A" w:rsidP="00DF0CA6">
            <w:pPr>
              <w:pStyle w:val="Tabletext"/>
              <w:keepNext/>
              <w:jc w:val="center"/>
            </w:pPr>
            <w:r w:rsidRPr="00DF2C1A">
              <w:t>(</w:t>
            </w:r>
            <w:r w:rsidR="00F72571">
              <w:rPr>
                <w:noProof/>
                <w:color w:val="000000"/>
                <w:highlight w:val="black"/>
              </w:rPr>
              <w:t>'''''''''</w:t>
            </w:r>
            <w:r w:rsidRPr="00DF2C1A">
              <w:t xml:space="preserve">, </w:t>
            </w:r>
            <w:r w:rsidR="00F72571">
              <w:rPr>
                <w:noProof/>
                <w:color w:val="000000"/>
                <w:highlight w:val="black"/>
              </w:rPr>
              <w:t>''''''''</w:t>
            </w:r>
            <w:r w:rsidRPr="00DF2C1A">
              <w:t>)</w:t>
            </w:r>
          </w:p>
        </w:tc>
        <w:tc>
          <w:tcPr>
            <w:tcW w:w="604" w:type="pct"/>
            <w:tcMar>
              <w:left w:w="28" w:type="dxa"/>
              <w:right w:w="28" w:type="dxa"/>
            </w:tcMar>
            <w:vAlign w:val="center"/>
          </w:tcPr>
          <w:p w:rsidR="00DF2C1A" w:rsidRPr="00DF2C1A" w:rsidRDefault="00F72571" w:rsidP="00DF0CA6">
            <w:pPr>
              <w:pStyle w:val="Tabletext"/>
              <w:keepNext/>
              <w:jc w:val="center"/>
            </w:pPr>
            <w:r>
              <w:rPr>
                <w:noProof/>
                <w:color w:val="000000"/>
                <w:highlight w:val="black"/>
              </w:rPr>
              <w:t>''''''''''</w:t>
            </w:r>
            <w:r w:rsidR="00DF2C1A" w:rsidRPr="00DF2C1A">
              <w:t xml:space="preserve"> months</w:t>
            </w:r>
          </w:p>
        </w:tc>
        <w:tc>
          <w:tcPr>
            <w:tcW w:w="748" w:type="pct"/>
            <w:tcMar>
              <w:left w:w="28" w:type="dxa"/>
              <w:right w:w="28" w:type="dxa"/>
            </w:tcMar>
            <w:vAlign w:val="center"/>
          </w:tcPr>
          <w:p w:rsidR="00DF2C1A" w:rsidRPr="00F72571" w:rsidRDefault="00F72571" w:rsidP="00DF0CA6">
            <w:pPr>
              <w:pStyle w:val="Tabletext"/>
              <w:keepNext/>
              <w:jc w:val="center"/>
              <w:rPr>
                <w:highlight w:val="black"/>
              </w:rPr>
            </w:pPr>
            <w:r>
              <w:rPr>
                <w:noProof/>
                <w:color w:val="000000"/>
                <w:highlight w:val="black"/>
              </w:rPr>
              <w:t>''''''''</w:t>
            </w:r>
          </w:p>
        </w:tc>
        <w:tc>
          <w:tcPr>
            <w:tcW w:w="673" w:type="pct"/>
            <w:tcMar>
              <w:left w:w="28" w:type="dxa"/>
              <w:right w:w="28" w:type="dxa"/>
            </w:tcMar>
            <w:vAlign w:val="center"/>
          </w:tcPr>
          <w:p w:rsidR="00DF2C1A" w:rsidRPr="00F72571" w:rsidRDefault="00F72571" w:rsidP="00DF0CA6">
            <w:pPr>
              <w:pStyle w:val="Tabletext"/>
              <w:keepNext/>
              <w:jc w:val="center"/>
              <w:rPr>
                <w:highlight w:val="black"/>
              </w:rPr>
            </w:pPr>
            <w:r>
              <w:rPr>
                <w:noProof/>
                <w:color w:val="000000"/>
                <w:highlight w:val="black"/>
              </w:rPr>
              <w:t>'''''''</w:t>
            </w:r>
          </w:p>
        </w:tc>
      </w:tr>
    </w:tbl>
    <w:p w:rsidR="00D735E2" w:rsidRPr="0022357A" w:rsidRDefault="00D735E2" w:rsidP="00D735E2">
      <w:pPr>
        <w:pStyle w:val="TableFooter"/>
        <w:keepNext/>
      </w:pPr>
      <w:r w:rsidRPr="0022357A">
        <w:t xml:space="preserve">Source: Table 2.5-4, pp106-7 of the submission; Figure 2.5-2, p105 of the submission; Table 14.3.1.5A, p640-643 of Appendix 11B; and calculated during the evaluation </w:t>
      </w:r>
    </w:p>
    <w:p w:rsidR="00D735E2" w:rsidRPr="0022357A" w:rsidRDefault="00D735E2" w:rsidP="00D735E2">
      <w:pPr>
        <w:pStyle w:val="TableFooter"/>
        <w:keepNext/>
        <w:rPr>
          <w:rFonts w:eastAsia="Calibri"/>
        </w:rPr>
      </w:pPr>
      <w:r w:rsidRPr="0022357A">
        <w:rPr>
          <w:rFonts w:eastAsia="Calibri"/>
        </w:rPr>
        <w:t>BEX = bexarotene; BV = Brentuximab vedotin; CI = confidence interval; IRF = independent review facility; MTX = methotrexate; NR = not reported; PC = Physician's Choice; PFS = progression-free survival;</w:t>
      </w:r>
    </w:p>
    <w:p w:rsidR="00D735E2" w:rsidRPr="0022357A" w:rsidRDefault="00D735E2" w:rsidP="00D735E2">
      <w:pPr>
        <w:pStyle w:val="TableFooter"/>
        <w:keepNext/>
        <w:rPr>
          <w:sz w:val="20"/>
        </w:rPr>
      </w:pPr>
      <w:proofErr w:type="gramStart"/>
      <w:r w:rsidRPr="0022357A">
        <w:rPr>
          <w:vertAlign w:val="superscript"/>
        </w:rPr>
        <w:t>a</w:t>
      </w:r>
      <w:proofErr w:type="gramEnd"/>
      <w:r w:rsidRPr="0022357A">
        <w:rPr>
          <w:vertAlign w:val="superscript"/>
        </w:rPr>
        <w:t xml:space="preserve"> </w:t>
      </w:r>
      <w:r w:rsidRPr="0022357A">
        <w:t>Log rank test stratified by baseline disease diagnosis (MF or pcALCL)</w:t>
      </w:r>
    </w:p>
    <w:p w:rsidR="00D735E2" w:rsidRPr="0022357A" w:rsidRDefault="00D735E2" w:rsidP="00D735E2">
      <w:pPr>
        <w:pStyle w:val="TableFooter"/>
        <w:keepNext/>
        <w:rPr>
          <w:rStyle w:val="CommentReference"/>
        </w:rPr>
      </w:pPr>
    </w:p>
    <w:p w:rsidR="00D735E2" w:rsidRDefault="00817FCA" w:rsidP="00D735E2">
      <w:pPr>
        <w:pStyle w:val="ListParagraph"/>
        <w:widowControl/>
        <w:numPr>
          <w:ilvl w:val="1"/>
          <w:numId w:val="3"/>
        </w:numPr>
      </w:pPr>
      <w:r>
        <w:t>The PBAC noted that p</w:t>
      </w:r>
      <w:r w:rsidR="00D735E2" w:rsidRPr="0022357A">
        <w:t>atients treated with brentuximab vedotin had a median PFS of 16.7 months, which was significantly longer than the median 2.3 months PFS experienced by patients treated with methotrexate. Brentuximab vedotin appeared to provide a meaningful improvement in PFS compared to methotrexate. However, the extent of the incremental benefit was uncertain due to a high risk of bias from the lack of blinding in the open-label trial and non-random allocation of physician’s choice treatments (methotrexate or bexarotene) which likely favoured brentuximab vedotin, and transitivity issues from differences in baseline patient characteristics with an unclear direction of bias. The key differences in baseline characteristics included differences in CTCL subtype, differences in CTCL stage and extent (blood and visceral disease), and Eastern Cooperative Oncology Group (ECOG) performance status.</w:t>
      </w:r>
    </w:p>
    <w:p w:rsidR="00D735E2" w:rsidRPr="00D735E2" w:rsidRDefault="000B6845" w:rsidP="00D735E2">
      <w:pPr>
        <w:pStyle w:val="BodyText"/>
        <w:keepNext/>
        <w:rPr>
          <w:u w:val="single"/>
        </w:rPr>
      </w:pPr>
      <w:r>
        <w:rPr>
          <w:u w:val="single"/>
        </w:rPr>
        <w:t>Outcomes by CTCL subtype</w:t>
      </w:r>
      <w:r w:rsidR="00D735E2" w:rsidRPr="00D735E2">
        <w:rPr>
          <w:u w:val="single"/>
        </w:rPr>
        <w:t xml:space="preserve"> </w:t>
      </w:r>
    </w:p>
    <w:p w:rsidR="00D735E2" w:rsidRPr="0022357A" w:rsidRDefault="00D735E2" w:rsidP="00D735E2">
      <w:pPr>
        <w:widowControl/>
      </w:pPr>
    </w:p>
    <w:p w:rsidR="00CE05BF" w:rsidRPr="0022357A" w:rsidRDefault="004877D2" w:rsidP="00AE73AA">
      <w:pPr>
        <w:pStyle w:val="ListParagraph"/>
        <w:widowControl/>
        <w:numPr>
          <w:ilvl w:val="1"/>
          <w:numId w:val="3"/>
        </w:numPr>
      </w:pPr>
      <w:r w:rsidRPr="008704F7">
        <w:t xml:space="preserve">The </w:t>
      </w:r>
      <w:r>
        <w:t>PBAC</w:t>
      </w:r>
      <w:r w:rsidRPr="008704F7">
        <w:t xml:space="preserve"> noted that the ORR was the only measure of outcome for which some comparison of effects by sub-type was possible. </w:t>
      </w:r>
      <w:r w:rsidR="00CE05BF" w:rsidRPr="0022357A">
        <w:t xml:space="preserve">Table </w:t>
      </w:r>
      <w:r w:rsidR="000B6845">
        <w:t>8</w:t>
      </w:r>
      <w:r w:rsidR="00CE05BF" w:rsidRPr="0022357A">
        <w:t xml:space="preserve"> presents ORR outcomes by CTCL subtype.</w:t>
      </w:r>
    </w:p>
    <w:p w:rsidR="00CE05BF" w:rsidRPr="0022357A" w:rsidRDefault="00CE05BF" w:rsidP="00A65DFB">
      <w:pPr>
        <w:keepNext/>
        <w:rPr>
          <w:rStyle w:val="CommentReference"/>
        </w:rPr>
      </w:pPr>
      <w:r w:rsidRPr="0022357A">
        <w:rPr>
          <w:rStyle w:val="CommentReference"/>
        </w:rPr>
        <w:lastRenderedPageBreak/>
        <w:t xml:space="preserve">Table </w:t>
      </w:r>
      <w:r w:rsidR="000B6845">
        <w:rPr>
          <w:rStyle w:val="CommentReference"/>
        </w:rPr>
        <w:t>8</w:t>
      </w:r>
      <w:r w:rsidRPr="0022357A">
        <w:rPr>
          <w:rStyle w:val="CommentReference"/>
        </w:rPr>
        <w:t>: Results of ORR across the studies by CTCL sub</w:t>
      </w:r>
      <w:r w:rsidR="00EA32D4">
        <w:rPr>
          <w:rStyle w:val="CommentReference"/>
        </w:rPr>
        <w:t>type</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2255"/>
        <w:gridCol w:w="1778"/>
        <w:gridCol w:w="1513"/>
      </w:tblGrid>
      <w:tr w:rsidR="00CE05BF" w:rsidRPr="0022357A" w:rsidTr="0056712A">
        <w:trPr>
          <w:cantSplit/>
          <w:tblHeader/>
        </w:trPr>
        <w:tc>
          <w:tcPr>
            <w:tcW w:w="1965" w:type="pct"/>
            <w:vAlign w:val="center"/>
          </w:tcPr>
          <w:p w:rsidR="00CE05BF" w:rsidRPr="0022357A" w:rsidRDefault="00CE05BF" w:rsidP="00A65DFB">
            <w:pPr>
              <w:pStyle w:val="Tabletext"/>
              <w:keepNext/>
              <w:rPr>
                <w:b/>
              </w:rPr>
            </w:pPr>
            <w:r w:rsidRPr="0022357A">
              <w:rPr>
                <w:b/>
              </w:rPr>
              <w:t>CTCL subtype and study</w:t>
            </w:r>
          </w:p>
        </w:tc>
        <w:tc>
          <w:tcPr>
            <w:tcW w:w="1234" w:type="pct"/>
            <w:vAlign w:val="center"/>
          </w:tcPr>
          <w:p w:rsidR="00CE05BF" w:rsidRPr="0022357A" w:rsidRDefault="00CE05BF" w:rsidP="00A65DFB">
            <w:pPr>
              <w:pStyle w:val="Tabletext"/>
              <w:keepNext/>
              <w:jc w:val="center"/>
              <w:rPr>
                <w:b/>
              </w:rPr>
            </w:pPr>
            <w:r w:rsidRPr="0022357A">
              <w:rPr>
                <w:b/>
              </w:rPr>
              <w:t xml:space="preserve">Brentuximab vedotin </w:t>
            </w:r>
          </w:p>
        </w:tc>
        <w:tc>
          <w:tcPr>
            <w:tcW w:w="973" w:type="pct"/>
            <w:vAlign w:val="center"/>
          </w:tcPr>
          <w:p w:rsidR="00CE05BF" w:rsidRPr="0022357A" w:rsidRDefault="00CE05BF" w:rsidP="00A65DFB">
            <w:pPr>
              <w:pStyle w:val="Tabletext"/>
              <w:keepNext/>
              <w:jc w:val="center"/>
              <w:rPr>
                <w:b/>
              </w:rPr>
            </w:pPr>
            <w:r w:rsidRPr="0022357A">
              <w:rPr>
                <w:b/>
              </w:rPr>
              <w:t xml:space="preserve">Vorinostat </w:t>
            </w:r>
          </w:p>
        </w:tc>
        <w:tc>
          <w:tcPr>
            <w:tcW w:w="828" w:type="pct"/>
            <w:vAlign w:val="center"/>
          </w:tcPr>
          <w:p w:rsidR="00CE05BF" w:rsidRPr="0022357A" w:rsidRDefault="00CE05BF" w:rsidP="00A65DFB">
            <w:pPr>
              <w:pStyle w:val="Tabletext"/>
              <w:keepNext/>
              <w:jc w:val="center"/>
              <w:rPr>
                <w:b/>
              </w:rPr>
            </w:pPr>
            <w:r w:rsidRPr="0022357A">
              <w:rPr>
                <w:b/>
              </w:rPr>
              <w:t xml:space="preserve">Methotrexate </w:t>
            </w:r>
          </w:p>
        </w:tc>
      </w:tr>
      <w:tr w:rsidR="00CE05BF" w:rsidRPr="0022357A" w:rsidTr="0056712A">
        <w:trPr>
          <w:cantSplit/>
        </w:trPr>
        <w:tc>
          <w:tcPr>
            <w:tcW w:w="5000" w:type="pct"/>
            <w:gridSpan w:val="4"/>
            <w:vAlign w:val="center"/>
          </w:tcPr>
          <w:p w:rsidR="00CE05BF" w:rsidRPr="0022357A" w:rsidRDefault="00CE05BF" w:rsidP="00A65DFB">
            <w:pPr>
              <w:pStyle w:val="Tabletext"/>
              <w:keepNext/>
            </w:pPr>
            <w:r w:rsidRPr="0022357A">
              <w:rPr>
                <w:b/>
              </w:rPr>
              <w:t>MF</w:t>
            </w:r>
          </w:p>
        </w:tc>
      </w:tr>
      <w:tr w:rsidR="00CE05BF" w:rsidRPr="0022357A" w:rsidTr="0056712A">
        <w:trPr>
          <w:cantSplit/>
        </w:trPr>
        <w:tc>
          <w:tcPr>
            <w:tcW w:w="1965" w:type="pct"/>
            <w:vAlign w:val="center"/>
          </w:tcPr>
          <w:p w:rsidR="00CE05BF" w:rsidRPr="0022357A" w:rsidRDefault="00CE05BF" w:rsidP="00A65DFB">
            <w:pPr>
              <w:pStyle w:val="Tabletext"/>
              <w:keepNext/>
            </w:pPr>
            <w:r w:rsidRPr="0022357A">
              <w:t xml:space="preserve">ALCANZA </w:t>
            </w:r>
          </w:p>
        </w:tc>
        <w:tc>
          <w:tcPr>
            <w:tcW w:w="1234" w:type="pct"/>
            <w:vAlign w:val="center"/>
          </w:tcPr>
          <w:p w:rsidR="00CE05BF" w:rsidRPr="0022357A" w:rsidRDefault="00CE05BF" w:rsidP="00A65DFB">
            <w:pPr>
              <w:pStyle w:val="Tabletext"/>
              <w:keepNext/>
              <w:jc w:val="center"/>
            </w:pPr>
            <w:r w:rsidRPr="0022357A">
              <w:t xml:space="preserve">31/48 (65%) </w:t>
            </w:r>
          </w:p>
        </w:tc>
        <w:tc>
          <w:tcPr>
            <w:tcW w:w="973" w:type="pct"/>
          </w:tcPr>
          <w:p w:rsidR="00CE05BF" w:rsidRPr="0022357A" w:rsidRDefault="00CE05BF" w:rsidP="00A65DFB">
            <w:pPr>
              <w:pStyle w:val="Tabletext"/>
              <w:keepNext/>
              <w:jc w:val="center"/>
            </w:pPr>
            <w:r w:rsidRPr="0022357A">
              <w:t>-</w:t>
            </w:r>
          </w:p>
        </w:tc>
        <w:tc>
          <w:tcPr>
            <w:tcW w:w="828" w:type="pct"/>
            <w:vAlign w:val="center"/>
          </w:tcPr>
          <w:p w:rsidR="00CE05BF" w:rsidRPr="0022357A" w:rsidRDefault="00F72571" w:rsidP="00A65DFB">
            <w:pPr>
              <w:pStyle w:val="Tabletext"/>
              <w:keepNext/>
              <w:jc w:val="center"/>
            </w:pPr>
            <w:r>
              <w:rPr>
                <w:noProof/>
                <w:color w:val="000000"/>
                <w:highlight w:val="black"/>
              </w:rPr>
              <w:t>''''</w:t>
            </w:r>
            <w:r w:rsidR="00CE05BF" w:rsidRPr="0022357A">
              <w:t>/</w:t>
            </w:r>
            <w:r>
              <w:rPr>
                <w:noProof/>
                <w:color w:val="000000"/>
                <w:highlight w:val="black"/>
              </w:rPr>
              <w:t>''''''</w:t>
            </w:r>
            <w:r w:rsidR="00CE05BF" w:rsidRPr="0022357A">
              <w:t xml:space="preserve"> (</w:t>
            </w:r>
            <w:r>
              <w:rPr>
                <w:noProof/>
                <w:color w:val="000000"/>
                <w:highlight w:val="black"/>
              </w:rPr>
              <w:t>'''</w:t>
            </w:r>
            <w:r w:rsidR="00CE05BF" w:rsidRPr="0022357A">
              <w:t>%)</w:t>
            </w:r>
          </w:p>
        </w:tc>
      </w:tr>
      <w:tr w:rsidR="00CE05BF" w:rsidRPr="0022357A" w:rsidTr="0056712A">
        <w:trPr>
          <w:cantSplit/>
        </w:trPr>
        <w:tc>
          <w:tcPr>
            <w:tcW w:w="1965" w:type="pct"/>
            <w:vAlign w:val="center"/>
          </w:tcPr>
          <w:p w:rsidR="00CE05BF" w:rsidRPr="0022357A" w:rsidRDefault="00CE05BF" w:rsidP="00A65DFB">
            <w:pPr>
              <w:pStyle w:val="Tabletext"/>
              <w:keepNext/>
            </w:pPr>
            <w:r w:rsidRPr="0022357A">
              <w:t xml:space="preserve">Duvic (2015)  </w:t>
            </w:r>
          </w:p>
        </w:tc>
        <w:tc>
          <w:tcPr>
            <w:tcW w:w="1234" w:type="pct"/>
            <w:vAlign w:val="center"/>
          </w:tcPr>
          <w:p w:rsidR="00CE05BF" w:rsidRPr="0022357A" w:rsidRDefault="00CE05BF" w:rsidP="00A65DFB">
            <w:pPr>
              <w:pStyle w:val="Tabletext"/>
              <w:keepNext/>
              <w:jc w:val="center"/>
            </w:pPr>
            <w:r w:rsidRPr="0022357A">
              <w:t>15/28 (54%)</w:t>
            </w:r>
          </w:p>
        </w:tc>
        <w:tc>
          <w:tcPr>
            <w:tcW w:w="973" w:type="pct"/>
          </w:tcPr>
          <w:p w:rsidR="00CE05BF" w:rsidRPr="0022357A" w:rsidRDefault="00CE05BF" w:rsidP="00A65DFB">
            <w:pPr>
              <w:pStyle w:val="Tabletext"/>
              <w:keepNext/>
              <w:jc w:val="center"/>
            </w:pPr>
            <w:r w:rsidRPr="0022357A">
              <w:t>-</w:t>
            </w:r>
          </w:p>
        </w:tc>
        <w:tc>
          <w:tcPr>
            <w:tcW w:w="828" w:type="pct"/>
          </w:tcPr>
          <w:p w:rsidR="00CE05BF" w:rsidRPr="0022357A" w:rsidRDefault="00CE05BF" w:rsidP="00A65DFB">
            <w:pPr>
              <w:pStyle w:val="Tabletext"/>
              <w:keepNext/>
              <w:jc w:val="center"/>
            </w:pPr>
            <w:r w:rsidRPr="0022357A">
              <w:t>-</w:t>
            </w:r>
          </w:p>
        </w:tc>
      </w:tr>
      <w:tr w:rsidR="00CE05BF" w:rsidRPr="0022357A" w:rsidTr="0056712A">
        <w:trPr>
          <w:cantSplit/>
        </w:trPr>
        <w:tc>
          <w:tcPr>
            <w:tcW w:w="1965" w:type="pct"/>
            <w:vAlign w:val="center"/>
          </w:tcPr>
          <w:p w:rsidR="00CE05BF" w:rsidRPr="0022357A" w:rsidRDefault="00CE05BF" w:rsidP="00A65DFB">
            <w:pPr>
              <w:pStyle w:val="Tabletext"/>
              <w:keepNext/>
            </w:pPr>
            <w:r w:rsidRPr="0022357A">
              <w:t xml:space="preserve">Kim (2015) </w:t>
            </w:r>
          </w:p>
        </w:tc>
        <w:tc>
          <w:tcPr>
            <w:tcW w:w="1234" w:type="pct"/>
            <w:vAlign w:val="center"/>
          </w:tcPr>
          <w:p w:rsidR="00CE05BF" w:rsidRPr="0022357A" w:rsidRDefault="00CE05BF" w:rsidP="00A65DFB">
            <w:pPr>
              <w:pStyle w:val="Tabletext"/>
              <w:keepNext/>
              <w:jc w:val="center"/>
            </w:pPr>
            <w:r w:rsidRPr="0022357A">
              <w:t>17/22 (77%)</w:t>
            </w:r>
          </w:p>
        </w:tc>
        <w:tc>
          <w:tcPr>
            <w:tcW w:w="973" w:type="pct"/>
          </w:tcPr>
          <w:p w:rsidR="00CE05BF" w:rsidRPr="0022357A" w:rsidRDefault="00CE05BF" w:rsidP="00A65DFB">
            <w:pPr>
              <w:pStyle w:val="Tabletext"/>
              <w:keepNext/>
              <w:jc w:val="center"/>
            </w:pPr>
            <w:r w:rsidRPr="0022357A">
              <w:t>-</w:t>
            </w:r>
          </w:p>
        </w:tc>
        <w:tc>
          <w:tcPr>
            <w:tcW w:w="828" w:type="pct"/>
          </w:tcPr>
          <w:p w:rsidR="00CE05BF" w:rsidRPr="0022357A" w:rsidRDefault="00CE05BF" w:rsidP="00A65DFB">
            <w:pPr>
              <w:pStyle w:val="Tabletext"/>
              <w:keepNext/>
              <w:jc w:val="center"/>
            </w:pPr>
            <w:r w:rsidRPr="0022357A">
              <w:t>-</w:t>
            </w:r>
          </w:p>
        </w:tc>
      </w:tr>
      <w:tr w:rsidR="00CE05BF" w:rsidRPr="0022357A" w:rsidTr="0056712A">
        <w:trPr>
          <w:cantSplit/>
        </w:trPr>
        <w:tc>
          <w:tcPr>
            <w:tcW w:w="1965" w:type="pct"/>
            <w:vAlign w:val="center"/>
          </w:tcPr>
          <w:p w:rsidR="00CE05BF" w:rsidRPr="0022357A" w:rsidRDefault="00CE05BF" w:rsidP="00A65DFB">
            <w:pPr>
              <w:pStyle w:val="Tabletext"/>
              <w:keepNext/>
            </w:pPr>
            <w:r w:rsidRPr="0022357A">
              <w:t xml:space="preserve">MAVORIC </w:t>
            </w:r>
          </w:p>
        </w:tc>
        <w:tc>
          <w:tcPr>
            <w:tcW w:w="1234" w:type="pct"/>
            <w:vAlign w:val="center"/>
          </w:tcPr>
          <w:p w:rsidR="00CE05BF" w:rsidRPr="0022357A" w:rsidRDefault="00CE05BF" w:rsidP="00A65DFB">
            <w:pPr>
              <w:pStyle w:val="Tabletext"/>
              <w:keepNext/>
              <w:jc w:val="center"/>
            </w:pPr>
            <w:r w:rsidRPr="0022357A">
              <w:t>-</w:t>
            </w:r>
          </w:p>
        </w:tc>
        <w:tc>
          <w:tcPr>
            <w:tcW w:w="973" w:type="pct"/>
            <w:vAlign w:val="center"/>
          </w:tcPr>
          <w:p w:rsidR="00CE05BF" w:rsidRPr="0022357A" w:rsidRDefault="00CE05BF" w:rsidP="00A65DFB">
            <w:pPr>
              <w:pStyle w:val="Tabletext"/>
              <w:keepNext/>
              <w:jc w:val="center"/>
            </w:pPr>
            <w:r w:rsidRPr="0022357A">
              <w:t>7/99 (7%)</w:t>
            </w:r>
          </w:p>
        </w:tc>
        <w:tc>
          <w:tcPr>
            <w:tcW w:w="828" w:type="pct"/>
          </w:tcPr>
          <w:p w:rsidR="00CE05BF" w:rsidRPr="0022357A" w:rsidRDefault="00CE05BF" w:rsidP="00A65DFB">
            <w:pPr>
              <w:pStyle w:val="Tabletext"/>
              <w:keepNext/>
              <w:jc w:val="center"/>
            </w:pPr>
            <w:r w:rsidRPr="0022357A">
              <w:t>-</w:t>
            </w:r>
          </w:p>
        </w:tc>
      </w:tr>
      <w:tr w:rsidR="00CE05BF" w:rsidRPr="0022357A" w:rsidTr="0056712A">
        <w:trPr>
          <w:cantSplit/>
        </w:trPr>
        <w:tc>
          <w:tcPr>
            <w:tcW w:w="1965" w:type="pct"/>
            <w:vAlign w:val="center"/>
          </w:tcPr>
          <w:p w:rsidR="00CE05BF" w:rsidRPr="0022357A" w:rsidRDefault="00CE05BF" w:rsidP="00A65DFB">
            <w:pPr>
              <w:pStyle w:val="Tabletext"/>
              <w:keepNext/>
            </w:pPr>
            <w:r w:rsidRPr="0022357A">
              <w:t xml:space="preserve">P001 </w:t>
            </w:r>
          </w:p>
        </w:tc>
        <w:tc>
          <w:tcPr>
            <w:tcW w:w="1234" w:type="pct"/>
            <w:vAlign w:val="center"/>
          </w:tcPr>
          <w:p w:rsidR="00CE05BF" w:rsidRPr="0022357A" w:rsidRDefault="00CE05BF" w:rsidP="00A65DFB">
            <w:pPr>
              <w:pStyle w:val="Tabletext"/>
              <w:keepNext/>
              <w:jc w:val="center"/>
            </w:pPr>
            <w:r w:rsidRPr="0022357A">
              <w:t>-</w:t>
            </w:r>
          </w:p>
        </w:tc>
        <w:tc>
          <w:tcPr>
            <w:tcW w:w="973" w:type="pct"/>
            <w:vAlign w:val="center"/>
          </w:tcPr>
          <w:p w:rsidR="00CE05BF" w:rsidRPr="0022357A" w:rsidRDefault="00CE05BF" w:rsidP="00A65DFB">
            <w:pPr>
              <w:pStyle w:val="Tabletext"/>
              <w:keepNext/>
              <w:jc w:val="center"/>
            </w:pPr>
            <w:r w:rsidRPr="0022357A">
              <w:t>12/44 (27%)</w:t>
            </w:r>
          </w:p>
        </w:tc>
        <w:tc>
          <w:tcPr>
            <w:tcW w:w="828" w:type="pct"/>
          </w:tcPr>
          <w:p w:rsidR="00CE05BF" w:rsidRPr="0022357A" w:rsidRDefault="00CE05BF" w:rsidP="00A65DFB">
            <w:pPr>
              <w:pStyle w:val="Tabletext"/>
              <w:keepNext/>
              <w:jc w:val="center"/>
            </w:pPr>
            <w:r w:rsidRPr="0022357A">
              <w:t>-</w:t>
            </w:r>
          </w:p>
        </w:tc>
      </w:tr>
      <w:tr w:rsidR="00CE05BF" w:rsidRPr="0022357A" w:rsidTr="0056712A">
        <w:trPr>
          <w:cantSplit/>
        </w:trPr>
        <w:tc>
          <w:tcPr>
            <w:tcW w:w="1965" w:type="pct"/>
            <w:vAlign w:val="center"/>
          </w:tcPr>
          <w:p w:rsidR="00CE05BF" w:rsidRPr="0022357A" w:rsidRDefault="00CE05BF" w:rsidP="00A65DFB">
            <w:pPr>
              <w:pStyle w:val="Tabletext"/>
              <w:keepNext/>
            </w:pPr>
            <w:r w:rsidRPr="0022357A">
              <w:t xml:space="preserve">P005 </w:t>
            </w:r>
          </w:p>
        </w:tc>
        <w:tc>
          <w:tcPr>
            <w:tcW w:w="1234" w:type="pct"/>
            <w:vAlign w:val="center"/>
          </w:tcPr>
          <w:p w:rsidR="00CE05BF" w:rsidRPr="0022357A" w:rsidRDefault="00CE05BF" w:rsidP="00A65DFB">
            <w:pPr>
              <w:pStyle w:val="Tabletext"/>
              <w:keepNext/>
              <w:jc w:val="center"/>
            </w:pPr>
            <w:r w:rsidRPr="0022357A">
              <w:t>-</w:t>
            </w:r>
          </w:p>
        </w:tc>
        <w:tc>
          <w:tcPr>
            <w:tcW w:w="973" w:type="pct"/>
            <w:vAlign w:val="center"/>
          </w:tcPr>
          <w:p w:rsidR="00CE05BF" w:rsidRPr="0022357A" w:rsidRDefault="00CE05BF" w:rsidP="00A65DFB">
            <w:pPr>
              <w:pStyle w:val="Tabletext"/>
              <w:keepNext/>
              <w:jc w:val="center"/>
            </w:pPr>
            <w:r w:rsidRPr="0022357A">
              <w:t>4/22 (18%)</w:t>
            </w:r>
          </w:p>
        </w:tc>
        <w:tc>
          <w:tcPr>
            <w:tcW w:w="828" w:type="pct"/>
          </w:tcPr>
          <w:p w:rsidR="00CE05BF" w:rsidRPr="0022357A" w:rsidRDefault="00CE05BF" w:rsidP="00A65DFB">
            <w:pPr>
              <w:pStyle w:val="Tabletext"/>
              <w:keepNext/>
              <w:jc w:val="center"/>
            </w:pPr>
          </w:p>
        </w:tc>
      </w:tr>
      <w:tr w:rsidR="00CE05BF" w:rsidRPr="0022357A" w:rsidTr="0056712A">
        <w:trPr>
          <w:cantSplit/>
        </w:trPr>
        <w:tc>
          <w:tcPr>
            <w:tcW w:w="5000" w:type="pct"/>
            <w:gridSpan w:val="4"/>
            <w:vAlign w:val="center"/>
          </w:tcPr>
          <w:p w:rsidR="00CE05BF" w:rsidRPr="0022357A" w:rsidRDefault="00CE05BF" w:rsidP="00A65DFB">
            <w:pPr>
              <w:pStyle w:val="Tabletext"/>
              <w:keepNext/>
            </w:pPr>
            <w:r w:rsidRPr="0022357A">
              <w:rPr>
                <w:b/>
              </w:rPr>
              <w:t>pcALCL</w:t>
            </w:r>
          </w:p>
        </w:tc>
      </w:tr>
      <w:tr w:rsidR="00CE05BF" w:rsidRPr="0022357A" w:rsidTr="0056712A">
        <w:trPr>
          <w:cantSplit/>
        </w:trPr>
        <w:tc>
          <w:tcPr>
            <w:tcW w:w="1965" w:type="pct"/>
            <w:vAlign w:val="center"/>
          </w:tcPr>
          <w:p w:rsidR="00CE05BF" w:rsidRPr="0022357A" w:rsidRDefault="00CE05BF" w:rsidP="00A65DFB">
            <w:pPr>
              <w:pStyle w:val="Tabletext"/>
              <w:keepNext/>
            </w:pPr>
            <w:r w:rsidRPr="0022357A">
              <w:t xml:space="preserve">ALCANZA </w:t>
            </w:r>
          </w:p>
        </w:tc>
        <w:tc>
          <w:tcPr>
            <w:tcW w:w="1234" w:type="pct"/>
            <w:vAlign w:val="center"/>
          </w:tcPr>
          <w:p w:rsidR="00CE05BF" w:rsidRPr="0022357A" w:rsidRDefault="00CE05BF" w:rsidP="00A65DFB">
            <w:pPr>
              <w:pStyle w:val="Tabletext"/>
              <w:keepNext/>
              <w:jc w:val="center"/>
            </w:pPr>
            <w:r w:rsidRPr="0022357A">
              <w:t>12/16 (75%)</w:t>
            </w:r>
          </w:p>
        </w:tc>
        <w:tc>
          <w:tcPr>
            <w:tcW w:w="973" w:type="pct"/>
          </w:tcPr>
          <w:p w:rsidR="00CE05BF" w:rsidRPr="0022357A" w:rsidRDefault="00CE05BF" w:rsidP="00A65DFB">
            <w:pPr>
              <w:pStyle w:val="Tabletext"/>
              <w:keepNext/>
              <w:jc w:val="center"/>
            </w:pPr>
            <w:r w:rsidRPr="0022357A">
              <w:t>-</w:t>
            </w:r>
          </w:p>
        </w:tc>
        <w:tc>
          <w:tcPr>
            <w:tcW w:w="828" w:type="pct"/>
            <w:vAlign w:val="center"/>
          </w:tcPr>
          <w:p w:rsidR="00CE05BF" w:rsidRPr="0022357A" w:rsidRDefault="00F72571" w:rsidP="00A65DFB">
            <w:pPr>
              <w:pStyle w:val="Tabletext"/>
              <w:keepNext/>
              <w:jc w:val="center"/>
            </w:pPr>
            <w:r>
              <w:rPr>
                <w:noProof/>
                <w:color w:val="000000"/>
                <w:highlight w:val="black"/>
              </w:rPr>
              <w:t>'''</w:t>
            </w:r>
            <w:r w:rsidR="00DF2C1A" w:rsidRPr="008C6F50">
              <w:t>/</w:t>
            </w:r>
            <w:r>
              <w:rPr>
                <w:noProof/>
                <w:color w:val="000000"/>
                <w:highlight w:val="black"/>
              </w:rPr>
              <w:t>''''</w:t>
            </w:r>
            <w:r w:rsidR="00DF2C1A" w:rsidRPr="008C6F50">
              <w:t xml:space="preserve"> (</w:t>
            </w:r>
            <w:r>
              <w:rPr>
                <w:noProof/>
                <w:color w:val="000000"/>
                <w:highlight w:val="black"/>
              </w:rPr>
              <w:t>'''''''</w:t>
            </w:r>
            <w:r w:rsidR="00DF2C1A" w:rsidRPr="008C6F50">
              <w:t>%)</w:t>
            </w:r>
          </w:p>
        </w:tc>
      </w:tr>
      <w:tr w:rsidR="00CE05BF" w:rsidRPr="0022357A" w:rsidTr="0056712A">
        <w:trPr>
          <w:cantSplit/>
        </w:trPr>
        <w:tc>
          <w:tcPr>
            <w:tcW w:w="1965" w:type="pct"/>
            <w:vAlign w:val="center"/>
          </w:tcPr>
          <w:p w:rsidR="00CE05BF" w:rsidRPr="0022357A" w:rsidRDefault="00CE05BF" w:rsidP="00A65DFB">
            <w:pPr>
              <w:pStyle w:val="Tabletext"/>
              <w:keepNext/>
            </w:pPr>
            <w:r w:rsidRPr="0022357A">
              <w:t xml:space="preserve">Duvic (2015)  </w:t>
            </w:r>
          </w:p>
        </w:tc>
        <w:tc>
          <w:tcPr>
            <w:tcW w:w="1234" w:type="pct"/>
            <w:vAlign w:val="center"/>
          </w:tcPr>
          <w:p w:rsidR="00CE05BF" w:rsidRPr="0022357A" w:rsidRDefault="00CE05BF" w:rsidP="00A65DFB">
            <w:pPr>
              <w:pStyle w:val="Tabletext"/>
              <w:keepNext/>
              <w:jc w:val="center"/>
            </w:pPr>
            <w:r w:rsidRPr="0022357A">
              <w:t>2/2 (100%)</w:t>
            </w:r>
          </w:p>
        </w:tc>
        <w:tc>
          <w:tcPr>
            <w:tcW w:w="973" w:type="pct"/>
          </w:tcPr>
          <w:p w:rsidR="00CE05BF" w:rsidRPr="0022357A" w:rsidRDefault="00CE05BF" w:rsidP="00A65DFB">
            <w:pPr>
              <w:pStyle w:val="Tabletext"/>
              <w:keepNext/>
              <w:jc w:val="center"/>
            </w:pPr>
            <w:r w:rsidRPr="0022357A">
              <w:t>-</w:t>
            </w:r>
          </w:p>
        </w:tc>
        <w:tc>
          <w:tcPr>
            <w:tcW w:w="828" w:type="pct"/>
            <w:vAlign w:val="center"/>
          </w:tcPr>
          <w:p w:rsidR="00CE05BF" w:rsidRPr="0022357A" w:rsidRDefault="00CE05BF" w:rsidP="00A65DFB">
            <w:pPr>
              <w:pStyle w:val="Tabletext"/>
              <w:keepNext/>
              <w:jc w:val="center"/>
            </w:pPr>
            <w:r w:rsidRPr="0022357A">
              <w:t>-</w:t>
            </w:r>
          </w:p>
        </w:tc>
      </w:tr>
      <w:tr w:rsidR="00CE05BF" w:rsidRPr="0022357A" w:rsidTr="0056712A">
        <w:trPr>
          <w:cantSplit/>
        </w:trPr>
        <w:tc>
          <w:tcPr>
            <w:tcW w:w="5000" w:type="pct"/>
            <w:gridSpan w:val="4"/>
            <w:vAlign w:val="center"/>
          </w:tcPr>
          <w:p w:rsidR="00CE05BF" w:rsidRPr="0022357A" w:rsidRDefault="00CE05BF" w:rsidP="00A65DFB">
            <w:pPr>
              <w:pStyle w:val="Tabletext"/>
              <w:keepNext/>
            </w:pPr>
            <w:r w:rsidRPr="0022357A">
              <w:rPr>
                <w:b/>
              </w:rPr>
              <w:t>SS</w:t>
            </w:r>
          </w:p>
        </w:tc>
      </w:tr>
      <w:tr w:rsidR="00CE05BF" w:rsidRPr="0022357A" w:rsidTr="0056712A">
        <w:trPr>
          <w:cantSplit/>
        </w:trPr>
        <w:tc>
          <w:tcPr>
            <w:tcW w:w="1965" w:type="pct"/>
            <w:vAlign w:val="center"/>
          </w:tcPr>
          <w:p w:rsidR="00CE05BF" w:rsidRPr="0022357A" w:rsidRDefault="00CE05BF" w:rsidP="00A65DFB">
            <w:pPr>
              <w:pStyle w:val="Tabletext"/>
              <w:keepNext/>
            </w:pPr>
            <w:r w:rsidRPr="0022357A">
              <w:t>Kim (2015)</w:t>
            </w:r>
          </w:p>
        </w:tc>
        <w:tc>
          <w:tcPr>
            <w:tcW w:w="1234" w:type="pct"/>
            <w:vAlign w:val="center"/>
          </w:tcPr>
          <w:p w:rsidR="00CE05BF" w:rsidRPr="0022357A" w:rsidRDefault="00CE05BF" w:rsidP="00A65DFB">
            <w:pPr>
              <w:pStyle w:val="Tabletext"/>
              <w:keepNext/>
              <w:jc w:val="center"/>
            </w:pPr>
            <w:r w:rsidRPr="0022357A">
              <w:t>2/3 (67%)</w:t>
            </w:r>
          </w:p>
        </w:tc>
        <w:tc>
          <w:tcPr>
            <w:tcW w:w="973" w:type="pct"/>
          </w:tcPr>
          <w:p w:rsidR="00CE05BF" w:rsidRPr="0022357A" w:rsidRDefault="00CE05BF" w:rsidP="00A65DFB">
            <w:pPr>
              <w:pStyle w:val="Tabletext"/>
              <w:keepNext/>
              <w:jc w:val="center"/>
            </w:pPr>
            <w:r w:rsidRPr="0022357A">
              <w:t>-</w:t>
            </w:r>
          </w:p>
        </w:tc>
        <w:tc>
          <w:tcPr>
            <w:tcW w:w="828" w:type="pct"/>
          </w:tcPr>
          <w:p w:rsidR="00CE05BF" w:rsidRPr="0022357A" w:rsidRDefault="00CE05BF" w:rsidP="00A65DFB">
            <w:pPr>
              <w:pStyle w:val="Tabletext"/>
              <w:keepNext/>
              <w:jc w:val="center"/>
            </w:pPr>
            <w:r w:rsidRPr="0022357A">
              <w:t>-</w:t>
            </w:r>
          </w:p>
        </w:tc>
      </w:tr>
      <w:tr w:rsidR="00CE05BF" w:rsidRPr="0022357A" w:rsidTr="0056712A">
        <w:trPr>
          <w:cantSplit/>
        </w:trPr>
        <w:tc>
          <w:tcPr>
            <w:tcW w:w="1965" w:type="pct"/>
            <w:vAlign w:val="center"/>
          </w:tcPr>
          <w:p w:rsidR="00CE05BF" w:rsidRPr="0022357A" w:rsidRDefault="00CE05BF" w:rsidP="00A65DFB">
            <w:pPr>
              <w:pStyle w:val="Tabletext"/>
              <w:keepNext/>
            </w:pPr>
            <w:r w:rsidRPr="0022357A">
              <w:t xml:space="preserve">MAVORIC </w:t>
            </w:r>
          </w:p>
        </w:tc>
        <w:tc>
          <w:tcPr>
            <w:tcW w:w="1234" w:type="pct"/>
          </w:tcPr>
          <w:p w:rsidR="00CE05BF" w:rsidRPr="0022357A" w:rsidRDefault="00CE05BF" w:rsidP="00A65DFB">
            <w:pPr>
              <w:pStyle w:val="Tabletext"/>
              <w:keepNext/>
              <w:jc w:val="center"/>
            </w:pPr>
            <w:r w:rsidRPr="0022357A">
              <w:t>-</w:t>
            </w:r>
          </w:p>
        </w:tc>
        <w:tc>
          <w:tcPr>
            <w:tcW w:w="973" w:type="pct"/>
            <w:vAlign w:val="center"/>
          </w:tcPr>
          <w:p w:rsidR="00CE05BF" w:rsidRPr="0022357A" w:rsidRDefault="00CE05BF" w:rsidP="00A65DFB">
            <w:pPr>
              <w:pStyle w:val="Tabletext"/>
              <w:keepNext/>
              <w:jc w:val="center"/>
            </w:pPr>
            <w:r w:rsidRPr="0022357A">
              <w:t>2/87 (2%)</w:t>
            </w:r>
          </w:p>
        </w:tc>
        <w:tc>
          <w:tcPr>
            <w:tcW w:w="828" w:type="pct"/>
          </w:tcPr>
          <w:p w:rsidR="00CE05BF" w:rsidRPr="0022357A" w:rsidRDefault="00CE05BF" w:rsidP="00A65DFB">
            <w:pPr>
              <w:pStyle w:val="Tabletext"/>
              <w:keepNext/>
              <w:jc w:val="center"/>
            </w:pPr>
            <w:r w:rsidRPr="0022357A">
              <w:t>-</w:t>
            </w:r>
          </w:p>
        </w:tc>
      </w:tr>
      <w:tr w:rsidR="00CE05BF" w:rsidRPr="0022357A" w:rsidTr="0056712A">
        <w:trPr>
          <w:cantSplit/>
        </w:trPr>
        <w:tc>
          <w:tcPr>
            <w:tcW w:w="1965" w:type="pct"/>
            <w:vAlign w:val="center"/>
          </w:tcPr>
          <w:p w:rsidR="00CE05BF" w:rsidRPr="0022357A" w:rsidRDefault="00CE05BF" w:rsidP="00A65DFB">
            <w:pPr>
              <w:pStyle w:val="Tabletext"/>
              <w:keepNext/>
            </w:pPr>
            <w:r w:rsidRPr="0022357A">
              <w:t xml:space="preserve">P001 </w:t>
            </w:r>
          </w:p>
        </w:tc>
        <w:tc>
          <w:tcPr>
            <w:tcW w:w="1234" w:type="pct"/>
          </w:tcPr>
          <w:p w:rsidR="00CE05BF" w:rsidRPr="0022357A" w:rsidRDefault="00CE05BF" w:rsidP="00A65DFB">
            <w:pPr>
              <w:pStyle w:val="Tabletext"/>
              <w:keepNext/>
              <w:jc w:val="center"/>
            </w:pPr>
            <w:r w:rsidRPr="0022357A">
              <w:t>-</w:t>
            </w:r>
          </w:p>
        </w:tc>
        <w:tc>
          <w:tcPr>
            <w:tcW w:w="973" w:type="pct"/>
            <w:vAlign w:val="center"/>
          </w:tcPr>
          <w:p w:rsidR="00CE05BF" w:rsidRPr="0022357A" w:rsidRDefault="00CE05BF" w:rsidP="00A65DFB">
            <w:pPr>
              <w:pStyle w:val="Tabletext"/>
              <w:keepNext/>
              <w:jc w:val="center"/>
            </w:pPr>
            <w:r w:rsidRPr="0022357A">
              <w:t>10/30 (33%)</w:t>
            </w:r>
          </w:p>
        </w:tc>
        <w:tc>
          <w:tcPr>
            <w:tcW w:w="828" w:type="pct"/>
          </w:tcPr>
          <w:p w:rsidR="00CE05BF" w:rsidRPr="0022357A" w:rsidRDefault="00CE05BF" w:rsidP="00A65DFB">
            <w:pPr>
              <w:pStyle w:val="Tabletext"/>
              <w:keepNext/>
              <w:jc w:val="center"/>
            </w:pPr>
            <w:r w:rsidRPr="0022357A">
              <w:t>-</w:t>
            </w:r>
          </w:p>
        </w:tc>
      </w:tr>
      <w:tr w:rsidR="00CE05BF" w:rsidRPr="0022357A" w:rsidTr="0056712A">
        <w:trPr>
          <w:cantSplit/>
        </w:trPr>
        <w:tc>
          <w:tcPr>
            <w:tcW w:w="1965" w:type="pct"/>
            <w:vAlign w:val="center"/>
          </w:tcPr>
          <w:p w:rsidR="00CE05BF" w:rsidRPr="0022357A" w:rsidRDefault="00CE05BF" w:rsidP="00A65DFB">
            <w:pPr>
              <w:pStyle w:val="Tabletext"/>
              <w:keepNext/>
            </w:pPr>
            <w:r w:rsidRPr="0022357A">
              <w:t xml:space="preserve">P005 </w:t>
            </w:r>
          </w:p>
        </w:tc>
        <w:tc>
          <w:tcPr>
            <w:tcW w:w="1234" w:type="pct"/>
          </w:tcPr>
          <w:p w:rsidR="00CE05BF" w:rsidRPr="0022357A" w:rsidRDefault="00CE05BF" w:rsidP="00A65DFB">
            <w:pPr>
              <w:pStyle w:val="Tabletext"/>
              <w:keepNext/>
              <w:jc w:val="center"/>
            </w:pPr>
            <w:r w:rsidRPr="0022357A">
              <w:t>-</w:t>
            </w:r>
          </w:p>
        </w:tc>
        <w:tc>
          <w:tcPr>
            <w:tcW w:w="973" w:type="pct"/>
            <w:vAlign w:val="center"/>
          </w:tcPr>
          <w:p w:rsidR="00CE05BF" w:rsidRPr="0022357A" w:rsidRDefault="00CE05BF" w:rsidP="00A65DFB">
            <w:pPr>
              <w:pStyle w:val="Tabletext"/>
              <w:keepNext/>
              <w:jc w:val="center"/>
            </w:pPr>
            <w:r w:rsidRPr="0022357A">
              <w:t>4/11 (36%)</w:t>
            </w:r>
          </w:p>
        </w:tc>
        <w:tc>
          <w:tcPr>
            <w:tcW w:w="828" w:type="pct"/>
          </w:tcPr>
          <w:p w:rsidR="00CE05BF" w:rsidRPr="0022357A" w:rsidRDefault="00CE05BF" w:rsidP="00A65DFB">
            <w:pPr>
              <w:pStyle w:val="Tabletext"/>
              <w:keepNext/>
              <w:jc w:val="center"/>
            </w:pPr>
            <w:r w:rsidRPr="0022357A">
              <w:t>-</w:t>
            </w:r>
          </w:p>
        </w:tc>
      </w:tr>
      <w:tr w:rsidR="00CE05BF" w:rsidRPr="0022357A" w:rsidTr="0056712A">
        <w:trPr>
          <w:cantSplit/>
        </w:trPr>
        <w:tc>
          <w:tcPr>
            <w:tcW w:w="5000" w:type="pct"/>
            <w:gridSpan w:val="4"/>
            <w:vAlign w:val="center"/>
          </w:tcPr>
          <w:p w:rsidR="00CE05BF" w:rsidRPr="0022357A" w:rsidRDefault="00CE05BF" w:rsidP="00A65DFB">
            <w:pPr>
              <w:pStyle w:val="Tabletext"/>
              <w:keepNext/>
            </w:pPr>
            <w:r w:rsidRPr="0022357A">
              <w:rPr>
                <w:b/>
              </w:rPr>
              <w:t>LyP</w:t>
            </w:r>
          </w:p>
        </w:tc>
      </w:tr>
      <w:tr w:rsidR="00CE05BF" w:rsidRPr="0022357A" w:rsidTr="0056712A">
        <w:trPr>
          <w:cantSplit/>
        </w:trPr>
        <w:tc>
          <w:tcPr>
            <w:tcW w:w="1965" w:type="pct"/>
            <w:vAlign w:val="center"/>
          </w:tcPr>
          <w:p w:rsidR="00CE05BF" w:rsidRPr="0022357A" w:rsidRDefault="00CE05BF" w:rsidP="00A65DFB">
            <w:pPr>
              <w:pStyle w:val="Tabletext"/>
              <w:keepNext/>
            </w:pPr>
            <w:r w:rsidRPr="0022357A">
              <w:t xml:space="preserve">Duvic (2015) LyP only  </w:t>
            </w:r>
          </w:p>
        </w:tc>
        <w:tc>
          <w:tcPr>
            <w:tcW w:w="1234" w:type="pct"/>
            <w:vAlign w:val="center"/>
          </w:tcPr>
          <w:p w:rsidR="00CE05BF" w:rsidRPr="0022357A" w:rsidRDefault="00CE05BF" w:rsidP="00A65DFB">
            <w:pPr>
              <w:pStyle w:val="Tabletext"/>
              <w:keepNext/>
              <w:jc w:val="center"/>
            </w:pPr>
            <w:r w:rsidRPr="0022357A">
              <w:t>9/9 (100%)</w:t>
            </w:r>
          </w:p>
        </w:tc>
        <w:tc>
          <w:tcPr>
            <w:tcW w:w="973" w:type="pct"/>
          </w:tcPr>
          <w:p w:rsidR="00CE05BF" w:rsidRPr="0022357A" w:rsidRDefault="00CE05BF" w:rsidP="00A65DFB">
            <w:pPr>
              <w:pStyle w:val="Tabletext"/>
              <w:keepNext/>
              <w:jc w:val="center"/>
            </w:pPr>
            <w:r w:rsidRPr="0022357A">
              <w:t>-</w:t>
            </w:r>
          </w:p>
        </w:tc>
        <w:tc>
          <w:tcPr>
            <w:tcW w:w="828" w:type="pct"/>
          </w:tcPr>
          <w:p w:rsidR="00CE05BF" w:rsidRPr="0022357A" w:rsidRDefault="00CE05BF" w:rsidP="00A65DFB">
            <w:pPr>
              <w:pStyle w:val="Tabletext"/>
              <w:keepNext/>
              <w:jc w:val="center"/>
            </w:pPr>
            <w:r w:rsidRPr="0022357A">
              <w:t>-</w:t>
            </w:r>
          </w:p>
        </w:tc>
      </w:tr>
      <w:tr w:rsidR="00CE05BF" w:rsidRPr="0022357A" w:rsidTr="0056712A">
        <w:trPr>
          <w:cantSplit/>
        </w:trPr>
        <w:tc>
          <w:tcPr>
            <w:tcW w:w="1965" w:type="pct"/>
            <w:vAlign w:val="center"/>
          </w:tcPr>
          <w:p w:rsidR="00CE05BF" w:rsidRPr="0022357A" w:rsidRDefault="00CE05BF" w:rsidP="00A65DFB">
            <w:pPr>
              <w:pStyle w:val="Tabletext"/>
              <w:keepNext/>
            </w:pPr>
            <w:r w:rsidRPr="0022357A">
              <w:t xml:space="preserve">Duvic (2015) LyP + MF or pcALCL </w:t>
            </w:r>
          </w:p>
        </w:tc>
        <w:tc>
          <w:tcPr>
            <w:tcW w:w="1234" w:type="pct"/>
            <w:vAlign w:val="center"/>
          </w:tcPr>
          <w:p w:rsidR="00CE05BF" w:rsidRPr="0022357A" w:rsidRDefault="00CE05BF" w:rsidP="00A65DFB">
            <w:pPr>
              <w:pStyle w:val="Tabletext"/>
              <w:keepNext/>
              <w:jc w:val="center"/>
            </w:pPr>
            <w:r w:rsidRPr="0022357A">
              <w:t>8/8 (100%)</w:t>
            </w:r>
          </w:p>
        </w:tc>
        <w:tc>
          <w:tcPr>
            <w:tcW w:w="973" w:type="pct"/>
          </w:tcPr>
          <w:p w:rsidR="00CE05BF" w:rsidRPr="0022357A" w:rsidRDefault="00CE05BF" w:rsidP="00A65DFB">
            <w:pPr>
              <w:pStyle w:val="Tabletext"/>
              <w:keepNext/>
              <w:jc w:val="center"/>
            </w:pPr>
            <w:r w:rsidRPr="0022357A">
              <w:t>-</w:t>
            </w:r>
          </w:p>
        </w:tc>
        <w:tc>
          <w:tcPr>
            <w:tcW w:w="828" w:type="pct"/>
          </w:tcPr>
          <w:p w:rsidR="00CE05BF" w:rsidRPr="0022357A" w:rsidRDefault="00CE05BF" w:rsidP="00A65DFB">
            <w:pPr>
              <w:pStyle w:val="Tabletext"/>
              <w:keepNext/>
              <w:jc w:val="center"/>
            </w:pPr>
            <w:r w:rsidRPr="0022357A">
              <w:t>-</w:t>
            </w:r>
          </w:p>
        </w:tc>
      </w:tr>
      <w:tr w:rsidR="00CE05BF" w:rsidRPr="0022357A" w:rsidTr="0056712A">
        <w:trPr>
          <w:cantSplit/>
        </w:trPr>
        <w:tc>
          <w:tcPr>
            <w:tcW w:w="1965" w:type="pct"/>
            <w:vAlign w:val="center"/>
          </w:tcPr>
          <w:p w:rsidR="00CE05BF" w:rsidRPr="0022357A" w:rsidRDefault="00CE05BF" w:rsidP="00A65DFB">
            <w:pPr>
              <w:pStyle w:val="Tabletext"/>
              <w:keepNext/>
              <w:rPr>
                <w:vertAlign w:val="superscript"/>
              </w:rPr>
            </w:pPr>
            <w:r w:rsidRPr="0022357A">
              <w:t xml:space="preserve">Newland (2015) LyP </w:t>
            </w:r>
          </w:p>
        </w:tc>
        <w:tc>
          <w:tcPr>
            <w:tcW w:w="1234" w:type="pct"/>
            <w:vAlign w:val="center"/>
          </w:tcPr>
          <w:p w:rsidR="00CE05BF" w:rsidRPr="0022357A" w:rsidRDefault="00CE05BF" w:rsidP="00A65DFB">
            <w:pPr>
              <w:pStyle w:val="Tabletext"/>
              <w:keepNext/>
              <w:jc w:val="center"/>
            </w:pPr>
            <w:r w:rsidRPr="0022357A">
              <w:t>-</w:t>
            </w:r>
          </w:p>
        </w:tc>
        <w:tc>
          <w:tcPr>
            <w:tcW w:w="973" w:type="pct"/>
          </w:tcPr>
          <w:p w:rsidR="00CE05BF" w:rsidRPr="0022357A" w:rsidRDefault="00CE05BF" w:rsidP="00A65DFB">
            <w:pPr>
              <w:pStyle w:val="Tabletext"/>
              <w:keepNext/>
              <w:jc w:val="center"/>
            </w:pPr>
            <w:r w:rsidRPr="0022357A">
              <w:t>-</w:t>
            </w:r>
          </w:p>
        </w:tc>
        <w:tc>
          <w:tcPr>
            <w:tcW w:w="828" w:type="pct"/>
            <w:vAlign w:val="center"/>
          </w:tcPr>
          <w:p w:rsidR="00CE05BF" w:rsidRPr="0022357A" w:rsidRDefault="00CE05BF" w:rsidP="00A65DFB">
            <w:pPr>
              <w:pStyle w:val="Tabletext"/>
              <w:keepNext/>
              <w:jc w:val="center"/>
            </w:pPr>
            <w:r w:rsidRPr="0022357A">
              <w:t>22/25 (88%)</w:t>
            </w:r>
          </w:p>
        </w:tc>
      </w:tr>
    </w:tbl>
    <w:p w:rsidR="00CE05BF" w:rsidRPr="0022357A" w:rsidRDefault="00CE05BF" w:rsidP="00A65DFB">
      <w:pPr>
        <w:pStyle w:val="TableFooter"/>
        <w:keepNext/>
        <w:rPr>
          <w:sz w:val="20"/>
        </w:rPr>
      </w:pPr>
      <w:r w:rsidRPr="0022357A">
        <w:t xml:space="preserve">Source: Complied during the evaluation from Table 14.3.1.4E of Appendix 11B, pp635-637; Table 2.5-7, p112 of the submission; </w:t>
      </w:r>
      <w:r w:rsidR="00FC271D" w:rsidRPr="0022357A">
        <w:t xml:space="preserve">Table 2 p 2111 of </w:t>
      </w:r>
      <w:r w:rsidRPr="0022357A">
        <w:t>Olsen (2007) (P001</w:t>
      </w:r>
      <w:proofErr w:type="gramStart"/>
      <w:r w:rsidRPr="0022357A">
        <w:t xml:space="preserve">)  </w:t>
      </w:r>
      <w:r w:rsidR="00FC271D" w:rsidRPr="0022357A">
        <w:t>Table</w:t>
      </w:r>
      <w:proofErr w:type="gramEnd"/>
      <w:r w:rsidR="00FC271D" w:rsidRPr="0022357A">
        <w:t xml:space="preserve"> 1 p 3 of Kim (2017)</w:t>
      </w:r>
      <w:r w:rsidR="00A316E9" w:rsidRPr="0022357A">
        <w:t>; Table 4 p 34 of Duvic (2007) and Newland (2015)</w:t>
      </w:r>
    </w:p>
    <w:p w:rsidR="00CE05BF" w:rsidRPr="0022357A" w:rsidRDefault="00CE05BF" w:rsidP="00A65DFB">
      <w:pPr>
        <w:pStyle w:val="TableFooter"/>
        <w:keepNext/>
        <w:rPr>
          <w:rFonts w:eastAsia="Calibri"/>
        </w:rPr>
      </w:pPr>
      <w:r w:rsidRPr="0022357A">
        <w:rPr>
          <w:rFonts w:eastAsia="Calibri"/>
        </w:rPr>
        <w:t xml:space="preserve">CTCL = cutaneous T-cell lymphoma; LyP = lymphomatoid papulosis; MF = mycosis fungoides; </w:t>
      </w:r>
      <w:r w:rsidR="004515F4" w:rsidRPr="0022357A">
        <w:rPr>
          <w:rFonts w:eastAsia="Calibri"/>
        </w:rPr>
        <w:t xml:space="preserve">ORR = objective response; </w:t>
      </w:r>
      <w:r w:rsidRPr="0022357A">
        <w:rPr>
          <w:rFonts w:eastAsia="Calibri"/>
        </w:rPr>
        <w:t>pcALCL = primary cutaneous anaplastic large cell lymphoma; SS = Sézary syndrome</w:t>
      </w:r>
    </w:p>
    <w:p w:rsidR="00CE05BF" w:rsidRPr="00315E9C" w:rsidRDefault="00CE05BF" w:rsidP="00CE05BF">
      <w:pPr>
        <w:widowControl/>
        <w:rPr>
          <w:rStyle w:val="CommentReference"/>
          <w:rFonts w:ascii="Calibri" w:hAnsi="Calibri"/>
          <w:sz w:val="24"/>
          <w:szCs w:val="22"/>
        </w:rPr>
      </w:pPr>
    </w:p>
    <w:p w:rsidR="00315E9C" w:rsidRPr="00C35104" w:rsidRDefault="00315E9C" w:rsidP="00315E9C">
      <w:pPr>
        <w:pStyle w:val="ListParagraph"/>
        <w:widowControl/>
        <w:numPr>
          <w:ilvl w:val="1"/>
          <w:numId w:val="3"/>
        </w:numPr>
        <w:rPr>
          <w:rStyle w:val="CommentReference"/>
          <w:rFonts w:ascii="Calibri" w:hAnsi="Calibri"/>
          <w:b w:val="0"/>
          <w:sz w:val="24"/>
          <w:szCs w:val="22"/>
        </w:rPr>
      </w:pPr>
      <w:r w:rsidRPr="00C35104">
        <w:rPr>
          <w:rStyle w:val="CommentReference"/>
          <w:rFonts w:ascii="Calibri" w:hAnsi="Calibri"/>
          <w:b w:val="0"/>
          <w:sz w:val="24"/>
          <w:szCs w:val="22"/>
        </w:rPr>
        <w:t xml:space="preserve">The ESC </w:t>
      </w:r>
      <w:r w:rsidR="00453E9C" w:rsidRPr="00C35104">
        <w:rPr>
          <w:rStyle w:val="CommentReference"/>
          <w:rFonts w:ascii="Calibri" w:hAnsi="Calibri"/>
          <w:b w:val="0"/>
          <w:sz w:val="24"/>
          <w:szCs w:val="22"/>
        </w:rPr>
        <w:t xml:space="preserve">noted that </w:t>
      </w:r>
      <w:r w:rsidRPr="00C35104">
        <w:rPr>
          <w:rStyle w:val="CommentReference"/>
          <w:rFonts w:ascii="Calibri" w:hAnsi="Calibri"/>
          <w:b w:val="0"/>
          <w:sz w:val="24"/>
          <w:szCs w:val="22"/>
        </w:rPr>
        <w:t xml:space="preserve">there </w:t>
      </w:r>
      <w:r w:rsidR="00F70110" w:rsidRPr="00C35104">
        <w:rPr>
          <w:rStyle w:val="CommentReference"/>
          <w:rFonts w:ascii="Calibri" w:hAnsi="Calibri"/>
          <w:b w:val="0"/>
          <w:sz w:val="24"/>
          <w:szCs w:val="22"/>
        </w:rPr>
        <w:t>i</w:t>
      </w:r>
      <w:r w:rsidRPr="00C35104">
        <w:rPr>
          <w:rStyle w:val="CommentReference"/>
          <w:rFonts w:ascii="Calibri" w:hAnsi="Calibri"/>
          <w:b w:val="0"/>
          <w:sz w:val="24"/>
          <w:szCs w:val="22"/>
        </w:rPr>
        <w:t xml:space="preserve">s no </w:t>
      </w:r>
      <w:r w:rsidR="00F70110" w:rsidRPr="00C35104">
        <w:rPr>
          <w:rStyle w:val="CommentReference"/>
          <w:rFonts w:ascii="Calibri" w:hAnsi="Calibri"/>
          <w:b w:val="0"/>
          <w:sz w:val="24"/>
          <w:szCs w:val="22"/>
        </w:rPr>
        <w:t xml:space="preserve">information </w:t>
      </w:r>
      <w:r w:rsidRPr="00C35104">
        <w:rPr>
          <w:rStyle w:val="CommentReference"/>
          <w:rFonts w:ascii="Calibri" w:hAnsi="Calibri"/>
          <w:b w:val="0"/>
          <w:sz w:val="24"/>
          <w:szCs w:val="22"/>
        </w:rPr>
        <w:t>compari</w:t>
      </w:r>
      <w:r w:rsidR="00F70110" w:rsidRPr="00C35104">
        <w:rPr>
          <w:rStyle w:val="CommentReference"/>
          <w:rFonts w:ascii="Calibri" w:hAnsi="Calibri"/>
          <w:b w:val="0"/>
          <w:sz w:val="24"/>
          <w:szCs w:val="22"/>
        </w:rPr>
        <w:t>ng</w:t>
      </w:r>
      <w:r w:rsidR="00453E9C" w:rsidRPr="00C35104">
        <w:rPr>
          <w:rStyle w:val="CommentReference"/>
          <w:rFonts w:ascii="Calibri" w:hAnsi="Calibri"/>
          <w:b w:val="0"/>
          <w:sz w:val="24"/>
          <w:szCs w:val="22"/>
        </w:rPr>
        <w:t xml:space="preserve"> brentuximab vedotin </w:t>
      </w:r>
      <w:r w:rsidRPr="00C35104">
        <w:rPr>
          <w:rStyle w:val="CommentReference"/>
          <w:rFonts w:ascii="Calibri" w:hAnsi="Calibri"/>
          <w:b w:val="0"/>
          <w:sz w:val="24"/>
          <w:szCs w:val="22"/>
        </w:rPr>
        <w:t xml:space="preserve">to vorinostat in </w:t>
      </w:r>
      <w:r w:rsidR="00453E9C" w:rsidRPr="00C35104">
        <w:rPr>
          <w:rStyle w:val="CommentReference"/>
          <w:rFonts w:ascii="Calibri" w:hAnsi="Calibri"/>
          <w:b w:val="0"/>
          <w:sz w:val="24"/>
          <w:szCs w:val="22"/>
        </w:rPr>
        <w:t xml:space="preserve">patients with </w:t>
      </w:r>
      <w:r w:rsidRPr="00C35104">
        <w:rPr>
          <w:rStyle w:val="CommentReference"/>
          <w:rFonts w:ascii="Calibri" w:hAnsi="Calibri"/>
          <w:b w:val="0"/>
          <w:sz w:val="24"/>
          <w:szCs w:val="22"/>
        </w:rPr>
        <w:t xml:space="preserve">pcALCL and LyP </w:t>
      </w:r>
      <w:r w:rsidR="00453E9C" w:rsidRPr="00C35104">
        <w:rPr>
          <w:rStyle w:val="CommentReference"/>
          <w:rFonts w:ascii="Calibri" w:hAnsi="Calibri"/>
          <w:b w:val="0"/>
          <w:sz w:val="24"/>
          <w:szCs w:val="22"/>
        </w:rPr>
        <w:t>subtypes</w:t>
      </w:r>
      <w:r w:rsidR="00F70110" w:rsidRPr="00C35104">
        <w:rPr>
          <w:rStyle w:val="CommentReference"/>
          <w:rFonts w:ascii="Calibri" w:hAnsi="Calibri"/>
          <w:b w:val="0"/>
          <w:sz w:val="24"/>
          <w:szCs w:val="22"/>
        </w:rPr>
        <w:t>.</w:t>
      </w:r>
      <w:r w:rsidR="00453E9C" w:rsidRPr="00C35104">
        <w:rPr>
          <w:rStyle w:val="CommentReference"/>
          <w:rFonts w:ascii="Calibri" w:hAnsi="Calibri"/>
          <w:b w:val="0"/>
          <w:sz w:val="24"/>
          <w:szCs w:val="22"/>
        </w:rPr>
        <w:t xml:space="preserve"> </w:t>
      </w:r>
      <w:r w:rsidR="00F70110" w:rsidRPr="00C35104">
        <w:rPr>
          <w:rStyle w:val="CommentReference"/>
          <w:rFonts w:ascii="Calibri" w:hAnsi="Calibri"/>
          <w:b w:val="0"/>
          <w:sz w:val="24"/>
          <w:szCs w:val="22"/>
        </w:rPr>
        <w:t xml:space="preserve">The number of patients </w:t>
      </w:r>
      <w:r w:rsidRPr="00C35104">
        <w:rPr>
          <w:rStyle w:val="CommentReference"/>
          <w:rFonts w:ascii="Calibri" w:hAnsi="Calibri"/>
          <w:b w:val="0"/>
          <w:sz w:val="24"/>
          <w:szCs w:val="22"/>
        </w:rPr>
        <w:t xml:space="preserve">treated with brentuximab </w:t>
      </w:r>
      <w:r w:rsidR="00453E9C" w:rsidRPr="00C35104">
        <w:rPr>
          <w:rStyle w:val="CommentReference"/>
          <w:rFonts w:ascii="Calibri" w:hAnsi="Calibri"/>
          <w:b w:val="0"/>
          <w:sz w:val="24"/>
          <w:szCs w:val="22"/>
        </w:rPr>
        <w:t xml:space="preserve">vedotin </w:t>
      </w:r>
      <w:r w:rsidRPr="00C35104">
        <w:rPr>
          <w:rStyle w:val="CommentReference"/>
          <w:rFonts w:ascii="Calibri" w:hAnsi="Calibri"/>
          <w:b w:val="0"/>
          <w:sz w:val="24"/>
          <w:szCs w:val="22"/>
        </w:rPr>
        <w:t>for both subtypes</w:t>
      </w:r>
      <w:r w:rsidR="00F70110" w:rsidRPr="00C35104">
        <w:rPr>
          <w:rStyle w:val="CommentReference"/>
          <w:rFonts w:ascii="Calibri" w:hAnsi="Calibri"/>
          <w:b w:val="0"/>
          <w:sz w:val="24"/>
          <w:szCs w:val="22"/>
        </w:rPr>
        <w:t xml:space="preserve"> was also very low</w:t>
      </w:r>
      <w:r w:rsidRPr="00C35104">
        <w:rPr>
          <w:rStyle w:val="CommentReference"/>
          <w:rFonts w:ascii="Calibri" w:hAnsi="Calibri"/>
          <w:b w:val="0"/>
          <w:sz w:val="24"/>
          <w:szCs w:val="22"/>
        </w:rPr>
        <w:t>. Th</w:t>
      </w:r>
      <w:r w:rsidR="00453E9C" w:rsidRPr="00C35104">
        <w:rPr>
          <w:rStyle w:val="CommentReference"/>
          <w:rFonts w:ascii="Calibri" w:hAnsi="Calibri"/>
          <w:b w:val="0"/>
          <w:sz w:val="24"/>
          <w:szCs w:val="22"/>
        </w:rPr>
        <w:t xml:space="preserve">e </w:t>
      </w:r>
      <w:r w:rsidR="00F70110" w:rsidRPr="00C35104">
        <w:rPr>
          <w:rStyle w:val="CommentReference"/>
          <w:rFonts w:ascii="Calibri" w:hAnsi="Calibri"/>
          <w:b w:val="0"/>
          <w:sz w:val="24"/>
          <w:szCs w:val="22"/>
        </w:rPr>
        <w:t xml:space="preserve">ESC </w:t>
      </w:r>
      <w:r w:rsidR="00453E9C" w:rsidRPr="00C35104">
        <w:rPr>
          <w:rStyle w:val="CommentReference"/>
          <w:rFonts w:ascii="Calibri" w:hAnsi="Calibri"/>
          <w:b w:val="0"/>
          <w:sz w:val="24"/>
          <w:szCs w:val="22"/>
        </w:rPr>
        <w:t xml:space="preserve">considered that the results may indicate that </w:t>
      </w:r>
      <w:r w:rsidRPr="00C35104">
        <w:rPr>
          <w:rStyle w:val="CommentReference"/>
          <w:rFonts w:ascii="Calibri" w:hAnsi="Calibri"/>
          <w:b w:val="0"/>
          <w:sz w:val="24"/>
          <w:szCs w:val="22"/>
        </w:rPr>
        <w:t>there are very small numbers of patients with pcALCL and LyP who need second line systemic therapy</w:t>
      </w:r>
      <w:r w:rsidR="00453E9C" w:rsidRPr="00C35104">
        <w:rPr>
          <w:rStyle w:val="CommentReference"/>
          <w:rFonts w:ascii="Calibri" w:hAnsi="Calibri"/>
          <w:b w:val="0"/>
          <w:sz w:val="24"/>
          <w:szCs w:val="22"/>
        </w:rPr>
        <w:t>. In addition</w:t>
      </w:r>
      <w:r w:rsidRPr="00C35104">
        <w:rPr>
          <w:rStyle w:val="CommentReference"/>
          <w:rFonts w:ascii="Calibri" w:hAnsi="Calibri"/>
          <w:b w:val="0"/>
          <w:sz w:val="24"/>
          <w:szCs w:val="22"/>
        </w:rPr>
        <w:t>,</w:t>
      </w:r>
      <w:r w:rsidR="00453E9C" w:rsidRPr="00C35104">
        <w:rPr>
          <w:rStyle w:val="CommentReference"/>
          <w:rFonts w:ascii="Calibri" w:hAnsi="Calibri"/>
          <w:b w:val="0"/>
          <w:sz w:val="24"/>
          <w:szCs w:val="22"/>
        </w:rPr>
        <w:t xml:space="preserve"> the ESC con</w:t>
      </w:r>
      <w:r w:rsidR="00F70110" w:rsidRPr="00C35104">
        <w:rPr>
          <w:rStyle w:val="CommentReference"/>
          <w:rFonts w:ascii="Calibri" w:hAnsi="Calibri"/>
          <w:b w:val="0"/>
          <w:sz w:val="24"/>
          <w:szCs w:val="22"/>
        </w:rPr>
        <w:t xml:space="preserve">sidered that </w:t>
      </w:r>
      <w:r w:rsidR="00453E9C" w:rsidRPr="00C35104">
        <w:rPr>
          <w:rStyle w:val="CommentReference"/>
          <w:rFonts w:ascii="Calibri" w:hAnsi="Calibri"/>
          <w:b w:val="0"/>
          <w:sz w:val="24"/>
          <w:szCs w:val="22"/>
        </w:rPr>
        <w:t xml:space="preserve">patients with these subtypes do appear to respond to </w:t>
      </w:r>
      <w:r w:rsidRPr="00C35104">
        <w:rPr>
          <w:rStyle w:val="CommentReference"/>
          <w:rFonts w:ascii="Calibri" w:hAnsi="Calibri"/>
          <w:b w:val="0"/>
          <w:sz w:val="24"/>
          <w:szCs w:val="22"/>
        </w:rPr>
        <w:t>brentuximab</w:t>
      </w:r>
      <w:r w:rsidR="00453E9C" w:rsidRPr="00C35104">
        <w:rPr>
          <w:rStyle w:val="CommentReference"/>
          <w:rFonts w:ascii="Calibri" w:hAnsi="Calibri"/>
          <w:b w:val="0"/>
          <w:sz w:val="24"/>
          <w:szCs w:val="22"/>
        </w:rPr>
        <w:t xml:space="preserve"> vedotin</w:t>
      </w:r>
      <w:r w:rsidRPr="00C35104">
        <w:rPr>
          <w:rStyle w:val="CommentReference"/>
          <w:rFonts w:ascii="Calibri" w:hAnsi="Calibri"/>
          <w:b w:val="0"/>
          <w:sz w:val="24"/>
          <w:szCs w:val="22"/>
        </w:rPr>
        <w:t xml:space="preserve">, but no </w:t>
      </w:r>
      <w:r w:rsidR="003901F6" w:rsidRPr="00C35104">
        <w:rPr>
          <w:rStyle w:val="CommentReference"/>
          <w:rFonts w:ascii="Calibri" w:hAnsi="Calibri"/>
          <w:b w:val="0"/>
          <w:sz w:val="24"/>
          <w:szCs w:val="22"/>
        </w:rPr>
        <w:t>reliable</w:t>
      </w:r>
      <w:r w:rsidRPr="00C35104">
        <w:rPr>
          <w:rStyle w:val="CommentReference"/>
          <w:rFonts w:ascii="Calibri" w:hAnsi="Calibri"/>
          <w:b w:val="0"/>
          <w:sz w:val="24"/>
          <w:szCs w:val="22"/>
        </w:rPr>
        <w:t xml:space="preserve"> information </w:t>
      </w:r>
      <w:r w:rsidR="00453E9C" w:rsidRPr="00C35104">
        <w:rPr>
          <w:rStyle w:val="CommentReference"/>
          <w:rFonts w:ascii="Calibri" w:hAnsi="Calibri"/>
          <w:b w:val="0"/>
          <w:sz w:val="24"/>
          <w:szCs w:val="22"/>
        </w:rPr>
        <w:t xml:space="preserve">is available </w:t>
      </w:r>
      <w:r w:rsidRPr="00C35104">
        <w:rPr>
          <w:rStyle w:val="CommentReference"/>
          <w:rFonts w:ascii="Calibri" w:hAnsi="Calibri"/>
          <w:b w:val="0"/>
          <w:sz w:val="24"/>
          <w:szCs w:val="22"/>
        </w:rPr>
        <w:t>to clarify the differential response to either vorinostat or methotrexate.</w:t>
      </w:r>
      <w:r w:rsidR="0038208B">
        <w:rPr>
          <w:rStyle w:val="CommentReference"/>
          <w:rFonts w:ascii="Calibri" w:hAnsi="Calibri"/>
          <w:b w:val="0"/>
          <w:sz w:val="24"/>
          <w:szCs w:val="22"/>
        </w:rPr>
        <w:t xml:space="preserve"> </w:t>
      </w:r>
    </w:p>
    <w:p w:rsidR="00561D94" w:rsidRPr="0022357A" w:rsidRDefault="00561D94" w:rsidP="00561D94">
      <w:pPr>
        <w:pStyle w:val="ListParagraph"/>
        <w:widowControl/>
        <w:numPr>
          <w:ilvl w:val="1"/>
          <w:numId w:val="3"/>
        </w:numPr>
        <w:rPr>
          <w:rStyle w:val="CommentReference"/>
          <w:rFonts w:ascii="Calibri" w:hAnsi="Calibri"/>
          <w:b w:val="0"/>
          <w:sz w:val="24"/>
          <w:szCs w:val="22"/>
        </w:rPr>
      </w:pPr>
      <w:r w:rsidRPr="0022357A">
        <w:rPr>
          <w:rStyle w:val="CommentReference"/>
          <w:rFonts w:ascii="Calibri" w:hAnsi="Calibri"/>
          <w:b w:val="0"/>
          <w:sz w:val="24"/>
          <w:szCs w:val="22"/>
        </w:rPr>
        <w:t xml:space="preserve">The ORR in MF patients treated with brentuximab vedotin was 54% to 77% compared to 67% to 73% for the broader study populations. The ORR for MF patients treated with methotrexate in the ALCANZA trial </w:t>
      </w:r>
      <w:r w:rsidR="00DF2C1A" w:rsidRPr="00DF2C1A">
        <w:rPr>
          <w:rStyle w:val="CommentReference"/>
          <w:rFonts w:ascii="Calibri" w:hAnsi="Calibri"/>
          <w:b w:val="0"/>
          <w:sz w:val="24"/>
          <w:szCs w:val="22"/>
        </w:rPr>
        <w:t>(</w:t>
      </w:r>
      <w:r w:rsidR="00F72571">
        <w:rPr>
          <w:rStyle w:val="CommentReference"/>
          <w:rFonts w:ascii="Calibri" w:hAnsi="Calibri"/>
          <w:b w:val="0"/>
          <w:noProof/>
          <w:color w:val="000000"/>
          <w:sz w:val="24"/>
          <w:szCs w:val="22"/>
          <w:highlight w:val="black"/>
        </w:rPr>
        <w:t>'''</w:t>
      </w:r>
      <w:r w:rsidR="00DF2C1A" w:rsidRPr="00DF2C1A">
        <w:rPr>
          <w:rStyle w:val="CommentReference"/>
          <w:rFonts w:ascii="Calibri" w:hAnsi="Calibri"/>
          <w:b w:val="0"/>
          <w:sz w:val="24"/>
          <w:szCs w:val="22"/>
        </w:rPr>
        <w:t xml:space="preserve">%) was </w:t>
      </w:r>
      <w:r w:rsidR="00F72571">
        <w:rPr>
          <w:rStyle w:val="CommentReference"/>
          <w:rFonts w:ascii="Calibri" w:hAnsi="Calibri"/>
          <w:b w:val="0"/>
          <w:noProof/>
          <w:color w:val="000000"/>
          <w:sz w:val="24"/>
          <w:szCs w:val="22"/>
          <w:highlight w:val="black"/>
        </w:rPr>
        <w:t>''''''''''''''''''''''' ''''''''''' '''''''''' ''''''</w:t>
      </w:r>
      <w:r w:rsidR="00DF2C1A" w:rsidRPr="00DF2C1A">
        <w:rPr>
          <w:rStyle w:val="CommentReference"/>
          <w:rFonts w:ascii="Calibri" w:hAnsi="Calibri"/>
          <w:b w:val="0"/>
          <w:sz w:val="24"/>
          <w:szCs w:val="22"/>
        </w:rPr>
        <w:t xml:space="preserve"> </w:t>
      </w:r>
      <w:r w:rsidR="00F72571">
        <w:rPr>
          <w:rStyle w:val="CommentReference"/>
          <w:rFonts w:ascii="Calibri" w:hAnsi="Calibri"/>
          <w:b w:val="0"/>
          <w:noProof/>
          <w:color w:val="000000"/>
          <w:sz w:val="24"/>
          <w:szCs w:val="22"/>
          <w:highlight w:val="black"/>
        </w:rPr>
        <w:t>'''''</w:t>
      </w:r>
      <w:r w:rsidR="00DF2C1A" w:rsidRPr="00DF2C1A">
        <w:rPr>
          <w:rStyle w:val="CommentReference"/>
          <w:rFonts w:ascii="Calibri" w:hAnsi="Calibri"/>
          <w:b w:val="0"/>
          <w:sz w:val="24"/>
          <w:szCs w:val="22"/>
        </w:rPr>
        <w:t>% for</w:t>
      </w:r>
      <w:r w:rsidR="008C6F50">
        <w:rPr>
          <w:rStyle w:val="CommentReference"/>
          <w:rFonts w:ascii="Calibri" w:hAnsi="Calibri"/>
          <w:b w:val="0"/>
          <w:sz w:val="24"/>
          <w:szCs w:val="22"/>
        </w:rPr>
        <w:t xml:space="preserve"> </w:t>
      </w:r>
      <w:r w:rsidRPr="00DF2C1A">
        <w:rPr>
          <w:rStyle w:val="CommentReference"/>
          <w:rFonts w:ascii="Calibri" w:hAnsi="Calibri"/>
          <w:b w:val="0"/>
          <w:sz w:val="24"/>
          <w:szCs w:val="22"/>
        </w:rPr>
        <w:t xml:space="preserve">all methotrexate-treated patients. The </w:t>
      </w:r>
      <w:r w:rsidR="00AA6998" w:rsidRPr="00DF2C1A">
        <w:rPr>
          <w:rStyle w:val="CommentReference"/>
          <w:rFonts w:ascii="Calibri" w:hAnsi="Calibri"/>
          <w:b w:val="0"/>
          <w:sz w:val="24"/>
          <w:szCs w:val="22"/>
        </w:rPr>
        <w:t>PBAC noted that the</w:t>
      </w:r>
      <w:r w:rsidR="00AA6998">
        <w:rPr>
          <w:rStyle w:val="CommentReference"/>
          <w:rFonts w:ascii="Calibri" w:hAnsi="Calibri"/>
          <w:b w:val="0"/>
          <w:sz w:val="24"/>
          <w:szCs w:val="22"/>
        </w:rPr>
        <w:t xml:space="preserve"> </w:t>
      </w:r>
      <w:r w:rsidRPr="0022357A">
        <w:rPr>
          <w:rStyle w:val="CommentReference"/>
          <w:rFonts w:ascii="Calibri" w:hAnsi="Calibri"/>
          <w:b w:val="0"/>
          <w:sz w:val="24"/>
          <w:szCs w:val="22"/>
        </w:rPr>
        <w:t>evidence base to support the comparative effectiveness of brentuximab vedotin over vorinostat and methotrexate in patients with SS was very limited because the data were based on three patients. Patients with pcALCL and LyP had higher ORRs for both brentuximab vedotin and methotrexate.</w:t>
      </w:r>
    </w:p>
    <w:p w:rsidR="00541F47" w:rsidRPr="0022357A" w:rsidRDefault="00541F47" w:rsidP="00541F47">
      <w:pPr>
        <w:pStyle w:val="ListParagraph"/>
        <w:widowControl/>
        <w:numPr>
          <w:ilvl w:val="1"/>
          <w:numId w:val="3"/>
        </w:numPr>
        <w:rPr>
          <w:rStyle w:val="CommentReference"/>
          <w:rFonts w:ascii="Calibri" w:hAnsi="Calibri"/>
          <w:b w:val="0"/>
          <w:sz w:val="24"/>
          <w:szCs w:val="22"/>
        </w:rPr>
      </w:pPr>
      <w:r w:rsidRPr="0022357A">
        <w:rPr>
          <w:rStyle w:val="CommentReference"/>
          <w:rFonts w:ascii="Calibri" w:hAnsi="Calibri"/>
          <w:b w:val="0"/>
          <w:sz w:val="24"/>
          <w:szCs w:val="22"/>
        </w:rPr>
        <w:t>Newland (2015), a retrospective Australian study included during the evaluation, reported a very high response rate of 88% (22/25) for LyP patients treated with methotrexate.</w:t>
      </w:r>
      <w:r w:rsidR="001B5D69">
        <w:rPr>
          <w:rStyle w:val="CommentReference"/>
          <w:rFonts w:ascii="Calibri" w:hAnsi="Calibri"/>
          <w:b w:val="0"/>
          <w:sz w:val="24"/>
          <w:szCs w:val="22"/>
        </w:rPr>
        <w:t xml:space="preserve"> </w:t>
      </w:r>
    </w:p>
    <w:p w:rsidR="002820BA" w:rsidRPr="00C35104" w:rsidRDefault="002820BA" w:rsidP="002820BA">
      <w:pPr>
        <w:pStyle w:val="ListParagraph"/>
        <w:widowControl/>
        <w:numPr>
          <w:ilvl w:val="1"/>
          <w:numId w:val="3"/>
        </w:numPr>
      </w:pPr>
      <w:r w:rsidRPr="00C35104">
        <w:lastRenderedPageBreak/>
        <w:t>As described above, in the naïve comparisons of brentuximab vedotin and vorinostat, there are more patients with CTCL subtypes with worse prognosis (more SS, no pcALCL and LyP) in the vorinostat studies.</w:t>
      </w:r>
      <w:r w:rsidRPr="008704F7">
        <w:t xml:space="preserve"> </w:t>
      </w:r>
      <w:r w:rsidRPr="00C35104">
        <w:t xml:space="preserve">The ESC considered that in order to compare outcomes across populations with differing distributions of </w:t>
      </w:r>
      <w:proofErr w:type="gramStart"/>
      <w:r w:rsidRPr="00C35104">
        <w:t>subtypes</w:t>
      </w:r>
      <w:proofErr w:type="gramEnd"/>
      <w:r w:rsidRPr="00C35104">
        <w:t xml:space="preserve"> crude weighted ORRs may be informative. The crude weighted ORR for brentuximab vedotin and vorinostat/methotrexate are shown in Table </w:t>
      </w:r>
      <w:r w:rsidR="000B6845">
        <w:t>9</w:t>
      </w:r>
      <w:r w:rsidRPr="00C35104">
        <w:t xml:space="preserve">. </w:t>
      </w:r>
    </w:p>
    <w:p w:rsidR="002820BA" w:rsidRPr="008704F7" w:rsidRDefault="002820BA" w:rsidP="002820BA">
      <w:pPr>
        <w:keepNext/>
        <w:rPr>
          <w:rFonts w:ascii="Arial Narrow" w:hAnsi="Arial Narrow"/>
          <w:b/>
          <w:sz w:val="20"/>
          <w:szCs w:val="16"/>
        </w:rPr>
      </w:pPr>
      <w:r w:rsidRPr="008704F7">
        <w:rPr>
          <w:rFonts w:ascii="Arial Narrow" w:hAnsi="Arial Narrow"/>
          <w:b/>
          <w:sz w:val="20"/>
          <w:szCs w:val="16"/>
        </w:rPr>
        <w:t xml:space="preserve">Table </w:t>
      </w:r>
      <w:r w:rsidR="000B6845">
        <w:rPr>
          <w:rFonts w:ascii="Arial Narrow" w:hAnsi="Arial Narrow"/>
          <w:b/>
          <w:sz w:val="20"/>
          <w:szCs w:val="16"/>
        </w:rPr>
        <w:t>9</w:t>
      </w:r>
      <w:r w:rsidRPr="008704F7">
        <w:rPr>
          <w:rFonts w:ascii="Arial Narrow" w:hAnsi="Arial Narrow"/>
          <w:b/>
          <w:sz w:val="20"/>
          <w:szCs w:val="16"/>
        </w:rPr>
        <w:t>: Crude weighted ORRs for brentuximab vedotin and its comparators by CTCL subtype</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2326"/>
        <w:gridCol w:w="2326"/>
        <w:gridCol w:w="2998"/>
      </w:tblGrid>
      <w:tr w:rsidR="002820BA" w:rsidRPr="008704F7" w:rsidTr="0056712A">
        <w:trPr>
          <w:cantSplit/>
          <w:tblHeader/>
        </w:trPr>
        <w:tc>
          <w:tcPr>
            <w:tcW w:w="813" w:type="pct"/>
            <w:vAlign w:val="center"/>
          </w:tcPr>
          <w:p w:rsidR="002820BA" w:rsidRPr="008704F7" w:rsidRDefault="002820BA" w:rsidP="008D3A98">
            <w:pPr>
              <w:keepNext/>
              <w:rPr>
                <w:rFonts w:ascii="Arial Narrow" w:hAnsi="Arial Narrow" w:cs="Times New Roman"/>
                <w:b/>
                <w:sz w:val="20"/>
              </w:rPr>
            </w:pPr>
            <w:r w:rsidRPr="008704F7">
              <w:rPr>
                <w:rFonts w:ascii="Arial Narrow" w:hAnsi="Arial Narrow" w:cs="Times New Roman"/>
                <w:b/>
                <w:sz w:val="20"/>
              </w:rPr>
              <w:t>CTCL subtype</w:t>
            </w:r>
          </w:p>
        </w:tc>
        <w:tc>
          <w:tcPr>
            <w:tcW w:w="1273" w:type="pct"/>
            <w:vAlign w:val="center"/>
          </w:tcPr>
          <w:p w:rsidR="002820BA" w:rsidRPr="008704F7" w:rsidRDefault="002820BA" w:rsidP="008D3A98">
            <w:pPr>
              <w:keepNext/>
              <w:jc w:val="center"/>
              <w:rPr>
                <w:rFonts w:ascii="Arial Narrow" w:hAnsi="Arial Narrow" w:cs="Times New Roman"/>
                <w:b/>
                <w:sz w:val="20"/>
              </w:rPr>
            </w:pPr>
            <w:r w:rsidRPr="008704F7">
              <w:rPr>
                <w:rFonts w:ascii="Arial Narrow" w:hAnsi="Arial Narrow" w:cs="Times New Roman"/>
                <w:b/>
                <w:sz w:val="20"/>
              </w:rPr>
              <w:t xml:space="preserve">Brentuximab vedotin ORR </w:t>
            </w:r>
          </w:p>
        </w:tc>
        <w:tc>
          <w:tcPr>
            <w:tcW w:w="1273" w:type="pct"/>
            <w:vAlign w:val="center"/>
          </w:tcPr>
          <w:p w:rsidR="002820BA" w:rsidRPr="008704F7" w:rsidRDefault="002820BA" w:rsidP="008D3A98">
            <w:pPr>
              <w:keepNext/>
              <w:jc w:val="center"/>
              <w:rPr>
                <w:rFonts w:ascii="Arial Narrow" w:hAnsi="Arial Narrow" w:cs="Times New Roman"/>
                <w:b/>
                <w:sz w:val="20"/>
              </w:rPr>
            </w:pPr>
            <w:r w:rsidRPr="008704F7">
              <w:rPr>
                <w:rFonts w:ascii="Arial Narrow" w:hAnsi="Arial Narrow" w:cs="Times New Roman"/>
                <w:b/>
                <w:sz w:val="20"/>
              </w:rPr>
              <w:t>Comparator ORR</w:t>
            </w:r>
          </w:p>
        </w:tc>
        <w:tc>
          <w:tcPr>
            <w:tcW w:w="1641" w:type="pct"/>
            <w:vAlign w:val="center"/>
          </w:tcPr>
          <w:p w:rsidR="002820BA" w:rsidRPr="008704F7" w:rsidRDefault="002820BA" w:rsidP="008D3A98">
            <w:pPr>
              <w:keepNext/>
              <w:jc w:val="center"/>
              <w:rPr>
                <w:rFonts w:ascii="Arial Narrow" w:hAnsi="Arial Narrow" w:cs="Times New Roman"/>
                <w:b/>
                <w:sz w:val="20"/>
              </w:rPr>
            </w:pPr>
            <w:r w:rsidRPr="008704F7">
              <w:rPr>
                <w:rFonts w:ascii="Arial Narrow" w:hAnsi="Arial Narrow" w:cs="Times New Roman"/>
                <w:b/>
                <w:sz w:val="20"/>
              </w:rPr>
              <w:t xml:space="preserve">Weighting </w:t>
            </w:r>
            <w:r w:rsidRPr="008704F7">
              <w:rPr>
                <w:rFonts w:ascii="Arial Narrow" w:hAnsi="Arial Narrow" w:cs="Times New Roman"/>
                <w:b/>
                <w:sz w:val="20"/>
              </w:rPr>
              <w:br/>
              <w:t>(Section 4 eligible population)</w:t>
            </w:r>
          </w:p>
        </w:tc>
      </w:tr>
      <w:tr w:rsidR="002820BA" w:rsidRPr="008704F7" w:rsidTr="0056712A">
        <w:trPr>
          <w:cantSplit/>
        </w:trPr>
        <w:tc>
          <w:tcPr>
            <w:tcW w:w="813" w:type="pct"/>
            <w:vAlign w:val="center"/>
          </w:tcPr>
          <w:p w:rsidR="002820BA" w:rsidRPr="008704F7" w:rsidRDefault="002820BA" w:rsidP="008D3A98">
            <w:pPr>
              <w:keepNext/>
              <w:rPr>
                <w:rFonts w:ascii="Arial Narrow" w:hAnsi="Arial Narrow" w:cs="Times New Roman"/>
                <w:sz w:val="20"/>
              </w:rPr>
            </w:pPr>
            <w:r w:rsidRPr="008704F7">
              <w:rPr>
                <w:rFonts w:ascii="Arial Narrow" w:hAnsi="Arial Narrow" w:cs="Times New Roman"/>
                <w:sz w:val="20"/>
              </w:rPr>
              <w:t xml:space="preserve">MF </w:t>
            </w:r>
          </w:p>
        </w:tc>
        <w:tc>
          <w:tcPr>
            <w:tcW w:w="1273" w:type="pct"/>
            <w:vAlign w:val="center"/>
          </w:tcPr>
          <w:p w:rsidR="002820BA" w:rsidRPr="008704F7" w:rsidRDefault="002820BA" w:rsidP="008D3A98">
            <w:pPr>
              <w:keepNext/>
              <w:jc w:val="center"/>
              <w:rPr>
                <w:rFonts w:ascii="Arial Narrow" w:hAnsi="Arial Narrow" w:cs="Times New Roman"/>
                <w:sz w:val="20"/>
                <w:vertAlign w:val="superscript"/>
              </w:rPr>
            </w:pPr>
            <w:r w:rsidRPr="008704F7">
              <w:rPr>
                <w:rFonts w:ascii="Arial Narrow" w:hAnsi="Arial Narrow" w:cs="Times New Roman"/>
                <w:sz w:val="20"/>
              </w:rPr>
              <w:t xml:space="preserve">65% </w:t>
            </w:r>
            <w:r w:rsidRPr="008704F7">
              <w:rPr>
                <w:rFonts w:ascii="Arial Narrow" w:hAnsi="Arial Narrow" w:cs="Times New Roman"/>
                <w:sz w:val="20"/>
                <w:vertAlign w:val="superscript"/>
              </w:rPr>
              <w:t>a</w:t>
            </w:r>
          </w:p>
        </w:tc>
        <w:tc>
          <w:tcPr>
            <w:tcW w:w="1273" w:type="pct"/>
          </w:tcPr>
          <w:p w:rsidR="002820BA" w:rsidRPr="008704F7" w:rsidRDefault="002820BA" w:rsidP="008D3A98">
            <w:pPr>
              <w:keepNext/>
              <w:jc w:val="center"/>
              <w:rPr>
                <w:rFonts w:ascii="Arial Narrow" w:hAnsi="Arial Narrow" w:cs="Times New Roman"/>
                <w:sz w:val="20"/>
              </w:rPr>
            </w:pPr>
            <w:r w:rsidRPr="008704F7">
              <w:rPr>
                <w:rFonts w:ascii="Arial Narrow" w:hAnsi="Arial Narrow" w:cs="Times New Roman"/>
                <w:sz w:val="20"/>
              </w:rPr>
              <w:t xml:space="preserve">7% </w:t>
            </w:r>
            <w:r w:rsidRPr="008704F7">
              <w:rPr>
                <w:rFonts w:ascii="Arial Narrow" w:hAnsi="Arial Narrow" w:cs="Times New Roman"/>
                <w:sz w:val="20"/>
                <w:vertAlign w:val="superscript"/>
              </w:rPr>
              <w:t xml:space="preserve">b </w:t>
            </w:r>
            <w:r w:rsidRPr="008704F7">
              <w:rPr>
                <w:rFonts w:ascii="Arial Narrow" w:hAnsi="Arial Narrow" w:cs="Times New Roman"/>
                <w:sz w:val="20"/>
              </w:rPr>
              <w:t>(vorinostat)</w:t>
            </w:r>
          </w:p>
        </w:tc>
        <w:tc>
          <w:tcPr>
            <w:tcW w:w="1641" w:type="pct"/>
            <w:vAlign w:val="center"/>
          </w:tcPr>
          <w:p w:rsidR="002820BA" w:rsidRPr="008704F7" w:rsidRDefault="002820BA" w:rsidP="008D3A98">
            <w:pPr>
              <w:keepNext/>
              <w:jc w:val="center"/>
              <w:rPr>
                <w:rFonts w:ascii="Arial Narrow" w:hAnsi="Arial Narrow" w:cs="Times New Roman"/>
                <w:sz w:val="20"/>
              </w:rPr>
            </w:pPr>
            <w:r w:rsidRPr="008704F7">
              <w:rPr>
                <w:rFonts w:ascii="Arial Narrow" w:hAnsi="Arial Narrow" w:cs="Times New Roman"/>
                <w:sz w:val="20"/>
              </w:rPr>
              <w:t>43%</w:t>
            </w:r>
          </w:p>
        </w:tc>
      </w:tr>
      <w:tr w:rsidR="002820BA" w:rsidRPr="008704F7" w:rsidTr="0056712A">
        <w:trPr>
          <w:cantSplit/>
        </w:trPr>
        <w:tc>
          <w:tcPr>
            <w:tcW w:w="813" w:type="pct"/>
            <w:vAlign w:val="center"/>
          </w:tcPr>
          <w:p w:rsidR="002820BA" w:rsidRPr="008704F7" w:rsidRDefault="002820BA" w:rsidP="008D3A98">
            <w:pPr>
              <w:keepNext/>
              <w:rPr>
                <w:rFonts w:ascii="Arial Narrow" w:hAnsi="Arial Narrow" w:cs="Times New Roman"/>
                <w:sz w:val="20"/>
              </w:rPr>
            </w:pPr>
            <w:r w:rsidRPr="008704F7">
              <w:rPr>
                <w:rFonts w:ascii="Arial Narrow" w:hAnsi="Arial Narrow" w:cs="Times New Roman"/>
                <w:sz w:val="20"/>
              </w:rPr>
              <w:t>SS</w:t>
            </w:r>
          </w:p>
        </w:tc>
        <w:tc>
          <w:tcPr>
            <w:tcW w:w="1273" w:type="pct"/>
            <w:vAlign w:val="center"/>
          </w:tcPr>
          <w:p w:rsidR="002820BA" w:rsidRPr="008704F7" w:rsidRDefault="002820BA" w:rsidP="008D3A98">
            <w:pPr>
              <w:keepNext/>
              <w:jc w:val="center"/>
              <w:rPr>
                <w:rFonts w:ascii="Arial Narrow" w:hAnsi="Arial Narrow" w:cs="Times New Roman"/>
                <w:sz w:val="20"/>
                <w:vertAlign w:val="superscript"/>
              </w:rPr>
            </w:pPr>
            <w:r w:rsidRPr="008704F7">
              <w:rPr>
                <w:rFonts w:ascii="Arial Narrow" w:hAnsi="Arial Narrow" w:cs="Times New Roman"/>
                <w:sz w:val="20"/>
              </w:rPr>
              <w:t xml:space="preserve">50% </w:t>
            </w:r>
            <w:r w:rsidRPr="008704F7">
              <w:rPr>
                <w:rFonts w:ascii="Arial Narrow" w:hAnsi="Arial Narrow" w:cs="Times New Roman"/>
                <w:sz w:val="20"/>
                <w:vertAlign w:val="superscript"/>
              </w:rPr>
              <w:t>c</w:t>
            </w:r>
          </w:p>
        </w:tc>
        <w:tc>
          <w:tcPr>
            <w:tcW w:w="1273" w:type="pct"/>
          </w:tcPr>
          <w:p w:rsidR="002820BA" w:rsidRPr="008C6F50" w:rsidRDefault="007B45DE" w:rsidP="008D3A98">
            <w:pPr>
              <w:keepNext/>
              <w:jc w:val="center"/>
              <w:rPr>
                <w:rFonts w:ascii="Arial Narrow" w:hAnsi="Arial Narrow" w:cs="Times New Roman"/>
                <w:sz w:val="20"/>
                <w:vertAlign w:val="superscript"/>
              </w:rPr>
            </w:pPr>
            <w:r w:rsidRPr="008C6F50">
              <w:rPr>
                <w:rFonts w:ascii="Arial Narrow" w:hAnsi="Arial Narrow" w:cs="Times New Roman"/>
                <w:sz w:val="20"/>
              </w:rPr>
              <w:t>2</w:t>
            </w:r>
            <w:r w:rsidR="002820BA" w:rsidRPr="008C6F50">
              <w:rPr>
                <w:rFonts w:ascii="Arial Narrow" w:hAnsi="Arial Narrow" w:cs="Times New Roman"/>
                <w:sz w:val="20"/>
              </w:rPr>
              <w:t xml:space="preserve">% </w:t>
            </w:r>
            <w:r w:rsidR="002820BA" w:rsidRPr="008C6F50">
              <w:rPr>
                <w:rFonts w:ascii="Arial Narrow" w:hAnsi="Arial Narrow" w:cs="Times New Roman"/>
                <w:sz w:val="20"/>
                <w:vertAlign w:val="superscript"/>
              </w:rPr>
              <w:t xml:space="preserve">b </w:t>
            </w:r>
            <w:r w:rsidR="002820BA" w:rsidRPr="008C6F50">
              <w:rPr>
                <w:rFonts w:ascii="Arial Narrow" w:hAnsi="Arial Narrow" w:cs="Times New Roman"/>
                <w:sz w:val="20"/>
              </w:rPr>
              <w:t>(vorinostat)</w:t>
            </w:r>
            <w:r w:rsidR="002820BA" w:rsidRPr="008C6F50">
              <w:rPr>
                <w:rFonts w:ascii="Arial Narrow" w:hAnsi="Arial Narrow" w:cs="Times New Roman"/>
                <w:sz w:val="20"/>
                <w:vertAlign w:val="superscript"/>
              </w:rPr>
              <w:t xml:space="preserve"> </w:t>
            </w:r>
          </w:p>
        </w:tc>
        <w:tc>
          <w:tcPr>
            <w:tcW w:w="1641" w:type="pct"/>
            <w:vAlign w:val="center"/>
          </w:tcPr>
          <w:p w:rsidR="002820BA" w:rsidRPr="008704F7" w:rsidRDefault="002820BA" w:rsidP="008D3A98">
            <w:pPr>
              <w:keepNext/>
              <w:jc w:val="center"/>
              <w:rPr>
                <w:rFonts w:ascii="Arial Narrow" w:hAnsi="Arial Narrow" w:cs="Times New Roman"/>
                <w:sz w:val="20"/>
              </w:rPr>
            </w:pPr>
            <w:r w:rsidRPr="008704F7">
              <w:rPr>
                <w:rFonts w:ascii="Arial Narrow" w:hAnsi="Arial Narrow" w:cs="Times New Roman"/>
                <w:sz w:val="20"/>
              </w:rPr>
              <w:t>6%</w:t>
            </w:r>
          </w:p>
        </w:tc>
      </w:tr>
      <w:tr w:rsidR="002820BA" w:rsidRPr="008704F7" w:rsidTr="0056712A">
        <w:trPr>
          <w:cantSplit/>
        </w:trPr>
        <w:tc>
          <w:tcPr>
            <w:tcW w:w="813" w:type="pct"/>
            <w:vAlign w:val="center"/>
          </w:tcPr>
          <w:p w:rsidR="002820BA" w:rsidRPr="008704F7" w:rsidRDefault="002820BA" w:rsidP="008D3A98">
            <w:pPr>
              <w:keepNext/>
              <w:rPr>
                <w:rFonts w:ascii="Arial Narrow" w:hAnsi="Arial Narrow" w:cs="Times New Roman"/>
                <w:sz w:val="20"/>
              </w:rPr>
            </w:pPr>
            <w:r w:rsidRPr="008704F7">
              <w:rPr>
                <w:rFonts w:ascii="Arial Narrow" w:hAnsi="Arial Narrow" w:cs="Times New Roman"/>
                <w:sz w:val="20"/>
              </w:rPr>
              <w:t xml:space="preserve">pcALCL </w:t>
            </w:r>
          </w:p>
        </w:tc>
        <w:tc>
          <w:tcPr>
            <w:tcW w:w="1273" w:type="pct"/>
            <w:vAlign w:val="center"/>
          </w:tcPr>
          <w:p w:rsidR="002820BA" w:rsidRPr="008704F7" w:rsidRDefault="002820BA" w:rsidP="008D3A98">
            <w:pPr>
              <w:keepNext/>
              <w:jc w:val="center"/>
              <w:rPr>
                <w:rFonts w:ascii="Arial Narrow" w:hAnsi="Arial Narrow" w:cs="Times New Roman"/>
                <w:sz w:val="20"/>
              </w:rPr>
            </w:pPr>
            <w:r w:rsidRPr="008704F7">
              <w:rPr>
                <w:rFonts w:ascii="Arial Narrow" w:hAnsi="Arial Narrow" w:cs="Times New Roman"/>
                <w:sz w:val="20"/>
              </w:rPr>
              <w:t xml:space="preserve">75% </w:t>
            </w:r>
            <w:r w:rsidRPr="008704F7">
              <w:rPr>
                <w:rFonts w:ascii="Arial Narrow" w:hAnsi="Arial Narrow" w:cs="Times New Roman"/>
                <w:sz w:val="20"/>
                <w:vertAlign w:val="superscript"/>
              </w:rPr>
              <w:t>a</w:t>
            </w:r>
          </w:p>
        </w:tc>
        <w:tc>
          <w:tcPr>
            <w:tcW w:w="1273" w:type="pct"/>
          </w:tcPr>
          <w:p w:rsidR="002820BA" w:rsidRPr="008C6F50" w:rsidRDefault="00F72571" w:rsidP="008D3A98">
            <w:pPr>
              <w:keepNext/>
              <w:jc w:val="center"/>
              <w:rPr>
                <w:rFonts w:ascii="Arial Narrow" w:hAnsi="Arial Narrow" w:cs="Times New Roman"/>
                <w:sz w:val="20"/>
              </w:rPr>
            </w:pPr>
            <w:r>
              <w:rPr>
                <w:rFonts w:ascii="Arial Narrow" w:hAnsi="Arial Narrow" w:cs="Times New Roman"/>
                <w:noProof/>
                <w:color w:val="000000"/>
                <w:sz w:val="20"/>
                <w:highlight w:val="black"/>
              </w:rPr>
              <w:t>''''''</w:t>
            </w:r>
            <w:r w:rsidR="00DF2C1A" w:rsidRPr="008C6F50">
              <w:rPr>
                <w:rFonts w:ascii="Arial Narrow" w:hAnsi="Arial Narrow" w:cs="Times New Roman"/>
                <w:sz w:val="20"/>
              </w:rPr>
              <w:t xml:space="preserve">% </w:t>
            </w:r>
            <w:r w:rsidR="00DF2C1A" w:rsidRPr="008C6F50">
              <w:rPr>
                <w:rFonts w:ascii="Arial Narrow" w:hAnsi="Arial Narrow" w:cs="Times New Roman"/>
                <w:sz w:val="20"/>
                <w:vertAlign w:val="superscript"/>
              </w:rPr>
              <w:t xml:space="preserve">a </w:t>
            </w:r>
            <w:r w:rsidR="00DF2C1A" w:rsidRPr="008C6F50">
              <w:rPr>
                <w:rFonts w:ascii="Arial Narrow" w:hAnsi="Arial Narrow" w:cs="Times New Roman"/>
                <w:sz w:val="20"/>
              </w:rPr>
              <w:t xml:space="preserve"> </w:t>
            </w:r>
            <w:r w:rsidR="002820BA" w:rsidRPr="008C6F50">
              <w:rPr>
                <w:rFonts w:ascii="Arial Narrow" w:hAnsi="Arial Narrow" w:cs="Times New Roman"/>
                <w:sz w:val="20"/>
              </w:rPr>
              <w:t>(methotrexate)</w:t>
            </w:r>
          </w:p>
        </w:tc>
        <w:tc>
          <w:tcPr>
            <w:tcW w:w="1641" w:type="pct"/>
            <w:vMerge w:val="restart"/>
            <w:vAlign w:val="center"/>
          </w:tcPr>
          <w:p w:rsidR="002820BA" w:rsidRPr="008704F7" w:rsidRDefault="002820BA" w:rsidP="008D3A98">
            <w:pPr>
              <w:keepNext/>
              <w:jc w:val="center"/>
              <w:rPr>
                <w:rFonts w:ascii="Arial Narrow" w:hAnsi="Arial Narrow" w:cs="Times New Roman"/>
                <w:sz w:val="20"/>
                <w:vertAlign w:val="superscript"/>
              </w:rPr>
            </w:pPr>
            <w:r w:rsidRPr="008704F7">
              <w:rPr>
                <w:rFonts w:ascii="Arial Narrow" w:hAnsi="Arial Narrow" w:cs="Times New Roman"/>
                <w:sz w:val="20"/>
              </w:rPr>
              <w:t xml:space="preserve">51% </w:t>
            </w:r>
            <w:r w:rsidRPr="008704F7">
              <w:rPr>
                <w:rFonts w:ascii="Arial Narrow" w:hAnsi="Arial Narrow" w:cs="Times New Roman"/>
                <w:sz w:val="20"/>
                <w:vertAlign w:val="superscript"/>
              </w:rPr>
              <w:t>f</w:t>
            </w:r>
          </w:p>
        </w:tc>
      </w:tr>
      <w:tr w:rsidR="002820BA" w:rsidRPr="008704F7" w:rsidTr="0056712A">
        <w:trPr>
          <w:cantSplit/>
        </w:trPr>
        <w:tc>
          <w:tcPr>
            <w:tcW w:w="813" w:type="pct"/>
            <w:vAlign w:val="center"/>
          </w:tcPr>
          <w:p w:rsidR="002820BA" w:rsidRPr="008704F7" w:rsidRDefault="002820BA" w:rsidP="008D3A98">
            <w:pPr>
              <w:keepNext/>
              <w:rPr>
                <w:rFonts w:ascii="Arial Narrow" w:hAnsi="Arial Narrow" w:cs="Times New Roman"/>
                <w:sz w:val="20"/>
              </w:rPr>
            </w:pPr>
            <w:r w:rsidRPr="008704F7">
              <w:rPr>
                <w:rFonts w:ascii="Arial Narrow" w:hAnsi="Arial Narrow" w:cs="Times New Roman"/>
                <w:sz w:val="20"/>
              </w:rPr>
              <w:t xml:space="preserve">LyP </w:t>
            </w:r>
          </w:p>
        </w:tc>
        <w:tc>
          <w:tcPr>
            <w:tcW w:w="1273" w:type="pct"/>
            <w:vAlign w:val="center"/>
          </w:tcPr>
          <w:p w:rsidR="002820BA" w:rsidRPr="008704F7" w:rsidRDefault="002820BA" w:rsidP="008D3A98">
            <w:pPr>
              <w:keepNext/>
              <w:jc w:val="center"/>
              <w:rPr>
                <w:rFonts w:ascii="Arial Narrow" w:hAnsi="Arial Narrow" w:cs="Times New Roman"/>
                <w:sz w:val="20"/>
                <w:vertAlign w:val="superscript"/>
              </w:rPr>
            </w:pPr>
            <w:r w:rsidRPr="008704F7">
              <w:rPr>
                <w:rFonts w:ascii="Arial Narrow" w:hAnsi="Arial Narrow" w:cs="Times New Roman"/>
                <w:sz w:val="20"/>
              </w:rPr>
              <w:t xml:space="preserve">92% </w:t>
            </w:r>
            <w:r w:rsidRPr="008704F7">
              <w:rPr>
                <w:rFonts w:ascii="Arial Narrow" w:hAnsi="Arial Narrow" w:cs="Times New Roman"/>
                <w:sz w:val="20"/>
                <w:vertAlign w:val="superscript"/>
              </w:rPr>
              <w:t>d</w:t>
            </w:r>
          </w:p>
        </w:tc>
        <w:tc>
          <w:tcPr>
            <w:tcW w:w="1273" w:type="pct"/>
          </w:tcPr>
          <w:p w:rsidR="002820BA" w:rsidRPr="008704F7" w:rsidRDefault="002820BA" w:rsidP="008D3A98">
            <w:pPr>
              <w:keepNext/>
              <w:jc w:val="center"/>
              <w:rPr>
                <w:rFonts w:ascii="Arial Narrow" w:hAnsi="Arial Narrow" w:cs="Times New Roman"/>
                <w:sz w:val="20"/>
              </w:rPr>
            </w:pPr>
            <w:r w:rsidRPr="008704F7">
              <w:rPr>
                <w:rFonts w:ascii="Arial Narrow" w:hAnsi="Arial Narrow" w:cs="Times New Roman"/>
                <w:sz w:val="20"/>
              </w:rPr>
              <w:t xml:space="preserve">88% </w:t>
            </w:r>
            <w:r w:rsidRPr="008704F7">
              <w:rPr>
                <w:rFonts w:ascii="Arial Narrow" w:hAnsi="Arial Narrow" w:cs="Times New Roman"/>
                <w:sz w:val="20"/>
                <w:vertAlign w:val="superscript"/>
              </w:rPr>
              <w:t xml:space="preserve">e </w:t>
            </w:r>
            <w:r w:rsidRPr="008704F7">
              <w:rPr>
                <w:rFonts w:ascii="Arial Narrow" w:hAnsi="Arial Narrow" w:cs="Times New Roman"/>
                <w:sz w:val="20"/>
              </w:rPr>
              <w:t>(methotrexate)</w:t>
            </w:r>
          </w:p>
        </w:tc>
        <w:tc>
          <w:tcPr>
            <w:tcW w:w="1641" w:type="pct"/>
            <w:vMerge/>
            <w:vAlign w:val="center"/>
          </w:tcPr>
          <w:p w:rsidR="002820BA" w:rsidRPr="008704F7" w:rsidRDefault="002820BA" w:rsidP="008D3A98">
            <w:pPr>
              <w:keepNext/>
              <w:jc w:val="center"/>
              <w:rPr>
                <w:rFonts w:ascii="Arial Narrow" w:hAnsi="Arial Narrow" w:cs="Times New Roman"/>
                <w:sz w:val="20"/>
              </w:rPr>
            </w:pPr>
          </w:p>
        </w:tc>
      </w:tr>
      <w:tr w:rsidR="002820BA" w:rsidRPr="008704F7" w:rsidTr="0056712A">
        <w:trPr>
          <w:cantSplit/>
        </w:trPr>
        <w:tc>
          <w:tcPr>
            <w:tcW w:w="813" w:type="pct"/>
            <w:vAlign w:val="center"/>
          </w:tcPr>
          <w:p w:rsidR="002820BA" w:rsidRPr="008704F7" w:rsidRDefault="002820BA" w:rsidP="009E2CEC">
            <w:pPr>
              <w:keepNext/>
              <w:rPr>
                <w:rFonts w:ascii="Arial Narrow" w:hAnsi="Arial Narrow" w:cs="Times New Roman"/>
                <w:b/>
                <w:sz w:val="20"/>
                <w:vertAlign w:val="superscript"/>
              </w:rPr>
            </w:pPr>
            <w:r w:rsidRPr="008704F7">
              <w:rPr>
                <w:rFonts w:ascii="Arial Narrow" w:hAnsi="Arial Narrow" w:cs="Times New Roman"/>
                <w:b/>
                <w:sz w:val="20"/>
              </w:rPr>
              <w:t xml:space="preserve">Weighted ORR </w:t>
            </w:r>
          </w:p>
        </w:tc>
        <w:tc>
          <w:tcPr>
            <w:tcW w:w="1273" w:type="pct"/>
            <w:vAlign w:val="center"/>
          </w:tcPr>
          <w:p w:rsidR="002820BA" w:rsidRPr="008704F7" w:rsidRDefault="002820BA" w:rsidP="008D3A98">
            <w:pPr>
              <w:keepNext/>
              <w:jc w:val="center"/>
              <w:rPr>
                <w:rFonts w:ascii="Arial Narrow" w:hAnsi="Arial Narrow" w:cs="Times New Roman"/>
                <w:b/>
                <w:sz w:val="20"/>
              </w:rPr>
            </w:pPr>
            <w:r w:rsidRPr="008704F7">
              <w:rPr>
                <w:rFonts w:ascii="Arial Narrow" w:hAnsi="Arial Narrow" w:cs="Times New Roman"/>
                <w:b/>
                <w:sz w:val="20"/>
              </w:rPr>
              <w:t>73%</w:t>
            </w:r>
          </w:p>
        </w:tc>
        <w:tc>
          <w:tcPr>
            <w:tcW w:w="1273" w:type="pct"/>
          </w:tcPr>
          <w:p w:rsidR="002820BA" w:rsidRPr="008704F7" w:rsidRDefault="002820BA" w:rsidP="007B45DE">
            <w:pPr>
              <w:keepNext/>
              <w:jc w:val="center"/>
              <w:rPr>
                <w:rFonts w:ascii="Arial Narrow" w:hAnsi="Arial Narrow" w:cs="Times New Roman"/>
                <w:b/>
                <w:sz w:val="20"/>
              </w:rPr>
            </w:pPr>
            <w:r w:rsidRPr="008704F7">
              <w:rPr>
                <w:rFonts w:ascii="Arial Narrow" w:hAnsi="Arial Narrow" w:cs="Times New Roman"/>
                <w:b/>
                <w:sz w:val="20"/>
              </w:rPr>
              <w:t>3</w:t>
            </w:r>
            <w:r w:rsidR="007B45DE" w:rsidRPr="008704F7">
              <w:rPr>
                <w:rFonts w:ascii="Arial Narrow" w:hAnsi="Arial Narrow" w:cs="Times New Roman"/>
                <w:b/>
                <w:sz w:val="20"/>
              </w:rPr>
              <w:t>8</w:t>
            </w:r>
            <w:r w:rsidRPr="008704F7">
              <w:rPr>
                <w:rFonts w:ascii="Arial Narrow" w:hAnsi="Arial Narrow" w:cs="Times New Roman"/>
                <w:b/>
                <w:sz w:val="20"/>
              </w:rPr>
              <w:t>%</w:t>
            </w:r>
          </w:p>
        </w:tc>
        <w:tc>
          <w:tcPr>
            <w:tcW w:w="1641" w:type="pct"/>
            <w:vAlign w:val="center"/>
          </w:tcPr>
          <w:p w:rsidR="002820BA" w:rsidRPr="008704F7" w:rsidRDefault="002820BA" w:rsidP="008D3A98">
            <w:pPr>
              <w:keepNext/>
              <w:jc w:val="center"/>
              <w:rPr>
                <w:rFonts w:ascii="Arial Narrow" w:hAnsi="Arial Narrow" w:cs="Times New Roman"/>
                <w:sz w:val="20"/>
              </w:rPr>
            </w:pPr>
            <w:r w:rsidRPr="008704F7">
              <w:rPr>
                <w:rFonts w:ascii="Arial Narrow" w:hAnsi="Arial Narrow" w:cs="Times New Roman"/>
                <w:sz w:val="20"/>
              </w:rPr>
              <w:t>-</w:t>
            </w:r>
          </w:p>
        </w:tc>
      </w:tr>
    </w:tbl>
    <w:p w:rsidR="002820BA" w:rsidRPr="008704F7" w:rsidRDefault="002820BA" w:rsidP="002820BA">
      <w:pPr>
        <w:pStyle w:val="TableFooter"/>
        <w:keepNext/>
        <w:rPr>
          <w:sz w:val="20"/>
        </w:rPr>
      </w:pPr>
      <w:r w:rsidRPr="008704F7">
        <w:rPr>
          <w:szCs w:val="18"/>
        </w:rPr>
        <w:t xml:space="preserve">Source: </w:t>
      </w:r>
      <w:r w:rsidRPr="008704F7">
        <w:t>Table 14.3.1.4E of Appendix 11B, pp635-637; Table 2.5-7, p112 of the submission; Table 1 p 3 of Kim (2017); Table 4 p 34 of Duvic (2007), Newland (2015) and Table 3, p5 of the PSCR</w:t>
      </w:r>
    </w:p>
    <w:p w:rsidR="002820BA" w:rsidRPr="008704F7" w:rsidRDefault="002820BA" w:rsidP="002820BA">
      <w:pPr>
        <w:widowControl/>
        <w:jc w:val="left"/>
        <w:rPr>
          <w:rFonts w:ascii="Arial Narrow" w:hAnsi="Arial Narrow"/>
          <w:sz w:val="18"/>
          <w:szCs w:val="18"/>
        </w:rPr>
      </w:pPr>
      <w:r w:rsidRPr="008704F7">
        <w:rPr>
          <w:rFonts w:ascii="Arial Narrow" w:hAnsi="Arial Narrow"/>
          <w:sz w:val="18"/>
          <w:szCs w:val="18"/>
        </w:rPr>
        <w:t>CTCL = cutaneous T-cell lymphoma; LyP = lymphomatoid papulosis; MF = mycosis fungoides; ORR = objective response rate; pcALCL = primary cutaneous anaplastic large cell lymphoma; PSCR = pre-subcommittee response; SS = Sézary syndrome</w:t>
      </w:r>
      <w:r w:rsidRPr="008704F7">
        <w:rPr>
          <w:rFonts w:ascii="Arial Narrow" w:hAnsi="Arial Narrow"/>
          <w:sz w:val="18"/>
          <w:szCs w:val="18"/>
        </w:rPr>
        <w:br/>
      </w:r>
      <w:r w:rsidRPr="008704F7">
        <w:rPr>
          <w:rFonts w:ascii="Arial Narrow" w:hAnsi="Arial Narrow"/>
          <w:sz w:val="18"/>
          <w:szCs w:val="18"/>
          <w:vertAlign w:val="superscript"/>
        </w:rPr>
        <w:t>a</w:t>
      </w:r>
      <w:r w:rsidRPr="008704F7">
        <w:rPr>
          <w:rFonts w:ascii="Arial Narrow" w:hAnsi="Arial Narrow"/>
          <w:sz w:val="18"/>
          <w:szCs w:val="18"/>
        </w:rPr>
        <w:t xml:space="preserve"> ALCANZA trial </w:t>
      </w:r>
      <w:r w:rsidRPr="008704F7">
        <w:rPr>
          <w:rFonts w:ascii="Arial Narrow" w:hAnsi="Arial Narrow"/>
          <w:sz w:val="18"/>
          <w:szCs w:val="18"/>
        </w:rPr>
        <w:br/>
      </w:r>
      <w:r w:rsidRPr="008704F7">
        <w:rPr>
          <w:rFonts w:ascii="Arial Narrow" w:hAnsi="Arial Narrow"/>
          <w:sz w:val="18"/>
          <w:szCs w:val="18"/>
          <w:vertAlign w:val="superscript"/>
        </w:rPr>
        <w:t>b</w:t>
      </w:r>
      <w:r w:rsidRPr="008704F7">
        <w:rPr>
          <w:rFonts w:ascii="Arial Narrow" w:hAnsi="Arial Narrow"/>
          <w:sz w:val="18"/>
          <w:szCs w:val="18"/>
        </w:rPr>
        <w:t xml:space="preserve"> MAVORIC trial </w:t>
      </w:r>
      <w:r w:rsidRPr="008704F7">
        <w:rPr>
          <w:rFonts w:ascii="Arial Narrow" w:hAnsi="Arial Narrow"/>
          <w:sz w:val="18"/>
          <w:szCs w:val="18"/>
        </w:rPr>
        <w:br/>
      </w:r>
      <w:r w:rsidRPr="008704F7">
        <w:rPr>
          <w:rFonts w:ascii="Arial Narrow" w:hAnsi="Arial Narrow"/>
          <w:sz w:val="18"/>
          <w:szCs w:val="18"/>
          <w:vertAlign w:val="superscript"/>
        </w:rPr>
        <w:t>c</w:t>
      </w:r>
      <w:r w:rsidRPr="008704F7">
        <w:rPr>
          <w:rFonts w:ascii="Arial Narrow" w:hAnsi="Arial Narrow"/>
          <w:sz w:val="18"/>
          <w:szCs w:val="18"/>
        </w:rPr>
        <w:t xml:space="preserve"> Duvic (2015) and Kim (2015) combined, Table 3, p5 of the PSCR </w:t>
      </w:r>
      <w:r w:rsidRPr="008704F7">
        <w:rPr>
          <w:rFonts w:ascii="Arial Narrow" w:hAnsi="Arial Narrow"/>
          <w:sz w:val="18"/>
          <w:szCs w:val="18"/>
        </w:rPr>
        <w:br/>
      </w:r>
      <w:r w:rsidRPr="008704F7">
        <w:rPr>
          <w:rFonts w:ascii="Arial Narrow" w:hAnsi="Arial Narrow"/>
          <w:sz w:val="18"/>
          <w:szCs w:val="18"/>
          <w:vertAlign w:val="superscript"/>
        </w:rPr>
        <w:t xml:space="preserve">d </w:t>
      </w:r>
      <w:r w:rsidRPr="008704F7">
        <w:rPr>
          <w:rFonts w:ascii="Arial Narrow" w:hAnsi="Arial Narrow"/>
          <w:sz w:val="18"/>
          <w:szCs w:val="18"/>
        </w:rPr>
        <w:t>Duvic (2015), Table 3, p5 of the PSCR</w:t>
      </w:r>
      <w:r w:rsidR="007B45DE" w:rsidRPr="008704F7">
        <w:rPr>
          <w:rFonts w:ascii="Arial Narrow" w:hAnsi="Arial Narrow"/>
          <w:sz w:val="18"/>
          <w:szCs w:val="18"/>
        </w:rPr>
        <w:t>. The Pre-PBAC response identified an error in the SS comparator ORR and calculations are corrected in Table 8 above.</w:t>
      </w:r>
      <w:r w:rsidRPr="008704F7">
        <w:rPr>
          <w:rFonts w:ascii="Arial Narrow" w:hAnsi="Arial Narrow"/>
          <w:sz w:val="18"/>
          <w:szCs w:val="18"/>
        </w:rPr>
        <w:br/>
      </w:r>
      <w:proofErr w:type="gramStart"/>
      <w:r w:rsidRPr="008704F7">
        <w:rPr>
          <w:rFonts w:ascii="Arial Narrow" w:hAnsi="Arial Narrow"/>
          <w:sz w:val="18"/>
          <w:szCs w:val="18"/>
          <w:vertAlign w:val="superscript"/>
        </w:rPr>
        <w:t>e</w:t>
      </w:r>
      <w:proofErr w:type="gramEnd"/>
      <w:r w:rsidRPr="008704F7">
        <w:rPr>
          <w:rFonts w:ascii="Arial Narrow" w:hAnsi="Arial Narrow"/>
          <w:sz w:val="18"/>
          <w:szCs w:val="18"/>
          <w:vertAlign w:val="superscript"/>
        </w:rPr>
        <w:t xml:space="preserve"> </w:t>
      </w:r>
      <w:r w:rsidRPr="008704F7">
        <w:rPr>
          <w:rFonts w:ascii="Arial Narrow" w:hAnsi="Arial Narrow"/>
          <w:sz w:val="18"/>
          <w:szCs w:val="18"/>
        </w:rPr>
        <w:t>Newland (2015)</w:t>
      </w:r>
      <w:r w:rsidRPr="008704F7">
        <w:rPr>
          <w:rFonts w:ascii="Arial Narrow" w:hAnsi="Arial Narrow"/>
          <w:sz w:val="18"/>
          <w:szCs w:val="18"/>
        </w:rPr>
        <w:br/>
      </w:r>
      <w:r w:rsidRPr="008704F7">
        <w:rPr>
          <w:rFonts w:ascii="Arial Narrow" w:hAnsi="Arial Narrow"/>
          <w:sz w:val="18"/>
          <w:szCs w:val="18"/>
          <w:vertAlign w:val="superscript"/>
        </w:rPr>
        <w:t xml:space="preserve">f </w:t>
      </w:r>
      <w:r w:rsidRPr="008704F7">
        <w:rPr>
          <w:rFonts w:ascii="Arial Narrow" w:hAnsi="Arial Narrow"/>
          <w:sz w:val="18"/>
          <w:szCs w:val="18"/>
        </w:rPr>
        <w:t>Based on Year 1 eligible population. PcALCL and LyP are not reported separately. It was assumed each subtype comprised 50% of the subpopulation.</w:t>
      </w:r>
    </w:p>
    <w:p w:rsidR="002820BA" w:rsidRDefault="002820BA" w:rsidP="002820BA">
      <w:pPr>
        <w:widowControl/>
        <w:jc w:val="left"/>
      </w:pPr>
    </w:p>
    <w:p w:rsidR="00AE73AA" w:rsidRPr="0022357A" w:rsidRDefault="002820BA" w:rsidP="00AA6998">
      <w:pPr>
        <w:pStyle w:val="ListParagraph"/>
        <w:widowControl/>
        <w:numPr>
          <w:ilvl w:val="1"/>
          <w:numId w:val="3"/>
        </w:numPr>
      </w:pPr>
      <w:r w:rsidRPr="00C35104">
        <w:t>The ESC noted that the weighted difference in ORR may be overestimated due to the following factors that are likely to favour brentuximab vedotin: CTCL stage; differences in treatment practice due to inclusion of studies conducted over 12 years apart; number and type of prior therapies; performance status; patient age; and CD30 positivity. The ESC considered that these differences in baseline characteristics may account for some or all of the difference in the estimated weighted ORR</w:t>
      </w:r>
      <w:r w:rsidR="0028063E" w:rsidRPr="00C35104">
        <w:t xml:space="preserve">, </w:t>
      </w:r>
      <w:r w:rsidR="0028063E" w:rsidRPr="00C35104">
        <w:rPr>
          <w:szCs w:val="24"/>
        </w:rPr>
        <w:t xml:space="preserve">making it uncertain that </w:t>
      </w:r>
      <w:r w:rsidR="0038208B" w:rsidRPr="00B36499">
        <w:rPr>
          <w:szCs w:val="24"/>
        </w:rPr>
        <w:t>brentuximab vedotin</w:t>
      </w:r>
      <w:r w:rsidR="0038208B">
        <w:rPr>
          <w:szCs w:val="24"/>
        </w:rPr>
        <w:t xml:space="preserve"> </w:t>
      </w:r>
      <w:r w:rsidR="0028063E" w:rsidRPr="00C35104">
        <w:rPr>
          <w:szCs w:val="24"/>
        </w:rPr>
        <w:t xml:space="preserve">has superior efficacy compared with </w:t>
      </w:r>
      <w:r w:rsidR="0038208B" w:rsidRPr="00B36499">
        <w:rPr>
          <w:szCs w:val="24"/>
        </w:rPr>
        <w:t>vorinostat</w:t>
      </w:r>
      <w:r w:rsidR="0028063E" w:rsidRPr="00C35104">
        <w:rPr>
          <w:szCs w:val="24"/>
        </w:rPr>
        <w:t>. The ESC considered that if superior efficacy has not been adequately demonstrated that a cost-minimisation approach may be more appropriate</w:t>
      </w:r>
      <w:r w:rsidRPr="00C35104">
        <w:t>.</w:t>
      </w:r>
    </w:p>
    <w:p w:rsidR="00B60939" w:rsidRPr="00B1472E" w:rsidRDefault="00B60939" w:rsidP="00B1472E">
      <w:pPr>
        <w:pStyle w:val="Heading2"/>
        <w:spacing w:before="240" w:after="120"/>
        <w:rPr>
          <w:i w:val="0"/>
        </w:rPr>
      </w:pPr>
      <w:bookmarkStart w:id="8" w:name="_Toc514237311"/>
      <w:r w:rsidRPr="0022357A">
        <w:rPr>
          <w:i w:val="0"/>
        </w:rPr>
        <w:t>Comparative harms</w:t>
      </w:r>
      <w:bookmarkEnd w:id="8"/>
    </w:p>
    <w:p w:rsidR="00C9249E" w:rsidRPr="0022357A" w:rsidRDefault="00C9249E" w:rsidP="00C9249E">
      <w:pPr>
        <w:pStyle w:val="ListParagraph"/>
        <w:widowControl/>
        <w:numPr>
          <w:ilvl w:val="1"/>
          <w:numId w:val="3"/>
        </w:numPr>
      </w:pPr>
      <w:r w:rsidRPr="0022357A">
        <w:t xml:space="preserve">Table </w:t>
      </w:r>
      <w:r w:rsidR="0028063E">
        <w:t>10</w:t>
      </w:r>
      <w:r w:rsidR="0046414B" w:rsidRPr="0022357A">
        <w:t xml:space="preserve"> </w:t>
      </w:r>
      <w:r w:rsidRPr="0022357A">
        <w:t>presents the summary of key adverse events (AEs) from the included studies.</w:t>
      </w:r>
    </w:p>
    <w:p w:rsidR="008423B9" w:rsidRPr="0022357A" w:rsidRDefault="008423B9">
      <w:pPr>
        <w:widowControl/>
        <w:jc w:val="left"/>
        <w:rPr>
          <w:rStyle w:val="CommentReference"/>
        </w:rPr>
      </w:pPr>
      <w:r w:rsidRPr="0022357A">
        <w:rPr>
          <w:rStyle w:val="CommentReference"/>
        </w:rPr>
        <w:br w:type="page"/>
      </w:r>
    </w:p>
    <w:p w:rsidR="00C9249E" w:rsidRPr="0022357A" w:rsidRDefault="00C9249E" w:rsidP="00C9249E">
      <w:pPr>
        <w:pStyle w:val="ListParagraph"/>
        <w:keepNext/>
        <w:spacing w:after="0"/>
        <w:ind w:left="0"/>
        <w:rPr>
          <w:rStyle w:val="CommentReference"/>
        </w:rPr>
      </w:pPr>
      <w:r w:rsidRPr="0022357A">
        <w:rPr>
          <w:rStyle w:val="CommentReference"/>
        </w:rPr>
        <w:lastRenderedPageBreak/>
        <w:t xml:space="preserve">Table </w:t>
      </w:r>
      <w:r w:rsidR="0028063E">
        <w:rPr>
          <w:rStyle w:val="CommentReference"/>
        </w:rPr>
        <w:t>10</w:t>
      </w:r>
      <w:r w:rsidRPr="0022357A">
        <w:rPr>
          <w:rStyle w:val="CommentReference"/>
        </w:rPr>
        <w:t>: Summary of key adverse events in the studies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1736"/>
        <w:gridCol w:w="1493"/>
        <w:gridCol w:w="1305"/>
        <w:gridCol w:w="1544"/>
      </w:tblGrid>
      <w:tr w:rsidR="00C9249E" w:rsidRPr="0022357A" w:rsidTr="0056712A">
        <w:trPr>
          <w:tblHeader/>
        </w:trPr>
        <w:tc>
          <w:tcPr>
            <w:tcW w:w="1674" w:type="pct"/>
            <w:vAlign w:val="center"/>
          </w:tcPr>
          <w:p w:rsidR="00C9249E" w:rsidRPr="0022357A" w:rsidRDefault="00C9249E" w:rsidP="00022DCB">
            <w:pPr>
              <w:pStyle w:val="Tabletext"/>
              <w:keepNext/>
              <w:rPr>
                <w:b/>
              </w:rPr>
            </w:pPr>
            <w:r w:rsidRPr="0022357A">
              <w:rPr>
                <w:b/>
              </w:rPr>
              <w:t>Trial ID</w:t>
            </w:r>
          </w:p>
        </w:tc>
        <w:tc>
          <w:tcPr>
            <w:tcW w:w="950" w:type="pct"/>
            <w:vAlign w:val="center"/>
          </w:tcPr>
          <w:p w:rsidR="00E41D02" w:rsidRPr="0022357A" w:rsidRDefault="00E41D02" w:rsidP="00E41D02">
            <w:pPr>
              <w:pStyle w:val="Tabletext"/>
              <w:keepNext/>
              <w:jc w:val="center"/>
              <w:rPr>
                <w:b/>
              </w:rPr>
            </w:pPr>
            <w:r w:rsidRPr="0022357A">
              <w:rPr>
                <w:b/>
              </w:rPr>
              <w:t xml:space="preserve">Brentuximab </w:t>
            </w:r>
          </w:p>
          <w:p w:rsidR="00E41D02" w:rsidRPr="0022357A" w:rsidRDefault="00E41D02" w:rsidP="00E41D02">
            <w:pPr>
              <w:pStyle w:val="Tabletext"/>
              <w:keepNext/>
              <w:jc w:val="center"/>
              <w:rPr>
                <w:b/>
              </w:rPr>
            </w:pPr>
            <w:r w:rsidRPr="0022357A">
              <w:rPr>
                <w:b/>
              </w:rPr>
              <w:t xml:space="preserve">(ALCANZA) </w:t>
            </w:r>
          </w:p>
          <w:p w:rsidR="00C9249E" w:rsidRPr="0022357A" w:rsidRDefault="00E41D02" w:rsidP="00E41D02">
            <w:pPr>
              <w:pStyle w:val="Tabletext"/>
              <w:keepNext/>
              <w:jc w:val="center"/>
              <w:rPr>
                <w:b/>
              </w:rPr>
            </w:pPr>
            <w:proofErr w:type="gramStart"/>
            <w:r w:rsidRPr="0022357A">
              <w:rPr>
                <w:b/>
              </w:rPr>
              <w:t>n/N</w:t>
            </w:r>
            <w:proofErr w:type="gramEnd"/>
            <w:r w:rsidRPr="0022357A">
              <w:rPr>
                <w:b/>
              </w:rPr>
              <w:t xml:space="preserve"> (%)</w:t>
            </w:r>
          </w:p>
        </w:tc>
        <w:tc>
          <w:tcPr>
            <w:tcW w:w="817" w:type="pct"/>
            <w:vAlign w:val="center"/>
          </w:tcPr>
          <w:p w:rsidR="00C9249E" w:rsidRPr="0022357A" w:rsidRDefault="00C9249E" w:rsidP="00022DCB">
            <w:pPr>
              <w:pStyle w:val="Tabletext"/>
              <w:keepNext/>
              <w:jc w:val="center"/>
              <w:rPr>
                <w:b/>
              </w:rPr>
            </w:pPr>
            <w:r w:rsidRPr="0022357A">
              <w:rPr>
                <w:b/>
              </w:rPr>
              <w:t xml:space="preserve">Vorinostat </w:t>
            </w:r>
          </w:p>
          <w:p w:rsidR="00C9249E" w:rsidRPr="0022357A" w:rsidRDefault="00C9249E" w:rsidP="00022DCB">
            <w:pPr>
              <w:pStyle w:val="Tabletext"/>
              <w:keepNext/>
              <w:jc w:val="center"/>
              <w:rPr>
                <w:b/>
              </w:rPr>
            </w:pPr>
            <w:r w:rsidRPr="0022357A">
              <w:rPr>
                <w:b/>
              </w:rPr>
              <w:t xml:space="preserve">(P005) </w:t>
            </w:r>
          </w:p>
          <w:p w:rsidR="00C9249E" w:rsidRPr="0022357A" w:rsidRDefault="00C9249E" w:rsidP="00937239">
            <w:pPr>
              <w:pStyle w:val="Tabletext"/>
              <w:keepNext/>
              <w:jc w:val="center"/>
              <w:rPr>
                <w:b/>
              </w:rPr>
            </w:pPr>
            <w:proofErr w:type="gramStart"/>
            <w:r w:rsidRPr="0022357A">
              <w:rPr>
                <w:b/>
              </w:rPr>
              <w:t>n/N</w:t>
            </w:r>
            <w:proofErr w:type="gramEnd"/>
            <w:r w:rsidRPr="0022357A">
              <w:rPr>
                <w:b/>
              </w:rPr>
              <w:t xml:space="preserve"> (%)</w:t>
            </w:r>
          </w:p>
        </w:tc>
        <w:tc>
          <w:tcPr>
            <w:tcW w:w="714" w:type="pct"/>
          </w:tcPr>
          <w:p w:rsidR="00C9249E" w:rsidRPr="0022357A" w:rsidRDefault="00C9249E" w:rsidP="00022DCB">
            <w:pPr>
              <w:pStyle w:val="Tabletext"/>
              <w:keepNext/>
              <w:jc w:val="center"/>
              <w:rPr>
                <w:b/>
              </w:rPr>
            </w:pPr>
            <w:r w:rsidRPr="0022357A">
              <w:rPr>
                <w:b/>
              </w:rPr>
              <w:t xml:space="preserve">Vorinostat </w:t>
            </w:r>
          </w:p>
          <w:p w:rsidR="00C9249E" w:rsidRPr="0022357A" w:rsidRDefault="00C9249E" w:rsidP="00022DCB">
            <w:pPr>
              <w:pStyle w:val="Tabletext"/>
              <w:keepNext/>
              <w:jc w:val="center"/>
              <w:rPr>
                <w:b/>
              </w:rPr>
            </w:pPr>
            <w:r w:rsidRPr="0022357A">
              <w:rPr>
                <w:b/>
              </w:rPr>
              <w:t xml:space="preserve">(P001) </w:t>
            </w:r>
          </w:p>
          <w:p w:rsidR="00C9249E" w:rsidRPr="0022357A" w:rsidRDefault="00C9249E" w:rsidP="00937239">
            <w:pPr>
              <w:pStyle w:val="Tabletext"/>
              <w:keepNext/>
              <w:jc w:val="center"/>
              <w:rPr>
                <w:b/>
              </w:rPr>
            </w:pPr>
            <w:proofErr w:type="gramStart"/>
            <w:r w:rsidRPr="0022357A">
              <w:rPr>
                <w:b/>
              </w:rPr>
              <w:t>n/N</w:t>
            </w:r>
            <w:proofErr w:type="gramEnd"/>
            <w:r w:rsidRPr="0022357A">
              <w:rPr>
                <w:b/>
              </w:rPr>
              <w:t xml:space="preserve"> (%)</w:t>
            </w:r>
          </w:p>
        </w:tc>
        <w:tc>
          <w:tcPr>
            <w:tcW w:w="845" w:type="pct"/>
            <w:vAlign w:val="center"/>
          </w:tcPr>
          <w:p w:rsidR="00E41D02" w:rsidRPr="0022357A" w:rsidRDefault="00E41D02" w:rsidP="00E41D02">
            <w:pPr>
              <w:pStyle w:val="Tabletext"/>
              <w:keepNext/>
              <w:jc w:val="center"/>
              <w:rPr>
                <w:b/>
              </w:rPr>
            </w:pPr>
            <w:r w:rsidRPr="0022357A">
              <w:rPr>
                <w:b/>
              </w:rPr>
              <w:t xml:space="preserve">Methotrexate </w:t>
            </w:r>
          </w:p>
          <w:p w:rsidR="00E41D02" w:rsidRPr="0022357A" w:rsidRDefault="00E41D02" w:rsidP="00E41D02">
            <w:pPr>
              <w:pStyle w:val="Tabletext"/>
              <w:keepNext/>
              <w:jc w:val="center"/>
              <w:rPr>
                <w:b/>
              </w:rPr>
            </w:pPr>
            <w:r w:rsidRPr="0022357A">
              <w:rPr>
                <w:b/>
              </w:rPr>
              <w:t xml:space="preserve">(ALCANZA) </w:t>
            </w:r>
          </w:p>
          <w:p w:rsidR="00C9249E" w:rsidRPr="0022357A" w:rsidRDefault="00E41D02" w:rsidP="00E41D02">
            <w:pPr>
              <w:pStyle w:val="Tabletext"/>
              <w:keepNext/>
              <w:jc w:val="center"/>
              <w:rPr>
                <w:b/>
              </w:rPr>
            </w:pPr>
            <w:proofErr w:type="gramStart"/>
            <w:r w:rsidRPr="0022357A">
              <w:rPr>
                <w:b/>
              </w:rPr>
              <w:t>n/N</w:t>
            </w:r>
            <w:proofErr w:type="gramEnd"/>
            <w:r w:rsidRPr="0022357A">
              <w:rPr>
                <w:b/>
              </w:rPr>
              <w:t xml:space="preserve"> (%)</w:t>
            </w:r>
          </w:p>
        </w:tc>
      </w:tr>
      <w:tr w:rsidR="00C9249E" w:rsidRPr="0022357A" w:rsidTr="0056712A">
        <w:tc>
          <w:tcPr>
            <w:tcW w:w="1674" w:type="pct"/>
            <w:vAlign w:val="center"/>
          </w:tcPr>
          <w:p w:rsidR="00C9249E" w:rsidRPr="0022357A" w:rsidRDefault="00C9249E" w:rsidP="00022DCB">
            <w:pPr>
              <w:pStyle w:val="Tabletext"/>
            </w:pPr>
            <w:r w:rsidRPr="0022357A">
              <w:t>Any AE</w:t>
            </w:r>
          </w:p>
        </w:tc>
        <w:tc>
          <w:tcPr>
            <w:tcW w:w="950" w:type="pct"/>
          </w:tcPr>
          <w:p w:rsidR="00C9249E" w:rsidRPr="0022357A" w:rsidRDefault="00C9249E" w:rsidP="00022DCB">
            <w:pPr>
              <w:pStyle w:val="Tabletext"/>
              <w:jc w:val="center"/>
            </w:pPr>
            <w:r w:rsidRPr="0022357A">
              <w:t>63/66 (95%)</w:t>
            </w:r>
          </w:p>
        </w:tc>
        <w:tc>
          <w:tcPr>
            <w:tcW w:w="817" w:type="pct"/>
          </w:tcPr>
          <w:p w:rsidR="00C9249E" w:rsidRPr="0022357A" w:rsidRDefault="00C9249E" w:rsidP="00022DCB">
            <w:pPr>
              <w:pStyle w:val="Tabletext"/>
              <w:jc w:val="center"/>
            </w:pPr>
            <w:r w:rsidRPr="0022357A">
              <w:t>NR</w:t>
            </w:r>
          </w:p>
        </w:tc>
        <w:tc>
          <w:tcPr>
            <w:tcW w:w="714" w:type="pct"/>
          </w:tcPr>
          <w:p w:rsidR="00C9249E" w:rsidRPr="0022357A" w:rsidRDefault="00C9249E" w:rsidP="00022DCB">
            <w:pPr>
              <w:pStyle w:val="Tabletext"/>
              <w:jc w:val="center"/>
            </w:pPr>
            <w:r w:rsidRPr="0022357A">
              <w:t>NR</w:t>
            </w:r>
          </w:p>
        </w:tc>
        <w:tc>
          <w:tcPr>
            <w:tcW w:w="845" w:type="pct"/>
          </w:tcPr>
          <w:p w:rsidR="00C9249E" w:rsidRPr="0022357A" w:rsidRDefault="00C9249E" w:rsidP="00022DCB">
            <w:pPr>
              <w:pStyle w:val="Tabletext"/>
              <w:jc w:val="center"/>
            </w:pPr>
            <w:r w:rsidRPr="0022357A">
              <w:t>23/25 (92%)</w:t>
            </w:r>
          </w:p>
        </w:tc>
      </w:tr>
      <w:tr w:rsidR="00C9249E" w:rsidRPr="0022357A" w:rsidTr="0056712A">
        <w:tc>
          <w:tcPr>
            <w:tcW w:w="1674" w:type="pct"/>
            <w:vAlign w:val="center"/>
          </w:tcPr>
          <w:p w:rsidR="00C9249E" w:rsidRPr="0022357A" w:rsidRDefault="00C9249E" w:rsidP="00022DCB">
            <w:pPr>
              <w:pStyle w:val="Tabletext"/>
            </w:pPr>
            <w:r w:rsidRPr="0022357A">
              <w:t>Drug-related AE</w:t>
            </w:r>
          </w:p>
        </w:tc>
        <w:tc>
          <w:tcPr>
            <w:tcW w:w="950" w:type="pct"/>
          </w:tcPr>
          <w:p w:rsidR="00C9249E" w:rsidRPr="0022357A" w:rsidRDefault="00C9249E" w:rsidP="00022DCB">
            <w:pPr>
              <w:pStyle w:val="Tabletext"/>
              <w:jc w:val="center"/>
            </w:pPr>
            <w:r w:rsidRPr="0022357A">
              <w:t>57/66 (86%)</w:t>
            </w:r>
          </w:p>
        </w:tc>
        <w:tc>
          <w:tcPr>
            <w:tcW w:w="817" w:type="pct"/>
          </w:tcPr>
          <w:p w:rsidR="00C9249E" w:rsidRPr="0022357A" w:rsidRDefault="00C9249E" w:rsidP="00022DCB">
            <w:pPr>
              <w:pStyle w:val="Tabletext"/>
              <w:jc w:val="center"/>
            </w:pPr>
            <w:r w:rsidRPr="0022357A">
              <w:t>NR</w:t>
            </w:r>
          </w:p>
        </w:tc>
        <w:tc>
          <w:tcPr>
            <w:tcW w:w="714" w:type="pct"/>
          </w:tcPr>
          <w:p w:rsidR="00C9249E" w:rsidRPr="0022357A" w:rsidRDefault="00C9249E" w:rsidP="00022DCB">
            <w:pPr>
              <w:pStyle w:val="Tabletext"/>
              <w:jc w:val="center"/>
            </w:pPr>
            <w:r w:rsidRPr="0022357A">
              <w:t>NR</w:t>
            </w:r>
          </w:p>
        </w:tc>
        <w:tc>
          <w:tcPr>
            <w:tcW w:w="845" w:type="pct"/>
          </w:tcPr>
          <w:p w:rsidR="00C9249E" w:rsidRPr="0022357A" w:rsidRDefault="00C9249E" w:rsidP="00022DCB">
            <w:pPr>
              <w:pStyle w:val="Tabletext"/>
              <w:jc w:val="center"/>
            </w:pPr>
            <w:r w:rsidRPr="0022357A">
              <w:t>14/25 (56%)</w:t>
            </w:r>
          </w:p>
        </w:tc>
      </w:tr>
      <w:tr w:rsidR="00C9249E" w:rsidRPr="0022357A" w:rsidTr="0056712A">
        <w:tc>
          <w:tcPr>
            <w:tcW w:w="1674" w:type="pct"/>
            <w:vAlign w:val="center"/>
          </w:tcPr>
          <w:p w:rsidR="00C9249E" w:rsidRPr="0022357A" w:rsidRDefault="00C9249E" w:rsidP="00022DCB">
            <w:pPr>
              <w:pStyle w:val="Tabletext"/>
            </w:pPr>
            <w:r w:rsidRPr="0022357A">
              <w:t>Drug-related Grade ≥ 3 AE</w:t>
            </w:r>
          </w:p>
        </w:tc>
        <w:tc>
          <w:tcPr>
            <w:tcW w:w="950" w:type="pct"/>
          </w:tcPr>
          <w:p w:rsidR="00C9249E" w:rsidRPr="0022357A" w:rsidRDefault="00C9249E" w:rsidP="00022DCB">
            <w:pPr>
              <w:pStyle w:val="Tabletext"/>
              <w:jc w:val="center"/>
            </w:pPr>
            <w:r w:rsidRPr="0022357A">
              <w:t>19/66 (29%)</w:t>
            </w:r>
          </w:p>
        </w:tc>
        <w:tc>
          <w:tcPr>
            <w:tcW w:w="817" w:type="pct"/>
          </w:tcPr>
          <w:p w:rsidR="00C9249E" w:rsidRPr="0022357A" w:rsidRDefault="00C9249E" w:rsidP="00022DCB">
            <w:pPr>
              <w:pStyle w:val="Tabletext"/>
              <w:jc w:val="center"/>
            </w:pPr>
            <w:r w:rsidRPr="0022357A">
              <w:t>NR</w:t>
            </w:r>
          </w:p>
        </w:tc>
        <w:tc>
          <w:tcPr>
            <w:tcW w:w="714" w:type="pct"/>
          </w:tcPr>
          <w:p w:rsidR="00C9249E" w:rsidRPr="0022357A" w:rsidRDefault="00C9249E" w:rsidP="00022DCB">
            <w:pPr>
              <w:pStyle w:val="Tabletext"/>
              <w:jc w:val="center"/>
            </w:pPr>
            <w:r w:rsidRPr="0022357A">
              <w:t>21/74 (28%)</w:t>
            </w:r>
          </w:p>
        </w:tc>
        <w:tc>
          <w:tcPr>
            <w:tcW w:w="845" w:type="pct"/>
          </w:tcPr>
          <w:p w:rsidR="00C9249E" w:rsidRPr="0022357A" w:rsidRDefault="00F72571" w:rsidP="00022DCB">
            <w:pPr>
              <w:pStyle w:val="Tabletext"/>
              <w:jc w:val="center"/>
            </w:pPr>
            <w:r>
              <w:rPr>
                <w:noProof/>
                <w:color w:val="000000"/>
                <w:highlight w:val="black"/>
              </w:rPr>
              <w:t>'''</w:t>
            </w:r>
            <w:r w:rsidR="00C9249E" w:rsidRPr="0022357A">
              <w:t>/25 (12%)</w:t>
            </w:r>
          </w:p>
        </w:tc>
      </w:tr>
      <w:tr w:rsidR="00C9249E" w:rsidRPr="0022357A" w:rsidTr="0056712A">
        <w:tc>
          <w:tcPr>
            <w:tcW w:w="1674" w:type="pct"/>
            <w:vAlign w:val="center"/>
          </w:tcPr>
          <w:p w:rsidR="00C9249E" w:rsidRPr="0022357A" w:rsidRDefault="00C9249E" w:rsidP="00022DCB">
            <w:pPr>
              <w:pStyle w:val="Tabletext"/>
            </w:pPr>
            <w:r w:rsidRPr="0022357A">
              <w:t>Drug-related serious AE</w:t>
            </w:r>
          </w:p>
        </w:tc>
        <w:tc>
          <w:tcPr>
            <w:tcW w:w="950" w:type="pct"/>
          </w:tcPr>
          <w:p w:rsidR="00C9249E" w:rsidRPr="0022357A" w:rsidRDefault="00C9249E" w:rsidP="00022DCB">
            <w:pPr>
              <w:pStyle w:val="Tabletext"/>
              <w:jc w:val="center"/>
            </w:pPr>
            <w:r w:rsidRPr="0022357A">
              <w:t>9/66 (14%)</w:t>
            </w:r>
          </w:p>
        </w:tc>
        <w:tc>
          <w:tcPr>
            <w:tcW w:w="817" w:type="pct"/>
          </w:tcPr>
          <w:p w:rsidR="00C9249E" w:rsidRPr="0022357A" w:rsidRDefault="00C9249E" w:rsidP="00022DCB">
            <w:pPr>
              <w:pStyle w:val="Tabletext"/>
              <w:jc w:val="center"/>
            </w:pPr>
            <w:r w:rsidRPr="0022357A">
              <w:t>NR</w:t>
            </w:r>
          </w:p>
        </w:tc>
        <w:tc>
          <w:tcPr>
            <w:tcW w:w="714" w:type="pct"/>
          </w:tcPr>
          <w:p w:rsidR="00C9249E" w:rsidRPr="0022357A" w:rsidRDefault="00552F51" w:rsidP="00022DCB">
            <w:pPr>
              <w:pStyle w:val="Tabletext"/>
              <w:jc w:val="center"/>
            </w:pPr>
            <w:r w:rsidRPr="0022357A">
              <w:t>8</w:t>
            </w:r>
            <w:r w:rsidR="00C9249E" w:rsidRPr="0022357A">
              <w:t>/74 (11%)</w:t>
            </w:r>
          </w:p>
        </w:tc>
        <w:tc>
          <w:tcPr>
            <w:tcW w:w="845" w:type="pct"/>
            <w:vAlign w:val="center"/>
          </w:tcPr>
          <w:p w:rsidR="00C9249E" w:rsidRPr="0022357A" w:rsidRDefault="00F72571" w:rsidP="00022DCB">
            <w:pPr>
              <w:pStyle w:val="Tabletext"/>
              <w:jc w:val="center"/>
            </w:pPr>
            <w:r>
              <w:rPr>
                <w:noProof/>
                <w:color w:val="000000"/>
                <w:highlight w:val="black"/>
              </w:rPr>
              <w:t>'''''</w:t>
            </w:r>
            <w:r w:rsidR="00C9249E" w:rsidRPr="0022357A">
              <w:t>25 (8%)</w:t>
            </w:r>
          </w:p>
        </w:tc>
      </w:tr>
      <w:tr w:rsidR="00C9249E" w:rsidRPr="0022357A" w:rsidTr="0056712A">
        <w:tc>
          <w:tcPr>
            <w:tcW w:w="1674" w:type="pct"/>
          </w:tcPr>
          <w:p w:rsidR="00C9249E" w:rsidRPr="0022357A" w:rsidRDefault="00C9249E" w:rsidP="00022DCB">
            <w:pPr>
              <w:pStyle w:val="Tabletext"/>
            </w:pPr>
            <w:r w:rsidRPr="0022357A">
              <w:t>AE resulting in discontinuation</w:t>
            </w:r>
          </w:p>
        </w:tc>
        <w:tc>
          <w:tcPr>
            <w:tcW w:w="950" w:type="pct"/>
          </w:tcPr>
          <w:p w:rsidR="00C9249E" w:rsidRPr="0022357A" w:rsidRDefault="00C9249E" w:rsidP="00022DCB">
            <w:pPr>
              <w:pStyle w:val="Tabletext"/>
              <w:jc w:val="center"/>
            </w:pPr>
            <w:r w:rsidRPr="0022357A">
              <w:t xml:space="preserve">16/66 (24%) </w:t>
            </w:r>
            <w:proofErr w:type="spellStart"/>
            <w:r w:rsidRPr="0022357A">
              <w:rPr>
                <w:vertAlign w:val="superscript"/>
              </w:rPr>
              <w:t>a,b</w:t>
            </w:r>
            <w:proofErr w:type="spellEnd"/>
          </w:p>
        </w:tc>
        <w:tc>
          <w:tcPr>
            <w:tcW w:w="817" w:type="pct"/>
          </w:tcPr>
          <w:p w:rsidR="00C9249E" w:rsidRPr="0022357A" w:rsidRDefault="00C9249E" w:rsidP="00022DCB">
            <w:pPr>
              <w:pStyle w:val="Tabletext"/>
              <w:jc w:val="center"/>
            </w:pPr>
            <w:r w:rsidRPr="0022357A">
              <w:t>7/37 (19%)</w:t>
            </w:r>
          </w:p>
        </w:tc>
        <w:tc>
          <w:tcPr>
            <w:tcW w:w="714" w:type="pct"/>
          </w:tcPr>
          <w:p w:rsidR="00C9249E" w:rsidRPr="0022357A" w:rsidRDefault="006135E5" w:rsidP="006135E5">
            <w:pPr>
              <w:pStyle w:val="Tabletext"/>
              <w:jc w:val="center"/>
            </w:pPr>
            <w:r w:rsidRPr="0022357A">
              <w:t>7</w:t>
            </w:r>
            <w:r w:rsidR="00C9249E" w:rsidRPr="0022357A">
              <w:t>/74 (</w:t>
            </w:r>
            <w:r w:rsidRPr="0022357A">
              <w:t>9</w:t>
            </w:r>
            <w:r w:rsidR="00C9249E" w:rsidRPr="0022357A">
              <w:t>%)</w:t>
            </w:r>
          </w:p>
        </w:tc>
        <w:tc>
          <w:tcPr>
            <w:tcW w:w="845" w:type="pct"/>
          </w:tcPr>
          <w:p w:rsidR="00C9249E" w:rsidRPr="0022357A" w:rsidRDefault="00C9249E" w:rsidP="00022DCB">
            <w:pPr>
              <w:pStyle w:val="Tabletext"/>
              <w:jc w:val="center"/>
            </w:pPr>
            <w:r w:rsidRPr="009265E9">
              <w:t>1</w:t>
            </w:r>
            <w:r w:rsidRPr="0022357A">
              <w:t>/25 (4%)</w:t>
            </w:r>
          </w:p>
        </w:tc>
      </w:tr>
      <w:tr w:rsidR="00C9249E" w:rsidRPr="0022357A" w:rsidTr="0056712A">
        <w:tc>
          <w:tcPr>
            <w:tcW w:w="1674" w:type="pct"/>
          </w:tcPr>
          <w:p w:rsidR="00C9249E" w:rsidRPr="0022357A" w:rsidRDefault="00C9249E" w:rsidP="00022DCB">
            <w:pPr>
              <w:pStyle w:val="Tabletext"/>
            </w:pPr>
            <w:r w:rsidRPr="0022357A">
              <w:t xml:space="preserve">On-treatment deaths </w:t>
            </w:r>
          </w:p>
        </w:tc>
        <w:tc>
          <w:tcPr>
            <w:tcW w:w="950" w:type="pct"/>
          </w:tcPr>
          <w:p w:rsidR="00C9249E" w:rsidRPr="0022357A" w:rsidRDefault="00C9249E" w:rsidP="00022DCB">
            <w:pPr>
              <w:pStyle w:val="Tabletext"/>
              <w:jc w:val="center"/>
            </w:pPr>
            <w:r w:rsidRPr="0022357A">
              <w:t>4/66 (6%)</w:t>
            </w:r>
            <w:r w:rsidRPr="0022357A">
              <w:rPr>
                <w:vertAlign w:val="superscript"/>
              </w:rPr>
              <w:t xml:space="preserve"> c</w:t>
            </w:r>
          </w:p>
        </w:tc>
        <w:tc>
          <w:tcPr>
            <w:tcW w:w="817" w:type="pct"/>
          </w:tcPr>
          <w:p w:rsidR="00C9249E" w:rsidRPr="0022357A" w:rsidRDefault="00C9249E" w:rsidP="00022DCB">
            <w:pPr>
              <w:pStyle w:val="Tabletext"/>
              <w:jc w:val="center"/>
            </w:pPr>
            <w:r w:rsidRPr="0022357A">
              <w:t xml:space="preserve">2 /37(5%) </w:t>
            </w:r>
            <w:r w:rsidRPr="0022357A">
              <w:rPr>
                <w:vertAlign w:val="superscript"/>
              </w:rPr>
              <w:t>e</w:t>
            </w:r>
          </w:p>
        </w:tc>
        <w:tc>
          <w:tcPr>
            <w:tcW w:w="714" w:type="pct"/>
          </w:tcPr>
          <w:p w:rsidR="00C9249E" w:rsidRPr="0022357A" w:rsidRDefault="00C9249E" w:rsidP="00022DCB">
            <w:pPr>
              <w:pStyle w:val="Tabletext"/>
              <w:jc w:val="center"/>
            </w:pPr>
            <w:r w:rsidRPr="0022357A">
              <w:t xml:space="preserve">3/74 (4%) </w:t>
            </w:r>
            <w:r w:rsidRPr="0022357A">
              <w:rPr>
                <w:vertAlign w:val="superscript"/>
              </w:rPr>
              <w:t>d</w:t>
            </w:r>
          </w:p>
        </w:tc>
        <w:tc>
          <w:tcPr>
            <w:tcW w:w="845" w:type="pct"/>
          </w:tcPr>
          <w:p w:rsidR="00C9249E" w:rsidRPr="0022357A" w:rsidRDefault="00F72571" w:rsidP="00022DCB">
            <w:pPr>
              <w:pStyle w:val="Tabletext"/>
              <w:jc w:val="center"/>
            </w:pPr>
            <w:r>
              <w:rPr>
                <w:noProof/>
                <w:color w:val="000000"/>
                <w:highlight w:val="black"/>
              </w:rPr>
              <w:t>''''</w:t>
            </w:r>
            <w:r w:rsidR="00C9249E" w:rsidRPr="0022357A">
              <w:t>/25 (0%)</w:t>
            </w:r>
          </w:p>
        </w:tc>
      </w:tr>
      <w:tr w:rsidR="00C9249E" w:rsidRPr="0022357A" w:rsidTr="0056712A">
        <w:tc>
          <w:tcPr>
            <w:tcW w:w="1674" w:type="pct"/>
            <w:vAlign w:val="center"/>
          </w:tcPr>
          <w:p w:rsidR="00C9249E" w:rsidRPr="0022357A" w:rsidRDefault="00C9249E" w:rsidP="00022DCB">
            <w:pPr>
              <w:pStyle w:val="Tabletext"/>
            </w:pPr>
            <w:r w:rsidRPr="0022357A">
              <w:t>Any dose modification</w:t>
            </w:r>
          </w:p>
        </w:tc>
        <w:tc>
          <w:tcPr>
            <w:tcW w:w="950" w:type="pct"/>
          </w:tcPr>
          <w:p w:rsidR="00C9249E" w:rsidRPr="0022357A" w:rsidRDefault="00C9249E" w:rsidP="00022DCB">
            <w:pPr>
              <w:pStyle w:val="Tabletext"/>
              <w:jc w:val="center"/>
            </w:pPr>
            <w:r w:rsidRPr="0022357A">
              <w:t>48/66 (73%)</w:t>
            </w:r>
          </w:p>
        </w:tc>
        <w:tc>
          <w:tcPr>
            <w:tcW w:w="817" w:type="pct"/>
          </w:tcPr>
          <w:p w:rsidR="00C9249E" w:rsidRPr="0022357A" w:rsidRDefault="00C9249E" w:rsidP="00022DCB">
            <w:pPr>
              <w:pStyle w:val="Tabletext"/>
              <w:jc w:val="center"/>
            </w:pPr>
            <w:r w:rsidRPr="0022357A">
              <w:t>NR</w:t>
            </w:r>
          </w:p>
        </w:tc>
        <w:tc>
          <w:tcPr>
            <w:tcW w:w="714" w:type="pct"/>
          </w:tcPr>
          <w:p w:rsidR="00C9249E" w:rsidRPr="0022357A" w:rsidRDefault="00C9249E" w:rsidP="00022DCB">
            <w:pPr>
              <w:pStyle w:val="Tabletext"/>
              <w:jc w:val="center"/>
            </w:pPr>
            <w:r w:rsidRPr="0022357A">
              <w:t>11/74 (15%)</w:t>
            </w:r>
          </w:p>
        </w:tc>
        <w:tc>
          <w:tcPr>
            <w:tcW w:w="845" w:type="pct"/>
            <w:vAlign w:val="center"/>
          </w:tcPr>
          <w:p w:rsidR="00C9249E" w:rsidRPr="0022357A" w:rsidRDefault="00C9249E" w:rsidP="00022DCB">
            <w:pPr>
              <w:pStyle w:val="Tabletext"/>
              <w:jc w:val="center"/>
            </w:pPr>
            <w:r w:rsidRPr="0022357A">
              <w:t>13/25 (52%)</w:t>
            </w:r>
          </w:p>
        </w:tc>
      </w:tr>
      <w:tr w:rsidR="00C9249E" w:rsidRPr="0022357A" w:rsidTr="0056712A">
        <w:tc>
          <w:tcPr>
            <w:tcW w:w="1674" w:type="pct"/>
            <w:vAlign w:val="center"/>
          </w:tcPr>
          <w:p w:rsidR="00C9249E" w:rsidRPr="0022357A" w:rsidRDefault="00C9249E" w:rsidP="00022DCB">
            <w:pPr>
              <w:pStyle w:val="Tabletext"/>
            </w:pPr>
            <w:r w:rsidRPr="0022357A">
              <w:t>Peripheral sensory neuropathy</w:t>
            </w:r>
          </w:p>
        </w:tc>
        <w:tc>
          <w:tcPr>
            <w:tcW w:w="950" w:type="pct"/>
            <w:vAlign w:val="center"/>
          </w:tcPr>
          <w:p w:rsidR="00C9249E" w:rsidRPr="0022357A" w:rsidRDefault="00C9249E" w:rsidP="00022DCB">
            <w:pPr>
              <w:pStyle w:val="Tabletext"/>
              <w:jc w:val="center"/>
            </w:pPr>
            <w:r w:rsidRPr="0022357A">
              <w:t>30/66 (45%)</w:t>
            </w:r>
          </w:p>
        </w:tc>
        <w:tc>
          <w:tcPr>
            <w:tcW w:w="1531" w:type="pct"/>
            <w:gridSpan w:val="2"/>
            <w:vAlign w:val="center"/>
          </w:tcPr>
          <w:p w:rsidR="00C9249E" w:rsidRPr="0022357A" w:rsidRDefault="00C9249E" w:rsidP="00022DCB">
            <w:pPr>
              <w:pStyle w:val="Tabletext"/>
              <w:jc w:val="center"/>
            </w:pPr>
            <w:r w:rsidRPr="0022357A">
              <w:t>NR</w:t>
            </w:r>
          </w:p>
        </w:tc>
        <w:tc>
          <w:tcPr>
            <w:tcW w:w="845" w:type="pct"/>
            <w:vAlign w:val="center"/>
          </w:tcPr>
          <w:p w:rsidR="00C9249E" w:rsidRPr="0022357A" w:rsidRDefault="00C9249E" w:rsidP="00022DCB">
            <w:pPr>
              <w:pStyle w:val="Tabletext"/>
              <w:jc w:val="center"/>
            </w:pPr>
            <w:r w:rsidRPr="0022357A">
              <w:t>1/25 (4%)</w:t>
            </w:r>
          </w:p>
        </w:tc>
      </w:tr>
      <w:tr w:rsidR="00C9249E" w:rsidRPr="0022357A" w:rsidTr="0056712A">
        <w:tc>
          <w:tcPr>
            <w:tcW w:w="1674" w:type="pct"/>
            <w:vAlign w:val="center"/>
          </w:tcPr>
          <w:p w:rsidR="00C9249E" w:rsidRPr="0022357A" w:rsidRDefault="00C9249E" w:rsidP="00022DCB">
            <w:pPr>
              <w:pStyle w:val="Tabletext"/>
            </w:pPr>
            <w:r w:rsidRPr="0022357A">
              <w:t xml:space="preserve">Grade ≥3 neutropenia </w:t>
            </w:r>
          </w:p>
        </w:tc>
        <w:tc>
          <w:tcPr>
            <w:tcW w:w="950" w:type="pct"/>
            <w:vAlign w:val="center"/>
          </w:tcPr>
          <w:p w:rsidR="00C9249E" w:rsidRPr="0022357A" w:rsidRDefault="00C9249E" w:rsidP="00022DCB">
            <w:pPr>
              <w:pStyle w:val="Tabletext"/>
              <w:jc w:val="center"/>
            </w:pPr>
            <w:r w:rsidRPr="0022357A">
              <w:t>3/66 (5%)</w:t>
            </w:r>
          </w:p>
        </w:tc>
        <w:tc>
          <w:tcPr>
            <w:tcW w:w="1531" w:type="pct"/>
            <w:gridSpan w:val="2"/>
            <w:vAlign w:val="center"/>
          </w:tcPr>
          <w:p w:rsidR="00C9249E" w:rsidRPr="0022357A" w:rsidRDefault="00C9249E" w:rsidP="00022DCB">
            <w:pPr>
              <w:pStyle w:val="Tabletext"/>
              <w:jc w:val="center"/>
            </w:pPr>
            <w:r w:rsidRPr="0022357A">
              <w:t>NR</w:t>
            </w:r>
          </w:p>
        </w:tc>
        <w:tc>
          <w:tcPr>
            <w:tcW w:w="845" w:type="pct"/>
            <w:vAlign w:val="center"/>
          </w:tcPr>
          <w:p w:rsidR="00C9249E" w:rsidRPr="0022357A" w:rsidRDefault="00C9249E" w:rsidP="00022DCB">
            <w:pPr>
              <w:pStyle w:val="Tabletext"/>
              <w:jc w:val="center"/>
            </w:pPr>
            <w:r w:rsidRPr="0022357A">
              <w:t>0/25 (0%)</w:t>
            </w:r>
          </w:p>
        </w:tc>
      </w:tr>
      <w:tr w:rsidR="00C9249E" w:rsidRPr="0022357A" w:rsidTr="0056712A">
        <w:tc>
          <w:tcPr>
            <w:tcW w:w="1674" w:type="pct"/>
            <w:vAlign w:val="center"/>
          </w:tcPr>
          <w:p w:rsidR="00C9249E" w:rsidRPr="0022357A" w:rsidRDefault="00C9249E" w:rsidP="00022DCB">
            <w:pPr>
              <w:pStyle w:val="Tabletext"/>
            </w:pPr>
            <w:r w:rsidRPr="0022357A">
              <w:rPr>
                <w:color w:val="000000"/>
                <w:szCs w:val="18"/>
              </w:rPr>
              <w:t>Grade ≥3 fatigue</w:t>
            </w:r>
          </w:p>
        </w:tc>
        <w:tc>
          <w:tcPr>
            <w:tcW w:w="950" w:type="pct"/>
            <w:vAlign w:val="center"/>
          </w:tcPr>
          <w:p w:rsidR="00C9249E" w:rsidRPr="0022357A" w:rsidRDefault="00C9249E" w:rsidP="00022DCB">
            <w:pPr>
              <w:pStyle w:val="Tabletext"/>
              <w:jc w:val="center"/>
            </w:pPr>
            <w:r w:rsidRPr="0022357A">
              <w:t>3/66 (5%)</w:t>
            </w:r>
          </w:p>
        </w:tc>
        <w:tc>
          <w:tcPr>
            <w:tcW w:w="1531" w:type="pct"/>
            <w:gridSpan w:val="2"/>
            <w:vAlign w:val="center"/>
          </w:tcPr>
          <w:p w:rsidR="00C9249E" w:rsidRPr="0022357A" w:rsidRDefault="00C9249E" w:rsidP="00022DCB">
            <w:pPr>
              <w:pStyle w:val="Tabletext"/>
              <w:jc w:val="center"/>
              <w:rPr>
                <w:vertAlign w:val="superscript"/>
              </w:rPr>
            </w:pPr>
            <w:r w:rsidRPr="0022357A">
              <w:t xml:space="preserve">2/86 (2%) </w:t>
            </w:r>
            <w:r w:rsidRPr="0022357A">
              <w:rPr>
                <w:vertAlign w:val="superscript"/>
              </w:rPr>
              <w:t>f</w:t>
            </w:r>
          </w:p>
        </w:tc>
        <w:tc>
          <w:tcPr>
            <w:tcW w:w="845" w:type="pct"/>
            <w:vAlign w:val="center"/>
          </w:tcPr>
          <w:p w:rsidR="00C9249E" w:rsidRPr="0022357A" w:rsidRDefault="00C9249E" w:rsidP="00022DCB">
            <w:pPr>
              <w:pStyle w:val="Tabletext"/>
              <w:jc w:val="center"/>
            </w:pPr>
            <w:r w:rsidRPr="0022357A">
              <w:t>1/25 (4%)</w:t>
            </w:r>
          </w:p>
        </w:tc>
      </w:tr>
      <w:tr w:rsidR="00C9249E" w:rsidRPr="0022357A" w:rsidTr="0056712A">
        <w:tc>
          <w:tcPr>
            <w:tcW w:w="1674" w:type="pct"/>
            <w:vAlign w:val="center"/>
          </w:tcPr>
          <w:p w:rsidR="00C9249E" w:rsidRPr="0022357A" w:rsidRDefault="00C9249E" w:rsidP="00022DCB">
            <w:pPr>
              <w:pStyle w:val="Tabletext"/>
            </w:pPr>
            <w:r w:rsidRPr="0022357A">
              <w:t>Grade ≥3 diarrhoea</w:t>
            </w:r>
          </w:p>
        </w:tc>
        <w:tc>
          <w:tcPr>
            <w:tcW w:w="950" w:type="pct"/>
            <w:vAlign w:val="center"/>
          </w:tcPr>
          <w:p w:rsidR="00C9249E" w:rsidRPr="0022357A" w:rsidRDefault="00C9249E" w:rsidP="00022DCB">
            <w:pPr>
              <w:pStyle w:val="Tabletext"/>
              <w:jc w:val="center"/>
            </w:pPr>
            <w:r w:rsidRPr="0022357A">
              <w:t>2/66 (3%)</w:t>
            </w:r>
          </w:p>
        </w:tc>
        <w:tc>
          <w:tcPr>
            <w:tcW w:w="1531" w:type="pct"/>
            <w:gridSpan w:val="2"/>
            <w:vAlign w:val="center"/>
          </w:tcPr>
          <w:p w:rsidR="00C9249E" w:rsidRPr="0022357A" w:rsidRDefault="00C9249E" w:rsidP="00022DCB">
            <w:pPr>
              <w:pStyle w:val="Tabletext"/>
              <w:jc w:val="center"/>
            </w:pPr>
            <w:r w:rsidRPr="0022357A">
              <w:t xml:space="preserve">0/86 (0%) </w:t>
            </w:r>
            <w:r w:rsidRPr="0022357A">
              <w:rPr>
                <w:vertAlign w:val="superscript"/>
              </w:rPr>
              <w:t>f</w:t>
            </w:r>
          </w:p>
        </w:tc>
        <w:tc>
          <w:tcPr>
            <w:tcW w:w="845" w:type="pct"/>
            <w:vAlign w:val="center"/>
          </w:tcPr>
          <w:p w:rsidR="00C9249E" w:rsidRPr="0022357A" w:rsidRDefault="00C9249E" w:rsidP="00022DCB">
            <w:pPr>
              <w:pStyle w:val="Tabletext"/>
              <w:jc w:val="center"/>
            </w:pPr>
            <w:r w:rsidRPr="0022357A">
              <w:t>0/25 (0%)</w:t>
            </w:r>
          </w:p>
        </w:tc>
      </w:tr>
      <w:tr w:rsidR="00C9249E" w:rsidRPr="0022357A" w:rsidTr="0056712A">
        <w:tc>
          <w:tcPr>
            <w:tcW w:w="1674" w:type="pct"/>
            <w:vAlign w:val="center"/>
          </w:tcPr>
          <w:p w:rsidR="00C9249E" w:rsidRPr="0022357A" w:rsidRDefault="00C9249E" w:rsidP="00022DCB">
            <w:pPr>
              <w:pStyle w:val="Tabletext"/>
            </w:pPr>
            <w:r w:rsidRPr="0022357A">
              <w:t>Grade ≥3 thrombocytopenia</w:t>
            </w:r>
          </w:p>
        </w:tc>
        <w:tc>
          <w:tcPr>
            <w:tcW w:w="950" w:type="pct"/>
            <w:vAlign w:val="center"/>
          </w:tcPr>
          <w:p w:rsidR="00C9249E" w:rsidRPr="0022357A" w:rsidRDefault="00C9249E" w:rsidP="00022DCB">
            <w:pPr>
              <w:pStyle w:val="Tabletext"/>
              <w:jc w:val="center"/>
            </w:pPr>
            <w:r w:rsidRPr="0022357A">
              <w:t>1/66 (2%)</w:t>
            </w:r>
          </w:p>
        </w:tc>
        <w:tc>
          <w:tcPr>
            <w:tcW w:w="1531" w:type="pct"/>
            <w:gridSpan w:val="2"/>
            <w:vAlign w:val="center"/>
          </w:tcPr>
          <w:p w:rsidR="00C9249E" w:rsidRPr="0022357A" w:rsidRDefault="00C9249E" w:rsidP="00022DCB">
            <w:pPr>
              <w:pStyle w:val="Tabletext"/>
              <w:jc w:val="center"/>
            </w:pPr>
            <w:r w:rsidRPr="0022357A">
              <w:t xml:space="preserve">5/86 (6%) </w:t>
            </w:r>
            <w:r w:rsidRPr="0022357A">
              <w:rPr>
                <w:vertAlign w:val="superscript"/>
              </w:rPr>
              <w:t>f</w:t>
            </w:r>
          </w:p>
        </w:tc>
        <w:tc>
          <w:tcPr>
            <w:tcW w:w="845" w:type="pct"/>
            <w:vAlign w:val="center"/>
          </w:tcPr>
          <w:p w:rsidR="00C9249E" w:rsidRPr="0022357A" w:rsidRDefault="00C9249E" w:rsidP="00022DCB">
            <w:pPr>
              <w:pStyle w:val="Tabletext"/>
              <w:jc w:val="center"/>
            </w:pPr>
            <w:r w:rsidRPr="004B500D">
              <w:t>0</w:t>
            </w:r>
            <w:r w:rsidRPr="0022357A">
              <w:t>/25 (</w:t>
            </w:r>
            <w:r w:rsidRPr="004B500D">
              <w:t>0</w:t>
            </w:r>
            <w:r w:rsidRPr="0022357A">
              <w:t>%)</w:t>
            </w:r>
          </w:p>
        </w:tc>
      </w:tr>
      <w:tr w:rsidR="00C9249E" w:rsidRPr="0022357A" w:rsidTr="0056712A">
        <w:tc>
          <w:tcPr>
            <w:tcW w:w="1674" w:type="pct"/>
            <w:vAlign w:val="center"/>
          </w:tcPr>
          <w:p w:rsidR="00C9249E" w:rsidRPr="0022357A" w:rsidRDefault="00C9249E" w:rsidP="00022DCB">
            <w:pPr>
              <w:pStyle w:val="Tabletext"/>
            </w:pPr>
            <w:r w:rsidRPr="0022357A">
              <w:t>Grade ≥3 anaemia</w:t>
            </w:r>
          </w:p>
        </w:tc>
        <w:tc>
          <w:tcPr>
            <w:tcW w:w="950" w:type="pct"/>
            <w:vAlign w:val="center"/>
          </w:tcPr>
          <w:p w:rsidR="00C9249E" w:rsidRPr="0022357A" w:rsidRDefault="00C9249E" w:rsidP="00022DCB">
            <w:pPr>
              <w:pStyle w:val="Tabletext"/>
              <w:jc w:val="center"/>
            </w:pPr>
            <w:r w:rsidRPr="0022357A">
              <w:t>0/66 (0%)</w:t>
            </w:r>
          </w:p>
        </w:tc>
        <w:tc>
          <w:tcPr>
            <w:tcW w:w="1531" w:type="pct"/>
            <w:gridSpan w:val="2"/>
            <w:vAlign w:val="center"/>
          </w:tcPr>
          <w:p w:rsidR="00C9249E" w:rsidRPr="0022357A" w:rsidRDefault="00C9249E" w:rsidP="00022DCB">
            <w:pPr>
              <w:pStyle w:val="Tabletext"/>
              <w:jc w:val="center"/>
            </w:pPr>
            <w:r w:rsidRPr="0022357A">
              <w:t xml:space="preserve">2/86 (2%) </w:t>
            </w:r>
            <w:r w:rsidRPr="0022357A">
              <w:rPr>
                <w:vertAlign w:val="superscript"/>
              </w:rPr>
              <w:t>f</w:t>
            </w:r>
          </w:p>
        </w:tc>
        <w:tc>
          <w:tcPr>
            <w:tcW w:w="845" w:type="pct"/>
            <w:vAlign w:val="center"/>
          </w:tcPr>
          <w:p w:rsidR="00C9249E" w:rsidRPr="0022357A" w:rsidRDefault="00C9249E" w:rsidP="00022DCB">
            <w:pPr>
              <w:pStyle w:val="Tabletext"/>
              <w:jc w:val="center"/>
            </w:pPr>
            <w:r w:rsidRPr="0022357A">
              <w:t>0/25 (0%)</w:t>
            </w:r>
          </w:p>
        </w:tc>
      </w:tr>
      <w:tr w:rsidR="00C9249E" w:rsidRPr="0022357A" w:rsidTr="0056712A">
        <w:tc>
          <w:tcPr>
            <w:tcW w:w="1674" w:type="pct"/>
            <w:vAlign w:val="center"/>
          </w:tcPr>
          <w:p w:rsidR="00C9249E" w:rsidRPr="0022357A" w:rsidRDefault="00C9249E" w:rsidP="00022DCB">
            <w:pPr>
              <w:pStyle w:val="Tabletext"/>
            </w:pPr>
            <w:r w:rsidRPr="0022357A">
              <w:t>Grade ≥3 pulmonary embolism</w:t>
            </w:r>
          </w:p>
        </w:tc>
        <w:tc>
          <w:tcPr>
            <w:tcW w:w="950" w:type="pct"/>
            <w:vAlign w:val="center"/>
          </w:tcPr>
          <w:p w:rsidR="00C9249E" w:rsidRPr="0022357A" w:rsidRDefault="00C9249E" w:rsidP="00022DCB">
            <w:pPr>
              <w:pStyle w:val="Tabletext"/>
              <w:jc w:val="center"/>
            </w:pPr>
            <w:r w:rsidRPr="0022357A">
              <w:t>1/66 (2%)</w:t>
            </w:r>
          </w:p>
        </w:tc>
        <w:tc>
          <w:tcPr>
            <w:tcW w:w="817" w:type="pct"/>
            <w:vAlign w:val="center"/>
          </w:tcPr>
          <w:p w:rsidR="00C9249E" w:rsidRPr="0022357A" w:rsidRDefault="00C9249E" w:rsidP="00022DCB">
            <w:pPr>
              <w:pStyle w:val="Tabletext"/>
              <w:jc w:val="center"/>
            </w:pPr>
            <w:r w:rsidRPr="0022357A">
              <w:t>2/37 (5%)</w:t>
            </w:r>
          </w:p>
        </w:tc>
        <w:tc>
          <w:tcPr>
            <w:tcW w:w="714" w:type="pct"/>
          </w:tcPr>
          <w:p w:rsidR="00C9249E" w:rsidRPr="0022357A" w:rsidRDefault="00C9249E" w:rsidP="00022DCB">
            <w:pPr>
              <w:pStyle w:val="Tabletext"/>
              <w:jc w:val="center"/>
            </w:pPr>
            <w:r w:rsidRPr="0022357A">
              <w:t>4/74 (5%)</w:t>
            </w:r>
          </w:p>
        </w:tc>
        <w:tc>
          <w:tcPr>
            <w:tcW w:w="845" w:type="pct"/>
            <w:vAlign w:val="center"/>
          </w:tcPr>
          <w:p w:rsidR="00C9249E" w:rsidRPr="0022357A" w:rsidRDefault="00F72571" w:rsidP="00022DCB">
            <w:pPr>
              <w:pStyle w:val="Tabletext"/>
              <w:jc w:val="center"/>
            </w:pPr>
            <w:r>
              <w:rPr>
                <w:noProof/>
                <w:color w:val="000000"/>
                <w:highlight w:val="black"/>
              </w:rPr>
              <w:t>''''</w:t>
            </w:r>
            <w:r w:rsidR="00C9249E" w:rsidRPr="0022357A">
              <w:t>/</w:t>
            </w:r>
            <w:r>
              <w:rPr>
                <w:noProof/>
                <w:color w:val="000000"/>
                <w:highlight w:val="black"/>
              </w:rPr>
              <w:t>'''''</w:t>
            </w:r>
            <w:r w:rsidR="00C9249E" w:rsidRPr="0022357A">
              <w:t xml:space="preserve"> (</w:t>
            </w:r>
            <w:r>
              <w:rPr>
                <w:noProof/>
                <w:color w:val="000000"/>
                <w:highlight w:val="black"/>
              </w:rPr>
              <w:t>'''</w:t>
            </w:r>
            <w:r w:rsidR="00C9249E" w:rsidRPr="0022357A">
              <w:t>%)</w:t>
            </w:r>
          </w:p>
        </w:tc>
      </w:tr>
    </w:tbl>
    <w:p w:rsidR="00C9249E" w:rsidRPr="0022357A" w:rsidRDefault="00C9249E" w:rsidP="00C9249E">
      <w:pPr>
        <w:pStyle w:val="TableFooter"/>
        <w:rPr>
          <w:sz w:val="20"/>
        </w:rPr>
      </w:pPr>
      <w:r w:rsidRPr="0022357A">
        <w:t xml:space="preserve">Source: Constructed during the evaluation from Table 2.5-12 to 2.6-3, pp120-130 of the submission; Olsen (2007) (P001) and Duvic (2007) (P005) </w:t>
      </w:r>
    </w:p>
    <w:p w:rsidR="00C9249E" w:rsidRPr="0022357A" w:rsidRDefault="00C9249E" w:rsidP="00C9249E">
      <w:pPr>
        <w:pStyle w:val="TableFooter"/>
        <w:rPr>
          <w:rFonts w:eastAsia="Calibri"/>
        </w:rPr>
      </w:pPr>
      <w:r w:rsidRPr="0022357A">
        <w:rPr>
          <w:rFonts w:eastAsia="Calibri"/>
        </w:rPr>
        <w:t>AE = adverse event; MTX = methotrexate; n = number of participants reporting data; N = total participants in group;</w:t>
      </w:r>
      <w:r w:rsidR="00811E03" w:rsidRPr="0022357A">
        <w:rPr>
          <w:rFonts w:eastAsia="Calibri"/>
        </w:rPr>
        <w:t xml:space="preserve"> </w:t>
      </w:r>
      <w:r w:rsidRPr="0022357A">
        <w:rPr>
          <w:rFonts w:eastAsia="Calibri"/>
        </w:rPr>
        <w:t xml:space="preserve">NR = not reported; </w:t>
      </w:r>
    </w:p>
    <w:p w:rsidR="00C9249E" w:rsidRPr="0022357A" w:rsidRDefault="00C9249E" w:rsidP="00C9249E">
      <w:pPr>
        <w:pStyle w:val="TableFooter"/>
        <w:rPr>
          <w:rFonts w:eastAsia="Calibri"/>
        </w:rPr>
      </w:pPr>
      <w:proofErr w:type="gramStart"/>
      <w:r w:rsidRPr="0022357A">
        <w:rPr>
          <w:rFonts w:eastAsia="Calibri"/>
          <w:vertAlign w:val="superscript"/>
        </w:rPr>
        <w:t>a</w:t>
      </w:r>
      <w:proofErr w:type="gramEnd"/>
      <w:r w:rsidRPr="0022357A">
        <w:rPr>
          <w:rFonts w:eastAsia="Calibri"/>
        </w:rPr>
        <w:t xml:space="preserve"> One patient discontinued due to a fatal treatment-emergent AE of lymphoma progression, and the recorded action was “discontinued from the study”</w:t>
      </w:r>
    </w:p>
    <w:p w:rsidR="00C9249E" w:rsidRPr="0022357A" w:rsidRDefault="00C9249E" w:rsidP="00C9249E">
      <w:pPr>
        <w:pStyle w:val="TableFooter"/>
        <w:rPr>
          <w:rFonts w:eastAsia="Calibri"/>
        </w:rPr>
      </w:pPr>
      <w:proofErr w:type="gramStart"/>
      <w:r w:rsidRPr="0022357A">
        <w:rPr>
          <w:rFonts w:eastAsia="Calibri"/>
          <w:vertAlign w:val="superscript"/>
        </w:rPr>
        <w:t>b</w:t>
      </w:r>
      <w:proofErr w:type="gramEnd"/>
      <w:r w:rsidRPr="0022357A">
        <w:rPr>
          <w:rFonts w:eastAsia="Calibri"/>
        </w:rPr>
        <w:t xml:space="preserve"> 9 patients discontinued due to peripheral sensory neuropathy</w:t>
      </w:r>
    </w:p>
    <w:p w:rsidR="00C9249E" w:rsidRPr="0022357A" w:rsidRDefault="00C9249E" w:rsidP="00C9249E">
      <w:pPr>
        <w:pStyle w:val="TableFooter"/>
        <w:rPr>
          <w:rFonts w:eastAsia="Calibri"/>
        </w:rPr>
      </w:pPr>
      <w:proofErr w:type="gramStart"/>
      <w:r w:rsidRPr="0022357A">
        <w:rPr>
          <w:rFonts w:eastAsia="Calibri"/>
          <w:vertAlign w:val="superscript"/>
        </w:rPr>
        <w:t>c</w:t>
      </w:r>
      <w:proofErr w:type="gramEnd"/>
      <w:r w:rsidRPr="0022357A">
        <w:rPr>
          <w:rFonts w:eastAsia="Calibri"/>
        </w:rPr>
        <w:t xml:space="preserve"> Deaths within 30 days after the last dose of study drug. Three of four deaths no considered to be due to brentuximab vedotin. One death due to multiple organ dysfunction </w:t>
      </w:r>
      <w:proofErr w:type="gramStart"/>
      <w:r w:rsidRPr="0022357A">
        <w:rPr>
          <w:rFonts w:eastAsia="Calibri"/>
        </w:rPr>
        <w:t>syndrome</w:t>
      </w:r>
      <w:proofErr w:type="gramEnd"/>
      <w:r w:rsidRPr="0022357A">
        <w:rPr>
          <w:rFonts w:eastAsia="Calibri"/>
        </w:rPr>
        <w:t xml:space="preserve"> was considered related to brentuximab vedotin and underlying disease in a patient who did not meet eligibility </w:t>
      </w:r>
      <w:r w:rsidR="00E47185" w:rsidRPr="0022357A">
        <w:rPr>
          <w:rFonts w:eastAsia="Calibri"/>
        </w:rPr>
        <w:t>criteria</w:t>
      </w:r>
      <w:r w:rsidRPr="0022357A">
        <w:rPr>
          <w:rFonts w:eastAsia="Calibri"/>
        </w:rPr>
        <w:t xml:space="preserve">. The three other deaths, were due to lymphoma (related to disease under study), pulmonary </w:t>
      </w:r>
      <w:r w:rsidR="00E47185" w:rsidRPr="0022357A">
        <w:rPr>
          <w:rFonts w:eastAsia="Calibri"/>
        </w:rPr>
        <w:t>embolism</w:t>
      </w:r>
      <w:r w:rsidRPr="0022357A">
        <w:rPr>
          <w:rFonts w:eastAsia="Calibri"/>
        </w:rPr>
        <w:t xml:space="preserve"> (not related to disease or drug), and skin sepsis (not related to drug or disease).</w:t>
      </w:r>
    </w:p>
    <w:p w:rsidR="00C9249E" w:rsidRPr="0022357A" w:rsidRDefault="00C9249E" w:rsidP="00C9249E">
      <w:pPr>
        <w:pStyle w:val="TableFooter"/>
        <w:rPr>
          <w:rFonts w:eastAsia="Calibri"/>
        </w:rPr>
      </w:pPr>
      <w:r w:rsidRPr="0022357A">
        <w:rPr>
          <w:rFonts w:eastAsia="Calibri"/>
          <w:vertAlign w:val="superscript"/>
        </w:rPr>
        <w:t>d</w:t>
      </w:r>
      <w:r w:rsidRPr="0022357A">
        <w:rPr>
          <w:rFonts w:eastAsia="Calibri"/>
        </w:rPr>
        <w:t xml:space="preserve"> One death secondary to disease progression, one death secondary to ischemic stroke, and one of unexplained cause on day 2 without confirmation of having taken vorinostat </w:t>
      </w:r>
    </w:p>
    <w:p w:rsidR="00C9249E" w:rsidRPr="0022357A" w:rsidRDefault="00C9249E" w:rsidP="00C9249E">
      <w:pPr>
        <w:pStyle w:val="TableFooter"/>
        <w:rPr>
          <w:rFonts w:eastAsia="Calibri"/>
          <w:vertAlign w:val="superscript"/>
        </w:rPr>
      </w:pPr>
      <w:proofErr w:type="gramStart"/>
      <w:r w:rsidRPr="0022357A">
        <w:rPr>
          <w:rFonts w:eastAsia="Calibri"/>
          <w:vertAlign w:val="superscript"/>
        </w:rPr>
        <w:t>e</w:t>
      </w:r>
      <w:proofErr w:type="gramEnd"/>
      <w:r w:rsidRPr="0022357A">
        <w:rPr>
          <w:rFonts w:eastAsia="Calibri"/>
          <w:vertAlign w:val="superscript"/>
        </w:rPr>
        <w:t xml:space="preserve"> </w:t>
      </w:r>
      <w:r w:rsidRPr="0022357A">
        <w:rPr>
          <w:rFonts w:eastAsia="Calibri"/>
        </w:rPr>
        <w:t>One patient died from disease progression and untreated sepsis that was considered unrelated to vorinostat.</w:t>
      </w:r>
    </w:p>
    <w:p w:rsidR="00C9249E" w:rsidRPr="0022357A" w:rsidRDefault="00C9249E" w:rsidP="00C9249E">
      <w:pPr>
        <w:pStyle w:val="TableFooter"/>
        <w:rPr>
          <w:rFonts w:eastAsia="Calibri"/>
        </w:rPr>
      </w:pPr>
      <w:proofErr w:type="gramStart"/>
      <w:r w:rsidRPr="0022357A">
        <w:rPr>
          <w:rFonts w:eastAsia="Calibri"/>
          <w:vertAlign w:val="superscript"/>
        </w:rPr>
        <w:t>f</w:t>
      </w:r>
      <w:proofErr w:type="gramEnd"/>
      <w:r w:rsidRPr="0022357A">
        <w:rPr>
          <w:rFonts w:eastAsia="Calibri"/>
          <w:vertAlign w:val="superscript"/>
        </w:rPr>
        <w:t xml:space="preserve"> </w:t>
      </w:r>
      <w:r w:rsidRPr="0022357A">
        <w:rPr>
          <w:rFonts w:eastAsia="Calibri"/>
        </w:rPr>
        <w:t xml:space="preserve">Based on patients who received a dose of 400 mg once daily (N=86) from the </w:t>
      </w:r>
      <w:proofErr w:type="spellStart"/>
      <w:r w:rsidRPr="0022357A">
        <w:rPr>
          <w:rFonts w:eastAsia="Calibri"/>
        </w:rPr>
        <w:t>Zolinza</w:t>
      </w:r>
      <w:proofErr w:type="spellEnd"/>
      <w:r w:rsidRPr="0022357A">
        <w:rPr>
          <w:rFonts w:eastAsia="Calibri"/>
        </w:rPr>
        <w:t xml:space="preserve"> (vorinostat) Product Information</w:t>
      </w:r>
    </w:p>
    <w:p w:rsidR="00C9249E" w:rsidRPr="0022357A" w:rsidRDefault="00C9249E" w:rsidP="00C9249E">
      <w:pPr>
        <w:pStyle w:val="TableFooter"/>
        <w:rPr>
          <w:rFonts w:eastAsia="Calibri"/>
        </w:rPr>
      </w:pPr>
    </w:p>
    <w:p w:rsidR="00C9249E" w:rsidRPr="0022357A" w:rsidRDefault="00C9249E" w:rsidP="00C9249E">
      <w:pPr>
        <w:pStyle w:val="ListParagraph"/>
        <w:widowControl/>
        <w:numPr>
          <w:ilvl w:val="1"/>
          <w:numId w:val="3"/>
        </w:numPr>
      </w:pPr>
      <w:r w:rsidRPr="0022357A">
        <w:t>Patients treated with brentuximab vedotin appeared to report a similar number of AEs and Grade 3 or higher drug</w:t>
      </w:r>
      <w:r w:rsidRPr="0022357A">
        <w:noBreakHyphen/>
        <w:t xml:space="preserve">related AEs to </w:t>
      </w:r>
      <w:r w:rsidR="00A856FD" w:rsidRPr="0022357A">
        <w:t xml:space="preserve">patients </w:t>
      </w:r>
      <w:r w:rsidRPr="0022357A">
        <w:t>treated with vorinostat. Brentuximab vedotin had more instances of peripheral sensory neuropathy, Grade 3 or higher neutropenia, more AEs resulting in discontinuation, and more dose modifications than vorinostat. Vorinostat had more instances of pulmonary embolism than brentuximab vedotin. When considering vorinostat in November 2016, the ESC noted that the frequency of pulmonary embolism would have significant implications for patients that were likely to go onto treatments with agents that induce thrombocytopenia</w:t>
      </w:r>
      <w:r w:rsidR="00A0488F" w:rsidRPr="0022357A">
        <w:t xml:space="preserve"> (paragraph 6.15, November 2016 </w:t>
      </w:r>
      <w:r w:rsidRPr="0022357A">
        <w:t xml:space="preserve">PSD). Overall, brentuximab vedotin appeared to have different but non-inferior safety profile to vorinostat. </w:t>
      </w:r>
    </w:p>
    <w:p w:rsidR="005D26B4" w:rsidRPr="0022357A" w:rsidRDefault="00C9249E" w:rsidP="00C9249E">
      <w:pPr>
        <w:pStyle w:val="ListParagraph"/>
        <w:widowControl/>
        <w:numPr>
          <w:ilvl w:val="1"/>
          <w:numId w:val="3"/>
        </w:numPr>
      </w:pPr>
      <w:r w:rsidRPr="0022357A">
        <w:t xml:space="preserve">The submission noted that the AE data from the ALCANZA trial did not appear to favour brentuximab vedotin when compared to methotrexate. The submission considered this to be due to the longer treatment exposure compared to methotrexate (or bexarotene). Brentuximab vedotin had more drug related Grade 3 or higher AEs, serious AEs, AEs resulting in dose modification or treatment </w:t>
      </w:r>
      <w:r w:rsidRPr="0022357A">
        <w:lastRenderedPageBreak/>
        <w:t xml:space="preserve">discontinuation, and more on-treatment deaths. </w:t>
      </w:r>
      <w:r w:rsidR="00EA32D4" w:rsidRPr="00C35104">
        <w:t xml:space="preserve">The </w:t>
      </w:r>
      <w:r w:rsidR="002229A6">
        <w:t>PBAC</w:t>
      </w:r>
      <w:r w:rsidR="00EA32D4" w:rsidRPr="00C35104">
        <w:t xml:space="preserve"> considered that</w:t>
      </w:r>
      <w:r w:rsidR="00EA32D4">
        <w:rPr>
          <w:i/>
        </w:rPr>
        <w:t xml:space="preserve"> </w:t>
      </w:r>
      <w:r w:rsidR="00EA32D4">
        <w:t>b</w:t>
      </w:r>
      <w:r w:rsidRPr="0022357A">
        <w:t xml:space="preserve">rentuximab vedotin appeared to have </w:t>
      </w:r>
      <w:r w:rsidR="000E52F5">
        <w:t>an inferior</w:t>
      </w:r>
      <w:r w:rsidRPr="0022357A">
        <w:t xml:space="preserve"> safety profile compared with methotrexate. </w:t>
      </w:r>
    </w:p>
    <w:p w:rsidR="004151CF" w:rsidRPr="00B1472E" w:rsidRDefault="007F1017" w:rsidP="00B1472E">
      <w:pPr>
        <w:pStyle w:val="Heading2"/>
        <w:spacing w:before="240" w:after="120"/>
        <w:rPr>
          <w:i w:val="0"/>
        </w:rPr>
      </w:pPr>
      <w:bookmarkStart w:id="9" w:name="_Toc514237312"/>
      <w:r w:rsidRPr="0022357A">
        <w:rPr>
          <w:i w:val="0"/>
        </w:rPr>
        <w:t>Benefits/harms</w:t>
      </w:r>
      <w:bookmarkEnd w:id="9"/>
    </w:p>
    <w:p w:rsidR="001404D0" w:rsidRPr="00C35104" w:rsidRDefault="001404D0" w:rsidP="008423B9">
      <w:pPr>
        <w:pStyle w:val="ListParagraph"/>
        <w:widowControl/>
        <w:numPr>
          <w:ilvl w:val="1"/>
          <w:numId w:val="3"/>
        </w:numPr>
        <w:rPr>
          <w:rStyle w:val="CommentReference"/>
          <w:rFonts w:ascii="Calibri" w:hAnsi="Calibri"/>
          <w:b w:val="0"/>
          <w:sz w:val="24"/>
          <w:szCs w:val="22"/>
        </w:rPr>
      </w:pPr>
      <w:r w:rsidRPr="0022357A">
        <w:t xml:space="preserve">The naïve comparison presented in the submission did not allow for a quantitative comparison of the benefits and harms of brentuximab vedotin and </w:t>
      </w:r>
      <w:r w:rsidR="00540408" w:rsidRPr="0022357A">
        <w:t>vorinostat</w:t>
      </w:r>
      <w:r w:rsidRPr="0022357A">
        <w:t xml:space="preserve">. Accordingly, a benefits/harms table has not been presented. </w:t>
      </w:r>
      <w:r w:rsidR="005B41EC" w:rsidRPr="00C35104">
        <w:t xml:space="preserve">The </w:t>
      </w:r>
      <w:r w:rsidR="002229A6">
        <w:t>PBAC</w:t>
      </w:r>
      <w:r w:rsidR="00EA32D4" w:rsidRPr="00C35104">
        <w:t xml:space="preserve"> considered that </w:t>
      </w:r>
      <w:r w:rsidR="005B41EC" w:rsidRPr="00C35104">
        <w:t xml:space="preserve">brentuximab vedotin </w:t>
      </w:r>
      <w:r w:rsidR="00530925">
        <w:t>may provide greater benefits than</w:t>
      </w:r>
      <w:r w:rsidR="005B41EC" w:rsidRPr="00C35104">
        <w:t xml:space="preserve"> vorinostat in some </w:t>
      </w:r>
      <w:r w:rsidR="00EA32D4" w:rsidRPr="00C35104">
        <w:t xml:space="preserve">CTCL </w:t>
      </w:r>
      <w:r w:rsidR="005B41EC" w:rsidRPr="00C35104">
        <w:t>sub</w:t>
      </w:r>
      <w:r w:rsidR="00EA32D4" w:rsidRPr="00C35104">
        <w:t>types</w:t>
      </w:r>
      <w:r w:rsidR="005B41EC" w:rsidRPr="00C35104">
        <w:t xml:space="preserve"> </w:t>
      </w:r>
      <w:r w:rsidR="00530925">
        <w:t xml:space="preserve">and </w:t>
      </w:r>
      <w:r w:rsidR="005B41EC" w:rsidRPr="00C35104">
        <w:t xml:space="preserve">with </w:t>
      </w:r>
      <w:r w:rsidR="004D33A0">
        <w:t>a</w:t>
      </w:r>
      <w:r w:rsidR="005B41EC" w:rsidRPr="00C35104">
        <w:t xml:space="preserve"> different </w:t>
      </w:r>
      <w:r w:rsidR="004D33A0">
        <w:t>toxicity</w:t>
      </w:r>
      <w:r w:rsidR="005B41EC" w:rsidRPr="00C35104">
        <w:t xml:space="preserve"> profile</w:t>
      </w:r>
      <w:r w:rsidR="00530925">
        <w:t>. However, overall,</w:t>
      </w:r>
      <w:r w:rsidR="00530925" w:rsidRPr="00C35104">
        <w:t xml:space="preserve"> </w:t>
      </w:r>
      <w:r w:rsidR="00711C2D">
        <w:t xml:space="preserve">the PBAC considered </w:t>
      </w:r>
      <w:r w:rsidR="009208CB" w:rsidRPr="00C35104">
        <w:rPr>
          <w:szCs w:val="24"/>
        </w:rPr>
        <w:t xml:space="preserve">it is </w:t>
      </w:r>
      <w:r w:rsidR="00A16DAA" w:rsidRPr="00C35104">
        <w:rPr>
          <w:szCs w:val="24"/>
        </w:rPr>
        <w:t xml:space="preserve">uncertain that </w:t>
      </w:r>
      <w:r w:rsidR="008F1E0D" w:rsidRPr="00B36499">
        <w:rPr>
          <w:szCs w:val="24"/>
        </w:rPr>
        <w:t>brentuximab vedotin</w:t>
      </w:r>
      <w:r w:rsidR="008F1E0D" w:rsidRPr="00C35104">
        <w:rPr>
          <w:szCs w:val="24"/>
        </w:rPr>
        <w:t xml:space="preserve"> </w:t>
      </w:r>
      <w:r w:rsidR="00A16DAA" w:rsidRPr="00C35104">
        <w:rPr>
          <w:szCs w:val="24"/>
        </w:rPr>
        <w:t xml:space="preserve">has superior efficacy compared with </w:t>
      </w:r>
      <w:r w:rsidR="008F1E0D" w:rsidRPr="00B36499">
        <w:rPr>
          <w:szCs w:val="24"/>
        </w:rPr>
        <w:t>vorinostat</w:t>
      </w:r>
      <w:r w:rsidR="005B41EC" w:rsidRPr="00C35104">
        <w:t xml:space="preserve">. </w:t>
      </w:r>
      <w:r w:rsidR="00CA072B" w:rsidRPr="00C35104">
        <w:t xml:space="preserve">The </w:t>
      </w:r>
      <w:r w:rsidR="002229A6">
        <w:t>PBAC</w:t>
      </w:r>
      <w:r w:rsidR="00CA072B" w:rsidRPr="00C35104">
        <w:t xml:space="preserve"> considered that benefit/harm considerations would differ depending on the CTCL subtype and that treatment with brentuximab vedotin may not be in the patient’s best interest in the more benign subtypes (LyP and pcALCL). </w:t>
      </w:r>
      <w:r w:rsidRPr="00C35104">
        <w:t xml:space="preserve">A summary of the comparative benefits and harms for brentuximab vedotin versus methotrexate is presented in the table below. </w:t>
      </w:r>
      <w:r w:rsidR="00CA072B" w:rsidRPr="00C35104">
        <w:t xml:space="preserve">The </w:t>
      </w:r>
      <w:r w:rsidR="002229A6">
        <w:t>PBAC considered</w:t>
      </w:r>
      <w:r w:rsidR="00CA072B" w:rsidRPr="00C35104">
        <w:t xml:space="preserve"> that the m</w:t>
      </w:r>
      <w:r w:rsidR="00A16DAA" w:rsidRPr="00C35104">
        <w:t>ajority of evidence for the</w:t>
      </w:r>
      <w:r w:rsidR="00CA072B" w:rsidRPr="00C35104">
        <w:t xml:space="preserve"> benefits and harms </w:t>
      </w:r>
      <w:r w:rsidR="00A16DAA" w:rsidRPr="00C35104">
        <w:t>shown in Table 1</w:t>
      </w:r>
      <w:r w:rsidR="0028063E" w:rsidRPr="00C35104">
        <w:t>1</w:t>
      </w:r>
      <w:r w:rsidR="00A16DAA" w:rsidRPr="00C35104">
        <w:t xml:space="preserve"> </w:t>
      </w:r>
      <w:r w:rsidR="00CA072B" w:rsidRPr="00C35104">
        <w:t>are in the MF subtype</w:t>
      </w:r>
      <w:r w:rsidR="00A16DAA" w:rsidRPr="00C35104">
        <w:t xml:space="preserve"> as </w:t>
      </w:r>
      <w:r w:rsidR="009208CB" w:rsidRPr="00C35104">
        <w:t>the majority of patients in the ALCANZA trial had MF</w:t>
      </w:r>
      <w:r w:rsidR="00CA072B" w:rsidRPr="00C35104">
        <w:t>.</w:t>
      </w:r>
    </w:p>
    <w:p w:rsidR="001404D0" w:rsidRPr="0022357A" w:rsidRDefault="001404D0" w:rsidP="001404D0">
      <w:pPr>
        <w:rPr>
          <w:rStyle w:val="CommentReference"/>
        </w:rPr>
      </w:pPr>
      <w:r w:rsidRPr="0022357A">
        <w:rPr>
          <w:rStyle w:val="CommentReference"/>
        </w:rPr>
        <w:t xml:space="preserve">Table </w:t>
      </w:r>
      <w:r w:rsidR="0046414B" w:rsidRPr="0022357A">
        <w:rPr>
          <w:rStyle w:val="CommentReference"/>
        </w:rPr>
        <w:t>1</w:t>
      </w:r>
      <w:r w:rsidR="0028063E">
        <w:rPr>
          <w:rStyle w:val="CommentReference"/>
        </w:rPr>
        <w:t>1</w:t>
      </w:r>
      <w:r w:rsidRPr="0022357A">
        <w:rPr>
          <w:rStyle w:val="CommentReference"/>
        </w:rPr>
        <w:t xml:space="preserve">: Summary of comparative benefits and harms for brentuximab vedotin and methotrexate </w:t>
      </w:r>
    </w:p>
    <w:tbl>
      <w:tblPr>
        <w:tblW w:w="5000" w:type="pct"/>
        <w:tblCellMar>
          <w:left w:w="28" w:type="dxa"/>
          <w:right w:w="28" w:type="dxa"/>
        </w:tblCellMar>
        <w:tblLook w:val="04A0" w:firstRow="1" w:lastRow="0" w:firstColumn="1" w:lastColumn="0" w:noHBand="0" w:noVBand="1"/>
      </w:tblPr>
      <w:tblGrid>
        <w:gridCol w:w="1151"/>
        <w:gridCol w:w="9"/>
        <w:gridCol w:w="8"/>
        <w:gridCol w:w="694"/>
        <w:gridCol w:w="443"/>
        <w:gridCol w:w="7"/>
        <w:gridCol w:w="1032"/>
        <w:gridCol w:w="254"/>
        <w:gridCol w:w="1384"/>
        <w:gridCol w:w="180"/>
        <w:gridCol w:w="1141"/>
        <w:gridCol w:w="91"/>
        <w:gridCol w:w="349"/>
        <w:gridCol w:w="788"/>
        <w:gridCol w:w="144"/>
        <w:gridCol w:w="1408"/>
      </w:tblGrid>
      <w:tr w:rsidR="001404D0" w:rsidRPr="0022357A" w:rsidTr="009265E9">
        <w:trPr>
          <w:trHeight w:val="150"/>
        </w:trPr>
        <w:tc>
          <w:tcPr>
            <w:tcW w:w="6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04D0" w:rsidRPr="0022357A" w:rsidRDefault="001404D0" w:rsidP="00022DCB">
            <w:pPr>
              <w:rPr>
                <w:rFonts w:ascii="Arial Narrow" w:hAnsi="Arial Narrow"/>
                <w:b/>
                <w:color w:val="000000"/>
                <w:sz w:val="20"/>
                <w:szCs w:val="18"/>
              </w:rPr>
            </w:pPr>
            <w:r w:rsidRPr="0022357A">
              <w:rPr>
                <w:rFonts w:ascii="Arial Narrow" w:hAnsi="Arial Narrow"/>
                <w:b/>
                <w:color w:val="000000"/>
                <w:sz w:val="20"/>
                <w:szCs w:val="18"/>
              </w:rPr>
              <w:t>Trial</w:t>
            </w:r>
          </w:p>
        </w:tc>
        <w:tc>
          <w:tcPr>
            <w:tcW w:w="635" w:type="pct"/>
            <w:gridSpan w:val="4"/>
            <w:vMerge w:val="restart"/>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 xml:space="preserve">Brentuximab </w:t>
            </w:r>
          </w:p>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n/N</w:t>
            </w:r>
          </w:p>
        </w:tc>
        <w:tc>
          <w:tcPr>
            <w:tcW w:w="712" w:type="pct"/>
            <w:gridSpan w:val="3"/>
            <w:vMerge w:val="restart"/>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 xml:space="preserve">Methotrexate </w:t>
            </w:r>
          </w:p>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n/N</w:t>
            </w:r>
          </w:p>
        </w:tc>
        <w:tc>
          <w:tcPr>
            <w:tcW w:w="861" w:type="pct"/>
            <w:gridSpan w:val="2"/>
            <w:vMerge w:val="restart"/>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RR</w:t>
            </w:r>
          </w:p>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(95% CI)</w:t>
            </w:r>
          </w:p>
        </w:tc>
        <w:tc>
          <w:tcPr>
            <w:tcW w:w="1304" w:type="pct"/>
            <w:gridSpan w:val="4"/>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 xml:space="preserve">Event rate/100 patients* </w:t>
            </w:r>
          </w:p>
        </w:tc>
        <w:tc>
          <w:tcPr>
            <w:tcW w:w="854" w:type="pct"/>
            <w:gridSpan w:val="2"/>
            <w:vMerge w:val="restart"/>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RD</w:t>
            </w:r>
          </w:p>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(95% CI)</w:t>
            </w:r>
          </w:p>
        </w:tc>
      </w:tr>
      <w:tr w:rsidR="001404D0" w:rsidRPr="0022357A" w:rsidTr="009265E9">
        <w:trPr>
          <w:trHeight w:val="315"/>
        </w:trPr>
        <w:tc>
          <w:tcPr>
            <w:tcW w:w="6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1404D0" w:rsidRPr="0022357A" w:rsidRDefault="001404D0" w:rsidP="00022DCB">
            <w:pPr>
              <w:rPr>
                <w:rFonts w:ascii="Arial Narrow" w:hAnsi="Arial Narrow"/>
                <w:b/>
                <w:color w:val="000000"/>
                <w:sz w:val="20"/>
                <w:szCs w:val="18"/>
              </w:rPr>
            </w:pPr>
          </w:p>
        </w:tc>
        <w:tc>
          <w:tcPr>
            <w:tcW w:w="635" w:type="pct"/>
            <w:gridSpan w:val="4"/>
            <w:vMerge/>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p>
        </w:tc>
        <w:tc>
          <w:tcPr>
            <w:tcW w:w="712" w:type="pct"/>
            <w:gridSpan w:val="3"/>
            <w:vMerge/>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p>
        </w:tc>
        <w:tc>
          <w:tcPr>
            <w:tcW w:w="861" w:type="pct"/>
            <w:gridSpan w:val="2"/>
            <w:vMerge/>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p>
        </w:tc>
        <w:tc>
          <w:tcPr>
            <w:tcW w:w="678" w:type="pct"/>
            <w:gridSpan w:val="2"/>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 xml:space="preserve">Brentuximab </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 xml:space="preserve">Methotrexate </w:t>
            </w:r>
          </w:p>
        </w:tc>
        <w:tc>
          <w:tcPr>
            <w:tcW w:w="854" w:type="pct"/>
            <w:gridSpan w:val="2"/>
            <w:vMerge/>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p>
        </w:tc>
      </w:tr>
      <w:tr w:rsidR="001404D0" w:rsidRPr="0022357A" w:rsidTr="00A91A99">
        <w:tc>
          <w:tcPr>
            <w:tcW w:w="5000" w:type="pct"/>
            <w:gridSpan w:val="16"/>
            <w:tcBorders>
              <w:top w:val="single" w:sz="4" w:space="0" w:color="auto"/>
              <w:left w:val="single" w:sz="4" w:space="0" w:color="auto"/>
              <w:bottom w:val="double" w:sz="4" w:space="0" w:color="auto"/>
              <w:right w:val="single" w:sz="4" w:space="0" w:color="auto"/>
            </w:tcBorders>
            <w:shd w:val="clear" w:color="auto" w:fill="auto"/>
            <w:vAlign w:val="center"/>
          </w:tcPr>
          <w:p w:rsidR="001404D0" w:rsidRPr="0022357A" w:rsidRDefault="001404D0" w:rsidP="00022DCB">
            <w:pPr>
              <w:rPr>
                <w:rFonts w:ascii="Arial Narrow" w:hAnsi="Arial Narrow"/>
                <w:b/>
                <w:color w:val="000000"/>
                <w:sz w:val="20"/>
                <w:szCs w:val="18"/>
              </w:rPr>
            </w:pPr>
            <w:r w:rsidRPr="0022357A">
              <w:rPr>
                <w:rFonts w:ascii="Arial Narrow" w:hAnsi="Arial Narrow"/>
                <w:b/>
                <w:color w:val="000000"/>
                <w:sz w:val="20"/>
                <w:szCs w:val="18"/>
              </w:rPr>
              <w:t>Benefits</w:t>
            </w:r>
          </w:p>
        </w:tc>
      </w:tr>
      <w:tr w:rsidR="001404D0" w:rsidRPr="0022357A" w:rsidTr="00A91A99">
        <w:tc>
          <w:tcPr>
            <w:tcW w:w="5000" w:type="pct"/>
            <w:gridSpan w:val="16"/>
            <w:tcBorders>
              <w:top w:val="double" w:sz="4" w:space="0" w:color="auto"/>
              <w:left w:val="single" w:sz="4" w:space="0" w:color="auto"/>
              <w:bottom w:val="single" w:sz="4" w:space="0" w:color="auto"/>
              <w:right w:val="single" w:sz="4" w:space="0" w:color="auto"/>
            </w:tcBorders>
            <w:shd w:val="clear" w:color="auto" w:fill="auto"/>
            <w:vAlign w:val="center"/>
          </w:tcPr>
          <w:p w:rsidR="001404D0" w:rsidRPr="0022357A" w:rsidRDefault="001404D0" w:rsidP="00022DCB">
            <w:pPr>
              <w:rPr>
                <w:rFonts w:ascii="Arial Narrow" w:hAnsi="Arial Narrow"/>
                <w:b/>
                <w:color w:val="000000"/>
                <w:sz w:val="20"/>
                <w:szCs w:val="18"/>
              </w:rPr>
            </w:pPr>
            <w:r w:rsidRPr="0022357A">
              <w:rPr>
                <w:rFonts w:ascii="Arial Narrow" w:hAnsi="Arial Narrow"/>
                <w:b/>
                <w:color w:val="000000"/>
                <w:sz w:val="20"/>
                <w:szCs w:val="18"/>
              </w:rPr>
              <w:t>Objective response (IRF)</w:t>
            </w:r>
          </w:p>
        </w:tc>
      </w:tr>
      <w:tr w:rsidR="009265E9" w:rsidRPr="0022357A" w:rsidTr="009265E9">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9265E9" w:rsidRPr="0022357A" w:rsidRDefault="009265E9" w:rsidP="00022DCB">
            <w:pPr>
              <w:rPr>
                <w:rFonts w:ascii="Arial Narrow" w:hAnsi="Arial Narrow"/>
                <w:color w:val="000000"/>
                <w:sz w:val="20"/>
                <w:szCs w:val="18"/>
              </w:rPr>
            </w:pPr>
            <w:r w:rsidRPr="0022357A">
              <w:rPr>
                <w:rFonts w:ascii="Arial Narrow" w:hAnsi="Arial Narrow"/>
                <w:color w:val="000000"/>
                <w:sz w:val="20"/>
                <w:szCs w:val="18"/>
              </w:rPr>
              <w:t xml:space="preserve">ALCANZA </w:t>
            </w:r>
          </w:p>
        </w:tc>
        <w:tc>
          <w:tcPr>
            <w:tcW w:w="635" w:type="pct"/>
            <w:gridSpan w:val="4"/>
            <w:tcBorders>
              <w:top w:val="single" w:sz="4" w:space="0" w:color="auto"/>
              <w:left w:val="single" w:sz="4" w:space="0" w:color="auto"/>
              <w:bottom w:val="single" w:sz="4" w:space="0" w:color="auto"/>
              <w:right w:val="single" w:sz="4" w:space="0" w:color="auto"/>
            </w:tcBorders>
            <w:vAlign w:val="center"/>
          </w:tcPr>
          <w:p w:rsidR="009265E9" w:rsidRPr="0022357A" w:rsidRDefault="009265E9" w:rsidP="00022DCB">
            <w:pPr>
              <w:jc w:val="center"/>
              <w:rPr>
                <w:rFonts w:ascii="Arial Narrow" w:hAnsi="Arial Narrow"/>
                <w:color w:val="000000"/>
                <w:sz w:val="20"/>
                <w:szCs w:val="18"/>
              </w:rPr>
            </w:pPr>
            <w:r w:rsidRPr="0022357A">
              <w:rPr>
                <w:rFonts w:ascii="Arial Narrow" w:hAnsi="Arial Narrow"/>
                <w:color w:val="000000"/>
                <w:sz w:val="20"/>
                <w:szCs w:val="18"/>
              </w:rPr>
              <w:t>43/64</w:t>
            </w:r>
          </w:p>
        </w:tc>
        <w:tc>
          <w:tcPr>
            <w:tcW w:w="712" w:type="pct"/>
            <w:gridSpan w:val="3"/>
            <w:tcBorders>
              <w:top w:val="single" w:sz="4" w:space="0" w:color="auto"/>
              <w:left w:val="single" w:sz="4" w:space="0" w:color="auto"/>
              <w:bottom w:val="single" w:sz="4" w:space="0" w:color="auto"/>
              <w:right w:val="single" w:sz="4" w:space="0" w:color="auto"/>
            </w:tcBorders>
            <w:vAlign w:val="center"/>
          </w:tcPr>
          <w:p w:rsidR="009265E9" w:rsidRPr="009265E9" w:rsidRDefault="00F72571" w:rsidP="00022DCB">
            <w:pPr>
              <w:jc w:val="center"/>
              <w:rPr>
                <w:rFonts w:ascii="Arial Narrow" w:hAnsi="Arial Narrow"/>
                <w:color w:val="000000"/>
                <w:sz w:val="20"/>
                <w:szCs w:val="18"/>
              </w:rPr>
            </w:pPr>
            <w:r>
              <w:rPr>
                <w:rFonts w:ascii="Arial Narrow" w:hAnsi="Arial Narrow"/>
                <w:noProof/>
                <w:color w:val="000000"/>
                <w:sz w:val="20"/>
                <w:szCs w:val="18"/>
                <w:highlight w:val="black"/>
              </w:rPr>
              <w:t>'''</w:t>
            </w:r>
            <w:r w:rsidR="009265E9" w:rsidRPr="009265E9">
              <w:rPr>
                <w:rFonts w:ascii="Arial Narrow" w:hAnsi="Arial Narrow"/>
                <w:color w:val="000000"/>
                <w:sz w:val="20"/>
                <w:szCs w:val="18"/>
              </w:rPr>
              <w:t>/</w:t>
            </w:r>
            <w:r>
              <w:rPr>
                <w:rFonts w:ascii="Arial Narrow" w:hAnsi="Arial Narrow"/>
                <w:noProof/>
                <w:color w:val="000000"/>
                <w:sz w:val="20"/>
                <w:szCs w:val="18"/>
                <w:highlight w:val="black"/>
              </w:rPr>
              <w:t>'''''</w:t>
            </w:r>
          </w:p>
        </w:tc>
        <w:tc>
          <w:tcPr>
            <w:tcW w:w="861" w:type="pct"/>
            <w:gridSpan w:val="2"/>
            <w:tcBorders>
              <w:top w:val="single" w:sz="4" w:space="0" w:color="auto"/>
              <w:left w:val="single" w:sz="4" w:space="0" w:color="auto"/>
              <w:bottom w:val="single" w:sz="4" w:space="0" w:color="auto"/>
              <w:right w:val="single" w:sz="4" w:space="0" w:color="auto"/>
            </w:tcBorders>
            <w:vAlign w:val="center"/>
          </w:tcPr>
          <w:p w:rsidR="009265E9" w:rsidRPr="009265E9" w:rsidRDefault="00F72571" w:rsidP="00022DCB">
            <w:pPr>
              <w:jc w:val="center"/>
              <w:rPr>
                <w:rFonts w:ascii="Arial Narrow" w:hAnsi="Arial Narrow"/>
                <w:color w:val="000000"/>
                <w:sz w:val="20"/>
                <w:szCs w:val="18"/>
              </w:rPr>
            </w:pPr>
            <w:r>
              <w:rPr>
                <w:rFonts w:ascii="Arial Narrow" w:hAnsi="Arial Narrow"/>
                <w:noProof/>
                <w:color w:val="000000"/>
                <w:sz w:val="20"/>
                <w:szCs w:val="18"/>
                <w:highlight w:val="black"/>
              </w:rPr>
              <w:t>''''''''''</w:t>
            </w:r>
            <w:r w:rsidR="009265E9" w:rsidRPr="009265E9">
              <w:rPr>
                <w:rFonts w:ascii="Arial Narrow" w:hAnsi="Arial Narrow"/>
                <w:color w:val="000000"/>
                <w:sz w:val="20"/>
                <w:szCs w:val="18"/>
              </w:rPr>
              <w:t xml:space="preserve"> (</w:t>
            </w:r>
            <w:r>
              <w:rPr>
                <w:rFonts w:ascii="Arial Narrow" w:hAnsi="Arial Narrow"/>
                <w:noProof/>
                <w:color w:val="000000"/>
                <w:sz w:val="20"/>
                <w:szCs w:val="18"/>
                <w:highlight w:val="black"/>
              </w:rPr>
              <w:t>''''''''''</w:t>
            </w:r>
            <w:r w:rsidR="009265E9" w:rsidRPr="009265E9">
              <w:rPr>
                <w:rFonts w:ascii="Arial Narrow" w:hAnsi="Arial Narrow"/>
                <w:color w:val="000000"/>
                <w:sz w:val="20"/>
                <w:szCs w:val="18"/>
              </w:rPr>
              <w:t xml:space="preserve">, </w:t>
            </w:r>
            <w:r>
              <w:rPr>
                <w:rFonts w:ascii="Arial Narrow" w:hAnsi="Arial Narrow"/>
                <w:noProof/>
                <w:color w:val="000000"/>
                <w:sz w:val="20"/>
                <w:szCs w:val="18"/>
                <w:highlight w:val="black"/>
              </w:rPr>
              <w:t>''''''''''''''</w:t>
            </w:r>
            <w:r w:rsidR="009265E9" w:rsidRPr="009265E9">
              <w:rPr>
                <w:rFonts w:ascii="Arial Narrow" w:hAnsi="Arial Narrow"/>
                <w:color w:val="000000"/>
                <w:sz w:val="20"/>
                <w:szCs w:val="18"/>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9265E9" w:rsidRPr="00F72571" w:rsidRDefault="00F72571" w:rsidP="00022DCB">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9265E9" w:rsidRPr="00F72571" w:rsidRDefault="00F72571" w:rsidP="00022DCB">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4" w:type="pct"/>
            <w:gridSpan w:val="2"/>
            <w:tcBorders>
              <w:top w:val="single" w:sz="4" w:space="0" w:color="auto"/>
              <w:left w:val="single" w:sz="4" w:space="0" w:color="auto"/>
              <w:bottom w:val="single" w:sz="4" w:space="0" w:color="auto"/>
              <w:right w:val="single" w:sz="4" w:space="0" w:color="auto"/>
            </w:tcBorders>
            <w:vAlign w:val="center"/>
          </w:tcPr>
          <w:p w:rsidR="009265E9" w:rsidRPr="009265E9" w:rsidRDefault="00F72571" w:rsidP="00022DCB">
            <w:pPr>
              <w:jc w:val="center"/>
              <w:rPr>
                <w:rFonts w:ascii="Arial Narrow" w:hAnsi="Arial Narrow"/>
                <w:color w:val="000000"/>
                <w:sz w:val="20"/>
                <w:szCs w:val="18"/>
              </w:rPr>
            </w:pPr>
            <w:r>
              <w:rPr>
                <w:rFonts w:ascii="Arial Narrow" w:hAnsi="Arial Narrow"/>
                <w:noProof/>
                <w:color w:val="000000"/>
                <w:sz w:val="20"/>
                <w:szCs w:val="18"/>
                <w:highlight w:val="black"/>
              </w:rPr>
              <w:t>'''''''''''</w:t>
            </w:r>
            <w:r w:rsidR="009265E9" w:rsidRPr="009265E9">
              <w:rPr>
                <w:rFonts w:ascii="Arial Narrow" w:hAnsi="Arial Narrow"/>
                <w:color w:val="000000"/>
                <w:sz w:val="20"/>
                <w:szCs w:val="18"/>
              </w:rPr>
              <w:t xml:space="preserve"> (</w:t>
            </w:r>
            <w:r>
              <w:rPr>
                <w:rFonts w:ascii="Arial Narrow" w:hAnsi="Arial Narrow"/>
                <w:noProof/>
                <w:color w:val="000000"/>
                <w:sz w:val="20"/>
                <w:szCs w:val="18"/>
                <w:highlight w:val="black"/>
              </w:rPr>
              <w:t>''''''''''''</w:t>
            </w:r>
            <w:r w:rsidR="009265E9" w:rsidRPr="009265E9">
              <w:rPr>
                <w:rFonts w:ascii="Arial Narrow" w:hAnsi="Arial Narrow"/>
                <w:color w:val="000000"/>
                <w:sz w:val="20"/>
                <w:szCs w:val="18"/>
              </w:rPr>
              <w:t xml:space="preserve">, </w:t>
            </w:r>
            <w:r>
              <w:rPr>
                <w:rFonts w:ascii="Arial Narrow" w:hAnsi="Arial Narrow"/>
                <w:noProof/>
                <w:color w:val="000000"/>
                <w:sz w:val="20"/>
                <w:szCs w:val="18"/>
                <w:highlight w:val="black"/>
              </w:rPr>
              <w:t>'''''''''''</w:t>
            </w:r>
            <w:r w:rsidR="009265E9" w:rsidRPr="009265E9">
              <w:rPr>
                <w:rFonts w:ascii="Arial Narrow" w:hAnsi="Arial Narrow"/>
                <w:color w:val="000000"/>
                <w:sz w:val="20"/>
                <w:szCs w:val="18"/>
              </w:rPr>
              <w:t>)</w:t>
            </w:r>
          </w:p>
        </w:tc>
      </w:tr>
      <w:tr w:rsidR="001404D0" w:rsidRPr="0022357A" w:rsidTr="00A91A99">
        <w:tc>
          <w:tcPr>
            <w:tcW w:w="5000" w:type="pct"/>
            <w:gridSpan w:val="16"/>
            <w:tcBorders>
              <w:top w:val="double" w:sz="4" w:space="0" w:color="auto"/>
              <w:left w:val="single" w:sz="4" w:space="0" w:color="auto"/>
              <w:bottom w:val="single" w:sz="4" w:space="0" w:color="auto"/>
              <w:right w:val="single" w:sz="4" w:space="0" w:color="auto"/>
            </w:tcBorders>
            <w:shd w:val="clear" w:color="auto" w:fill="auto"/>
            <w:vAlign w:val="center"/>
          </w:tcPr>
          <w:p w:rsidR="001404D0" w:rsidRPr="0022357A" w:rsidRDefault="001404D0" w:rsidP="00022DCB">
            <w:pPr>
              <w:rPr>
                <w:rFonts w:ascii="Arial Narrow" w:hAnsi="Arial Narrow"/>
                <w:b/>
                <w:color w:val="000000"/>
                <w:sz w:val="20"/>
                <w:szCs w:val="18"/>
              </w:rPr>
            </w:pPr>
            <w:r w:rsidRPr="0022357A">
              <w:rPr>
                <w:rFonts w:ascii="Arial Narrow" w:hAnsi="Arial Narrow"/>
                <w:b/>
                <w:color w:val="000000"/>
                <w:sz w:val="20"/>
                <w:szCs w:val="18"/>
              </w:rPr>
              <w:t>PFS: ALCANZA trial</w:t>
            </w:r>
          </w:p>
        </w:tc>
      </w:tr>
      <w:tr w:rsidR="001404D0" w:rsidRPr="0022357A" w:rsidTr="00A91A99">
        <w:tc>
          <w:tcPr>
            <w:tcW w:w="10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04D0" w:rsidRPr="0022357A" w:rsidRDefault="001404D0" w:rsidP="00022DCB">
            <w:pPr>
              <w:jc w:val="center"/>
              <w:rPr>
                <w:rFonts w:ascii="Arial Narrow" w:hAnsi="Arial Narrow"/>
                <w:color w:val="000000"/>
                <w:sz w:val="20"/>
                <w:szCs w:val="18"/>
              </w:rPr>
            </w:pPr>
          </w:p>
        </w:tc>
        <w:tc>
          <w:tcPr>
            <w:tcW w:w="816" w:type="pct"/>
            <w:gridSpan w:val="3"/>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 xml:space="preserve">Brentuximab </w:t>
            </w:r>
          </w:p>
        </w:tc>
        <w:tc>
          <w:tcPr>
            <w:tcW w:w="902" w:type="pct"/>
            <w:gridSpan w:val="2"/>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 xml:space="preserve">Methotrexate </w:t>
            </w:r>
          </w:p>
        </w:tc>
        <w:tc>
          <w:tcPr>
            <w:tcW w:w="969" w:type="pct"/>
            <w:gridSpan w:val="4"/>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Absolute difference</w:t>
            </w:r>
          </w:p>
        </w:tc>
        <w:tc>
          <w:tcPr>
            <w:tcW w:w="1288" w:type="pct"/>
            <w:gridSpan w:val="3"/>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HR (95% CI)</w:t>
            </w:r>
          </w:p>
        </w:tc>
      </w:tr>
      <w:tr w:rsidR="001404D0" w:rsidRPr="0022357A" w:rsidTr="00A91A99">
        <w:tc>
          <w:tcPr>
            <w:tcW w:w="10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04D0" w:rsidRPr="0022357A" w:rsidRDefault="001404D0" w:rsidP="00022DCB">
            <w:pPr>
              <w:rPr>
                <w:rFonts w:ascii="Arial Narrow" w:hAnsi="Arial Narrow"/>
                <w:color w:val="000000"/>
                <w:sz w:val="20"/>
                <w:szCs w:val="18"/>
              </w:rPr>
            </w:pPr>
            <w:r w:rsidRPr="0022357A">
              <w:rPr>
                <w:rFonts w:ascii="Arial Narrow" w:hAnsi="Arial Narrow"/>
                <w:color w:val="000000"/>
                <w:sz w:val="20"/>
                <w:szCs w:val="18"/>
              </w:rPr>
              <w:t xml:space="preserve">Progressed/Died* </w:t>
            </w:r>
            <w:r w:rsidRPr="0022357A">
              <w:rPr>
                <w:rFonts w:ascii="Arial Narrow" w:hAnsi="Arial Narrow"/>
                <w:color w:val="000000"/>
                <w:sz w:val="20"/>
                <w:szCs w:val="18"/>
              </w:rPr>
              <w:br/>
              <w:t>n/N (%)</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sz w:val="20"/>
              </w:rPr>
            </w:pPr>
            <w:r w:rsidRPr="0022357A">
              <w:rPr>
                <w:rFonts w:ascii="Arial Narrow" w:hAnsi="Arial Narrow"/>
                <w:sz w:val="20"/>
              </w:rPr>
              <w:t>40/64 (63%)</w:t>
            </w:r>
          </w:p>
        </w:tc>
        <w:tc>
          <w:tcPr>
            <w:tcW w:w="902" w:type="pct"/>
            <w:gridSpan w:val="2"/>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sz w:val="20"/>
              </w:rPr>
            </w:pPr>
            <w:r w:rsidRPr="0022357A">
              <w:rPr>
                <w:rFonts w:ascii="Arial Narrow" w:hAnsi="Arial Narrow"/>
                <w:sz w:val="20"/>
              </w:rPr>
              <w:t>22/26 (85%)</w:t>
            </w:r>
          </w:p>
        </w:tc>
        <w:tc>
          <w:tcPr>
            <w:tcW w:w="969" w:type="pct"/>
            <w:gridSpan w:val="4"/>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color w:val="000000"/>
                <w:sz w:val="20"/>
                <w:szCs w:val="18"/>
              </w:rPr>
            </w:pPr>
            <w:r w:rsidRPr="0022357A">
              <w:rPr>
                <w:rFonts w:ascii="Arial Narrow" w:hAnsi="Arial Narrow"/>
                <w:color w:val="000000"/>
                <w:sz w:val="20"/>
                <w:szCs w:val="18"/>
              </w:rPr>
              <w:t>-22%</w:t>
            </w:r>
          </w:p>
        </w:tc>
        <w:tc>
          <w:tcPr>
            <w:tcW w:w="1288" w:type="pct"/>
            <w:gridSpan w:val="3"/>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sz w:val="20"/>
              </w:rPr>
            </w:pPr>
            <w:r w:rsidRPr="0022357A">
              <w:rPr>
                <w:rFonts w:ascii="Arial Narrow" w:hAnsi="Arial Narrow"/>
                <w:sz w:val="20"/>
              </w:rPr>
              <w:t>0.17 (0.09, 0.31)</w:t>
            </w:r>
          </w:p>
        </w:tc>
      </w:tr>
      <w:tr w:rsidR="001404D0" w:rsidRPr="0022357A" w:rsidTr="00A91A99">
        <w:tc>
          <w:tcPr>
            <w:tcW w:w="1025" w:type="pct"/>
            <w:gridSpan w:val="4"/>
            <w:tcBorders>
              <w:top w:val="single" w:sz="4" w:space="0" w:color="auto"/>
              <w:left w:val="single" w:sz="4" w:space="0" w:color="auto"/>
              <w:bottom w:val="double" w:sz="4" w:space="0" w:color="auto"/>
              <w:right w:val="single" w:sz="4" w:space="0" w:color="auto"/>
            </w:tcBorders>
            <w:shd w:val="clear" w:color="auto" w:fill="auto"/>
            <w:vAlign w:val="center"/>
          </w:tcPr>
          <w:p w:rsidR="001404D0" w:rsidRPr="0022357A" w:rsidRDefault="001404D0" w:rsidP="00022DCB">
            <w:pPr>
              <w:rPr>
                <w:rFonts w:ascii="Arial Narrow" w:hAnsi="Arial Narrow"/>
                <w:color w:val="000000"/>
                <w:sz w:val="20"/>
                <w:szCs w:val="18"/>
              </w:rPr>
            </w:pPr>
            <w:r w:rsidRPr="0022357A">
              <w:rPr>
                <w:rFonts w:ascii="Arial Narrow" w:hAnsi="Arial Narrow"/>
                <w:color w:val="000000"/>
                <w:sz w:val="20"/>
                <w:szCs w:val="18"/>
              </w:rPr>
              <w:t>Median (m</w:t>
            </w:r>
            <w:r w:rsidR="00E47185" w:rsidRPr="0022357A">
              <w:rPr>
                <w:rFonts w:ascii="Arial Narrow" w:hAnsi="Arial Narrow"/>
                <w:color w:val="000000"/>
                <w:sz w:val="20"/>
                <w:szCs w:val="18"/>
              </w:rPr>
              <w:t>on</w:t>
            </w:r>
            <w:r w:rsidRPr="0022357A">
              <w:rPr>
                <w:rFonts w:ascii="Arial Narrow" w:hAnsi="Arial Narrow"/>
                <w:color w:val="000000"/>
                <w:sz w:val="20"/>
                <w:szCs w:val="18"/>
              </w:rPr>
              <w:t>ths)</w:t>
            </w:r>
          </w:p>
        </w:tc>
        <w:tc>
          <w:tcPr>
            <w:tcW w:w="816" w:type="pct"/>
            <w:gridSpan w:val="3"/>
            <w:tcBorders>
              <w:top w:val="single" w:sz="4" w:space="0" w:color="auto"/>
              <w:left w:val="single" w:sz="4" w:space="0" w:color="auto"/>
              <w:bottom w:val="double" w:sz="4" w:space="0" w:color="auto"/>
              <w:right w:val="single" w:sz="4" w:space="0" w:color="auto"/>
            </w:tcBorders>
            <w:vAlign w:val="center"/>
          </w:tcPr>
          <w:p w:rsidR="001404D0" w:rsidRPr="0022357A" w:rsidRDefault="001404D0" w:rsidP="00022DCB">
            <w:pPr>
              <w:jc w:val="center"/>
              <w:rPr>
                <w:rFonts w:ascii="Arial Narrow" w:hAnsi="Arial Narrow"/>
                <w:sz w:val="20"/>
              </w:rPr>
            </w:pPr>
            <w:r w:rsidRPr="0022357A">
              <w:rPr>
                <w:rFonts w:ascii="Arial Narrow" w:hAnsi="Arial Narrow"/>
                <w:sz w:val="20"/>
              </w:rPr>
              <w:t>16.7 (14.9, 22.8)</w:t>
            </w:r>
          </w:p>
        </w:tc>
        <w:tc>
          <w:tcPr>
            <w:tcW w:w="902" w:type="pct"/>
            <w:gridSpan w:val="2"/>
            <w:tcBorders>
              <w:top w:val="single" w:sz="4" w:space="0" w:color="auto"/>
              <w:left w:val="single" w:sz="4" w:space="0" w:color="auto"/>
              <w:bottom w:val="double" w:sz="4" w:space="0" w:color="auto"/>
              <w:right w:val="single" w:sz="4" w:space="0" w:color="auto"/>
            </w:tcBorders>
            <w:vAlign w:val="center"/>
          </w:tcPr>
          <w:p w:rsidR="001404D0" w:rsidRPr="0022357A" w:rsidRDefault="001404D0" w:rsidP="00022DCB">
            <w:pPr>
              <w:jc w:val="center"/>
              <w:rPr>
                <w:rFonts w:ascii="Arial Narrow" w:hAnsi="Arial Narrow"/>
                <w:sz w:val="20"/>
              </w:rPr>
            </w:pPr>
            <w:r w:rsidRPr="0022357A">
              <w:rPr>
                <w:rFonts w:ascii="Arial Narrow" w:hAnsi="Arial Narrow"/>
                <w:sz w:val="20"/>
              </w:rPr>
              <w:t>2.3 (1.2, 3.5)</w:t>
            </w:r>
          </w:p>
        </w:tc>
        <w:tc>
          <w:tcPr>
            <w:tcW w:w="969" w:type="pct"/>
            <w:gridSpan w:val="4"/>
            <w:tcBorders>
              <w:top w:val="single" w:sz="4" w:space="0" w:color="auto"/>
              <w:left w:val="single" w:sz="4" w:space="0" w:color="auto"/>
              <w:bottom w:val="double" w:sz="4" w:space="0" w:color="auto"/>
              <w:right w:val="single" w:sz="4" w:space="0" w:color="auto"/>
            </w:tcBorders>
            <w:vAlign w:val="center"/>
          </w:tcPr>
          <w:p w:rsidR="001404D0" w:rsidRPr="0022357A" w:rsidRDefault="001404D0" w:rsidP="00022DCB">
            <w:pPr>
              <w:jc w:val="center"/>
              <w:rPr>
                <w:rFonts w:ascii="Arial Narrow" w:hAnsi="Arial Narrow"/>
                <w:color w:val="000000"/>
                <w:sz w:val="20"/>
                <w:szCs w:val="18"/>
              </w:rPr>
            </w:pPr>
            <w:r w:rsidRPr="0022357A">
              <w:rPr>
                <w:rFonts w:ascii="Arial Narrow" w:hAnsi="Arial Narrow"/>
                <w:color w:val="000000"/>
                <w:sz w:val="20"/>
                <w:szCs w:val="18"/>
              </w:rPr>
              <w:t>14.4 months</w:t>
            </w:r>
          </w:p>
        </w:tc>
        <w:tc>
          <w:tcPr>
            <w:tcW w:w="1288" w:type="pct"/>
            <w:gridSpan w:val="3"/>
            <w:tcBorders>
              <w:top w:val="single" w:sz="4" w:space="0" w:color="auto"/>
              <w:left w:val="single" w:sz="4" w:space="0" w:color="auto"/>
              <w:bottom w:val="double" w:sz="4" w:space="0" w:color="auto"/>
              <w:right w:val="single" w:sz="4" w:space="0" w:color="auto"/>
            </w:tcBorders>
            <w:vAlign w:val="center"/>
          </w:tcPr>
          <w:p w:rsidR="001404D0" w:rsidRPr="0022357A" w:rsidRDefault="001404D0" w:rsidP="00022DCB">
            <w:pPr>
              <w:jc w:val="center"/>
              <w:rPr>
                <w:rFonts w:ascii="Arial Narrow" w:hAnsi="Arial Narrow"/>
                <w:color w:val="000000"/>
                <w:sz w:val="20"/>
                <w:szCs w:val="18"/>
              </w:rPr>
            </w:pPr>
            <w:r w:rsidRPr="0022357A">
              <w:rPr>
                <w:rFonts w:ascii="Arial Narrow" w:hAnsi="Arial Narrow"/>
                <w:color w:val="000000"/>
                <w:sz w:val="20"/>
                <w:szCs w:val="18"/>
              </w:rPr>
              <w:t>-</w:t>
            </w:r>
          </w:p>
        </w:tc>
      </w:tr>
      <w:tr w:rsidR="001404D0" w:rsidRPr="0022357A" w:rsidTr="00A91A99">
        <w:tc>
          <w:tcPr>
            <w:tcW w:w="5000" w:type="pct"/>
            <w:gridSpan w:val="16"/>
            <w:tcBorders>
              <w:top w:val="double" w:sz="4" w:space="0" w:color="auto"/>
              <w:left w:val="single" w:sz="4" w:space="0" w:color="auto"/>
              <w:bottom w:val="single" w:sz="4" w:space="0" w:color="auto"/>
              <w:right w:val="single" w:sz="4" w:space="0" w:color="auto"/>
            </w:tcBorders>
            <w:shd w:val="clear" w:color="auto" w:fill="auto"/>
            <w:vAlign w:val="center"/>
          </w:tcPr>
          <w:p w:rsidR="001404D0" w:rsidRPr="0022357A" w:rsidRDefault="001404D0" w:rsidP="00022DCB">
            <w:pPr>
              <w:rPr>
                <w:rFonts w:ascii="Arial Narrow" w:hAnsi="Arial Narrow"/>
                <w:b/>
                <w:color w:val="000000"/>
                <w:sz w:val="20"/>
                <w:szCs w:val="18"/>
              </w:rPr>
            </w:pPr>
            <w:r w:rsidRPr="0022357A">
              <w:rPr>
                <w:rFonts w:ascii="Arial Narrow" w:hAnsi="Arial Narrow"/>
                <w:b/>
                <w:color w:val="000000"/>
                <w:sz w:val="20"/>
                <w:szCs w:val="18"/>
              </w:rPr>
              <w:t xml:space="preserve">Harms </w:t>
            </w:r>
          </w:p>
        </w:tc>
      </w:tr>
      <w:tr w:rsidR="001404D0" w:rsidRPr="0022357A" w:rsidTr="00A91A99">
        <w:trPr>
          <w:trHeight w:val="70"/>
        </w:trPr>
        <w:tc>
          <w:tcPr>
            <w:tcW w:w="63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04D0" w:rsidRPr="0022357A" w:rsidRDefault="001404D0" w:rsidP="00022DCB">
            <w:pPr>
              <w:rPr>
                <w:rFonts w:ascii="Arial Narrow" w:hAnsi="Arial Narrow"/>
                <w:b/>
                <w:color w:val="000000"/>
                <w:sz w:val="20"/>
                <w:szCs w:val="18"/>
              </w:rPr>
            </w:pPr>
          </w:p>
        </w:tc>
        <w:tc>
          <w:tcPr>
            <w:tcW w:w="630" w:type="pct"/>
            <w:gridSpan w:val="3"/>
            <w:vMerge w:val="restart"/>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 xml:space="preserve">Brentuximab </w:t>
            </w:r>
          </w:p>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n/N</w:t>
            </w:r>
          </w:p>
        </w:tc>
        <w:tc>
          <w:tcPr>
            <w:tcW w:w="712" w:type="pct"/>
            <w:gridSpan w:val="3"/>
            <w:vMerge w:val="restart"/>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 xml:space="preserve">Methotrexate </w:t>
            </w:r>
          </w:p>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n/N</w:t>
            </w:r>
          </w:p>
        </w:tc>
        <w:tc>
          <w:tcPr>
            <w:tcW w:w="861" w:type="pct"/>
            <w:gridSpan w:val="2"/>
            <w:vMerge w:val="restart"/>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RR</w:t>
            </w:r>
          </w:p>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(95% CI)</w:t>
            </w:r>
          </w:p>
        </w:tc>
        <w:tc>
          <w:tcPr>
            <w:tcW w:w="1383" w:type="pct"/>
            <w:gridSpan w:val="5"/>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 xml:space="preserve">Event rate/100 patients* </w:t>
            </w:r>
          </w:p>
        </w:tc>
        <w:tc>
          <w:tcPr>
            <w:tcW w:w="775" w:type="pct"/>
            <w:vMerge w:val="restart"/>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RD</w:t>
            </w:r>
          </w:p>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(95% CI)</w:t>
            </w:r>
          </w:p>
        </w:tc>
      </w:tr>
      <w:tr w:rsidR="001404D0" w:rsidRPr="0022357A" w:rsidTr="00A91A99">
        <w:trPr>
          <w:trHeight w:val="390"/>
        </w:trPr>
        <w:tc>
          <w:tcPr>
            <w:tcW w:w="63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04D0" w:rsidRPr="0022357A" w:rsidRDefault="001404D0" w:rsidP="00022DCB">
            <w:pPr>
              <w:rPr>
                <w:rFonts w:ascii="Arial Narrow" w:hAnsi="Arial Narrow"/>
                <w:b/>
                <w:color w:val="000000"/>
                <w:sz w:val="20"/>
                <w:szCs w:val="18"/>
              </w:rPr>
            </w:pPr>
          </w:p>
        </w:tc>
        <w:tc>
          <w:tcPr>
            <w:tcW w:w="630" w:type="pct"/>
            <w:gridSpan w:val="3"/>
            <w:vMerge/>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p>
        </w:tc>
        <w:tc>
          <w:tcPr>
            <w:tcW w:w="712" w:type="pct"/>
            <w:gridSpan w:val="3"/>
            <w:vMerge/>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p>
        </w:tc>
        <w:tc>
          <w:tcPr>
            <w:tcW w:w="861" w:type="pct"/>
            <w:gridSpan w:val="2"/>
            <w:vMerge/>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p>
        </w:tc>
        <w:tc>
          <w:tcPr>
            <w:tcW w:w="628" w:type="pct"/>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 xml:space="preserve">Brentuximab </w:t>
            </w:r>
          </w:p>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n</w:t>
            </w:r>
          </w:p>
        </w:tc>
        <w:tc>
          <w:tcPr>
            <w:tcW w:w="755" w:type="pct"/>
            <w:gridSpan w:val="4"/>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 xml:space="preserve">Methotrexate </w:t>
            </w:r>
          </w:p>
          <w:p w:rsidR="001404D0" w:rsidRPr="0022357A" w:rsidRDefault="001404D0" w:rsidP="00022DCB">
            <w:pPr>
              <w:jc w:val="center"/>
              <w:rPr>
                <w:rFonts w:ascii="Arial Narrow" w:hAnsi="Arial Narrow"/>
                <w:b/>
                <w:color w:val="000000"/>
                <w:sz w:val="20"/>
                <w:szCs w:val="18"/>
              </w:rPr>
            </w:pPr>
            <w:r w:rsidRPr="0022357A">
              <w:rPr>
                <w:rFonts w:ascii="Arial Narrow" w:hAnsi="Arial Narrow"/>
                <w:b/>
                <w:color w:val="000000"/>
                <w:sz w:val="20"/>
                <w:szCs w:val="18"/>
              </w:rPr>
              <w:t>n</w:t>
            </w:r>
          </w:p>
        </w:tc>
        <w:tc>
          <w:tcPr>
            <w:tcW w:w="775" w:type="pct"/>
            <w:vMerge/>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b/>
                <w:color w:val="000000"/>
                <w:sz w:val="20"/>
                <w:szCs w:val="18"/>
              </w:rPr>
            </w:pPr>
          </w:p>
        </w:tc>
      </w:tr>
      <w:tr w:rsidR="001404D0" w:rsidRPr="0022357A" w:rsidTr="00A91A99">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1404D0" w:rsidRPr="0022357A" w:rsidRDefault="001404D0" w:rsidP="00022DCB">
            <w:pPr>
              <w:rPr>
                <w:rFonts w:ascii="Arial Narrow" w:hAnsi="Arial Narrow"/>
                <w:b/>
                <w:color w:val="000000"/>
                <w:sz w:val="20"/>
                <w:szCs w:val="18"/>
              </w:rPr>
            </w:pPr>
            <w:r w:rsidRPr="0022357A">
              <w:rPr>
                <w:rFonts w:ascii="Arial Narrow" w:hAnsi="Arial Narrow"/>
                <w:b/>
                <w:color w:val="000000"/>
                <w:sz w:val="20"/>
                <w:szCs w:val="18"/>
              </w:rPr>
              <w:t>Drug-related severe adverse event (Grade 3 or higher)</w:t>
            </w:r>
          </w:p>
        </w:tc>
      </w:tr>
      <w:tr w:rsidR="001404D0" w:rsidRPr="0022357A" w:rsidTr="00A91A99">
        <w:tc>
          <w:tcPr>
            <w:tcW w:w="6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404D0" w:rsidRPr="0022357A" w:rsidRDefault="001404D0" w:rsidP="00022DCB">
            <w:pPr>
              <w:rPr>
                <w:rFonts w:ascii="Arial Narrow" w:hAnsi="Arial Narrow"/>
                <w:color w:val="000000"/>
                <w:sz w:val="20"/>
                <w:szCs w:val="18"/>
              </w:rPr>
            </w:pPr>
            <w:r w:rsidRPr="0022357A">
              <w:rPr>
                <w:rFonts w:ascii="Arial Narrow" w:hAnsi="Arial Narrow"/>
                <w:color w:val="000000"/>
                <w:sz w:val="20"/>
                <w:szCs w:val="18"/>
              </w:rPr>
              <w:t xml:space="preserve">ALCANZA </w:t>
            </w:r>
          </w:p>
        </w:tc>
        <w:tc>
          <w:tcPr>
            <w:tcW w:w="630" w:type="pct"/>
            <w:gridSpan w:val="3"/>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color w:val="000000"/>
                <w:sz w:val="20"/>
                <w:szCs w:val="18"/>
              </w:rPr>
            </w:pPr>
            <w:r w:rsidRPr="0022357A">
              <w:rPr>
                <w:rFonts w:ascii="Arial Narrow" w:hAnsi="Arial Narrow"/>
                <w:color w:val="000000"/>
                <w:sz w:val="20"/>
                <w:szCs w:val="18"/>
              </w:rPr>
              <w:t>19/66</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color w:val="000000"/>
                <w:sz w:val="20"/>
                <w:szCs w:val="18"/>
              </w:rPr>
            </w:pPr>
            <w:r w:rsidRPr="0022357A">
              <w:rPr>
                <w:rFonts w:ascii="Arial Narrow" w:hAnsi="Arial Narrow"/>
                <w:color w:val="000000"/>
                <w:sz w:val="20"/>
                <w:szCs w:val="18"/>
              </w:rPr>
              <w:t>3/25</w:t>
            </w:r>
          </w:p>
        </w:tc>
        <w:tc>
          <w:tcPr>
            <w:tcW w:w="861" w:type="pct"/>
            <w:gridSpan w:val="2"/>
            <w:tcBorders>
              <w:top w:val="single" w:sz="4" w:space="0" w:color="auto"/>
              <w:left w:val="single" w:sz="4" w:space="0" w:color="auto"/>
              <w:bottom w:val="single" w:sz="4" w:space="0" w:color="auto"/>
              <w:right w:val="single" w:sz="4" w:space="0" w:color="auto"/>
            </w:tcBorders>
            <w:vAlign w:val="center"/>
          </w:tcPr>
          <w:p w:rsidR="001404D0" w:rsidRPr="0022357A" w:rsidRDefault="00791608" w:rsidP="00022DCB">
            <w:pPr>
              <w:jc w:val="center"/>
              <w:rPr>
                <w:rFonts w:ascii="Arial Narrow" w:hAnsi="Arial Narrow"/>
                <w:color w:val="000000"/>
                <w:sz w:val="20"/>
                <w:szCs w:val="18"/>
              </w:rPr>
            </w:pPr>
            <w:r w:rsidRPr="0022357A">
              <w:rPr>
                <w:rFonts w:ascii="Arial Narrow" w:hAnsi="Arial Narrow"/>
                <w:color w:val="000000"/>
                <w:sz w:val="20"/>
                <w:szCs w:val="18"/>
              </w:rPr>
              <w:t>3.36 (1.07, 10.57)</w:t>
            </w:r>
          </w:p>
        </w:tc>
        <w:tc>
          <w:tcPr>
            <w:tcW w:w="628" w:type="pct"/>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color w:val="000000"/>
                <w:sz w:val="20"/>
                <w:szCs w:val="18"/>
              </w:rPr>
            </w:pPr>
            <w:r w:rsidRPr="0022357A">
              <w:rPr>
                <w:rFonts w:ascii="Arial Narrow" w:hAnsi="Arial Narrow"/>
                <w:color w:val="000000"/>
                <w:sz w:val="20"/>
                <w:szCs w:val="18"/>
              </w:rPr>
              <w:t>29</w:t>
            </w:r>
          </w:p>
        </w:tc>
        <w:tc>
          <w:tcPr>
            <w:tcW w:w="755" w:type="pct"/>
            <w:gridSpan w:val="4"/>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color w:val="000000"/>
                <w:sz w:val="20"/>
                <w:szCs w:val="18"/>
              </w:rPr>
            </w:pPr>
            <w:r w:rsidRPr="0022357A">
              <w:rPr>
                <w:rFonts w:ascii="Arial Narrow" w:hAnsi="Arial Narrow"/>
                <w:color w:val="000000"/>
                <w:sz w:val="20"/>
                <w:szCs w:val="18"/>
              </w:rPr>
              <w:t>12</w:t>
            </w:r>
          </w:p>
        </w:tc>
        <w:tc>
          <w:tcPr>
            <w:tcW w:w="775" w:type="pct"/>
            <w:tcBorders>
              <w:top w:val="single" w:sz="4" w:space="0" w:color="auto"/>
              <w:left w:val="single" w:sz="4" w:space="0" w:color="auto"/>
              <w:bottom w:val="single" w:sz="4" w:space="0" w:color="auto"/>
              <w:right w:val="single" w:sz="4" w:space="0" w:color="auto"/>
            </w:tcBorders>
            <w:vAlign w:val="center"/>
          </w:tcPr>
          <w:p w:rsidR="001404D0" w:rsidRPr="0022357A" w:rsidRDefault="00791608" w:rsidP="00022DCB">
            <w:pPr>
              <w:jc w:val="center"/>
              <w:rPr>
                <w:rFonts w:ascii="Arial Narrow" w:hAnsi="Arial Narrow"/>
                <w:color w:val="000000"/>
                <w:sz w:val="20"/>
                <w:szCs w:val="18"/>
              </w:rPr>
            </w:pPr>
            <w:r w:rsidRPr="0022357A">
              <w:rPr>
                <w:rFonts w:ascii="Arial Narrow" w:hAnsi="Arial Narrow"/>
                <w:color w:val="000000"/>
                <w:sz w:val="20"/>
                <w:szCs w:val="18"/>
              </w:rPr>
              <w:t>0.20 (0.06, 0.35)</w:t>
            </w:r>
          </w:p>
        </w:tc>
      </w:tr>
      <w:tr w:rsidR="001404D0" w:rsidRPr="0022357A" w:rsidTr="00A91A99">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1404D0" w:rsidRPr="0022357A" w:rsidRDefault="001404D0" w:rsidP="00022DCB">
            <w:pPr>
              <w:jc w:val="left"/>
              <w:rPr>
                <w:rFonts w:ascii="Arial Narrow" w:hAnsi="Arial Narrow"/>
                <w:color w:val="000000"/>
                <w:sz w:val="20"/>
                <w:szCs w:val="18"/>
              </w:rPr>
            </w:pPr>
            <w:r w:rsidRPr="0022357A">
              <w:rPr>
                <w:rFonts w:ascii="Arial Narrow" w:hAnsi="Arial Narrow"/>
                <w:b/>
                <w:color w:val="000000"/>
                <w:sz w:val="20"/>
                <w:szCs w:val="18"/>
              </w:rPr>
              <w:t>Peripheral sensory neuropathy</w:t>
            </w:r>
          </w:p>
        </w:tc>
      </w:tr>
      <w:tr w:rsidR="001404D0" w:rsidRPr="0022357A" w:rsidTr="00A91A99">
        <w:tc>
          <w:tcPr>
            <w:tcW w:w="6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404D0" w:rsidRPr="0022357A" w:rsidRDefault="001404D0" w:rsidP="00022DCB">
            <w:pPr>
              <w:rPr>
                <w:rFonts w:ascii="Arial Narrow" w:hAnsi="Arial Narrow"/>
                <w:color w:val="000000"/>
                <w:sz w:val="20"/>
                <w:szCs w:val="18"/>
              </w:rPr>
            </w:pPr>
            <w:r w:rsidRPr="0022357A">
              <w:rPr>
                <w:rFonts w:ascii="Arial Narrow" w:hAnsi="Arial Narrow"/>
                <w:color w:val="000000"/>
                <w:sz w:val="20"/>
                <w:szCs w:val="18"/>
              </w:rPr>
              <w:t xml:space="preserve">ALCANZA </w:t>
            </w:r>
          </w:p>
        </w:tc>
        <w:tc>
          <w:tcPr>
            <w:tcW w:w="630" w:type="pct"/>
            <w:gridSpan w:val="3"/>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color w:val="000000"/>
                <w:sz w:val="20"/>
                <w:szCs w:val="18"/>
              </w:rPr>
            </w:pPr>
            <w:r w:rsidRPr="0022357A">
              <w:rPr>
                <w:rFonts w:ascii="Arial Narrow" w:hAnsi="Arial Narrow"/>
                <w:color w:val="000000"/>
                <w:sz w:val="20"/>
                <w:szCs w:val="18"/>
              </w:rPr>
              <w:t>30/66</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color w:val="000000"/>
                <w:sz w:val="20"/>
                <w:szCs w:val="18"/>
              </w:rPr>
            </w:pPr>
            <w:r w:rsidRPr="0022357A">
              <w:rPr>
                <w:rFonts w:ascii="Arial Narrow" w:hAnsi="Arial Narrow"/>
                <w:color w:val="000000"/>
                <w:sz w:val="20"/>
                <w:szCs w:val="18"/>
              </w:rPr>
              <w:t>1/25</w:t>
            </w:r>
          </w:p>
        </w:tc>
        <w:tc>
          <w:tcPr>
            <w:tcW w:w="861" w:type="pct"/>
            <w:gridSpan w:val="2"/>
            <w:tcBorders>
              <w:top w:val="single" w:sz="4" w:space="0" w:color="auto"/>
              <w:left w:val="single" w:sz="4" w:space="0" w:color="auto"/>
              <w:bottom w:val="single" w:sz="4" w:space="0" w:color="auto"/>
              <w:right w:val="single" w:sz="4" w:space="0" w:color="auto"/>
            </w:tcBorders>
            <w:vAlign w:val="center"/>
          </w:tcPr>
          <w:p w:rsidR="001404D0" w:rsidRPr="0022357A" w:rsidRDefault="00791608" w:rsidP="00022DCB">
            <w:pPr>
              <w:jc w:val="center"/>
              <w:rPr>
                <w:rFonts w:ascii="Arial Narrow" w:hAnsi="Arial Narrow"/>
                <w:color w:val="000000"/>
                <w:sz w:val="20"/>
                <w:szCs w:val="18"/>
              </w:rPr>
            </w:pPr>
            <w:r w:rsidRPr="0022357A">
              <w:rPr>
                <w:rFonts w:ascii="Arial Narrow" w:hAnsi="Arial Narrow"/>
                <w:color w:val="000000"/>
                <w:sz w:val="20"/>
                <w:szCs w:val="18"/>
              </w:rPr>
              <w:t>15.91 (2.26, 111.8)</w:t>
            </w:r>
          </w:p>
        </w:tc>
        <w:tc>
          <w:tcPr>
            <w:tcW w:w="628" w:type="pct"/>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color w:val="000000"/>
                <w:sz w:val="20"/>
                <w:szCs w:val="18"/>
              </w:rPr>
            </w:pPr>
            <w:r w:rsidRPr="0022357A">
              <w:rPr>
                <w:rFonts w:ascii="Arial Narrow" w:hAnsi="Arial Narrow"/>
                <w:color w:val="000000"/>
                <w:sz w:val="20"/>
                <w:szCs w:val="18"/>
              </w:rPr>
              <w:t>45</w:t>
            </w:r>
          </w:p>
        </w:tc>
        <w:tc>
          <w:tcPr>
            <w:tcW w:w="755" w:type="pct"/>
            <w:gridSpan w:val="4"/>
            <w:tcBorders>
              <w:top w:val="single" w:sz="4" w:space="0" w:color="auto"/>
              <w:left w:val="single" w:sz="4" w:space="0" w:color="auto"/>
              <w:bottom w:val="single" w:sz="4" w:space="0" w:color="auto"/>
              <w:right w:val="single" w:sz="4" w:space="0" w:color="auto"/>
            </w:tcBorders>
            <w:vAlign w:val="center"/>
          </w:tcPr>
          <w:p w:rsidR="001404D0" w:rsidRPr="0022357A" w:rsidRDefault="001404D0" w:rsidP="00022DCB">
            <w:pPr>
              <w:jc w:val="center"/>
              <w:rPr>
                <w:rFonts w:ascii="Arial Narrow" w:hAnsi="Arial Narrow"/>
                <w:color w:val="000000"/>
                <w:sz w:val="20"/>
                <w:szCs w:val="18"/>
              </w:rPr>
            </w:pPr>
            <w:r w:rsidRPr="0022357A">
              <w:rPr>
                <w:rFonts w:ascii="Arial Narrow" w:hAnsi="Arial Narrow"/>
                <w:color w:val="000000"/>
                <w:sz w:val="20"/>
                <w:szCs w:val="18"/>
              </w:rPr>
              <w:t>4</w:t>
            </w:r>
          </w:p>
        </w:tc>
        <w:tc>
          <w:tcPr>
            <w:tcW w:w="775" w:type="pct"/>
            <w:tcBorders>
              <w:top w:val="single" w:sz="4" w:space="0" w:color="auto"/>
              <w:left w:val="single" w:sz="4" w:space="0" w:color="auto"/>
              <w:bottom w:val="single" w:sz="4" w:space="0" w:color="auto"/>
              <w:right w:val="single" w:sz="4" w:space="0" w:color="auto"/>
            </w:tcBorders>
            <w:vAlign w:val="center"/>
          </w:tcPr>
          <w:p w:rsidR="001404D0" w:rsidRPr="0022357A" w:rsidRDefault="00791608" w:rsidP="00022DCB">
            <w:pPr>
              <w:jc w:val="center"/>
              <w:rPr>
                <w:rFonts w:ascii="Arial Narrow" w:hAnsi="Arial Narrow"/>
                <w:color w:val="000000"/>
                <w:sz w:val="20"/>
                <w:szCs w:val="18"/>
              </w:rPr>
            </w:pPr>
            <w:r w:rsidRPr="0022357A">
              <w:rPr>
                <w:rFonts w:ascii="Arial Narrow" w:hAnsi="Arial Narrow"/>
                <w:color w:val="000000"/>
                <w:sz w:val="20"/>
                <w:szCs w:val="18"/>
              </w:rPr>
              <w:t>0.43 (0.29, 0.56)</w:t>
            </w:r>
          </w:p>
        </w:tc>
      </w:tr>
      <w:tr w:rsidR="001404D0" w:rsidRPr="0022357A" w:rsidTr="00A91A99">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1404D0" w:rsidRPr="0022357A" w:rsidRDefault="001404D0" w:rsidP="00022DCB">
            <w:pPr>
              <w:rPr>
                <w:rFonts w:ascii="Arial Narrow" w:hAnsi="Arial Narrow"/>
                <w:b/>
                <w:color w:val="000000"/>
                <w:sz w:val="20"/>
                <w:szCs w:val="18"/>
              </w:rPr>
            </w:pPr>
            <w:r w:rsidRPr="0022357A">
              <w:rPr>
                <w:rFonts w:ascii="Arial Narrow" w:hAnsi="Arial Narrow"/>
                <w:b/>
                <w:color w:val="000000"/>
                <w:sz w:val="20"/>
                <w:szCs w:val="18"/>
              </w:rPr>
              <w:t>Neutropenia (Grade 3 or 4)</w:t>
            </w:r>
          </w:p>
        </w:tc>
      </w:tr>
      <w:tr w:rsidR="00A30477" w:rsidRPr="0022357A" w:rsidTr="00A91A99">
        <w:tc>
          <w:tcPr>
            <w:tcW w:w="6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30477" w:rsidRPr="0022357A" w:rsidRDefault="00A30477" w:rsidP="00022DCB">
            <w:pPr>
              <w:rPr>
                <w:rFonts w:ascii="Arial Narrow" w:hAnsi="Arial Narrow"/>
                <w:color w:val="000000"/>
                <w:sz w:val="20"/>
                <w:szCs w:val="18"/>
              </w:rPr>
            </w:pPr>
            <w:r w:rsidRPr="0022357A">
              <w:rPr>
                <w:rFonts w:ascii="Arial Narrow" w:hAnsi="Arial Narrow"/>
                <w:color w:val="000000"/>
                <w:sz w:val="20"/>
                <w:szCs w:val="18"/>
              </w:rPr>
              <w:t>ALCANZA</w:t>
            </w:r>
          </w:p>
        </w:tc>
        <w:tc>
          <w:tcPr>
            <w:tcW w:w="630" w:type="pct"/>
            <w:gridSpan w:val="3"/>
            <w:tcBorders>
              <w:top w:val="single" w:sz="4" w:space="0" w:color="auto"/>
              <w:left w:val="single" w:sz="4" w:space="0" w:color="auto"/>
              <w:bottom w:val="single" w:sz="4" w:space="0" w:color="auto"/>
              <w:right w:val="single" w:sz="4" w:space="0" w:color="auto"/>
            </w:tcBorders>
            <w:vAlign w:val="center"/>
          </w:tcPr>
          <w:p w:rsidR="00A30477" w:rsidRPr="0022357A" w:rsidRDefault="00A30477" w:rsidP="00022DCB">
            <w:pPr>
              <w:jc w:val="center"/>
              <w:rPr>
                <w:rFonts w:ascii="Arial Narrow" w:hAnsi="Arial Narrow"/>
                <w:color w:val="000000"/>
                <w:sz w:val="20"/>
                <w:szCs w:val="18"/>
              </w:rPr>
            </w:pPr>
            <w:r w:rsidRPr="0022357A">
              <w:rPr>
                <w:rFonts w:ascii="Arial Narrow" w:hAnsi="Arial Narrow"/>
                <w:color w:val="000000"/>
                <w:sz w:val="20"/>
                <w:szCs w:val="18"/>
              </w:rPr>
              <w:t>3/66</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A30477" w:rsidRPr="00A30477" w:rsidRDefault="00A30477" w:rsidP="00022DCB">
            <w:pPr>
              <w:jc w:val="center"/>
              <w:rPr>
                <w:rFonts w:ascii="Arial Narrow" w:hAnsi="Arial Narrow"/>
                <w:color w:val="000000"/>
                <w:sz w:val="20"/>
                <w:szCs w:val="18"/>
              </w:rPr>
            </w:pPr>
            <w:r w:rsidRPr="00A30477">
              <w:rPr>
                <w:rFonts w:ascii="Arial Narrow" w:hAnsi="Arial Narrow"/>
                <w:color w:val="000000"/>
                <w:sz w:val="20"/>
                <w:szCs w:val="18"/>
              </w:rPr>
              <w:t>0/25</w:t>
            </w:r>
          </w:p>
        </w:tc>
        <w:tc>
          <w:tcPr>
            <w:tcW w:w="861" w:type="pct"/>
            <w:gridSpan w:val="2"/>
            <w:tcBorders>
              <w:top w:val="single" w:sz="4" w:space="0" w:color="auto"/>
              <w:left w:val="single" w:sz="4" w:space="0" w:color="auto"/>
              <w:bottom w:val="single" w:sz="4" w:space="0" w:color="auto"/>
              <w:right w:val="single" w:sz="4" w:space="0" w:color="auto"/>
            </w:tcBorders>
            <w:vAlign w:val="center"/>
          </w:tcPr>
          <w:p w:rsidR="00A30477" w:rsidRPr="00A30477" w:rsidRDefault="00A30477" w:rsidP="00791608">
            <w:pPr>
              <w:jc w:val="center"/>
              <w:rPr>
                <w:rFonts w:ascii="Arial Narrow" w:hAnsi="Arial Narrow"/>
                <w:color w:val="000000"/>
                <w:sz w:val="20"/>
                <w:szCs w:val="18"/>
              </w:rPr>
            </w:pPr>
            <w:r w:rsidRPr="00A30477">
              <w:rPr>
                <w:rFonts w:ascii="Arial Narrow" w:hAnsi="Arial Narrow"/>
                <w:color w:val="000000"/>
                <w:sz w:val="20"/>
                <w:szCs w:val="18"/>
              </w:rPr>
              <w:t>NE</w:t>
            </w:r>
          </w:p>
        </w:tc>
        <w:tc>
          <w:tcPr>
            <w:tcW w:w="628" w:type="pct"/>
            <w:tcBorders>
              <w:top w:val="single" w:sz="4" w:space="0" w:color="auto"/>
              <w:left w:val="single" w:sz="4" w:space="0" w:color="auto"/>
              <w:bottom w:val="single" w:sz="4" w:space="0" w:color="auto"/>
              <w:right w:val="single" w:sz="4" w:space="0" w:color="auto"/>
            </w:tcBorders>
            <w:vAlign w:val="center"/>
          </w:tcPr>
          <w:p w:rsidR="00A30477" w:rsidRPr="00A30477" w:rsidRDefault="00A30477" w:rsidP="00022DCB">
            <w:pPr>
              <w:jc w:val="center"/>
              <w:rPr>
                <w:rFonts w:ascii="Arial Narrow" w:hAnsi="Arial Narrow"/>
                <w:color w:val="000000"/>
                <w:sz w:val="20"/>
                <w:szCs w:val="18"/>
              </w:rPr>
            </w:pPr>
            <w:r w:rsidRPr="00A30477">
              <w:rPr>
                <w:rFonts w:ascii="Arial Narrow" w:hAnsi="Arial Narrow"/>
                <w:color w:val="000000"/>
                <w:sz w:val="20"/>
                <w:szCs w:val="18"/>
              </w:rPr>
              <w:t>5</w:t>
            </w:r>
          </w:p>
        </w:tc>
        <w:tc>
          <w:tcPr>
            <w:tcW w:w="755" w:type="pct"/>
            <w:gridSpan w:val="4"/>
            <w:tcBorders>
              <w:top w:val="single" w:sz="4" w:space="0" w:color="auto"/>
              <w:left w:val="single" w:sz="4" w:space="0" w:color="auto"/>
              <w:bottom w:val="single" w:sz="4" w:space="0" w:color="auto"/>
              <w:right w:val="single" w:sz="4" w:space="0" w:color="auto"/>
            </w:tcBorders>
            <w:vAlign w:val="center"/>
          </w:tcPr>
          <w:p w:rsidR="00A30477" w:rsidRPr="00A30477" w:rsidRDefault="00A30477" w:rsidP="00022DCB">
            <w:pPr>
              <w:jc w:val="center"/>
              <w:rPr>
                <w:rFonts w:ascii="Arial Narrow" w:hAnsi="Arial Narrow"/>
                <w:color w:val="000000"/>
                <w:sz w:val="20"/>
                <w:szCs w:val="18"/>
              </w:rPr>
            </w:pPr>
            <w:r w:rsidRPr="00A30477">
              <w:rPr>
                <w:rFonts w:ascii="Arial Narrow" w:hAnsi="Arial Narrow"/>
                <w:color w:val="000000"/>
                <w:sz w:val="20"/>
                <w:szCs w:val="18"/>
              </w:rPr>
              <w:t>0</w:t>
            </w:r>
          </w:p>
        </w:tc>
        <w:tc>
          <w:tcPr>
            <w:tcW w:w="775" w:type="pct"/>
            <w:tcBorders>
              <w:top w:val="single" w:sz="4" w:space="0" w:color="auto"/>
              <w:left w:val="single" w:sz="4" w:space="0" w:color="auto"/>
              <w:bottom w:val="single" w:sz="4" w:space="0" w:color="auto"/>
              <w:right w:val="single" w:sz="4" w:space="0" w:color="auto"/>
            </w:tcBorders>
            <w:vAlign w:val="center"/>
          </w:tcPr>
          <w:p w:rsidR="00A30477" w:rsidRPr="00A30477" w:rsidRDefault="00A30477" w:rsidP="00022DCB">
            <w:pPr>
              <w:jc w:val="center"/>
              <w:rPr>
                <w:rFonts w:ascii="Arial Narrow" w:hAnsi="Arial Narrow"/>
                <w:color w:val="000000"/>
                <w:sz w:val="20"/>
                <w:szCs w:val="18"/>
              </w:rPr>
            </w:pPr>
            <w:r w:rsidRPr="00A30477">
              <w:rPr>
                <w:rFonts w:ascii="Arial Narrow" w:hAnsi="Arial Narrow"/>
                <w:color w:val="000000"/>
                <w:sz w:val="20"/>
                <w:szCs w:val="18"/>
              </w:rPr>
              <w:t>0.05 (-0.01, 0.10)</w:t>
            </w:r>
          </w:p>
        </w:tc>
      </w:tr>
    </w:tbl>
    <w:p w:rsidR="001404D0" w:rsidRPr="0022357A" w:rsidRDefault="001404D0" w:rsidP="001404D0">
      <w:pPr>
        <w:pStyle w:val="TableFooter"/>
      </w:pPr>
      <w:r w:rsidRPr="0022357A">
        <w:t>Source: Table 2.6-3, pp129-130; Table 2.5-14, p122; Table 2.5-4, pp106-7</w:t>
      </w:r>
      <w:r w:rsidR="0060150D" w:rsidRPr="0022357A">
        <w:t xml:space="preserve"> </w:t>
      </w:r>
      <w:r w:rsidRPr="0022357A">
        <w:t>of the submission; Table 14.4.1.2A, pp886-929, Table 14.4.1.4A, pp944-1096; Table 14.4.1.5A, p1097; Table 14.3.1.5A, pp640-643 of Appendix 11B;</w:t>
      </w:r>
      <w:r w:rsidR="0027386B" w:rsidRPr="0022357A">
        <w:t xml:space="preserve"> and calculated during the evaluation.</w:t>
      </w:r>
    </w:p>
    <w:p w:rsidR="001404D0" w:rsidRPr="0022357A" w:rsidRDefault="001404D0" w:rsidP="001404D0">
      <w:pPr>
        <w:pStyle w:val="TableFooter"/>
      </w:pPr>
      <w:r w:rsidRPr="0022357A">
        <w:t xml:space="preserve">HR = hazard ratio; </w:t>
      </w:r>
      <w:r w:rsidR="00791608" w:rsidRPr="0022357A">
        <w:t xml:space="preserve">NE = not estimable; </w:t>
      </w:r>
      <w:r w:rsidRPr="0022357A">
        <w:t>PFS = progression-free survival;</w:t>
      </w:r>
      <w:r w:rsidR="0060150D" w:rsidRPr="0022357A">
        <w:t xml:space="preserve"> </w:t>
      </w:r>
      <w:r w:rsidRPr="0022357A">
        <w:t xml:space="preserve">RD = risk difference; RR = </w:t>
      </w:r>
      <w:r w:rsidR="00791608" w:rsidRPr="0022357A">
        <w:t>relative risk</w:t>
      </w:r>
    </w:p>
    <w:p w:rsidR="001404D0" w:rsidRPr="0022357A" w:rsidRDefault="001404D0" w:rsidP="001404D0">
      <w:pPr>
        <w:pStyle w:val="TableFooter"/>
        <w:rPr>
          <w:rStyle w:val="CommentReference"/>
          <w:b w:val="0"/>
          <w:sz w:val="18"/>
          <w:szCs w:val="22"/>
        </w:rPr>
      </w:pPr>
      <w:r w:rsidRPr="0022357A">
        <w:t xml:space="preserve">* Median duration of follow-up in the ALCANZA trial was 22.9 months. </w:t>
      </w:r>
    </w:p>
    <w:p w:rsidR="001404D0" w:rsidRPr="0022357A" w:rsidRDefault="001404D0" w:rsidP="001404D0"/>
    <w:p w:rsidR="001404D0" w:rsidRPr="0022357A" w:rsidRDefault="001404D0" w:rsidP="001404D0">
      <w:pPr>
        <w:pStyle w:val="ListParagraph"/>
        <w:widowControl/>
        <w:numPr>
          <w:ilvl w:val="1"/>
          <w:numId w:val="3"/>
        </w:numPr>
        <w:spacing w:after="0"/>
      </w:pPr>
      <w:r w:rsidRPr="00C35104">
        <w:t xml:space="preserve">On the basis of direct evidence presented by the submission, </w:t>
      </w:r>
      <w:r w:rsidR="009208CB" w:rsidRPr="00C35104">
        <w:t xml:space="preserve">noting that the majority of evidence for benefits and harms is in patients with the MF subtype, </w:t>
      </w:r>
      <w:r w:rsidRPr="00C35104">
        <w:t>for</w:t>
      </w:r>
      <w:r w:rsidRPr="0022357A">
        <w:t xml:space="preserve"> </w:t>
      </w:r>
      <w:r w:rsidRPr="0022357A">
        <w:lastRenderedPageBreak/>
        <w:t>every 100 patients treated with brentuximab vedotin</w:t>
      </w:r>
      <w:r w:rsidR="0060150D" w:rsidRPr="0022357A">
        <w:t xml:space="preserve"> </w:t>
      </w:r>
      <w:r w:rsidRPr="0022357A">
        <w:t>in comparison to methotrexate and over a</w:t>
      </w:r>
      <w:r w:rsidR="00A30477">
        <w:t xml:space="preserve"> median 23</w:t>
      </w:r>
      <w:r w:rsidRPr="0022357A">
        <w:t xml:space="preserve"> month duration of follow-up:</w:t>
      </w:r>
    </w:p>
    <w:p w:rsidR="001404D0" w:rsidRPr="0022357A" w:rsidRDefault="001404D0" w:rsidP="001404D0">
      <w:pPr>
        <w:pStyle w:val="ListParagraph"/>
        <w:widowControl/>
        <w:numPr>
          <w:ilvl w:val="0"/>
          <w:numId w:val="2"/>
        </w:numPr>
        <w:spacing w:after="0"/>
        <w:ind w:left="993" w:hanging="284"/>
      </w:pPr>
      <w:r w:rsidRPr="0022357A">
        <w:t>Approximately 5</w:t>
      </w:r>
      <w:r w:rsidR="00EE53FA" w:rsidRPr="0022357A">
        <w:t>5</w:t>
      </w:r>
      <w:r w:rsidRPr="0022357A">
        <w:t xml:space="preserve"> additional patients would have an objective response. An objective response is an improvement of at least 50% in CTCL-affected skin, lymph nodes, blood, or other organs (visceral disease);</w:t>
      </w:r>
    </w:p>
    <w:p w:rsidR="001404D0" w:rsidRPr="0022357A" w:rsidRDefault="001404D0" w:rsidP="001404D0">
      <w:pPr>
        <w:pStyle w:val="ListParagraph"/>
        <w:widowControl/>
        <w:numPr>
          <w:ilvl w:val="0"/>
          <w:numId w:val="2"/>
        </w:numPr>
        <w:spacing w:after="0"/>
        <w:ind w:left="993" w:hanging="284"/>
      </w:pPr>
      <w:r w:rsidRPr="0022357A">
        <w:t xml:space="preserve">Approximately 22 more patients </w:t>
      </w:r>
      <w:r w:rsidR="00FD70A0" w:rsidRPr="0022357A">
        <w:t xml:space="preserve">would </w:t>
      </w:r>
      <w:r w:rsidRPr="0022357A">
        <w:t xml:space="preserve">remain progression-free over a median duration of follow-up of 23 months; </w:t>
      </w:r>
    </w:p>
    <w:p w:rsidR="001404D0" w:rsidRPr="0022357A" w:rsidRDefault="001404D0" w:rsidP="001404D0">
      <w:pPr>
        <w:pStyle w:val="ListParagraph"/>
        <w:widowControl/>
        <w:numPr>
          <w:ilvl w:val="0"/>
          <w:numId w:val="2"/>
        </w:numPr>
        <w:spacing w:after="0"/>
        <w:ind w:left="993" w:hanging="284"/>
      </w:pPr>
      <w:r w:rsidRPr="0022357A">
        <w:t>Approximately 17 more patients would have a severe adverse event;</w:t>
      </w:r>
      <w:r w:rsidR="00791608" w:rsidRPr="0022357A">
        <w:t xml:space="preserve"> and</w:t>
      </w:r>
    </w:p>
    <w:p w:rsidR="001404D0" w:rsidRPr="0022357A" w:rsidRDefault="001404D0" w:rsidP="00B1472E">
      <w:pPr>
        <w:pStyle w:val="ListParagraph"/>
        <w:widowControl/>
        <w:numPr>
          <w:ilvl w:val="0"/>
          <w:numId w:val="2"/>
        </w:numPr>
        <w:spacing w:after="0"/>
        <w:ind w:left="993" w:hanging="284"/>
      </w:pPr>
      <w:r w:rsidRPr="0022357A">
        <w:t>Approximately 41 additional patients would have peripheral sensory neuropathy</w:t>
      </w:r>
      <w:r w:rsidR="000E2369" w:rsidRPr="0022357A">
        <w:t xml:space="preserve"> (</w:t>
      </w:r>
      <w:r w:rsidRPr="0022357A">
        <w:t>numbness and tingling of the hands and feet</w:t>
      </w:r>
      <w:r w:rsidR="000E2369" w:rsidRPr="0022357A">
        <w:t>)</w:t>
      </w:r>
      <w:r w:rsidR="00791608" w:rsidRPr="0022357A">
        <w:t>.</w:t>
      </w:r>
    </w:p>
    <w:p w:rsidR="00B60939" w:rsidRPr="00B1472E" w:rsidRDefault="00B60939" w:rsidP="00B1472E">
      <w:pPr>
        <w:pStyle w:val="Heading2"/>
        <w:spacing w:before="240" w:after="120"/>
        <w:rPr>
          <w:i w:val="0"/>
        </w:rPr>
      </w:pPr>
      <w:bookmarkStart w:id="10" w:name="_Toc514237313"/>
      <w:r w:rsidRPr="0022357A">
        <w:rPr>
          <w:i w:val="0"/>
        </w:rPr>
        <w:t>Clinical claim</w:t>
      </w:r>
      <w:bookmarkEnd w:id="10"/>
    </w:p>
    <w:p w:rsidR="00022DCB" w:rsidRPr="0022357A" w:rsidRDefault="00022DCB" w:rsidP="00022DCB">
      <w:pPr>
        <w:pStyle w:val="ListParagraph"/>
        <w:widowControl/>
        <w:numPr>
          <w:ilvl w:val="1"/>
          <w:numId w:val="3"/>
        </w:numPr>
      </w:pPr>
      <w:r w:rsidRPr="0022357A">
        <w:t xml:space="preserve">The submission described brentuximab vedotin as superior in terms of effectiveness compared with the primary comparator, vorinostat. </w:t>
      </w:r>
      <w:r w:rsidRPr="00C35104">
        <w:t>Th</w:t>
      </w:r>
      <w:r w:rsidR="007C31C1" w:rsidRPr="00C35104">
        <w:t>e ESC considered</w:t>
      </w:r>
      <w:r w:rsidR="007C31C1">
        <w:t xml:space="preserve"> th</w:t>
      </w:r>
      <w:r w:rsidRPr="0022357A">
        <w:t xml:space="preserve">is was not fully supported because the clinical comparison presented was unreliable. The studies presented in the naïve </w:t>
      </w:r>
      <w:r w:rsidR="00D2384E" w:rsidRPr="0022357A">
        <w:t>comparison had</w:t>
      </w:r>
      <w:r w:rsidRPr="0022357A">
        <w:t xml:space="preserve"> a high risk of bias and poor transitivity, especially in relation to the vorinostat studies including patients with CTCL subtypes which had worse prognoses (more SS, no pcALCL and LyP</w:t>
      </w:r>
      <w:r w:rsidRPr="00932A94">
        <w:t>)</w:t>
      </w:r>
      <w:r w:rsidR="008F1E0D" w:rsidRPr="00932A94">
        <w:t xml:space="preserve"> and, the PBAC noted different distributions of CD30 positivity</w:t>
      </w:r>
      <w:r w:rsidRPr="00932A94">
        <w:t xml:space="preserve">. </w:t>
      </w:r>
      <w:r w:rsidR="008F1E0D" w:rsidRPr="00932A94">
        <w:t xml:space="preserve">The PBAC considered that the comparison across different disease </w:t>
      </w:r>
      <w:r w:rsidR="004D33A0">
        <w:t xml:space="preserve">subtypes and stages, along with </w:t>
      </w:r>
      <w:r w:rsidR="004D33A0" w:rsidRPr="00932A94">
        <w:t>different distributions of CD30 positivity</w:t>
      </w:r>
      <w:r w:rsidR="004D33A0" w:rsidRPr="00932A94" w:rsidDel="004D33A0">
        <w:t xml:space="preserve"> </w:t>
      </w:r>
      <w:r w:rsidR="00932A94">
        <w:t xml:space="preserve">meant that </w:t>
      </w:r>
      <w:r w:rsidR="004D33A0">
        <w:t xml:space="preserve">the comparison provided in the submission was </w:t>
      </w:r>
      <w:r w:rsidR="008F1E0D" w:rsidRPr="00932A94">
        <w:t>flawed</w:t>
      </w:r>
      <w:r w:rsidR="004D33A0">
        <w:t xml:space="preserve"> and difficult to interpret</w:t>
      </w:r>
      <w:r w:rsidR="008F1E0D" w:rsidRPr="00932A94">
        <w:t>.</w:t>
      </w:r>
      <w:r w:rsidR="008F1E0D" w:rsidRPr="008F1E0D">
        <w:rPr>
          <w:i/>
        </w:rPr>
        <w:t xml:space="preserve"> </w:t>
      </w:r>
    </w:p>
    <w:p w:rsidR="00022DCB" w:rsidRPr="0022357A" w:rsidRDefault="00022DCB" w:rsidP="00022DCB">
      <w:pPr>
        <w:pStyle w:val="ListParagraph"/>
        <w:widowControl/>
        <w:numPr>
          <w:ilvl w:val="1"/>
          <w:numId w:val="3"/>
        </w:numPr>
      </w:pPr>
      <w:r w:rsidRPr="0022357A">
        <w:t xml:space="preserve">Brentuximab vedotin appeared to have superior effectiveness compared with vorinostat for the treatment of </w:t>
      </w:r>
      <w:proofErr w:type="gramStart"/>
      <w:r w:rsidRPr="0022357A">
        <w:t>MF</w:t>
      </w:r>
      <w:r w:rsidR="008F1E0D" w:rsidRPr="00932A94">
        <w:t>,</w:t>
      </w:r>
      <w:proofErr w:type="gramEnd"/>
      <w:r w:rsidR="008F1E0D" w:rsidRPr="00932A94">
        <w:t xml:space="preserve"> however the PBAC considered that this was uncertain due to poor transitivity between the trials</w:t>
      </w:r>
      <w:r w:rsidRPr="0022357A">
        <w:t>. It was difficult to make a conclusion on the comparative effectiveness of brentuximab vedotin in the SS subtype because only three SS patients received brentuximab vedotin.</w:t>
      </w:r>
      <w:r w:rsidRPr="00932A94">
        <w:t xml:space="preserve"> </w:t>
      </w:r>
      <w:r w:rsidRPr="0022357A">
        <w:t>The submission presented no evidence for the comparative effectiveness of</w:t>
      </w:r>
      <w:r w:rsidR="00AA6998">
        <w:t xml:space="preserve"> brentuximab vedotin with</w:t>
      </w:r>
      <w:r w:rsidRPr="0022357A">
        <w:t xml:space="preserve"> vorinostat in pcALCL or LyP. </w:t>
      </w:r>
    </w:p>
    <w:p w:rsidR="00022DCB" w:rsidRPr="0022357A" w:rsidRDefault="00022DCB" w:rsidP="00022DCB">
      <w:pPr>
        <w:pStyle w:val="ListParagraph"/>
        <w:widowControl/>
        <w:numPr>
          <w:ilvl w:val="1"/>
          <w:numId w:val="3"/>
        </w:numPr>
      </w:pPr>
      <w:r w:rsidRPr="0022357A">
        <w:t xml:space="preserve">The submission considered brentuximab vedotin to be non-inferior in terms of safety compared to the primary comparator, vorinostat. </w:t>
      </w:r>
      <w:r w:rsidR="008F1E0D" w:rsidRPr="00932A94">
        <w:t xml:space="preserve">The PBAC noted that there were differences in the toxicity profile, including major drug-specific </w:t>
      </w:r>
      <w:r w:rsidR="004D33A0">
        <w:t>adverse</w:t>
      </w:r>
      <w:r w:rsidR="008F1E0D" w:rsidRPr="00932A94">
        <w:t xml:space="preserve"> effects.</w:t>
      </w:r>
    </w:p>
    <w:p w:rsidR="00022DCB" w:rsidRPr="0022357A" w:rsidRDefault="00022DCB" w:rsidP="00022DCB">
      <w:pPr>
        <w:pStyle w:val="ListParagraph"/>
        <w:widowControl/>
        <w:numPr>
          <w:ilvl w:val="1"/>
          <w:numId w:val="3"/>
        </w:numPr>
      </w:pPr>
      <w:r w:rsidRPr="0022357A">
        <w:t xml:space="preserve">The submission described brentuximab vedotin as superior in terms of effectiveness compared with the supplementary comparator, methotrexate. </w:t>
      </w:r>
      <w:r w:rsidR="007C31C1" w:rsidRPr="00C35104">
        <w:t xml:space="preserve">The </w:t>
      </w:r>
      <w:r w:rsidR="004D33A0">
        <w:t>PBAC</w:t>
      </w:r>
      <w:r w:rsidR="007C31C1" w:rsidRPr="00C35104">
        <w:t xml:space="preserve"> considered</w:t>
      </w:r>
      <w:r w:rsidR="007C31C1">
        <w:t xml:space="preserve"> th</w:t>
      </w:r>
      <w:r w:rsidR="007C31C1" w:rsidRPr="0022357A">
        <w:t>is</w:t>
      </w:r>
      <w:r w:rsidRPr="0022357A">
        <w:t xml:space="preserve"> was adequately supported by the evidence presented in the submission for the MF subtype. However, the extent of </w:t>
      </w:r>
      <w:r w:rsidR="00910F4C" w:rsidRPr="0022357A">
        <w:t>benefit</w:t>
      </w:r>
      <w:r w:rsidRPr="0022357A">
        <w:t xml:space="preserve"> of brentuximab vedotin was uncertain due to a high risk of bias in the ALCANZA trial</w:t>
      </w:r>
      <w:r w:rsidR="00ED4125" w:rsidRPr="0022357A">
        <w:t>, transitivity</w:t>
      </w:r>
      <w:r w:rsidRPr="0022357A">
        <w:t xml:space="preserve"> issues (differences in baseline characteristics)</w:t>
      </w:r>
      <w:r w:rsidR="00F603AC" w:rsidRPr="0022357A">
        <w:t xml:space="preserve">, and methotrexate effectiveness being </w:t>
      </w:r>
      <w:r w:rsidR="00530925">
        <w:t xml:space="preserve">inferred </w:t>
      </w:r>
      <w:r w:rsidR="00F603AC" w:rsidRPr="0022357A">
        <w:t>from a subgroup of the Physician’s choice arm</w:t>
      </w:r>
      <w:r w:rsidRPr="0022357A">
        <w:t xml:space="preserve">. </w:t>
      </w:r>
      <w:r w:rsidR="00530925">
        <w:t>Nevertheless, t</w:t>
      </w:r>
      <w:r w:rsidR="00530925" w:rsidRPr="00932A94">
        <w:t xml:space="preserve">he </w:t>
      </w:r>
      <w:r w:rsidR="0034736D" w:rsidRPr="00932A94">
        <w:t xml:space="preserve">PBAC </w:t>
      </w:r>
      <w:r w:rsidR="004D33A0">
        <w:t>considered</w:t>
      </w:r>
      <w:r w:rsidR="0034736D" w:rsidRPr="00932A94">
        <w:t xml:space="preserve"> that the </w:t>
      </w:r>
      <w:r w:rsidR="0034736D" w:rsidRPr="00932A94">
        <w:lastRenderedPageBreak/>
        <w:t xml:space="preserve">best available evidence for brentuximab </w:t>
      </w:r>
      <w:r w:rsidR="004D33A0">
        <w:t xml:space="preserve">vedotin </w:t>
      </w:r>
      <w:r w:rsidR="00AA6998">
        <w:t xml:space="preserve">in this submission </w:t>
      </w:r>
      <w:r w:rsidR="0034736D" w:rsidRPr="00932A94">
        <w:t>was the comparison with methotrexate in patients with MF from the ALCANZA trial.</w:t>
      </w:r>
    </w:p>
    <w:p w:rsidR="00022DCB" w:rsidRPr="0022357A" w:rsidRDefault="007C31C1" w:rsidP="00022DCB">
      <w:pPr>
        <w:pStyle w:val="ListParagraph"/>
        <w:widowControl/>
        <w:numPr>
          <w:ilvl w:val="1"/>
          <w:numId w:val="3"/>
        </w:numPr>
      </w:pPr>
      <w:r w:rsidRPr="00C35104">
        <w:t>The ESC considered</w:t>
      </w:r>
      <w:r>
        <w:t xml:space="preserve"> the</w:t>
      </w:r>
      <w:r w:rsidR="00022DCB" w:rsidRPr="0022357A">
        <w:t xml:space="preserve"> submission</w:t>
      </w:r>
      <w:r w:rsidR="00CE26D8" w:rsidRPr="0022357A">
        <w:t>’</w:t>
      </w:r>
      <w:r w:rsidR="00022DCB" w:rsidRPr="0022357A">
        <w:t xml:space="preserve">s claim </w:t>
      </w:r>
      <w:r w:rsidR="00CE26D8" w:rsidRPr="0022357A">
        <w:t xml:space="preserve">that brentuximab vedotin had superior effectiveness </w:t>
      </w:r>
      <w:r w:rsidR="00791608" w:rsidRPr="0022357A">
        <w:t xml:space="preserve">compared with methotrexate </w:t>
      </w:r>
      <w:r w:rsidR="00022DCB" w:rsidRPr="0022357A">
        <w:t>was not supported for the other subtypes of CTCL as the submission only presented data for</w:t>
      </w:r>
      <w:r w:rsidR="00910F4C" w:rsidRPr="0022357A">
        <w:t xml:space="preserve"> methotrexate for</w:t>
      </w:r>
      <w:r w:rsidR="00022DCB" w:rsidRPr="0022357A">
        <w:t xml:space="preserve"> four patients with pcALCL and no data </w:t>
      </w:r>
      <w:r w:rsidR="00CE26D8" w:rsidRPr="0022357A">
        <w:t xml:space="preserve">was available </w:t>
      </w:r>
      <w:r w:rsidR="00022DCB" w:rsidRPr="0022357A">
        <w:t xml:space="preserve">for patients with SS. </w:t>
      </w:r>
      <w:r w:rsidR="002A2FB2">
        <w:t xml:space="preserve">However, the PBAC considered that on balance it was reasonable to concede that the submission’s </w:t>
      </w:r>
      <w:r w:rsidR="00AA6998">
        <w:t xml:space="preserve">claim </w:t>
      </w:r>
      <w:r w:rsidR="002A2FB2">
        <w:t xml:space="preserve">was reasonable for pcALCL. </w:t>
      </w:r>
      <w:r w:rsidR="00022DCB" w:rsidRPr="0022357A">
        <w:t xml:space="preserve">The </w:t>
      </w:r>
      <w:r w:rsidR="002A2FB2">
        <w:t xml:space="preserve">PBAC considered that the </w:t>
      </w:r>
      <w:r w:rsidR="00022DCB" w:rsidRPr="0022357A">
        <w:t xml:space="preserve">naïve comparison with an Australian study of methotrexate in patients with LyP demonstrated that brentuximab vedotin was not superior in terms of comparative effectiveness compared with methotrexate. </w:t>
      </w:r>
    </w:p>
    <w:p w:rsidR="00022DCB" w:rsidRDefault="00022DCB" w:rsidP="00022DCB">
      <w:pPr>
        <w:pStyle w:val="ListParagraph"/>
        <w:widowControl/>
        <w:numPr>
          <w:ilvl w:val="1"/>
          <w:numId w:val="3"/>
        </w:numPr>
      </w:pPr>
      <w:r w:rsidRPr="0022357A">
        <w:t xml:space="preserve">The submission described brentuximab vedotin as non-inferior in terms of safety compared with methotrexate. </w:t>
      </w:r>
      <w:r w:rsidR="007C31C1" w:rsidRPr="00C35104">
        <w:t xml:space="preserve">The </w:t>
      </w:r>
      <w:r w:rsidR="002A2FB2">
        <w:t>PBAC</w:t>
      </w:r>
      <w:r w:rsidR="007C31C1" w:rsidRPr="00C35104">
        <w:t xml:space="preserve"> considered</w:t>
      </w:r>
      <w:r w:rsidR="007C31C1">
        <w:t xml:space="preserve"> th</w:t>
      </w:r>
      <w:r w:rsidR="007C31C1" w:rsidRPr="0022357A">
        <w:t>is</w:t>
      </w:r>
      <w:r w:rsidRPr="0022357A">
        <w:t xml:space="preserve"> was not supported by the evidence presented in the submission. </w:t>
      </w:r>
      <w:r w:rsidR="006E4AD2" w:rsidRPr="0022357A">
        <w:t>Patients treated with b</w:t>
      </w:r>
      <w:r w:rsidRPr="0022357A">
        <w:t xml:space="preserve">rentuximab vedotin had more drug related Grade 3 or higher AEs, serious AEs, AEs resulting in dose modification or treatment discontinuation, and more on-treatment deaths than </w:t>
      </w:r>
      <w:r w:rsidR="006E4AD2" w:rsidRPr="0022357A">
        <w:t xml:space="preserve">patients treated with </w:t>
      </w:r>
      <w:r w:rsidRPr="0022357A">
        <w:t xml:space="preserve">methotrexate in the ALCANZA trial. </w:t>
      </w:r>
      <w:r w:rsidR="0088697D">
        <w:t xml:space="preserve">The PBAC </w:t>
      </w:r>
      <w:r w:rsidR="00D244A8">
        <w:t xml:space="preserve">considered brentuximab vedotin may have an inferior safety profile compared with methotrexate, although the PBAC acknowledged the </w:t>
      </w:r>
      <w:r w:rsidR="0088697D">
        <w:t>longer treatment exposure with brentuximab vedotin compared to methotrexate.</w:t>
      </w:r>
    </w:p>
    <w:p w:rsidR="00B60939" w:rsidRPr="00B1472E" w:rsidRDefault="00B60939" w:rsidP="00B1472E">
      <w:pPr>
        <w:pStyle w:val="Heading2"/>
        <w:spacing w:before="240" w:after="120"/>
        <w:rPr>
          <w:i w:val="0"/>
        </w:rPr>
      </w:pPr>
      <w:bookmarkStart w:id="11" w:name="_Toc514237314"/>
      <w:r w:rsidRPr="0022357A">
        <w:rPr>
          <w:i w:val="0"/>
        </w:rPr>
        <w:t>Economic analysis</w:t>
      </w:r>
      <w:bookmarkEnd w:id="11"/>
      <w:r w:rsidR="00491B3A" w:rsidRPr="0022357A">
        <w:rPr>
          <w:i w:val="0"/>
        </w:rPr>
        <w:t xml:space="preserve"> </w:t>
      </w:r>
    </w:p>
    <w:p w:rsidR="00022DCB" w:rsidRPr="0022357A" w:rsidRDefault="00022DCB" w:rsidP="00022DCB">
      <w:pPr>
        <w:pStyle w:val="ListParagraph"/>
        <w:widowControl/>
        <w:numPr>
          <w:ilvl w:val="1"/>
          <w:numId w:val="3"/>
        </w:numPr>
      </w:pPr>
      <w:r w:rsidRPr="0022357A">
        <w:t>The submission presented several modelled economic evaluations of brentuximab vedotin which were all based on the one economic model structure. The cost per responder (ORR) was presented as the base case and the cost utility analysis and cost per ≥ 25% mSWAT responder as secondary base cases. A cost per ≥ 25% mSWAT responder was presented in the March 2017 vorinostat consideration (paragraphs 4.5 and 4.6, Mar</w:t>
      </w:r>
      <w:r w:rsidR="00A0488F" w:rsidRPr="0022357A">
        <w:t>ch</w:t>
      </w:r>
      <w:r w:rsidRPr="0022357A">
        <w:t xml:space="preserve"> 2017 PSD). Table </w:t>
      </w:r>
      <w:r w:rsidR="0046414B" w:rsidRPr="0022357A">
        <w:t>1</w:t>
      </w:r>
      <w:r w:rsidR="0028063E">
        <w:t>2</w:t>
      </w:r>
      <w:r w:rsidR="0046414B" w:rsidRPr="0022357A">
        <w:t xml:space="preserve"> </w:t>
      </w:r>
      <w:r w:rsidRPr="0022357A">
        <w:t xml:space="preserve">presents an overview of the three key economic evaluations. </w:t>
      </w:r>
      <w:r w:rsidR="004F46C7" w:rsidRPr="00C35104">
        <w:t>The ESC considered the economic evaluations presented in the submission were based on a clinical comparison with vorinostat that was unreliable due to transitivity issues already outlined.</w:t>
      </w:r>
      <w:r w:rsidR="00454F83" w:rsidRPr="00932A94">
        <w:t xml:space="preserve"> The PBAC agreed with the ESC that the economic analyses presented were unreliable due to uncertainty in the clinical comparisons.</w:t>
      </w:r>
    </w:p>
    <w:p w:rsidR="00022DCB" w:rsidRPr="0022357A" w:rsidRDefault="00022DCB" w:rsidP="0027437A">
      <w:pPr>
        <w:keepNext/>
        <w:rPr>
          <w:rStyle w:val="CommentReference"/>
          <w:rFonts w:ascii="Calibri" w:hAnsi="Calibri"/>
          <w:b w:val="0"/>
          <w:sz w:val="24"/>
          <w:szCs w:val="22"/>
        </w:rPr>
      </w:pPr>
      <w:r w:rsidRPr="0022357A">
        <w:rPr>
          <w:rStyle w:val="CommentReference"/>
        </w:rPr>
        <w:lastRenderedPageBreak/>
        <w:t xml:space="preserve">Table </w:t>
      </w:r>
      <w:r w:rsidR="0046414B" w:rsidRPr="0022357A">
        <w:rPr>
          <w:rStyle w:val="CommentReference"/>
        </w:rPr>
        <w:t>1</w:t>
      </w:r>
      <w:r w:rsidR="0028063E">
        <w:rPr>
          <w:rStyle w:val="CommentReference"/>
        </w:rPr>
        <w:t>2</w:t>
      </w:r>
      <w:r w:rsidRPr="0022357A">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2427"/>
        <w:gridCol w:w="2961"/>
        <w:gridCol w:w="2271"/>
      </w:tblGrid>
      <w:tr w:rsidR="00022DCB" w:rsidRPr="0022357A" w:rsidTr="00A91A99">
        <w:tc>
          <w:tcPr>
            <w:tcW w:w="784" w:type="pct"/>
            <w:vMerge w:val="restart"/>
            <w:vAlign w:val="center"/>
          </w:tcPr>
          <w:p w:rsidR="00022DCB" w:rsidRPr="0022357A" w:rsidRDefault="00022DCB" w:rsidP="0027437A">
            <w:pPr>
              <w:pStyle w:val="Tabletext"/>
              <w:keepNext/>
            </w:pPr>
            <w:r w:rsidRPr="0022357A">
              <w:rPr>
                <w:b/>
              </w:rPr>
              <w:t>Component</w:t>
            </w:r>
          </w:p>
        </w:tc>
        <w:tc>
          <w:tcPr>
            <w:tcW w:w="4216" w:type="pct"/>
            <w:gridSpan w:val="3"/>
          </w:tcPr>
          <w:p w:rsidR="00022DCB" w:rsidRPr="0022357A" w:rsidRDefault="00022DCB" w:rsidP="0027437A">
            <w:pPr>
              <w:pStyle w:val="Tabletext"/>
              <w:keepNext/>
              <w:jc w:val="center"/>
              <w:rPr>
                <w:b/>
              </w:rPr>
            </w:pPr>
            <w:r w:rsidRPr="0022357A">
              <w:rPr>
                <w:b/>
              </w:rPr>
              <w:t>Economic evaluation</w:t>
            </w:r>
          </w:p>
        </w:tc>
      </w:tr>
      <w:tr w:rsidR="00022DCB" w:rsidRPr="0022357A" w:rsidTr="00A91A99">
        <w:tc>
          <w:tcPr>
            <w:tcW w:w="784" w:type="pct"/>
            <w:vMerge/>
            <w:vAlign w:val="center"/>
          </w:tcPr>
          <w:p w:rsidR="00022DCB" w:rsidRPr="0022357A" w:rsidRDefault="00022DCB" w:rsidP="0027437A">
            <w:pPr>
              <w:pStyle w:val="Tabletext"/>
              <w:keepNext/>
            </w:pPr>
          </w:p>
        </w:tc>
        <w:tc>
          <w:tcPr>
            <w:tcW w:w="1336" w:type="pct"/>
          </w:tcPr>
          <w:p w:rsidR="00022DCB" w:rsidRPr="0022357A" w:rsidRDefault="00022DCB" w:rsidP="0027437A">
            <w:pPr>
              <w:pStyle w:val="Tabletext"/>
              <w:keepNext/>
            </w:pPr>
            <w:r w:rsidRPr="0022357A">
              <w:rPr>
                <w:b/>
              </w:rPr>
              <w:t>Cost per responder (ORR)</w:t>
            </w:r>
          </w:p>
        </w:tc>
        <w:tc>
          <w:tcPr>
            <w:tcW w:w="1630" w:type="pct"/>
            <w:vAlign w:val="center"/>
          </w:tcPr>
          <w:p w:rsidR="00022DCB" w:rsidRPr="0022357A" w:rsidRDefault="00022DCB" w:rsidP="0027437A">
            <w:pPr>
              <w:pStyle w:val="Tabletext"/>
              <w:keepNext/>
            </w:pPr>
            <w:r w:rsidRPr="0022357A">
              <w:rPr>
                <w:b/>
              </w:rPr>
              <w:t>Cost per responder ( ≥ 25% mSWAT)</w:t>
            </w:r>
          </w:p>
        </w:tc>
        <w:tc>
          <w:tcPr>
            <w:tcW w:w="1250" w:type="pct"/>
          </w:tcPr>
          <w:p w:rsidR="00022DCB" w:rsidRPr="0022357A" w:rsidRDefault="00022DCB" w:rsidP="0027437A">
            <w:pPr>
              <w:pStyle w:val="Tabletext"/>
              <w:keepNext/>
            </w:pPr>
            <w:r w:rsidRPr="0022357A">
              <w:rPr>
                <w:b/>
              </w:rPr>
              <w:t>Cost-utility analysis</w:t>
            </w:r>
          </w:p>
        </w:tc>
      </w:tr>
      <w:tr w:rsidR="00022DCB" w:rsidRPr="0022357A" w:rsidTr="00A91A99">
        <w:tc>
          <w:tcPr>
            <w:tcW w:w="784" w:type="pct"/>
            <w:vAlign w:val="center"/>
          </w:tcPr>
          <w:p w:rsidR="00022DCB" w:rsidRPr="0022357A" w:rsidRDefault="00022DCB" w:rsidP="0027437A">
            <w:pPr>
              <w:pStyle w:val="Tabletext"/>
              <w:keepNext/>
            </w:pPr>
            <w:r w:rsidRPr="0022357A">
              <w:t>Type of analysis</w:t>
            </w:r>
          </w:p>
        </w:tc>
        <w:tc>
          <w:tcPr>
            <w:tcW w:w="1336" w:type="pct"/>
          </w:tcPr>
          <w:p w:rsidR="00022DCB" w:rsidRPr="0022357A" w:rsidRDefault="00022DCB" w:rsidP="0027437A">
            <w:pPr>
              <w:pStyle w:val="Tabletext"/>
              <w:keepNext/>
            </w:pPr>
            <w:r w:rsidRPr="0022357A">
              <w:t>CEA</w:t>
            </w:r>
          </w:p>
        </w:tc>
        <w:tc>
          <w:tcPr>
            <w:tcW w:w="1630" w:type="pct"/>
            <w:vAlign w:val="center"/>
          </w:tcPr>
          <w:p w:rsidR="00022DCB" w:rsidRPr="0022357A" w:rsidRDefault="00022DCB" w:rsidP="0027437A">
            <w:pPr>
              <w:pStyle w:val="Tabletext"/>
              <w:keepNext/>
            </w:pPr>
            <w:r w:rsidRPr="0022357A">
              <w:t>CEA</w:t>
            </w:r>
          </w:p>
        </w:tc>
        <w:tc>
          <w:tcPr>
            <w:tcW w:w="1250" w:type="pct"/>
          </w:tcPr>
          <w:p w:rsidR="00022DCB" w:rsidRPr="0022357A" w:rsidRDefault="00022DCB" w:rsidP="0027437A">
            <w:pPr>
              <w:pStyle w:val="Tabletext"/>
              <w:keepNext/>
            </w:pPr>
            <w:r w:rsidRPr="0022357A">
              <w:t>CUA</w:t>
            </w:r>
          </w:p>
        </w:tc>
      </w:tr>
      <w:tr w:rsidR="00022DCB" w:rsidRPr="0022357A" w:rsidTr="00A91A99">
        <w:tc>
          <w:tcPr>
            <w:tcW w:w="784" w:type="pct"/>
            <w:vAlign w:val="center"/>
          </w:tcPr>
          <w:p w:rsidR="00022DCB" w:rsidRPr="0022357A" w:rsidRDefault="00022DCB" w:rsidP="0027437A">
            <w:pPr>
              <w:pStyle w:val="Tabletext"/>
              <w:keepNext/>
            </w:pPr>
            <w:r w:rsidRPr="0022357A">
              <w:t>Outcome</w:t>
            </w:r>
          </w:p>
        </w:tc>
        <w:tc>
          <w:tcPr>
            <w:tcW w:w="1336" w:type="pct"/>
          </w:tcPr>
          <w:p w:rsidR="00022DCB" w:rsidRPr="0022357A" w:rsidRDefault="00022DCB" w:rsidP="0027437A">
            <w:pPr>
              <w:pStyle w:val="Tabletext"/>
              <w:keepNext/>
            </w:pPr>
            <w:r w:rsidRPr="0022357A">
              <w:t xml:space="preserve">ORR </w:t>
            </w:r>
          </w:p>
        </w:tc>
        <w:tc>
          <w:tcPr>
            <w:tcW w:w="1630" w:type="pct"/>
            <w:vAlign w:val="center"/>
          </w:tcPr>
          <w:p w:rsidR="00022DCB" w:rsidRPr="0022357A" w:rsidRDefault="00022DCB" w:rsidP="0027437A">
            <w:pPr>
              <w:pStyle w:val="Tabletext"/>
              <w:keepNext/>
            </w:pPr>
            <w:r w:rsidRPr="0022357A">
              <w:t xml:space="preserve"> ≥ 25% mSWAT </w:t>
            </w:r>
          </w:p>
        </w:tc>
        <w:tc>
          <w:tcPr>
            <w:tcW w:w="1250" w:type="pct"/>
          </w:tcPr>
          <w:p w:rsidR="00022DCB" w:rsidRPr="0022357A" w:rsidRDefault="00022DCB" w:rsidP="0027437A">
            <w:pPr>
              <w:pStyle w:val="Tabletext"/>
              <w:keepNext/>
            </w:pPr>
            <w:r w:rsidRPr="0022357A">
              <w:t xml:space="preserve">QALYs </w:t>
            </w:r>
          </w:p>
        </w:tc>
      </w:tr>
      <w:tr w:rsidR="00022DCB" w:rsidRPr="0022357A" w:rsidTr="00A91A99">
        <w:tc>
          <w:tcPr>
            <w:tcW w:w="784" w:type="pct"/>
            <w:vAlign w:val="center"/>
          </w:tcPr>
          <w:p w:rsidR="00022DCB" w:rsidRPr="0022357A" w:rsidRDefault="00022DCB" w:rsidP="0027437A">
            <w:pPr>
              <w:pStyle w:val="Tabletext"/>
              <w:keepNext/>
            </w:pPr>
            <w:r w:rsidRPr="0022357A">
              <w:t>Comparators</w:t>
            </w:r>
          </w:p>
        </w:tc>
        <w:tc>
          <w:tcPr>
            <w:tcW w:w="1336" w:type="pct"/>
          </w:tcPr>
          <w:p w:rsidR="00022DCB" w:rsidRPr="0022357A" w:rsidRDefault="00022DCB" w:rsidP="0027437A">
            <w:pPr>
              <w:pStyle w:val="Tabletext"/>
              <w:keepNext/>
            </w:pPr>
            <w:r w:rsidRPr="0022357A">
              <w:t xml:space="preserve">Vorinostat </w:t>
            </w:r>
          </w:p>
          <w:p w:rsidR="00022DCB" w:rsidRPr="0022357A" w:rsidRDefault="00022DCB" w:rsidP="0027437A">
            <w:pPr>
              <w:pStyle w:val="Tabletext"/>
              <w:keepNext/>
            </w:pPr>
            <w:r w:rsidRPr="0022357A">
              <w:t>Methotrexate</w:t>
            </w:r>
          </w:p>
          <w:p w:rsidR="00022DCB" w:rsidRPr="0022357A" w:rsidRDefault="00022DCB" w:rsidP="0027437A">
            <w:pPr>
              <w:pStyle w:val="Tabletext"/>
              <w:keepNext/>
            </w:pPr>
            <w:r w:rsidRPr="0022357A">
              <w:t>No treatment</w:t>
            </w:r>
          </w:p>
        </w:tc>
        <w:tc>
          <w:tcPr>
            <w:tcW w:w="1630" w:type="pct"/>
          </w:tcPr>
          <w:p w:rsidR="00022DCB" w:rsidRPr="0022357A" w:rsidRDefault="00022DCB" w:rsidP="0027437A">
            <w:pPr>
              <w:pStyle w:val="Tabletext"/>
              <w:keepNext/>
            </w:pPr>
            <w:r w:rsidRPr="0022357A">
              <w:t xml:space="preserve">Vorinostat </w:t>
            </w:r>
          </w:p>
          <w:p w:rsidR="00022DCB" w:rsidRPr="0022357A" w:rsidRDefault="00022DCB" w:rsidP="0027437A">
            <w:pPr>
              <w:pStyle w:val="Tabletext"/>
              <w:keepNext/>
            </w:pPr>
            <w:r w:rsidRPr="0022357A">
              <w:t>Methotrexate</w:t>
            </w:r>
          </w:p>
          <w:p w:rsidR="00022DCB" w:rsidRPr="0022357A" w:rsidRDefault="00022DCB" w:rsidP="0027437A">
            <w:pPr>
              <w:pStyle w:val="Tabletext"/>
              <w:keepNext/>
            </w:pPr>
            <w:r w:rsidRPr="0022357A">
              <w:t>No treatment</w:t>
            </w:r>
          </w:p>
        </w:tc>
        <w:tc>
          <w:tcPr>
            <w:tcW w:w="1250" w:type="pct"/>
          </w:tcPr>
          <w:p w:rsidR="00022DCB" w:rsidRPr="0022357A" w:rsidRDefault="00022DCB" w:rsidP="0027437A">
            <w:pPr>
              <w:pStyle w:val="Tabletext"/>
              <w:keepNext/>
            </w:pPr>
            <w:r w:rsidRPr="0022357A">
              <w:t xml:space="preserve">Vorinostat </w:t>
            </w:r>
          </w:p>
          <w:p w:rsidR="00022DCB" w:rsidRPr="0022357A" w:rsidRDefault="00022DCB" w:rsidP="0027437A">
            <w:pPr>
              <w:pStyle w:val="Tabletext"/>
              <w:keepNext/>
            </w:pPr>
            <w:r w:rsidRPr="0022357A">
              <w:t>Methotrexate</w:t>
            </w:r>
          </w:p>
        </w:tc>
      </w:tr>
      <w:tr w:rsidR="00022DCB" w:rsidRPr="0022357A" w:rsidTr="00A91A99">
        <w:tc>
          <w:tcPr>
            <w:tcW w:w="784" w:type="pct"/>
            <w:vAlign w:val="center"/>
          </w:tcPr>
          <w:p w:rsidR="00022DCB" w:rsidRPr="0022357A" w:rsidRDefault="00022DCB" w:rsidP="0027437A">
            <w:pPr>
              <w:pStyle w:val="Tabletext"/>
              <w:keepNext/>
            </w:pPr>
            <w:r w:rsidRPr="0022357A">
              <w:t>Time horizon</w:t>
            </w:r>
          </w:p>
        </w:tc>
        <w:tc>
          <w:tcPr>
            <w:tcW w:w="1336" w:type="pct"/>
          </w:tcPr>
          <w:p w:rsidR="00022DCB" w:rsidRPr="0022357A" w:rsidRDefault="00022DCB" w:rsidP="0027437A">
            <w:pPr>
              <w:pStyle w:val="Tabletext"/>
              <w:keepNext/>
            </w:pPr>
            <w:r w:rsidRPr="0022357A">
              <w:t>2.71 years</w:t>
            </w:r>
          </w:p>
        </w:tc>
        <w:tc>
          <w:tcPr>
            <w:tcW w:w="1630" w:type="pct"/>
          </w:tcPr>
          <w:p w:rsidR="00022DCB" w:rsidRPr="0022357A" w:rsidRDefault="00022DCB" w:rsidP="0027437A">
            <w:pPr>
              <w:pStyle w:val="Tabletext"/>
              <w:keepNext/>
            </w:pPr>
            <w:r w:rsidRPr="0022357A">
              <w:t>2.71 years</w:t>
            </w:r>
          </w:p>
        </w:tc>
        <w:tc>
          <w:tcPr>
            <w:tcW w:w="1250" w:type="pct"/>
          </w:tcPr>
          <w:p w:rsidR="00022DCB" w:rsidRPr="0022357A" w:rsidRDefault="00022DCB" w:rsidP="0027437A">
            <w:pPr>
              <w:pStyle w:val="Tabletext"/>
              <w:keepNext/>
            </w:pPr>
            <w:r w:rsidRPr="0022357A">
              <w:t>2.71 years</w:t>
            </w:r>
          </w:p>
        </w:tc>
      </w:tr>
      <w:tr w:rsidR="00022DCB" w:rsidRPr="0022357A" w:rsidTr="00A91A99">
        <w:tc>
          <w:tcPr>
            <w:tcW w:w="784" w:type="pct"/>
            <w:vAlign w:val="center"/>
          </w:tcPr>
          <w:p w:rsidR="00022DCB" w:rsidRPr="0022357A" w:rsidRDefault="00022DCB" w:rsidP="0027437A">
            <w:pPr>
              <w:pStyle w:val="Tabletext"/>
              <w:keepNext/>
            </w:pPr>
            <w:r w:rsidRPr="0022357A">
              <w:t>Cycle length</w:t>
            </w:r>
          </w:p>
        </w:tc>
        <w:tc>
          <w:tcPr>
            <w:tcW w:w="1336" w:type="pct"/>
          </w:tcPr>
          <w:p w:rsidR="00022DCB" w:rsidRPr="0022357A" w:rsidRDefault="00022DCB" w:rsidP="0027437A">
            <w:pPr>
              <w:pStyle w:val="Tabletext"/>
              <w:keepNext/>
            </w:pPr>
            <w:r w:rsidRPr="0022357A">
              <w:t>21 days</w:t>
            </w:r>
          </w:p>
        </w:tc>
        <w:tc>
          <w:tcPr>
            <w:tcW w:w="1630" w:type="pct"/>
            <w:vAlign w:val="center"/>
          </w:tcPr>
          <w:p w:rsidR="00022DCB" w:rsidRPr="0022357A" w:rsidRDefault="00022DCB" w:rsidP="0027437A">
            <w:pPr>
              <w:pStyle w:val="Tabletext"/>
              <w:keepNext/>
            </w:pPr>
            <w:r w:rsidRPr="0022357A">
              <w:t>21 days</w:t>
            </w:r>
          </w:p>
        </w:tc>
        <w:tc>
          <w:tcPr>
            <w:tcW w:w="1250" w:type="pct"/>
          </w:tcPr>
          <w:p w:rsidR="00022DCB" w:rsidRPr="0022357A" w:rsidRDefault="00022DCB" w:rsidP="0027437A">
            <w:pPr>
              <w:pStyle w:val="Tabletext"/>
              <w:keepNext/>
            </w:pPr>
            <w:r w:rsidRPr="0022357A">
              <w:t>21 days</w:t>
            </w:r>
          </w:p>
        </w:tc>
      </w:tr>
      <w:tr w:rsidR="00022DCB" w:rsidRPr="0022357A" w:rsidTr="00A91A99">
        <w:tc>
          <w:tcPr>
            <w:tcW w:w="784" w:type="pct"/>
            <w:vAlign w:val="center"/>
          </w:tcPr>
          <w:p w:rsidR="00022DCB" w:rsidRPr="0022357A" w:rsidRDefault="00022DCB" w:rsidP="0027437A">
            <w:pPr>
              <w:pStyle w:val="Tabletext"/>
              <w:keepNext/>
            </w:pPr>
            <w:r w:rsidRPr="0022357A">
              <w:t>Post-progression costs</w:t>
            </w:r>
          </w:p>
        </w:tc>
        <w:tc>
          <w:tcPr>
            <w:tcW w:w="1336" w:type="pct"/>
          </w:tcPr>
          <w:p w:rsidR="00022DCB" w:rsidRPr="0022357A" w:rsidRDefault="00022DCB" w:rsidP="0027437A">
            <w:pPr>
              <w:pStyle w:val="Tabletext"/>
              <w:keepNext/>
            </w:pPr>
            <w:r w:rsidRPr="0022357A">
              <w:t>Yes (Vorinostat and methotrexate only)</w:t>
            </w:r>
          </w:p>
        </w:tc>
        <w:tc>
          <w:tcPr>
            <w:tcW w:w="1630" w:type="pct"/>
          </w:tcPr>
          <w:p w:rsidR="00022DCB" w:rsidRPr="0022357A" w:rsidRDefault="00022DCB" w:rsidP="0027437A">
            <w:pPr>
              <w:pStyle w:val="Tabletext"/>
              <w:keepNext/>
            </w:pPr>
            <w:r w:rsidRPr="0022357A">
              <w:t>Yes (Vorinostat and methotrexate only)</w:t>
            </w:r>
          </w:p>
        </w:tc>
        <w:tc>
          <w:tcPr>
            <w:tcW w:w="1250" w:type="pct"/>
          </w:tcPr>
          <w:p w:rsidR="00022DCB" w:rsidRPr="0022357A" w:rsidRDefault="00022DCB" w:rsidP="0027437A">
            <w:pPr>
              <w:pStyle w:val="Tabletext"/>
              <w:keepNext/>
            </w:pPr>
            <w:r w:rsidRPr="0022357A">
              <w:t>Yes (Vorinostat and methotrexate only)</w:t>
            </w:r>
          </w:p>
        </w:tc>
      </w:tr>
      <w:tr w:rsidR="00022DCB" w:rsidRPr="0022357A" w:rsidTr="00A91A99">
        <w:tc>
          <w:tcPr>
            <w:tcW w:w="784" w:type="pct"/>
            <w:vAlign w:val="center"/>
          </w:tcPr>
          <w:p w:rsidR="00022DCB" w:rsidRPr="0022357A" w:rsidRDefault="00022DCB" w:rsidP="0027437A">
            <w:pPr>
              <w:pStyle w:val="Tabletext"/>
              <w:keepNext/>
            </w:pPr>
            <w:r w:rsidRPr="0022357A">
              <w:t>Discounting (5%)</w:t>
            </w:r>
          </w:p>
        </w:tc>
        <w:tc>
          <w:tcPr>
            <w:tcW w:w="1336" w:type="pct"/>
          </w:tcPr>
          <w:p w:rsidR="00022DCB" w:rsidRPr="0022357A" w:rsidRDefault="00022DCB" w:rsidP="0027437A">
            <w:pPr>
              <w:pStyle w:val="Tabletext"/>
              <w:keepNext/>
            </w:pPr>
            <w:r w:rsidRPr="0022357A">
              <w:t>Outcomes: No</w:t>
            </w:r>
          </w:p>
          <w:p w:rsidR="00022DCB" w:rsidRPr="0022357A" w:rsidRDefault="00022DCB" w:rsidP="0027437A">
            <w:pPr>
              <w:pStyle w:val="Tabletext"/>
              <w:keepNext/>
            </w:pPr>
            <w:r w:rsidRPr="0022357A">
              <w:t>Costs: Yes</w:t>
            </w:r>
          </w:p>
        </w:tc>
        <w:tc>
          <w:tcPr>
            <w:tcW w:w="1630" w:type="pct"/>
          </w:tcPr>
          <w:p w:rsidR="00022DCB" w:rsidRPr="0022357A" w:rsidRDefault="00022DCB" w:rsidP="0027437A">
            <w:pPr>
              <w:pStyle w:val="Tabletext"/>
              <w:keepNext/>
            </w:pPr>
            <w:r w:rsidRPr="0022357A">
              <w:t>Outcomes: No</w:t>
            </w:r>
          </w:p>
          <w:p w:rsidR="00022DCB" w:rsidRPr="0022357A" w:rsidRDefault="00022DCB" w:rsidP="0027437A">
            <w:pPr>
              <w:pStyle w:val="Tabletext"/>
              <w:keepNext/>
            </w:pPr>
            <w:r w:rsidRPr="0022357A">
              <w:t>Costs: Yes</w:t>
            </w:r>
          </w:p>
        </w:tc>
        <w:tc>
          <w:tcPr>
            <w:tcW w:w="1250" w:type="pct"/>
          </w:tcPr>
          <w:p w:rsidR="00022DCB" w:rsidRPr="0022357A" w:rsidRDefault="00022DCB" w:rsidP="0027437A">
            <w:pPr>
              <w:pStyle w:val="Tabletext"/>
              <w:keepNext/>
            </w:pPr>
            <w:r w:rsidRPr="0022357A">
              <w:t>Outcomes: Yes</w:t>
            </w:r>
          </w:p>
          <w:p w:rsidR="00022DCB" w:rsidRPr="0022357A" w:rsidRDefault="00022DCB" w:rsidP="0027437A">
            <w:pPr>
              <w:pStyle w:val="Tabletext"/>
              <w:keepNext/>
            </w:pPr>
            <w:r w:rsidRPr="0022357A">
              <w:t>Costs: Yes</w:t>
            </w:r>
          </w:p>
        </w:tc>
      </w:tr>
      <w:tr w:rsidR="00022DCB" w:rsidRPr="0022357A" w:rsidTr="00A91A99">
        <w:tc>
          <w:tcPr>
            <w:tcW w:w="784" w:type="pct"/>
            <w:vAlign w:val="center"/>
          </w:tcPr>
          <w:p w:rsidR="00022DCB" w:rsidRPr="0022357A" w:rsidRDefault="00022DCB" w:rsidP="0027437A">
            <w:pPr>
              <w:pStyle w:val="Tabletext"/>
              <w:keepNext/>
            </w:pPr>
            <w:r w:rsidRPr="0022357A">
              <w:t>Computational method</w:t>
            </w:r>
          </w:p>
        </w:tc>
        <w:tc>
          <w:tcPr>
            <w:tcW w:w="1336" w:type="pct"/>
          </w:tcPr>
          <w:p w:rsidR="00022DCB" w:rsidRPr="0022357A" w:rsidRDefault="00022DCB" w:rsidP="0027437A">
            <w:pPr>
              <w:pStyle w:val="Tabletext"/>
              <w:keepNext/>
            </w:pPr>
            <w:r w:rsidRPr="0022357A">
              <w:t>Δ</w:t>
            </w:r>
            <w:r w:rsidR="00B06583">
              <w:t xml:space="preserve"> </w:t>
            </w:r>
            <w:r w:rsidRPr="0022357A">
              <w:t>Costs/Δ</w:t>
            </w:r>
            <w:r w:rsidR="00B06583">
              <w:t xml:space="preserve"> </w:t>
            </w:r>
            <w:r w:rsidRPr="0022357A">
              <w:t xml:space="preserve">response rate. </w:t>
            </w:r>
          </w:p>
          <w:p w:rsidR="00022DCB" w:rsidRPr="0022357A" w:rsidRDefault="00022DCB" w:rsidP="0027437A">
            <w:pPr>
              <w:pStyle w:val="Tabletext"/>
              <w:keepNext/>
            </w:pPr>
            <w:r w:rsidRPr="0022357A">
              <w:t>PSM for drug costs (during PFS) and PD costs (after PFS) (discounted).</w:t>
            </w:r>
            <w:r w:rsidRPr="0022357A">
              <w:rPr>
                <w:vertAlign w:val="superscript"/>
              </w:rPr>
              <w:t>a</w:t>
            </w:r>
            <w:r w:rsidRPr="0022357A">
              <w:t xml:space="preserve"> Reponses not discounted. </w:t>
            </w:r>
          </w:p>
        </w:tc>
        <w:tc>
          <w:tcPr>
            <w:tcW w:w="1630" w:type="pct"/>
          </w:tcPr>
          <w:p w:rsidR="00022DCB" w:rsidRPr="0022357A" w:rsidRDefault="00022DCB" w:rsidP="0027437A">
            <w:pPr>
              <w:pStyle w:val="Tabletext"/>
              <w:keepNext/>
            </w:pPr>
            <w:r w:rsidRPr="0022357A">
              <w:t>Δ</w:t>
            </w:r>
            <w:r w:rsidR="00B06583">
              <w:t xml:space="preserve"> </w:t>
            </w:r>
            <w:r w:rsidRPr="0022357A">
              <w:t>Costs/Δ</w:t>
            </w:r>
            <w:r w:rsidR="00B06583">
              <w:t xml:space="preserve"> </w:t>
            </w:r>
            <w:r w:rsidRPr="0022357A">
              <w:t xml:space="preserve">response rate. </w:t>
            </w:r>
          </w:p>
          <w:p w:rsidR="00022DCB" w:rsidRPr="0022357A" w:rsidRDefault="00022DCB" w:rsidP="0027437A">
            <w:pPr>
              <w:pStyle w:val="Tabletext"/>
              <w:keepNext/>
            </w:pPr>
            <w:r w:rsidRPr="0022357A">
              <w:t>PSM for drug costs (during PFS) and PD</w:t>
            </w:r>
            <w:r w:rsidR="002730A5" w:rsidRPr="0022357A">
              <w:t xml:space="preserve"> costs (after PFS) (discounted)</w:t>
            </w:r>
            <w:r w:rsidRPr="0022357A">
              <w:rPr>
                <w:vertAlign w:val="superscript"/>
              </w:rPr>
              <w:t xml:space="preserve"> a</w:t>
            </w:r>
            <w:r w:rsidR="002730A5" w:rsidRPr="0022357A">
              <w:t>.</w:t>
            </w:r>
            <w:r w:rsidRPr="0022357A">
              <w:t xml:space="preserve"> Reponses not discounted.</w:t>
            </w:r>
          </w:p>
        </w:tc>
        <w:tc>
          <w:tcPr>
            <w:tcW w:w="1250" w:type="pct"/>
          </w:tcPr>
          <w:p w:rsidR="00022DCB" w:rsidRPr="0022357A" w:rsidRDefault="00022DCB" w:rsidP="0027437A">
            <w:pPr>
              <w:pStyle w:val="Tabletext"/>
              <w:keepNext/>
            </w:pPr>
            <w:r w:rsidRPr="0022357A">
              <w:t>Δ</w:t>
            </w:r>
            <w:r w:rsidR="00B06583">
              <w:t xml:space="preserve"> </w:t>
            </w:r>
            <w:r w:rsidRPr="0022357A">
              <w:t>Costs/Δ</w:t>
            </w:r>
            <w:r w:rsidR="00B06583">
              <w:t xml:space="preserve"> </w:t>
            </w:r>
            <w:r w:rsidRPr="0022357A">
              <w:t xml:space="preserve">QALY. </w:t>
            </w:r>
          </w:p>
          <w:p w:rsidR="00022DCB" w:rsidRPr="0022357A" w:rsidRDefault="00022DCB" w:rsidP="0027437A">
            <w:pPr>
              <w:pStyle w:val="Tabletext"/>
              <w:keepNext/>
            </w:pPr>
            <w:r w:rsidRPr="0022357A">
              <w:t>Costs/PFS LYG.</w:t>
            </w:r>
          </w:p>
          <w:p w:rsidR="00022DCB" w:rsidRPr="0022357A" w:rsidRDefault="00022DCB" w:rsidP="0027437A">
            <w:pPr>
              <w:pStyle w:val="Tabletext"/>
              <w:keepNext/>
            </w:pPr>
            <w:r w:rsidRPr="0022357A">
              <w:t>PSM for costs and outcomes (discounted).</w:t>
            </w:r>
          </w:p>
        </w:tc>
      </w:tr>
      <w:tr w:rsidR="00022DCB" w:rsidRPr="0022357A" w:rsidTr="00A91A99">
        <w:tc>
          <w:tcPr>
            <w:tcW w:w="784" w:type="pct"/>
            <w:vAlign w:val="center"/>
          </w:tcPr>
          <w:p w:rsidR="00022DCB" w:rsidRPr="0022357A" w:rsidRDefault="00022DCB" w:rsidP="0027437A">
            <w:pPr>
              <w:pStyle w:val="Tabletext"/>
              <w:keepNext/>
            </w:pPr>
            <w:r w:rsidRPr="0022357A">
              <w:t>Transition probabilities</w:t>
            </w:r>
          </w:p>
        </w:tc>
        <w:tc>
          <w:tcPr>
            <w:tcW w:w="1336" w:type="pct"/>
          </w:tcPr>
          <w:p w:rsidR="00022DCB" w:rsidRPr="0022357A" w:rsidRDefault="00022DCB" w:rsidP="0027437A">
            <w:pPr>
              <w:pStyle w:val="Tabletext"/>
              <w:keepNext/>
            </w:pPr>
            <w:r w:rsidRPr="0022357A">
              <w:t xml:space="preserve">Response rates from studies. PFS KM for drug and PD costs. </w:t>
            </w:r>
          </w:p>
        </w:tc>
        <w:tc>
          <w:tcPr>
            <w:tcW w:w="1630" w:type="pct"/>
            <w:vAlign w:val="center"/>
          </w:tcPr>
          <w:p w:rsidR="00022DCB" w:rsidRPr="0022357A" w:rsidRDefault="00022DCB" w:rsidP="0027437A">
            <w:pPr>
              <w:pStyle w:val="Tabletext"/>
              <w:keepNext/>
            </w:pPr>
            <w:r w:rsidRPr="0022357A">
              <w:t>Response rates from studies. PFS KM for drug and PD costs.</w:t>
            </w:r>
          </w:p>
        </w:tc>
        <w:tc>
          <w:tcPr>
            <w:tcW w:w="1250" w:type="pct"/>
          </w:tcPr>
          <w:p w:rsidR="00022DCB" w:rsidRPr="0022357A" w:rsidRDefault="00022DCB" w:rsidP="0027437A">
            <w:pPr>
              <w:pStyle w:val="Tabletext"/>
              <w:keepNext/>
            </w:pPr>
            <w:r w:rsidRPr="0022357A">
              <w:t>PFS KM from included studies</w:t>
            </w:r>
          </w:p>
        </w:tc>
      </w:tr>
      <w:tr w:rsidR="00022DCB" w:rsidRPr="0022357A" w:rsidTr="00A91A99">
        <w:tc>
          <w:tcPr>
            <w:tcW w:w="784" w:type="pct"/>
            <w:vAlign w:val="center"/>
          </w:tcPr>
          <w:p w:rsidR="00022DCB" w:rsidRPr="0022357A" w:rsidRDefault="00022DCB" w:rsidP="0027437A">
            <w:pPr>
              <w:pStyle w:val="Tabletext"/>
              <w:keepNext/>
            </w:pPr>
            <w:r w:rsidRPr="0022357A">
              <w:t>Software package</w:t>
            </w:r>
          </w:p>
        </w:tc>
        <w:tc>
          <w:tcPr>
            <w:tcW w:w="4216" w:type="pct"/>
            <w:gridSpan w:val="3"/>
          </w:tcPr>
          <w:p w:rsidR="00022DCB" w:rsidRPr="0022357A" w:rsidRDefault="00022DCB" w:rsidP="0027437A">
            <w:pPr>
              <w:pStyle w:val="Tabletext"/>
              <w:keepNext/>
            </w:pPr>
            <w:r w:rsidRPr="0022357A">
              <w:t>Excel 2016 (single model structure for all analyses)</w:t>
            </w:r>
          </w:p>
        </w:tc>
      </w:tr>
    </w:tbl>
    <w:p w:rsidR="00022DCB" w:rsidRPr="0022357A" w:rsidRDefault="00022DCB" w:rsidP="00022DCB">
      <w:pPr>
        <w:pStyle w:val="TableFooter"/>
      </w:pPr>
      <w:r w:rsidRPr="0022357A">
        <w:t xml:space="preserve">Source: Table 3.1-2, p153 of the submission </w:t>
      </w:r>
    </w:p>
    <w:p w:rsidR="00022DCB" w:rsidRPr="0022357A" w:rsidRDefault="00022DCB" w:rsidP="00022DCB">
      <w:pPr>
        <w:pStyle w:val="TableFooter"/>
      </w:pPr>
      <w:r w:rsidRPr="0022357A">
        <w:t>Δ = change in; CEA = cost-effectiveness analysis; CUA = cost-utility analysis; KM = Kaplan-Meier; LYG = life year gained; mSWAT = modified severity-weighted assessment tool; ORR = objective response rate; PFS = progression-free survival; PD = progressive disease; PSM = partitioned survival model QALY = quality-adjusted life year;</w:t>
      </w:r>
    </w:p>
    <w:p w:rsidR="00022DCB" w:rsidRDefault="00022DCB" w:rsidP="00022DCB">
      <w:pPr>
        <w:pStyle w:val="TableFooter"/>
      </w:pPr>
      <w:proofErr w:type="gramStart"/>
      <w:r w:rsidRPr="0022357A">
        <w:rPr>
          <w:vertAlign w:val="superscript"/>
        </w:rPr>
        <w:t>a</w:t>
      </w:r>
      <w:proofErr w:type="gramEnd"/>
      <w:r w:rsidRPr="0022357A">
        <w:rPr>
          <w:vertAlign w:val="superscript"/>
        </w:rPr>
        <w:t xml:space="preserve"> </w:t>
      </w:r>
      <w:r w:rsidRPr="0022357A">
        <w:t>PD</w:t>
      </w:r>
      <w:r w:rsidR="00E47185" w:rsidRPr="0022357A">
        <w:t xml:space="preserve"> </w:t>
      </w:r>
      <w:r w:rsidRPr="0022357A">
        <w:t xml:space="preserve">monitoring costs were attributed to the proportion of comparator patients with “excess” progressive disease (i.e. comparator progressive disease % - brentuximab vedotin progressive disease %). </w:t>
      </w:r>
    </w:p>
    <w:p w:rsidR="00B36499" w:rsidRPr="0022357A" w:rsidRDefault="00B36499" w:rsidP="00022DCB">
      <w:pPr>
        <w:pStyle w:val="TableFooter"/>
        <w:rPr>
          <w:rStyle w:val="CommentReference"/>
        </w:rPr>
      </w:pPr>
    </w:p>
    <w:p w:rsidR="006261E3" w:rsidRPr="0022357A" w:rsidRDefault="00022DCB" w:rsidP="00022DCB">
      <w:pPr>
        <w:pStyle w:val="ListParagraph"/>
        <w:numPr>
          <w:ilvl w:val="1"/>
          <w:numId w:val="3"/>
        </w:numPr>
      </w:pPr>
      <w:r w:rsidRPr="0022357A">
        <w:t xml:space="preserve">The cost per responder </w:t>
      </w:r>
      <w:r w:rsidR="006261E3" w:rsidRPr="0022357A">
        <w:t xml:space="preserve">(ORR) </w:t>
      </w:r>
      <w:r w:rsidRPr="0022357A">
        <w:t xml:space="preserve">analyses used study-based </w:t>
      </w:r>
      <w:r w:rsidR="00E47185" w:rsidRPr="0022357A">
        <w:t>response</w:t>
      </w:r>
      <w:r w:rsidRPr="0022357A">
        <w:t xml:space="preserve"> outcomes </w:t>
      </w:r>
      <w:r w:rsidR="006261E3" w:rsidRPr="0022357A">
        <w:t>from the ALCANZA trial (brentuximab vedotin and methotrexate subgroup) and</w:t>
      </w:r>
      <w:r w:rsidR="00ED4125" w:rsidRPr="0022357A">
        <w:t xml:space="preserve"> the MAVORIC trial (vorinostat</w:t>
      </w:r>
      <w:r w:rsidR="006261E3" w:rsidRPr="0022357A">
        <w:t xml:space="preserve">) </w:t>
      </w:r>
      <w:r w:rsidRPr="0022357A">
        <w:t xml:space="preserve">to determine the additional responders with brentuximab vedotin. </w:t>
      </w:r>
      <w:r w:rsidR="006261E3" w:rsidRPr="0022357A">
        <w:t>The cost per responder (mSWAT) analyses used study-based response outcomes (≥ 25% mSWAT improvement) from the ALCANZA trial (brentuximab vedotin and methotrexate subgroup) and the P001/P005 trials (</w:t>
      </w:r>
      <w:r w:rsidR="00ED4125" w:rsidRPr="0022357A">
        <w:t>vorinostat</w:t>
      </w:r>
      <w:r w:rsidR="006261E3" w:rsidRPr="0022357A">
        <w:t xml:space="preserve">) to determine the additional responders with brentuximab vedotin. </w:t>
      </w:r>
    </w:p>
    <w:p w:rsidR="00022DCB" w:rsidRDefault="00022DCB" w:rsidP="00022DCB">
      <w:pPr>
        <w:pStyle w:val="ListParagraph"/>
        <w:numPr>
          <w:ilvl w:val="1"/>
          <w:numId w:val="3"/>
        </w:numPr>
      </w:pPr>
      <w:r w:rsidRPr="0022357A">
        <w:t xml:space="preserve">The cost utility analysis used a partitioned survival model (PSM) with two health states, progression-free and progressive disease. Patients received treatment while they were in the progression-free state and only incurred monitoring costs in the post-progression state. Both the cost per responder analyses and cost </w:t>
      </w:r>
      <w:r w:rsidR="00E47185" w:rsidRPr="0022357A">
        <w:t>utility</w:t>
      </w:r>
      <w:r w:rsidRPr="0022357A">
        <w:t xml:space="preserve"> analysis used the treatment and monitoring costs from the PSM. This did not reflect the clinical management algorithm, in which patients received several lines of therapy. Although treatment costs from the PFS-based partitioned survival model were applied to the cost per responder analyses, patients who were progression-free were not all responders. </w:t>
      </w:r>
      <w:r w:rsidR="003F639B" w:rsidRPr="0022357A">
        <w:t>P</w:t>
      </w:r>
      <w:r w:rsidRPr="0022357A">
        <w:t>atients with stable disease but insufficient response to be considered a responder (either ≥ 25% mSWAT improvement or 50% improvement for ORR)</w:t>
      </w:r>
      <w:r w:rsidR="00470B00">
        <w:t xml:space="preserve"> </w:t>
      </w:r>
      <w:r w:rsidRPr="0022357A">
        <w:t>were considered to be progression</w:t>
      </w:r>
      <w:r w:rsidRPr="0022357A">
        <w:noBreakHyphen/>
        <w:t xml:space="preserve">free. Additionally, the cost per responder analyses did not account for the potentially longer duration of response </w:t>
      </w:r>
      <w:r w:rsidRPr="0022357A">
        <w:lastRenderedPageBreak/>
        <w:t xml:space="preserve">associated with brentuximab vedotin. </w:t>
      </w:r>
    </w:p>
    <w:p w:rsidR="00244B16" w:rsidRPr="00C35104" w:rsidRDefault="00244B16" w:rsidP="00244B16">
      <w:pPr>
        <w:pStyle w:val="ListParagraph"/>
        <w:numPr>
          <w:ilvl w:val="1"/>
          <w:numId w:val="3"/>
        </w:numPr>
      </w:pPr>
      <w:r w:rsidRPr="00C35104">
        <w:t xml:space="preserve">The ESC noted that </w:t>
      </w:r>
      <w:r w:rsidR="00B36499">
        <w:t>TTNT</w:t>
      </w:r>
      <w:r w:rsidR="008333E0">
        <w:t xml:space="preserve"> </w:t>
      </w:r>
      <w:r w:rsidRPr="00C35104">
        <w:t xml:space="preserve">was considered by an Australian clinician to be closely related to PFS in CTCL. For the brentuximab vedotin arm, treatment was assumed to last 15 months, at which point 68% patients remained progression-free. </w:t>
      </w:r>
    </w:p>
    <w:p w:rsidR="004956CA" w:rsidRPr="0022357A" w:rsidRDefault="004956CA" w:rsidP="00022DCB">
      <w:pPr>
        <w:pStyle w:val="ListParagraph"/>
        <w:numPr>
          <w:ilvl w:val="1"/>
          <w:numId w:val="3"/>
        </w:numPr>
      </w:pPr>
      <w:r w:rsidRPr="0022357A">
        <w:t xml:space="preserve">The key drivers of the economic evaluations were ORR and PFS inputs. This may have favoured brentuximab vedotin for the reasons outlined in paragraphs </w:t>
      </w:r>
      <w:r w:rsidRPr="00B06583">
        <w:t>6.12 and 6.1</w:t>
      </w:r>
      <w:r w:rsidR="00704159">
        <w:t>5</w:t>
      </w:r>
      <w:r w:rsidRPr="0022357A">
        <w:t xml:space="preserve">. </w:t>
      </w:r>
    </w:p>
    <w:p w:rsidR="00AC17A7" w:rsidRPr="0022357A" w:rsidRDefault="00AC17A7" w:rsidP="00AC17A7">
      <w:pPr>
        <w:pStyle w:val="ListParagraph"/>
        <w:widowControl/>
        <w:numPr>
          <w:ilvl w:val="1"/>
          <w:numId w:val="3"/>
        </w:numPr>
      </w:pPr>
      <w:r w:rsidRPr="0022357A">
        <w:t>The utility values used in the cost-utility analysis were derived from EQ-5D-3L data mapped to Australian preference weights from all observations in the ALCANZA trial based on progression status. Th</w:t>
      </w:r>
      <w:r w:rsidR="00E75112">
        <w:t>ese</w:t>
      </w:r>
      <w:r w:rsidRPr="0022357A">
        <w:t xml:space="preserve"> data may </w:t>
      </w:r>
      <w:r w:rsidR="003F639B" w:rsidRPr="0022357A">
        <w:t xml:space="preserve">not </w:t>
      </w:r>
      <w:r w:rsidRPr="0022357A">
        <w:t xml:space="preserve">be applicable to the proposed PBS population because the utility of patients with CTCL would </w:t>
      </w:r>
      <w:r w:rsidR="003F639B" w:rsidRPr="0022357A">
        <w:t xml:space="preserve">be expected to </w:t>
      </w:r>
      <w:r w:rsidRPr="0022357A">
        <w:t xml:space="preserve">differ greatly with the extent of disease, CTCL subtype and the extent of response. </w:t>
      </w:r>
      <w:r w:rsidR="00085A3C" w:rsidRPr="0022357A">
        <w:t xml:space="preserve">Patients classified as progression free </w:t>
      </w:r>
      <w:r w:rsidRPr="0022357A">
        <w:t>included patients with stable disease and no CTCL improvement</w:t>
      </w:r>
      <w:r w:rsidRPr="008E10AD">
        <w:rPr>
          <w:i/>
        </w:rPr>
        <w:t>.</w:t>
      </w:r>
      <w:r w:rsidR="00244B16" w:rsidRPr="00244B16">
        <w:rPr>
          <w:i/>
        </w:rPr>
        <w:t xml:space="preserve"> </w:t>
      </w:r>
      <w:r w:rsidR="00244B16" w:rsidRPr="00C35104">
        <w:t xml:space="preserve">The PSCR noted that the aim of CTCL treatment was broader than skin response and more aligned with PFS because treatment is aimed at “maximising patients’ quality of life and ameliorating their symptoms, while minimising the toxicities of treatments. Inducing and maintaining remission are therefore major therapeutic goals” (Hughes et al 2016). </w:t>
      </w:r>
      <w:r w:rsidR="00513B47" w:rsidRPr="00C35104">
        <w:t>The ESC considered that s</w:t>
      </w:r>
      <w:r w:rsidR="00244B16" w:rsidRPr="00C35104">
        <w:t>kin response is likely to be important to most of the eligible PBS population. Hughes et al 2015 reported that the majority of Australian MF and SS patients requiring systemic therapy did not have nodal, visceral or blood involvement (70%, 97% and 69% respectively)</w:t>
      </w:r>
      <w:r w:rsidR="008E10AD" w:rsidRPr="00C35104">
        <w:t xml:space="preserve">. </w:t>
      </w:r>
      <w:r w:rsidRPr="0022357A">
        <w:t>The utilit</w:t>
      </w:r>
      <w:r w:rsidR="00E95B51" w:rsidRPr="0022357A">
        <w:t>y</w:t>
      </w:r>
      <w:r w:rsidRPr="0022357A">
        <w:t xml:space="preserve"> values may not have been applicable to patients with SS (more severe disease) or LyP (a less severe, remitting disease)</w:t>
      </w:r>
      <w:r w:rsidR="00085A3C" w:rsidRPr="0022357A">
        <w:t xml:space="preserve"> as only 3 patients with SS and no patients with LyP were included in the ALCANZA trial</w:t>
      </w:r>
      <w:r w:rsidRPr="0022357A">
        <w:t xml:space="preserve">. </w:t>
      </w:r>
    </w:p>
    <w:p w:rsidR="00AC17A7" w:rsidRPr="00C35104" w:rsidRDefault="00AC17A7" w:rsidP="00205BB5">
      <w:pPr>
        <w:pStyle w:val="ListParagraph"/>
        <w:widowControl/>
        <w:numPr>
          <w:ilvl w:val="1"/>
          <w:numId w:val="3"/>
        </w:numPr>
        <w:rPr>
          <w:szCs w:val="24"/>
        </w:rPr>
      </w:pPr>
      <w:r w:rsidRPr="0022357A">
        <w:t xml:space="preserve">The economic model did not include disutility for peripheral neuropathy </w:t>
      </w:r>
      <w:proofErr w:type="gramStart"/>
      <w:r w:rsidRPr="0022357A">
        <w:t>nor</w:t>
      </w:r>
      <w:proofErr w:type="gramEnd"/>
      <w:r w:rsidRPr="0022357A">
        <w:t xml:space="preserve"> costs for managing other AEs. This was inappropriate and favoured brentuximab vedotin. The utility study by Swinburn (2015) showed respondents considered having peripheral sensory neuropathy to </w:t>
      </w:r>
      <w:r w:rsidR="00910F4C" w:rsidRPr="0022357A">
        <w:t>have</w:t>
      </w:r>
      <w:r w:rsidRPr="0022357A">
        <w:t xml:space="preserve"> a worse health state</w:t>
      </w:r>
      <w:r w:rsidR="00791608" w:rsidRPr="0022357A">
        <w:t xml:space="preserve"> than complete </w:t>
      </w:r>
      <w:r w:rsidR="002730A5" w:rsidRPr="0022357A">
        <w:t>response</w:t>
      </w:r>
      <w:r w:rsidR="00791608" w:rsidRPr="0022357A">
        <w:t xml:space="preserve"> without peripheral sensory neuropathy </w:t>
      </w:r>
      <w:r w:rsidR="00791608" w:rsidRPr="00205BB5">
        <w:rPr>
          <w:szCs w:val="24"/>
        </w:rPr>
        <w:t>and similar to a partial response</w:t>
      </w:r>
      <w:r w:rsidRPr="00205BB5">
        <w:rPr>
          <w:i/>
          <w:szCs w:val="24"/>
        </w:rPr>
        <w:t>.</w:t>
      </w:r>
      <w:r w:rsidR="008E10AD" w:rsidRPr="00205BB5">
        <w:rPr>
          <w:i/>
          <w:szCs w:val="24"/>
        </w:rPr>
        <w:t xml:space="preserve"> </w:t>
      </w:r>
      <w:r w:rsidR="00244B16" w:rsidRPr="00C35104">
        <w:rPr>
          <w:szCs w:val="24"/>
        </w:rPr>
        <w:t xml:space="preserve">The </w:t>
      </w:r>
      <w:r w:rsidR="00513B47" w:rsidRPr="00C35104">
        <w:rPr>
          <w:szCs w:val="24"/>
        </w:rPr>
        <w:br/>
      </w:r>
      <w:r w:rsidR="00244B16" w:rsidRPr="00C35104">
        <w:rPr>
          <w:szCs w:val="24"/>
        </w:rPr>
        <w:t>PSCR</w:t>
      </w:r>
      <w:r w:rsidR="00513B47" w:rsidRPr="00C35104">
        <w:rPr>
          <w:szCs w:val="24"/>
        </w:rPr>
        <w:t xml:space="preserve"> </w:t>
      </w:r>
      <w:r w:rsidR="00244B16" w:rsidRPr="00C35104">
        <w:rPr>
          <w:szCs w:val="24"/>
        </w:rPr>
        <w:t>considered that the application of a disutility in a sensitivity analysis performed during the evaluation significantly overestimated the disutility of peripheral sensory neuropathy. The PSCR suggested that if the costs for treating severe neutropenia were included for brentuximab vedotin, the costs of treating pulmonary embolism should be included for vorinostat</w:t>
      </w:r>
      <w:r w:rsidR="002532D7" w:rsidRPr="00C35104">
        <w:rPr>
          <w:szCs w:val="24"/>
        </w:rPr>
        <w:t xml:space="preserve"> and</w:t>
      </w:r>
      <w:r w:rsidR="00244B16" w:rsidRPr="00C35104">
        <w:rPr>
          <w:szCs w:val="24"/>
        </w:rPr>
        <w:t xml:space="preserve"> argued that inclusion of disutility for these AEs would be unlikely to affect the ICER. The </w:t>
      </w:r>
      <w:r w:rsidR="00704159">
        <w:rPr>
          <w:szCs w:val="24"/>
        </w:rPr>
        <w:t>PBAC</w:t>
      </w:r>
      <w:r w:rsidR="00244B16" w:rsidRPr="00C35104">
        <w:rPr>
          <w:szCs w:val="24"/>
        </w:rPr>
        <w:t xml:space="preserve"> considered that the inclusion of </w:t>
      </w:r>
      <w:r w:rsidR="00513B47" w:rsidRPr="00C35104">
        <w:rPr>
          <w:szCs w:val="24"/>
        </w:rPr>
        <w:t>AE</w:t>
      </w:r>
      <w:r w:rsidR="00244B16" w:rsidRPr="00C35104">
        <w:rPr>
          <w:szCs w:val="24"/>
        </w:rPr>
        <w:t xml:space="preserve"> treatment costs would be appropriate due to the differing </w:t>
      </w:r>
      <w:r w:rsidR="00513B47" w:rsidRPr="00C35104">
        <w:rPr>
          <w:szCs w:val="24"/>
        </w:rPr>
        <w:t>AE</w:t>
      </w:r>
      <w:r w:rsidR="00244B16" w:rsidRPr="00C35104">
        <w:rPr>
          <w:szCs w:val="24"/>
        </w:rPr>
        <w:t xml:space="preserve"> profiles for brentuximab vedotin, vorinostat and methotrexate.</w:t>
      </w:r>
    </w:p>
    <w:p w:rsidR="00AC17A7" w:rsidRPr="0022357A" w:rsidRDefault="00AC17A7" w:rsidP="00022DCB">
      <w:pPr>
        <w:pStyle w:val="ListParagraph"/>
        <w:numPr>
          <w:ilvl w:val="1"/>
          <w:numId w:val="3"/>
        </w:numPr>
      </w:pPr>
      <w:r w:rsidRPr="0022357A">
        <w:t xml:space="preserve">The results of the economic evaluation are presented in Table </w:t>
      </w:r>
      <w:r w:rsidR="0046414B" w:rsidRPr="0022357A">
        <w:t>1</w:t>
      </w:r>
      <w:r w:rsidR="0028063E">
        <w:t>3</w:t>
      </w:r>
      <w:r w:rsidRPr="0022357A">
        <w:t>.</w:t>
      </w:r>
    </w:p>
    <w:p w:rsidR="00022DCB" w:rsidRPr="0022357A" w:rsidRDefault="00022DCB" w:rsidP="00A65DFB">
      <w:pPr>
        <w:keepNext/>
        <w:keepLines/>
        <w:widowControl/>
        <w:rPr>
          <w:rStyle w:val="CommentReference"/>
        </w:rPr>
      </w:pPr>
      <w:r w:rsidRPr="0022357A">
        <w:rPr>
          <w:rStyle w:val="CommentReference"/>
        </w:rPr>
        <w:lastRenderedPageBreak/>
        <w:t xml:space="preserve">Table </w:t>
      </w:r>
      <w:r w:rsidR="0046414B" w:rsidRPr="0022357A">
        <w:rPr>
          <w:rStyle w:val="CommentReference"/>
        </w:rPr>
        <w:t>1</w:t>
      </w:r>
      <w:r w:rsidR="0028063E">
        <w:rPr>
          <w:rStyle w:val="CommentReference"/>
        </w:rPr>
        <w:t>3</w:t>
      </w:r>
      <w:r w:rsidRPr="0022357A">
        <w:rPr>
          <w:rStyle w:val="CommentReference"/>
        </w:rPr>
        <w:t xml:space="preserve">: Results of the economic </w:t>
      </w:r>
      <w:r w:rsidR="006E13E2" w:rsidRPr="0022357A">
        <w:rPr>
          <w:rStyle w:val="CommentReference"/>
        </w:rPr>
        <w:t>evaluations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70"/>
        <w:gridCol w:w="1268"/>
        <w:gridCol w:w="1284"/>
        <w:gridCol w:w="1284"/>
        <w:gridCol w:w="1713"/>
        <w:gridCol w:w="1664"/>
      </w:tblGrid>
      <w:tr w:rsidR="00022DCB" w:rsidRPr="0022357A" w:rsidTr="00A91A99">
        <w:trPr>
          <w:tblHeader/>
        </w:trPr>
        <w:tc>
          <w:tcPr>
            <w:tcW w:w="1029" w:type="pct"/>
            <w:vAlign w:val="center"/>
          </w:tcPr>
          <w:p w:rsidR="00022DCB" w:rsidRPr="0022357A" w:rsidRDefault="00022DCB" w:rsidP="00A65DFB">
            <w:pPr>
              <w:pStyle w:val="Tabletext"/>
              <w:keepNext/>
              <w:keepLines/>
              <w:rPr>
                <w:b/>
              </w:rPr>
            </w:pPr>
            <w:r w:rsidRPr="0022357A">
              <w:rPr>
                <w:b/>
              </w:rPr>
              <w:t>Component</w:t>
            </w:r>
          </w:p>
        </w:tc>
        <w:tc>
          <w:tcPr>
            <w:tcW w:w="698" w:type="pct"/>
            <w:vAlign w:val="center"/>
          </w:tcPr>
          <w:p w:rsidR="00022DCB" w:rsidRPr="0022357A" w:rsidRDefault="00022DCB" w:rsidP="00A65DFB">
            <w:pPr>
              <w:pStyle w:val="Tabletext"/>
              <w:keepNext/>
              <w:keepLines/>
              <w:jc w:val="center"/>
              <w:rPr>
                <w:b/>
              </w:rPr>
            </w:pPr>
            <w:r w:rsidRPr="0022357A">
              <w:rPr>
                <w:b/>
              </w:rPr>
              <w:t xml:space="preserve">Brentuximab </w:t>
            </w:r>
          </w:p>
        </w:tc>
        <w:tc>
          <w:tcPr>
            <w:tcW w:w="707" w:type="pct"/>
            <w:vAlign w:val="center"/>
          </w:tcPr>
          <w:p w:rsidR="00022DCB" w:rsidRPr="0022357A" w:rsidRDefault="00022DCB" w:rsidP="00A65DFB">
            <w:pPr>
              <w:pStyle w:val="Tabletext"/>
              <w:keepNext/>
              <w:keepLines/>
              <w:jc w:val="center"/>
              <w:rPr>
                <w:b/>
              </w:rPr>
            </w:pPr>
            <w:r w:rsidRPr="0022357A">
              <w:rPr>
                <w:b/>
              </w:rPr>
              <w:t xml:space="preserve">Vorinostat </w:t>
            </w:r>
          </w:p>
        </w:tc>
        <w:tc>
          <w:tcPr>
            <w:tcW w:w="707" w:type="pct"/>
            <w:vAlign w:val="center"/>
          </w:tcPr>
          <w:p w:rsidR="00022DCB" w:rsidRPr="0022357A" w:rsidRDefault="00022DCB" w:rsidP="00A65DFB">
            <w:pPr>
              <w:pStyle w:val="Tabletext"/>
              <w:keepNext/>
              <w:keepLines/>
              <w:jc w:val="center"/>
              <w:rPr>
                <w:b/>
              </w:rPr>
            </w:pPr>
            <w:r w:rsidRPr="0022357A">
              <w:rPr>
                <w:b/>
              </w:rPr>
              <w:t>Methotrexate</w:t>
            </w:r>
          </w:p>
        </w:tc>
        <w:tc>
          <w:tcPr>
            <w:tcW w:w="943" w:type="pct"/>
            <w:vAlign w:val="center"/>
          </w:tcPr>
          <w:p w:rsidR="00022DCB" w:rsidRPr="0022357A" w:rsidRDefault="00022DCB" w:rsidP="00A65DFB">
            <w:pPr>
              <w:pStyle w:val="Tabletext"/>
              <w:keepNext/>
              <w:keepLines/>
              <w:jc w:val="center"/>
              <w:rPr>
                <w:b/>
              </w:rPr>
            </w:pPr>
            <w:r w:rsidRPr="0022357A">
              <w:rPr>
                <w:b/>
              </w:rPr>
              <w:t xml:space="preserve">Brentuximab vs. Vorinostat </w:t>
            </w:r>
          </w:p>
        </w:tc>
        <w:tc>
          <w:tcPr>
            <w:tcW w:w="916" w:type="pct"/>
          </w:tcPr>
          <w:p w:rsidR="00022DCB" w:rsidRPr="0022357A" w:rsidRDefault="00022DCB" w:rsidP="00A65DFB">
            <w:pPr>
              <w:pStyle w:val="Tabletext"/>
              <w:keepNext/>
              <w:keepLines/>
              <w:jc w:val="center"/>
              <w:rPr>
                <w:b/>
              </w:rPr>
            </w:pPr>
            <w:r w:rsidRPr="0022357A">
              <w:rPr>
                <w:b/>
              </w:rPr>
              <w:t xml:space="preserve">Brentuximab vs. Methotrexate </w:t>
            </w:r>
          </w:p>
        </w:tc>
      </w:tr>
      <w:tr w:rsidR="00022DCB" w:rsidRPr="0022357A" w:rsidTr="00A91A99">
        <w:tc>
          <w:tcPr>
            <w:tcW w:w="5000" w:type="pct"/>
            <w:gridSpan w:val="6"/>
          </w:tcPr>
          <w:p w:rsidR="00022DCB" w:rsidRPr="0022357A" w:rsidRDefault="00022DCB" w:rsidP="00A65DFB">
            <w:pPr>
              <w:pStyle w:val="Tabletext"/>
              <w:keepNext/>
              <w:keepLines/>
              <w:rPr>
                <w:b/>
                <w:snapToGrid w:val="0"/>
                <w:vertAlign w:val="superscript"/>
              </w:rPr>
            </w:pPr>
            <w:r w:rsidRPr="0022357A">
              <w:rPr>
                <w:b/>
                <w:snapToGrid w:val="0"/>
              </w:rPr>
              <w:t>ORR</w:t>
            </w:r>
          </w:p>
        </w:tc>
      </w:tr>
      <w:tr w:rsidR="00022DCB" w:rsidRPr="0022357A" w:rsidTr="00A91A99">
        <w:tc>
          <w:tcPr>
            <w:tcW w:w="1029" w:type="pct"/>
            <w:vAlign w:val="center"/>
          </w:tcPr>
          <w:p w:rsidR="00022DCB" w:rsidRPr="0022357A" w:rsidRDefault="00022DCB" w:rsidP="00A65DFB">
            <w:pPr>
              <w:pStyle w:val="Tabletext"/>
              <w:keepNext/>
              <w:keepLines/>
              <w:rPr>
                <w:rFonts w:ascii="Times" w:hAnsi="Times"/>
              </w:rPr>
            </w:pPr>
            <w:r w:rsidRPr="0022357A">
              <w:t xml:space="preserve">Costs </w:t>
            </w:r>
          </w:p>
        </w:tc>
        <w:tc>
          <w:tcPr>
            <w:tcW w:w="698" w:type="pct"/>
            <w:vAlign w:val="center"/>
          </w:tcPr>
          <w:p w:rsidR="00022DCB" w:rsidRPr="0022357A" w:rsidRDefault="00022DCB" w:rsidP="00A65DFB">
            <w:pPr>
              <w:pStyle w:val="Tabletext"/>
              <w:keepNext/>
              <w:keepLines/>
              <w:jc w:val="center"/>
              <w:rPr>
                <w:lang w:val="en-GB"/>
              </w:rPr>
            </w:pPr>
            <w:r w:rsidRPr="0022357A">
              <w:rPr>
                <w:lang w:val="en-GB"/>
              </w:rPr>
              <w:t>$</w:t>
            </w:r>
            <w:r w:rsidR="00F72571">
              <w:rPr>
                <w:noProof/>
                <w:color w:val="000000"/>
                <w:highlight w:val="black"/>
                <w:lang w:val="en-GB"/>
              </w:rPr>
              <w:t>'''''''''''''''''</w:t>
            </w:r>
          </w:p>
        </w:tc>
        <w:tc>
          <w:tcPr>
            <w:tcW w:w="707" w:type="pct"/>
            <w:vAlign w:val="center"/>
          </w:tcPr>
          <w:p w:rsidR="00022DCB" w:rsidRPr="0022357A" w:rsidRDefault="00022DCB" w:rsidP="00A65DFB">
            <w:pPr>
              <w:pStyle w:val="Tabletext"/>
              <w:keepNext/>
              <w:keepLines/>
              <w:jc w:val="center"/>
              <w:rPr>
                <w:lang w:val="en-GB"/>
              </w:rPr>
            </w:pPr>
            <w:r w:rsidRPr="0022357A">
              <w:rPr>
                <w:lang w:val="en-GB"/>
              </w:rPr>
              <w:t>$</w:t>
            </w:r>
            <w:r w:rsidR="00F72571">
              <w:rPr>
                <w:noProof/>
                <w:color w:val="000000"/>
                <w:highlight w:val="black"/>
                <w:lang w:val="en-GB"/>
              </w:rPr>
              <w:t>''''''''''''''''</w:t>
            </w:r>
          </w:p>
        </w:tc>
        <w:tc>
          <w:tcPr>
            <w:tcW w:w="707" w:type="pct"/>
          </w:tcPr>
          <w:p w:rsidR="00022DCB" w:rsidRPr="0022357A" w:rsidRDefault="00022DCB" w:rsidP="00A65DFB">
            <w:pPr>
              <w:pStyle w:val="Tabletext"/>
              <w:keepNext/>
              <w:keepLines/>
              <w:jc w:val="center"/>
            </w:pPr>
            <w:r w:rsidRPr="0022357A">
              <w:t>$</w:t>
            </w:r>
            <w:r w:rsidR="00F72571">
              <w:rPr>
                <w:noProof/>
                <w:color w:val="000000"/>
                <w:highlight w:val="black"/>
              </w:rPr>
              <w:t>'''''''''''''</w:t>
            </w:r>
          </w:p>
        </w:tc>
        <w:tc>
          <w:tcPr>
            <w:tcW w:w="943" w:type="pct"/>
            <w:vAlign w:val="center"/>
          </w:tcPr>
          <w:p w:rsidR="00022DCB" w:rsidRPr="0022357A" w:rsidRDefault="00022DCB" w:rsidP="00A65DFB">
            <w:pPr>
              <w:keepNext/>
              <w:keepLines/>
              <w:jc w:val="center"/>
              <w:rPr>
                <w:rFonts w:ascii="Arial Narrow" w:hAnsi="Arial Narrow" w:cs="Times New Roman"/>
                <w:snapToGrid/>
                <w:sz w:val="20"/>
              </w:rPr>
            </w:pPr>
            <w:r w:rsidRPr="0022357A">
              <w:rPr>
                <w:rFonts w:ascii="Arial Narrow" w:hAnsi="Arial Narrow" w:cs="Times New Roman"/>
                <w:snapToGrid/>
                <w:sz w:val="20"/>
              </w:rPr>
              <w:t>$</w:t>
            </w:r>
            <w:r w:rsidR="00F72571">
              <w:rPr>
                <w:rFonts w:ascii="Arial Narrow" w:hAnsi="Arial Narrow" w:cs="Times New Roman"/>
                <w:noProof/>
                <w:snapToGrid/>
                <w:color w:val="000000"/>
                <w:sz w:val="20"/>
                <w:highlight w:val="black"/>
              </w:rPr>
              <w:t>''''''''''''''''</w:t>
            </w:r>
          </w:p>
        </w:tc>
        <w:tc>
          <w:tcPr>
            <w:tcW w:w="916" w:type="pct"/>
          </w:tcPr>
          <w:p w:rsidR="00022DCB" w:rsidRPr="0022357A" w:rsidRDefault="00022DCB" w:rsidP="00A65DFB">
            <w:pPr>
              <w:keepNext/>
              <w:keepLines/>
              <w:jc w:val="center"/>
              <w:rPr>
                <w:rFonts w:ascii="Arial Narrow" w:hAnsi="Arial Narrow" w:cs="Times New Roman"/>
                <w:snapToGrid/>
                <w:sz w:val="20"/>
              </w:rPr>
            </w:pPr>
            <w:r w:rsidRPr="0022357A">
              <w:rPr>
                <w:rFonts w:ascii="Arial Narrow" w:hAnsi="Arial Narrow" w:cs="Times New Roman"/>
                <w:snapToGrid/>
                <w:sz w:val="20"/>
              </w:rPr>
              <w:t>$</w:t>
            </w:r>
            <w:r w:rsidR="00F72571">
              <w:rPr>
                <w:rFonts w:ascii="Arial Narrow" w:hAnsi="Arial Narrow" w:cs="Times New Roman"/>
                <w:noProof/>
                <w:snapToGrid/>
                <w:color w:val="000000"/>
                <w:sz w:val="20"/>
                <w:highlight w:val="black"/>
              </w:rPr>
              <w:t>'''''''''''''''</w:t>
            </w:r>
          </w:p>
        </w:tc>
      </w:tr>
      <w:tr w:rsidR="00022DCB" w:rsidRPr="0022357A" w:rsidTr="00A91A99">
        <w:tc>
          <w:tcPr>
            <w:tcW w:w="1029" w:type="pct"/>
            <w:vAlign w:val="center"/>
          </w:tcPr>
          <w:p w:rsidR="00022DCB" w:rsidRPr="0022357A" w:rsidRDefault="00022DCB" w:rsidP="00A65DFB">
            <w:pPr>
              <w:pStyle w:val="Tabletext"/>
              <w:keepNext/>
              <w:keepLines/>
              <w:rPr>
                <w:rFonts w:ascii="Times" w:hAnsi="Times"/>
              </w:rPr>
            </w:pPr>
            <w:r w:rsidRPr="0022357A">
              <w:t>Responders</w:t>
            </w:r>
          </w:p>
        </w:tc>
        <w:tc>
          <w:tcPr>
            <w:tcW w:w="698" w:type="pct"/>
            <w:vAlign w:val="center"/>
          </w:tcPr>
          <w:p w:rsidR="00022DCB" w:rsidRPr="0022357A" w:rsidRDefault="00022DCB" w:rsidP="00A65DFB">
            <w:pPr>
              <w:pStyle w:val="Tabletext"/>
              <w:keepNext/>
              <w:keepLines/>
              <w:jc w:val="center"/>
              <w:rPr>
                <w:rFonts w:ascii="Times" w:hAnsi="Times"/>
              </w:rPr>
            </w:pPr>
            <w:r w:rsidRPr="0022357A">
              <w:t>67.2%</w:t>
            </w:r>
          </w:p>
        </w:tc>
        <w:tc>
          <w:tcPr>
            <w:tcW w:w="707" w:type="pct"/>
            <w:vAlign w:val="center"/>
          </w:tcPr>
          <w:p w:rsidR="00022DCB" w:rsidRPr="0022357A" w:rsidRDefault="00022DCB" w:rsidP="00A65DFB">
            <w:pPr>
              <w:pStyle w:val="Tabletext"/>
              <w:keepNext/>
              <w:keepLines/>
              <w:jc w:val="center"/>
              <w:rPr>
                <w:rFonts w:ascii="Times" w:hAnsi="Times"/>
              </w:rPr>
            </w:pPr>
            <w:r w:rsidRPr="0022357A">
              <w:t>4.8%</w:t>
            </w:r>
          </w:p>
        </w:tc>
        <w:tc>
          <w:tcPr>
            <w:tcW w:w="707" w:type="pct"/>
          </w:tcPr>
          <w:p w:rsidR="00022DCB" w:rsidRPr="0022357A" w:rsidRDefault="00F72571" w:rsidP="00A65DFB">
            <w:pPr>
              <w:pStyle w:val="Tabletext"/>
              <w:keepNext/>
              <w:keepLines/>
              <w:jc w:val="center"/>
            </w:pPr>
            <w:r>
              <w:rPr>
                <w:noProof/>
                <w:color w:val="000000"/>
                <w:highlight w:val="black"/>
              </w:rPr>
              <w:t>'''''''''''</w:t>
            </w:r>
            <w:r w:rsidR="00022DCB" w:rsidRPr="0022357A">
              <w:t>%</w:t>
            </w:r>
          </w:p>
        </w:tc>
        <w:tc>
          <w:tcPr>
            <w:tcW w:w="943" w:type="pct"/>
            <w:vAlign w:val="center"/>
          </w:tcPr>
          <w:p w:rsidR="00022DCB" w:rsidRPr="0022357A" w:rsidRDefault="00022DCB" w:rsidP="00A65DFB">
            <w:pPr>
              <w:keepNext/>
              <w:keepLines/>
              <w:jc w:val="center"/>
              <w:rPr>
                <w:rFonts w:ascii="Arial Narrow" w:hAnsi="Arial Narrow" w:cs="Times New Roman"/>
                <w:snapToGrid/>
                <w:sz w:val="20"/>
              </w:rPr>
            </w:pPr>
            <w:r w:rsidRPr="0022357A">
              <w:rPr>
                <w:rFonts w:ascii="Arial Narrow" w:hAnsi="Arial Narrow" w:cs="Times New Roman"/>
                <w:snapToGrid/>
                <w:sz w:val="20"/>
              </w:rPr>
              <w:t>62.3%</w:t>
            </w:r>
          </w:p>
        </w:tc>
        <w:tc>
          <w:tcPr>
            <w:tcW w:w="916" w:type="pct"/>
            <w:vAlign w:val="center"/>
          </w:tcPr>
          <w:p w:rsidR="00022DCB" w:rsidRPr="0022357A" w:rsidRDefault="00F72571" w:rsidP="00A65DFB">
            <w:pPr>
              <w:keepNext/>
              <w:keepLines/>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022DCB" w:rsidRPr="0022357A">
              <w:rPr>
                <w:rFonts w:ascii="Arial Narrow" w:hAnsi="Arial Narrow" w:cs="Times New Roman"/>
                <w:snapToGrid/>
                <w:sz w:val="20"/>
              </w:rPr>
              <w:t>%</w:t>
            </w:r>
          </w:p>
        </w:tc>
      </w:tr>
      <w:tr w:rsidR="00022DCB" w:rsidRPr="0022357A" w:rsidTr="00A91A99">
        <w:tc>
          <w:tcPr>
            <w:tcW w:w="3141" w:type="pct"/>
            <w:gridSpan w:val="4"/>
            <w:vAlign w:val="center"/>
          </w:tcPr>
          <w:p w:rsidR="00022DCB" w:rsidRPr="0022357A" w:rsidRDefault="00022DCB" w:rsidP="00A65DFB">
            <w:pPr>
              <w:pStyle w:val="Tabletext"/>
              <w:keepNext/>
              <w:keepLines/>
              <w:rPr>
                <w:b/>
              </w:rPr>
            </w:pPr>
            <w:r w:rsidRPr="0022357A">
              <w:rPr>
                <w:b/>
              </w:rPr>
              <w:t>Incremental cost/responder</w:t>
            </w:r>
          </w:p>
        </w:tc>
        <w:tc>
          <w:tcPr>
            <w:tcW w:w="943" w:type="pct"/>
            <w:vAlign w:val="center"/>
          </w:tcPr>
          <w:p w:rsidR="00022DCB" w:rsidRPr="0022357A" w:rsidRDefault="00022DCB" w:rsidP="00A65DFB">
            <w:pPr>
              <w:keepNext/>
              <w:keepLines/>
              <w:jc w:val="center"/>
              <w:rPr>
                <w:rFonts w:ascii="Arial Narrow" w:hAnsi="Arial Narrow" w:cs="Times New Roman"/>
                <w:b/>
                <w:snapToGrid/>
                <w:sz w:val="20"/>
              </w:rPr>
            </w:pPr>
            <w:r w:rsidRPr="0022357A">
              <w:rPr>
                <w:rFonts w:ascii="Arial Narrow" w:hAnsi="Arial Narrow" w:cs="Times New Roman"/>
                <w:b/>
                <w:snapToGrid/>
                <w:sz w:val="20"/>
              </w:rPr>
              <w:t>$</w:t>
            </w:r>
            <w:r w:rsidR="00F72571">
              <w:rPr>
                <w:rFonts w:ascii="Arial Narrow" w:hAnsi="Arial Narrow" w:cs="Times New Roman"/>
                <w:b/>
                <w:noProof/>
                <w:snapToGrid/>
                <w:color w:val="000000"/>
                <w:sz w:val="20"/>
                <w:highlight w:val="black"/>
              </w:rPr>
              <w:t>''''''''''''''</w:t>
            </w:r>
          </w:p>
        </w:tc>
        <w:tc>
          <w:tcPr>
            <w:tcW w:w="916" w:type="pct"/>
            <w:vAlign w:val="center"/>
          </w:tcPr>
          <w:p w:rsidR="00022DCB" w:rsidRPr="0022357A" w:rsidRDefault="00022DCB" w:rsidP="00A65DFB">
            <w:pPr>
              <w:keepNext/>
              <w:keepLines/>
              <w:tabs>
                <w:tab w:val="left" w:pos="547"/>
                <w:tab w:val="center" w:pos="902"/>
              </w:tabs>
              <w:jc w:val="center"/>
              <w:rPr>
                <w:rFonts w:ascii="Arial Narrow" w:hAnsi="Arial Narrow" w:cs="Times New Roman"/>
                <w:b/>
                <w:snapToGrid/>
                <w:sz w:val="20"/>
              </w:rPr>
            </w:pPr>
            <w:r w:rsidRPr="0022357A">
              <w:rPr>
                <w:rFonts w:ascii="Arial Narrow" w:hAnsi="Arial Narrow" w:cs="Times New Roman"/>
                <w:b/>
                <w:snapToGrid/>
                <w:sz w:val="20"/>
              </w:rPr>
              <w:t>$</w:t>
            </w:r>
            <w:r w:rsidR="00F72571">
              <w:rPr>
                <w:rFonts w:ascii="Arial Narrow" w:hAnsi="Arial Narrow" w:cs="Times New Roman"/>
                <w:b/>
                <w:noProof/>
                <w:snapToGrid/>
                <w:color w:val="000000"/>
                <w:sz w:val="20"/>
                <w:highlight w:val="black"/>
              </w:rPr>
              <w:t>'''''''''''''''</w:t>
            </w:r>
          </w:p>
        </w:tc>
      </w:tr>
      <w:tr w:rsidR="00022DCB" w:rsidRPr="0022357A" w:rsidTr="00A91A99">
        <w:tc>
          <w:tcPr>
            <w:tcW w:w="5000" w:type="pct"/>
            <w:gridSpan w:val="6"/>
          </w:tcPr>
          <w:p w:rsidR="00022DCB" w:rsidRPr="0022357A" w:rsidRDefault="00022DCB" w:rsidP="00A65DFB">
            <w:pPr>
              <w:pStyle w:val="Tabletext"/>
              <w:keepNext/>
              <w:keepLines/>
              <w:rPr>
                <w:b/>
                <w:snapToGrid w:val="0"/>
              </w:rPr>
            </w:pPr>
            <w:r w:rsidRPr="0022357A">
              <w:rPr>
                <w:b/>
                <w:snapToGrid w:val="0"/>
              </w:rPr>
              <w:t>≥ 25% mSWAT improvement</w:t>
            </w:r>
          </w:p>
        </w:tc>
      </w:tr>
      <w:tr w:rsidR="00022DCB" w:rsidRPr="0022357A" w:rsidTr="00A91A99">
        <w:tc>
          <w:tcPr>
            <w:tcW w:w="1029" w:type="pct"/>
            <w:vAlign w:val="center"/>
          </w:tcPr>
          <w:p w:rsidR="00022DCB" w:rsidRPr="0022357A" w:rsidRDefault="00022DCB" w:rsidP="00A65DFB">
            <w:pPr>
              <w:pStyle w:val="Tabletext"/>
              <w:keepNext/>
              <w:keepLines/>
              <w:rPr>
                <w:rFonts w:ascii="Times" w:hAnsi="Times"/>
              </w:rPr>
            </w:pPr>
            <w:r w:rsidRPr="0022357A">
              <w:t xml:space="preserve">Costs </w:t>
            </w:r>
          </w:p>
        </w:tc>
        <w:tc>
          <w:tcPr>
            <w:tcW w:w="698" w:type="pct"/>
            <w:vAlign w:val="center"/>
          </w:tcPr>
          <w:p w:rsidR="00022DCB" w:rsidRPr="0022357A" w:rsidRDefault="00022DCB" w:rsidP="00A65DFB">
            <w:pPr>
              <w:pStyle w:val="Tabletext"/>
              <w:keepNext/>
              <w:keepLines/>
              <w:jc w:val="center"/>
              <w:rPr>
                <w:rFonts w:ascii="Times" w:hAnsi="Times"/>
              </w:rPr>
            </w:pPr>
            <w:r w:rsidRPr="0022357A">
              <w:rPr>
                <w:lang w:val="en-GB"/>
              </w:rPr>
              <w:t>$</w:t>
            </w:r>
            <w:r w:rsidR="00F72571">
              <w:rPr>
                <w:noProof/>
                <w:color w:val="000000"/>
                <w:highlight w:val="black"/>
                <w:lang w:val="en-GB"/>
              </w:rPr>
              <w:t>'''''''''''''''</w:t>
            </w:r>
          </w:p>
        </w:tc>
        <w:tc>
          <w:tcPr>
            <w:tcW w:w="707" w:type="pct"/>
            <w:vAlign w:val="center"/>
          </w:tcPr>
          <w:p w:rsidR="00022DCB" w:rsidRPr="0022357A" w:rsidRDefault="00022DCB" w:rsidP="00A65DFB">
            <w:pPr>
              <w:pStyle w:val="Tabletext"/>
              <w:keepNext/>
              <w:keepLines/>
              <w:jc w:val="center"/>
              <w:rPr>
                <w:rFonts w:ascii="Times" w:hAnsi="Times"/>
              </w:rPr>
            </w:pPr>
            <w:r w:rsidRPr="0022357A">
              <w:rPr>
                <w:lang w:val="en-GB"/>
              </w:rPr>
              <w:t>$</w:t>
            </w:r>
            <w:r w:rsidR="00F72571">
              <w:rPr>
                <w:noProof/>
                <w:color w:val="000000"/>
                <w:highlight w:val="black"/>
                <w:lang w:val="en-GB"/>
              </w:rPr>
              <w:t>'''''''''''''''''</w:t>
            </w:r>
          </w:p>
        </w:tc>
        <w:tc>
          <w:tcPr>
            <w:tcW w:w="707" w:type="pct"/>
          </w:tcPr>
          <w:p w:rsidR="00022DCB" w:rsidRPr="0022357A" w:rsidRDefault="00022DCB" w:rsidP="00A65DFB">
            <w:pPr>
              <w:pStyle w:val="Tabletext"/>
              <w:keepNext/>
              <w:keepLines/>
              <w:jc w:val="center"/>
            </w:pPr>
            <w:r w:rsidRPr="0022357A">
              <w:t>$</w:t>
            </w:r>
            <w:r w:rsidR="00F72571">
              <w:rPr>
                <w:noProof/>
                <w:color w:val="000000"/>
                <w:highlight w:val="black"/>
              </w:rPr>
              <w:t>''''''''''''''</w:t>
            </w:r>
          </w:p>
        </w:tc>
        <w:tc>
          <w:tcPr>
            <w:tcW w:w="943" w:type="pct"/>
            <w:vAlign w:val="center"/>
          </w:tcPr>
          <w:p w:rsidR="00022DCB" w:rsidRPr="0022357A" w:rsidRDefault="00022DCB" w:rsidP="00A65DFB">
            <w:pPr>
              <w:pStyle w:val="Tabletext"/>
              <w:keepNext/>
              <w:keepLines/>
              <w:jc w:val="center"/>
              <w:rPr>
                <w:rFonts w:ascii="Times" w:hAnsi="Times"/>
              </w:rPr>
            </w:pPr>
            <w:r w:rsidRPr="0022357A">
              <w:t>$</w:t>
            </w:r>
            <w:r w:rsidR="00F72571">
              <w:rPr>
                <w:noProof/>
                <w:color w:val="000000"/>
                <w:highlight w:val="black"/>
              </w:rPr>
              <w:t>'''''''''''''''''</w:t>
            </w:r>
          </w:p>
        </w:tc>
        <w:tc>
          <w:tcPr>
            <w:tcW w:w="916" w:type="pct"/>
          </w:tcPr>
          <w:p w:rsidR="00022DCB" w:rsidRPr="0022357A" w:rsidRDefault="00022DCB" w:rsidP="00A65DFB">
            <w:pPr>
              <w:pStyle w:val="Tabletext"/>
              <w:keepNext/>
              <w:keepLines/>
              <w:jc w:val="center"/>
            </w:pPr>
            <w:r w:rsidRPr="0022357A">
              <w:t>$</w:t>
            </w:r>
            <w:r w:rsidR="00F72571">
              <w:rPr>
                <w:noProof/>
                <w:color w:val="000000"/>
                <w:highlight w:val="black"/>
              </w:rPr>
              <w:t>''''''''''''''''</w:t>
            </w:r>
          </w:p>
        </w:tc>
      </w:tr>
      <w:tr w:rsidR="00022DCB" w:rsidRPr="0022357A" w:rsidTr="00A91A99">
        <w:tc>
          <w:tcPr>
            <w:tcW w:w="1029" w:type="pct"/>
            <w:vAlign w:val="center"/>
          </w:tcPr>
          <w:p w:rsidR="00022DCB" w:rsidRPr="0022357A" w:rsidRDefault="00022DCB" w:rsidP="00A65DFB">
            <w:pPr>
              <w:pStyle w:val="Tabletext"/>
              <w:keepNext/>
              <w:keepLines/>
              <w:rPr>
                <w:rFonts w:ascii="Times" w:hAnsi="Times"/>
              </w:rPr>
            </w:pPr>
            <w:r w:rsidRPr="0022357A">
              <w:t>Responders</w:t>
            </w:r>
          </w:p>
        </w:tc>
        <w:tc>
          <w:tcPr>
            <w:tcW w:w="698" w:type="pct"/>
            <w:vAlign w:val="center"/>
          </w:tcPr>
          <w:p w:rsidR="00022DCB" w:rsidRPr="0022357A" w:rsidRDefault="00022DCB" w:rsidP="00A65DFB">
            <w:pPr>
              <w:pStyle w:val="Tabletext"/>
              <w:keepNext/>
              <w:keepLines/>
              <w:jc w:val="center"/>
            </w:pPr>
            <w:r w:rsidRPr="0022357A">
              <w:t>88.9%</w:t>
            </w:r>
          </w:p>
        </w:tc>
        <w:tc>
          <w:tcPr>
            <w:tcW w:w="707" w:type="pct"/>
            <w:vAlign w:val="center"/>
          </w:tcPr>
          <w:p w:rsidR="00022DCB" w:rsidRPr="0022357A" w:rsidRDefault="00022DCB" w:rsidP="00A65DFB">
            <w:pPr>
              <w:pStyle w:val="Tabletext"/>
              <w:keepNext/>
              <w:keepLines/>
              <w:jc w:val="center"/>
            </w:pPr>
            <w:r w:rsidRPr="0022357A">
              <w:t>49.0%</w:t>
            </w:r>
          </w:p>
        </w:tc>
        <w:tc>
          <w:tcPr>
            <w:tcW w:w="707" w:type="pct"/>
          </w:tcPr>
          <w:p w:rsidR="00022DCB" w:rsidRPr="0022357A" w:rsidRDefault="00F72571" w:rsidP="00A65DFB">
            <w:pPr>
              <w:pStyle w:val="Tabletext"/>
              <w:keepNext/>
              <w:keepLines/>
              <w:jc w:val="center"/>
            </w:pPr>
            <w:r>
              <w:rPr>
                <w:noProof/>
                <w:color w:val="000000"/>
                <w:highlight w:val="black"/>
              </w:rPr>
              <w:t>''''''''''</w:t>
            </w:r>
            <w:r w:rsidR="00022DCB" w:rsidRPr="0022357A">
              <w:t>%</w:t>
            </w:r>
          </w:p>
        </w:tc>
        <w:tc>
          <w:tcPr>
            <w:tcW w:w="943" w:type="pct"/>
            <w:vAlign w:val="center"/>
          </w:tcPr>
          <w:p w:rsidR="00022DCB" w:rsidRPr="0022357A" w:rsidRDefault="00022DCB" w:rsidP="00A65DFB">
            <w:pPr>
              <w:keepNext/>
              <w:keepLines/>
              <w:jc w:val="center"/>
              <w:rPr>
                <w:rFonts w:ascii="Arial Narrow" w:hAnsi="Arial Narrow" w:cs="Times New Roman"/>
                <w:snapToGrid/>
                <w:sz w:val="20"/>
              </w:rPr>
            </w:pPr>
            <w:r w:rsidRPr="0022357A">
              <w:rPr>
                <w:rFonts w:ascii="Arial Narrow" w:hAnsi="Arial Narrow" w:cs="Times New Roman"/>
                <w:snapToGrid/>
                <w:sz w:val="20"/>
              </w:rPr>
              <w:t>39.9%</w:t>
            </w:r>
          </w:p>
        </w:tc>
        <w:tc>
          <w:tcPr>
            <w:tcW w:w="916" w:type="pct"/>
          </w:tcPr>
          <w:p w:rsidR="00022DCB" w:rsidRPr="0022357A" w:rsidRDefault="00F72571" w:rsidP="00A65DFB">
            <w:pPr>
              <w:keepNext/>
              <w:keepLines/>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022DCB" w:rsidRPr="0022357A">
              <w:rPr>
                <w:rFonts w:ascii="Arial Narrow" w:hAnsi="Arial Narrow" w:cs="Times New Roman"/>
                <w:snapToGrid/>
                <w:sz w:val="20"/>
              </w:rPr>
              <w:t>%</w:t>
            </w:r>
          </w:p>
        </w:tc>
      </w:tr>
      <w:tr w:rsidR="00022DCB" w:rsidRPr="0022357A" w:rsidTr="00A91A99">
        <w:tc>
          <w:tcPr>
            <w:tcW w:w="3141" w:type="pct"/>
            <w:gridSpan w:val="4"/>
            <w:vAlign w:val="center"/>
          </w:tcPr>
          <w:p w:rsidR="00022DCB" w:rsidRPr="0022357A" w:rsidRDefault="00022DCB" w:rsidP="00A65DFB">
            <w:pPr>
              <w:pStyle w:val="Tabletext"/>
              <w:keepNext/>
              <w:keepLines/>
              <w:rPr>
                <w:b/>
              </w:rPr>
            </w:pPr>
            <w:r w:rsidRPr="0022357A">
              <w:rPr>
                <w:b/>
              </w:rPr>
              <w:t>Incremental cost/≥ 25% mSWAT responder</w:t>
            </w:r>
          </w:p>
        </w:tc>
        <w:tc>
          <w:tcPr>
            <w:tcW w:w="943" w:type="pct"/>
            <w:vAlign w:val="center"/>
          </w:tcPr>
          <w:p w:rsidR="00022DCB" w:rsidRPr="0022357A" w:rsidRDefault="00022DCB" w:rsidP="00A65DFB">
            <w:pPr>
              <w:keepNext/>
              <w:keepLines/>
              <w:jc w:val="center"/>
              <w:rPr>
                <w:rFonts w:ascii="Arial Narrow" w:hAnsi="Arial Narrow" w:cs="Times New Roman"/>
                <w:b/>
                <w:snapToGrid/>
                <w:sz w:val="20"/>
              </w:rPr>
            </w:pPr>
            <w:r w:rsidRPr="0022357A">
              <w:rPr>
                <w:rFonts w:ascii="Arial Narrow" w:hAnsi="Arial Narrow" w:cs="Times New Roman"/>
                <w:b/>
                <w:snapToGrid/>
                <w:sz w:val="20"/>
              </w:rPr>
              <w:t>$</w:t>
            </w:r>
            <w:r w:rsidR="00F72571">
              <w:rPr>
                <w:rFonts w:ascii="Arial Narrow" w:hAnsi="Arial Narrow" w:cs="Times New Roman"/>
                <w:b/>
                <w:noProof/>
                <w:snapToGrid/>
                <w:color w:val="000000"/>
                <w:sz w:val="20"/>
                <w:highlight w:val="black"/>
              </w:rPr>
              <w:t>''''''''''''''</w:t>
            </w:r>
          </w:p>
        </w:tc>
        <w:tc>
          <w:tcPr>
            <w:tcW w:w="916" w:type="pct"/>
          </w:tcPr>
          <w:p w:rsidR="00022DCB" w:rsidRPr="0022357A" w:rsidRDefault="00022DCB" w:rsidP="00A65DFB">
            <w:pPr>
              <w:keepNext/>
              <w:keepLines/>
              <w:jc w:val="center"/>
              <w:rPr>
                <w:rFonts w:ascii="Arial Narrow" w:hAnsi="Arial Narrow" w:cs="Times New Roman"/>
                <w:b/>
                <w:snapToGrid/>
                <w:sz w:val="20"/>
              </w:rPr>
            </w:pPr>
            <w:r w:rsidRPr="0022357A">
              <w:rPr>
                <w:rFonts w:ascii="Arial Narrow" w:hAnsi="Arial Narrow" w:cs="Times New Roman"/>
                <w:b/>
                <w:snapToGrid/>
                <w:sz w:val="20"/>
              </w:rPr>
              <w:t>$</w:t>
            </w:r>
            <w:r w:rsidR="00F72571">
              <w:rPr>
                <w:rFonts w:ascii="Arial Narrow" w:hAnsi="Arial Narrow" w:cs="Times New Roman"/>
                <w:b/>
                <w:noProof/>
                <w:snapToGrid/>
                <w:color w:val="000000"/>
                <w:sz w:val="20"/>
                <w:highlight w:val="black"/>
              </w:rPr>
              <w:t>'''''''''''''''</w:t>
            </w:r>
          </w:p>
        </w:tc>
      </w:tr>
      <w:tr w:rsidR="00022DCB" w:rsidRPr="0022357A" w:rsidTr="00A91A99">
        <w:tc>
          <w:tcPr>
            <w:tcW w:w="5000" w:type="pct"/>
            <w:gridSpan w:val="6"/>
            <w:vAlign w:val="center"/>
          </w:tcPr>
          <w:p w:rsidR="00022DCB" w:rsidRPr="0022357A" w:rsidRDefault="00022DCB" w:rsidP="00A65DFB">
            <w:pPr>
              <w:keepNext/>
              <w:keepLines/>
              <w:jc w:val="left"/>
              <w:rPr>
                <w:rFonts w:ascii="Arial Narrow" w:hAnsi="Arial Narrow" w:cs="Times New Roman"/>
                <w:b/>
                <w:snapToGrid/>
                <w:sz w:val="20"/>
              </w:rPr>
            </w:pPr>
            <w:r w:rsidRPr="0022357A">
              <w:rPr>
                <w:rFonts w:ascii="Arial Narrow" w:hAnsi="Arial Narrow" w:cs="Times New Roman"/>
                <w:b/>
                <w:snapToGrid/>
                <w:sz w:val="20"/>
              </w:rPr>
              <w:t xml:space="preserve">Cost-utility analysis </w:t>
            </w:r>
          </w:p>
        </w:tc>
      </w:tr>
      <w:tr w:rsidR="00022DCB" w:rsidRPr="0022357A" w:rsidTr="00A91A99">
        <w:tc>
          <w:tcPr>
            <w:tcW w:w="1029" w:type="pct"/>
            <w:vAlign w:val="center"/>
          </w:tcPr>
          <w:p w:rsidR="00022DCB" w:rsidRPr="0022357A" w:rsidRDefault="00022DCB" w:rsidP="00A65DFB">
            <w:pPr>
              <w:pStyle w:val="Tabletext"/>
              <w:keepNext/>
              <w:keepLines/>
            </w:pPr>
            <w:r w:rsidRPr="0022357A">
              <w:t>Costs</w:t>
            </w:r>
          </w:p>
        </w:tc>
        <w:tc>
          <w:tcPr>
            <w:tcW w:w="698" w:type="pct"/>
            <w:vAlign w:val="center"/>
          </w:tcPr>
          <w:p w:rsidR="00022DCB" w:rsidRPr="0022357A" w:rsidRDefault="00022DCB" w:rsidP="00A65DFB">
            <w:pPr>
              <w:pStyle w:val="Tabletext"/>
              <w:keepNext/>
              <w:keepLines/>
              <w:jc w:val="center"/>
            </w:pPr>
            <w:r w:rsidRPr="0022357A">
              <w:t>$</w:t>
            </w:r>
            <w:r w:rsidR="00F72571">
              <w:rPr>
                <w:noProof/>
                <w:color w:val="000000"/>
                <w:highlight w:val="black"/>
              </w:rPr>
              <w:t>''''''''''''''''</w:t>
            </w:r>
          </w:p>
        </w:tc>
        <w:tc>
          <w:tcPr>
            <w:tcW w:w="707" w:type="pct"/>
            <w:vAlign w:val="center"/>
          </w:tcPr>
          <w:p w:rsidR="00022DCB" w:rsidRPr="0022357A" w:rsidRDefault="00022DCB" w:rsidP="00A65DFB">
            <w:pPr>
              <w:pStyle w:val="Tabletext"/>
              <w:keepNext/>
              <w:keepLines/>
              <w:jc w:val="center"/>
            </w:pPr>
            <w:r w:rsidRPr="0022357A">
              <w:t>$</w:t>
            </w:r>
            <w:r w:rsidR="00F72571">
              <w:rPr>
                <w:noProof/>
                <w:color w:val="000000"/>
                <w:highlight w:val="black"/>
              </w:rPr>
              <w:t>'''''''''''''''</w:t>
            </w:r>
          </w:p>
        </w:tc>
        <w:tc>
          <w:tcPr>
            <w:tcW w:w="707" w:type="pct"/>
          </w:tcPr>
          <w:p w:rsidR="00022DCB" w:rsidRPr="0022357A" w:rsidRDefault="00022DCB" w:rsidP="00A65DFB">
            <w:pPr>
              <w:pStyle w:val="Tabletext"/>
              <w:keepNext/>
              <w:keepLines/>
              <w:jc w:val="center"/>
            </w:pPr>
            <w:r w:rsidRPr="0022357A">
              <w:t>$</w:t>
            </w:r>
            <w:r w:rsidR="00F72571">
              <w:rPr>
                <w:noProof/>
                <w:color w:val="000000"/>
                <w:highlight w:val="black"/>
              </w:rPr>
              <w:t>'''''''''''''''</w:t>
            </w:r>
          </w:p>
        </w:tc>
        <w:tc>
          <w:tcPr>
            <w:tcW w:w="943" w:type="pct"/>
            <w:vAlign w:val="center"/>
          </w:tcPr>
          <w:p w:rsidR="00022DCB" w:rsidRPr="0022357A" w:rsidRDefault="00022DCB" w:rsidP="00A65DFB">
            <w:pPr>
              <w:pStyle w:val="Tabletext"/>
              <w:keepNext/>
              <w:keepLines/>
              <w:jc w:val="center"/>
            </w:pPr>
            <w:r w:rsidRPr="0022357A">
              <w:t>$</w:t>
            </w:r>
            <w:r w:rsidR="00F72571">
              <w:rPr>
                <w:noProof/>
                <w:color w:val="000000"/>
                <w:highlight w:val="black"/>
              </w:rPr>
              <w:t>''''''''''''''''</w:t>
            </w:r>
          </w:p>
        </w:tc>
        <w:tc>
          <w:tcPr>
            <w:tcW w:w="916" w:type="pct"/>
          </w:tcPr>
          <w:p w:rsidR="00022DCB" w:rsidRPr="0022357A" w:rsidRDefault="00022DCB" w:rsidP="00A65DFB">
            <w:pPr>
              <w:pStyle w:val="Tabletext"/>
              <w:keepNext/>
              <w:keepLines/>
              <w:jc w:val="center"/>
            </w:pPr>
            <w:r w:rsidRPr="0022357A">
              <w:t>$</w:t>
            </w:r>
            <w:r w:rsidR="00F72571">
              <w:rPr>
                <w:noProof/>
                <w:color w:val="000000"/>
                <w:highlight w:val="black"/>
              </w:rPr>
              <w:t>'''''''''''''''''</w:t>
            </w:r>
          </w:p>
        </w:tc>
      </w:tr>
      <w:tr w:rsidR="00022DCB" w:rsidRPr="0022357A" w:rsidTr="00A91A99">
        <w:tc>
          <w:tcPr>
            <w:tcW w:w="1029" w:type="pct"/>
            <w:vAlign w:val="center"/>
          </w:tcPr>
          <w:p w:rsidR="00022DCB" w:rsidRPr="0022357A" w:rsidRDefault="00022DCB" w:rsidP="00A65DFB">
            <w:pPr>
              <w:pStyle w:val="Tabletext"/>
              <w:keepNext/>
              <w:keepLines/>
            </w:pPr>
            <w:r w:rsidRPr="0022357A">
              <w:t xml:space="preserve">QALYs </w:t>
            </w:r>
          </w:p>
        </w:tc>
        <w:tc>
          <w:tcPr>
            <w:tcW w:w="698" w:type="pct"/>
            <w:vAlign w:val="center"/>
          </w:tcPr>
          <w:p w:rsidR="00022DCB" w:rsidRPr="0022357A" w:rsidRDefault="00022DCB" w:rsidP="00A65DFB">
            <w:pPr>
              <w:pStyle w:val="Tabletext"/>
              <w:keepNext/>
              <w:keepLines/>
              <w:jc w:val="center"/>
            </w:pPr>
            <w:r w:rsidRPr="0022357A">
              <w:t>0.928</w:t>
            </w:r>
          </w:p>
        </w:tc>
        <w:tc>
          <w:tcPr>
            <w:tcW w:w="707" w:type="pct"/>
            <w:vAlign w:val="center"/>
          </w:tcPr>
          <w:p w:rsidR="00022DCB" w:rsidRPr="0022357A" w:rsidRDefault="00022DCB" w:rsidP="00A65DFB">
            <w:pPr>
              <w:pStyle w:val="Tabletext"/>
              <w:keepNext/>
              <w:keepLines/>
              <w:jc w:val="center"/>
            </w:pPr>
            <w:r w:rsidRPr="0022357A">
              <w:t>0.842</w:t>
            </w:r>
          </w:p>
        </w:tc>
        <w:tc>
          <w:tcPr>
            <w:tcW w:w="707" w:type="pct"/>
          </w:tcPr>
          <w:p w:rsidR="00022DCB" w:rsidRPr="00F72571" w:rsidRDefault="00F72571" w:rsidP="00A65DFB">
            <w:pPr>
              <w:pStyle w:val="Tabletext"/>
              <w:keepNext/>
              <w:keepLines/>
              <w:jc w:val="center"/>
              <w:rPr>
                <w:highlight w:val="black"/>
              </w:rPr>
            </w:pPr>
            <w:r>
              <w:rPr>
                <w:noProof/>
                <w:color w:val="000000"/>
                <w:highlight w:val="black"/>
              </w:rPr>
              <w:t>'''''''''''''</w:t>
            </w:r>
          </w:p>
        </w:tc>
        <w:tc>
          <w:tcPr>
            <w:tcW w:w="943" w:type="pct"/>
            <w:vAlign w:val="center"/>
          </w:tcPr>
          <w:p w:rsidR="00022DCB" w:rsidRPr="0022357A" w:rsidRDefault="00022DCB" w:rsidP="00A65DFB">
            <w:pPr>
              <w:pStyle w:val="Tabletext"/>
              <w:keepNext/>
              <w:keepLines/>
              <w:jc w:val="center"/>
            </w:pPr>
            <w:r w:rsidRPr="0022357A">
              <w:t>0.086</w:t>
            </w:r>
          </w:p>
        </w:tc>
        <w:tc>
          <w:tcPr>
            <w:tcW w:w="916" w:type="pct"/>
          </w:tcPr>
          <w:p w:rsidR="00022DCB" w:rsidRPr="00F72571" w:rsidRDefault="00F72571" w:rsidP="00A65DFB">
            <w:pPr>
              <w:pStyle w:val="Tabletext"/>
              <w:keepNext/>
              <w:keepLines/>
              <w:jc w:val="center"/>
              <w:rPr>
                <w:highlight w:val="black"/>
              </w:rPr>
            </w:pPr>
            <w:r>
              <w:rPr>
                <w:noProof/>
                <w:color w:val="000000"/>
                <w:highlight w:val="black"/>
              </w:rPr>
              <w:t>''''''''''''</w:t>
            </w:r>
          </w:p>
        </w:tc>
      </w:tr>
      <w:tr w:rsidR="00022DCB" w:rsidRPr="0022357A" w:rsidTr="00A91A99">
        <w:tc>
          <w:tcPr>
            <w:tcW w:w="3141" w:type="pct"/>
            <w:gridSpan w:val="4"/>
            <w:vAlign w:val="center"/>
          </w:tcPr>
          <w:p w:rsidR="00022DCB" w:rsidRPr="0022357A" w:rsidRDefault="00022DCB" w:rsidP="00A65DFB">
            <w:pPr>
              <w:pStyle w:val="Tabletext"/>
              <w:keepNext/>
              <w:keepLines/>
            </w:pPr>
            <w:r w:rsidRPr="0022357A">
              <w:rPr>
                <w:b/>
              </w:rPr>
              <w:t>Incremental cost/extra QALY gained</w:t>
            </w:r>
          </w:p>
        </w:tc>
        <w:tc>
          <w:tcPr>
            <w:tcW w:w="943" w:type="pct"/>
            <w:vAlign w:val="center"/>
          </w:tcPr>
          <w:p w:rsidR="00022DCB" w:rsidRPr="0022357A" w:rsidRDefault="00022DCB" w:rsidP="00A65DFB">
            <w:pPr>
              <w:keepNext/>
              <w:keepLines/>
              <w:jc w:val="center"/>
              <w:rPr>
                <w:rFonts w:ascii="Arial Narrow" w:hAnsi="Arial Narrow" w:cs="Times New Roman"/>
                <w:snapToGrid/>
                <w:sz w:val="20"/>
              </w:rPr>
            </w:pPr>
            <w:r w:rsidRPr="0022357A">
              <w:rPr>
                <w:rFonts w:ascii="Arial Narrow" w:hAnsi="Arial Narrow" w:cs="Times New Roman"/>
                <w:b/>
                <w:snapToGrid/>
                <w:sz w:val="20"/>
              </w:rPr>
              <w:t>$</w:t>
            </w:r>
            <w:r w:rsidR="00F72571">
              <w:rPr>
                <w:rFonts w:ascii="Arial Narrow" w:hAnsi="Arial Narrow" w:cs="Times New Roman"/>
                <w:b/>
                <w:noProof/>
                <w:snapToGrid/>
                <w:color w:val="000000"/>
                <w:sz w:val="20"/>
                <w:highlight w:val="black"/>
              </w:rPr>
              <w:t>'''''''''''''''''</w:t>
            </w:r>
          </w:p>
        </w:tc>
        <w:tc>
          <w:tcPr>
            <w:tcW w:w="916" w:type="pct"/>
          </w:tcPr>
          <w:p w:rsidR="00022DCB" w:rsidRPr="0022357A" w:rsidRDefault="00022DCB" w:rsidP="00A65DFB">
            <w:pPr>
              <w:keepNext/>
              <w:keepLines/>
              <w:jc w:val="center"/>
              <w:rPr>
                <w:rFonts w:ascii="Arial Narrow" w:hAnsi="Arial Narrow" w:cs="Times New Roman"/>
                <w:snapToGrid/>
                <w:sz w:val="20"/>
              </w:rPr>
            </w:pPr>
            <w:r w:rsidRPr="0022357A">
              <w:rPr>
                <w:rFonts w:ascii="Arial Narrow" w:hAnsi="Arial Narrow" w:cs="Times New Roman"/>
                <w:b/>
                <w:snapToGrid/>
                <w:sz w:val="20"/>
              </w:rPr>
              <w:t>$</w:t>
            </w:r>
            <w:r w:rsidR="00F72571">
              <w:rPr>
                <w:rFonts w:ascii="Arial Narrow" w:hAnsi="Arial Narrow" w:cs="Times New Roman"/>
                <w:b/>
                <w:noProof/>
                <w:snapToGrid/>
                <w:color w:val="000000"/>
                <w:sz w:val="20"/>
                <w:highlight w:val="black"/>
              </w:rPr>
              <w:t>''''''''''''''''''</w:t>
            </w:r>
          </w:p>
        </w:tc>
      </w:tr>
    </w:tbl>
    <w:p w:rsidR="00022DCB" w:rsidRPr="0022357A" w:rsidRDefault="00022DCB" w:rsidP="00A65DFB">
      <w:pPr>
        <w:pStyle w:val="TableFooter"/>
        <w:keepNext/>
        <w:keepLines/>
      </w:pPr>
      <w:r w:rsidRPr="0022357A">
        <w:t xml:space="preserve">Source: Complied during the evaluation from Table 3.8-1 to 3.8-2, p183; Table 3.10-1 to 3.10-2, p189 of the submission, and Section </w:t>
      </w:r>
      <w:proofErr w:type="gramStart"/>
      <w:r w:rsidRPr="0022357A">
        <w:t>3 spreadsheet</w:t>
      </w:r>
      <w:proofErr w:type="gramEnd"/>
    </w:p>
    <w:p w:rsidR="00022DCB" w:rsidRPr="0022357A" w:rsidRDefault="00022DCB" w:rsidP="00A65DFB">
      <w:pPr>
        <w:pStyle w:val="TableFooter"/>
        <w:keepNext/>
        <w:keepLines/>
      </w:pPr>
      <w:proofErr w:type="gramStart"/>
      <w:r w:rsidRPr="0022357A">
        <w:t>mSWAT</w:t>
      </w:r>
      <w:proofErr w:type="gramEnd"/>
      <w:r w:rsidRPr="0022357A">
        <w:t xml:space="preserve"> = modified severity-weighted assessment tool; ORR = objective response rate; QA</w:t>
      </w:r>
      <w:r w:rsidR="00A65DFB" w:rsidRPr="0022357A">
        <w:t>LY = quality-adjusted life year</w:t>
      </w:r>
    </w:p>
    <w:p w:rsidR="00022DCB" w:rsidRPr="0022357A" w:rsidRDefault="00022DCB" w:rsidP="00A65DFB">
      <w:pPr>
        <w:keepNext/>
      </w:pPr>
    </w:p>
    <w:p w:rsidR="00022DCB" w:rsidRPr="0022357A" w:rsidRDefault="00022DCB" w:rsidP="00D2384E">
      <w:pPr>
        <w:pStyle w:val="ListParagraph"/>
        <w:widowControl/>
        <w:numPr>
          <w:ilvl w:val="1"/>
          <w:numId w:val="3"/>
        </w:numPr>
      </w:pPr>
      <w:r w:rsidRPr="0022357A">
        <w:t xml:space="preserve">The </w:t>
      </w:r>
      <w:r w:rsidR="00D2384E" w:rsidRPr="0022357A">
        <w:t>incremental</w:t>
      </w:r>
      <w:r w:rsidRPr="0022357A">
        <w:t xml:space="preserve"> benefit of brentuximab vedotin over vorinostat could not be reliably estimated because it was informed by a naïve comparison of studies which had a high risk of bias and </w:t>
      </w:r>
      <w:r w:rsidR="00D2384E" w:rsidRPr="0022357A">
        <w:t xml:space="preserve">transitivity </w:t>
      </w:r>
      <w:r w:rsidRPr="0022357A">
        <w:t>issues. This was mainly due to the vorinostat studies including patients with subtypes of CTCL with worse prognoses</w:t>
      </w:r>
      <w:r w:rsidR="00704159">
        <w:t xml:space="preserve"> and the different distributions of CD30 positivity</w:t>
      </w:r>
      <w:r w:rsidRPr="0022357A">
        <w:t xml:space="preserve">. </w:t>
      </w:r>
    </w:p>
    <w:p w:rsidR="00022DCB" w:rsidRDefault="00D2384E" w:rsidP="00022DCB">
      <w:pPr>
        <w:pStyle w:val="ListParagraph"/>
        <w:widowControl/>
        <w:numPr>
          <w:ilvl w:val="1"/>
          <w:numId w:val="3"/>
        </w:numPr>
      </w:pPr>
      <w:r w:rsidRPr="0022357A">
        <w:t>The comparis</w:t>
      </w:r>
      <w:r w:rsidR="00022DCB" w:rsidRPr="0022357A">
        <w:t xml:space="preserve">on with methotrexate was considered more reliable as it was based on the results of a </w:t>
      </w:r>
      <w:r w:rsidR="00D43B3F">
        <w:t>RCT</w:t>
      </w:r>
      <w:r w:rsidR="00022DCB" w:rsidRPr="0022357A">
        <w:t>. However, there were differences in baseline characteristics</w:t>
      </w:r>
      <w:r w:rsidR="00536A7B">
        <w:t xml:space="preserve"> across the treatment groups</w:t>
      </w:r>
      <w:r w:rsidR="00022DCB" w:rsidRPr="0022357A">
        <w:t xml:space="preserve">. The comparison with methotrexate was not applicable to patients with the SS </w:t>
      </w:r>
      <w:r w:rsidR="00C44B77" w:rsidRPr="0022357A">
        <w:t xml:space="preserve">or LyP </w:t>
      </w:r>
      <w:r w:rsidR="00022DCB" w:rsidRPr="0022357A">
        <w:t>subtype</w:t>
      </w:r>
      <w:r w:rsidR="00C44B77" w:rsidRPr="0022357A">
        <w:t>s</w:t>
      </w:r>
      <w:r w:rsidR="00791608" w:rsidRPr="0022357A">
        <w:t>,</w:t>
      </w:r>
      <w:r w:rsidR="00022DCB" w:rsidRPr="0022357A">
        <w:t xml:space="preserve"> as the trial did not include any</w:t>
      </w:r>
      <w:r w:rsidR="00803E61" w:rsidRPr="0022357A">
        <w:t xml:space="preserve"> patients with SS or</w:t>
      </w:r>
      <w:r w:rsidR="00022DCB" w:rsidRPr="0022357A">
        <w:t xml:space="preserve"> LyP subtype</w:t>
      </w:r>
      <w:r w:rsidR="00803E61" w:rsidRPr="0022357A">
        <w:t>s</w:t>
      </w:r>
      <w:r w:rsidR="00022DCB" w:rsidRPr="0022357A">
        <w:t xml:space="preserve">. Newland (2015) </w:t>
      </w:r>
      <w:r w:rsidR="008113FB" w:rsidRPr="0022357A">
        <w:t xml:space="preserve">demonstrated that Australian patients with </w:t>
      </w:r>
      <w:r w:rsidR="00022DCB" w:rsidRPr="0022357A">
        <w:t xml:space="preserve">LyP </w:t>
      </w:r>
      <w:r w:rsidR="008113FB" w:rsidRPr="0022357A">
        <w:t xml:space="preserve">and </w:t>
      </w:r>
      <w:r w:rsidR="00022DCB" w:rsidRPr="0022357A">
        <w:t xml:space="preserve">treated with methotrexate had </w:t>
      </w:r>
      <w:r w:rsidR="008113FB" w:rsidRPr="0022357A">
        <w:t xml:space="preserve">a </w:t>
      </w:r>
      <w:r w:rsidR="00022DCB" w:rsidRPr="0022357A">
        <w:t>high rate of response.</w:t>
      </w:r>
    </w:p>
    <w:p w:rsidR="00022DCB" w:rsidRPr="00C35104" w:rsidRDefault="00022DCB" w:rsidP="00022DCB">
      <w:pPr>
        <w:pStyle w:val="ListParagraph"/>
        <w:widowControl/>
        <w:numPr>
          <w:ilvl w:val="1"/>
          <w:numId w:val="3"/>
        </w:numPr>
        <w:rPr>
          <w:szCs w:val="24"/>
        </w:rPr>
      </w:pPr>
      <w:r w:rsidRPr="0022357A">
        <w:t xml:space="preserve">The submission </w:t>
      </w:r>
      <w:r w:rsidR="00C44B77" w:rsidRPr="0022357A">
        <w:t xml:space="preserve">claimed </w:t>
      </w:r>
      <w:r w:rsidRPr="0022357A">
        <w:t>that brentuximab vedotin was at least as cost-effective as vorinostat for the treatment of CTCL. This was implicitly based on a comparison with “no active therapy” (i.e. zero cost and effectiveness) resulting in brentuximab vedotin having a cost per responder (ORR) of $</w:t>
      </w:r>
      <w:r w:rsidR="00C37F80">
        <w:t>105,000 - $200,000</w:t>
      </w:r>
      <w:r w:rsidRPr="0022357A">
        <w:t xml:space="preserve"> compared with </w:t>
      </w:r>
      <w:r w:rsidR="001209EE">
        <w:t xml:space="preserve">more than </w:t>
      </w:r>
      <w:r w:rsidRPr="0022357A">
        <w:t>$</w:t>
      </w:r>
      <w:r w:rsidR="001209EE">
        <w:t>200,000</w:t>
      </w:r>
      <w:r w:rsidRPr="0022357A">
        <w:t xml:space="preserve"> for </w:t>
      </w:r>
      <w:r w:rsidR="00E47185" w:rsidRPr="0022357A">
        <w:t>vorinostat. The</w:t>
      </w:r>
      <w:r w:rsidRPr="0022357A">
        <w:t xml:space="preserve"> vorinostat ICER </w:t>
      </w:r>
      <w:r w:rsidR="00721B46">
        <w:t xml:space="preserve">in this application </w:t>
      </w:r>
      <w:r w:rsidRPr="0022357A">
        <w:t xml:space="preserve">was derived from the MAVORIC trial which had a lower ORR than studies P001 and P005 (the basis of the vorinostat recommendation) (4.8% in MAVORIC vs. 29.5% in P001, 31% in P005 patients using </w:t>
      </w:r>
      <w:r w:rsidR="007A714F" w:rsidRPr="0022357A">
        <w:t xml:space="preserve">Product Information </w:t>
      </w:r>
      <w:r w:rsidRPr="0022357A">
        <w:t xml:space="preserve">dosing). </w:t>
      </w:r>
      <w:r w:rsidR="00244B16" w:rsidRPr="00C35104">
        <w:rPr>
          <w:szCs w:val="24"/>
        </w:rPr>
        <w:t>The PSCR presented a new cost per responder analysis (brentuximab vedotin vs methotrexate) where a responder was a patient with an objective response lasting four months (ORR4) – the primary outcome of the ALCANZA trial. The PSCR reported an ICER of $</w:t>
      </w:r>
      <w:r w:rsidR="001209EE">
        <w:rPr>
          <w:szCs w:val="24"/>
        </w:rPr>
        <w:t>105,000</w:t>
      </w:r>
      <w:r w:rsidR="00244B16" w:rsidRPr="00C35104">
        <w:rPr>
          <w:szCs w:val="24"/>
        </w:rPr>
        <w:t>/responder</w:t>
      </w:r>
      <w:r w:rsidR="001209EE">
        <w:rPr>
          <w:szCs w:val="24"/>
        </w:rPr>
        <w:t xml:space="preserve"> - $200,000/</w:t>
      </w:r>
      <w:proofErr w:type="gramStart"/>
      <w:r w:rsidR="001209EE">
        <w:rPr>
          <w:szCs w:val="24"/>
        </w:rPr>
        <w:t>responder</w:t>
      </w:r>
      <w:r w:rsidR="00536A7B">
        <w:rPr>
          <w:szCs w:val="24"/>
        </w:rPr>
        <w:t>,</w:t>
      </w:r>
      <w:proofErr w:type="gramEnd"/>
      <w:r w:rsidR="00536A7B">
        <w:rPr>
          <w:szCs w:val="24"/>
        </w:rPr>
        <w:t xml:space="preserve"> however</w:t>
      </w:r>
      <w:r w:rsidR="00244B16" w:rsidRPr="00C35104">
        <w:rPr>
          <w:szCs w:val="24"/>
        </w:rPr>
        <w:t xml:space="preserve"> </w:t>
      </w:r>
      <w:r w:rsidR="00536A7B">
        <w:rPr>
          <w:szCs w:val="24"/>
        </w:rPr>
        <w:t>ESC could not replicate this ICER.</w:t>
      </w:r>
      <w:r w:rsidR="006B7C78" w:rsidRPr="00C35104" w:rsidDel="006B7C78">
        <w:rPr>
          <w:szCs w:val="24"/>
        </w:rPr>
        <w:t xml:space="preserve"> </w:t>
      </w:r>
    </w:p>
    <w:p w:rsidR="009E2CEC" w:rsidRPr="00C35104" w:rsidRDefault="009E2CEC" w:rsidP="009E2CEC">
      <w:pPr>
        <w:pStyle w:val="ListParagraph"/>
        <w:widowControl/>
        <w:numPr>
          <w:ilvl w:val="1"/>
          <w:numId w:val="3"/>
        </w:numPr>
      </w:pPr>
      <w:r w:rsidRPr="00C35104">
        <w:lastRenderedPageBreak/>
        <w:t>Application of the crude weighted ORRs and a weighted cost for vorinostat and methotrexate (49% and 51% respectively) in the economic model resulted in a cost per responder of $</w:t>
      </w:r>
      <w:r w:rsidR="00C17D20">
        <w:t>105,000 - $200,000</w:t>
      </w:r>
      <w:r w:rsidRPr="00C35104">
        <w:t>.</w:t>
      </w:r>
    </w:p>
    <w:p w:rsidR="00022DCB" w:rsidRPr="0022357A" w:rsidRDefault="00022DCB" w:rsidP="00022DCB">
      <w:pPr>
        <w:pStyle w:val="ListParagraph"/>
        <w:widowControl/>
        <w:numPr>
          <w:ilvl w:val="1"/>
          <w:numId w:val="3"/>
        </w:numPr>
      </w:pPr>
      <w:r w:rsidRPr="0022357A">
        <w:t xml:space="preserve">During the November 2016 vorinostat consideration, the PBAC noted the ESC’s concerns regarding “no active therapy” being the nominated comparator. The PBAC considered that if recommended for PBS listing, vorinostat would be used to displace, rather than replace, currently available treatments, which vary widely in nature and applicability to individual cases. As such, the PBAC viewed that “no active therapy” could reasonably be considered a comparator (paragraph 7.3, November 2016 PSD). Due to the cycling of treatments in CTCL, patients may receive </w:t>
      </w:r>
      <w:r w:rsidR="007F12F8">
        <w:t xml:space="preserve">again </w:t>
      </w:r>
      <w:r w:rsidRPr="0022357A">
        <w:t>a previous treatment as supportive care, which may result a response for some patients. Thus, the assumed 0% ORR for no active therapy would be inappropriate. It would also be inappropriate for LyP, which self</w:t>
      </w:r>
      <w:r w:rsidRPr="0022357A">
        <w:noBreakHyphen/>
        <w:t xml:space="preserve">resolves. </w:t>
      </w:r>
    </w:p>
    <w:p w:rsidR="00022DCB" w:rsidRPr="0022357A" w:rsidRDefault="00022DCB" w:rsidP="00022DCB">
      <w:pPr>
        <w:pStyle w:val="ListParagraph"/>
        <w:widowControl/>
        <w:numPr>
          <w:ilvl w:val="1"/>
          <w:numId w:val="3"/>
        </w:numPr>
      </w:pPr>
      <w:r w:rsidRPr="0022357A">
        <w:t>The cost per responder analysis</w:t>
      </w:r>
      <w:r w:rsidR="00C44B77" w:rsidRPr="0022357A">
        <w:t>,</w:t>
      </w:r>
      <w:r w:rsidRPr="0022357A">
        <w:t xml:space="preserve"> in which a ≥ 25% improvement in mSWAT was the response outcome</w:t>
      </w:r>
      <w:r w:rsidR="00C44B77" w:rsidRPr="0022357A">
        <w:t>,</w:t>
      </w:r>
      <w:r w:rsidRPr="0022357A">
        <w:t xml:space="preserve"> was similar to the analysis presented in the March 2017 PBAC consideration of vorinostat. A ≥ 25% improvement in mSWAT is a less stringent outcome than ORR which requires ≥ 50% improvement in skin and other disease </w:t>
      </w:r>
      <w:r w:rsidR="00E47185" w:rsidRPr="0022357A">
        <w:t>assessments</w:t>
      </w:r>
      <w:r w:rsidRPr="0022357A">
        <w:t>. The cost per ≥ 25% mSWAT improvement may not capture all patient relevant benefits, including more brentuximab vedotin patients achieving complete or near</w:t>
      </w:r>
      <w:r w:rsidRPr="0022357A">
        <w:noBreakHyphen/>
        <w:t xml:space="preserve">complete responses. </w:t>
      </w:r>
    </w:p>
    <w:p w:rsidR="00022DCB" w:rsidRPr="00932A94" w:rsidRDefault="00022DCB" w:rsidP="00022DCB">
      <w:pPr>
        <w:pStyle w:val="ListParagraph"/>
        <w:widowControl/>
        <w:numPr>
          <w:ilvl w:val="1"/>
          <w:numId w:val="3"/>
        </w:numPr>
      </w:pPr>
      <w:r w:rsidRPr="0022357A">
        <w:t>The submission presented an ICER for brentuximab vedotin of</w:t>
      </w:r>
      <w:r w:rsidR="005C178A">
        <w:t xml:space="preserve"> more </w:t>
      </w:r>
      <w:r w:rsidR="00C17D20">
        <w:t>than</w:t>
      </w:r>
      <w:r w:rsidR="008C6F50">
        <w:t xml:space="preserve"> </w:t>
      </w:r>
      <w:r w:rsidRPr="0022357A">
        <w:t>$</w:t>
      </w:r>
      <w:r w:rsidR="00C17D20">
        <w:t>200,000</w:t>
      </w:r>
      <w:r w:rsidRPr="0022357A">
        <w:t>/QALY and</w:t>
      </w:r>
      <w:r w:rsidR="005C178A">
        <w:t xml:space="preserve"> more than</w:t>
      </w:r>
      <w:r w:rsidRPr="0022357A">
        <w:t xml:space="preserve"> $</w:t>
      </w:r>
      <w:r w:rsidR="005C178A">
        <w:t>200,000</w:t>
      </w:r>
      <w:r w:rsidRPr="0022357A">
        <w:t xml:space="preserve">/QALY compared with vorinostat and methotrexate, respectively. </w:t>
      </w:r>
      <w:r w:rsidR="008F6608">
        <w:rPr>
          <w:rFonts w:asciiTheme="minorHAnsi" w:hAnsiTheme="minorHAnsi"/>
          <w:bCs/>
          <w:lang w:val="en-GB"/>
        </w:rPr>
        <w:t>The PBAC considered</w:t>
      </w:r>
      <w:r w:rsidR="008F6608" w:rsidRPr="009F4240">
        <w:rPr>
          <w:rFonts w:asciiTheme="minorHAnsi" w:hAnsiTheme="minorHAnsi"/>
          <w:bCs/>
          <w:lang w:val="en-GB"/>
        </w:rPr>
        <w:t xml:space="preserve"> that the ICERs presented were unacceptably high based on previous PBAC de</w:t>
      </w:r>
      <w:r w:rsidR="008F6608">
        <w:rPr>
          <w:rFonts w:asciiTheme="minorHAnsi" w:hAnsiTheme="minorHAnsi"/>
          <w:bCs/>
          <w:lang w:val="en-GB"/>
        </w:rPr>
        <w:t xml:space="preserve">cisions, even in the context of </w:t>
      </w:r>
      <w:r w:rsidR="008F6608" w:rsidRPr="009F4240">
        <w:rPr>
          <w:rFonts w:asciiTheme="minorHAnsi" w:hAnsiTheme="minorHAnsi"/>
          <w:bCs/>
          <w:lang w:val="en-GB"/>
        </w:rPr>
        <w:t xml:space="preserve">difficult to treat and relatively rare diseases and that, in addition, the ICER </w:t>
      </w:r>
      <w:r w:rsidR="008F6608">
        <w:rPr>
          <w:rFonts w:asciiTheme="minorHAnsi" w:hAnsiTheme="minorHAnsi"/>
          <w:bCs/>
          <w:lang w:val="en-GB"/>
        </w:rPr>
        <w:t xml:space="preserve">for the comparison </w:t>
      </w:r>
      <w:r w:rsidR="008F6608" w:rsidRPr="009F4240">
        <w:rPr>
          <w:rFonts w:asciiTheme="minorHAnsi" w:hAnsiTheme="minorHAnsi"/>
          <w:bCs/>
          <w:lang w:val="en-GB"/>
        </w:rPr>
        <w:t>with vorinostat was highly uncertain.</w:t>
      </w:r>
      <w:r w:rsidRPr="0022357A">
        <w:t xml:space="preserve"> </w:t>
      </w:r>
    </w:p>
    <w:p w:rsidR="0056712A" w:rsidRPr="0022357A" w:rsidRDefault="003F7D71" w:rsidP="00B1472E">
      <w:pPr>
        <w:pStyle w:val="ListParagraph"/>
        <w:keepNext/>
        <w:widowControl/>
        <w:numPr>
          <w:ilvl w:val="1"/>
          <w:numId w:val="3"/>
        </w:numPr>
      </w:pPr>
      <w:r w:rsidRPr="00932A94">
        <w:lastRenderedPageBreak/>
        <w:t xml:space="preserve">The PBAC noted that in the pre-PBAC response the sponsor offered a </w:t>
      </w:r>
      <w:r w:rsidR="00704159">
        <w:t>reduced</w:t>
      </w:r>
      <w:r w:rsidRPr="00932A94">
        <w:t xml:space="preserve"> price of $</w:t>
      </w:r>
      <w:r w:rsidR="00F72571">
        <w:rPr>
          <w:noProof/>
          <w:color w:val="000000"/>
          <w:highlight w:val="black"/>
        </w:rPr>
        <w:t>'''''''''''</w:t>
      </w:r>
      <w:r w:rsidRPr="00932A94">
        <w:t xml:space="preserve"> per vial. The PBAC </w:t>
      </w:r>
      <w:r w:rsidR="00704159">
        <w:t>considered</w:t>
      </w:r>
      <w:r w:rsidRPr="00932A94">
        <w:t xml:space="preserve"> that the revised ICER </w:t>
      </w:r>
      <w:r w:rsidR="004F72F1" w:rsidRPr="00932A94">
        <w:t>with the reduced price remained very high and uncertain.</w:t>
      </w:r>
    </w:p>
    <w:p w:rsidR="0056712A" w:rsidRPr="00B1472E" w:rsidRDefault="00022DCB" w:rsidP="00B1472E">
      <w:pPr>
        <w:pStyle w:val="Heading2"/>
        <w:keepNext/>
        <w:keepLines/>
        <w:spacing w:after="120"/>
        <w:rPr>
          <w:i w:val="0"/>
        </w:rPr>
      </w:pPr>
      <w:bookmarkStart w:id="12" w:name="_Toc514237315"/>
      <w:r w:rsidRPr="0022357A">
        <w:rPr>
          <w:i w:val="0"/>
        </w:rPr>
        <w:t>Drug cost/patient/</w:t>
      </w:r>
      <w:r w:rsidR="00C25D9C" w:rsidRPr="0022357A">
        <w:rPr>
          <w:i w:val="0"/>
        </w:rPr>
        <w:t>course</w:t>
      </w:r>
      <w:r w:rsidRPr="0022357A">
        <w:rPr>
          <w:i w:val="0"/>
        </w:rPr>
        <w:t xml:space="preserve"> = $</w:t>
      </w:r>
      <w:bookmarkEnd w:id="12"/>
      <w:r w:rsidR="00F72571">
        <w:rPr>
          <w:i w:val="0"/>
          <w:noProof/>
          <w:color w:val="000000"/>
          <w:highlight w:val="black"/>
        </w:rPr>
        <w:t>''''''''''''</w:t>
      </w:r>
    </w:p>
    <w:p w:rsidR="006E39FE" w:rsidRDefault="00022DCB" w:rsidP="00B1472E">
      <w:pPr>
        <w:pStyle w:val="ListParagraph"/>
        <w:keepNext/>
        <w:keepLines/>
        <w:widowControl/>
        <w:numPr>
          <w:ilvl w:val="1"/>
          <w:numId w:val="3"/>
        </w:numPr>
      </w:pPr>
      <w:r w:rsidRPr="0022357A">
        <w:t>The cost of brentuximab vedotin was $</w:t>
      </w:r>
      <w:r w:rsidR="00F72571">
        <w:rPr>
          <w:noProof/>
          <w:color w:val="000000"/>
          <w:highlight w:val="black"/>
        </w:rPr>
        <w:t>''''''''''''''''''''</w:t>
      </w:r>
      <w:r w:rsidRPr="0022357A">
        <w:t xml:space="preserve"> (undiscounted) consisting of $</w:t>
      </w:r>
      <w:r w:rsidR="00F72571">
        <w:rPr>
          <w:noProof/>
          <w:color w:val="000000"/>
          <w:highlight w:val="black"/>
        </w:rPr>
        <w:t>'''''''''''''''''</w:t>
      </w:r>
      <w:r w:rsidRPr="0022357A">
        <w:t xml:space="preserve"> in brentuximab vedotin costs and $</w:t>
      </w:r>
      <w:r w:rsidR="00F72571">
        <w:rPr>
          <w:noProof/>
          <w:color w:val="000000"/>
          <w:highlight w:val="black"/>
        </w:rPr>
        <w:t>''''''''''''</w:t>
      </w:r>
      <w:r w:rsidRPr="0022357A">
        <w:t xml:space="preserve"> in IV infusion costs. This was based on a dose of approximately </w:t>
      </w:r>
      <w:r w:rsidR="00F72571">
        <w:rPr>
          <w:noProof/>
          <w:color w:val="000000"/>
          <w:highlight w:val="black"/>
        </w:rPr>
        <w:t>'''''''</w:t>
      </w:r>
      <w:r w:rsidRPr="0022357A">
        <w:t xml:space="preserve"> mg</w:t>
      </w:r>
      <w:r w:rsidR="00A36B70" w:rsidRPr="0022357A">
        <w:t xml:space="preserve"> and </w:t>
      </w:r>
      <w:r w:rsidR="00F72571">
        <w:rPr>
          <w:noProof/>
          <w:color w:val="000000"/>
          <w:highlight w:val="black"/>
        </w:rPr>
        <w:t>''''''''</w:t>
      </w:r>
      <w:r w:rsidR="00A36B70" w:rsidRPr="0022357A">
        <w:t xml:space="preserve"> cycles</w:t>
      </w:r>
      <w:r w:rsidRPr="0022357A">
        <w:t xml:space="preserve"> </w:t>
      </w:r>
      <w:r w:rsidR="00A36B70" w:rsidRPr="0022357A">
        <w:t>of brentuximab vedotin (</w:t>
      </w:r>
      <w:r w:rsidR="00F72571">
        <w:rPr>
          <w:noProof/>
          <w:color w:val="000000"/>
          <w:highlight w:val="black"/>
        </w:rPr>
        <w:t>''''''''</w:t>
      </w:r>
      <w:r w:rsidRPr="0022357A">
        <w:t>% compliance</w:t>
      </w:r>
      <w:r w:rsidR="00A36B70" w:rsidRPr="0022357A">
        <w:t>)</w:t>
      </w:r>
      <w:r w:rsidRPr="0022357A">
        <w:t xml:space="preserve">. </w:t>
      </w:r>
      <w:r w:rsidR="00006BB9">
        <w:t xml:space="preserve">The </w:t>
      </w:r>
      <w:r w:rsidR="008F6608">
        <w:t>p</w:t>
      </w:r>
      <w:r w:rsidR="00006BB9">
        <w:t>re-PBAC response proposed a reduced price of $</w:t>
      </w:r>
      <w:r w:rsidR="00F72571">
        <w:rPr>
          <w:noProof/>
          <w:color w:val="000000"/>
          <w:highlight w:val="black"/>
        </w:rPr>
        <w:t xml:space="preserve">'''''''''''' </w:t>
      </w:r>
      <w:r w:rsidR="00006BB9">
        <w:t xml:space="preserve">per vial. </w:t>
      </w:r>
      <w:r w:rsidRPr="0022357A">
        <w:t>The cost of vorinostat was $</w:t>
      </w:r>
      <w:r w:rsidRPr="00C37F80">
        <w:t>31,202</w:t>
      </w:r>
      <w:r w:rsidRPr="0022357A">
        <w:t xml:space="preserve"> (undiscounted) based on 100% compliance and treatment until disease progression</w:t>
      </w:r>
      <w:r w:rsidR="003F639B" w:rsidRPr="0022357A">
        <w:t xml:space="preserve"> using PFS from the MAVORIC trial</w:t>
      </w:r>
      <w:r w:rsidR="00FE3EB7" w:rsidRPr="0022357A">
        <w:t>, with an average treatment duration of 30 weeks</w:t>
      </w:r>
      <w:r w:rsidRPr="0022357A">
        <w:t>. The modelled cost of methotrexate was $45.93 (undiscounted) based on an average dose of 21.67 mg for an average treatment duration of approximately 21 weeks.</w:t>
      </w:r>
    </w:p>
    <w:p w:rsidR="00B60939" w:rsidRPr="00B1472E" w:rsidRDefault="00B60939" w:rsidP="00B1472E">
      <w:pPr>
        <w:pStyle w:val="Heading2"/>
        <w:keepNext/>
        <w:spacing w:before="240" w:after="120"/>
        <w:rPr>
          <w:i w:val="0"/>
        </w:rPr>
      </w:pPr>
      <w:bookmarkStart w:id="13" w:name="_Toc514237316"/>
      <w:r w:rsidRPr="0022357A">
        <w:rPr>
          <w:i w:val="0"/>
        </w:rPr>
        <w:t>Estimated PBS usage &amp; financial implications</w:t>
      </w:r>
      <w:bookmarkEnd w:id="13"/>
    </w:p>
    <w:p w:rsidR="00022DCB" w:rsidRPr="0022357A" w:rsidRDefault="00022DCB" w:rsidP="00022DCB">
      <w:pPr>
        <w:pStyle w:val="ListParagraph"/>
        <w:widowControl/>
        <w:numPr>
          <w:ilvl w:val="1"/>
          <w:numId w:val="3"/>
        </w:numPr>
      </w:pPr>
      <w:r w:rsidRPr="0022357A">
        <w:t xml:space="preserve">This submission </w:t>
      </w:r>
      <w:r w:rsidR="00A3483E">
        <w:t>was</w:t>
      </w:r>
      <w:r w:rsidRPr="0022357A">
        <w:t xml:space="preserve"> not considered by DUSC</w:t>
      </w:r>
      <w:r w:rsidRPr="0022357A">
        <w:rPr>
          <w:color w:val="0070C0"/>
        </w:rPr>
        <w:t xml:space="preserve">. </w:t>
      </w:r>
    </w:p>
    <w:p w:rsidR="00022DCB" w:rsidRPr="0022357A" w:rsidRDefault="00022DCB" w:rsidP="00022DCB">
      <w:pPr>
        <w:pStyle w:val="ListParagraph"/>
        <w:widowControl/>
        <w:numPr>
          <w:ilvl w:val="1"/>
          <w:numId w:val="3"/>
        </w:numPr>
      </w:pPr>
      <w:r w:rsidRPr="0022357A">
        <w:t>The submission appropriately used an epidemiological approach to estimate the utilisation and financial impact of listing brentuximab vedotin. The submission estimated the prevalent and incident CTCL population using Australian Institute of Health and Welfare cancer and mortality data. The proportion of CD30 positive CTCL patients requiring systemic treatment was estimated from the ACL</w:t>
      </w:r>
      <w:r w:rsidR="00006BB9">
        <w:t>N</w:t>
      </w:r>
      <w:r w:rsidRPr="0022357A">
        <w:t xml:space="preserve"> database. The estimated use and financial implications are presented in Table </w:t>
      </w:r>
      <w:r w:rsidR="0046414B" w:rsidRPr="0022357A">
        <w:t>1</w:t>
      </w:r>
      <w:r w:rsidR="00C53858">
        <w:t>4</w:t>
      </w:r>
      <w:r w:rsidRPr="00932A94">
        <w:t>.</w:t>
      </w:r>
      <w:r w:rsidR="00B73E6D" w:rsidRPr="00932A94">
        <w:t xml:space="preserve"> The PBAC </w:t>
      </w:r>
      <w:r w:rsidR="00BB2FDB">
        <w:t>noted</w:t>
      </w:r>
      <w:r w:rsidR="00B73E6D" w:rsidRPr="00932A94">
        <w:t xml:space="preserve"> that </w:t>
      </w:r>
      <w:r w:rsidR="00B73E6D" w:rsidRPr="008F6608">
        <w:t xml:space="preserve">the approach taken did not apply the definition of CD30 positivity used in the pivotal trial and </w:t>
      </w:r>
      <w:r w:rsidR="00BB2FDB">
        <w:t xml:space="preserve">considered that it </w:t>
      </w:r>
      <w:r w:rsidR="00B73E6D" w:rsidRPr="008F6608">
        <w:t xml:space="preserve">made significant assumptions in </w:t>
      </w:r>
      <w:r w:rsidR="00BB2FDB">
        <w:t xml:space="preserve">the </w:t>
      </w:r>
      <w:r w:rsidR="00B73E6D" w:rsidRPr="008F6608">
        <w:t>extrapolations from the ACL</w:t>
      </w:r>
      <w:r w:rsidR="00006BB9" w:rsidRPr="008F6608">
        <w:t>N</w:t>
      </w:r>
      <w:r w:rsidR="00B73E6D" w:rsidRPr="008F6608">
        <w:t xml:space="preserve"> database.</w:t>
      </w:r>
    </w:p>
    <w:p w:rsidR="00022DCB" w:rsidRPr="0022357A" w:rsidRDefault="00022DCB" w:rsidP="00022DCB">
      <w:r w:rsidRPr="0022357A">
        <w:rPr>
          <w:rStyle w:val="CommentReference"/>
        </w:rPr>
        <w:t xml:space="preserve">Table </w:t>
      </w:r>
      <w:r w:rsidR="0046414B" w:rsidRPr="0022357A">
        <w:rPr>
          <w:rStyle w:val="CommentReference"/>
        </w:rPr>
        <w:t>1</w:t>
      </w:r>
      <w:r w:rsidR="00C53858">
        <w:rPr>
          <w:rStyle w:val="CommentReference"/>
        </w:rPr>
        <w:t>4</w:t>
      </w:r>
      <w:r w:rsidRPr="0022357A">
        <w:rPr>
          <w:rStyle w:val="CommentReference"/>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7"/>
        <w:gridCol w:w="1051"/>
        <w:gridCol w:w="1175"/>
        <w:gridCol w:w="1175"/>
        <w:gridCol w:w="1175"/>
        <w:gridCol w:w="1175"/>
        <w:gridCol w:w="1175"/>
      </w:tblGrid>
      <w:tr w:rsidR="00022DCB" w:rsidRPr="0022357A" w:rsidTr="00A91A99">
        <w:trPr>
          <w:tblHeader/>
        </w:trPr>
        <w:tc>
          <w:tcPr>
            <w:tcW w:w="1187" w:type="pct"/>
            <w:shd w:val="clear" w:color="auto" w:fill="auto"/>
            <w:vAlign w:val="center"/>
          </w:tcPr>
          <w:p w:rsidR="00022DCB" w:rsidRPr="0022357A" w:rsidRDefault="00022DCB" w:rsidP="00022DCB">
            <w:pPr>
              <w:pStyle w:val="Tabletext"/>
            </w:pPr>
          </w:p>
        </w:tc>
        <w:tc>
          <w:tcPr>
            <w:tcW w:w="578" w:type="pct"/>
            <w:shd w:val="clear" w:color="auto" w:fill="auto"/>
            <w:vAlign w:val="center"/>
          </w:tcPr>
          <w:p w:rsidR="00022DCB" w:rsidRPr="0022357A" w:rsidRDefault="00022DCB" w:rsidP="00022DCB">
            <w:pPr>
              <w:pStyle w:val="Tabletext"/>
              <w:jc w:val="center"/>
              <w:rPr>
                <w:b/>
              </w:rPr>
            </w:pPr>
            <w:r w:rsidRPr="0022357A">
              <w:rPr>
                <w:b/>
              </w:rPr>
              <w:t>Year 1</w:t>
            </w:r>
          </w:p>
          <w:p w:rsidR="00022DCB" w:rsidRPr="0022357A" w:rsidRDefault="00022DCB" w:rsidP="00022DCB">
            <w:pPr>
              <w:pStyle w:val="Tabletext"/>
              <w:jc w:val="center"/>
              <w:rPr>
                <w:b/>
              </w:rPr>
            </w:pPr>
            <w:r w:rsidRPr="0022357A">
              <w:rPr>
                <w:b/>
              </w:rPr>
              <w:t>(2019)</w:t>
            </w:r>
          </w:p>
        </w:tc>
        <w:tc>
          <w:tcPr>
            <w:tcW w:w="647" w:type="pct"/>
            <w:shd w:val="clear" w:color="auto" w:fill="auto"/>
            <w:vAlign w:val="center"/>
          </w:tcPr>
          <w:p w:rsidR="00022DCB" w:rsidRPr="0022357A" w:rsidRDefault="00022DCB" w:rsidP="00022DCB">
            <w:pPr>
              <w:pStyle w:val="Tabletext"/>
              <w:jc w:val="center"/>
              <w:rPr>
                <w:b/>
              </w:rPr>
            </w:pPr>
            <w:r w:rsidRPr="0022357A">
              <w:rPr>
                <w:b/>
              </w:rPr>
              <w:t>Year 2</w:t>
            </w:r>
          </w:p>
          <w:p w:rsidR="00022DCB" w:rsidRPr="0022357A" w:rsidRDefault="00022DCB" w:rsidP="00022DCB">
            <w:pPr>
              <w:pStyle w:val="Tabletext"/>
              <w:jc w:val="center"/>
              <w:rPr>
                <w:b/>
              </w:rPr>
            </w:pPr>
            <w:r w:rsidRPr="0022357A">
              <w:rPr>
                <w:b/>
              </w:rPr>
              <w:t>(2020)</w:t>
            </w:r>
          </w:p>
        </w:tc>
        <w:tc>
          <w:tcPr>
            <w:tcW w:w="647" w:type="pct"/>
            <w:shd w:val="clear" w:color="auto" w:fill="auto"/>
            <w:vAlign w:val="center"/>
          </w:tcPr>
          <w:p w:rsidR="00022DCB" w:rsidRPr="0022357A" w:rsidRDefault="00022DCB" w:rsidP="00022DCB">
            <w:pPr>
              <w:pStyle w:val="Tabletext"/>
              <w:jc w:val="center"/>
              <w:rPr>
                <w:b/>
              </w:rPr>
            </w:pPr>
            <w:r w:rsidRPr="0022357A">
              <w:rPr>
                <w:b/>
              </w:rPr>
              <w:t>Year 3</w:t>
            </w:r>
          </w:p>
          <w:p w:rsidR="00022DCB" w:rsidRPr="0022357A" w:rsidRDefault="00022DCB" w:rsidP="00022DCB">
            <w:pPr>
              <w:pStyle w:val="Tabletext"/>
              <w:jc w:val="center"/>
              <w:rPr>
                <w:b/>
              </w:rPr>
            </w:pPr>
            <w:r w:rsidRPr="0022357A">
              <w:rPr>
                <w:b/>
              </w:rPr>
              <w:t>(2021)</w:t>
            </w:r>
          </w:p>
        </w:tc>
        <w:tc>
          <w:tcPr>
            <w:tcW w:w="647" w:type="pct"/>
            <w:shd w:val="clear" w:color="auto" w:fill="auto"/>
            <w:vAlign w:val="center"/>
          </w:tcPr>
          <w:p w:rsidR="00022DCB" w:rsidRPr="0022357A" w:rsidRDefault="00022DCB" w:rsidP="00022DCB">
            <w:pPr>
              <w:pStyle w:val="Tabletext"/>
              <w:jc w:val="center"/>
              <w:rPr>
                <w:b/>
              </w:rPr>
            </w:pPr>
            <w:r w:rsidRPr="0022357A">
              <w:rPr>
                <w:b/>
              </w:rPr>
              <w:t>Year 4</w:t>
            </w:r>
          </w:p>
          <w:p w:rsidR="00022DCB" w:rsidRPr="0022357A" w:rsidRDefault="00022DCB" w:rsidP="00022DCB">
            <w:pPr>
              <w:pStyle w:val="Tabletext"/>
              <w:jc w:val="center"/>
              <w:rPr>
                <w:b/>
              </w:rPr>
            </w:pPr>
            <w:r w:rsidRPr="0022357A">
              <w:rPr>
                <w:b/>
              </w:rPr>
              <w:t>(2022)</w:t>
            </w:r>
          </w:p>
        </w:tc>
        <w:tc>
          <w:tcPr>
            <w:tcW w:w="647" w:type="pct"/>
            <w:shd w:val="clear" w:color="auto" w:fill="auto"/>
            <w:vAlign w:val="center"/>
          </w:tcPr>
          <w:p w:rsidR="00022DCB" w:rsidRPr="0022357A" w:rsidRDefault="00022DCB" w:rsidP="00022DCB">
            <w:pPr>
              <w:pStyle w:val="Tabletext"/>
              <w:jc w:val="center"/>
              <w:rPr>
                <w:b/>
              </w:rPr>
            </w:pPr>
            <w:r w:rsidRPr="0022357A">
              <w:rPr>
                <w:b/>
              </w:rPr>
              <w:t>Year 5</w:t>
            </w:r>
          </w:p>
          <w:p w:rsidR="00022DCB" w:rsidRPr="0022357A" w:rsidRDefault="00022DCB" w:rsidP="00022DCB">
            <w:pPr>
              <w:pStyle w:val="Tabletext"/>
              <w:jc w:val="center"/>
              <w:rPr>
                <w:b/>
              </w:rPr>
            </w:pPr>
            <w:r w:rsidRPr="0022357A">
              <w:rPr>
                <w:b/>
              </w:rPr>
              <w:t>(2023)</w:t>
            </w:r>
          </w:p>
        </w:tc>
        <w:tc>
          <w:tcPr>
            <w:tcW w:w="648" w:type="pct"/>
            <w:shd w:val="clear" w:color="auto" w:fill="auto"/>
            <w:vAlign w:val="center"/>
          </w:tcPr>
          <w:p w:rsidR="00022DCB" w:rsidRPr="0022357A" w:rsidRDefault="00022DCB" w:rsidP="00022DCB">
            <w:pPr>
              <w:pStyle w:val="Tabletext"/>
              <w:jc w:val="center"/>
              <w:rPr>
                <w:b/>
              </w:rPr>
            </w:pPr>
            <w:r w:rsidRPr="0022357A">
              <w:rPr>
                <w:b/>
              </w:rPr>
              <w:t>Year 6</w:t>
            </w:r>
          </w:p>
          <w:p w:rsidR="00022DCB" w:rsidRPr="0022357A" w:rsidRDefault="00022DCB" w:rsidP="00022DCB">
            <w:pPr>
              <w:pStyle w:val="Tabletext"/>
              <w:jc w:val="center"/>
              <w:rPr>
                <w:b/>
              </w:rPr>
            </w:pPr>
            <w:r w:rsidRPr="0022357A">
              <w:rPr>
                <w:b/>
              </w:rPr>
              <w:t>(2024)</w:t>
            </w:r>
          </w:p>
        </w:tc>
      </w:tr>
      <w:tr w:rsidR="00022DCB" w:rsidRPr="0022357A" w:rsidTr="00A91A99">
        <w:tc>
          <w:tcPr>
            <w:tcW w:w="5000" w:type="pct"/>
            <w:gridSpan w:val="7"/>
            <w:shd w:val="clear" w:color="auto" w:fill="auto"/>
            <w:vAlign w:val="center"/>
          </w:tcPr>
          <w:p w:rsidR="00022DCB" w:rsidRPr="0022357A" w:rsidRDefault="00022DCB" w:rsidP="00022DCB">
            <w:pPr>
              <w:pStyle w:val="Tabletext"/>
              <w:rPr>
                <w:b/>
                <w:bCs/>
                <w:color w:val="000000"/>
              </w:rPr>
            </w:pPr>
            <w:r w:rsidRPr="0022357A">
              <w:rPr>
                <w:b/>
                <w:bCs/>
                <w:color w:val="000000"/>
              </w:rPr>
              <w:t>Estimated extent of use</w:t>
            </w:r>
          </w:p>
        </w:tc>
      </w:tr>
      <w:tr w:rsidR="00022DCB" w:rsidRPr="0022357A" w:rsidTr="00A91A99">
        <w:tc>
          <w:tcPr>
            <w:tcW w:w="1187" w:type="pct"/>
            <w:shd w:val="clear" w:color="auto" w:fill="auto"/>
            <w:vAlign w:val="center"/>
          </w:tcPr>
          <w:p w:rsidR="00022DCB" w:rsidRPr="0022357A" w:rsidRDefault="00022DCB" w:rsidP="00022DCB">
            <w:pPr>
              <w:pStyle w:val="Tabletext"/>
            </w:pPr>
            <w:r w:rsidRPr="0022357A">
              <w:t>Eligible population</w:t>
            </w:r>
          </w:p>
        </w:tc>
        <w:tc>
          <w:tcPr>
            <w:tcW w:w="578"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w:t>
            </w:r>
          </w:p>
        </w:tc>
        <w:tc>
          <w:tcPr>
            <w:tcW w:w="647"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w:t>
            </w:r>
          </w:p>
        </w:tc>
        <w:tc>
          <w:tcPr>
            <w:tcW w:w="647"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w:t>
            </w:r>
          </w:p>
        </w:tc>
        <w:tc>
          <w:tcPr>
            <w:tcW w:w="647"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w:t>
            </w:r>
          </w:p>
        </w:tc>
        <w:tc>
          <w:tcPr>
            <w:tcW w:w="647"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w:t>
            </w:r>
          </w:p>
        </w:tc>
        <w:tc>
          <w:tcPr>
            <w:tcW w:w="648"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w:t>
            </w:r>
          </w:p>
        </w:tc>
      </w:tr>
      <w:tr w:rsidR="00022DCB" w:rsidRPr="0022357A" w:rsidTr="00A91A99">
        <w:tc>
          <w:tcPr>
            <w:tcW w:w="1187" w:type="pct"/>
            <w:shd w:val="clear" w:color="auto" w:fill="auto"/>
            <w:vAlign w:val="center"/>
          </w:tcPr>
          <w:p w:rsidR="00022DCB" w:rsidRPr="0022357A" w:rsidRDefault="00022DCB" w:rsidP="00022DCB">
            <w:pPr>
              <w:pStyle w:val="Tabletext"/>
              <w:rPr>
                <w:rFonts w:ascii="Times" w:hAnsi="Times"/>
              </w:rPr>
            </w:pPr>
            <w:r w:rsidRPr="0022357A">
              <w:t>Number of patients treated</w:t>
            </w:r>
          </w:p>
        </w:tc>
        <w:tc>
          <w:tcPr>
            <w:tcW w:w="578"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 xml:space="preserve">'''''' </w:t>
            </w:r>
          </w:p>
        </w:tc>
        <w:tc>
          <w:tcPr>
            <w:tcW w:w="647"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 xml:space="preserve">''''' </w:t>
            </w:r>
          </w:p>
        </w:tc>
        <w:tc>
          <w:tcPr>
            <w:tcW w:w="647"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 xml:space="preserve">''''' </w:t>
            </w:r>
          </w:p>
        </w:tc>
        <w:tc>
          <w:tcPr>
            <w:tcW w:w="647"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 xml:space="preserve">''''' </w:t>
            </w:r>
          </w:p>
        </w:tc>
        <w:tc>
          <w:tcPr>
            <w:tcW w:w="647"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 xml:space="preserve">'''''' </w:t>
            </w:r>
          </w:p>
        </w:tc>
        <w:tc>
          <w:tcPr>
            <w:tcW w:w="648"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 xml:space="preserve">'''''' </w:t>
            </w:r>
          </w:p>
        </w:tc>
      </w:tr>
      <w:tr w:rsidR="00022DCB" w:rsidRPr="0022357A" w:rsidTr="00A91A99">
        <w:tc>
          <w:tcPr>
            <w:tcW w:w="1187" w:type="pct"/>
            <w:shd w:val="clear" w:color="auto" w:fill="auto"/>
            <w:vAlign w:val="center"/>
          </w:tcPr>
          <w:p w:rsidR="00022DCB" w:rsidRPr="0022357A" w:rsidRDefault="00022DCB" w:rsidP="00022DCB">
            <w:pPr>
              <w:pStyle w:val="Tabletext"/>
              <w:rPr>
                <w:rFonts w:ascii="Times" w:hAnsi="Times"/>
              </w:rPr>
            </w:pPr>
            <w:r w:rsidRPr="0022357A">
              <w:t>Total scripts dispensed</w:t>
            </w:r>
            <w:r w:rsidR="00E47185" w:rsidRPr="0022357A">
              <w:t xml:space="preserve"> </w:t>
            </w:r>
            <w:r w:rsidRPr="0022357A">
              <w:rPr>
                <w:vertAlign w:val="superscript"/>
              </w:rPr>
              <w:t>a</w:t>
            </w:r>
          </w:p>
        </w:tc>
        <w:tc>
          <w:tcPr>
            <w:tcW w:w="578"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w:t>
            </w:r>
          </w:p>
        </w:tc>
        <w:tc>
          <w:tcPr>
            <w:tcW w:w="647"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w:t>
            </w:r>
          </w:p>
        </w:tc>
        <w:tc>
          <w:tcPr>
            <w:tcW w:w="647"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w:t>
            </w:r>
          </w:p>
        </w:tc>
        <w:tc>
          <w:tcPr>
            <w:tcW w:w="647"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w:t>
            </w:r>
          </w:p>
        </w:tc>
        <w:tc>
          <w:tcPr>
            <w:tcW w:w="647"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w:t>
            </w:r>
          </w:p>
        </w:tc>
        <w:tc>
          <w:tcPr>
            <w:tcW w:w="648" w:type="pct"/>
            <w:shd w:val="clear" w:color="auto" w:fill="auto"/>
          </w:tcPr>
          <w:p w:rsidR="00022DCB" w:rsidRPr="00F72571" w:rsidRDefault="00F72571" w:rsidP="00022DCB">
            <w:pPr>
              <w:pStyle w:val="Tabletext"/>
              <w:jc w:val="center"/>
              <w:rPr>
                <w:bCs/>
                <w:color w:val="000000"/>
                <w:highlight w:val="black"/>
              </w:rPr>
            </w:pPr>
            <w:r>
              <w:rPr>
                <w:noProof/>
                <w:color w:val="000000"/>
                <w:highlight w:val="black"/>
              </w:rPr>
              <w:t>'''''''''</w:t>
            </w:r>
          </w:p>
        </w:tc>
      </w:tr>
      <w:tr w:rsidR="00022DCB" w:rsidRPr="0022357A" w:rsidTr="00A91A99">
        <w:tc>
          <w:tcPr>
            <w:tcW w:w="1187" w:type="pct"/>
            <w:shd w:val="clear" w:color="auto" w:fill="auto"/>
            <w:vAlign w:val="center"/>
          </w:tcPr>
          <w:p w:rsidR="00022DCB" w:rsidRPr="0022357A" w:rsidRDefault="00022DCB" w:rsidP="00022DCB">
            <w:pPr>
              <w:pStyle w:val="Tabletext"/>
              <w:rPr>
                <w:rFonts w:ascii="Times" w:hAnsi="Times"/>
              </w:rPr>
            </w:pPr>
            <w:r w:rsidRPr="0022357A">
              <w:rPr>
                <w:sz w:val="19"/>
                <w:szCs w:val="19"/>
              </w:rPr>
              <w:t>Cost to PBS/RPBS</w:t>
            </w:r>
          </w:p>
        </w:tc>
        <w:tc>
          <w:tcPr>
            <w:tcW w:w="578" w:type="pct"/>
            <w:shd w:val="clear" w:color="auto" w:fill="auto"/>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shd w:val="clear" w:color="auto" w:fill="auto"/>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shd w:val="clear" w:color="auto" w:fill="auto"/>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shd w:val="clear" w:color="auto" w:fill="auto"/>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shd w:val="clear" w:color="auto" w:fill="auto"/>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8" w:type="pct"/>
            <w:shd w:val="clear" w:color="auto" w:fill="auto"/>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r>
      <w:tr w:rsidR="00022DCB" w:rsidRPr="0022357A" w:rsidTr="00A91A99">
        <w:tc>
          <w:tcPr>
            <w:tcW w:w="1187" w:type="pct"/>
            <w:shd w:val="clear" w:color="auto" w:fill="auto"/>
            <w:vAlign w:val="center"/>
          </w:tcPr>
          <w:p w:rsidR="00022DCB" w:rsidRPr="0022357A" w:rsidRDefault="00022DCB" w:rsidP="00022DCB">
            <w:pPr>
              <w:pStyle w:val="Tabletext"/>
              <w:rPr>
                <w:sz w:val="19"/>
                <w:szCs w:val="19"/>
              </w:rPr>
            </w:pPr>
            <w:proofErr w:type="spellStart"/>
            <w:r w:rsidRPr="0022357A">
              <w:rPr>
                <w:sz w:val="19"/>
                <w:szCs w:val="19"/>
              </w:rPr>
              <w:t>Copayments</w:t>
            </w:r>
            <w:proofErr w:type="spellEnd"/>
          </w:p>
        </w:tc>
        <w:tc>
          <w:tcPr>
            <w:tcW w:w="578" w:type="pct"/>
            <w:shd w:val="clear" w:color="auto" w:fill="auto"/>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shd w:val="clear" w:color="auto" w:fill="auto"/>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shd w:val="clear" w:color="auto" w:fill="auto"/>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shd w:val="clear" w:color="auto" w:fill="auto"/>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shd w:val="clear" w:color="auto" w:fill="auto"/>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8" w:type="pct"/>
            <w:shd w:val="clear" w:color="auto" w:fill="auto"/>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r>
      <w:tr w:rsidR="00022DCB" w:rsidRPr="0022357A" w:rsidTr="00A91A99">
        <w:tc>
          <w:tcPr>
            <w:tcW w:w="1187" w:type="pct"/>
            <w:shd w:val="clear" w:color="auto" w:fill="auto"/>
            <w:vAlign w:val="center"/>
          </w:tcPr>
          <w:p w:rsidR="00022DCB" w:rsidRPr="0022357A" w:rsidRDefault="00022DCB" w:rsidP="00022DCB">
            <w:pPr>
              <w:pStyle w:val="Tabletext"/>
              <w:rPr>
                <w:b/>
                <w:sz w:val="19"/>
                <w:szCs w:val="19"/>
              </w:rPr>
            </w:pPr>
            <w:r w:rsidRPr="0022357A">
              <w:rPr>
                <w:b/>
                <w:sz w:val="19"/>
                <w:szCs w:val="19"/>
              </w:rPr>
              <w:t xml:space="preserve">Cost to PBS/RPBS less </w:t>
            </w:r>
            <w:proofErr w:type="spellStart"/>
            <w:r w:rsidRPr="0022357A">
              <w:rPr>
                <w:b/>
                <w:sz w:val="19"/>
                <w:szCs w:val="19"/>
              </w:rPr>
              <w:t>copayments</w:t>
            </w:r>
            <w:proofErr w:type="spellEnd"/>
          </w:p>
        </w:tc>
        <w:tc>
          <w:tcPr>
            <w:tcW w:w="578" w:type="pct"/>
            <w:shd w:val="clear" w:color="auto" w:fill="auto"/>
            <w:vAlign w:val="center"/>
          </w:tcPr>
          <w:p w:rsidR="00022DCB" w:rsidRPr="0022357A" w:rsidRDefault="00022DCB" w:rsidP="00022DCB">
            <w:pPr>
              <w:pStyle w:val="Tabletext"/>
              <w:jc w:val="center"/>
              <w:rPr>
                <w:b/>
                <w:bCs/>
                <w:color w:val="000000"/>
              </w:rPr>
            </w:pPr>
            <w:r w:rsidRPr="0022357A">
              <w:rPr>
                <w:b/>
              </w:rPr>
              <w:t>$</w:t>
            </w:r>
            <w:r w:rsidR="00F72571">
              <w:rPr>
                <w:b/>
                <w:noProof/>
                <w:color w:val="000000"/>
                <w:highlight w:val="black"/>
              </w:rPr>
              <w:t>''''''''''''''''''</w:t>
            </w:r>
          </w:p>
        </w:tc>
        <w:tc>
          <w:tcPr>
            <w:tcW w:w="647" w:type="pct"/>
            <w:shd w:val="clear" w:color="auto" w:fill="auto"/>
            <w:vAlign w:val="center"/>
          </w:tcPr>
          <w:p w:rsidR="00022DCB" w:rsidRPr="0022357A" w:rsidRDefault="00022DCB" w:rsidP="00022DCB">
            <w:pPr>
              <w:pStyle w:val="Tabletext"/>
              <w:jc w:val="center"/>
              <w:rPr>
                <w:b/>
                <w:bCs/>
                <w:color w:val="000000"/>
              </w:rPr>
            </w:pPr>
            <w:r w:rsidRPr="0022357A">
              <w:rPr>
                <w:b/>
              </w:rPr>
              <w:t>$</w:t>
            </w:r>
            <w:r w:rsidR="00F72571">
              <w:rPr>
                <w:b/>
                <w:noProof/>
                <w:color w:val="000000"/>
                <w:highlight w:val="black"/>
              </w:rPr>
              <w:t>'''''''''''''''''''</w:t>
            </w:r>
          </w:p>
        </w:tc>
        <w:tc>
          <w:tcPr>
            <w:tcW w:w="647" w:type="pct"/>
            <w:shd w:val="clear" w:color="auto" w:fill="auto"/>
            <w:vAlign w:val="center"/>
          </w:tcPr>
          <w:p w:rsidR="00022DCB" w:rsidRPr="0022357A" w:rsidRDefault="00022DCB" w:rsidP="00022DCB">
            <w:pPr>
              <w:pStyle w:val="Tabletext"/>
              <w:jc w:val="center"/>
              <w:rPr>
                <w:b/>
                <w:bCs/>
                <w:color w:val="000000"/>
              </w:rPr>
            </w:pPr>
            <w:r w:rsidRPr="0022357A">
              <w:rPr>
                <w:b/>
              </w:rPr>
              <w:t>$</w:t>
            </w:r>
            <w:r w:rsidR="00F72571">
              <w:rPr>
                <w:b/>
                <w:noProof/>
                <w:color w:val="000000"/>
                <w:highlight w:val="black"/>
              </w:rPr>
              <w:t>''''''''''''''''''</w:t>
            </w:r>
          </w:p>
        </w:tc>
        <w:tc>
          <w:tcPr>
            <w:tcW w:w="647" w:type="pct"/>
            <w:shd w:val="clear" w:color="auto" w:fill="auto"/>
            <w:vAlign w:val="center"/>
          </w:tcPr>
          <w:p w:rsidR="00022DCB" w:rsidRPr="0022357A" w:rsidRDefault="00022DCB" w:rsidP="00022DCB">
            <w:pPr>
              <w:pStyle w:val="Tabletext"/>
              <w:jc w:val="center"/>
              <w:rPr>
                <w:b/>
                <w:bCs/>
                <w:color w:val="000000"/>
              </w:rPr>
            </w:pPr>
            <w:r w:rsidRPr="0022357A">
              <w:rPr>
                <w:b/>
              </w:rPr>
              <w:t>$</w:t>
            </w:r>
            <w:r w:rsidR="00F72571">
              <w:rPr>
                <w:b/>
                <w:noProof/>
                <w:color w:val="000000"/>
                <w:highlight w:val="black"/>
              </w:rPr>
              <w:t>'''''''''''''''''''''</w:t>
            </w:r>
          </w:p>
        </w:tc>
        <w:tc>
          <w:tcPr>
            <w:tcW w:w="647" w:type="pct"/>
            <w:shd w:val="clear" w:color="auto" w:fill="auto"/>
            <w:vAlign w:val="center"/>
          </w:tcPr>
          <w:p w:rsidR="00022DCB" w:rsidRPr="0022357A" w:rsidRDefault="00022DCB" w:rsidP="00022DCB">
            <w:pPr>
              <w:pStyle w:val="Tabletext"/>
              <w:jc w:val="center"/>
              <w:rPr>
                <w:b/>
                <w:bCs/>
                <w:color w:val="000000"/>
              </w:rPr>
            </w:pPr>
            <w:r w:rsidRPr="0022357A">
              <w:rPr>
                <w:b/>
              </w:rPr>
              <w:t>$</w:t>
            </w:r>
            <w:r w:rsidR="00F72571">
              <w:rPr>
                <w:b/>
                <w:noProof/>
                <w:color w:val="000000"/>
                <w:highlight w:val="black"/>
              </w:rPr>
              <w:t>''''''''''''''''''''</w:t>
            </w:r>
          </w:p>
        </w:tc>
        <w:tc>
          <w:tcPr>
            <w:tcW w:w="648" w:type="pct"/>
            <w:shd w:val="clear" w:color="auto" w:fill="auto"/>
            <w:vAlign w:val="center"/>
          </w:tcPr>
          <w:p w:rsidR="00022DCB" w:rsidRPr="0022357A" w:rsidRDefault="00022DCB" w:rsidP="00022DCB">
            <w:pPr>
              <w:pStyle w:val="Tabletext"/>
              <w:jc w:val="center"/>
              <w:rPr>
                <w:b/>
                <w:bCs/>
                <w:color w:val="000000"/>
              </w:rPr>
            </w:pPr>
            <w:r w:rsidRPr="0022357A">
              <w:rPr>
                <w:b/>
              </w:rPr>
              <w:t>$</w:t>
            </w:r>
            <w:r w:rsidR="00F72571">
              <w:rPr>
                <w:b/>
                <w:noProof/>
                <w:color w:val="000000"/>
                <w:highlight w:val="black"/>
              </w:rPr>
              <w:t>''''''''''''''''''''</w:t>
            </w:r>
          </w:p>
        </w:tc>
      </w:tr>
      <w:tr w:rsidR="00022DCB" w:rsidRPr="0022357A" w:rsidTr="00A91A99">
        <w:tc>
          <w:tcPr>
            <w:tcW w:w="5000" w:type="pct"/>
            <w:gridSpan w:val="7"/>
            <w:shd w:val="clear" w:color="auto" w:fill="auto"/>
            <w:vAlign w:val="center"/>
          </w:tcPr>
          <w:p w:rsidR="00022DCB" w:rsidRPr="0022357A" w:rsidRDefault="00022DCB" w:rsidP="00022DCB">
            <w:pPr>
              <w:pStyle w:val="Tabletext"/>
              <w:rPr>
                <w:b/>
                <w:bCs/>
                <w:color w:val="000000"/>
              </w:rPr>
            </w:pPr>
            <w:r w:rsidRPr="0022357A">
              <w:rPr>
                <w:b/>
                <w:bCs/>
                <w:color w:val="000000"/>
              </w:rPr>
              <w:t>Net financial implications</w:t>
            </w:r>
            <w:r w:rsidRPr="0022357A">
              <w:rPr>
                <w:b/>
                <w:bCs/>
                <w:color w:val="4BACC6" w:themeColor="accent5"/>
              </w:rPr>
              <w:t xml:space="preserve"> </w:t>
            </w:r>
          </w:p>
        </w:tc>
      </w:tr>
      <w:tr w:rsidR="00022DCB" w:rsidRPr="0022357A" w:rsidTr="00A91A99">
        <w:tc>
          <w:tcPr>
            <w:tcW w:w="1187" w:type="pct"/>
            <w:shd w:val="clear" w:color="auto" w:fill="auto"/>
            <w:vAlign w:val="center"/>
          </w:tcPr>
          <w:p w:rsidR="00022DCB" w:rsidRPr="0022357A" w:rsidRDefault="00022DCB" w:rsidP="00022DCB">
            <w:pPr>
              <w:pStyle w:val="Tabletext"/>
              <w:rPr>
                <w:sz w:val="19"/>
                <w:szCs w:val="19"/>
                <w:vertAlign w:val="superscript"/>
              </w:rPr>
            </w:pPr>
            <w:r w:rsidRPr="0022357A">
              <w:rPr>
                <w:sz w:val="19"/>
                <w:szCs w:val="19"/>
              </w:rPr>
              <w:t xml:space="preserve">Net cost to MBS </w:t>
            </w:r>
            <w:r w:rsidRPr="0022357A">
              <w:rPr>
                <w:sz w:val="19"/>
                <w:szCs w:val="19"/>
                <w:vertAlign w:val="superscript"/>
              </w:rPr>
              <w:t>b</w:t>
            </w:r>
          </w:p>
        </w:tc>
        <w:tc>
          <w:tcPr>
            <w:tcW w:w="578" w:type="pct"/>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8" w:type="pct"/>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r>
      <w:tr w:rsidR="00022DCB" w:rsidRPr="0022357A" w:rsidTr="00A91A99">
        <w:tc>
          <w:tcPr>
            <w:tcW w:w="1187" w:type="pct"/>
            <w:shd w:val="clear" w:color="auto" w:fill="auto"/>
            <w:vAlign w:val="center"/>
          </w:tcPr>
          <w:p w:rsidR="00022DCB" w:rsidRPr="0022357A" w:rsidRDefault="00022DCB" w:rsidP="00022DCB">
            <w:pPr>
              <w:pStyle w:val="Tabletext"/>
              <w:rPr>
                <w:rFonts w:ascii="Times" w:hAnsi="Times"/>
              </w:rPr>
            </w:pPr>
            <w:r w:rsidRPr="0022357A">
              <w:rPr>
                <w:sz w:val="19"/>
                <w:szCs w:val="19"/>
              </w:rPr>
              <w:t>Net cost to MBS (85% fee)</w:t>
            </w:r>
          </w:p>
        </w:tc>
        <w:tc>
          <w:tcPr>
            <w:tcW w:w="578" w:type="pct"/>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7" w:type="pct"/>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c>
          <w:tcPr>
            <w:tcW w:w="648" w:type="pct"/>
          </w:tcPr>
          <w:p w:rsidR="00022DCB" w:rsidRPr="0022357A" w:rsidRDefault="00022DCB" w:rsidP="00022DCB">
            <w:pPr>
              <w:pStyle w:val="Tabletext"/>
              <w:jc w:val="center"/>
              <w:rPr>
                <w:bCs/>
                <w:color w:val="000000"/>
              </w:rPr>
            </w:pPr>
            <w:r w:rsidRPr="0022357A">
              <w:t>$</w:t>
            </w:r>
            <w:r w:rsidR="00F72571">
              <w:rPr>
                <w:noProof/>
                <w:color w:val="000000"/>
                <w:highlight w:val="black"/>
              </w:rPr>
              <w:t>''''''''''''''''</w:t>
            </w:r>
          </w:p>
        </w:tc>
      </w:tr>
      <w:tr w:rsidR="00022DCB" w:rsidRPr="0022357A" w:rsidTr="00A91A99">
        <w:tc>
          <w:tcPr>
            <w:tcW w:w="1187" w:type="pct"/>
            <w:shd w:val="clear" w:color="auto" w:fill="auto"/>
            <w:vAlign w:val="center"/>
          </w:tcPr>
          <w:p w:rsidR="00022DCB" w:rsidRPr="0022357A" w:rsidRDefault="00022DCB" w:rsidP="00022DCB">
            <w:pPr>
              <w:pStyle w:val="Tabletext"/>
              <w:rPr>
                <w:b/>
                <w:sz w:val="19"/>
                <w:szCs w:val="19"/>
              </w:rPr>
            </w:pPr>
            <w:r w:rsidRPr="0022357A">
              <w:rPr>
                <w:b/>
                <w:sz w:val="19"/>
                <w:szCs w:val="19"/>
              </w:rPr>
              <w:t>Net cost to PBS/RPBS/MBS</w:t>
            </w:r>
          </w:p>
        </w:tc>
        <w:tc>
          <w:tcPr>
            <w:tcW w:w="578" w:type="pct"/>
          </w:tcPr>
          <w:p w:rsidR="00022DCB" w:rsidRPr="0022357A" w:rsidRDefault="00022DCB" w:rsidP="00022DCB">
            <w:pPr>
              <w:pStyle w:val="Tabletext"/>
              <w:jc w:val="center"/>
              <w:rPr>
                <w:bCs/>
                <w:color w:val="000000"/>
              </w:rPr>
            </w:pPr>
            <w:r w:rsidRPr="0022357A">
              <w:rPr>
                <w:b/>
              </w:rPr>
              <w:t>$</w:t>
            </w:r>
            <w:r w:rsidR="00F72571">
              <w:rPr>
                <w:b/>
                <w:noProof/>
                <w:color w:val="000000"/>
                <w:highlight w:val="black"/>
              </w:rPr>
              <w:t>'''''''''''''''''''</w:t>
            </w:r>
          </w:p>
        </w:tc>
        <w:tc>
          <w:tcPr>
            <w:tcW w:w="647" w:type="pct"/>
          </w:tcPr>
          <w:p w:rsidR="00022DCB" w:rsidRPr="0022357A" w:rsidRDefault="00022DCB" w:rsidP="00022DCB">
            <w:pPr>
              <w:pStyle w:val="Tabletext"/>
              <w:jc w:val="center"/>
              <w:rPr>
                <w:bCs/>
                <w:color w:val="000000"/>
              </w:rPr>
            </w:pPr>
            <w:r w:rsidRPr="0022357A">
              <w:rPr>
                <w:b/>
              </w:rPr>
              <w:t>$</w:t>
            </w:r>
            <w:r w:rsidR="00F72571">
              <w:rPr>
                <w:b/>
                <w:noProof/>
                <w:color w:val="000000"/>
                <w:highlight w:val="black"/>
              </w:rPr>
              <w:t>''''''''''''''''''</w:t>
            </w:r>
          </w:p>
        </w:tc>
        <w:tc>
          <w:tcPr>
            <w:tcW w:w="647" w:type="pct"/>
          </w:tcPr>
          <w:p w:rsidR="00022DCB" w:rsidRPr="0022357A" w:rsidRDefault="00022DCB" w:rsidP="00022DCB">
            <w:pPr>
              <w:pStyle w:val="Tabletext"/>
              <w:jc w:val="center"/>
              <w:rPr>
                <w:bCs/>
                <w:color w:val="000000"/>
              </w:rPr>
            </w:pPr>
            <w:r w:rsidRPr="0022357A">
              <w:rPr>
                <w:b/>
              </w:rPr>
              <w:t>$</w:t>
            </w:r>
            <w:r w:rsidR="00F72571">
              <w:rPr>
                <w:b/>
                <w:noProof/>
                <w:color w:val="000000"/>
                <w:highlight w:val="black"/>
              </w:rPr>
              <w:t>'''''''''''''''''</w:t>
            </w:r>
          </w:p>
        </w:tc>
        <w:tc>
          <w:tcPr>
            <w:tcW w:w="647" w:type="pct"/>
          </w:tcPr>
          <w:p w:rsidR="00022DCB" w:rsidRPr="0022357A" w:rsidRDefault="00022DCB" w:rsidP="00022DCB">
            <w:pPr>
              <w:pStyle w:val="Tabletext"/>
              <w:jc w:val="center"/>
              <w:rPr>
                <w:bCs/>
                <w:color w:val="000000"/>
              </w:rPr>
            </w:pPr>
            <w:r w:rsidRPr="0022357A">
              <w:rPr>
                <w:b/>
              </w:rPr>
              <w:t>$</w:t>
            </w:r>
            <w:r w:rsidR="00F72571">
              <w:rPr>
                <w:b/>
                <w:noProof/>
                <w:color w:val="000000"/>
                <w:highlight w:val="black"/>
              </w:rPr>
              <w:t>''''''''''''''''''</w:t>
            </w:r>
          </w:p>
        </w:tc>
        <w:tc>
          <w:tcPr>
            <w:tcW w:w="647" w:type="pct"/>
          </w:tcPr>
          <w:p w:rsidR="00022DCB" w:rsidRPr="0022357A" w:rsidRDefault="00022DCB" w:rsidP="00022DCB">
            <w:pPr>
              <w:pStyle w:val="Tabletext"/>
              <w:jc w:val="center"/>
              <w:rPr>
                <w:bCs/>
                <w:color w:val="000000"/>
              </w:rPr>
            </w:pPr>
            <w:r w:rsidRPr="0022357A">
              <w:rPr>
                <w:b/>
              </w:rPr>
              <w:t>$</w:t>
            </w:r>
            <w:r w:rsidR="00F72571">
              <w:rPr>
                <w:b/>
                <w:noProof/>
                <w:color w:val="000000"/>
                <w:highlight w:val="black"/>
              </w:rPr>
              <w:t>''''''''''''''''''</w:t>
            </w:r>
          </w:p>
        </w:tc>
        <w:tc>
          <w:tcPr>
            <w:tcW w:w="648" w:type="pct"/>
          </w:tcPr>
          <w:p w:rsidR="00022DCB" w:rsidRPr="0022357A" w:rsidRDefault="00022DCB" w:rsidP="00022DCB">
            <w:pPr>
              <w:pStyle w:val="Tabletext"/>
              <w:jc w:val="center"/>
              <w:rPr>
                <w:bCs/>
                <w:color w:val="000000"/>
              </w:rPr>
            </w:pPr>
            <w:r w:rsidRPr="0022357A">
              <w:rPr>
                <w:b/>
              </w:rPr>
              <w:t>$</w:t>
            </w:r>
            <w:r w:rsidR="00F72571">
              <w:rPr>
                <w:b/>
                <w:noProof/>
                <w:color w:val="000000"/>
                <w:highlight w:val="black"/>
              </w:rPr>
              <w:t>'''''''''''''''''''''</w:t>
            </w:r>
          </w:p>
        </w:tc>
      </w:tr>
      <w:tr w:rsidR="00022DCB" w:rsidRPr="0022357A" w:rsidTr="00A91A99">
        <w:tc>
          <w:tcPr>
            <w:tcW w:w="1187" w:type="pct"/>
            <w:shd w:val="clear" w:color="auto" w:fill="auto"/>
            <w:vAlign w:val="center"/>
          </w:tcPr>
          <w:p w:rsidR="00022DCB" w:rsidRPr="0022357A" w:rsidRDefault="00022DCB" w:rsidP="00022DCB">
            <w:pPr>
              <w:pStyle w:val="Tabletext"/>
              <w:rPr>
                <w:b/>
                <w:sz w:val="19"/>
                <w:szCs w:val="19"/>
              </w:rPr>
            </w:pPr>
            <w:r w:rsidRPr="0022357A">
              <w:rPr>
                <w:b/>
                <w:sz w:val="19"/>
                <w:szCs w:val="19"/>
              </w:rPr>
              <w:t>Net cost to PBS/RPBS/MBS (corrected MBS costs)</w:t>
            </w:r>
          </w:p>
        </w:tc>
        <w:tc>
          <w:tcPr>
            <w:tcW w:w="578" w:type="pct"/>
            <w:vAlign w:val="center"/>
          </w:tcPr>
          <w:p w:rsidR="00022DCB" w:rsidRPr="0022357A" w:rsidRDefault="00022DCB" w:rsidP="00022DCB">
            <w:pPr>
              <w:pStyle w:val="Tabletext"/>
              <w:jc w:val="center"/>
              <w:rPr>
                <w:bCs/>
                <w:color w:val="000000"/>
              </w:rPr>
            </w:pPr>
            <w:r w:rsidRPr="0022357A">
              <w:rPr>
                <w:b/>
              </w:rPr>
              <w:t>$</w:t>
            </w:r>
            <w:r w:rsidR="00F72571">
              <w:rPr>
                <w:b/>
                <w:noProof/>
                <w:color w:val="000000"/>
                <w:highlight w:val="black"/>
              </w:rPr>
              <w:t>''''''''''''''''''''</w:t>
            </w:r>
          </w:p>
        </w:tc>
        <w:tc>
          <w:tcPr>
            <w:tcW w:w="647" w:type="pct"/>
            <w:vAlign w:val="center"/>
          </w:tcPr>
          <w:p w:rsidR="00022DCB" w:rsidRPr="0022357A" w:rsidRDefault="00022DCB" w:rsidP="00022DCB">
            <w:pPr>
              <w:pStyle w:val="Tabletext"/>
              <w:jc w:val="center"/>
              <w:rPr>
                <w:bCs/>
                <w:color w:val="000000"/>
              </w:rPr>
            </w:pPr>
            <w:r w:rsidRPr="0022357A">
              <w:rPr>
                <w:b/>
              </w:rPr>
              <w:t>$</w:t>
            </w:r>
            <w:r w:rsidR="00F72571">
              <w:rPr>
                <w:b/>
                <w:noProof/>
                <w:color w:val="000000"/>
                <w:highlight w:val="black"/>
              </w:rPr>
              <w:t>'''''''''''''''''''</w:t>
            </w:r>
          </w:p>
        </w:tc>
        <w:tc>
          <w:tcPr>
            <w:tcW w:w="647" w:type="pct"/>
            <w:vAlign w:val="center"/>
          </w:tcPr>
          <w:p w:rsidR="00022DCB" w:rsidRPr="0022357A" w:rsidRDefault="00022DCB" w:rsidP="00022DCB">
            <w:pPr>
              <w:pStyle w:val="Tabletext"/>
              <w:jc w:val="center"/>
              <w:rPr>
                <w:bCs/>
                <w:color w:val="000000"/>
              </w:rPr>
            </w:pPr>
            <w:r w:rsidRPr="0022357A">
              <w:rPr>
                <w:b/>
              </w:rPr>
              <w:t>$</w:t>
            </w:r>
            <w:r w:rsidR="00F72571">
              <w:rPr>
                <w:b/>
                <w:noProof/>
                <w:color w:val="000000"/>
                <w:highlight w:val="black"/>
              </w:rPr>
              <w:t>'''''''''''''''''''''</w:t>
            </w:r>
          </w:p>
        </w:tc>
        <w:tc>
          <w:tcPr>
            <w:tcW w:w="647" w:type="pct"/>
            <w:vAlign w:val="center"/>
          </w:tcPr>
          <w:p w:rsidR="00022DCB" w:rsidRPr="0022357A" w:rsidRDefault="00022DCB" w:rsidP="00022DCB">
            <w:pPr>
              <w:pStyle w:val="Tabletext"/>
              <w:jc w:val="center"/>
              <w:rPr>
                <w:bCs/>
                <w:color w:val="000000"/>
              </w:rPr>
            </w:pPr>
            <w:r w:rsidRPr="0022357A">
              <w:rPr>
                <w:b/>
              </w:rPr>
              <w:t>$</w:t>
            </w:r>
            <w:r w:rsidR="00F72571">
              <w:rPr>
                <w:b/>
                <w:noProof/>
                <w:color w:val="000000"/>
                <w:highlight w:val="black"/>
              </w:rPr>
              <w:t>''''''''''''''''''''</w:t>
            </w:r>
          </w:p>
        </w:tc>
        <w:tc>
          <w:tcPr>
            <w:tcW w:w="647" w:type="pct"/>
            <w:vAlign w:val="center"/>
          </w:tcPr>
          <w:p w:rsidR="00022DCB" w:rsidRPr="0022357A" w:rsidRDefault="00022DCB" w:rsidP="00022DCB">
            <w:pPr>
              <w:pStyle w:val="Tabletext"/>
              <w:jc w:val="center"/>
              <w:rPr>
                <w:bCs/>
                <w:color w:val="000000"/>
              </w:rPr>
            </w:pPr>
            <w:r w:rsidRPr="0022357A">
              <w:rPr>
                <w:b/>
              </w:rPr>
              <w:t>$</w:t>
            </w:r>
            <w:r w:rsidR="00F72571">
              <w:rPr>
                <w:b/>
                <w:noProof/>
                <w:color w:val="000000"/>
                <w:highlight w:val="black"/>
              </w:rPr>
              <w:t>'''''''''''''''''''</w:t>
            </w:r>
          </w:p>
        </w:tc>
        <w:tc>
          <w:tcPr>
            <w:tcW w:w="648" w:type="pct"/>
            <w:vAlign w:val="center"/>
          </w:tcPr>
          <w:p w:rsidR="00022DCB" w:rsidRPr="0022357A" w:rsidRDefault="00022DCB" w:rsidP="00022DCB">
            <w:pPr>
              <w:pStyle w:val="Tabletext"/>
              <w:jc w:val="center"/>
              <w:rPr>
                <w:bCs/>
                <w:color w:val="000000"/>
              </w:rPr>
            </w:pPr>
            <w:r w:rsidRPr="0022357A">
              <w:rPr>
                <w:b/>
              </w:rPr>
              <w:t>$</w:t>
            </w:r>
            <w:r w:rsidR="00F72571">
              <w:rPr>
                <w:b/>
                <w:noProof/>
                <w:color w:val="000000"/>
                <w:highlight w:val="black"/>
              </w:rPr>
              <w:t>''''''''''''''''''</w:t>
            </w:r>
          </w:p>
        </w:tc>
      </w:tr>
    </w:tbl>
    <w:p w:rsidR="00022DCB" w:rsidRPr="0022357A" w:rsidRDefault="00022DCB" w:rsidP="00022DCB">
      <w:pPr>
        <w:pStyle w:val="TableFooter"/>
      </w:pPr>
      <w:r w:rsidRPr="0022357A">
        <w:t xml:space="preserve">Source: Table 4.5-1, p202 of the submission, and corrected during the evaluation. </w:t>
      </w:r>
    </w:p>
    <w:p w:rsidR="00022DCB" w:rsidRPr="0022357A" w:rsidRDefault="00022DCB" w:rsidP="00022DCB">
      <w:pPr>
        <w:pStyle w:val="TableFooter"/>
        <w:rPr>
          <w:rStyle w:val="CommentReference"/>
          <w:b w:val="0"/>
          <w:sz w:val="18"/>
          <w:szCs w:val="22"/>
        </w:rPr>
      </w:pPr>
      <w:r w:rsidRPr="0022357A">
        <w:rPr>
          <w:rStyle w:val="CommentReference"/>
          <w:b w:val="0"/>
          <w:sz w:val="18"/>
          <w:szCs w:val="22"/>
        </w:rPr>
        <w:t>MBS = Medicare Benefits Schedule; PBS = Pharmaceutical Benefits Scheme; RPBS = Repatriation Schedule of Pharmaceutical Benefits</w:t>
      </w:r>
    </w:p>
    <w:p w:rsidR="00022DCB" w:rsidRPr="0022357A" w:rsidRDefault="00022DCB" w:rsidP="00022DCB">
      <w:pPr>
        <w:pStyle w:val="TableFooter"/>
        <w:tabs>
          <w:tab w:val="left" w:pos="142"/>
        </w:tabs>
      </w:pPr>
      <w:proofErr w:type="gramStart"/>
      <w:r w:rsidRPr="0022357A">
        <w:rPr>
          <w:vertAlign w:val="superscript"/>
        </w:rPr>
        <w:lastRenderedPageBreak/>
        <w:t>a</w:t>
      </w:r>
      <w:proofErr w:type="gramEnd"/>
      <w:r w:rsidR="00E47185" w:rsidRPr="0022357A">
        <w:rPr>
          <w:vertAlign w:val="superscript"/>
        </w:rPr>
        <w:t xml:space="preserve"> </w:t>
      </w:r>
      <w:r w:rsidRPr="0022357A">
        <w:t>10.3 prescriptions per patient per course.</w:t>
      </w:r>
    </w:p>
    <w:p w:rsidR="00022DCB" w:rsidRPr="0022357A" w:rsidRDefault="00022DCB" w:rsidP="00022DCB">
      <w:pPr>
        <w:pStyle w:val="TableFooter"/>
        <w:tabs>
          <w:tab w:val="left" w:pos="142"/>
        </w:tabs>
      </w:pPr>
      <w:proofErr w:type="gramStart"/>
      <w:r w:rsidRPr="0022357A">
        <w:rPr>
          <w:vertAlign w:val="superscript"/>
        </w:rPr>
        <w:t>b</w:t>
      </w:r>
      <w:proofErr w:type="gramEnd"/>
      <w:r w:rsidRPr="0022357A">
        <w:rPr>
          <w:vertAlign w:val="superscript"/>
        </w:rPr>
        <w:t xml:space="preserve"> </w:t>
      </w:r>
      <w:r w:rsidRPr="0022357A">
        <w:t>Brentuximab vedotin estimated to require 10 additional IV infusions, 5 additional specialist consultations, and 10 additional blood tests (full blood count and biochemistry).</w:t>
      </w:r>
    </w:p>
    <w:p w:rsidR="00022DCB" w:rsidRPr="0022357A" w:rsidRDefault="00022DCB" w:rsidP="00022DCB">
      <w:pPr>
        <w:widowControl/>
      </w:pPr>
    </w:p>
    <w:p w:rsidR="00022DCB" w:rsidRPr="0022357A" w:rsidRDefault="00022DCB" w:rsidP="00022DCB">
      <w:pPr>
        <w:pStyle w:val="ListParagraph"/>
        <w:numPr>
          <w:ilvl w:val="1"/>
          <w:numId w:val="3"/>
        </w:numPr>
      </w:pPr>
      <w:r w:rsidRPr="0022357A">
        <w:t xml:space="preserve">The eligible population may be smaller or larger than estimated because: </w:t>
      </w:r>
    </w:p>
    <w:p w:rsidR="00022DCB" w:rsidRPr="0022357A" w:rsidRDefault="00022DCB" w:rsidP="00022DCB">
      <w:pPr>
        <w:pStyle w:val="ListParagraph"/>
        <w:numPr>
          <w:ilvl w:val="1"/>
          <w:numId w:val="23"/>
        </w:numPr>
        <w:ind w:left="1077" w:hanging="357"/>
      </w:pPr>
      <w:r w:rsidRPr="0022357A">
        <w:t>the use of 15 year CTCL prevalence data may have overestimated the eligible population;</w:t>
      </w:r>
    </w:p>
    <w:p w:rsidR="00022DCB" w:rsidRPr="0022357A" w:rsidRDefault="00022DCB" w:rsidP="00022DCB">
      <w:pPr>
        <w:pStyle w:val="ListParagraph"/>
        <w:numPr>
          <w:ilvl w:val="1"/>
          <w:numId w:val="23"/>
        </w:numPr>
        <w:ind w:left="1077" w:hanging="357"/>
      </w:pPr>
      <w:r w:rsidRPr="0022357A">
        <w:t xml:space="preserve">LyP diagnoses may not be reported to cancer registries; </w:t>
      </w:r>
    </w:p>
    <w:p w:rsidR="00022DCB" w:rsidRPr="0022357A" w:rsidRDefault="00022DCB" w:rsidP="00022DCB">
      <w:pPr>
        <w:pStyle w:val="ListParagraph"/>
        <w:numPr>
          <w:ilvl w:val="1"/>
          <w:numId w:val="23"/>
        </w:numPr>
        <w:ind w:left="1077" w:hanging="357"/>
      </w:pPr>
      <w:r w:rsidRPr="0022357A">
        <w:t xml:space="preserve">there was uncertainty surrounding the proportion of patients with CD30 positive CTCL (no standard definition of CD30 positivity); and </w:t>
      </w:r>
    </w:p>
    <w:p w:rsidR="00022DCB" w:rsidRPr="0022357A" w:rsidRDefault="00022DCB" w:rsidP="00022DCB">
      <w:pPr>
        <w:pStyle w:val="ListParagraph"/>
        <w:numPr>
          <w:ilvl w:val="1"/>
          <w:numId w:val="23"/>
        </w:numPr>
        <w:ind w:left="1077" w:hanging="357"/>
      </w:pPr>
      <w:proofErr w:type="gramStart"/>
      <w:r w:rsidRPr="0022357A">
        <w:t>mortality</w:t>
      </w:r>
      <w:proofErr w:type="gramEnd"/>
      <w:r w:rsidRPr="0022357A">
        <w:t xml:space="preserve"> </w:t>
      </w:r>
      <w:r w:rsidR="00661891" w:rsidRPr="0022357A">
        <w:t xml:space="preserve">may </w:t>
      </w:r>
      <w:r w:rsidRPr="0022357A">
        <w:t>have been underestimated</w:t>
      </w:r>
      <w:r w:rsidR="003F639B" w:rsidRPr="0022357A">
        <w:t xml:space="preserve"> </w:t>
      </w:r>
      <w:r w:rsidR="00A316E9" w:rsidRPr="0022357A">
        <w:t>as some deaths may be due to CTCL but not recorded as such, e.g. recorded as infection</w:t>
      </w:r>
      <w:r w:rsidRPr="0022357A">
        <w:t xml:space="preserve">. </w:t>
      </w:r>
    </w:p>
    <w:p w:rsidR="00022DCB" w:rsidRPr="0022357A" w:rsidRDefault="00022DCB" w:rsidP="00022DCB">
      <w:pPr>
        <w:pStyle w:val="ListParagraph"/>
        <w:widowControl/>
        <w:numPr>
          <w:ilvl w:val="1"/>
          <w:numId w:val="3"/>
        </w:numPr>
      </w:pPr>
      <w:r w:rsidRPr="0022357A">
        <w:t xml:space="preserve">The submission estimated that </w:t>
      </w:r>
      <w:r w:rsidR="005B399B">
        <w:t>less than 10,000</w:t>
      </w:r>
      <w:r w:rsidR="005B399B" w:rsidRPr="0022357A">
        <w:t xml:space="preserve"> </w:t>
      </w:r>
      <w:r w:rsidRPr="0022357A">
        <w:t xml:space="preserve">patients would be treated in Year 1, decreasing to </w:t>
      </w:r>
      <w:r w:rsidR="005B399B">
        <w:t>less than 10,000</w:t>
      </w:r>
      <w:r w:rsidR="005B399B" w:rsidRPr="0022357A">
        <w:t xml:space="preserve"> </w:t>
      </w:r>
      <w:r w:rsidRPr="0022357A">
        <w:t>patients in Year 6. This resulted in 90% of eligible patients being treated with brentuximab vedotin by Year 6. The overall net cost to government was</w:t>
      </w:r>
      <w:r w:rsidR="005B399B">
        <w:t xml:space="preserve"> less than</w:t>
      </w:r>
      <w:r w:rsidRPr="0022357A">
        <w:t xml:space="preserve"> </w:t>
      </w:r>
      <w:r w:rsidR="00A57B8F" w:rsidRPr="0022357A">
        <w:t>$</w:t>
      </w:r>
      <w:r w:rsidR="005B399B">
        <w:t>10</w:t>
      </w:r>
      <w:r w:rsidR="00A57B8F" w:rsidRPr="0022357A">
        <w:t xml:space="preserve"> million </w:t>
      </w:r>
      <w:r w:rsidRPr="0022357A">
        <w:t>in Year 1, decreasing to</w:t>
      </w:r>
      <w:r w:rsidR="005B399B">
        <w:t xml:space="preserve"> less than</w:t>
      </w:r>
      <w:r w:rsidRPr="0022357A">
        <w:t xml:space="preserve"> </w:t>
      </w:r>
      <w:r w:rsidR="00A57B8F" w:rsidRPr="0022357A">
        <w:t>$</w:t>
      </w:r>
      <w:r w:rsidR="005B399B">
        <w:t>10</w:t>
      </w:r>
      <w:r w:rsidR="00A57B8F" w:rsidRPr="0022357A">
        <w:t xml:space="preserve"> million </w:t>
      </w:r>
      <w:r w:rsidRPr="0022357A">
        <w:t>in Year 6, resulting in a net cost of $</w:t>
      </w:r>
      <w:r w:rsidR="005B399B">
        <w:t>20 - $30</w:t>
      </w:r>
      <w:r w:rsidR="00A57B8F" w:rsidRPr="0022357A">
        <w:t xml:space="preserve"> million </w:t>
      </w:r>
      <w:r w:rsidRPr="0022357A">
        <w:t xml:space="preserve">for the Australian Government health budget over the first six years of listing. </w:t>
      </w:r>
      <w:r w:rsidR="004F72F1" w:rsidRPr="00932A94">
        <w:t xml:space="preserve">The PBAC noted that with the reduced proposed price the overall net cost to the government </w:t>
      </w:r>
      <w:r w:rsidR="00B17429">
        <w:t xml:space="preserve">reported in the pre-PBAC response </w:t>
      </w:r>
      <w:r w:rsidR="004F72F1" w:rsidRPr="00932A94">
        <w:t xml:space="preserve">was </w:t>
      </w:r>
      <w:r w:rsidR="005B399B">
        <w:t xml:space="preserve">less than </w:t>
      </w:r>
      <w:r w:rsidR="004F72F1" w:rsidRPr="00932A94">
        <w:t>$</w:t>
      </w:r>
      <w:r w:rsidR="005B399B">
        <w:t>10</w:t>
      </w:r>
      <w:r w:rsidR="004F72F1" w:rsidRPr="00932A94">
        <w:t xml:space="preserve"> million in </w:t>
      </w:r>
      <w:r w:rsidR="00B17429">
        <w:t>Y</w:t>
      </w:r>
      <w:r w:rsidR="004F72F1" w:rsidRPr="00932A94">
        <w:t>ear 1, decreasing to</w:t>
      </w:r>
      <w:r w:rsidR="005B399B">
        <w:t xml:space="preserve"> less than</w:t>
      </w:r>
      <w:r w:rsidR="004F72F1" w:rsidRPr="00932A94">
        <w:t xml:space="preserve"> $</w:t>
      </w:r>
      <w:r w:rsidR="005B399B">
        <w:t>10</w:t>
      </w:r>
      <w:r w:rsidR="008C6F50">
        <w:t xml:space="preserve"> </w:t>
      </w:r>
      <w:r w:rsidR="004F72F1" w:rsidRPr="00932A94">
        <w:t xml:space="preserve">million in </w:t>
      </w:r>
      <w:r w:rsidR="00B17429">
        <w:t>Y</w:t>
      </w:r>
      <w:r w:rsidR="004F72F1" w:rsidRPr="00932A94">
        <w:t xml:space="preserve">ear 5. </w:t>
      </w:r>
    </w:p>
    <w:p w:rsidR="00022DCB" w:rsidRPr="0022357A" w:rsidRDefault="00022DCB" w:rsidP="00022DCB">
      <w:pPr>
        <w:pStyle w:val="ListParagraph"/>
        <w:widowControl/>
        <w:numPr>
          <w:ilvl w:val="1"/>
          <w:numId w:val="3"/>
        </w:numPr>
      </w:pPr>
      <w:r w:rsidRPr="0022357A">
        <w:t xml:space="preserve">The financial estimates were most sensitive to the use of a larger number of treatment cycles (increased cost), a larger eligible population with CD30 positive CTCL who required systemic therapy (increased cost) and the inclusion of vorinostat cost offsets (decreased net cost). </w:t>
      </w:r>
    </w:p>
    <w:p w:rsidR="00022DCB" w:rsidRDefault="00B17429" w:rsidP="00022DCB">
      <w:pPr>
        <w:pStyle w:val="ListParagraph"/>
        <w:widowControl/>
        <w:numPr>
          <w:ilvl w:val="1"/>
          <w:numId w:val="3"/>
        </w:numPr>
      </w:pPr>
      <w:r>
        <w:t>The PBAC considered that t</w:t>
      </w:r>
      <w:r w:rsidR="00022DCB" w:rsidRPr="0022357A">
        <w:t>here was a substantial risk of use of brentuximab vedotin outside the restriction. This included use as a first line systemic therapy, retreatment of patients and in combination treatment with other CTCL therapies.</w:t>
      </w:r>
    </w:p>
    <w:p w:rsidR="00576972" w:rsidRPr="00B1472E" w:rsidRDefault="00576972" w:rsidP="00B1472E">
      <w:pPr>
        <w:pStyle w:val="Heading2"/>
        <w:spacing w:before="240" w:after="120"/>
        <w:rPr>
          <w:i w:val="0"/>
        </w:rPr>
      </w:pPr>
      <w:bookmarkStart w:id="14" w:name="_Toc514237317"/>
      <w:r w:rsidRPr="0022357A">
        <w:rPr>
          <w:i w:val="0"/>
        </w:rPr>
        <w:t>Quality Use of Medicines</w:t>
      </w:r>
      <w:bookmarkEnd w:id="14"/>
    </w:p>
    <w:p w:rsidR="00661891" w:rsidRDefault="00661891" w:rsidP="00661891">
      <w:pPr>
        <w:pStyle w:val="ListParagraph"/>
        <w:widowControl/>
        <w:numPr>
          <w:ilvl w:val="1"/>
          <w:numId w:val="3"/>
        </w:numPr>
      </w:pPr>
      <w:r w:rsidRPr="0022357A">
        <w:t xml:space="preserve">The submission stated the </w:t>
      </w:r>
      <w:r w:rsidR="00B17429">
        <w:t>s</w:t>
      </w:r>
      <w:r w:rsidRPr="0022357A">
        <w:t xml:space="preserve">ponsor operates in full accordance with the current TGA guidelines for pharmacovigilance responsibilities of sponsors and has an appropriate system of pharmacovigilance in place. </w:t>
      </w:r>
    </w:p>
    <w:p w:rsidR="00C25D9C" w:rsidRPr="00B1472E" w:rsidRDefault="00576972" w:rsidP="00B1472E">
      <w:pPr>
        <w:pStyle w:val="Heading2"/>
        <w:spacing w:before="240" w:after="120"/>
        <w:rPr>
          <w:i w:val="0"/>
        </w:rPr>
      </w:pPr>
      <w:bookmarkStart w:id="15" w:name="_Toc514237318"/>
      <w:r w:rsidRPr="0022357A">
        <w:rPr>
          <w:i w:val="0"/>
        </w:rPr>
        <w:t>Financial Management – Risk Sharing Arrangements</w:t>
      </w:r>
      <w:bookmarkEnd w:id="15"/>
    </w:p>
    <w:p w:rsidR="00661891" w:rsidRDefault="00661891" w:rsidP="00854842">
      <w:pPr>
        <w:pStyle w:val="ListParagraph"/>
        <w:widowControl/>
        <w:numPr>
          <w:ilvl w:val="1"/>
          <w:numId w:val="3"/>
        </w:numPr>
      </w:pPr>
      <w:r w:rsidRPr="0022357A">
        <w:t xml:space="preserve">The submission requested revision to the subsidisation caps in any current </w:t>
      </w:r>
      <w:r w:rsidR="0086362E">
        <w:t>Risk Sharing A</w:t>
      </w:r>
      <w:r w:rsidRPr="0022357A">
        <w:t>rrangements</w:t>
      </w:r>
      <w:r w:rsidR="0086362E">
        <w:t xml:space="preserve"> (RSA)</w:t>
      </w:r>
      <w:r w:rsidRPr="0022357A">
        <w:t xml:space="preserve"> for CTCL because brentuximab vedotin provides a substantial survival benefit and is intended to be an additional line of therapy. The </w:t>
      </w:r>
      <w:r w:rsidRPr="0022357A">
        <w:lastRenderedPageBreak/>
        <w:t>submission suggested a two tier arrangement consistent with some existing brentuximab vedotin listings as the percentage of patients requiring systemic treatment for CTCL may fluctuate from year to year.</w:t>
      </w:r>
      <w:r w:rsidR="000F6BE7">
        <w:t xml:space="preserve"> The pre-PBAC response proposed an RSA </w:t>
      </w:r>
      <w:r w:rsidR="000F6BE7" w:rsidRPr="00FB493B">
        <w:t>with a rebate above an upper expenditure cap</w:t>
      </w:r>
      <w:r w:rsidR="000F6BE7">
        <w:t xml:space="preserve"> for this indication; similar to the RSAs that are in place for the two </w:t>
      </w:r>
      <w:r w:rsidR="00B17429">
        <w:t>relapsed or refractory</w:t>
      </w:r>
      <w:r w:rsidR="000F6BE7">
        <w:t xml:space="preserve"> Hodgkin lymphoma indications.</w:t>
      </w:r>
      <w:r w:rsidRPr="0022357A">
        <w:t xml:space="preserve"> </w:t>
      </w:r>
    </w:p>
    <w:p w:rsidR="00A02A69" w:rsidRPr="004714C2" w:rsidRDefault="004714C2" w:rsidP="00B17429">
      <w:pPr>
        <w:pStyle w:val="PBACHeading1"/>
        <w:numPr>
          <w:ilvl w:val="0"/>
          <w:numId w:val="0"/>
        </w:numPr>
        <w:ind w:firstLine="720"/>
        <w:rPr>
          <w:b w:val="0"/>
          <w:i/>
          <w:sz w:val="24"/>
          <w:szCs w:val="24"/>
        </w:rPr>
      </w:pPr>
      <w:r w:rsidRPr="000F6BE7">
        <w:rPr>
          <w:b w:val="0"/>
          <w:i/>
          <w:sz w:val="24"/>
          <w:szCs w:val="24"/>
        </w:rPr>
        <w:t>For more detail on PBAC’s view, see section 7 PBAC outcome.</w:t>
      </w:r>
    </w:p>
    <w:p w:rsidR="00C611A7" w:rsidRPr="00DD207B" w:rsidRDefault="00C611A7" w:rsidP="00DD207B">
      <w:pPr>
        <w:pStyle w:val="PBACHeading1"/>
      </w:pPr>
      <w:r w:rsidRPr="00DD207B">
        <w:t>PBAC Outcome</w:t>
      </w:r>
    </w:p>
    <w:p w:rsidR="00C611A7" w:rsidRPr="009F4240" w:rsidRDefault="00C611A7" w:rsidP="0027437A">
      <w:pPr>
        <w:keepNext/>
        <w:numPr>
          <w:ilvl w:val="1"/>
          <w:numId w:val="3"/>
        </w:numPr>
        <w:spacing w:after="120"/>
        <w:rPr>
          <w:rFonts w:asciiTheme="minorHAnsi" w:hAnsiTheme="minorHAnsi"/>
          <w:bCs/>
          <w:lang w:val="en-GB"/>
        </w:rPr>
      </w:pPr>
      <w:r w:rsidRPr="009F4240">
        <w:rPr>
          <w:rFonts w:asciiTheme="minorHAnsi" w:hAnsiTheme="minorHAnsi"/>
          <w:bCs/>
          <w:lang w:val="en-GB"/>
        </w:rPr>
        <w:t xml:space="preserve">The PBAC </w:t>
      </w:r>
      <w:r w:rsidR="00A02A69" w:rsidRPr="009F4240">
        <w:rPr>
          <w:rFonts w:asciiTheme="minorHAnsi" w:hAnsiTheme="minorHAnsi"/>
          <w:bCs/>
          <w:lang w:val="en-GB"/>
        </w:rPr>
        <w:t xml:space="preserve">did not </w:t>
      </w:r>
      <w:r w:rsidRPr="009F4240">
        <w:rPr>
          <w:rFonts w:asciiTheme="minorHAnsi" w:hAnsiTheme="minorHAnsi"/>
          <w:bCs/>
          <w:lang w:val="en-GB"/>
        </w:rPr>
        <w:t>recommend</w:t>
      </w:r>
      <w:r w:rsidR="00A02A69" w:rsidRPr="009F4240">
        <w:rPr>
          <w:rFonts w:asciiTheme="minorHAnsi" w:hAnsiTheme="minorHAnsi"/>
          <w:bCs/>
          <w:lang w:val="en-GB"/>
        </w:rPr>
        <w:t xml:space="preserve"> </w:t>
      </w:r>
      <w:r w:rsidRPr="009F4240">
        <w:rPr>
          <w:rFonts w:asciiTheme="minorHAnsi" w:hAnsiTheme="minorHAnsi"/>
          <w:bCs/>
          <w:lang w:val="en-GB"/>
        </w:rPr>
        <w:t xml:space="preserve">the listing of </w:t>
      </w:r>
      <w:r w:rsidR="00A02A69" w:rsidRPr="009F4240">
        <w:rPr>
          <w:rFonts w:asciiTheme="minorHAnsi" w:hAnsiTheme="minorHAnsi"/>
          <w:bCs/>
          <w:lang w:val="en-GB"/>
        </w:rPr>
        <w:t>brentuximab vedotin</w:t>
      </w:r>
      <w:r w:rsidR="0044365B">
        <w:rPr>
          <w:rFonts w:asciiTheme="minorHAnsi" w:hAnsiTheme="minorHAnsi"/>
          <w:bCs/>
          <w:lang w:val="en-GB"/>
        </w:rPr>
        <w:t xml:space="preserve"> in </w:t>
      </w:r>
      <w:r w:rsidR="002D5672">
        <w:rPr>
          <w:rFonts w:asciiTheme="minorHAnsi" w:hAnsiTheme="minorHAnsi"/>
          <w:bCs/>
          <w:lang w:val="en-GB"/>
        </w:rPr>
        <w:t>relapsed</w:t>
      </w:r>
      <w:r w:rsidR="0044365B">
        <w:rPr>
          <w:rFonts w:asciiTheme="minorHAnsi" w:hAnsiTheme="minorHAnsi"/>
          <w:bCs/>
          <w:lang w:val="en-GB"/>
        </w:rPr>
        <w:t xml:space="preserve"> or refractory CD30 positive CTCL</w:t>
      </w:r>
      <w:r w:rsidR="00831A73">
        <w:rPr>
          <w:rFonts w:asciiTheme="minorHAnsi" w:hAnsiTheme="minorHAnsi"/>
          <w:bCs/>
          <w:lang w:val="en-GB"/>
        </w:rPr>
        <w:t xml:space="preserve"> in patients who have previously used systemic therapy</w:t>
      </w:r>
      <w:r w:rsidRPr="009F4240">
        <w:rPr>
          <w:rFonts w:asciiTheme="minorHAnsi" w:hAnsiTheme="minorHAnsi"/>
          <w:bCs/>
          <w:lang w:val="en-GB"/>
        </w:rPr>
        <w:t xml:space="preserve">, </w:t>
      </w:r>
      <w:r w:rsidR="00A02A69" w:rsidRPr="009F4240">
        <w:rPr>
          <w:rFonts w:asciiTheme="minorHAnsi" w:hAnsiTheme="minorHAnsi"/>
          <w:bCs/>
          <w:lang w:val="en-GB"/>
        </w:rPr>
        <w:t>due to major reservations regarding the naïve comparison with vorinostat, which mean</w:t>
      </w:r>
      <w:r w:rsidR="0086362E">
        <w:rPr>
          <w:rFonts w:asciiTheme="minorHAnsi" w:hAnsiTheme="minorHAnsi"/>
          <w:bCs/>
          <w:lang w:val="en-GB"/>
        </w:rPr>
        <w:t>t</w:t>
      </w:r>
      <w:r w:rsidR="00A02A69" w:rsidRPr="009F4240">
        <w:rPr>
          <w:rFonts w:asciiTheme="minorHAnsi" w:hAnsiTheme="minorHAnsi"/>
          <w:bCs/>
          <w:lang w:val="en-GB"/>
        </w:rPr>
        <w:t xml:space="preserve"> that cost-effectiveness against vorinostat was unable to be assessed. The PBAC </w:t>
      </w:r>
      <w:r w:rsidR="00AA6998">
        <w:rPr>
          <w:rFonts w:asciiTheme="minorHAnsi" w:hAnsiTheme="minorHAnsi"/>
          <w:bCs/>
          <w:lang w:val="en-GB"/>
        </w:rPr>
        <w:t xml:space="preserve">also </w:t>
      </w:r>
      <w:r w:rsidR="00A02A69" w:rsidRPr="009F4240">
        <w:rPr>
          <w:rFonts w:asciiTheme="minorHAnsi" w:hAnsiTheme="minorHAnsi"/>
          <w:bCs/>
          <w:lang w:val="en-GB"/>
        </w:rPr>
        <w:t xml:space="preserve">considered that brentuximab vedotin was not cost-effective compared with methotrexate at the </w:t>
      </w:r>
      <w:r w:rsidR="00AA6998">
        <w:rPr>
          <w:rFonts w:asciiTheme="minorHAnsi" w:hAnsiTheme="minorHAnsi"/>
          <w:bCs/>
          <w:lang w:val="en-GB"/>
        </w:rPr>
        <w:t>proposed</w:t>
      </w:r>
      <w:r w:rsidR="00AA6998" w:rsidRPr="009F4240">
        <w:rPr>
          <w:rFonts w:asciiTheme="minorHAnsi" w:hAnsiTheme="minorHAnsi"/>
          <w:bCs/>
          <w:lang w:val="en-GB"/>
        </w:rPr>
        <w:t xml:space="preserve"> </w:t>
      </w:r>
      <w:r w:rsidR="00A02A69" w:rsidRPr="009F4240">
        <w:rPr>
          <w:rFonts w:asciiTheme="minorHAnsi" w:hAnsiTheme="minorHAnsi"/>
          <w:bCs/>
          <w:lang w:val="en-GB"/>
        </w:rPr>
        <w:t xml:space="preserve">price. </w:t>
      </w:r>
      <w:r w:rsidR="00A02A69" w:rsidRPr="009F4240">
        <w:t>The PBAC noted that the ICER presented was unacceptably high based on previous PBAC decisions, even in the context of difficult to treat and relatively rare diseases.</w:t>
      </w:r>
    </w:p>
    <w:p w:rsidR="00AA6998" w:rsidRPr="00AA6998" w:rsidRDefault="00AA6998" w:rsidP="005225ED">
      <w:pPr>
        <w:pStyle w:val="ListParagraph"/>
        <w:widowControl/>
        <w:numPr>
          <w:ilvl w:val="1"/>
          <w:numId w:val="3"/>
        </w:numPr>
        <w:rPr>
          <w:rFonts w:asciiTheme="minorHAnsi" w:hAnsiTheme="minorHAnsi"/>
          <w:bCs/>
          <w:lang w:val="en-GB"/>
        </w:rPr>
      </w:pPr>
      <w:r>
        <w:t xml:space="preserve">The PBAC welcomed the input from individuals, health care professionals and organisations which highlighted the limited treatment options </w:t>
      </w:r>
      <w:r w:rsidR="00B17429">
        <w:t xml:space="preserve">available </w:t>
      </w:r>
      <w:r>
        <w:t xml:space="preserve">for patients with CTCL. </w:t>
      </w:r>
    </w:p>
    <w:p w:rsidR="005225ED" w:rsidRPr="00AA6998" w:rsidRDefault="00C86395" w:rsidP="005225ED">
      <w:pPr>
        <w:pStyle w:val="ListParagraph"/>
        <w:widowControl/>
        <w:numPr>
          <w:ilvl w:val="1"/>
          <w:numId w:val="3"/>
        </w:numPr>
        <w:rPr>
          <w:color w:val="000000" w:themeColor="text1"/>
        </w:rPr>
      </w:pPr>
      <w:r w:rsidRPr="009F4240">
        <w:t>The PBAC acknowledged that there is a need for additional therapies for patients with CTCL who have failed prior systemic therapies as current treatments are characterised by low response rates and short durations of response</w:t>
      </w:r>
      <w:r w:rsidR="00CF5BC1" w:rsidRPr="009F4240">
        <w:t>.</w:t>
      </w:r>
      <w:r w:rsidRPr="009F4240">
        <w:t xml:space="preserve"> The PBAC </w:t>
      </w:r>
      <w:r w:rsidR="00CF5BC1" w:rsidRPr="009F4240">
        <w:t>considered</w:t>
      </w:r>
      <w:r w:rsidRPr="009F4240">
        <w:t xml:space="preserve"> that although vorinostat has provided an additional treatment option for patients with CTCL, there remains a substantial unmet clinical need for effective treatments that provide a lasting response for these patients. </w:t>
      </w:r>
    </w:p>
    <w:p w:rsidR="00AA6998" w:rsidRPr="00AA6998" w:rsidRDefault="00AA6998" w:rsidP="00AA6998">
      <w:pPr>
        <w:pStyle w:val="ListParagraph"/>
        <w:widowControl/>
        <w:numPr>
          <w:ilvl w:val="1"/>
          <w:numId w:val="3"/>
        </w:numPr>
        <w:rPr>
          <w:rFonts w:asciiTheme="minorHAnsi" w:hAnsiTheme="minorHAnsi"/>
          <w:bCs/>
          <w:lang w:val="en-GB"/>
        </w:rPr>
      </w:pPr>
      <w:r w:rsidRPr="009F4240">
        <w:t xml:space="preserve">The PBAC noted that no explicit definition of CD30 positivity </w:t>
      </w:r>
      <w:r w:rsidR="00036FC8">
        <w:t xml:space="preserve">in CTCL </w:t>
      </w:r>
      <w:r w:rsidRPr="009F4240">
        <w:t xml:space="preserve">was included in the </w:t>
      </w:r>
      <w:r w:rsidR="00C02E14">
        <w:t xml:space="preserve">proposed </w:t>
      </w:r>
      <w:r w:rsidRPr="009F4240">
        <w:t xml:space="preserve">restriction and considered that </w:t>
      </w:r>
      <w:r w:rsidR="00C02E14">
        <w:t xml:space="preserve">a clear definition was </w:t>
      </w:r>
      <w:r w:rsidR="00036FC8">
        <w:t>desirable</w:t>
      </w:r>
      <w:r w:rsidRPr="009F4240">
        <w:t xml:space="preserve">. </w:t>
      </w:r>
      <w:r w:rsidR="00C02E14">
        <w:t xml:space="preserve">The PBAC considered that the proposed restrictions should include a requirement for the provision of a histology report showing evidence of CD30 positivity (Initial) and for patients to have achieved an appropriate response to therapy (Continuing). </w:t>
      </w:r>
    </w:p>
    <w:p w:rsidR="005225ED" w:rsidRPr="009F4240" w:rsidRDefault="005225ED" w:rsidP="005225ED">
      <w:pPr>
        <w:pStyle w:val="ListParagraph"/>
        <w:widowControl/>
        <w:numPr>
          <w:ilvl w:val="1"/>
          <w:numId w:val="3"/>
        </w:numPr>
        <w:rPr>
          <w:color w:val="000000" w:themeColor="text1"/>
        </w:rPr>
      </w:pPr>
      <w:r w:rsidRPr="009F4240">
        <w:rPr>
          <w:color w:val="000000" w:themeColor="text1"/>
        </w:rPr>
        <w:t>The submission nominated vorinostat as the main comparator. Th</w:t>
      </w:r>
      <w:r w:rsidR="00677202">
        <w:rPr>
          <w:color w:val="000000" w:themeColor="text1"/>
        </w:rPr>
        <w:t xml:space="preserve">e PBAC agreed with the ESC that </w:t>
      </w:r>
      <w:r w:rsidR="002C2634">
        <w:rPr>
          <w:color w:val="000000" w:themeColor="text1"/>
        </w:rPr>
        <w:t xml:space="preserve">this </w:t>
      </w:r>
      <w:r w:rsidRPr="009F4240">
        <w:rPr>
          <w:color w:val="000000" w:themeColor="text1"/>
        </w:rPr>
        <w:t xml:space="preserve">was appropriate for the MF and SS subtypes of CTCL </w:t>
      </w:r>
      <w:r w:rsidR="00677202">
        <w:rPr>
          <w:color w:val="000000" w:themeColor="text1"/>
        </w:rPr>
        <w:t xml:space="preserve">only as </w:t>
      </w:r>
      <w:r w:rsidRPr="009F4240">
        <w:rPr>
          <w:color w:val="000000" w:themeColor="text1"/>
        </w:rPr>
        <w:t>patients with pcALCL and LyP were not included in the vorinostat trial</w:t>
      </w:r>
      <w:r w:rsidR="00677202">
        <w:rPr>
          <w:color w:val="000000" w:themeColor="text1"/>
        </w:rPr>
        <w:t xml:space="preserve">. The PBAC considered that </w:t>
      </w:r>
      <w:r w:rsidRPr="009F4240">
        <w:rPr>
          <w:color w:val="000000" w:themeColor="text1"/>
        </w:rPr>
        <w:t xml:space="preserve">it was unclear whether vorinostat is used to treat pcALCL and LyP in Australian clinical practice although the vorinostat PBS listing also allows use in these subtypes. </w:t>
      </w:r>
      <w:r w:rsidR="002C2634">
        <w:rPr>
          <w:color w:val="000000" w:themeColor="text1"/>
        </w:rPr>
        <w:t>The PBAC also considered that the use of vorinostat as a comparator in this submission was limited by the fact that, unlike brentuximab vedotin, its use was not restricted to CD30 positive CTCL.</w:t>
      </w:r>
    </w:p>
    <w:p w:rsidR="00BA380A" w:rsidRDefault="00BA380A" w:rsidP="00BA380A">
      <w:pPr>
        <w:pStyle w:val="ListParagraph"/>
        <w:widowControl/>
        <w:numPr>
          <w:ilvl w:val="1"/>
          <w:numId w:val="3"/>
        </w:numPr>
        <w:rPr>
          <w:color w:val="000000" w:themeColor="text1"/>
        </w:rPr>
      </w:pPr>
      <w:r w:rsidRPr="004527CE">
        <w:rPr>
          <w:color w:val="000000" w:themeColor="text1"/>
        </w:rPr>
        <w:lastRenderedPageBreak/>
        <w:t xml:space="preserve">The PBAC noted </w:t>
      </w:r>
      <w:r>
        <w:rPr>
          <w:color w:val="000000" w:themeColor="text1"/>
        </w:rPr>
        <w:t xml:space="preserve">that there was no defined standard of care for relapsed or refractory CTCL. As such, the PBAC considered that the use of a basket of therapies as a supplementary comparator </w:t>
      </w:r>
      <w:r w:rsidR="00036FC8">
        <w:rPr>
          <w:color w:val="000000" w:themeColor="text1"/>
        </w:rPr>
        <w:t>had significant limitations</w:t>
      </w:r>
      <w:r>
        <w:rPr>
          <w:color w:val="000000" w:themeColor="text1"/>
        </w:rPr>
        <w:t xml:space="preserve"> as the </w:t>
      </w:r>
      <w:r w:rsidR="00036FC8">
        <w:rPr>
          <w:color w:val="000000" w:themeColor="text1"/>
        </w:rPr>
        <w:t xml:space="preserve">relative weighting </w:t>
      </w:r>
      <w:r w:rsidRPr="004527CE">
        <w:rPr>
          <w:color w:val="000000" w:themeColor="text1"/>
        </w:rPr>
        <w:t xml:space="preserve">of </w:t>
      </w:r>
      <w:r w:rsidR="00036FC8">
        <w:rPr>
          <w:color w:val="000000" w:themeColor="text1"/>
        </w:rPr>
        <w:t xml:space="preserve">each </w:t>
      </w:r>
      <w:r w:rsidR="00036FC8" w:rsidRPr="004527CE">
        <w:rPr>
          <w:color w:val="000000" w:themeColor="text1"/>
        </w:rPr>
        <w:t>therap</w:t>
      </w:r>
      <w:r w:rsidR="00036FC8">
        <w:rPr>
          <w:color w:val="000000" w:themeColor="text1"/>
        </w:rPr>
        <w:t>y</w:t>
      </w:r>
      <w:r w:rsidR="00036FC8" w:rsidRPr="004527CE">
        <w:rPr>
          <w:color w:val="000000" w:themeColor="text1"/>
        </w:rPr>
        <w:t xml:space="preserve"> </w:t>
      </w:r>
      <w:r w:rsidR="00036FC8">
        <w:rPr>
          <w:color w:val="000000" w:themeColor="text1"/>
        </w:rPr>
        <w:t xml:space="preserve">would carry substantial </w:t>
      </w:r>
      <w:r w:rsidRPr="004527CE">
        <w:rPr>
          <w:color w:val="000000" w:themeColor="text1"/>
        </w:rPr>
        <w:t>uncertain</w:t>
      </w:r>
      <w:r w:rsidR="00036FC8">
        <w:rPr>
          <w:color w:val="000000" w:themeColor="text1"/>
        </w:rPr>
        <w:t>ty</w:t>
      </w:r>
      <w:r w:rsidRPr="004527CE">
        <w:rPr>
          <w:color w:val="000000" w:themeColor="text1"/>
        </w:rPr>
        <w:t xml:space="preserve">. </w:t>
      </w:r>
      <w:r>
        <w:rPr>
          <w:color w:val="000000" w:themeColor="text1"/>
        </w:rPr>
        <w:t>In addition, the PBAC considered that s</w:t>
      </w:r>
      <w:r w:rsidR="00B17429">
        <w:rPr>
          <w:color w:val="000000" w:themeColor="text1"/>
        </w:rPr>
        <w:t xml:space="preserve">uch a comparison would </w:t>
      </w:r>
      <w:r>
        <w:rPr>
          <w:color w:val="000000" w:themeColor="text1"/>
        </w:rPr>
        <w:t xml:space="preserve">be limited by fact that, unlike brentuximab vedotin, the use of these therapies is not restricted to CD30 positive CTCL. </w:t>
      </w:r>
      <w:r w:rsidR="00B17429">
        <w:rPr>
          <w:color w:val="000000" w:themeColor="text1"/>
        </w:rPr>
        <w:t>The PBAC considered</w:t>
      </w:r>
      <w:r w:rsidRPr="004527CE">
        <w:rPr>
          <w:color w:val="000000" w:themeColor="text1"/>
        </w:rPr>
        <w:t xml:space="preserve"> that the best comparative evidence available </w:t>
      </w:r>
      <w:r>
        <w:rPr>
          <w:color w:val="000000" w:themeColor="text1"/>
        </w:rPr>
        <w:t xml:space="preserve">in this submission </w:t>
      </w:r>
      <w:r w:rsidR="00B17429">
        <w:rPr>
          <w:color w:val="000000" w:themeColor="text1"/>
        </w:rPr>
        <w:t>wa</w:t>
      </w:r>
      <w:r w:rsidRPr="004527CE">
        <w:rPr>
          <w:color w:val="000000" w:themeColor="text1"/>
        </w:rPr>
        <w:t>s for patients treated with</w:t>
      </w:r>
      <w:r>
        <w:rPr>
          <w:color w:val="000000" w:themeColor="text1"/>
        </w:rPr>
        <w:t xml:space="preserve"> methotrexate, which </w:t>
      </w:r>
      <w:r w:rsidR="00C47F65">
        <w:rPr>
          <w:color w:val="000000" w:themeColor="text1"/>
        </w:rPr>
        <w:t xml:space="preserve">the PBAC </w:t>
      </w:r>
      <w:r w:rsidR="00B17429">
        <w:rPr>
          <w:color w:val="000000" w:themeColor="text1"/>
        </w:rPr>
        <w:t>accepted as</w:t>
      </w:r>
      <w:r>
        <w:rPr>
          <w:color w:val="000000" w:themeColor="text1"/>
        </w:rPr>
        <w:t xml:space="preserve"> </w:t>
      </w:r>
      <w:r w:rsidRPr="004527CE">
        <w:rPr>
          <w:color w:val="000000" w:themeColor="text1"/>
        </w:rPr>
        <w:t>one of the standard therapies in Australia</w:t>
      </w:r>
      <w:r>
        <w:rPr>
          <w:color w:val="000000" w:themeColor="text1"/>
        </w:rPr>
        <w:t xml:space="preserve"> for this rare condition</w:t>
      </w:r>
      <w:r w:rsidRPr="004527CE">
        <w:rPr>
          <w:color w:val="000000" w:themeColor="text1"/>
        </w:rPr>
        <w:t>.</w:t>
      </w:r>
      <w:r w:rsidR="008C6F50">
        <w:rPr>
          <w:color w:val="000000" w:themeColor="text1"/>
        </w:rPr>
        <w:t xml:space="preserve"> </w:t>
      </w:r>
    </w:p>
    <w:p w:rsidR="00071D79" w:rsidRPr="0054188E" w:rsidRDefault="00071D79" w:rsidP="00BA380A">
      <w:pPr>
        <w:pStyle w:val="ListParagraph"/>
        <w:widowControl/>
        <w:numPr>
          <w:ilvl w:val="1"/>
          <w:numId w:val="3"/>
        </w:numPr>
        <w:rPr>
          <w:color w:val="000000" w:themeColor="text1"/>
        </w:rPr>
      </w:pPr>
      <w:r w:rsidRPr="009F4240">
        <w:t xml:space="preserve">The submission’s primary comparison was a naïve comparison of the brentuximab vedotin arm of the Phase III, open-label ALCANZA RCT (n=131) with the vorinostat arm of the Phase III, open-label MAVORIC RCT (n=372). </w:t>
      </w:r>
      <w:r w:rsidR="0054188E">
        <w:t xml:space="preserve">The PBAC agreed with the ESC that the comparison had a high risk of bias because it was based on a naïve comparison of studies with poor transitivity that may have confounded the observed clinical outcomes. </w:t>
      </w:r>
      <w:r w:rsidRPr="009F4240">
        <w:t xml:space="preserve">The PBAC </w:t>
      </w:r>
      <w:r w:rsidR="00C47F65">
        <w:t>considered</w:t>
      </w:r>
      <w:r w:rsidR="00C47F65" w:rsidRPr="009F4240">
        <w:t xml:space="preserve"> </w:t>
      </w:r>
      <w:r w:rsidR="0054188E">
        <w:t>the</w:t>
      </w:r>
      <w:r w:rsidRPr="009F4240">
        <w:t xml:space="preserve"> comparison was </w:t>
      </w:r>
      <w:r w:rsidR="00BA10D2" w:rsidRPr="009F4240">
        <w:t>flawed with the major transi</w:t>
      </w:r>
      <w:r w:rsidR="002D5672">
        <w:t>ti</w:t>
      </w:r>
      <w:r w:rsidR="00BA10D2" w:rsidRPr="009F4240">
        <w:t>vity issues being the different mix of disease subtypes/stages and the difference in CD30</w:t>
      </w:r>
      <w:r w:rsidR="00E52147">
        <w:t xml:space="preserve"> positive</w:t>
      </w:r>
      <w:r w:rsidR="00BA10D2" w:rsidRPr="009F4240">
        <w:t xml:space="preserve"> selection between the two trials. </w:t>
      </w:r>
      <w:r w:rsidR="00C47F65">
        <w:t xml:space="preserve">The PBAC considered that due to differences in CD30 positivity between patients included in the trials the efficacy of vorinostat in a CD30 positive subset of CTCL patients was unknown. </w:t>
      </w:r>
      <w:r w:rsidR="00BA10D2" w:rsidRPr="009F4240">
        <w:t xml:space="preserve">The PBAC considered that because of these </w:t>
      </w:r>
      <w:r w:rsidR="004D766D" w:rsidRPr="009F4240">
        <w:t>differences</w:t>
      </w:r>
      <w:r w:rsidR="00BA10D2" w:rsidRPr="009F4240">
        <w:t xml:space="preserve"> this comparison could not </w:t>
      </w:r>
      <w:r w:rsidR="00036FC8">
        <w:t xml:space="preserve">currently </w:t>
      </w:r>
      <w:r w:rsidR="00BA10D2" w:rsidRPr="009F4240">
        <w:t>be accepted as the basis for decision-making regarding the cost-effectiveness of brentuximab vedotin.</w:t>
      </w:r>
      <w:r w:rsidR="008C6F50">
        <w:t xml:space="preserve"> </w:t>
      </w:r>
    </w:p>
    <w:p w:rsidR="0054188E" w:rsidRPr="00BA380A" w:rsidRDefault="0054188E" w:rsidP="00BA380A">
      <w:pPr>
        <w:pStyle w:val="ListParagraph"/>
        <w:widowControl/>
        <w:numPr>
          <w:ilvl w:val="1"/>
          <w:numId w:val="3"/>
        </w:numPr>
        <w:rPr>
          <w:color w:val="000000" w:themeColor="text1"/>
        </w:rPr>
      </w:pPr>
      <w:r w:rsidRPr="009F4240">
        <w:rPr>
          <w:rFonts w:asciiTheme="minorHAnsi" w:hAnsiTheme="minorHAnsi"/>
          <w:szCs w:val="20"/>
        </w:rPr>
        <w:t xml:space="preserve">The PBAC considered that the claim of superior comparative </w:t>
      </w:r>
      <w:r>
        <w:rPr>
          <w:rFonts w:asciiTheme="minorHAnsi" w:hAnsiTheme="minorHAnsi"/>
          <w:szCs w:val="20"/>
        </w:rPr>
        <w:t xml:space="preserve">effectiveness to vorinostat </w:t>
      </w:r>
      <w:r w:rsidRPr="009F4240">
        <w:rPr>
          <w:rFonts w:asciiTheme="minorHAnsi" w:hAnsiTheme="minorHAnsi"/>
          <w:szCs w:val="20"/>
        </w:rPr>
        <w:t>was not adequately supported by the data.</w:t>
      </w:r>
      <w:r>
        <w:rPr>
          <w:rFonts w:asciiTheme="minorHAnsi" w:hAnsiTheme="minorHAnsi"/>
          <w:szCs w:val="20"/>
        </w:rPr>
        <w:t xml:space="preserve"> </w:t>
      </w:r>
      <w:r w:rsidRPr="00C47F65">
        <w:rPr>
          <w:rFonts w:asciiTheme="minorHAnsi" w:hAnsiTheme="minorHAnsi"/>
          <w:szCs w:val="20"/>
        </w:rPr>
        <w:t>The PBAC considered that the claim of non-inferior comparative safety to vorinostat was reasonable.</w:t>
      </w:r>
    </w:p>
    <w:p w:rsidR="00AC7B10" w:rsidRPr="00AC7B10" w:rsidRDefault="00071D79" w:rsidP="00420702">
      <w:pPr>
        <w:pStyle w:val="ListParagraph"/>
        <w:widowControl/>
        <w:numPr>
          <w:ilvl w:val="1"/>
          <w:numId w:val="3"/>
        </w:numPr>
        <w:rPr>
          <w:color w:val="000000" w:themeColor="text1"/>
        </w:rPr>
      </w:pPr>
      <w:r w:rsidRPr="009F4240">
        <w:t xml:space="preserve">The submission’s supplementary comparison with methotrexate </w:t>
      </w:r>
      <w:r w:rsidR="00441D7A">
        <w:t xml:space="preserve">compared the </w:t>
      </w:r>
      <w:r w:rsidRPr="009F4240">
        <w:t xml:space="preserve">brentuximab vedotin </w:t>
      </w:r>
      <w:r w:rsidR="00441D7A">
        <w:t xml:space="preserve">arm of the ALCANZA trial </w:t>
      </w:r>
      <w:r w:rsidRPr="009F4240">
        <w:t xml:space="preserve">with </w:t>
      </w:r>
      <w:r w:rsidR="00441D7A">
        <w:t xml:space="preserve">the </w:t>
      </w:r>
      <w:r w:rsidRPr="009F4240">
        <w:t xml:space="preserve">methotrexate </w:t>
      </w:r>
      <w:r w:rsidR="00441D7A">
        <w:t xml:space="preserve">subgroup (n=26) of the </w:t>
      </w:r>
      <w:r w:rsidRPr="009F4240">
        <w:t>physician’s choice</w:t>
      </w:r>
      <w:r w:rsidR="00441D7A">
        <w:t xml:space="preserve"> arm of the trial</w:t>
      </w:r>
      <w:r w:rsidRPr="009F4240">
        <w:t>.</w:t>
      </w:r>
      <w:r w:rsidR="00441D7A">
        <w:t xml:space="preserve"> The PBAC noted that the ALCANZA trial included </w:t>
      </w:r>
      <w:r w:rsidR="006C6F3F">
        <w:t>patients with MF and pcALCL only</w:t>
      </w:r>
      <w:r w:rsidR="00C2544D">
        <w:t>, with the majority of patients having MF</w:t>
      </w:r>
      <w:r w:rsidR="006C6F3F">
        <w:t xml:space="preserve">. The PBAC noted the Newland (2015) study provided information on the use of methotrexate in patients with LyP but considered it was of limited relevance to the submission overall given the indolent nature of LyP, the common watch and wait approach used in its management, and the ability to use other therapies such as topical steroids or oral </w:t>
      </w:r>
      <w:proofErr w:type="spellStart"/>
      <w:r w:rsidR="006C6F3F">
        <w:t>retinoids</w:t>
      </w:r>
      <w:proofErr w:type="spellEnd"/>
      <w:r w:rsidR="006C6F3F">
        <w:t xml:space="preserve"> in this condition. </w:t>
      </w:r>
      <w:r w:rsidR="00AC7B10">
        <w:t xml:space="preserve">The PBAC agreed with the ESC that overall data on methotrexate was suboptimal in robustness. However, the PBAC noted that the ALCANZA trial did provide data on the efficacy of methotrexate, although underpowered, in a CD30 positive subset of CTCL. </w:t>
      </w:r>
    </w:p>
    <w:p w:rsidR="00AC7B10" w:rsidRPr="00AC7B10" w:rsidRDefault="00AC7B10" w:rsidP="00420702">
      <w:pPr>
        <w:pStyle w:val="ListParagraph"/>
        <w:widowControl/>
        <w:numPr>
          <w:ilvl w:val="1"/>
          <w:numId w:val="3"/>
        </w:numPr>
        <w:rPr>
          <w:color w:val="000000" w:themeColor="text1"/>
        </w:rPr>
      </w:pPr>
      <w:r>
        <w:rPr>
          <w:color w:val="000000" w:themeColor="text1"/>
        </w:rPr>
        <w:t xml:space="preserve">The PBAC noted that the results of the ALCANZA trial </w:t>
      </w:r>
      <w:r w:rsidR="0033783A">
        <w:rPr>
          <w:color w:val="000000" w:themeColor="text1"/>
        </w:rPr>
        <w:t xml:space="preserve">indicated that patients in the brentuximab vedotin arm had higher ORR, ORR4 and complete response than patients in the methotrexate arm. The PBAC also noted that patients treated with </w:t>
      </w:r>
      <w:r w:rsidR="0033783A">
        <w:rPr>
          <w:color w:val="000000" w:themeColor="text1"/>
        </w:rPr>
        <w:lastRenderedPageBreak/>
        <w:t>brentuximab vedotin had a median PFS of 16.7 months, which was significantly longer than the median 2.3 months PFS experienced by patients treated with methotrexate. Acknowledging the limitations of the data, the PBAC considered that</w:t>
      </w:r>
      <w:r w:rsidR="000F3CEB">
        <w:rPr>
          <w:color w:val="000000" w:themeColor="text1"/>
        </w:rPr>
        <w:t xml:space="preserve"> </w:t>
      </w:r>
      <w:r w:rsidR="002A3C65">
        <w:rPr>
          <w:color w:val="000000" w:themeColor="text1"/>
        </w:rPr>
        <w:t>brentuximab vedo</w:t>
      </w:r>
      <w:r w:rsidR="00EB1138">
        <w:rPr>
          <w:color w:val="000000" w:themeColor="text1"/>
        </w:rPr>
        <w:t xml:space="preserve">tin appears to be effective </w:t>
      </w:r>
      <w:r w:rsidR="00C2544D">
        <w:rPr>
          <w:color w:val="000000" w:themeColor="text1"/>
        </w:rPr>
        <w:t>over an extended duration in patients with proven CD30 positive CTCL and more effective than methotrexate in patients with MF.</w:t>
      </w:r>
      <w:r w:rsidR="0033783A">
        <w:rPr>
          <w:color w:val="000000" w:themeColor="text1"/>
        </w:rPr>
        <w:t xml:space="preserve"> </w:t>
      </w:r>
    </w:p>
    <w:p w:rsidR="00C47F65" w:rsidRPr="009F4240" w:rsidRDefault="00BA10D2" w:rsidP="005F3F6B">
      <w:pPr>
        <w:pStyle w:val="ListParagraph"/>
        <w:widowControl/>
        <w:numPr>
          <w:ilvl w:val="1"/>
          <w:numId w:val="3"/>
        </w:numPr>
        <w:rPr>
          <w:rFonts w:asciiTheme="minorHAnsi" w:hAnsiTheme="minorHAnsi"/>
          <w:szCs w:val="20"/>
        </w:rPr>
      </w:pPr>
      <w:r w:rsidRPr="009F4240">
        <w:rPr>
          <w:rFonts w:asciiTheme="minorHAnsi" w:hAnsiTheme="minorHAnsi"/>
          <w:szCs w:val="20"/>
        </w:rPr>
        <w:t xml:space="preserve">The PBAC considered that the claim of superior comparative effectiveness to methotrexate was reasonable for the MF and pcALCL subtypes only and was not adequately supported by the data in LyP and SS subtypes. </w:t>
      </w:r>
    </w:p>
    <w:p w:rsidR="00C611A7" w:rsidRPr="00C47F65" w:rsidRDefault="00BA10D2" w:rsidP="00C47F65">
      <w:pPr>
        <w:pStyle w:val="ListParagraph"/>
        <w:widowControl/>
        <w:numPr>
          <w:ilvl w:val="1"/>
          <w:numId w:val="3"/>
        </w:numPr>
        <w:rPr>
          <w:rFonts w:asciiTheme="minorHAnsi" w:hAnsiTheme="minorHAnsi"/>
          <w:szCs w:val="20"/>
        </w:rPr>
      </w:pPr>
      <w:r w:rsidRPr="00C47F65">
        <w:rPr>
          <w:rFonts w:asciiTheme="minorHAnsi" w:hAnsiTheme="minorHAnsi"/>
          <w:szCs w:val="20"/>
        </w:rPr>
        <w:t>The PBAC considered that the claim of non-inferior comparative safety to methotrexate was not adequately supported by the data.</w:t>
      </w:r>
      <w:r w:rsidR="00C2544D">
        <w:rPr>
          <w:rFonts w:asciiTheme="minorHAnsi" w:hAnsiTheme="minorHAnsi"/>
          <w:szCs w:val="20"/>
        </w:rPr>
        <w:t xml:space="preserve"> </w:t>
      </w:r>
      <w:r w:rsidR="00D244A8">
        <w:t>The PBAC considered brentuximab vedotin may have an inferior safety profile compared with methotrexate, although the PBAC acknowledged the longer treatment exposure with brentuximab vedotin compared to methotrexate.</w:t>
      </w:r>
    </w:p>
    <w:p w:rsidR="00C611A7" w:rsidRPr="009F4240" w:rsidRDefault="004A7DC7" w:rsidP="00C611A7">
      <w:pPr>
        <w:numPr>
          <w:ilvl w:val="1"/>
          <w:numId w:val="3"/>
        </w:numPr>
        <w:spacing w:after="120"/>
        <w:rPr>
          <w:rFonts w:asciiTheme="minorHAnsi" w:hAnsiTheme="minorHAnsi"/>
          <w:bCs/>
          <w:lang w:val="en-GB"/>
        </w:rPr>
      </w:pPr>
      <w:r w:rsidRPr="009F4240">
        <w:t>The submission presented several modelled economic evaluations of brentuximab vedotin based on the cost per responder (ORR), cost per ≥ 25% mSWAT responder, and a cost utility analysis based on PFS. The PBAC noted that the cost per ≥25% mSWAT responder was presented in the March 2017 vorinostat consideration (paragraphs 4.5 and 4.6, March 2017 PSD). The PBAC noted that the cost per ≥25% mSWAT responder is a less stringent outcome than overall response.</w:t>
      </w:r>
      <w:r w:rsidR="00712A94" w:rsidRPr="009F4240">
        <w:t xml:space="preserve"> </w:t>
      </w:r>
    </w:p>
    <w:p w:rsidR="00466A2F" w:rsidRPr="009F4240" w:rsidRDefault="00712A94" w:rsidP="00466A2F">
      <w:pPr>
        <w:pStyle w:val="ListParagraph"/>
        <w:widowControl/>
        <w:numPr>
          <w:ilvl w:val="1"/>
          <w:numId w:val="3"/>
        </w:numPr>
        <w:spacing w:after="120"/>
        <w:rPr>
          <w:rFonts w:asciiTheme="minorHAnsi" w:hAnsiTheme="minorHAnsi"/>
          <w:bCs/>
          <w:lang w:val="en-GB"/>
        </w:rPr>
      </w:pPr>
      <w:r w:rsidRPr="009F4240">
        <w:rPr>
          <w:rFonts w:asciiTheme="minorHAnsi" w:hAnsiTheme="minorHAnsi"/>
          <w:bCs/>
          <w:lang w:val="en-GB"/>
        </w:rPr>
        <w:t xml:space="preserve">The PBAC noted that </w:t>
      </w:r>
      <w:r w:rsidR="00466A2F" w:rsidRPr="009F4240">
        <w:rPr>
          <w:rFonts w:asciiTheme="minorHAnsi" w:hAnsiTheme="minorHAnsi"/>
          <w:bCs/>
          <w:lang w:val="en-GB"/>
        </w:rPr>
        <w:t xml:space="preserve">the economic evaluations were based on a clinical comparison with vorinostat that was unreliable due to differences between the trial populations. </w:t>
      </w:r>
      <w:r w:rsidR="00466A2F" w:rsidRPr="009F4240">
        <w:t xml:space="preserve">The comparison with methotrexate was considered more reliable as it was based on the results of a </w:t>
      </w:r>
      <w:r w:rsidR="00D43B3F">
        <w:t>RCT</w:t>
      </w:r>
      <w:r w:rsidR="00466A2F" w:rsidRPr="009F4240">
        <w:t xml:space="preserve">; however the comparison with methotrexate was not applicable to patients with the SS or LyP subtypes. </w:t>
      </w:r>
      <w:r w:rsidR="00466A2F" w:rsidRPr="009F4240">
        <w:rPr>
          <w:rFonts w:asciiTheme="minorHAnsi" w:hAnsiTheme="minorHAnsi"/>
          <w:bCs/>
          <w:lang w:val="en-GB"/>
        </w:rPr>
        <w:t xml:space="preserve">In addition </w:t>
      </w:r>
      <w:r w:rsidRPr="009F4240">
        <w:rPr>
          <w:rFonts w:asciiTheme="minorHAnsi" w:hAnsiTheme="minorHAnsi"/>
          <w:bCs/>
          <w:lang w:val="en-GB"/>
        </w:rPr>
        <w:t>t</w:t>
      </w:r>
      <w:r w:rsidRPr="009F4240">
        <w:t xml:space="preserve">he </w:t>
      </w:r>
      <w:r w:rsidR="00470B00">
        <w:t xml:space="preserve">PBAC considered that the </w:t>
      </w:r>
      <w:r w:rsidRPr="009F4240">
        <w:t xml:space="preserve">economic evaluations </w:t>
      </w:r>
      <w:r w:rsidR="00466A2F" w:rsidRPr="009F4240">
        <w:t xml:space="preserve">did not fully capture the benefits and harms of brentuximab vedotin and the comparators, specifically: </w:t>
      </w:r>
    </w:p>
    <w:p w:rsidR="00466A2F" w:rsidRPr="009F4240" w:rsidRDefault="00712A94" w:rsidP="00466A2F">
      <w:pPr>
        <w:pStyle w:val="Bulletpoints"/>
        <w:ind w:left="1020" w:hanging="340"/>
        <w:rPr>
          <w:rFonts w:asciiTheme="minorHAnsi" w:hAnsiTheme="minorHAnsi"/>
          <w:bCs/>
          <w:lang w:val="en-GB"/>
        </w:rPr>
      </w:pPr>
      <w:r w:rsidRPr="009F4240">
        <w:t>The cost per responder analyses did not capture the length of response wh</w:t>
      </w:r>
      <w:r w:rsidR="00466A2F" w:rsidRPr="009F4240">
        <w:t>ich may be relevant to patients;</w:t>
      </w:r>
      <w:r w:rsidRPr="009F4240">
        <w:t xml:space="preserve"> </w:t>
      </w:r>
    </w:p>
    <w:p w:rsidR="00466A2F" w:rsidRPr="009F4240" w:rsidRDefault="00712A94" w:rsidP="00466A2F">
      <w:pPr>
        <w:pStyle w:val="Bulletpoints"/>
        <w:ind w:left="1020" w:hanging="340"/>
        <w:rPr>
          <w:rFonts w:asciiTheme="minorHAnsi" w:hAnsiTheme="minorHAnsi"/>
          <w:bCs/>
          <w:lang w:val="en-GB"/>
        </w:rPr>
      </w:pPr>
      <w:r w:rsidRPr="009F4240">
        <w:t>The cost-utility analyses were based on PFS; in CTCL, patients can be progression-free and not ha</w:t>
      </w:r>
      <w:r w:rsidR="00466A2F" w:rsidRPr="009F4240">
        <w:t>ve a skin response to treatment; and</w:t>
      </w:r>
      <w:r w:rsidRPr="009F4240">
        <w:t xml:space="preserve"> </w:t>
      </w:r>
    </w:p>
    <w:p w:rsidR="00712A94" w:rsidRPr="009F4240" w:rsidRDefault="00712A94" w:rsidP="00C90D29">
      <w:pPr>
        <w:pStyle w:val="Bulletpoints"/>
        <w:spacing w:after="120"/>
        <w:ind w:left="1020" w:hanging="340"/>
        <w:rPr>
          <w:rFonts w:asciiTheme="minorHAnsi" w:hAnsiTheme="minorHAnsi"/>
          <w:bCs/>
          <w:lang w:val="en-GB"/>
        </w:rPr>
      </w:pPr>
      <w:r w:rsidRPr="009F4240">
        <w:t xml:space="preserve">There were no costs or </w:t>
      </w:r>
      <w:proofErr w:type="spellStart"/>
      <w:r w:rsidRPr="009F4240">
        <w:t>disutilities</w:t>
      </w:r>
      <w:proofErr w:type="spellEnd"/>
      <w:r w:rsidRPr="009F4240">
        <w:t xml:space="preserve"> associated with the </w:t>
      </w:r>
      <w:r w:rsidR="00470B00">
        <w:t>AE</w:t>
      </w:r>
      <w:r w:rsidRPr="009F4240">
        <w:t>s due to brentuximab vedotin and vorinostat treatment</w:t>
      </w:r>
      <w:r w:rsidR="00466A2F" w:rsidRPr="009F4240">
        <w:t>.</w:t>
      </w:r>
    </w:p>
    <w:p w:rsidR="008C0D31" w:rsidRPr="009F4240" w:rsidRDefault="00236F07" w:rsidP="00DA29FB">
      <w:pPr>
        <w:pStyle w:val="ListParagraph"/>
        <w:keepNext/>
        <w:widowControl/>
        <w:numPr>
          <w:ilvl w:val="1"/>
          <w:numId w:val="3"/>
        </w:numPr>
      </w:pPr>
      <w:r>
        <w:rPr>
          <w:rFonts w:asciiTheme="minorHAnsi" w:hAnsiTheme="minorHAnsi"/>
          <w:bCs/>
          <w:lang w:val="en-GB"/>
        </w:rPr>
        <w:t>For the comparison of brentuximab vedotin with methotrexate, the</w:t>
      </w:r>
      <w:r w:rsidR="00C90D29" w:rsidRPr="009F4240">
        <w:rPr>
          <w:rFonts w:asciiTheme="minorHAnsi" w:hAnsiTheme="minorHAnsi"/>
          <w:bCs/>
          <w:lang w:val="en-GB"/>
        </w:rPr>
        <w:t xml:space="preserve"> submission presented an incremental cost per responder (ORR) of $</w:t>
      </w:r>
      <w:r w:rsidR="005C178A">
        <w:rPr>
          <w:rFonts w:asciiTheme="minorHAnsi" w:hAnsiTheme="minorHAnsi"/>
          <w:bCs/>
          <w:lang w:val="en-GB"/>
        </w:rPr>
        <w:t>105,000 - $200,000</w:t>
      </w:r>
      <w:r w:rsidR="00C90D29" w:rsidRPr="009F4240">
        <w:rPr>
          <w:rFonts w:asciiTheme="minorHAnsi" w:hAnsiTheme="minorHAnsi"/>
          <w:bCs/>
          <w:lang w:val="en-GB"/>
        </w:rPr>
        <w:t xml:space="preserve"> </w:t>
      </w:r>
      <w:r>
        <w:rPr>
          <w:rFonts w:asciiTheme="minorHAnsi" w:hAnsiTheme="minorHAnsi"/>
          <w:bCs/>
          <w:lang w:val="en-GB"/>
        </w:rPr>
        <w:t xml:space="preserve">and an </w:t>
      </w:r>
      <w:r w:rsidR="00C90D29" w:rsidRPr="009F4240">
        <w:rPr>
          <w:rFonts w:asciiTheme="minorHAnsi" w:hAnsiTheme="minorHAnsi"/>
          <w:bCs/>
          <w:lang w:val="en-GB"/>
        </w:rPr>
        <w:t xml:space="preserve">ICER of </w:t>
      </w:r>
      <w:r w:rsidR="005C178A">
        <w:rPr>
          <w:rFonts w:asciiTheme="minorHAnsi" w:hAnsiTheme="minorHAnsi"/>
          <w:bCs/>
          <w:lang w:val="en-GB"/>
        </w:rPr>
        <w:t xml:space="preserve">more than </w:t>
      </w:r>
      <w:r w:rsidR="00C90D29" w:rsidRPr="009F4240">
        <w:rPr>
          <w:rFonts w:asciiTheme="minorHAnsi" w:hAnsiTheme="minorHAnsi"/>
          <w:bCs/>
          <w:lang w:val="en-GB"/>
        </w:rPr>
        <w:t>$</w:t>
      </w:r>
      <w:r w:rsidR="005C178A">
        <w:rPr>
          <w:rFonts w:asciiTheme="minorHAnsi" w:hAnsiTheme="minorHAnsi"/>
          <w:bCs/>
          <w:lang w:val="en-GB"/>
        </w:rPr>
        <w:t>200,000</w:t>
      </w:r>
      <w:r w:rsidR="00C90D29" w:rsidRPr="009F4240">
        <w:rPr>
          <w:rFonts w:asciiTheme="minorHAnsi" w:hAnsiTheme="minorHAnsi"/>
          <w:bCs/>
          <w:lang w:val="en-GB"/>
        </w:rPr>
        <w:t xml:space="preserve">/QALY. The PBAC </w:t>
      </w:r>
      <w:r>
        <w:rPr>
          <w:rFonts w:asciiTheme="minorHAnsi" w:hAnsiTheme="minorHAnsi"/>
          <w:bCs/>
          <w:lang w:val="en-GB"/>
        </w:rPr>
        <w:t>considered</w:t>
      </w:r>
      <w:r w:rsidRPr="009F4240">
        <w:rPr>
          <w:rFonts w:asciiTheme="minorHAnsi" w:hAnsiTheme="minorHAnsi"/>
          <w:bCs/>
          <w:lang w:val="en-GB"/>
        </w:rPr>
        <w:t xml:space="preserve"> </w:t>
      </w:r>
      <w:r w:rsidR="00C90D29" w:rsidRPr="009F4240">
        <w:rPr>
          <w:rFonts w:asciiTheme="minorHAnsi" w:hAnsiTheme="minorHAnsi"/>
          <w:bCs/>
          <w:lang w:val="en-GB"/>
        </w:rPr>
        <w:t>that the ICER presented w</w:t>
      </w:r>
      <w:r>
        <w:rPr>
          <w:rFonts w:asciiTheme="minorHAnsi" w:hAnsiTheme="minorHAnsi"/>
          <w:bCs/>
          <w:lang w:val="en-GB"/>
        </w:rPr>
        <w:t>as</w:t>
      </w:r>
      <w:r w:rsidR="00C90D29" w:rsidRPr="009F4240">
        <w:rPr>
          <w:rFonts w:asciiTheme="minorHAnsi" w:hAnsiTheme="minorHAnsi"/>
          <w:bCs/>
          <w:lang w:val="en-GB"/>
        </w:rPr>
        <w:t xml:space="preserve"> unacceptably high based on previous PBAC decisions, even in the context of difficult to treat and relatively rare diseases.</w:t>
      </w:r>
      <w:r>
        <w:rPr>
          <w:rFonts w:asciiTheme="minorHAnsi" w:hAnsiTheme="minorHAnsi"/>
          <w:bCs/>
          <w:lang w:val="en-GB"/>
        </w:rPr>
        <w:t xml:space="preserve"> </w:t>
      </w:r>
      <w:r w:rsidR="00DA29FB" w:rsidRPr="00932A94">
        <w:t xml:space="preserve">The PBAC noted that in the pre-PBAC response the sponsor offered a </w:t>
      </w:r>
      <w:r w:rsidR="00DA29FB">
        <w:t>reduced</w:t>
      </w:r>
      <w:r w:rsidR="00DA29FB" w:rsidRPr="00932A94">
        <w:t xml:space="preserve"> price of $</w:t>
      </w:r>
      <w:r w:rsidR="00F72571">
        <w:rPr>
          <w:noProof/>
          <w:color w:val="000000"/>
          <w:highlight w:val="black"/>
        </w:rPr>
        <w:t>'''''''''''</w:t>
      </w:r>
      <w:r w:rsidR="00DA29FB" w:rsidRPr="00932A94">
        <w:t xml:space="preserve"> per vial. The PBAC </w:t>
      </w:r>
      <w:r w:rsidR="00DA29FB">
        <w:lastRenderedPageBreak/>
        <w:t>considered</w:t>
      </w:r>
      <w:r w:rsidR="00DA29FB" w:rsidRPr="00932A94">
        <w:t xml:space="preserve"> that the revised ICER with the reduced price remained very high and uncertain.</w:t>
      </w:r>
    </w:p>
    <w:p w:rsidR="00C611A7" w:rsidRPr="009F4240" w:rsidRDefault="008C0D31" w:rsidP="00DA29FB">
      <w:pPr>
        <w:numPr>
          <w:ilvl w:val="1"/>
          <w:numId w:val="3"/>
        </w:numPr>
        <w:spacing w:after="120"/>
      </w:pPr>
      <w:r w:rsidRPr="009F4240">
        <w:t xml:space="preserve">The PBAC considered that overall the estimated budget impact was relatively low, due to the small number of patients eligible for treatment. </w:t>
      </w:r>
      <w:r w:rsidR="00831A73">
        <w:t>However, t</w:t>
      </w:r>
      <w:r w:rsidRPr="009F4240">
        <w:t xml:space="preserve">he PBAC considered </w:t>
      </w:r>
      <w:r w:rsidR="008B71C4">
        <w:t>the estimates to be uncertain as</w:t>
      </w:r>
      <w:r w:rsidRPr="009F4240">
        <w:t xml:space="preserve"> there was a substantial risk of use of brentuximab vedotin outside the restriction particularly for use as a first line therapy.</w:t>
      </w:r>
    </w:p>
    <w:p w:rsidR="00B73E6D" w:rsidRPr="009F4240" w:rsidRDefault="008B71C4" w:rsidP="00DA29FB">
      <w:pPr>
        <w:numPr>
          <w:ilvl w:val="1"/>
          <w:numId w:val="3"/>
        </w:numPr>
        <w:spacing w:after="120"/>
      </w:pPr>
      <w:r>
        <w:t xml:space="preserve">The PBAC noted the RSA </w:t>
      </w:r>
      <w:r w:rsidR="00831A73">
        <w:t xml:space="preserve">proposed by the sponsor in the pre-PBAC response. </w:t>
      </w:r>
      <w:r w:rsidR="00932A94">
        <w:t>The PBAC considered that a</w:t>
      </w:r>
      <w:r w:rsidR="00932A94" w:rsidRPr="0022357A">
        <w:t xml:space="preserve"> RSA with a substantial rebate above an upper expenditure cap would be required to manage </w:t>
      </w:r>
      <w:r w:rsidR="00831A73">
        <w:t>the</w:t>
      </w:r>
      <w:r w:rsidR="00831A73" w:rsidRPr="0022357A">
        <w:t xml:space="preserve"> </w:t>
      </w:r>
      <w:r w:rsidR="00932A94" w:rsidRPr="0022357A">
        <w:t>risks associated with potential use outside the restriction, a decrease in the threshold to commence systemic therapy, and an unclear definition of CD30 positivity.</w:t>
      </w:r>
      <w:r w:rsidR="00932A94" w:rsidRPr="009F4240">
        <w:t xml:space="preserve"> </w:t>
      </w:r>
    </w:p>
    <w:p w:rsidR="00DB32CB" w:rsidRDefault="00F947EE" w:rsidP="00F947EE">
      <w:pPr>
        <w:numPr>
          <w:ilvl w:val="1"/>
          <w:numId w:val="3"/>
        </w:numPr>
        <w:spacing w:after="120"/>
        <w:rPr>
          <w:rFonts w:asciiTheme="minorHAnsi" w:hAnsiTheme="minorHAnsi"/>
          <w:bCs/>
        </w:rPr>
      </w:pPr>
      <w:r w:rsidRPr="00DA29FB">
        <w:t xml:space="preserve">The PBAC acknowledged the rarity of CTCL and the difficulty of conducting phase III trials in the </w:t>
      </w:r>
      <w:r w:rsidR="002D5672" w:rsidRPr="00DA29FB">
        <w:t>heterogeneous</w:t>
      </w:r>
      <w:r w:rsidRPr="009F4240">
        <w:rPr>
          <w:rFonts w:asciiTheme="minorHAnsi" w:hAnsiTheme="minorHAnsi"/>
          <w:bCs/>
          <w:lang w:val="en-GB"/>
        </w:rPr>
        <w:t xml:space="preserve"> subgroups of CTCL but considered that the naïve comparison of brentuximab vedotin and vorinostat did not provide good evidence for the cost-effectiveness of brentuximab vedotin compared with vorinostat. The PBAC noted that the comparison with methotrexate was based on more robust data but based on this comparison brentuximab vedotin had an unacceptably high ICER. </w:t>
      </w:r>
      <w:r w:rsidR="0057307E" w:rsidRPr="009F4240">
        <w:rPr>
          <w:rFonts w:asciiTheme="minorHAnsi" w:hAnsiTheme="minorHAnsi"/>
          <w:bCs/>
        </w:rPr>
        <w:t>Nevertheless, in th</w:t>
      </w:r>
      <w:r w:rsidR="00932A94">
        <w:rPr>
          <w:rFonts w:asciiTheme="minorHAnsi" w:hAnsiTheme="minorHAnsi"/>
          <w:bCs/>
        </w:rPr>
        <w:t>is</w:t>
      </w:r>
      <w:r w:rsidR="0057307E" w:rsidRPr="009F4240">
        <w:rPr>
          <w:rFonts w:asciiTheme="minorHAnsi" w:hAnsiTheme="minorHAnsi"/>
          <w:bCs/>
        </w:rPr>
        <w:t xml:space="preserve"> uncommon and incurable disease</w:t>
      </w:r>
      <w:r w:rsidR="008704F7">
        <w:rPr>
          <w:rFonts w:asciiTheme="minorHAnsi" w:hAnsiTheme="minorHAnsi"/>
          <w:bCs/>
        </w:rPr>
        <w:t xml:space="preserve"> </w:t>
      </w:r>
      <w:r w:rsidR="0057307E" w:rsidRPr="009F4240">
        <w:rPr>
          <w:rFonts w:asciiTheme="minorHAnsi" w:hAnsiTheme="minorHAnsi"/>
          <w:bCs/>
        </w:rPr>
        <w:t xml:space="preserve">where there is </w:t>
      </w:r>
      <w:r w:rsidR="008704F7">
        <w:rPr>
          <w:rFonts w:asciiTheme="minorHAnsi" w:hAnsiTheme="minorHAnsi"/>
          <w:bCs/>
        </w:rPr>
        <w:t xml:space="preserve">a </w:t>
      </w:r>
      <w:r w:rsidR="0057307E" w:rsidRPr="009F4240">
        <w:rPr>
          <w:rFonts w:asciiTheme="minorHAnsi" w:hAnsiTheme="minorHAnsi"/>
          <w:bCs/>
        </w:rPr>
        <w:t>high unmet need</w:t>
      </w:r>
      <w:r w:rsidR="008704F7" w:rsidRPr="008704F7">
        <w:rPr>
          <w:rFonts w:asciiTheme="minorHAnsi" w:hAnsiTheme="minorHAnsi"/>
          <w:bCs/>
        </w:rPr>
        <w:t xml:space="preserve"> </w:t>
      </w:r>
      <w:r w:rsidR="008704F7">
        <w:rPr>
          <w:rFonts w:asciiTheme="minorHAnsi" w:hAnsiTheme="minorHAnsi"/>
          <w:bCs/>
        </w:rPr>
        <w:t>and significant impacts on patient quality of life</w:t>
      </w:r>
      <w:r w:rsidR="0057307E" w:rsidRPr="009F4240">
        <w:rPr>
          <w:rFonts w:asciiTheme="minorHAnsi" w:hAnsiTheme="minorHAnsi"/>
          <w:bCs/>
        </w:rPr>
        <w:t xml:space="preserve">, </w:t>
      </w:r>
      <w:r w:rsidRPr="009F4240">
        <w:rPr>
          <w:rFonts w:asciiTheme="minorHAnsi" w:hAnsiTheme="minorHAnsi"/>
          <w:bCs/>
        </w:rPr>
        <w:t>the PBAC considered that brentuximab vedotin</w:t>
      </w:r>
      <w:r w:rsidR="0057307E" w:rsidRPr="009F4240">
        <w:rPr>
          <w:rFonts w:asciiTheme="minorHAnsi" w:hAnsiTheme="minorHAnsi"/>
          <w:bCs/>
        </w:rPr>
        <w:t xml:space="preserve"> appears effective for some time in patients with proven CD30</w:t>
      </w:r>
      <w:r w:rsidR="00E52147">
        <w:rPr>
          <w:rFonts w:asciiTheme="minorHAnsi" w:hAnsiTheme="minorHAnsi"/>
          <w:bCs/>
        </w:rPr>
        <w:t xml:space="preserve"> positive</w:t>
      </w:r>
      <w:r w:rsidR="0057307E" w:rsidRPr="009F4240">
        <w:rPr>
          <w:rFonts w:asciiTheme="minorHAnsi" w:hAnsiTheme="minorHAnsi"/>
          <w:bCs/>
        </w:rPr>
        <w:t xml:space="preserve"> disease and more effective than </w:t>
      </w:r>
      <w:r w:rsidR="002D5672" w:rsidRPr="009F4240">
        <w:rPr>
          <w:rFonts w:asciiTheme="minorHAnsi" w:hAnsiTheme="minorHAnsi"/>
          <w:bCs/>
        </w:rPr>
        <w:t>methotrexate</w:t>
      </w:r>
      <w:r w:rsidR="0057307E" w:rsidRPr="009F4240">
        <w:rPr>
          <w:rFonts w:asciiTheme="minorHAnsi" w:hAnsiTheme="minorHAnsi"/>
          <w:bCs/>
        </w:rPr>
        <w:t xml:space="preserve"> in p</w:t>
      </w:r>
      <w:r w:rsidRPr="009F4240">
        <w:rPr>
          <w:rFonts w:asciiTheme="minorHAnsi" w:hAnsiTheme="minorHAnsi"/>
          <w:bCs/>
        </w:rPr>
        <w:t>a</w:t>
      </w:r>
      <w:r w:rsidR="0057307E" w:rsidRPr="009F4240">
        <w:rPr>
          <w:rFonts w:asciiTheme="minorHAnsi" w:hAnsiTheme="minorHAnsi"/>
          <w:bCs/>
        </w:rPr>
        <w:t>t</w:t>
      </w:r>
      <w:r w:rsidRPr="009F4240">
        <w:rPr>
          <w:rFonts w:asciiTheme="minorHAnsi" w:hAnsiTheme="minorHAnsi"/>
          <w:bCs/>
        </w:rPr>
        <w:t>ient</w:t>
      </w:r>
      <w:r w:rsidR="0057307E" w:rsidRPr="009F4240">
        <w:rPr>
          <w:rFonts w:asciiTheme="minorHAnsi" w:hAnsiTheme="minorHAnsi"/>
          <w:bCs/>
        </w:rPr>
        <w:t xml:space="preserve">s </w:t>
      </w:r>
      <w:r w:rsidRPr="009F4240">
        <w:rPr>
          <w:rFonts w:asciiTheme="minorHAnsi" w:hAnsiTheme="minorHAnsi"/>
          <w:bCs/>
        </w:rPr>
        <w:t>with</w:t>
      </w:r>
      <w:r w:rsidR="0057307E" w:rsidRPr="009F4240">
        <w:rPr>
          <w:rFonts w:asciiTheme="minorHAnsi" w:hAnsiTheme="minorHAnsi"/>
          <w:bCs/>
        </w:rPr>
        <w:t xml:space="preserve"> MF. As such, and consistent with the approach taken with vorinostat, </w:t>
      </w:r>
      <w:r w:rsidR="000F3CEB">
        <w:rPr>
          <w:rFonts w:asciiTheme="minorHAnsi" w:hAnsiTheme="minorHAnsi"/>
          <w:bCs/>
        </w:rPr>
        <w:t xml:space="preserve">the PBAC considered </w:t>
      </w:r>
      <w:r w:rsidR="0057307E" w:rsidRPr="009F4240">
        <w:rPr>
          <w:rFonts w:asciiTheme="minorHAnsi" w:hAnsiTheme="minorHAnsi"/>
          <w:bCs/>
        </w:rPr>
        <w:t>a cost per responder assessment of cost-effectiveness may be appropriate</w:t>
      </w:r>
      <w:r w:rsidR="00E6766D">
        <w:rPr>
          <w:rFonts w:asciiTheme="minorHAnsi" w:hAnsiTheme="minorHAnsi"/>
          <w:bCs/>
        </w:rPr>
        <w:t xml:space="preserve"> in any future submission</w:t>
      </w:r>
      <w:r w:rsidR="0057307E" w:rsidRPr="009F4240">
        <w:rPr>
          <w:rFonts w:asciiTheme="minorHAnsi" w:hAnsiTheme="minorHAnsi"/>
          <w:bCs/>
        </w:rPr>
        <w:t xml:space="preserve">. </w:t>
      </w:r>
      <w:r w:rsidRPr="009F4240">
        <w:rPr>
          <w:rFonts w:asciiTheme="minorHAnsi" w:hAnsiTheme="minorHAnsi"/>
          <w:bCs/>
        </w:rPr>
        <w:t xml:space="preserve">The PBAC noted that a considerable </w:t>
      </w:r>
      <w:r w:rsidR="00B73E6D" w:rsidRPr="009F4240">
        <w:rPr>
          <w:rFonts w:asciiTheme="minorHAnsi" w:hAnsiTheme="minorHAnsi"/>
          <w:bCs/>
        </w:rPr>
        <w:t>price</w:t>
      </w:r>
      <w:r w:rsidRPr="009F4240">
        <w:rPr>
          <w:rFonts w:asciiTheme="minorHAnsi" w:hAnsiTheme="minorHAnsi"/>
          <w:bCs/>
        </w:rPr>
        <w:t xml:space="preserve"> reduction would be required in order to show that brentuximab vedotin is cost-effective compared with methotrexate.</w:t>
      </w:r>
    </w:p>
    <w:p w:rsidR="00B73E6D" w:rsidRPr="004527CE" w:rsidRDefault="00B73E6D" w:rsidP="004527CE">
      <w:pPr>
        <w:numPr>
          <w:ilvl w:val="1"/>
          <w:numId w:val="3"/>
        </w:numPr>
        <w:spacing w:after="120"/>
        <w:rPr>
          <w:rFonts w:asciiTheme="minorHAnsi" w:hAnsiTheme="minorHAnsi"/>
          <w:bCs/>
          <w:lang w:val="en-GB"/>
        </w:rPr>
      </w:pPr>
      <w:r w:rsidRPr="004527CE">
        <w:rPr>
          <w:rFonts w:asciiTheme="minorHAnsi" w:hAnsiTheme="minorHAnsi"/>
          <w:bCs/>
          <w:lang w:val="en-GB"/>
        </w:rPr>
        <w:t>Alternatively</w:t>
      </w:r>
      <w:r w:rsidR="000F3CEB">
        <w:rPr>
          <w:rFonts w:asciiTheme="minorHAnsi" w:hAnsiTheme="minorHAnsi"/>
          <w:bCs/>
          <w:lang w:val="en-GB"/>
        </w:rPr>
        <w:t>,</w:t>
      </w:r>
      <w:r w:rsidRPr="004527CE">
        <w:rPr>
          <w:rFonts w:asciiTheme="minorHAnsi" w:hAnsiTheme="minorHAnsi"/>
          <w:bCs/>
          <w:lang w:val="en-GB"/>
        </w:rPr>
        <w:t xml:space="preserve"> </w:t>
      </w:r>
      <w:r w:rsidR="004527CE">
        <w:rPr>
          <w:rFonts w:asciiTheme="minorHAnsi" w:hAnsiTheme="minorHAnsi"/>
          <w:bCs/>
          <w:lang w:val="en-GB"/>
        </w:rPr>
        <w:t>for a comparison with vorinostat</w:t>
      </w:r>
      <w:r w:rsidR="000F3CEB">
        <w:rPr>
          <w:rFonts w:asciiTheme="minorHAnsi" w:hAnsiTheme="minorHAnsi"/>
          <w:bCs/>
          <w:lang w:val="en-GB"/>
        </w:rPr>
        <w:t>, the PBAC proposed that</w:t>
      </w:r>
      <w:r w:rsidR="00E6766D">
        <w:rPr>
          <w:rFonts w:asciiTheme="minorHAnsi" w:hAnsiTheme="minorHAnsi"/>
          <w:bCs/>
          <w:lang w:val="en-GB"/>
        </w:rPr>
        <w:t xml:space="preserve"> any future </w:t>
      </w:r>
      <w:r w:rsidR="00F05EB1">
        <w:rPr>
          <w:rFonts w:asciiTheme="minorHAnsi" w:hAnsiTheme="minorHAnsi"/>
          <w:bCs/>
          <w:lang w:val="en-GB"/>
        </w:rPr>
        <w:t>re</w:t>
      </w:r>
      <w:r w:rsidR="00E6766D">
        <w:rPr>
          <w:rFonts w:asciiTheme="minorHAnsi" w:hAnsiTheme="minorHAnsi"/>
          <w:bCs/>
          <w:lang w:val="en-GB"/>
        </w:rPr>
        <w:t>submission would need to provide</w:t>
      </w:r>
      <w:r w:rsidR="004527CE">
        <w:rPr>
          <w:rFonts w:asciiTheme="minorHAnsi" w:hAnsiTheme="minorHAnsi"/>
          <w:bCs/>
          <w:lang w:val="en-GB"/>
        </w:rPr>
        <w:t xml:space="preserve"> </w:t>
      </w:r>
      <w:r w:rsidRPr="004527CE">
        <w:rPr>
          <w:rFonts w:asciiTheme="minorHAnsi" w:hAnsiTheme="minorHAnsi"/>
          <w:bCs/>
          <w:lang w:val="en-GB"/>
        </w:rPr>
        <w:t>addi</w:t>
      </w:r>
      <w:r w:rsidR="004527CE">
        <w:rPr>
          <w:rFonts w:asciiTheme="minorHAnsi" w:hAnsiTheme="minorHAnsi"/>
          <w:bCs/>
          <w:lang w:val="en-GB"/>
        </w:rPr>
        <w:t>ti</w:t>
      </w:r>
      <w:r w:rsidRPr="004527CE">
        <w:rPr>
          <w:rFonts w:asciiTheme="minorHAnsi" w:hAnsiTheme="minorHAnsi"/>
          <w:bCs/>
          <w:lang w:val="en-GB"/>
        </w:rPr>
        <w:t xml:space="preserve">onal data to address several of the major concerns raised </w:t>
      </w:r>
      <w:r w:rsidR="00E6766D">
        <w:rPr>
          <w:rFonts w:asciiTheme="minorHAnsi" w:hAnsiTheme="minorHAnsi"/>
          <w:bCs/>
          <w:lang w:val="en-GB"/>
        </w:rPr>
        <w:t xml:space="preserve">by the PBAC </w:t>
      </w:r>
      <w:r w:rsidRPr="004527CE">
        <w:rPr>
          <w:rFonts w:asciiTheme="minorHAnsi" w:hAnsiTheme="minorHAnsi"/>
          <w:bCs/>
          <w:lang w:val="en-GB"/>
        </w:rPr>
        <w:t xml:space="preserve">that </w:t>
      </w:r>
      <w:r w:rsidR="006B7C78">
        <w:rPr>
          <w:rFonts w:asciiTheme="minorHAnsi" w:hAnsiTheme="minorHAnsi"/>
          <w:bCs/>
          <w:lang w:val="en-GB"/>
        </w:rPr>
        <w:t>made the naïve comparison with vorinostat problematic</w:t>
      </w:r>
      <w:r w:rsidRPr="004527CE">
        <w:rPr>
          <w:rFonts w:asciiTheme="minorHAnsi" w:hAnsiTheme="minorHAnsi"/>
          <w:bCs/>
          <w:lang w:val="en-GB"/>
        </w:rPr>
        <w:t xml:space="preserve">. </w:t>
      </w:r>
      <w:r w:rsidR="008333E0">
        <w:rPr>
          <w:rFonts w:asciiTheme="minorHAnsi" w:hAnsiTheme="minorHAnsi"/>
          <w:bCs/>
          <w:lang w:val="en-GB"/>
        </w:rPr>
        <w:t>The data required</w:t>
      </w:r>
      <w:r w:rsidRPr="004527CE">
        <w:rPr>
          <w:rFonts w:asciiTheme="minorHAnsi" w:hAnsiTheme="minorHAnsi"/>
          <w:bCs/>
          <w:lang w:val="en-GB"/>
        </w:rPr>
        <w:t xml:space="preserve"> </w:t>
      </w:r>
      <w:r w:rsidR="008333E0">
        <w:rPr>
          <w:rFonts w:asciiTheme="minorHAnsi" w:hAnsiTheme="minorHAnsi"/>
          <w:bCs/>
          <w:lang w:val="en-GB"/>
        </w:rPr>
        <w:t>include</w:t>
      </w:r>
      <w:r w:rsidRPr="004527CE">
        <w:rPr>
          <w:rFonts w:asciiTheme="minorHAnsi" w:hAnsiTheme="minorHAnsi"/>
          <w:bCs/>
          <w:lang w:val="en-GB"/>
        </w:rPr>
        <w:t xml:space="preserve">, but </w:t>
      </w:r>
      <w:r w:rsidR="0087273D">
        <w:rPr>
          <w:rFonts w:asciiTheme="minorHAnsi" w:hAnsiTheme="minorHAnsi"/>
          <w:bCs/>
          <w:lang w:val="en-GB"/>
        </w:rPr>
        <w:t xml:space="preserve">are </w:t>
      </w:r>
      <w:r w:rsidRPr="004527CE">
        <w:rPr>
          <w:rFonts w:asciiTheme="minorHAnsi" w:hAnsiTheme="minorHAnsi"/>
          <w:bCs/>
          <w:lang w:val="en-GB"/>
        </w:rPr>
        <w:t>not necessarily limited to:</w:t>
      </w:r>
    </w:p>
    <w:p w:rsidR="00B73E6D" w:rsidRPr="004527CE" w:rsidRDefault="00B73E6D" w:rsidP="004527CE">
      <w:pPr>
        <w:pStyle w:val="Bulletpoints"/>
        <w:ind w:left="1020" w:hanging="340"/>
      </w:pPr>
      <w:r w:rsidRPr="004527CE">
        <w:t>response and duration of response (or TTNT) in CD30</w:t>
      </w:r>
      <w:r w:rsidR="00E52147">
        <w:t xml:space="preserve"> positive</w:t>
      </w:r>
      <w:r w:rsidRPr="004527CE">
        <w:t xml:space="preserve"> MF or SS with vorinostat;</w:t>
      </w:r>
    </w:p>
    <w:p w:rsidR="00B73E6D" w:rsidRPr="004527CE" w:rsidRDefault="00B73E6D" w:rsidP="004527CE">
      <w:pPr>
        <w:pStyle w:val="Bulletpoints"/>
        <w:ind w:left="1020" w:hanging="340"/>
      </w:pPr>
      <w:r w:rsidRPr="004527CE">
        <w:t>relatively contemporary Australian data on vorinostat in MF or SS</w:t>
      </w:r>
      <w:r w:rsidR="006B7C78">
        <w:t>; and</w:t>
      </w:r>
    </w:p>
    <w:p w:rsidR="00B73E6D" w:rsidRPr="004527CE" w:rsidRDefault="004527CE" w:rsidP="009F52B3">
      <w:pPr>
        <w:pStyle w:val="Bulletpoints"/>
        <w:spacing w:after="120"/>
        <w:ind w:left="1020" w:hanging="340"/>
      </w:pPr>
      <w:proofErr w:type="gramStart"/>
      <w:r>
        <w:t>duration</w:t>
      </w:r>
      <w:proofErr w:type="gramEnd"/>
      <w:r>
        <w:t xml:space="preserve"> of response data for brentuximab vedotin</w:t>
      </w:r>
      <w:r w:rsidR="00B73E6D" w:rsidRPr="004527CE">
        <w:t xml:space="preserve"> in </w:t>
      </w:r>
      <w:r>
        <w:t xml:space="preserve">the </w:t>
      </w:r>
      <w:r w:rsidR="00B73E6D" w:rsidRPr="004527CE">
        <w:t xml:space="preserve">MF subgroup of </w:t>
      </w:r>
      <w:r>
        <w:t xml:space="preserve">the </w:t>
      </w:r>
      <w:r w:rsidR="008333E0">
        <w:t xml:space="preserve">ALCANZA </w:t>
      </w:r>
      <w:r w:rsidR="00B73E6D" w:rsidRPr="004527CE">
        <w:t>trial</w:t>
      </w:r>
      <w:r w:rsidR="008333E0">
        <w:t>.</w:t>
      </w:r>
    </w:p>
    <w:p w:rsidR="00B73E6D" w:rsidRPr="009F52B3" w:rsidRDefault="00E6766D" w:rsidP="009F52B3">
      <w:pPr>
        <w:spacing w:after="120"/>
        <w:ind w:left="680"/>
        <w:rPr>
          <w:rFonts w:asciiTheme="minorHAnsi" w:hAnsiTheme="minorHAnsi"/>
          <w:bCs/>
          <w:lang w:val="en-GB"/>
        </w:rPr>
      </w:pPr>
      <w:r>
        <w:rPr>
          <w:rFonts w:asciiTheme="minorHAnsi" w:hAnsiTheme="minorHAnsi"/>
          <w:bCs/>
          <w:lang w:val="en-GB"/>
        </w:rPr>
        <w:t>The PBAC considered that i</w:t>
      </w:r>
      <w:r w:rsidR="00B73E6D" w:rsidRPr="009F52B3">
        <w:rPr>
          <w:rFonts w:asciiTheme="minorHAnsi" w:hAnsiTheme="minorHAnsi"/>
          <w:bCs/>
          <w:lang w:val="en-GB"/>
        </w:rPr>
        <w:t xml:space="preserve">solating the comparison to MF, resolving issues around whether CD30 positivity is a response-modifier for vorinostat, and focussing on duration of response (rather than simply PFS) may increase robustness </w:t>
      </w:r>
      <w:r w:rsidR="009F52B3">
        <w:rPr>
          <w:rFonts w:asciiTheme="minorHAnsi" w:hAnsiTheme="minorHAnsi"/>
          <w:bCs/>
          <w:lang w:val="en-GB"/>
        </w:rPr>
        <w:t>sufficiently to</w:t>
      </w:r>
      <w:r w:rsidR="009F52B3" w:rsidRPr="009F52B3">
        <w:rPr>
          <w:rFonts w:asciiTheme="minorHAnsi" w:hAnsiTheme="minorHAnsi"/>
          <w:bCs/>
          <w:lang w:val="en-GB"/>
        </w:rPr>
        <w:t xml:space="preserve"> </w:t>
      </w:r>
      <w:r w:rsidR="00B73E6D" w:rsidRPr="009F52B3">
        <w:rPr>
          <w:rFonts w:asciiTheme="minorHAnsi" w:hAnsiTheme="minorHAnsi"/>
          <w:bCs/>
          <w:lang w:val="en-GB"/>
        </w:rPr>
        <w:t xml:space="preserve">enable assessment of cost-effectiveness in this rare disease with major chronic </w:t>
      </w:r>
      <w:r w:rsidR="00B73E6D" w:rsidRPr="009F52B3">
        <w:rPr>
          <w:rFonts w:asciiTheme="minorHAnsi" w:hAnsiTheme="minorHAnsi"/>
          <w:bCs/>
          <w:lang w:val="en-GB"/>
        </w:rPr>
        <w:lastRenderedPageBreak/>
        <w:t>morbidity.</w:t>
      </w:r>
    </w:p>
    <w:p w:rsidR="0051635D" w:rsidRPr="000F6BE7" w:rsidRDefault="00C611A7" w:rsidP="000F6BE7">
      <w:pPr>
        <w:numPr>
          <w:ilvl w:val="1"/>
          <w:numId w:val="3"/>
        </w:numPr>
        <w:spacing w:after="120"/>
        <w:rPr>
          <w:rFonts w:asciiTheme="minorHAnsi" w:hAnsiTheme="minorHAnsi"/>
          <w:bCs/>
          <w:lang w:val="en-GB"/>
        </w:rPr>
      </w:pPr>
      <w:r w:rsidRPr="000F6BE7">
        <w:rPr>
          <w:rFonts w:asciiTheme="minorHAnsi" w:hAnsiTheme="minorHAnsi"/>
          <w:bCs/>
          <w:lang w:val="en-GB"/>
        </w:rPr>
        <w:t xml:space="preserve">The PBAC noted that this submission is eligible for an Independent Review. </w:t>
      </w:r>
    </w:p>
    <w:p w:rsidR="00C611A7" w:rsidRPr="000F6BE7" w:rsidRDefault="00C611A7" w:rsidP="00C611A7">
      <w:pPr>
        <w:spacing w:before="240"/>
        <w:rPr>
          <w:rFonts w:asciiTheme="minorHAnsi" w:hAnsiTheme="minorHAnsi"/>
          <w:b/>
          <w:bCs/>
          <w:lang w:val="en-GB"/>
        </w:rPr>
      </w:pPr>
      <w:r w:rsidRPr="000F6BE7">
        <w:rPr>
          <w:rFonts w:asciiTheme="minorHAnsi" w:hAnsiTheme="minorHAnsi"/>
          <w:b/>
          <w:bCs/>
          <w:lang w:val="en-GB"/>
        </w:rPr>
        <w:t>Outcome:</w:t>
      </w:r>
    </w:p>
    <w:p w:rsidR="000763AC" w:rsidRPr="00B33C05" w:rsidRDefault="00C611A7" w:rsidP="000763AC">
      <w:pPr>
        <w:rPr>
          <w:b/>
        </w:rPr>
      </w:pPr>
      <w:r w:rsidRPr="000F6BE7">
        <w:rPr>
          <w:rFonts w:asciiTheme="minorHAnsi" w:hAnsiTheme="minorHAnsi"/>
          <w:bCs/>
          <w:lang w:val="en-GB"/>
        </w:rPr>
        <w:t>Rejected</w:t>
      </w:r>
    </w:p>
    <w:p w:rsidR="000763AC" w:rsidRPr="0086362E" w:rsidRDefault="000763AC" w:rsidP="00DD207B">
      <w:pPr>
        <w:pStyle w:val="PBACHeading1"/>
      </w:pPr>
      <w:r>
        <w:t xml:space="preserve">Context for Decision </w:t>
      </w:r>
    </w:p>
    <w:p w:rsidR="000763AC" w:rsidRPr="00CC739A" w:rsidRDefault="000763AC" w:rsidP="000763AC">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763AC" w:rsidRPr="0086362E" w:rsidRDefault="000763AC" w:rsidP="00DD207B">
      <w:pPr>
        <w:pStyle w:val="PBACHeading1"/>
      </w:pPr>
      <w:r>
        <w:t xml:space="preserve">Sponsor’s Comment </w:t>
      </w:r>
    </w:p>
    <w:p w:rsidR="004E43B2" w:rsidRPr="00B1472E" w:rsidRDefault="00706A19" w:rsidP="000763AC">
      <w:pPr>
        <w:rPr>
          <w:rFonts w:asciiTheme="minorHAnsi" w:hAnsiTheme="minorHAnsi"/>
        </w:rPr>
      </w:pPr>
      <w:r w:rsidRPr="00312CEA">
        <w:rPr>
          <w:rFonts w:asciiTheme="minorHAnsi" w:hAnsiTheme="minorHAnsi"/>
        </w:rPr>
        <w:t>Although</w:t>
      </w:r>
      <w:r>
        <w:rPr>
          <w:rFonts w:asciiTheme="minorHAnsi" w:hAnsiTheme="minorHAnsi"/>
        </w:rPr>
        <w:t xml:space="preserve"> </w:t>
      </w:r>
      <w:r w:rsidRPr="00312CEA">
        <w:rPr>
          <w:rFonts w:asciiTheme="minorHAnsi" w:hAnsiTheme="minorHAnsi"/>
        </w:rPr>
        <w:t xml:space="preserve">disappointed by the PBAC’s rejection, Takeda </w:t>
      </w:r>
      <w:r>
        <w:rPr>
          <w:rFonts w:asciiTheme="minorHAnsi" w:hAnsiTheme="minorHAnsi"/>
        </w:rPr>
        <w:t>is committed to</w:t>
      </w:r>
      <w:r w:rsidRPr="00312CEA">
        <w:rPr>
          <w:rFonts w:asciiTheme="minorHAnsi" w:hAnsiTheme="minorHAnsi"/>
        </w:rPr>
        <w:t xml:space="preserve"> work</w:t>
      </w:r>
      <w:r>
        <w:rPr>
          <w:rFonts w:asciiTheme="minorHAnsi" w:hAnsiTheme="minorHAnsi"/>
        </w:rPr>
        <w:t>ing</w:t>
      </w:r>
      <w:r w:rsidRPr="00312CEA">
        <w:rPr>
          <w:rFonts w:asciiTheme="minorHAnsi" w:hAnsiTheme="minorHAnsi"/>
        </w:rPr>
        <w:t xml:space="preserve"> with the PBAC </w:t>
      </w:r>
      <w:r>
        <w:rPr>
          <w:rFonts w:asciiTheme="minorHAnsi" w:hAnsiTheme="minorHAnsi"/>
        </w:rPr>
        <w:t xml:space="preserve">and the Department of Health </w:t>
      </w:r>
      <w:r w:rsidRPr="00312CEA">
        <w:rPr>
          <w:rFonts w:asciiTheme="minorHAnsi" w:hAnsiTheme="minorHAnsi"/>
        </w:rPr>
        <w:t>to resolve the Committee's concerns</w:t>
      </w:r>
      <w:r>
        <w:rPr>
          <w:rFonts w:asciiTheme="minorHAnsi" w:hAnsiTheme="minorHAnsi"/>
        </w:rPr>
        <w:t xml:space="preserve"> so that </w:t>
      </w:r>
      <w:r w:rsidRPr="00312CEA">
        <w:rPr>
          <w:rFonts w:asciiTheme="minorHAnsi" w:hAnsiTheme="minorHAnsi"/>
        </w:rPr>
        <w:t xml:space="preserve">patients with this </w:t>
      </w:r>
      <w:r>
        <w:rPr>
          <w:rFonts w:asciiTheme="minorHAnsi" w:hAnsiTheme="minorHAnsi"/>
        </w:rPr>
        <w:t xml:space="preserve">very </w:t>
      </w:r>
      <w:r w:rsidRPr="00312CEA">
        <w:rPr>
          <w:rFonts w:asciiTheme="minorHAnsi" w:hAnsiTheme="minorHAnsi"/>
        </w:rPr>
        <w:t xml:space="preserve">rare and debilitating cancer </w:t>
      </w:r>
      <w:r>
        <w:rPr>
          <w:rFonts w:asciiTheme="minorHAnsi" w:hAnsiTheme="minorHAnsi"/>
        </w:rPr>
        <w:t xml:space="preserve">can get timely </w:t>
      </w:r>
      <w:r w:rsidRPr="00312CEA">
        <w:rPr>
          <w:rFonts w:asciiTheme="minorHAnsi" w:hAnsiTheme="minorHAnsi"/>
        </w:rPr>
        <w:t xml:space="preserve">access to brentuximab vedotin on the </w:t>
      </w:r>
      <w:r>
        <w:rPr>
          <w:rFonts w:asciiTheme="minorHAnsi" w:hAnsiTheme="minorHAnsi"/>
        </w:rPr>
        <w:t>PBS.</w:t>
      </w:r>
      <w:bookmarkStart w:id="16" w:name="_GoBack"/>
      <w:bookmarkEnd w:id="16"/>
    </w:p>
    <w:sectPr w:rsidR="004E43B2" w:rsidRPr="00B1472E" w:rsidSect="0022357A">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6217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6217FC" w16cid:durableId="1F0F1A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571" w:rsidRDefault="00F72571" w:rsidP="00124A51">
      <w:r>
        <w:separator/>
      </w:r>
    </w:p>
    <w:p w:rsidR="00F72571" w:rsidRDefault="00F72571"/>
  </w:endnote>
  <w:endnote w:type="continuationSeparator" w:id="0">
    <w:p w:rsidR="00F72571" w:rsidRDefault="00F72571" w:rsidP="00124A51">
      <w:r>
        <w:continuationSeparator/>
      </w:r>
    </w:p>
    <w:p w:rsidR="00F72571" w:rsidRDefault="00F72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81568"/>
      <w:docPartObj>
        <w:docPartGallery w:val="Page Numbers (Bottom of Page)"/>
        <w:docPartUnique/>
      </w:docPartObj>
    </w:sdtPr>
    <w:sdtEndPr>
      <w:rPr>
        <w:noProof/>
      </w:rPr>
    </w:sdtEndPr>
    <w:sdtContent>
      <w:p w:rsidR="00E823DA" w:rsidRDefault="00E823DA">
        <w:pPr>
          <w:pStyle w:val="Footer"/>
          <w:jc w:val="center"/>
        </w:pPr>
        <w:r>
          <w:fldChar w:fldCharType="begin"/>
        </w:r>
        <w:r>
          <w:instrText xml:space="preserve"> PAGE   \* MERGEFORMAT </w:instrText>
        </w:r>
        <w:r>
          <w:fldChar w:fldCharType="separate"/>
        </w:r>
        <w:r w:rsidR="00B1472E">
          <w:rPr>
            <w:noProof/>
          </w:rPr>
          <w:t>32</w:t>
        </w:r>
        <w:r>
          <w:rPr>
            <w:noProof/>
          </w:rPr>
          <w:fldChar w:fldCharType="end"/>
        </w:r>
      </w:p>
    </w:sdtContent>
  </w:sdt>
  <w:p w:rsidR="00E823DA" w:rsidRPr="007C1CD9" w:rsidRDefault="00E823DA" w:rsidP="00015886">
    <w:pPr>
      <w:ind w:right="360"/>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571" w:rsidRDefault="00F72571" w:rsidP="00124A51">
      <w:r>
        <w:separator/>
      </w:r>
    </w:p>
    <w:p w:rsidR="00F72571" w:rsidRDefault="00F72571"/>
  </w:footnote>
  <w:footnote w:type="continuationSeparator" w:id="0">
    <w:p w:rsidR="00F72571" w:rsidRDefault="00F72571" w:rsidP="00124A51">
      <w:r>
        <w:continuationSeparator/>
      </w:r>
    </w:p>
    <w:p w:rsidR="00F72571" w:rsidRDefault="00F72571"/>
  </w:footnote>
  <w:footnote w:id="1">
    <w:p w:rsidR="00E823DA" w:rsidRDefault="00E823DA" w:rsidP="000D1A79">
      <w:pPr>
        <w:pStyle w:val="FootnoteText"/>
      </w:pPr>
      <w:r>
        <w:rPr>
          <w:rStyle w:val="FootnoteReference"/>
        </w:rPr>
        <w:footnoteRef/>
      </w:r>
      <w:r>
        <w:t xml:space="preserve"> </w:t>
      </w:r>
      <w:proofErr w:type="spellStart"/>
      <w:r w:rsidRPr="00E52147">
        <w:t>Scarisbrick</w:t>
      </w:r>
      <w:proofErr w:type="spellEnd"/>
      <w:r w:rsidRPr="00E52147">
        <w:t xml:space="preserve"> et al J</w:t>
      </w:r>
      <w:r>
        <w:t xml:space="preserve"> </w:t>
      </w:r>
      <w:proofErr w:type="spellStart"/>
      <w:r w:rsidRPr="00E52147">
        <w:t>C</w:t>
      </w:r>
      <w:r>
        <w:t>lin</w:t>
      </w:r>
      <w:proofErr w:type="spellEnd"/>
      <w:r>
        <w:t xml:space="preserve"> </w:t>
      </w:r>
      <w:proofErr w:type="spellStart"/>
      <w:r w:rsidRPr="00E52147">
        <w:t>O</w:t>
      </w:r>
      <w:r>
        <w:t>ncol</w:t>
      </w:r>
      <w:proofErr w:type="spellEnd"/>
      <w:r>
        <w:t xml:space="preserve"> 2015; 33</w:t>
      </w:r>
      <w:r w:rsidRPr="00E52147">
        <w:t>: 3766–3773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DA" w:rsidRPr="000763AC" w:rsidRDefault="00E823DA" w:rsidP="000763AC">
    <w:pPr>
      <w:widowControl/>
      <w:tabs>
        <w:tab w:val="center" w:pos="4513"/>
        <w:tab w:val="right" w:pos="9026"/>
      </w:tabs>
      <w:jc w:val="center"/>
      <w:rPr>
        <w:rFonts w:asciiTheme="minorHAnsi" w:eastAsiaTheme="minorHAnsi" w:hAnsiTheme="minorHAnsi" w:cstheme="minorHAnsi"/>
        <w:i/>
        <w:snapToGrid/>
        <w:color w:val="808080"/>
        <w:sz w:val="22"/>
      </w:rPr>
    </w:pPr>
    <w:r w:rsidRPr="000763AC">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0763AC">
      <w:rPr>
        <w:rFonts w:asciiTheme="minorHAnsi" w:eastAsiaTheme="minorHAnsi" w:hAnsiTheme="minorHAnsi" w:cstheme="minorHAnsi"/>
        <w:i/>
        <w:snapToGrid/>
        <w:color w:val="808080"/>
        <w:sz w:val="22"/>
      </w:rPr>
      <w:t xml:space="preserve"> PBAC Meeting</w:t>
    </w:r>
  </w:p>
  <w:p w:rsidR="00E823DA" w:rsidRPr="00EE07D3" w:rsidRDefault="00E823DA">
    <w:pPr>
      <w:pStyle w:val="Header"/>
      <w:rPr>
        <w:color w:val="D9D9D9" w:themeColor="background1" w:themeShade="D9"/>
      </w:rPr>
    </w:pPr>
  </w:p>
  <w:p w:rsidR="00E823DA" w:rsidRPr="008C7ECB" w:rsidRDefault="00E823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0F81414"/>
    <w:lvl w:ilvl="0">
      <w:start w:val="1"/>
      <w:numFmt w:val="lowerRoman"/>
      <w:pStyle w:val="ListNumber2"/>
      <w:lvlText w:val="(%1)"/>
      <w:lvlJc w:val="left"/>
      <w:pPr>
        <w:tabs>
          <w:tab w:val="num" w:pos="2421"/>
        </w:tabs>
        <w:ind w:left="2268" w:hanging="567"/>
      </w:p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2C2CCF"/>
    <w:multiLevelType w:val="hybridMultilevel"/>
    <w:tmpl w:val="96BC3F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11691EAC"/>
    <w:multiLevelType w:val="hybridMultilevel"/>
    <w:tmpl w:val="D220CCD8"/>
    <w:lvl w:ilvl="0" w:tplc="0C090001">
      <w:start w:val="1"/>
      <w:numFmt w:val="bullet"/>
      <w:lvlText w:val=""/>
      <w:lvlJc w:val="left"/>
      <w:pPr>
        <w:ind w:left="933" w:hanging="360"/>
      </w:pPr>
      <w:rPr>
        <w:rFonts w:ascii="Symbol" w:hAnsi="Symbol" w:hint="default"/>
      </w:rPr>
    </w:lvl>
    <w:lvl w:ilvl="1" w:tplc="0C090003">
      <w:start w:val="1"/>
      <w:numFmt w:val="bullet"/>
      <w:lvlText w:val="o"/>
      <w:lvlJc w:val="left"/>
      <w:pPr>
        <w:ind w:left="1653" w:hanging="360"/>
      </w:pPr>
      <w:rPr>
        <w:rFonts w:ascii="Courier New" w:hAnsi="Courier New" w:cs="Courier New" w:hint="default"/>
      </w:rPr>
    </w:lvl>
    <w:lvl w:ilvl="2" w:tplc="0C090005" w:tentative="1">
      <w:start w:val="1"/>
      <w:numFmt w:val="bullet"/>
      <w:lvlText w:val=""/>
      <w:lvlJc w:val="left"/>
      <w:pPr>
        <w:ind w:left="2373" w:hanging="360"/>
      </w:pPr>
      <w:rPr>
        <w:rFonts w:ascii="Wingdings" w:hAnsi="Wingdings" w:hint="default"/>
      </w:rPr>
    </w:lvl>
    <w:lvl w:ilvl="3" w:tplc="0C090001" w:tentative="1">
      <w:start w:val="1"/>
      <w:numFmt w:val="bullet"/>
      <w:lvlText w:val=""/>
      <w:lvlJc w:val="left"/>
      <w:pPr>
        <w:ind w:left="3093" w:hanging="360"/>
      </w:pPr>
      <w:rPr>
        <w:rFonts w:ascii="Symbol" w:hAnsi="Symbol" w:hint="default"/>
      </w:rPr>
    </w:lvl>
    <w:lvl w:ilvl="4" w:tplc="0C090003" w:tentative="1">
      <w:start w:val="1"/>
      <w:numFmt w:val="bullet"/>
      <w:lvlText w:val="o"/>
      <w:lvlJc w:val="left"/>
      <w:pPr>
        <w:ind w:left="3813" w:hanging="360"/>
      </w:pPr>
      <w:rPr>
        <w:rFonts w:ascii="Courier New" w:hAnsi="Courier New" w:cs="Courier New" w:hint="default"/>
      </w:rPr>
    </w:lvl>
    <w:lvl w:ilvl="5" w:tplc="0C090005" w:tentative="1">
      <w:start w:val="1"/>
      <w:numFmt w:val="bullet"/>
      <w:lvlText w:val=""/>
      <w:lvlJc w:val="left"/>
      <w:pPr>
        <w:ind w:left="4533" w:hanging="360"/>
      </w:pPr>
      <w:rPr>
        <w:rFonts w:ascii="Wingdings" w:hAnsi="Wingdings" w:hint="default"/>
      </w:rPr>
    </w:lvl>
    <w:lvl w:ilvl="6" w:tplc="0C090001" w:tentative="1">
      <w:start w:val="1"/>
      <w:numFmt w:val="bullet"/>
      <w:lvlText w:val=""/>
      <w:lvlJc w:val="left"/>
      <w:pPr>
        <w:ind w:left="5253" w:hanging="360"/>
      </w:pPr>
      <w:rPr>
        <w:rFonts w:ascii="Symbol" w:hAnsi="Symbol" w:hint="default"/>
      </w:rPr>
    </w:lvl>
    <w:lvl w:ilvl="7" w:tplc="0C090003" w:tentative="1">
      <w:start w:val="1"/>
      <w:numFmt w:val="bullet"/>
      <w:lvlText w:val="o"/>
      <w:lvlJc w:val="left"/>
      <w:pPr>
        <w:ind w:left="5973" w:hanging="360"/>
      </w:pPr>
      <w:rPr>
        <w:rFonts w:ascii="Courier New" w:hAnsi="Courier New" w:cs="Courier New" w:hint="default"/>
      </w:rPr>
    </w:lvl>
    <w:lvl w:ilvl="8" w:tplc="0C090005" w:tentative="1">
      <w:start w:val="1"/>
      <w:numFmt w:val="bullet"/>
      <w:lvlText w:val=""/>
      <w:lvlJc w:val="left"/>
      <w:pPr>
        <w:ind w:left="6693" w:hanging="360"/>
      </w:pPr>
      <w:rPr>
        <w:rFonts w:ascii="Wingdings" w:hAnsi="Wingdings" w:hint="default"/>
      </w:rPr>
    </w:lvl>
  </w:abstractNum>
  <w:abstractNum w:abstractNumId="6">
    <w:nsid w:val="1D7660A8"/>
    <w:multiLevelType w:val="hybridMultilevel"/>
    <w:tmpl w:val="A3BE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99C7DC4"/>
    <w:multiLevelType w:val="hybridMultilevel"/>
    <w:tmpl w:val="25407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441625"/>
    <w:multiLevelType w:val="hybridMultilevel"/>
    <w:tmpl w:val="812E63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FB869F6"/>
    <w:multiLevelType w:val="hybridMultilevel"/>
    <w:tmpl w:val="B2B07B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B55843"/>
    <w:multiLevelType w:val="hybridMultilevel"/>
    <w:tmpl w:val="8CBA5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68967C5"/>
    <w:multiLevelType w:val="hybridMultilevel"/>
    <w:tmpl w:val="691853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564698"/>
    <w:multiLevelType w:val="hybridMultilevel"/>
    <w:tmpl w:val="CDA605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B7C34E2"/>
    <w:multiLevelType w:val="hybridMultilevel"/>
    <w:tmpl w:val="616A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9577C8"/>
    <w:multiLevelType w:val="hybridMultilevel"/>
    <w:tmpl w:val="1624A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8F2FAE"/>
    <w:multiLevelType w:val="hybridMultilevel"/>
    <w:tmpl w:val="DF5C6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3851214"/>
    <w:multiLevelType w:val="hybridMultilevel"/>
    <w:tmpl w:val="81FE879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nsid w:val="43AB42E3"/>
    <w:multiLevelType w:val="hybridMultilevel"/>
    <w:tmpl w:val="9DB6C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40C50CA"/>
    <w:multiLevelType w:val="hybridMultilevel"/>
    <w:tmpl w:val="99001A4A"/>
    <w:lvl w:ilvl="0" w:tplc="944CBDE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4442297"/>
    <w:multiLevelType w:val="hybridMultilevel"/>
    <w:tmpl w:val="FFCE29FC"/>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2875A5"/>
    <w:multiLevelType w:val="hybridMultilevel"/>
    <w:tmpl w:val="4D8C6658"/>
    <w:lvl w:ilvl="0" w:tplc="CF184C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13A634B"/>
    <w:multiLevelType w:val="hybridMultilevel"/>
    <w:tmpl w:val="FC307C9E"/>
    <w:lvl w:ilvl="0" w:tplc="57780CC4">
      <w:start w:val="1"/>
      <w:numFmt w:val="bullet"/>
      <w:lvlText w:val="•"/>
      <w:lvlJc w:val="left"/>
      <w:pPr>
        <w:tabs>
          <w:tab w:val="num" w:pos="720"/>
        </w:tabs>
        <w:ind w:left="720" w:hanging="360"/>
      </w:pPr>
      <w:rPr>
        <w:rFonts w:ascii="Arial" w:hAnsi="Arial" w:hint="default"/>
      </w:rPr>
    </w:lvl>
    <w:lvl w:ilvl="1" w:tplc="2152919C" w:tentative="1">
      <w:start w:val="1"/>
      <w:numFmt w:val="bullet"/>
      <w:lvlText w:val="•"/>
      <w:lvlJc w:val="left"/>
      <w:pPr>
        <w:tabs>
          <w:tab w:val="num" w:pos="1440"/>
        </w:tabs>
        <w:ind w:left="1440" w:hanging="360"/>
      </w:pPr>
      <w:rPr>
        <w:rFonts w:ascii="Arial" w:hAnsi="Arial" w:hint="default"/>
      </w:rPr>
    </w:lvl>
    <w:lvl w:ilvl="2" w:tplc="8B14047A" w:tentative="1">
      <w:start w:val="1"/>
      <w:numFmt w:val="bullet"/>
      <w:lvlText w:val="•"/>
      <w:lvlJc w:val="left"/>
      <w:pPr>
        <w:tabs>
          <w:tab w:val="num" w:pos="2160"/>
        </w:tabs>
        <w:ind w:left="2160" w:hanging="360"/>
      </w:pPr>
      <w:rPr>
        <w:rFonts w:ascii="Arial" w:hAnsi="Arial" w:hint="default"/>
      </w:rPr>
    </w:lvl>
    <w:lvl w:ilvl="3" w:tplc="FE0A51B2" w:tentative="1">
      <w:start w:val="1"/>
      <w:numFmt w:val="bullet"/>
      <w:lvlText w:val="•"/>
      <w:lvlJc w:val="left"/>
      <w:pPr>
        <w:tabs>
          <w:tab w:val="num" w:pos="2880"/>
        </w:tabs>
        <w:ind w:left="2880" w:hanging="360"/>
      </w:pPr>
      <w:rPr>
        <w:rFonts w:ascii="Arial" w:hAnsi="Arial" w:hint="default"/>
      </w:rPr>
    </w:lvl>
    <w:lvl w:ilvl="4" w:tplc="6C765EC2" w:tentative="1">
      <w:start w:val="1"/>
      <w:numFmt w:val="bullet"/>
      <w:lvlText w:val="•"/>
      <w:lvlJc w:val="left"/>
      <w:pPr>
        <w:tabs>
          <w:tab w:val="num" w:pos="3600"/>
        </w:tabs>
        <w:ind w:left="3600" w:hanging="360"/>
      </w:pPr>
      <w:rPr>
        <w:rFonts w:ascii="Arial" w:hAnsi="Arial" w:hint="default"/>
      </w:rPr>
    </w:lvl>
    <w:lvl w:ilvl="5" w:tplc="8CA65EE8" w:tentative="1">
      <w:start w:val="1"/>
      <w:numFmt w:val="bullet"/>
      <w:lvlText w:val="•"/>
      <w:lvlJc w:val="left"/>
      <w:pPr>
        <w:tabs>
          <w:tab w:val="num" w:pos="4320"/>
        </w:tabs>
        <w:ind w:left="4320" w:hanging="360"/>
      </w:pPr>
      <w:rPr>
        <w:rFonts w:ascii="Arial" w:hAnsi="Arial" w:hint="default"/>
      </w:rPr>
    </w:lvl>
    <w:lvl w:ilvl="6" w:tplc="8558F7CA" w:tentative="1">
      <w:start w:val="1"/>
      <w:numFmt w:val="bullet"/>
      <w:lvlText w:val="•"/>
      <w:lvlJc w:val="left"/>
      <w:pPr>
        <w:tabs>
          <w:tab w:val="num" w:pos="5040"/>
        </w:tabs>
        <w:ind w:left="5040" w:hanging="360"/>
      </w:pPr>
      <w:rPr>
        <w:rFonts w:ascii="Arial" w:hAnsi="Arial" w:hint="default"/>
      </w:rPr>
    </w:lvl>
    <w:lvl w:ilvl="7" w:tplc="9F8AF25C" w:tentative="1">
      <w:start w:val="1"/>
      <w:numFmt w:val="bullet"/>
      <w:lvlText w:val="•"/>
      <w:lvlJc w:val="left"/>
      <w:pPr>
        <w:tabs>
          <w:tab w:val="num" w:pos="5760"/>
        </w:tabs>
        <w:ind w:left="5760" w:hanging="360"/>
      </w:pPr>
      <w:rPr>
        <w:rFonts w:ascii="Arial" w:hAnsi="Arial" w:hint="default"/>
      </w:rPr>
    </w:lvl>
    <w:lvl w:ilvl="8" w:tplc="59D8096C" w:tentative="1">
      <w:start w:val="1"/>
      <w:numFmt w:val="bullet"/>
      <w:lvlText w:val="•"/>
      <w:lvlJc w:val="left"/>
      <w:pPr>
        <w:tabs>
          <w:tab w:val="num" w:pos="6480"/>
        </w:tabs>
        <w:ind w:left="6480" w:hanging="360"/>
      </w:pPr>
      <w:rPr>
        <w:rFonts w:ascii="Arial" w:hAnsi="Arial" w:hint="default"/>
      </w:rPr>
    </w:lvl>
  </w:abstractNum>
  <w:abstractNum w:abstractNumId="23">
    <w:nsid w:val="53163146"/>
    <w:multiLevelType w:val="hybridMultilevel"/>
    <w:tmpl w:val="F71235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56C5A65"/>
    <w:multiLevelType w:val="hybridMultilevel"/>
    <w:tmpl w:val="17DCA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480468E"/>
    <w:multiLevelType w:val="multilevel"/>
    <w:tmpl w:val="CE6C8DC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5F5360C"/>
    <w:multiLevelType w:val="hybridMultilevel"/>
    <w:tmpl w:val="FE3E14D4"/>
    <w:lvl w:ilvl="0" w:tplc="D7F676B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481798"/>
    <w:multiLevelType w:val="hybridMultilevel"/>
    <w:tmpl w:val="AD54E3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nsid w:val="73EA38D8"/>
    <w:multiLevelType w:val="hybridMultilevel"/>
    <w:tmpl w:val="D77071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47617D8"/>
    <w:multiLevelType w:val="hybridMultilevel"/>
    <w:tmpl w:val="FD323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6544F18"/>
    <w:multiLevelType w:val="hybridMultilevel"/>
    <w:tmpl w:val="4866F2E8"/>
    <w:lvl w:ilvl="0" w:tplc="504614DC">
      <w:start w:val="1"/>
      <w:numFmt w:val="bullet"/>
      <w:lvlText w:val="•"/>
      <w:lvlJc w:val="left"/>
      <w:pPr>
        <w:tabs>
          <w:tab w:val="num" w:pos="720"/>
        </w:tabs>
        <w:ind w:left="720" w:hanging="360"/>
      </w:pPr>
      <w:rPr>
        <w:rFonts w:ascii="Arial" w:hAnsi="Arial" w:hint="default"/>
      </w:rPr>
    </w:lvl>
    <w:lvl w:ilvl="1" w:tplc="C1AC6338" w:tentative="1">
      <w:start w:val="1"/>
      <w:numFmt w:val="bullet"/>
      <w:lvlText w:val="•"/>
      <w:lvlJc w:val="left"/>
      <w:pPr>
        <w:tabs>
          <w:tab w:val="num" w:pos="1440"/>
        </w:tabs>
        <w:ind w:left="1440" w:hanging="360"/>
      </w:pPr>
      <w:rPr>
        <w:rFonts w:ascii="Arial" w:hAnsi="Arial" w:hint="default"/>
      </w:rPr>
    </w:lvl>
    <w:lvl w:ilvl="2" w:tplc="CF848DEE" w:tentative="1">
      <w:start w:val="1"/>
      <w:numFmt w:val="bullet"/>
      <w:lvlText w:val="•"/>
      <w:lvlJc w:val="left"/>
      <w:pPr>
        <w:tabs>
          <w:tab w:val="num" w:pos="2160"/>
        </w:tabs>
        <w:ind w:left="2160" w:hanging="360"/>
      </w:pPr>
      <w:rPr>
        <w:rFonts w:ascii="Arial" w:hAnsi="Arial" w:hint="default"/>
      </w:rPr>
    </w:lvl>
    <w:lvl w:ilvl="3" w:tplc="48CC49CE" w:tentative="1">
      <w:start w:val="1"/>
      <w:numFmt w:val="bullet"/>
      <w:lvlText w:val="•"/>
      <w:lvlJc w:val="left"/>
      <w:pPr>
        <w:tabs>
          <w:tab w:val="num" w:pos="2880"/>
        </w:tabs>
        <w:ind w:left="2880" w:hanging="360"/>
      </w:pPr>
      <w:rPr>
        <w:rFonts w:ascii="Arial" w:hAnsi="Arial" w:hint="default"/>
      </w:rPr>
    </w:lvl>
    <w:lvl w:ilvl="4" w:tplc="EEAE0B6E" w:tentative="1">
      <w:start w:val="1"/>
      <w:numFmt w:val="bullet"/>
      <w:lvlText w:val="•"/>
      <w:lvlJc w:val="left"/>
      <w:pPr>
        <w:tabs>
          <w:tab w:val="num" w:pos="3600"/>
        </w:tabs>
        <w:ind w:left="3600" w:hanging="360"/>
      </w:pPr>
      <w:rPr>
        <w:rFonts w:ascii="Arial" w:hAnsi="Arial" w:hint="default"/>
      </w:rPr>
    </w:lvl>
    <w:lvl w:ilvl="5" w:tplc="E340D32C" w:tentative="1">
      <w:start w:val="1"/>
      <w:numFmt w:val="bullet"/>
      <w:lvlText w:val="•"/>
      <w:lvlJc w:val="left"/>
      <w:pPr>
        <w:tabs>
          <w:tab w:val="num" w:pos="4320"/>
        </w:tabs>
        <w:ind w:left="4320" w:hanging="360"/>
      </w:pPr>
      <w:rPr>
        <w:rFonts w:ascii="Arial" w:hAnsi="Arial" w:hint="default"/>
      </w:rPr>
    </w:lvl>
    <w:lvl w:ilvl="6" w:tplc="B6C2BA34" w:tentative="1">
      <w:start w:val="1"/>
      <w:numFmt w:val="bullet"/>
      <w:lvlText w:val="•"/>
      <w:lvlJc w:val="left"/>
      <w:pPr>
        <w:tabs>
          <w:tab w:val="num" w:pos="5040"/>
        </w:tabs>
        <w:ind w:left="5040" w:hanging="360"/>
      </w:pPr>
      <w:rPr>
        <w:rFonts w:ascii="Arial" w:hAnsi="Arial" w:hint="default"/>
      </w:rPr>
    </w:lvl>
    <w:lvl w:ilvl="7" w:tplc="E0DAAF2E" w:tentative="1">
      <w:start w:val="1"/>
      <w:numFmt w:val="bullet"/>
      <w:lvlText w:val="•"/>
      <w:lvlJc w:val="left"/>
      <w:pPr>
        <w:tabs>
          <w:tab w:val="num" w:pos="5760"/>
        </w:tabs>
        <w:ind w:left="5760" w:hanging="360"/>
      </w:pPr>
      <w:rPr>
        <w:rFonts w:ascii="Arial" w:hAnsi="Arial" w:hint="default"/>
      </w:rPr>
    </w:lvl>
    <w:lvl w:ilvl="8" w:tplc="2A36E170" w:tentative="1">
      <w:start w:val="1"/>
      <w:numFmt w:val="bullet"/>
      <w:lvlText w:val="•"/>
      <w:lvlJc w:val="left"/>
      <w:pPr>
        <w:tabs>
          <w:tab w:val="num" w:pos="6480"/>
        </w:tabs>
        <w:ind w:left="6480" w:hanging="360"/>
      </w:pPr>
      <w:rPr>
        <w:rFonts w:ascii="Arial" w:hAnsi="Arial" w:hint="default"/>
      </w:rPr>
    </w:lvl>
  </w:abstractNum>
  <w:abstractNum w:abstractNumId="33">
    <w:nsid w:val="784D033C"/>
    <w:multiLevelType w:val="multilevel"/>
    <w:tmpl w:val="4CB8A11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89E256F"/>
    <w:multiLevelType w:val="hybridMultilevel"/>
    <w:tmpl w:val="75D630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9F20B27"/>
    <w:multiLevelType w:val="hybridMultilevel"/>
    <w:tmpl w:val="0B40E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F6052B4"/>
    <w:multiLevelType w:val="hybridMultilevel"/>
    <w:tmpl w:val="1FC4F22C"/>
    <w:lvl w:ilvl="0" w:tplc="508A4E1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842D1D"/>
    <w:multiLevelType w:val="hybridMultilevel"/>
    <w:tmpl w:val="E0E4142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14"/>
  </w:num>
  <w:num w:numId="2">
    <w:abstractNumId w:val="2"/>
  </w:num>
  <w:num w:numId="3">
    <w:abstractNumId w:val="33"/>
  </w:num>
  <w:num w:numId="4">
    <w:abstractNumId w:val="20"/>
  </w:num>
  <w:num w:numId="5">
    <w:abstractNumId w:val="34"/>
  </w:num>
  <w:num w:numId="6">
    <w:abstractNumId w:val="15"/>
  </w:num>
  <w:num w:numId="7">
    <w:abstractNumId w:val="37"/>
  </w:num>
  <w:num w:numId="8">
    <w:abstractNumId w:val="12"/>
  </w:num>
  <w:num w:numId="9">
    <w:abstractNumId w:val="26"/>
  </w:num>
  <w:num w:numId="10">
    <w:abstractNumId w:val="17"/>
  </w:num>
  <w:num w:numId="11">
    <w:abstractNumId w:val="13"/>
  </w:num>
  <w:num w:numId="12">
    <w:abstractNumId w:val="8"/>
  </w:num>
  <w:num w:numId="13">
    <w:abstractNumId w:val="18"/>
  </w:num>
  <w:num w:numId="14">
    <w:abstractNumId w:val="5"/>
  </w:num>
  <w:num w:numId="15">
    <w:abstractNumId w:val="35"/>
  </w:num>
  <w:num w:numId="16">
    <w:abstractNumId w:val="11"/>
  </w:num>
  <w:num w:numId="17">
    <w:abstractNumId w:val="29"/>
  </w:num>
  <w:num w:numId="18">
    <w:abstractNumId w:val="31"/>
  </w:num>
  <w:num w:numId="19">
    <w:abstractNumId w:val="9"/>
  </w:num>
  <w:num w:numId="20">
    <w:abstractNumId w:val="4"/>
  </w:num>
  <w:num w:numId="21">
    <w:abstractNumId w:val="10"/>
  </w:num>
  <w:num w:numId="22">
    <w:abstractNumId w:val="21"/>
  </w:num>
  <w:num w:numId="23">
    <w:abstractNumId w:val="27"/>
  </w:num>
  <w:num w:numId="24">
    <w:abstractNumId w:val="30"/>
  </w:num>
  <w:num w:numId="25">
    <w:abstractNumId w:val="16"/>
  </w:num>
  <w:num w:numId="26">
    <w:abstractNumId w:val="33"/>
  </w:num>
  <w:num w:numId="27">
    <w:abstractNumId w:val="19"/>
  </w:num>
  <w:num w:numId="28">
    <w:abstractNumId w:val="20"/>
  </w:num>
  <w:num w:numId="29">
    <w:abstractNumId w:val="0"/>
  </w:num>
  <w:num w:numId="30">
    <w:abstractNumId w:val="24"/>
  </w:num>
  <w:num w:numId="31">
    <w:abstractNumId w:val="25"/>
  </w:num>
  <w:num w:numId="32">
    <w:abstractNumId w:val="3"/>
  </w:num>
  <w:num w:numId="33">
    <w:abstractNumId w:val="1"/>
  </w:num>
  <w:num w:numId="34">
    <w:abstractNumId w:val="7"/>
  </w:num>
  <w:num w:numId="35">
    <w:abstractNumId w:val="23"/>
  </w:num>
  <w:num w:numId="36">
    <w:abstractNumId w:val="6"/>
  </w:num>
  <w:num w:numId="37">
    <w:abstractNumId w:val="32"/>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0"/>
  </w:num>
  <w:num w:numId="41">
    <w:abstractNumId w:val="33"/>
  </w:num>
  <w:num w:numId="42">
    <w:abstractNumId w:val="33"/>
  </w:num>
  <w:num w:numId="43">
    <w:abstractNumId w:val="28"/>
  </w:num>
  <w:num w:numId="44">
    <w:abstractNumId w:val="3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A26"/>
    <w:rsid w:val="00000790"/>
    <w:rsid w:val="0000110B"/>
    <w:rsid w:val="00001AE5"/>
    <w:rsid w:val="00003499"/>
    <w:rsid w:val="000039B7"/>
    <w:rsid w:val="000040A0"/>
    <w:rsid w:val="000043CC"/>
    <w:rsid w:val="00005490"/>
    <w:rsid w:val="00006BB9"/>
    <w:rsid w:val="00013247"/>
    <w:rsid w:val="00013622"/>
    <w:rsid w:val="00015886"/>
    <w:rsid w:val="000162EF"/>
    <w:rsid w:val="00017645"/>
    <w:rsid w:val="00020061"/>
    <w:rsid w:val="0002225F"/>
    <w:rsid w:val="00022DCB"/>
    <w:rsid w:val="00023763"/>
    <w:rsid w:val="00024D11"/>
    <w:rsid w:val="00027821"/>
    <w:rsid w:val="00033863"/>
    <w:rsid w:val="0003584E"/>
    <w:rsid w:val="00035DC0"/>
    <w:rsid w:val="00036254"/>
    <w:rsid w:val="00036788"/>
    <w:rsid w:val="00036829"/>
    <w:rsid w:val="00036FC8"/>
    <w:rsid w:val="00040895"/>
    <w:rsid w:val="00041D52"/>
    <w:rsid w:val="000420FA"/>
    <w:rsid w:val="00043C37"/>
    <w:rsid w:val="00043D5E"/>
    <w:rsid w:val="00045017"/>
    <w:rsid w:val="00045A2B"/>
    <w:rsid w:val="0004698F"/>
    <w:rsid w:val="000539D0"/>
    <w:rsid w:val="00054621"/>
    <w:rsid w:val="000546D7"/>
    <w:rsid w:val="00054702"/>
    <w:rsid w:val="00055E6B"/>
    <w:rsid w:val="00056C2F"/>
    <w:rsid w:val="00057D05"/>
    <w:rsid w:val="000607DA"/>
    <w:rsid w:val="00066360"/>
    <w:rsid w:val="0006697A"/>
    <w:rsid w:val="0006701B"/>
    <w:rsid w:val="000677C5"/>
    <w:rsid w:val="000700B2"/>
    <w:rsid w:val="00070C34"/>
    <w:rsid w:val="00070F31"/>
    <w:rsid w:val="00071248"/>
    <w:rsid w:val="00071D79"/>
    <w:rsid w:val="000720B9"/>
    <w:rsid w:val="000725AC"/>
    <w:rsid w:val="000737F7"/>
    <w:rsid w:val="00076368"/>
    <w:rsid w:val="000763AC"/>
    <w:rsid w:val="0007672F"/>
    <w:rsid w:val="000774F0"/>
    <w:rsid w:val="00080909"/>
    <w:rsid w:val="00080F8D"/>
    <w:rsid w:val="000812CA"/>
    <w:rsid w:val="0008258D"/>
    <w:rsid w:val="00083E99"/>
    <w:rsid w:val="000856C5"/>
    <w:rsid w:val="00085A3C"/>
    <w:rsid w:val="00090C7E"/>
    <w:rsid w:val="00092600"/>
    <w:rsid w:val="0009262B"/>
    <w:rsid w:val="00093310"/>
    <w:rsid w:val="0009445C"/>
    <w:rsid w:val="000953E9"/>
    <w:rsid w:val="0009556C"/>
    <w:rsid w:val="00095FE5"/>
    <w:rsid w:val="00096284"/>
    <w:rsid w:val="00097978"/>
    <w:rsid w:val="000A00D3"/>
    <w:rsid w:val="000A1669"/>
    <w:rsid w:val="000A7D08"/>
    <w:rsid w:val="000B0670"/>
    <w:rsid w:val="000B0E75"/>
    <w:rsid w:val="000B11A7"/>
    <w:rsid w:val="000B200F"/>
    <w:rsid w:val="000B56FF"/>
    <w:rsid w:val="000B6845"/>
    <w:rsid w:val="000B6CAC"/>
    <w:rsid w:val="000B7612"/>
    <w:rsid w:val="000C3DF9"/>
    <w:rsid w:val="000C6713"/>
    <w:rsid w:val="000D1A79"/>
    <w:rsid w:val="000D1BFC"/>
    <w:rsid w:val="000D281A"/>
    <w:rsid w:val="000D2E60"/>
    <w:rsid w:val="000D326A"/>
    <w:rsid w:val="000D51FB"/>
    <w:rsid w:val="000D625A"/>
    <w:rsid w:val="000D75CD"/>
    <w:rsid w:val="000E135D"/>
    <w:rsid w:val="000E2369"/>
    <w:rsid w:val="000E3641"/>
    <w:rsid w:val="000E52F5"/>
    <w:rsid w:val="000E555E"/>
    <w:rsid w:val="000F00BA"/>
    <w:rsid w:val="000F04E9"/>
    <w:rsid w:val="000F316A"/>
    <w:rsid w:val="000F3C74"/>
    <w:rsid w:val="000F3CEB"/>
    <w:rsid w:val="000F4BB8"/>
    <w:rsid w:val="000F680F"/>
    <w:rsid w:val="000F6BE7"/>
    <w:rsid w:val="000F700D"/>
    <w:rsid w:val="000F7127"/>
    <w:rsid w:val="00100F8A"/>
    <w:rsid w:val="001027F2"/>
    <w:rsid w:val="001031A3"/>
    <w:rsid w:val="00105AE2"/>
    <w:rsid w:val="00105B2B"/>
    <w:rsid w:val="00106B80"/>
    <w:rsid w:val="00106D02"/>
    <w:rsid w:val="00107377"/>
    <w:rsid w:val="0011032E"/>
    <w:rsid w:val="00112451"/>
    <w:rsid w:val="0011348B"/>
    <w:rsid w:val="001147B6"/>
    <w:rsid w:val="00115781"/>
    <w:rsid w:val="00115982"/>
    <w:rsid w:val="0011690D"/>
    <w:rsid w:val="00116C53"/>
    <w:rsid w:val="001209EE"/>
    <w:rsid w:val="00121799"/>
    <w:rsid w:val="001222FC"/>
    <w:rsid w:val="00124029"/>
    <w:rsid w:val="00124339"/>
    <w:rsid w:val="00124A51"/>
    <w:rsid w:val="00125F2D"/>
    <w:rsid w:val="00126621"/>
    <w:rsid w:val="001301E9"/>
    <w:rsid w:val="00131841"/>
    <w:rsid w:val="0013188F"/>
    <w:rsid w:val="00131D82"/>
    <w:rsid w:val="001322A2"/>
    <w:rsid w:val="00133D36"/>
    <w:rsid w:val="00134CB1"/>
    <w:rsid w:val="00134F4B"/>
    <w:rsid w:val="00137438"/>
    <w:rsid w:val="00137645"/>
    <w:rsid w:val="0014015A"/>
    <w:rsid w:val="001404D0"/>
    <w:rsid w:val="00140DFF"/>
    <w:rsid w:val="00140E99"/>
    <w:rsid w:val="00145540"/>
    <w:rsid w:val="001456B0"/>
    <w:rsid w:val="00145ABE"/>
    <w:rsid w:val="00151CC4"/>
    <w:rsid w:val="0015232A"/>
    <w:rsid w:val="00152B05"/>
    <w:rsid w:val="00154416"/>
    <w:rsid w:val="00154560"/>
    <w:rsid w:val="00155FBC"/>
    <w:rsid w:val="00157130"/>
    <w:rsid w:val="001576B1"/>
    <w:rsid w:val="00160A4C"/>
    <w:rsid w:val="0016111D"/>
    <w:rsid w:val="00162782"/>
    <w:rsid w:val="00162913"/>
    <w:rsid w:val="001631FC"/>
    <w:rsid w:val="00163D29"/>
    <w:rsid w:val="00163EFF"/>
    <w:rsid w:val="001641A5"/>
    <w:rsid w:val="001661FB"/>
    <w:rsid w:val="00166813"/>
    <w:rsid w:val="00171B48"/>
    <w:rsid w:val="00173565"/>
    <w:rsid w:val="00173B07"/>
    <w:rsid w:val="00174CA4"/>
    <w:rsid w:val="00177BFC"/>
    <w:rsid w:val="00180F09"/>
    <w:rsid w:val="00181D9C"/>
    <w:rsid w:val="0018206D"/>
    <w:rsid w:val="00183CBE"/>
    <w:rsid w:val="001869D5"/>
    <w:rsid w:val="0018752F"/>
    <w:rsid w:val="0018767E"/>
    <w:rsid w:val="001915F2"/>
    <w:rsid w:val="00192348"/>
    <w:rsid w:val="00195222"/>
    <w:rsid w:val="001975D8"/>
    <w:rsid w:val="001A1F00"/>
    <w:rsid w:val="001A2745"/>
    <w:rsid w:val="001A43FA"/>
    <w:rsid w:val="001A59FB"/>
    <w:rsid w:val="001A6354"/>
    <w:rsid w:val="001A6455"/>
    <w:rsid w:val="001A71E8"/>
    <w:rsid w:val="001A7AE8"/>
    <w:rsid w:val="001B10FE"/>
    <w:rsid w:val="001B204E"/>
    <w:rsid w:val="001B3443"/>
    <w:rsid w:val="001B4AC1"/>
    <w:rsid w:val="001B4D20"/>
    <w:rsid w:val="001B4E7D"/>
    <w:rsid w:val="001B5857"/>
    <w:rsid w:val="001B5D69"/>
    <w:rsid w:val="001B6482"/>
    <w:rsid w:val="001B7AB3"/>
    <w:rsid w:val="001C2A9B"/>
    <w:rsid w:val="001C3345"/>
    <w:rsid w:val="001C3A62"/>
    <w:rsid w:val="001C4299"/>
    <w:rsid w:val="001C50D6"/>
    <w:rsid w:val="001C5F94"/>
    <w:rsid w:val="001C6E66"/>
    <w:rsid w:val="001D0B8A"/>
    <w:rsid w:val="001D1146"/>
    <w:rsid w:val="001D174D"/>
    <w:rsid w:val="001D348A"/>
    <w:rsid w:val="001D4194"/>
    <w:rsid w:val="001D5C3E"/>
    <w:rsid w:val="001D76FF"/>
    <w:rsid w:val="001E0A3D"/>
    <w:rsid w:val="001E0E55"/>
    <w:rsid w:val="001E238E"/>
    <w:rsid w:val="001E2483"/>
    <w:rsid w:val="001E2B1E"/>
    <w:rsid w:val="001E30D4"/>
    <w:rsid w:val="001E52EB"/>
    <w:rsid w:val="001E61D2"/>
    <w:rsid w:val="001E6856"/>
    <w:rsid w:val="001E6A41"/>
    <w:rsid w:val="001E740C"/>
    <w:rsid w:val="001F028D"/>
    <w:rsid w:val="001F1235"/>
    <w:rsid w:val="001F1CB3"/>
    <w:rsid w:val="001F248B"/>
    <w:rsid w:val="001F38B5"/>
    <w:rsid w:val="001F4E07"/>
    <w:rsid w:val="001F7361"/>
    <w:rsid w:val="001F7FF4"/>
    <w:rsid w:val="002011B0"/>
    <w:rsid w:val="00202CF0"/>
    <w:rsid w:val="00203181"/>
    <w:rsid w:val="00203783"/>
    <w:rsid w:val="0020385F"/>
    <w:rsid w:val="00204273"/>
    <w:rsid w:val="002045F8"/>
    <w:rsid w:val="00205BB5"/>
    <w:rsid w:val="00205E8C"/>
    <w:rsid w:val="002067E6"/>
    <w:rsid w:val="00207021"/>
    <w:rsid w:val="0020732F"/>
    <w:rsid w:val="00207C1E"/>
    <w:rsid w:val="00207D00"/>
    <w:rsid w:val="002105C1"/>
    <w:rsid w:val="00212663"/>
    <w:rsid w:val="0021340C"/>
    <w:rsid w:val="00216B3D"/>
    <w:rsid w:val="002173BC"/>
    <w:rsid w:val="00217B89"/>
    <w:rsid w:val="00217EDB"/>
    <w:rsid w:val="002229A6"/>
    <w:rsid w:val="0022357A"/>
    <w:rsid w:val="00223B49"/>
    <w:rsid w:val="00224DD4"/>
    <w:rsid w:val="00227E59"/>
    <w:rsid w:val="002309CC"/>
    <w:rsid w:val="00231B03"/>
    <w:rsid w:val="0023209F"/>
    <w:rsid w:val="00232682"/>
    <w:rsid w:val="00232A81"/>
    <w:rsid w:val="00233EA7"/>
    <w:rsid w:val="00235374"/>
    <w:rsid w:val="0023629D"/>
    <w:rsid w:val="00236AF8"/>
    <w:rsid w:val="00236F07"/>
    <w:rsid w:val="00237255"/>
    <w:rsid w:val="00237E12"/>
    <w:rsid w:val="002403AC"/>
    <w:rsid w:val="002424AF"/>
    <w:rsid w:val="002439DC"/>
    <w:rsid w:val="00244B16"/>
    <w:rsid w:val="00244DC8"/>
    <w:rsid w:val="00244F31"/>
    <w:rsid w:val="002458BA"/>
    <w:rsid w:val="0024636C"/>
    <w:rsid w:val="00246DDA"/>
    <w:rsid w:val="00247925"/>
    <w:rsid w:val="00250D53"/>
    <w:rsid w:val="002532D7"/>
    <w:rsid w:val="002543BA"/>
    <w:rsid w:val="00254DCF"/>
    <w:rsid w:val="0025534B"/>
    <w:rsid w:val="0025551C"/>
    <w:rsid w:val="00255BB7"/>
    <w:rsid w:val="00257541"/>
    <w:rsid w:val="00260CA5"/>
    <w:rsid w:val="00262553"/>
    <w:rsid w:val="00262A1A"/>
    <w:rsid w:val="00262A87"/>
    <w:rsid w:val="00264D26"/>
    <w:rsid w:val="002657F4"/>
    <w:rsid w:val="0026629D"/>
    <w:rsid w:val="002669EF"/>
    <w:rsid w:val="00267642"/>
    <w:rsid w:val="00267AEA"/>
    <w:rsid w:val="002700E6"/>
    <w:rsid w:val="0027204F"/>
    <w:rsid w:val="00272455"/>
    <w:rsid w:val="0027294B"/>
    <w:rsid w:val="002730A5"/>
    <w:rsid w:val="0027386B"/>
    <w:rsid w:val="0027404B"/>
    <w:rsid w:val="0027437A"/>
    <w:rsid w:val="00275699"/>
    <w:rsid w:val="00275C5A"/>
    <w:rsid w:val="0028063E"/>
    <w:rsid w:val="00281014"/>
    <w:rsid w:val="002820BA"/>
    <w:rsid w:val="002848FC"/>
    <w:rsid w:val="00284C17"/>
    <w:rsid w:val="00290977"/>
    <w:rsid w:val="00292047"/>
    <w:rsid w:val="00293F56"/>
    <w:rsid w:val="00294F91"/>
    <w:rsid w:val="002A076B"/>
    <w:rsid w:val="002A0A17"/>
    <w:rsid w:val="002A14AB"/>
    <w:rsid w:val="002A1963"/>
    <w:rsid w:val="002A275A"/>
    <w:rsid w:val="002A2F50"/>
    <w:rsid w:val="002A2FB2"/>
    <w:rsid w:val="002A317E"/>
    <w:rsid w:val="002A3C0B"/>
    <w:rsid w:val="002A3C65"/>
    <w:rsid w:val="002A7487"/>
    <w:rsid w:val="002B09A4"/>
    <w:rsid w:val="002B0B41"/>
    <w:rsid w:val="002B1C1F"/>
    <w:rsid w:val="002B432F"/>
    <w:rsid w:val="002B62B3"/>
    <w:rsid w:val="002B6754"/>
    <w:rsid w:val="002B6CCE"/>
    <w:rsid w:val="002B73FE"/>
    <w:rsid w:val="002C08F0"/>
    <w:rsid w:val="002C16E9"/>
    <w:rsid w:val="002C1EF3"/>
    <w:rsid w:val="002C2510"/>
    <w:rsid w:val="002C2634"/>
    <w:rsid w:val="002C2775"/>
    <w:rsid w:val="002C27C1"/>
    <w:rsid w:val="002C3F69"/>
    <w:rsid w:val="002C5099"/>
    <w:rsid w:val="002C5889"/>
    <w:rsid w:val="002C5931"/>
    <w:rsid w:val="002C602C"/>
    <w:rsid w:val="002C71CE"/>
    <w:rsid w:val="002D46CF"/>
    <w:rsid w:val="002D5672"/>
    <w:rsid w:val="002D577C"/>
    <w:rsid w:val="002D7BAC"/>
    <w:rsid w:val="002E15B9"/>
    <w:rsid w:val="002E2158"/>
    <w:rsid w:val="002E27F0"/>
    <w:rsid w:val="002E47FF"/>
    <w:rsid w:val="002E7722"/>
    <w:rsid w:val="002F07BA"/>
    <w:rsid w:val="002F0DA9"/>
    <w:rsid w:val="002F1DED"/>
    <w:rsid w:val="002F2A96"/>
    <w:rsid w:val="002F4286"/>
    <w:rsid w:val="002F643C"/>
    <w:rsid w:val="002F687F"/>
    <w:rsid w:val="002F71C0"/>
    <w:rsid w:val="00300B1B"/>
    <w:rsid w:val="00301017"/>
    <w:rsid w:val="0030155F"/>
    <w:rsid w:val="00301CF8"/>
    <w:rsid w:val="0030464A"/>
    <w:rsid w:val="0030587B"/>
    <w:rsid w:val="00306D98"/>
    <w:rsid w:val="0030786C"/>
    <w:rsid w:val="0031031A"/>
    <w:rsid w:val="00310981"/>
    <w:rsid w:val="00310E68"/>
    <w:rsid w:val="00311EEE"/>
    <w:rsid w:val="0031420F"/>
    <w:rsid w:val="00315498"/>
    <w:rsid w:val="00315E9C"/>
    <w:rsid w:val="0032131E"/>
    <w:rsid w:val="00321B4E"/>
    <w:rsid w:val="00322107"/>
    <w:rsid w:val="00322846"/>
    <w:rsid w:val="00322AD3"/>
    <w:rsid w:val="003239C9"/>
    <w:rsid w:val="00324CA5"/>
    <w:rsid w:val="00324D15"/>
    <w:rsid w:val="00326DA7"/>
    <w:rsid w:val="003270E4"/>
    <w:rsid w:val="00330F5C"/>
    <w:rsid w:val="00332059"/>
    <w:rsid w:val="003329C8"/>
    <w:rsid w:val="00334104"/>
    <w:rsid w:val="003366C9"/>
    <w:rsid w:val="003369F9"/>
    <w:rsid w:val="00336F44"/>
    <w:rsid w:val="003371B0"/>
    <w:rsid w:val="0033783A"/>
    <w:rsid w:val="00340700"/>
    <w:rsid w:val="00340DF1"/>
    <w:rsid w:val="0034279D"/>
    <w:rsid w:val="0034736D"/>
    <w:rsid w:val="00350E62"/>
    <w:rsid w:val="003517F9"/>
    <w:rsid w:val="003534C6"/>
    <w:rsid w:val="0035494F"/>
    <w:rsid w:val="0035620E"/>
    <w:rsid w:val="00356763"/>
    <w:rsid w:val="0036146C"/>
    <w:rsid w:val="00361B16"/>
    <w:rsid w:val="003624C4"/>
    <w:rsid w:val="0036321B"/>
    <w:rsid w:val="00363288"/>
    <w:rsid w:val="00364B86"/>
    <w:rsid w:val="003654AC"/>
    <w:rsid w:val="00365AAF"/>
    <w:rsid w:val="0037083E"/>
    <w:rsid w:val="003710CF"/>
    <w:rsid w:val="003729BC"/>
    <w:rsid w:val="0037358A"/>
    <w:rsid w:val="003750F6"/>
    <w:rsid w:val="003760FC"/>
    <w:rsid w:val="00376F88"/>
    <w:rsid w:val="00377057"/>
    <w:rsid w:val="003805EC"/>
    <w:rsid w:val="00381221"/>
    <w:rsid w:val="0038208B"/>
    <w:rsid w:val="003832A9"/>
    <w:rsid w:val="0038365C"/>
    <w:rsid w:val="0038369B"/>
    <w:rsid w:val="00383B78"/>
    <w:rsid w:val="00383F85"/>
    <w:rsid w:val="00384B39"/>
    <w:rsid w:val="00385A9D"/>
    <w:rsid w:val="003864A4"/>
    <w:rsid w:val="003901F6"/>
    <w:rsid w:val="003902B1"/>
    <w:rsid w:val="0039309E"/>
    <w:rsid w:val="00396896"/>
    <w:rsid w:val="00396FD0"/>
    <w:rsid w:val="003A1A7A"/>
    <w:rsid w:val="003A2392"/>
    <w:rsid w:val="003A2831"/>
    <w:rsid w:val="003A2B0B"/>
    <w:rsid w:val="003A3ED1"/>
    <w:rsid w:val="003A786B"/>
    <w:rsid w:val="003B0949"/>
    <w:rsid w:val="003B5468"/>
    <w:rsid w:val="003B5797"/>
    <w:rsid w:val="003B5B61"/>
    <w:rsid w:val="003B73C2"/>
    <w:rsid w:val="003B7B9A"/>
    <w:rsid w:val="003C086D"/>
    <w:rsid w:val="003C1239"/>
    <w:rsid w:val="003C1654"/>
    <w:rsid w:val="003C3F63"/>
    <w:rsid w:val="003C7D19"/>
    <w:rsid w:val="003D02C0"/>
    <w:rsid w:val="003D1828"/>
    <w:rsid w:val="003D1DE4"/>
    <w:rsid w:val="003D2422"/>
    <w:rsid w:val="003D316E"/>
    <w:rsid w:val="003D35EA"/>
    <w:rsid w:val="003D39A1"/>
    <w:rsid w:val="003D3FBF"/>
    <w:rsid w:val="003D4A30"/>
    <w:rsid w:val="003D79BB"/>
    <w:rsid w:val="003D7C98"/>
    <w:rsid w:val="003E0343"/>
    <w:rsid w:val="003E0543"/>
    <w:rsid w:val="003E0ED6"/>
    <w:rsid w:val="003E41CF"/>
    <w:rsid w:val="003F0F67"/>
    <w:rsid w:val="003F4156"/>
    <w:rsid w:val="003F498B"/>
    <w:rsid w:val="003F5025"/>
    <w:rsid w:val="003F639B"/>
    <w:rsid w:val="003F744B"/>
    <w:rsid w:val="003F7D71"/>
    <w:rsid w:val="00400B29"/>
    <w:rsid w:val="00402759"/>
    <w:rsid w:val="00404AB0"/>
    <w:rsid w:val="0040504B"/>
    <w:rsid w:val="00405B0F"/>
    <w:rsid w:val="00405E09"/>
    <w:rsid w:val="00406B77"/>
    <w:rsid w:val="004072C6"/>
    <w:rsid w:val="00410708"/>
    <w:rsid w:val="00410EC7"/>
    <w:rsid w:val="00411B39"/>
    <w:rsid w:val="00413A1E"/>
    <w:rsid w:val="00414476"/>
    <w:rsid w:val="00414C2E"/>
    <w:rsid w:val="004151CF"/>
    <w:rsid w:val="004159AD"/>
    <w:rsid w:val="00416364"/>
    <w:rsid w:val="00420702"/>
    <w:rsid w:val="00420AA6"/>
    <w:rsid w:val="00420B9F"/>
    <w:rsid w:val="00422260"/>
    <w:rsid w:val="00423745"/>
    <w:rsid w:val="00423EF9"/>
    <w:rsid w:val="0042413F"/>
    <w:rsid w:val="00424816"/>
    <w:rsid w:val="00430FAF"/>
    <w:rsid w:val="004319F8"/>
    <w:rsid w:val="00431E55"/>
    <w:rsid w:val="004321F6"/>
    <w:rsid w:val="00433044"/>
    <w:rsid w:val="004375B9"/>
    <w:rsid w:val="00440239"/>
    <w:rsid w:val="00440C88"/>
    <w:rsid w:val="00441D7A"/>
    <w:rsid w:val="004427B5"/>
    <w:rsid w:val="004428D0"/>
    <w:rsid w:val="00443479"/>
    <w:rsid w:val="0044365B"/>
    <w:rsid w:val="0044368F"/>
    <w:rsid w:val="004443A7"/>
    <w:rsid w:val="0044442C"/>
    <w:rsid w:val="0044545A"/>
    <w:rsid w:val="00445941"/>
    <w:rsid w:val="004464EB"/>
    <w:rsid w:val="00446646"/>
    <w:rsid w:val="00446AB1"/>
    <w:rsid w:val="00447D26"/>
    <w:rsid w:val="004515F4"/>
    <w:rsid w:val="00451D3A"/>
    <w:rsid w:val="004527CE"/>
    <w:rsid w:val="00453523"/>
    <w:rsid w:val="00453629"/>
    <w:rsid w:val="00453E9C"/>
    <w:rsid w:val="0045472E"/>
    <w:rsid w:val="00454F83"/>
    <w:rsid w:val="00455381"/>
    <w:rsid w:val="0045597F"/>
    <w:rsid w:val="00455D45"/>
    <w:rsid w:val="0045703C"/>
    <w:rsid w:val="00460791"/>
    <w:rsid w:val="004611B3"/>
    <w:rsid w:val="0046358A"/>
    <w:rsid w:val="00463EA2"/>
    <w:rsid w:val="0046414B"/>
    <w:rsid w:val="00464595"/>
    <w:rsid w:val="00466A2F"/>
    <w:rsid w:val="00466D20"/>
    <w:rsid w:val="00467D58"/>
    <w:rsid w:val="00470B00"/>
    <w:rsid w:val="004714C2"/>
    <w:rsid w:val="004719C7"/>
    <w:rsid w:val="00471D6A"/>
    <w:rsid w:val="00472A79"/>
    <w:rsid w:val="00473F19"/>
    <w:rsid w:val="00475E22"/>
    <w:rsid w:val="00476D2E"/>
    <w:rsid w:val="00476D74"/>
    <w:rsid w:val="00476DF2"/>
    <w:rsid w:val="004772AB"/>
    <w:rsid w:val="0048088E"/>
    <w:rsid w:val="0048164C"/>
    <w:rsid w:val="00482720"/>
    <w:rsid w:val="004835E7"/>
    <w:rsid w:val="00484360"/>
    <w:rsid w:val="00485938"/>
    <w:rsid w:val="004867E2"/>
    <w:rsid w:val="004877D2"/>
    <w:rsid w:val="0049059B"/>
    <w:rsid w:val="00491B3A"/>
    <w:rsid w:val="00492CFD"/>
    <w:rsid w:val="00494DD5"/>
    <w:rsid w:val="004956CA"/>
    <w:rsid w:val="004962D2"/>
    <w:rsid w:val="004A0DA1"/>
    <w:rsid w:val="004A52E9"/>
    <w:rsid w:val="004A6597"/>
    <w:rsid w:val="004A7848"/>
    <w:rsid w:val="004A7D05"/>
    <w:rsid w:val="004A7DC7"/>
    <w:rsid w:val="004B0641"/>
    <w:rsid w:val="004B1CB4"/>
    <w:rsid w:val="004B2F18"/>
    <w:rsid w:val="004B3DDB"/>
    <w:rsid w:val="004B44FD"/>
    <w:rsid w:val="004B4AA2"/>
    <w:rsid w:val="004B500D"/>
    <w:rsid w:val="004B5CFC"/>
    <w:rsid w:val="004B5EC0"/>
    <w:rsid w:val="004B774D"/>
    <w:rsid w:val="004B7DF4"/>
    <w:rsid w:val="004C18F9"/>
    <w:rsid w:val="004C2028"/>
    <w:rsid w:val="004C4AED"/>
    <w:rsid w:val="004C4F68"/>
    <w:rsid w:val="004C621D"/>
    <w:rsid w:val="004D0A0C"/>
    <w:rsid w:val="004D2C2D"/>
    <w:rsid w:val="004D2C91"/>
    <w:rsid w:val="004D33A0"/>
    <w:rsid w:val="004D4AAB"/>
    <w:rsid w:val="004D7227"/>
    <w:rsid w:val="004D766D"/>
    <w:rsid w:val="004D7C0C"/>
    <w:rsid w:val="004E0E7F"/>
    <w:rsid w:val="004E0EB8"/>
    <w:rsid w:val="004E1284"/>
    <w:rsid w:val="004E2ADC"/>
    <w:rsid w:val="004E43B2"/>
    <w:rsid w:val="004E638F"/>
    <w:rsid w:val="004E7A11"/>
    <w:rsid w:val="004E7AD2"/>
    <w:rsid w:val="004E7B30"/>
    <w:rsid w:val="004F1D02"/>
    <w:rsid w:val="004F2679"/>
    <w:rsid w:val="004F2F21"/>
    <w:rsid w:val="004F46C7"/>
    <w:rsid w:val="004F4D33"/>
    <w:rsid w:val="004F54D5"/>
    <w:rsid w:val="004F6913"/>
    <w:rsid w:val="004F69BD"/>
    <w:rsid w:val="004F72F1"/>
    <w:rsid w:val="004F7865"/>
    <w:rsid w:val="005011D1"/>
    <w:rsid w:val="00501AC1"/>
    <w:rsid w:val="0050219B"/>
    <w:rsid w:val="00503CAB"/>
    <w:rsid w:val="00503F17"/>
    <w:rsid w:val="00503F99"/>
    <w:rsid w:val="005045A9"/>
    <w:rsid w:val="00505B6E"/>
    <w:rsid w:val="00505CFD"/>
    <w:rsid w:val="00506928"/>
    <w:rsid w:val="00511DAB"/>
    <w:rsid w:val="00512BB5"/>
    <w:rsid w:val="005137BA"/>
    <w:rsid w:val="00513B47"/>
    <w:rsid w:val="00513B4B"/>
    <w:rsid w:val="005152B5"/>
    <w:rsid w:val="0051635D"/>
    <w:rsid w:val="00521319"/>
    <w:rsid w:val="00521C92"/>
    <w:rsid w:val="005225ED"/>
    <w:rsid w:val="00522BC8"/>
    <w:rsid w:val="005234AF"/>
    <w:rsid w:val="00523C28"/>
    <w:rsid w:val="005266AA"/>
    <w:rsid w:val="00530038"/>
    <w:rsid w:val="00530660"/>
    <w:rsid w:val="00530925"/>
    <w:rsid w:val="005317D1"/>
    <w:rsid w:val="00532014"/>
    <w:rsid w:val="00536A7B"/>
    <w:rsid w:val="00536F42"/>
    <w:rsid w:val="00537182"/>
    <w:rsid w:val="005403A9"/>
    <w:rsid w:val="00540408"/>
    <w:rsid w:val="0054188E"/>
    <w:rsid w:val="00541F47"/>
    <w:rsid w:val="00542743"/>
    <w:rsid w:val="0054276C"/>
    <w:rsid w:val="00542C2D"/>
    <w:rsid w:val="00543885"/>
    <w:rsid w:val="0054555A"/>
    <w:rsid w:val="0055164B"/>
    <w:rsid w:val="00551985"/>
    <w:rsid w:val="00552BD3"/>
    <w:rsid w:val="00552F51"/>
    <w:rsid w:val="00554C54"/>
    <w:rsid w:val="00555109"/>
    <w:rsid w:val="005613E2"/>
    <w:rsid w:val="005616B4"/>
    <w:rsid w:val="00561BC4"/>
    <w:rsid w:val="00561D94"/>
    <w:rsid w:val="00563C35"/>
    <w:rsid w:val="005645E8"/>
    <w:rsid w:val="005665FF"/>
    <w:rsid w:val="0056696F"/>
    <w:rsid w:val="0056712A"/>
    <w:rsid w:val="0057157A"/>
    <w:rsid w:val="00572269"/>
    <w:rsid w:val="0057244A"/>
    <w:rsid w:val="0057307E"/>
    <w:rsid w:val="005730FA"/>
    <w:rsid w:val="00574A8A"/>
    <w:rsid w:val="005750F4"/>
    <w:rsid w:val="005756EB"/>
    <w:rsid w:val="00575D8D"/>
    <w:rsid w:val="00575F9C"/>
    <w:rsid w:val="00576972"/>
    <w:rsid w:val="00576F84"/>
    <w:rsid w:val="005803EB"/>
    <w:rsid w:val="00583699"/>
    <w:rsid w:val="00585CDD"/>
    <w:rsid w:val="00587058"/>
    <w:rsid w:val="00591957"/>
    <w:rsid w:val="00597BF9"/>
    <w:rsid w:val="005A0A5A"/>
    <w:rsid w:val="005A373D"/>
    <w:rsid w:val="005A4FFE"/>
    <w:rsid w:val="005A655B"/>
    <w:rsid w:val="005B07F8"/>
    <w:rsid w:val="005B399B"/>
    <w:rsid w:val="005B41EC"/>
    <w:rsid w:val="005B5857"/>
    <w:rsid w:val="005B5FDE"/>
    <w:rsid w:val="005B7828"/>
    <w:rsid w:val="005C178A"/>
    <w:rsid w:val="005C1B83"/>
    <w:rsid w:val="005C21CB"/>
    <w:rsid w:val="005C2D55"/>
    <w:rsid w:val="005C346B"/>
    <w:rsid w:val="005C446F"/>
    <w:rsid w:val="005C4D45"/>
    <w:rsid w:val="005D044D"/>
    <w:rsid w:val="005D0AA8"/>
    <w:rsid w:val="005D0ABD"/>
    <w:rsid w:val="005D18AD"/>
    <w:rsid w:val="005D2004"/>
    <w:rsid w:val="005D23EA"/>
    <w:rsid w:val="005D26B4"/>
    <w:rsid w:val="005E31AD"/>
    <w:rsid w:val="005E6CBC"/>
    <w:rsid w:val="005E73C0"/>
    <w:rsid w:val="005F2706"/>
    <w:rsid w:val="005F3F6B"/>
    <w:rsid w:val="005F64A8"/>
    <w:rsid w:val="005F6A8F"/>
    <w:rsid w:val="00600F38"/>
    <w:rsid w:val="0060150D"/>
    <w:rsid w:val="0060276E"/>
    <w:rsid w:val="00603DB9"/>
    <w:rsid w:val="00607669"/>
    <w:rsid w:val="00607AFD"/>
    <w:rsid w:val="0061262E"/>
    <w:rsid w:val="00612ECF"/>
    <w:rsid w:val="00612F97"/>
    <w:rsid w:val="0061345D"/>
    <w:rsid w:val="006135E5"/>
    <w:rsid w:val="0061362F"/>
    <w:rsid w:val="00614747"/>
    <w:rsid w:val="00615C23"/>
    <w:rsid w:val="00616802"/>
    <w:rsid w:val="00617E12"/>
    <w:rsid w:val="00621367"/>
    <w:rsid w:val="00621477"/>
    <w:rsid w:val="00621F5F"/>
    <w:rsid w:val="00624D07"/>
    <w:rsid w:val="006261E3"/>
    <w:rsid w:val="006300D0"/>
    <w:rsid w:val="0063158F"/>
    <w:rsid w:val="00631874"/>
    <w:rsid w:val="00631D59"/>
    <w:rsid w:val="00631D6B"/>
    <w:rsid w:val="006330A1"/>
    <w:rsid w:val="00633D13"/>
    <w:rsid w:val="0063479F"/>
    <w:rsid w:val="006353F0"/>
    <w:rsid w:val="00636237"/>
    <w:rsid w:val="006364A1"/>
    <w:rsid w:val="006364DD"/>
    <w:rsid w:val="0063729B"/>
    <w:rsid w:val="00637BFD"/>
    <w:rsid w:val="0064160C"/>
    <w:rsid w:val="0064186F"/>
    <w:rsid w:val="00641C4E"/>
    <w:rsid w:val="006471CC"/>
    <w:rsid w:val="0065079F"/>
    <w:rsid w:val="0065379F"/>
    <w:rsid w:val="00654D68"/>
    <w:rsid w:val="00655497"/>
    <w:rsid w:val="006601A1"/>
    <w:rsid w:val="00661891"/>
    <w:rsid w:val="00661C6B"/>
    <w:rsid w:val="00666285"/>
    <w:rsid w:val="00670E48"/>
    <w:rsid w:val="0067462C"/>
    <w:rsid w:val="00674E42"/>
    <w:rsid w:val="00675301"/>
    <w:rsid w:val="006755E9"/>
    <w:rsid w:val="00675AD5"/>
    <w:rsid w:val="00677202"/>
    <w:rsid w:val="00682112"/>
    <w:rsid w:val="00686957"/>
    <w:rsid w:val="006872BA"/>
    <w:rsid w:val="006874B2"/>
    <w:rsid w:val="00691648"/>
    <w:rsid w:val="006916FE"/>
    <w:rsid w:val="006917D7"/>
    <w:rsid w:val="00694F44"/>
    <w:rsid w:val="00696436"/>
    <w:rsid w:val="00696FE4"/>
    <w:rsid w:val="006A170C"/>
    <w:rsid w:val="006A45A9"/>
    <w:rsid w:val="006A4837"/>
    <w:rsid w:val="006A700C"/>
    <w:rsid w:val="006A7804"/>
    <w:rsid w:val="006A7E5F"/>
    <w:rsid w:val="006B0097"/>
    <w:rsid w:val="006B0189"/>
    <w:rsid w:val="006B261B"/>
    <w:rsid w:val="006B2C90"/>
    <w:rsid w:val="006B48CE"/>
    <w:rsid w:val="006B56FE"/>
    <w:rsid w:val="006B5D23"/>
    <w:rsid w:val="006B6DD0"/>
    <w:rsid w:val="006B7C78"/>
    <w:rsid w:val="006C177D"/>
    <w:rsid w:val="006C2369"/>
    <w:rsid w:val="006C2A8E"/>
    <w:rsid w:val="006C3A15"/>
    <w:rsid w:val="006C5BA9"/>
    <w:rsid w:val="006C6F3F"/>
    <w:rsid w:val="006C7881"/>
    <w:rsid w:val="006D3C7D"/>
    <w:rsid w:val="006D5A33"/>
    <w:rsid w:val="006D5D5F"/>
    <w:rsid w:val="006E04BD"/>
    <w:rsid w:val="006E117B"/>
    <w:rsid w:val="006E13E2"/>
    <w:rsid w:val="006E27D2"/>
    <w:rsid w:val="006E39FE"/>
    <w:rsid w:val="006E4AD2"/>
    <w:rsid w:val="006F1FA4"/>
    <w:rsid w:val="006F306C"/>
    <w:rsid w:val="006F4403"/>
    <w:rsid w:val="006F63A5"/>
    <w:rsid w:val="00700994"/>
    <w:rsid w:val="0070142B"/>
    <w:rsid w:val="0070276E"/>
    <w:rsid w:val="00702F8F"/>
    <w:rsid w:val="00704159"/>
    <w:rsid w:val="007045F9"/>
    <w:rsid w:val="00706A19"/>
    <w:rsid w:val="0070740C"/>
    <w:rsid w:val="00711522"/>
    <w:rsid w:val="00711A36"/>
    <w:rsid w:val="00711C2D"/>
    <w:rsid w:val="0071213D"/>
    <w:rsid w:val="00712A94"/>
    <w:rsid w:val="0071509C"/>
    <w:rsid w:val="0071529C"/>
    <w:rsid w:val="00716114"/>
    <w:rsid w:val="007172AD"/>
    <w:rsid w:val="00720432"/>
    <w:rsid w:val="00721B46"/>
    <w:rsid w:val="00722B1B"/>
    <w:rsid w:val="0072416F"/>
    <w:rsid w:val="0072536F"/>
    <w:rsid w:val="00727821"/>
    <w:rsid w:val="00727C94"/>
    <w:rsid w:val="00731EAE"/>
    <w:rsid w:val="00732536"/>
    <w:rsid w:val="00735033"/>
    <w:rsid w:val="00735328"/>
    <w:rsid w:val="0073685B"/>
    <w:rsid w:val="00736E30"/>
    <w:rsid w:val="0075120D"/>
    <w:rsid w:val="00751B3A"/>
    <w:rsid w:val="00752142"/>
    <w:rsid w:val="007523F9"/>
    <w:rsid w:val="0075283D"/>
    <w:rsid w:val="00753F4D"/>
    <w:rsid w:val="0075463E"/>
    <w:rsid w:val="007573E8"/>
    <w:rsid w:val="00760C4E"/>
    <w:rsid w:val="0076173F"/>
    <w:rsid w:val="00763B21"/>
    <w:rsid w:val="00765B1A"/>
    <w:rsid w:val="0076660E"/>
    <w:rsid w:val="00771665"/>
    <w:rsid w:val="00773207"/>
    <w:rsid w:val="00773631"/>
    <w:rsid w:val="007751DC"/>
    <w:rsid w:val="00780CA5"/>
    <w:rsid w:val="007822BC"/>
    <w:rsid w:val="00782D85"/>
    <w:rsid w:val="007843F2"/>
    <w:rsid w:val="00785935"/>
    <w:rsid w:val="00791608"/>
    <w:rsid w:val="00792EC3"/>
    <w:rsid w:val="00794DB1"/>
    <w:rsid w:val="007A09CC"/>
    <w:rsid w:val="007A0A12"/>
    <w:rsid w:val="007A132D"/>
    <w:rsid w:val="007A714F"/>
    <w:rsid w:val="007A7557"/>
    <w:rsid w:val="007B0D68"/>
    <w:rsid w:val="007B251D"/>
    <w:rsid w:val="007B263F"/>
    <w:rsid w:val="007B2A0C"/>
    <w:rsid w:val="007B45DE"/>
    <w:rsid w:val="007B4F58"/>
    <w:rsid w:val="007B528D"/>
    <w:rsid w:val="007B77D1"/>
    <w:rsid w:val="007C1CD9"/>
    <w:rsid w:val="007C2A99"/>
    <w:rsid w:val="007C31C1"/>
    <w:rsid w:val="007C361D"/>
    <w:rsid w:val="007C49D3"/>
    <w:rsid w:val="007C4B84"/>
    <w:rsid w:val="007C7980"/>
    <w:rsid w:val="007D004F"/>
    <w:rsid w:val="007D0B38"/>
    <w:rsid w:val="007D1473"/>
    <w:rsid w:val="007D2BF6"/>
    <w:rsid w:val="007D431B"/>
    <w:rsid w:val="007D49BA"/>
    <w:rsid w:val="007D4EC5"/>
    <w:rsid w:val="007D5440"/>
    <w:rsid w:val="007E1976"/>
    <w:rsid w:val="007E5B85"/>
    <w:rsid w:val="007E5DF2"/>
    <w:rsid w:val="007E6D98"/>
    <w:rsid w:val="007F1017"/>
    <w:rsid w:val="007F12F8"/>
    <w:rsid w:val="007F15CA"/>
    <w:rsid w:val="007F458A"/>
    <w:rsid w:val="007F4A3F"/>
    <w:rsid w:val="007F4A61"/>
    <w:rsid w:val="007F61C2"/>
    <w:rsid w:val="007F78B0"/>
    <w:rsid w:val="00802F07"/>
    <w:rsid w:val="00803E61"/>
    <w:rsid w:val="00805142"/>
    <w:rsid w:val="00807A8B"/>
    <w:rsid w:val="00807D71"/>
    <w:rsid w:val="00811383"/>
    <w:rsid w:val="008113FB"/>
    <w:rsid w:val="00811E03"/>
    <w:rsid w:val="00812149"/>
    <w:rsid w:val="00812CAC"/>
    <w:rsid w:val="00816480"/>
    <w:rsid w:val="008166EF"/>
    <w:rsid w:val="00817FCA"/>
    <w:rsid w:val="00820038"/>
    <w:rsid w:val="00822226"/>
    <w:rsid w:val="00825751"/>
    <w:rsid w:val="008264EB"/>
    <w:rsid w:val="00830B57"/>
    <w:rsid w:val="00830BF8"/>
    <w:rsid w:val="00831A73"/>
    <w:rsid w:val="0083325D"/>
    <w:rsid w:val="008333E0"/>
    <w:rsid w:val="00833B05"/>
    <w:rsid w:val="00835254"/>
    <w:rsid w:val="008362B4"/>
    <w:rsid w:val="00837542"/>
    <w:rsid w:val="0083794C"/>
    <w:rsid w:val="00840870"/>
    <w:rsid w:val="00840CA2"/>
    <w:rsid w:val="00841375"/>
    <w:rsid w:val="008423B9"/>
    <w:rsid w:val="0084374F"/>
    <w:rsid w:val="00843FCE"/>
    <w:rsid w:val="00844DAE"/>
    <w:rsid w:val="00847DF5"/>
    <w:rsid w:val="0085309D"/>
    <w:rsid w:val="00854842"/>
    <w:rsid w:val="0085564C"/>
    <w:rsid w:val="00856897"/>
    <w:rsid w:val="00856E9A"/>
    <w:rsid w:val="00857991"/>
    <w:rsid w:val="0086075D"/>
    <w:rsid w:val="00862502"/>
    <w:rsid w:val="0086362E"/>
    <w:rsid w:val="0086597D"/>
    <w:rsid w:val="008660D4"/>
    <w:rsid w:val="008704F7"/>
    <w:rsid w:val="00871FA9"/>
    <w:rsid w:val="0087273D"/>
    <w:rsid w:val="008728E9"/>
    <w:rsid w:val="008737C7"/>
    <w:rsid w:val="00882874"/>
    <w:rsid w:val="00883787"/>
    <w:rsid w:val="00885F8E"/>
    <w:rsid w:val="0088697D"/>
    <w:rsid w:val="00886CD2"/>
    <w:rsid w:val="008870D6"/>
    <w:rsid w:val="0088715C"/>
    <w:rsid w:val="00891E94"/>
    <w:rsid w:val="00892A36"/>
    <w:rsid w:val="00893239"/>
    <w:rsid w:val="00894489"/>
    <w:rsid w:val="008963A5"/>
    <w:rsid w:val="00896E73"/>
    <w:rsid w:val="00897B67"/>
    <w:rsid w:val="008A063A"/>
    <w:rsid w:val="008A3363"/>
    <w:rsid w:val="008A3371"/>
    <w:rsid w:val="008A3C3E"/>
    <w:rsid w:val="008A6248"/>
    <w:rsid w:val="008A79DE"/>
    <w:rsid w:val="008B149B"/>
    <w:rsid w:val="008B1757"/>
    <w:rsid w:val="008B302F"/>
    <w:rsid w:val="008B51EA"/>
    <w:rsid w:val="008B71C4"/>
    <w:rsid w:val="008B7D7E"/>
    <w:rsid w:val="008C0D31"/>
    <w:rsid w:val="008C6F50"/>
    <w:rsid w:val="008C7ECB"/>
    <w:rsid w:val="008D011A"/>
    <w:rsid w:val="008D1581"/>
    <w:rsid w:val="008D3A98"/>
    <w:rsid w:val="008D4755"/>
    <w:rsid w:val="008D4C3D"/>
    <w:rsid w:val="008E0D3C"/>
    <w:rsid w:val="008E10AD"/>
    <w:rsid w:val="008E1B9E"/>
    <w:rsid w:val="008E23E7"/>
    <w:rsid w:val="008E2C9F"/>
    <w:rsid w:val="008E389A"/>
    <w:rsid w:val="008E4079"/>
    <w:rsid w:val="008E55AB"/>
    <w:rsid w:val="008E7B6B"/>
    <w:rsid w:val="008E7C2E"/>
    <w:rsid w:val="008F120A"/>
    <w:rsid w:val="008F1E0D"/>
    <w:rsid w:val="008F27E0"/>
    <w:rsid w:val="008F2D99"/>
    <w:rsid w:val="008F2FD5"/>
    <w:rsid w:val="008F48EB"/>
    <w:rsid w:val="008F4F0B"/>
    <w:rsid w:val="008F6608"/>
    <w:rsid w:val="0090014C"/>
    <w:rsid w:val="0090271F"/>
    <w:rsid w:val="00903A48"/>
    <w:rsid w:val="009046C4"/>
    <w:rsid w:val="009062A5"/>
    <w:rsid w:val="0090725A"/>
    <w:rsid w:val="00907302"/>
    <w:rsid w:val="00907A8D"/>
    <w:rsid w:val="00910F4C"/>
    <w:rsid w:val="00911272"/>
    <w:rsid w:val="009135D6"/>
    <w:rsid w:val="00914C77"/>
    <w:rsid w:val="009154E6"/>
    <w:rsid w:val="00916A9F"/>
    <w:rsid w:val="00917AC4"/>
    <w:rsid w:val="009208CB"/>
    <w:rsid w:val="00920CCC"/>
    <w:rsid w:val="00922D98"/>
    <w:rsid w:val="0092369B"/>
    <w:rsid w:val="00924E89"/>
    <w:rsid w:val="009265E9"/>
    <w:rsid w:val="00926F9F"/>
    <w:rsid w:val="00930BD4"/>
    <w:rsid w:val="00932A94"/>
    <w:rsid w:val="00937239"/>
    <w:rsid w:val="00942ECD"/>
    <w:rsid w:val="00943A9C"/>
    <w:rsid w:val="00944284"/>
    <w:rsid w:val="00947490"/>
    <w:rsid w:val="0095064E"/>
    <w:rsid w:val="009506E7"/>
    <w:rsid w:val="00950D15"/>
    <w:rsid w:val="009510A2"/>
    <w:rsid w:val="00953257"/>
    <w:rsid w:val="00953B7E"/>
    <w:rsid w:val="00953FBF"/>
    <w:rsid w:val="00956521"/>
    <w:rsid w:val="00956F66"/>
    <w:rsid w:val="00957065"/>
    <w:rsid w:val="009617F6"/>
    <w:rsid w:val="0096256D"/>
    <w:rsid w:val="00962CB9"/>
    <w:rsid w:val="00964312"/>
    <w:rsid w:val="00965034"/>
    <w:rsid w:val="00965B8A"/>
    <w:rsid w:val="00967CB7"/>
    <w:rsid w:val="009717AC"/>
    <w:rsid w:val="009739F4"/>
    <w:rsid w:val="00973D72"/>
    <w:rsid w:val="00976852"/>
    <w:rsid w:val="009776A3"/>
    <w:rsid w:val="00982317"/>
    <w:rsid w:val="00983E57"/>
    <w:rsid w:val="00985886"/>
    <w:rsid w:val="00985904"/>
    <w:rsid w:val="0098675D"/>
    <w:rsid w:val="00991288"/>
    <w:rsid w:val="009937AB"/>
    <w:rsid w:val="00993C4C"/>
    <w:rsid w:val="00994211"/>
    <w:rsid w:val="00996B1A"/>
    <w:rsid w:val="00996EDD"/>
    <w:rsid w:val="009A4388"/>
    <w:rsid w:val="009A4756"/>
    <w:rsid w:val="009A5427"/>
    <w:rsid w:val="009A6FFC"/>
    <w:rsid w:val="009A7F10"/>
    <w:rsid w:val="009B3E26"/>
    <w:rsid w:val="009B5D5E"/>
    <w:rsid w:val="009C3D83"/>
    <w:rsid w:val="009C6CEA"/>
    <w:rsid w:val="009C79BE"/>
    <w:rsid w:val="009C7B85"/>
    <w:rsid w:val="009D0239"/>
    <w:rsid w:val="009D0AE3"/>
    <w:rsid w:val="009D235F"/>
    <w:rsid w:val="009D37C6"/>
    <w:rsid w:val="009D5B91"/>
    <w:rsid w:val="009D792E"/>
    <w:rsid w:val="009E0DFE"/>
    <w:rsid w:val="009E0F95"/>
    <w:rsid w:val="009E141E"/>
    <w:rsid w:val="009E2CEC"/>
    <w:rsid w:val="009E3426"/>
    <w:rsid w:val="009E4C07"/>
    <w:rsid w:val="009F4240"/>
    <w:rsid w:val="009F4667"/>
    <w:rsid w:val="009F52B3"/>
    <w:rsid w:val="009F7B13"/>
    <w:rsid w:val="00A000C8"/>
    <w:rsid w:val="00A01184"/>
    <w:rsid w:val="00A02A69"/>
    <w:rsid w:val="00A03D43"/>
    <w:rsid w:val="00A04380"/>
    <w:rsid w:val="00A0488F"/>
    <w:rsid w:val="00A04DA8"/>
    <w:rsid w:val="00A11CD0"/>
    <w:rsid w:val="00A13948"/>
    <w:rsid w:val="00A1555B"/>
    <w:rsid w:val="00A15568"/>
    <w:rsid w:val="00A155C5"/>
    <w:rsid w:val="00A16AD8"/>
    <w:rsid w:val="00A16DAA"/>
    <w:rsid w:val="00A20CEC"/>
    <w:rsid w:val="00A214AD"/>
    <w:rsid w:val="00A21CF3"/>
    <w:rsid w:val="00A23E6F"/>
    <w:rsid w:val="00A2553D"/>
    <w:rsid w:val="00A25C3B"/>
    <w:rsid w:val="00A260D8"/>
    <w:rsid w:val="00A27AEC"/>
    <w:rsid w:val="00A30477"/>
    <w:rsid w:val="00A316E9"/>
    <w:rsid w:val="00A3179A"/>
    <w:rsid w:val="00A320DB"/>
    <w:rsid w:val="00A3483E"/>
    <w:rsid w:val="00A34E56"/>
    <w:rsid w:val="00A35D16"/>
    <w:rsid w:val="00A35D35"/>
    <w:rsid w:val="00A36B70"/>
    <w:rsid w:val="00A370CA"/>
    <w:rsid w:val="00A37BCD"/>
    <w:rsid w:val="00A4182C"/>
    <w:rsid w:val="00A42319"/>
    <w:rsid w:val="00A43C59"/>
    <w:rsid w:val="00A46A26"/>
    <w:rsid w:val="00A50A0B"/>
    <w:rsid w:val="00A50ECD"/>
    <w:rsid w:val="00A518F3"/>
    <w:rsid w:val="00A5251A"/>
    <w:rsid w:val="00A52729"/>
    <w:rsid w:val="00A53675"/>
    <w:rsid w:val="00A564D7"/>
    <w:rsid w:val="00A56B6A"/>
    <w:rsid w:val="00A578DC"/>
    <w:rsid w:val="00A57B8F"/>
    <w:rsid w:val="00A61E6F"/>
    <w:rsid w:val="00A65DFB"/>
    <w:rsid w:val="00A6725B"/>
    <w:rsid w:val="00A7031F"/>
    <w:rsid w:val="00A70605"/>
    <w:rsid w:val="00A73134"/>
    <w:rsid w:val="00A74AEC"/>
    <w:rsid w:val="00A74DE6"/>
    <w:rsid w:val="00A75CDE"/>
    <w:rsid w:val="00A76E11"/>
    <w:rsid w:val="00A777B2"/>
    <w:rsid w:val="00A809AC"/>
    <w:rsid w:val="00A81F15"/>
    <w:rsid w:val="00A822CB"/>
    <w:rsid w:val="00A84823"/>
    <w:rsid w:val="00A856FD"/>
    <w:rsid w:val="00A85A5C"/>
    <w:rsid w:val="00A86E8B"/>
    <w:rsid w:val="00A87164"/>
    <w:rsid w:val="00A900D3"/>
    <w:rsid w:val="00A91A99"/>
    <w:rsid w:val="00A93072"/>
    <w:rsid w:val="00A93953"/>
    <w:rsid w:val="00A93A9F"/>
    <w:rsid w:val="00A959D8"/>
    <w:rsid w:val="00A97507"/>
    <w:rsid w:val="00AA113D"/>
    <w:rsid w:val="00AA2E2A"/>
    <w:rsid w:val="00AA30B2"/>
    <w:rsid w:val="00AA4829"/>
    <w:rsid w:val="00AA66E3"/>
    <w:rsid w:val="00AA6998"/>
    <w:rsid w:val="00AA6C7D"/>
    <w:rsid w:val="00AA7FD6"/>
    <w:rsid w:val="00AB042A"/>
    <w:rsid w:val="00AB2D34"/>
    <w:rsid w:val="00AB3430"/>
    <w:rsid w:val="00AB3CA6"/>
    <w:rsid w:val="00AB3EBF"/>
    <w:rsid w:val="00AB4AD1"/>
    <w:rsid w:val="00AB7CFA"/>
    <w:rsid w:val="00AC17A7"/>
    <w:rsid w:val="00AC4F62"/>
    <w:rsid w:val="00AC5B48"/>
    <w:rsid w:val="00AC70C2"/>
    <w:rsid w:val="00AC7B10"/>
    <w:rsid w:val="00AD208F"/>
    <w:rsid w:val="00AD3EA5"/>
    <w:rsid w:val="00AD4ACC"/>
    <w:rsid w:val="00AD6502"/>
    <w:rsid w:val="00AE27D4"/>
    <w:rsid w:val="00AE3941"/>
    <w:rsid w:val="00AE5C21"/>
    <w:rsid w:val="00AE73AA"/>
    <w:rsid w:val="00AE7819"/>
    <w:rsid w:val="00AF1315"/>
    <w:rsid w:val="00AF19BF"/>
    <w:rsid w:val="00AF2DC3"/>
    <w:rsid w:val="00AF527E"/>
    <w:rsid w:val="00B00960"/>
    <w:rsid w:val="00B00A89"/>
    <w:rsid w:val="00B021DF"/>
    <w:rsid w:val="00B033E5"/>
    <w:rsid w:val="00B03A63"/>
    <w:rsid w:val="00B06583"/>
    <w:rsid w:val="00B10032"/>
    <w:rsid w:val="00B1089E"/>
    <w:rsid w:val="00B10FE2"/>
    <w:rsid w:val="00B12954"/>
    <w:rsid w:val="00B12F84"/>
    <w:rsid w:val="00B1472E"/>
    <w:rsid w:val="00B17429"/>
    <w:rsid w:val="00B201A4"/>
    <w:rsid w:val="00B213A6"/>
    <w:rsid w:val="00B24DF6"/>
    <w:rsid w:val="00B300F3"/>
    <w:rsid w:val="00B31D82"/>
    <w:rsid w:val="00B33C05"/>
    <w:rsid w:val="00B34FE2"/>
    <w:rsid w:val="00B357D8"/>
    <w:rsid w:val="00B36287"/>
    <w:rsid w:val="00B36499"/>
    <w:rsid w:val="00B37359"/>
    <w:rsid w:val="00B37BFC"/>
    <w:rsid w:val="00B40358"/>
    <w:rsid w:val="00B41614"/>
    <w:rsid w:val="00B42846"/>
    <w:rsid w:val="00B42851"/>
    <w:rsid w:val="00B42E05"/>
    <w:rsid w:val="00B42F80"/>
    <w:rsid w:val="00B43006"/>
    <w:rsid w:val="00B435CB"/>
    <w:rsid w:val="00B4530D"/>
    <w:rsid w:val="00B4643A"/>
    <w:rsid w:val="00B50DB8"/>
    <w:rsid w:val="00B51D7A"/>
    <w:rsid w:val="00B53654"/>
    <w:rsid w:val="00B53761"/>
    <w:rsid w:val="00B53905"/>
    <w:rsid w:val="00B54B5B"/>
    <w:rsid w:val="00B54F30"/>
    <w:rsid w:val="00B5562E"/>
    <w:rsid w:val="00B55A43"/>
    <w:rsid w:val="00B57000"/>
    <w:rsid w:val="00B60939"/>
    <w:rsid w:val="00B60AFD"/>
    <w:rsid w:val="00B60F9F"/>
    <w:rsid w:val="00B613EB"/>
    <w:rsid w:val="00B62715"/>
    <w:rsid w:val="00B70A90"/>
    <w:rsid w:val="00B727D2"/>
    <w:rsid w:val="00B73E6D"/>
    <w:rsid w:val="00B7766A"/>
    <w:rsid w:val="00B8138E"/>
    <w:rsid w:val="00B818A4"/>
    <w:rsid w:val="00B81DE9"/>
    <w:rsid w:val="00B8370C"/>
    <w:rsid w:val="00B84117"/>
    <w:rsid w:val="00B85AA2"/>
    <w:rsid w:val="00B8649C"/>
    <w:rsid w:val="00B87F0A"/>
    <w:rsid w:val="00B92D0B"/>
    <w:rsid w:val="00B9478A"/>
    <w:rsid w:val="00B94945"/>
    <w:rsid w:val="00BA10D2"/>
    <w:rsid w:val="00BA2918"/>
    <w:rsid w:val="00BA322D"/>
    <w:rsid w:val="00BA380A"/>
    <w:rsid w:val="00BB0BDD"/>
    <w:rsid w:val="00BB2A73"/>
    <w:rsid w:val="00BB2FDB"/>
    <w:rsid w:val="00BB4ACC"/>
    <w:rsid w:val="00BB703E"/>
    <w:rsid w:val="00BB7405"/>
    <w:rsid w:val="00BC0CE1"/>
    <w:rsid w:val="00BC260B"/>
    <w:rsid w:val="00BC3631"/>
    <w:rsid w:val="00BC444B"/>
    <w:rsid w:val="00BC74A1"/>
    <w:rsid w:val="00BD286E"/>
    <w:rsid w:val="00BD4A0D"/>
    <w:rsid w:val="00BD555E"/>
    <w:rsid w:val="00BD68A3"/>
    <w:rsid w:val="00BD6938"/>
    <w:rsid w:val="00BD6CF3"/>
    <w:rsid w:val="00BD760A"/>
    <w:rsid w:val="00BE2180"/>
    <w:rsid w:val="00BE21F2"/>
    <w:rsid w:val="00BE2812"/>
    <w:rsid w:val="00BE296C"/>
    <w:rsid w:val="00BE4275"/>
    <w:rsid w:val="00BE4FA5"/>
    <w:rsid w:val="00BE7E03"/>
    <w:rsid w:val="00BF0F95"/>
    <w:rsid w:val="00BF2433"/>
    <w:rsid w:val="00BF3391"/>
    <w:rsid w:val="00BF392E"/>
    <w:rsid w:val="00BF61C9"/>
    <w:rsid w:val="00BF6C94"/>
    <w:rsid w:val="00C00424"/>
    <w:rsid w:val="00C01D5F"/>
    <w:rsid w:val="00C02E14"/>
    <w:rsid w:val="00C07ACE"/>
    <w:rsid w:val="00C11489"/>
    <w:rsid w:val="00C117C1"/>
    <w:rsid w:val="00C12C14"/>
    <w:rsid w:val="00C160C5"/>
    <w:rsid w:val="00C17D20"/>
    <w:rsid w:val="00C200AA"/>
    <w:rsid w:val="00C2111B"/>
    <w:rsid w:val="00C237ED"/>
    <w:rsid w:val="00C24632"/>
    <w:rsid w:val="00C25418"/>
    <w:rsid w:val="00C2544D"/>
    <w:rsid w:val="00C25D9C"/>
    <w:rsid w:val="00C2778B"/>
    <w:rsid w:val="00C31649"/>
    <w:rsid w:val="00C33936"/>
    <w:rsid w:val="00C345DB"/>
    <w:rsid w:val="00C346BA"/>
    <w:rsid w:val="00C35104"/>
    <w:rsid w:val="00C35E2D"/>
    <w:rsid w:val="00C37F80"/>
    <w:rsid w:val="00C40385"/>
    <w:rsid w:val="00C4090D"/>
    <w:rsid w:val="00C417DF"/>
    <w:rsid w:val="00C41ABE"/>
    <w:rsid w:val="00C421C1"/>
    <w:rsid w:val="00C43D73"/>
    <w:rsid w:val="00C44B77"/>
    <w:rsid w:val="00C44E8B"/>
    <w:rsid w:val="00C475AA"/>
    <w:rsid w:val="00C476C1"/>
    <w:rsid w:val="00C47F65"/>
    <w:rsid w:val="00C508B1"/>
    <w:rsid w:val="00C51CAA"/>
    <w:rsid w:val="00C53858"/>
    <w:rsid w:val="00C549E6"/>
    <w:rsid w:val="00C565B4"/>
    <w:rsid w:val="00C5722D"/>
    <w:rsid w:val="00C611A7"/>
    <w:rsid w:val="00C613FD"/>
    <w:rsid w:val="00C61EB7"/>
    <w:rsid w:val="00C65576"/>
    <w:rsid w:val="00C66165"/>
    <w:rsid w:val="00C70163"/>
    <w:rsid w:val="00C7151A"/>
    <w:rsid w:val="00C71F60"/>
    <w:rsid w:val="00C72241"/>
    <w:rsid w:val="00C727BE"/>
    <w:rsid w:val="00C73BAF"/>
    <w:rsid w:val="00C750C8"/>
    <w:rsid w:val="00C754CF"/>
    <w:rsid w:val="00C7560F"/>
    <w:rsid w:val="00C8025F"/>
    <w:rsid w:val="00C80A0E"/>
    <w:rsid w:val="00C80BA3"/>
    <w:rsid w:val="00C81074"/>
    <w:rsid w:val="00C81D82"/>
    <w:rsid w:val="00C8213F"/>
    <w:rsid w:val="00C82484"/>
    <w:rsid w:val="00C83859"/>
    <w:rsid w:val="00C85348"/>
    <w:rsid w:val="00C86395"/>
    <w:rsid w:val="00C86B60"/>
    <w:rsid w:val="00C8797A"/>
    <w:rsid w:val="00C900B8"/>
    <w:rsid w:val="00C90C71"/>
    <w:rsid w:val="00C90D29"/>
    <w:rsid w:val="00C9189F"/>
    <w:rsid w:val="00C91A38"/>
    <w:rsid w:val="00C9249E"/>
    <w:rsid w:val="00C9308F"/>
    <w:rsid w:val="00C931CF"/>
    <w:rsid w:val="00C938CF"/>
    <w:rsid w:val="00C95A19"/>
    <w:rsid w:val="00C9624D"/>
    <w:rsid w:val="00C966C9"/>
    <w:rsid w:val="00C969DA"/>
    <w:rsid w:val="00C9710E"/>
    <w:rsid w:val="00CA072B"/>
    <w:rsid w:val="00CA2C77"/>
    <w:rsid w:val="00CA41ED"/>
    <w:rsid w:val="00CA444F"/>
    <w:rsid w:val="00CA49CA"/>
    <w:rsid w:val="00CA5245"/>
    <w:rsid w:val="00CA5CB5"/>
    <w:rsid w:val="00CA7102"/>
    <w:rsid w:val="00CA71F4"/>
    <w:rsid w:val="00CA7B09"/>
    <w:rsid w:val="00CB002A"/>
    <w:rsid w:val="00CB0831"/>
    <w:rsid w:val="00CB2F2A"/>
    <w:rsid w:val="00CB5B1A"/>
    <w:rsid w:val="00CB6B22"/>
    <w:rsid w:val="00CB7F5F"/>
    <w:rsid w:val="00CC13A3"/>
    <w:rsid w:val="00CC1B39"/>
    <w:rsid w:val="00CC30EF"/>
    <w:rsid w:val="00CC36E8"/>
    <w:rsid w:val="00CC5222"/>
    <w:rsid w:val="00CC5378"/>
    <w:rsid w:val="00CC71B6"/>
    <w:rsid w:val="00CC739A"/>
    <w:rsid w:val="00CC78F5"/>
    <w:rsid w:val="00CD02A4"/>
    <w:rsid w:val="00CD21E6"/>
    <w:rsid w:val="00CD58EC"/>
    <w:rsid w:val="00CD6ADC"/>
    <w:rsid w:val="00CE05BF"/>
    <w:rsid w:val="00CE26D8"/>
    <w:rsid w:val="00CE312F"/>
    <w:rsid w:val="00CE4EC7"/>
    <w:rsid w:val="00CE56BC"/>
    <w:rsid w:val="00CE6274"/>
    <w:rsid w:val="00CE6715"/>
    <w:rsid w:val="00CE7372"/>
    <w:rsid w:val="00CE7B60"/>
    <w:rsid w:val="00CF2B8D"/>
    <w:rsid w:val="00CF30DA"/>
    <w:rsid w:val="00CF456B"/>
    <w:rsid w:val="00CF5528"/>
    <w:rsid w:val="00CF5A22"/>
    <w:rsid w:val="00CF5BC1"/>
    <w:rsid w:val="00CF64A5"/>
    <w:rsid w:val="00CF67DD"/>
    <w:rsid w:val="00CF76BC"/>
    <w:rsid w:val="00D0172F"/>
    <w:rsid w:val="00D0262E"/>
    <w:rsid w:val="00D03C7B"/>
    <w:rsid w:val="00D04BED"/>
    <w:rsid w:val="00D108C3"/>
    <w:rsid w:val="00D110BD"/>
    <w:rsid w:val="00D13675"/>
    <w:rsid w:val="00D141E1"/>
    <w:rsid w:val="00D142B5"/>
    <w:rsid w:val="00D16239"/>
    <w:rsid w:val="00D16E6A"/>
    <w:rsid w:val="00D17D6C"/>
    <w:rsid w:val="00D2097C"/>
    <w:rsid w:val="00D22088"/>
    <w:rsid w:val="00D2384E"/>
    <w:rsid w:val="00D2406E"/>
    <w:rsid w:val="00D244A8"/>
    <w:rsid w:val="00D254D8"/>
    <w:rsid w:val="00D2754D"/>
    <w:rsid w:val="00D27B27"/>
    <w:rsid w:val="00D315D9"/>
    <w:rsid w:val="00D325F3"/>
    <w:rsid w:val="00D33BE9"/>
    <w:rsid w:val="00D357FF"/>
    <w:rsid w:val="00D40B1C"/>
    <w:rsid w:val="00D424C7"/>
    <w:rsid w:val="00D439D9"/>
    <w:rsid w:val="00D43B2A"/>
    <w:rsid w:val="00D43B3F"/>
    <w:rsid w:val="00D444F5"/>
    <w:rsid w:val="00D47575"/>
    <w:rsid w:val="00D50D99"/>
    <w:rsid w:val="00D55894"/>
    <w:rsid w:val="00D57E2B"/>
    <w:rsid w:val="00D60D91"/>
    <w:rsid w:val="00D61780"/>
    <w:rsid w:val="00D6585C"/>
    <w:rsid w:val="00D7058B"/>
    <w:rsid w:val="00D70F16"/>
    <w:rsid w:val="00D735E2"/>
    <w:rsid w:val="00D74981"/>
    <w:rsid w:val="00D74B7D"/>
    <w:rsid w:val="00D7591D"/>
    <w:rsid w:val="00D76A44"/>
    <w:rsid w:val="00D815EF"/>
    <w:rsid w:val="00D845D7"/>
    <w:rsid w:val="00D861FD"/>
    <w:rsid w:val="00D87252"/>
    <w:rsid w:val="00D905D5"/>
    <w:rsid w:val="00D91923"/>
    <w:rsid w:val="00D93753"/>
    <w:rsid w:val="00D96F92"/>
    <w:rsid w:val="00DA15C2"/>
    <w:rsid w:val="00DA29FB"/>
    <w:rsid w:val="00DA3167"/>
    <w:rsid w:val="00DA4C7B"/>
    <w:rsid w:val="00DA4DC3"/>
    <w:rsid w:val="00DA77A5"/>
    <w:rsid w:val="00DB0895"/>
    <w:rsid w:val="00DB1061"/>
    <w:rsid w:val="00DB26A5"/>
    <w:rsid w:val="00DB32CB"/>
    <w:rsid w:val="00DB3E7C"/>
    <w:rsid w:val="00DB484F"/>
    <w:rsid w:val="00DB5266"/>
    <w:rsid w:val="00DB7668"/>
    <w:rsid w:val="00DB791B"/>
    <w:rsid w:val="00DC04F6"/>
    <w:rsid w:val="00DC1F10"/>
    <w:rsid w:val="00DC3C57"/>
    <w:rsid w:val="00DC5501"/>
    <w:rsid w:val="00DC6DC1"/>
    <w:rsid w:val="00DD1D0B"/>
    <w:rsid w:val="00DD207B"/>
    <w:rsid w:val="00DD273C"/>
    <w:rsid w:val="00DD3F28"/>
    <w:rsid w:val="00DD4537"/>
    <w:rsid w:val="00DD4E15"/>
    <w:rsid w:val="00DD64D4"/>
    <w:rsid w:val="00DE0ED3"/>
    <w:rsid w:val="00DE2497"/>
    <w:rsid w:val="00DE3138"/>
    <w:rsid w:val="00DE37F8"/>
    <w:rsid w:val="00DE4FCB"/>
    <w:rsid w:val="00DE7832"/>
    <w:rsid w:val="00DF0CA6"/>
    <w:rsid w:val="00DF12E9"/>
    <w:rsid w:val="00DF18FC"/>
    <w:rsid w:val="00DF2C1A"/>
    <w:rsid w:val="00DF332B"/>
    <w:rsid w:val="00DF4933"/>
    <w:rsid w:val="00DF5055"/>
    <w:rsid w:val="00DF5D2B"/>
    <w:rsid w:val="00DF7628"/>
    <w:rsid w:val="00E00E8E"/>
    <w:rsid w:val="00E01044"/>
    <w:rsid w:val="00E03128"/>
    <w:rsid w:val="00E05630"/>
    <w:rsid w:val="00E06DBB"/>
    <w:rsid w:val="00E10149"/>
    <w:rsid w:val="00E10757"/>
    <w:rsid w:val="00E10B21"/>
    <w:rsid w:val="00E11A60"/>
    <w:rsid w:val="00E16372"/>
    <w:rsid w:val="00E204DE"/>
    <w:rsid w:val="00E20E4D"/>
    <w:rsid w:val="00E20ED6"/>
    <w:rsid w:val="00E21358"/>
    <w:rsid w:val="00E21D41"/>
    <w:rsid w:val="00E2249B"/>
    <w:rsid w:val="00E22A0D"/>
    <w:rsid w:val="00E22FC3"/>
    <w:rsid w:val="00E274D6"/>
    <w:rsid w:val="00E2771E"/>
    <w:rsid w:val="00E34948"/>
    <w:rsid w:val="00E36D12"/>
    <w:rsid w:val="00E37569"/>
    <w:rsid w:val="00E37A95"/>
    <w:rsid w:val="00E41D02"/>
    <w:rsid w:val="00E41E30"/>
    <w:rsid w:val="00E43D70"/>
    <w:rsid w:val="00E45B8A"/>
    <w:rsid w:val="00E466F3"/>
    <w:rsid w:val="00E47185"/>
    <w:rsid w:val="00E47B2C"/>
    <w:rsid w:val="00E51560"/>
    <w:rsid w:val="00E52147"/>
    <w:rsid w:val="00E5339F"/>
    <w:rsid w:val="00E54347"/>
    <w:rsid w:val="00E55424"/>
    <w:rsid w:val="00E55BB5"/>
    <w:rsid w:val="00E625B6"/>
    <w:rsid w:val="00E65E79"/>
    <w:rsid w:val="00E66BA2"/>
    <w:rsid w:val="00E67416"/>
    <w:rsid w:val="00E6766D"/>
    <w:rsid w:val="00E718B6"/>
    <w:rsid w:val="00E72366"/>
    <w:rsid w:val="00E723BA"/>
    <w:rsid w:val="00E73581"/>
    <w:rsid w:val="00E75112"/>
    <w:rsid w:val="00E767BE"/>
    <w:rsid w:val="00E77898"/>
    <w:rsid w:val="00E823DA"/>
    <w:rsid w:val="00E82DE0"/>
    <w:rsid w:val="00E833F7"/>
    <w:rsid w:val="00E83BDF"/>
    <w:rsid w:val="00E87A1D"/>
    <w:rsid w:val="00E926A5"/>
    <w:rsid w:val="00E95B51"/>
    <w:rsid w:val="00EA0351"/>
    <w:rsid w:val="00EA127E"/>
    <w:rsid w:val="00EA17C3"/>
    <w:rsid w:val="00EA2CAA"/>
    <w:rsid w:val="00EA32D4"/>
    <w:rsid w:val="00EA3864"/>
    <w:rsid w:val="00EA5BAB"/>
    <w:rsid w:val="00EB1138"/>
    <w:rsid w:val="00EB15B6"/>
    <w:rsid w:val="00EB21B5"/>
    <w:rsid w:val="00EB2952"/>
    <w:rsid w:val="00EB4916"/>
    <w:rsid w:val="00EC00C9"/>
    <w:rsid w:val="00EC0658"/>
    <w:rsid w:val="00EC21AC"/>
    <w:rsid w:val="00EC243D"/>
    <w:rsid w:val="00EC2649"/>
    <w:rsid w:val="00EC67C0"/>
    <w:rsid w:val="00EC744E"/>
    <w:rsid w:val="00ED4125"/>
    <w:rsid w:val="00ED57EA"/>
    <w:rsid w:val="00ED657A"/>
    <w:rsid w:val="00EE07D3"/>
    <w:rsid w:val="00EE22AF"/>
    <w:rsid w:val="00EE2B21"/>
    <w:rsid w:val="00EE53FA"/>
    <w:rsid w:val="00EF0171"/>
    <w:rsid w:val="00EF1B25"/>
    <w:rsid w:val="00EF2D25"/>
    <w:rsid w:val="00EF3B68"/>
    <w:rsid w:val="00EF4747"/>
    <w:rsid w:val="00EF4B74"/>
    <w:rsid w:val="00EF4BF8"/>
    <w:rsid w:val="00F02253"/>
    <w:rsid w:val="00F03C2E"/>
    <w:rsid w:val="00F04A66"/>
    <w:rsid w:val="00F0516C"/>
    <w:rsid w:val="00F05EB1"/>
    <w:rsid w:val="00F067A2"/>
    <w:rsid w:val="00F11CCA"/>
    <w:rsid w:val="00F120E1"/>
    <w:rsid w:val="00F1263A"/>
    <w:rsid w:val="00F22C98"/>
    <w:rsid w:val="00F23468"/>
    <w:rsid w:val="00F240B4"/>
    <w:rsid w:val="00F24837"/>
    <w:rsid w:val="00F2575F"/>
    <w:rsid w:val="00F2638C"/>
    <w:rsid w:val="00F27565"/>
    <w:rsid w:val="00F27BD3"/>
    <w:rsid w:val="00F30268"/>
    <w:rsid w:val="00F310D4"/>
    <w:rsid w:val="00F3116F"/>
    <w:rsid w:val="00F31C71"/>
    <w:rsid w:val="00F31D5A"/>
    <w:rsid w:val="00F3337C"/>
    <w:rsid w:val="00F33DE9"/>
    <w:rsid w:val="00F3619A"/>
    <w:rsid w:val="00F40AAA"/>
    <w:rsid w:val="00F40BA7"/>
    <w:rsid w:val="00F40FCE"/>
    <w:rsid w:val="00F41D8D"/>
    <w:rsid w:val="00F46CB6"/>
    <w:rsid w:val="00F47DE8"/>
    <w:rsid w:val="00F51C9A"/>
    <w:rsid w:val="00F53C08"/>
    <w:rsid w:val="00F542C1"/>
    <w:rsid w:val="00F54B76"/>
    <w:rsid w:val="00F55E73"/>
    <w:rsid w:val="00F55EDA"/>
    <w:rsid w:val="00F60092"/>
    <w:rsid w:val="00F603AC"/>
    <w:rsid w:val="00F6319C"/>
    <w:rsid w:val="00F64EA7"/>
    <w:rsid w:val="00F65F4B"/>
    <w:rsid w:val="00F70110"/>
    <w:rsid w:val="00F70C9D"/>
    <w:rsid w:val="00F71D4B"/>
    <w:rsid w:val="00F72571"/>
    <w:rsid w:val="00F74CD9"/>
    <w:rsid w:val="00F77A8A"/>
    <w:rsid w:val="00F77F16"/>
    <w:rsid w:val="00F80A7B"/>
    <w:rsid w:val="00F80E48"/>
    <w:rsid w:val="00F80E5D"/>
    <w:rsid w:val="00F82732"/>
    <w:rsid w:val="00F841C0"/>
    <w:rsid w:val="00F851CE"/>
    <w:rsid w:val="00F9049B"/>
    <w:rsid w:val="00F91219"/>
    <w:rsid w:val="00F9145D"/>
    <w:rsid w:val="00F92FE4"/>
    <w:rsid w:val="00F93DDF"/>
    <w:rsid w:val="00F94111"/>
    <w:rsid w:val="00F945E9"/>
    <w:rsid w:val="00F947EE"/>
    <w:rsid w:val="00F963E2"/>
    <w:rsid w:val="00F97A78"/>
    <w:rsid w:val="00FA0B20"/>
    <w:rsid w:val="00FA24E7"/>
    <w:rsid w:val="00FA2F19"/>
    <w:rsid w:val="00FA5357"/>
    <w:rsid w:val="00FA6517"/>
    <w:rsid w:val="00FA7A04"/>
    <w:rsid w:val="00FB14AC"/>
    <w:rsid w:val="00FB1791"/>
    <w:rsid w:val="00FB2694"/>
    <w:rsid w:val="00FB2FCB"/>
    <w:rsid w:val="00FB57E0"/>
    <w:rsid w:val="00FC1074"/>
    <w:rsid w:val="00FC1884"/>
    <w:rsid w:val="00FC271D"/>
    <w:rsid w:val="00FC371D"/>
    <w:rsid w:val="00FC52B4"/>
    <w:rsid w:val="00FC5F0B"/>
    <w:rsid w:val="00FC5FA7"/>
    <w:rsid w:val="00FC66BC"/>
    <w:rsid w:val="00FD0A48"/>
    <w:rsid w:val="00FD10E1"/>
    <w:rsid w:val="00FD2100"/>
    <w:rsid w:val="00FD436C"/>
    <w:rsid w:val="00FD446D"/>
    <w:rsid w:val="00FD45EC"/>
    <w:rsid w:val="00FD48EF"/>
    <w:rsid w:val="00FD5F2B"/>
    <w:rsid w:val="00FD6394"/>
    <w:rsid w:val="00FD70A0"/>
    <w:rsid w:val="00FE0E6C"/>
    <w:rsid w:val="00FE3EB7"/>
    <w:rsid w:val="00FE70C3"/>
    <w:rsid w:val="00FF0895"/>
    <w:rsid w:val="00FF39AA"/>
    <w:rsid w:val="00FF3DCF"/>
    <w:rsid w:val="00FF43A3"/>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F6BE7"/>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406B77"/>
    <w:pPr>
      <w:numPr>
        <w:numId w:val="3"/>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PBStabletext">
    <w:name w:val="PBS table text"/>
    <w:basedOn w:val="Normal"/>
    <w:link w:val="PBStabletextChar"/>
    <w:qFormat/>
    <w:rsid w:val="006364DD"/>
    <w:pPr>
      <w:widowControl/>
      <w:jc w:val="left"/>
    </w:pPr>
    <w:rPr>
      <w:rFonts w:ascii="Arial Narrow" w:hAnsi="Arial Narrow" w:cs="Times New Roman"/>
      <w:snapToGrid/>
      <w:sz w:val="20"/>
    </w:rPr>
  </w:style>
  <w:style w:type="paragraph" w:customStyle="1" w:styleId="PBStablefooter">
    <w:name w:val="PBS table footer"/>
    <w:basedOn w:val="Normal"/>
    <w:link w:val="PBStablefooterChar"/>
    <w:qFormat/>
    <w:rsid w:val="006364DD"/>
    <w:rPr>
      <w:rFonts w:ascii="Arial Narrow" w:hAnsi="Arial Narrow"/>
      <w:sz w:val="18"/>
    </w:rPr>
  </w:style>
  <w:style w:type="character" w:customStyle="1" w:styleId="PBStabletextChar">
    <w:name w:val="PBS table text Char"/>
    <w:basedOn w:val="DefaultParagraphFont"/>
    <w:link w:val="PBStabletext"/>
    <w:rsid w:val="006364DD"/>
    <w:rPr>
      <w:rFonts w:ascii="Arial Narrow" w:hAnsi="Arial Narrow"/>
      <w:szCs w:val="22"/>
      <w:lang w:eastAsia="en-US"/>
    </w:rPr>
  </w:style>
  <w:style w:type="character" w:customStyle="1" w:styleId="PBStablefooterChar">
    <w:name w:val="PBS table footer Char"/>
    <w:basedOn w:val="DefaultParagraphFont"/>
    <w:link w:val="PBStablefooter"/>
    <w:rsid w:val="006364DD"/>
    <w:rPr>
      <w:rFonts w:ascii="Arial Narrow" w:hAnsi="Arial Narrow" w:cs="Arial"/>
      <w:snapToGrid w:val="0"/>
      <w:sz w:val="18"/>
      <w:szCs w:val="22"/>
      <w:lang w:eastAsia="en-US"/>
    </w:rPr>
  </w:style>
  <w:style w:type="table" w:customStyle="1" w:styleId="TableGridbeth1">
    <w:name w:val="Table Gridbeth1"/>
    <w:basedOn w:val="TableNormal"/>
    <w:next w:val="TableGrid"/>
    <w:uiPriority w:val="59"/>
    <w:rsid w:val="00EB2952"/>
    <w:pPr>
      <w:spacing w:after="24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59"/>
    <w:rsid w:val="00EB2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EB2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EB2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D4A0D"/>
    <w:pPr>
      <w:widowControl/>
      <w:spacing w:after="160" w:line="240" w:lineRule="exact"/>
      <w:jc w:val="left"/>
    </w:pPr>
    <w:rPr>
      <w:rFonts w:ascii="Verdana" w:eastAsia="MS Mincho" w:hAnsi="Verdana" w:cs="Verdana"/>
      <w:snapToGrid/>
      <w:sz w:val="20"/>
      <w:szCs w:val="20"/>
      <w:lang w:val="en-US"/>
    </w:rPr>
  </w:style>
  <w:style w:type="paragraph" w:styleId="ListNumber2">
    <w:name w:val="List Number 2"/>
    <w:basedOn w:val="Normal"/>
    <w:rsid w:val="001B5D69"/>
    <w:pPr>
      <w:widowControl/>
      <w:numPr>
        <w:numId w:val="29"/>
      </w:numPr>
      <w:jc w:val="left"/>
    </w:pPr>
    <w:rPr>
      <w:rFonts w:ascii="Times New Roman" w:hAnsi="Times New Roman" w:cs="Times New Roman"/>
      <w:snapToGrid/>
      <w:szCs w:val="20"/>
      <w:lang w:eastAsia="en-AU"/>
    </w:rPr>
  </w:style>
  <w:style w:type="paragraph" w:customStyle="1" w:styleId="PBACX11">
    <w:name w:val="PBAC X.1.1"/>
    <w:basedOn w:val="Heading3"/>
    <w:link w:val="PBACX11Char"/>
    <w:qFormat/>
    <w:rsid w:val="001B5D69"/>
    <w:pPr>
      <w:keepNext/>
      <w:widowControl/>
      <w:spacing w:before="240"/>
      <w:jc w:val="left"/>
    </w:pPr>
    <w:rPr>
      <w:rFonts w:ascii="Calibri Light" w:hAnsi="Calibri Light" w:cs="Times New Roman"/>
      <w:b/>
      <w:bCs/>
      <w:snapToGrid/>
      <w:sz w:val="22"/>
      <w:szCs w:val="26"/>
      <w:u w:val="none"/>
      <w:lang w:val="en-GB" w:eastAsia="zh-CN"/>
    </w:rPr>
  </w:style>
  <w:style w:type="character" w:customStyle="1" w:styleId="PBACX11Char">
    <w:name w:val="PBAC X.1.1 Char"/>
    <w:link w:val="PBACX11"/>
    <w:rsid w:val="001B5D69"/>
    <w:rPr>
      <w:rFonts w:ascii="Calibri Light" w:hAnsi="Calibri Light"/>
      <w:b/>
      <w:bCs/>
      <w:sz w:val="22"/>
      <w:szCs w:val="26"/>
      <w:lang w:val="en-GB" w:eastAsia="zh-CN"/>
    </w:rPr>
  </w:style>
  <w:style w:type="character" w:styleId="FootnoteReference">
    <w:name w:val="footnote reference"/>
    <w:basedOn w:val="DefaultParagraphFont"/>
    <w:uiPriority w:val="99"/>
    <w:rsid w:val="000677C5"/>
    <w:rPr>
      <w:rFonts w:cs="Times New Roman"/>
      <w:vertAlign w:val="superscript"/>
    </w:rPr>
  </w:style>
  <w:style w:type="paragraph" w:styleId="PlainText">
    <w:name w:val="Plain Text"/>
    <w:basedOn w:val="Normal"/>
    <w:link w:val="PlainTextChar"/>
    <w:uiPriority w:val="99"/>
    <w:unhideWhenUsed/>
    <w:rsid w:val="002A275A"/>
    <w:pPr>
      <w:widowControl/>
      <w:jc w:val="left"/>
    </w:pPr>
    <w:rPr>
      <w:rFonts w:ascii="Consolas" w:eastAsiaTheme="minorHAnsi" w:hAnsi="Consolas" w:cstheme="minorBidi"/>
      <w:snapToGrid/>
      <w:sz w:val="21"/>
      <w:szCs w:val="21"/>
      <w:lang w:val="en-US"/>
    </w:rPr>
  </w:style>
  <w:style w:type="character" w:customStyle="1" w:styleId="PlainTextChar">
    <w:name w:val="Plain Text Char"/>
    <w:basedOn w:val="DefaultParagraphFont"/>
    <w:link w:val="PlainText"/>
    <w:uiPriority w:val="99"/>
    <w:rsid w:val="002A275A"/>
    <w:rPr>
      <w:rFonts w:ascii="Consolas" w:eastAsiaTheme="minorHAnsi" w:hAnsi="Consolas" w:cstheme="minorBidi"/>
      <w:sz w:val="21"/>
      <w:szCs w:val="21"/>
      <w:lang w:val="en-US" w:eastAsia="en-US"/>
    </w:rPr>
  </w:style>
  <w:style w:type="paragraph" w:styleId="FootnoteText">
    <w:name w:val="footnote text"/>
    <w:basedOn w:val="Normal"/>
    <w:link w:val="FootnoteTextChar"/>
    <w:semiHidden/>
    <w:unhideWhenUsed/>
    <w:rsid w:val="009617F6"/>
    <w:rPr>
      <w:sz w:val="20"/>
      <w:szCs w:val="20"/>
    </w:rPr>
  </w:style>
  <w:style w:type="character" w:customStyle="1" w:styleId="FootnoteTextChar">
    <w:name w:val="Footnote Text Char"/>
    <w:basedOn w:val="DefaultParagraphFont"/>
    <w:link w:val="FootnoteText"/>
    <w:semiHidden/>
    <w:rsid w:val="009617F6"/>
    <w:rPr>
      <w:rFonts w:ascii="Calibri" w:hAnsi="Calibri" w:cs="Arial"/>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F6BE7"/>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406B77"/>
    <w:pPr>
      <w:numPr>
        <w:numId w:val="3"/>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PBStabletext">
    <w:name w:val="PBS table text"/>
    <w:basedOn w:val="Normal"/>
    <w:link w:val="PBStabletextChar"/>
    <w:qFormat/>
    <w:rsid w:val="006364DD"/>
    <w:pPr>
      <w:widowControl/>
      <w:jc w:val="left"/>
    </w:pPr>
    <w:rPr>
      <w:rFonts w:ascii="Arial Narrow" w:hAnsi="Arial Narrow" w:cs="Times New Roman"/>
      <w:snapToGrid/>
      <w:sz w:val="20"/>
    </w:rPr>
  </w:style>
  <w:style w:type="paragraph" w:customStyle="1" w:styleId="PBStablefooter">
    <w:name w:val="PBS table footer"/>
    <w:basedOn w:val="Normal"/>
    <w:link w:val="PBStablefooterChar"/>
    <w:qFormat/>
    <w:rsid w:val="006364DD"/>
    <w:rPr>
      <w:rFonts w:ascii="Arial Narrow" w:hAnsi="Arial Narrow"/>
      <w:sz w:val="18"/>
    </w:rPr>
  </w:style>
  <w:style w:type="character" w:customStyle="1" w:styleId="PBStabletextChar">
    <w:name w:val="PBS table text Char"/>
    <w:basedOn w:val="DefaultParagraphFont"/>
    <w:link w:val="PBStabletext"/>
    <w:rsid w:val="006364DD"/>
    <w:rPr>
      <w:rFonts w:ascii="Arial Narrow" w:hAnsi="Arial Narrow"/>
      <w:szCs w:val="22"/>
      <w:lang w:eastAsia="en-US"/>
    </w:rPr>
  </w:style>
  <w:style w:type="character" w:customStyle="1" w:styleId="PBStablefooterChar">
    <w:name w:val="PBS table footer Char"/>
    <w:basedOn w:val="DefaultParagraphFont"/>
    <w:link w:val="PBStablefooter"/>
    <w:rsid w:val="006364DD"/>
    <w:rPr>
      <w:rFonts w:ascii="Arial Narrow" w:hAnsi="Arial Narrow" w:cs="Arial"/>
      <w:snapToGrid w:val="0"/>
      <w:sz w:val="18"/>
      <w:szCs w:val="22"/>
      <w:lang w:eastAsia="en-US"/>
    </w:rPr>
  </w:style>
  <w:style w:type="table" w:customStyle="1" w:styleId="TableGridbeth1">
    <w:name w:val="Table Gridbeth1"/>
    <w:basedOn w:val="TableNormal"/>
    <w:next w:val="TableGrid"/>
    <w:uiPriority w:val="59"/>
    <w:rsid w:val="00EB2952"/>
    <w:pPr>
      <w:spacing w:after="24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59"/>
    <w:rsid w:val="00EB2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EB2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EB2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D4A0D"/>
    <w:pPr>
      <w:widowControl/>
      <w:spacing w:after="160" w:line="240" w:lineRule="exact"/>
      <w:jc w:val="left"/>
    </w:pPr>
    <w:rPr>
      <w:rFonts w:ascii="Verdana" w:eastAsia="MS Mincho" w:hAnsi="Verdana" w:cs="Verdana"/>
      <w:snapToGrid/>
      <w:sz w:val="20"/>
      <w:szCs w:val="20"/>
      <w:lang w:val="en-US"/>
    </w:rPr>
  </w:style>
  <w:style w:type="paragraph" w:styleId="ListNumber2">
    <w:name w:val="List Number 2"/>
    <w:basedOn w:val="Normal"/>
    <w:rsid w:val="001B5D69"/>
    <w:pPr>
      <w:widowControl/>
      <w:numPr>
        <w:numId w:val="29"/>
      </w:numPr>
      <w:jc w:val="left"/>
    </w:pPr>
    <w:rPr>
      <w:rFonts w:ascii="Times New Roman" w:hAnsi="Times New Roman" w:cs="Times New Roman"/>
      <w:snapToGrid/>
      <w:szCs w:val="20"/>
      <w:lang w:eastAsia="en-AU"/>
    </w:rPr>
  </w:style>
  <w:style w:type="paragraph" w:customStyle="1" w:styleId="PBACX11">
    <w:name w:val="PBAC X.1.1"/>
    <w:basedOn w:val="Heading3"/>
    <w:link w:val="PBACX11Char"/>
    <w:qFormat/>
    <w:rsid w:val="001B5D69"/>
    <w:pPr>
      <w:keepNext/>
      <w:widowControl/>
      <w:spacing w:before="240"/>
      <w:jc w:val="left"/>
    </w:pPr>
    <w:rPr>
      <w:rFonts w:ascii="Calibri Light" w:hAnsi="Calibri Light" w:cs="Times New Roman"/>
      <w:b/>
      <w:bCs/>
      <w:snapToGrid/>
      <w:sz w:val="22"/>
      <w:szCs w:val="26"/>
      <w:u w:val="none"/>
      <w:lang w:val="en-GB" w:eastAsia="zh-CN"/>
    </w:rPr>
  </w:style>
  <w:style w:type="character" w:customStyle="1" w:styleId="PBACX11Char">
    <w:name w:val="PBAC X.1.1 Char"/>
    <w:link w:val="PBACX11"/>
    <w:rsid w:val="001B5D69"/>
    <w:rPr>
      <w:rFonts w:ascii="Calibri Light" w:hAnsi="Calibri Light"/>
      <w:b/>
      <w:bCs/>
      <w:sz w:val="22"/>
      <w:szCs w:val="26"/>
      <w:lang w:val="en-GB" w:eastAsia="zh-CN"/>
    </w:rPr>
  </w:style>
  <w:style w:type="character" w:styleId="FootnoteReference">
    <w:name w:val="footnote reference"/>
    <w:basedOn w:val="DefaultParagraphFont"/>
    <w:uiPriority w:val="99"/>
    <w:rsid w:val="000677C5"/>
    <w:rPr>
      <w:rFonts w:cs="Times New Roman"/>
      <w:vertAlign w:val="superscript"/>
    </w:rPr>
  </w:style>
  <w:style w:type="paragraph" w:styleId="PlainText">
    <w:name w:val="Plain Text"/>
    <w:basedOn w:val="Normal"/>
    <w:link w:val="PlainTextChar"/>
    <w:uiPriority w:val="99"/>
    <w:unhideWhenUsed/>
    <w:rsid w:val="002A275A"/>
    <w:pPr>
      <w:widowControl/>
      <w:jc w:val="left"/>
    </w:pPr>
    <w:rPr>
      <w:rFonts w:ascii="Consolas" w:eastAsiaTheme="minorHAnsi" w:hAnsi="Consolas" w:cstheme="minorBidi"/>
      <w:snapToGrid/>
      <w:sz w:val="21"/>
      <w:szCs w:val="21"/>
      <w:lang w:val="en-US"/>
    </w:rPr>
  </w:style>
  <w:style w:type="character" w:customStyle="1" w:styleId="PlainTextChar">
    <w:name w:val="Plain Text Char"/>
    <w:basedOn w:val="DefaultParagraphFont"/>
    <w:link w:val="PlainText"/>
    <w:uiPriority w:val="99"/>
    <w:rsid w:val="002A275A"/>
    <w:rPr>
      <w:rFonts w:ascii="Consolas" w:eastAsiaTheme="minorHAnsi" w:hAnsi="Consolas" w:cstheme="minorBidi"/>
      <w:sz w:val="21"/>
      <w:szCs w:val="21"/>
      <w:lang w:val="en-US" w:eastAsia="en-US"/>
    </w:rPr>
  </w:style>
  <w:style w:type="paragraph" w:styleId="FootnoteText">
    <w:name w:val="footnote text"/>
    <w:basedOn w:val="Normal"/>
    <w:link w:val="FootnoteTextChar"/>
    <w:semiHidden/>
    <w:unhideWhenUsed/>
    <w:rsid w:val="009617F6"/>
    <w:rPr>
      <w:sz w:val="20"/>
      <w:szCs w:val="20"/>
    </w:rPr>
  </w:style>
  <w:style w:type="character" w:customStyle="1" w:styleId="FootnoteTextChar">
    <w:name w:val="Footnote Text Char"/>
    <w:basedOn w:val="DefaultParagraphFont"/>
    <w:link w:val="FootnoteText"/>
    <w:semiHidden/>
    <w:rsid w:val="009617F6"/>
    <w:rPr>
      <w:rFonts w:ascii="Calibri" w:hAnsi="Calibri" w:cs="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2534">
      <w:bodyDiv w:val="1"/>
      <w:marLeft w:val="0"/>
      <w:marRight w:val="0"/>
      <w:marTop w:val="0"/>
      <w:marBottom w:val="0"/>
      <w:divBdr>
        <w:top w:val="none" w:sz="0" w:space="0" w:color="auto"/>
        <w:left w:val="none" w:sz="0" w:space="0" w:color="auto"/>
        <w:bottom w:val="none" w:sz="0" w:space="0" w:color="auto"/>
        <w:right w:val="none" w:sz="0" w:space="0" w:color="auto"/>
      </w:divBdr>
    </w:div>
    <w:div w:id="486897755">
      <w:bodyDiv w:val="1"/>
      <w:marLeft w:val="0"/>
      <w:marRight w:val="0"/>
      <w:marTop w:val="0"/>
      <w:marBottom w:val="0"/>
      <w:divBdr>
        <w:top w:val="none" w:sz="0" w:space="0" w:color="auto"/>
        <w:left w:val="none" w:sz="0" w:space="0" w:color="auto"/>
        <w:bottom w:val="none" w:sz="0" w:space="0" w:color="auto"/>
        <w:right w:val="none" w:sz="0" w:space="0" w:color="auto"/>
      </w:divBdr>
    </w:div>
    <w:div w:id="671419578">
      <w:bodyDiv w:val="1"/>
      <w:marLeft w:val="0"/>
      <w:marRight w:val="0"/>
      <w:marTop w:val="0"/>
      <w:marBottom w:val="0"/>
      <w:divBdr>
        <w:top w:val="none" w:sz="0" w:space="0" w:color="auto"/>
        <w:left w:val="none" w:sz="0" w:space="0" w:color="auto"/>
        <w:bottom w:val="none" w:sz="0" w:space="0" w:color="auto"/>
        <w:right w:val="none" w:sz="0" w:space="0" w:color="auto"/>
      </w:divBdr>
    </w:div>
    <w:div w:id="755906994">
      <w:bodyDiv w:val="1"/>
      <w:marLeft w:val="0"/>
      <w:marRight w:val="0"/>
      <w:marTop w:val="0"/>
      <w:marBottom w:val="0"/>
      <w:divBdr>
        <w:top w:val="none" w:sz="0" w:space="0" w:color="auto"/>
        <w:left w:val="none" w:sz="0" w:space="0" w:color="auto"/>
        <w:bottom w:val="none" w:sz="0" w:space="0" w:color="auto"/>
        <w:right w:val="none" w:sz="0" w:space="0" w:color="auto"/>
      </w:divBdr>
    </w:div>
    <w:div w:id="866262584">
      <w:bodyDiv w:val="1"/>
      <w:marLeft w:val="0"/>
      <w:marRight w:val="0"/>
      <w:marTop w:val="0"/>
      <w:marBottom w:val="0"/>
      <w:divBdr>
        <w:top w:val="none" w:sz="0" w:space="0" w:color="auto"/>
        <w:left w:val="none" w:sz="0" w:space="0" w:color="auto"/>
        <w:bottom w:val="none" w:sz="0" w:space="0" w:color="auto"/>
        <w:right w:val="none" w:sz="0" w:space="0" w:color="auto"/>
      </w:divBdr>
    </w:div>
    <w:div w:id="931667920">
      <w:bodyDiv w:val="1"/>
      <w:marLeft w:val="0"/>
      <w:marRight w:val="0"/>
      <w:marTop w:val="0"/>
      <w:marBottom w:val="0"/>
      <w:divBdr>
        <w:top w:val="none" w:sz="0" w:space="0" w:color="auto"/>
        <w:left w:val="none" w:sz="0" w:space="0" w:color="auto"/>
        <w:bottom w:val="none" w:sz="0" w:space="0" w:color="auto"/>
        <w:right w:val="none" w:sz="0" w:space="0" w:color="auto"/>
      </w:divBdr>
    </w:div>
    <w:div w:id="1019701132">
      <w:bodyDiv w:val="1"/>
      <w:marLeft w:val="0"/>
      <w:marRight w:val="0"/>
      <w:marTop w:val="0"/>
      <w:marBottom w:val="0"/>
      <w:divBdr>
        <w:top w:val="none" w:sz="0" w:space="0" w:color="auto"/>
        <w:left w:val="none" w:sz="0" w:space="0" w:color="auto"/>
        <w:bottom w:val="none" w:sz="0" w:space="0" w:color="auto"/>
        <w:right w:val="none" w:sz="0" w:space="0" w:color="auto"/>
      </w:divBdr>
      <w:divsChild>
        <w:div w:id="532571598">
          <w:marLeft w:val="547"/>
          <w:marRight w:val="0"/>
          <w:marTop w:val="101"/>
          <w:marBottom w:val="0"/>
          <w:divBdr>
            <w:top w:val="none" w:sz="0" w:space="0" w:color="auto"/>
            <w:left w:val="none" w:sz="0" w:space="0" w:color="auto"/>
            <w:bottom w:val="none" w:sz="0" w:space="0" w:color="auto"/>
            <w:right w:val="none" w:sz="0" w:space="0" w:color="auto"/>
          </w:divBdr>
        </w:div>
      </w:divsChild>
    </w:div>
    <w:div w:id="1127435941">
      <w:bodyDiv w:val="1"/>
      <w:marLeft w:val="0"/>
      <w:marRight w:val="0"/>
      <w:marTop w:val="0"/>
      <w:marBottom w:val="0"/>
      <w:divBdr>
        <w:top w:val="none" w:sz="0" w:space="0" w:color="auto"/>
        <w:left w:val="none" w:sz="0" w:space="0" w:color="auto"/>
        <w:bottom w:val="none" w:sz="0" w:space="0" w:color="auto"/>
        <w:right w:val="none" w:sz="0" w:space="0" w:color="auto"/>
      </w:divBdr>
    </w:div>
    <w:div w:id="1636567012">
      <w:bodyDiv w:val="1"/>
      <w:marLeft w:val="0"/>
      <w:marRight w:val="0"/>
      <w:marTop w:val="0"/>
      <w:marBottom w:val="0"/>
      <w:divBdr>
        <w:top w:val="none" w:sz="0" w:space="0" w:color="auto"/>
        <w:left w:val="none" w:sz="0" w:space="0" w:color="auto"/>
        <w:bottom w:val="none" w:sz="0" w:space="0" w:color="auto"/>
        <w:right w:val="none" w:sz="0" w:space="0" w:color="auto"/>
      </w:divBdr>
      <w:divsChild>
        <w:div w:id="2099135839">
          <w:marLeft w:val="403"/>
          <w:marRight w:val="0"/>
          <w:marTop w:val="106"/>
          <w:marBottom w:val="0"/>
          <w:divBdr>
            <w:top w:val="none" w:sz="0" w:space="0" w:color="auto"/>
            <w:left w:val="none" w:sz="0" w:space="0" w:color="auto"/>
            <w:bottom w:val="none" w:sz="0" w:space="0" w:color="auto"/>
            <w:right w:val="none" w:sz="0" w:space="0" w:color="auto"/>
          </w:divBdr>
        </w:div>
        <w:div w:id="413433374">
          <w:marLeft w:val="403"/>
          <w:marRight w:val="0"/>
          <w:marTop w:val="106"/>
          <w:marBottom w:val="0"/>
          <w:divBdr>
            <w:top w:val="none" w:sz="0" w:space="0" w:color="auto"/>
            <w:left w:val="none" w:sz="0" w:space="0" w:color="auto"/>
            <w:bottom w:val="none" w:sz="0" w:space="0" w:color="auto"/>
            <w:right w:val="none" w:sz="0" w:space="0" w:color="auto"/>
          </w:divBdr>
        </w:div>
      </w:divsChild>
    </w:div>
    <w:div w:id="17651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B74E4-228A-4DCD-B927-DD7C20F1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12966</Words>
  <Characters>72448</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2018-10-10T23:38:00Z</dcterms:created>
  <dcterms:modified xsi:type="dcterms:W3CDTF">2018-10-18T03:57:00Z</dcterms:modified>
</cp:coreProperties>
</file>