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F5" w:rsidRPr="00066FCA" w:rsidRDefault="00A906F5" w:rsidP="00BB7A5E">
      <w:pPr>
        <w:pStyle w:val="PBAC3"/>
        <w:outlineLvl w:val="9"/>
        <w:rPr>
          <w:rFonts w:asciiTheme="minorHAnsi" w:hAnsiTheme="minorHAnsi" w:cstheme="minorHAnsi"/>
          <w:sz w:val="22"/>
          <w:szCs w:val="22"/>
        </w:rPr>
      </w:pPr>
      <w:bookmarkStart w:id="0" w:name="_Toc456690586"/>
      <w:bookmarkStart w:id="1" w:name="_Toc457398643"/>
    </w:p>
    <w:p w:rsidR="000E5385" w:rsidRPr="00066FCA" w:rsidRDefault="000E5385" w:rsidP="00BB7A5E">
      <w:pPr>
        <w:pStyle w:val="PBAC3"/>
        <w:outlineLvl w:val="9"/>
        <w:rPr>
          <w:rFonts w:asciiTheme="minorHAnsi" w:hAnsiTheme="minorHAnsi" w:cstheme="minorHAnsi"/>
          <w:sz w:val="22"/>
          <w:szCs w:val="22"/>
        </w:rPr>
      </w:pPr>
      <w:r w:rsidRPr="00066FCA">
        <w:rPr>
          <w:rFonts w:asciiTheme="minorHAnsi" w:hAnsiTheme="minorHAnsi" w:cstheme="minorHAnsi"/>
          <w:sz w:val="22"/>
          <w:szCs w:val="22"/>
        </w:rPr>
        <w:t xml:space="preserve">CORRESPONDENCE FROM </w:t>
      </w:r>
      <w:bookmarkEnd w:id="0"/>
      <w:bookmarkEnd w:id="1"/>
      <w:r w:rsidR="00395AD1" w:rsidRPr="00066FCA">
        <w:rPr>
          <w:rFonts w:asciiTheme="minorHAnsi" w:hAnsiTheme="minorHAnsi" w:cstheme="minorHAnsi"/>
          <w:sz w:val="22"/>
          <w:szCs w:val="22"/>
        </w:rPr>
        <w:t xml:space="preserve">REHABILITATION MEDICINE SOCIETY OF </w:t>
      </w:r>
      <w:r w:rsidR="00417F12" w:rsidRPr="00066FCA">
        <w:rPr>
          <w:rFonts w:asciiTheme="minorHAnsi" w:hAnsiTheme="minorHAnsi" w:cstheme="minorHAnsi"/>
          <w:sz w:val="22"/>
          <w:szCs w:val="22"/>
        </w:rPr>
        <w:t>AUSTRALIA AND NEW ZEALAND</w:t>
      </w:r>
      <w:r w:rsidR="00E84901" w:rsidRPr="00066FCA">
        <w:rPr>
          <w:rFonts w:asciiTheme="minorHAnsi" w:hAnsiTheme="minorHAnsi" w:cstheme="minorHAnsi"/>
          <w:sz w:val="22"/>
          <w:szCs w:val="22"/>
        </w:rPr>
        <w:t xml:space="preserve"> (RMSANZ)</w:t>
      </w:r>
      <w:r w:rsidR="00417F12" w:rsidRPr="00066FCA">
        <w:rPr>
          <w:rFonts w:asciiTheme="minorHAnsi" w:hAnsiTheme="minorHAnsi" w:cstheme="minorHAnsi"/>
          <w:sz w:val="22"/>
          <w:szCs w:val="22"/>
        </w:rPr>
        <w:t xml:space="preserve"> LIMITED REGARDING </w:t>
      </w:r>
      <w:r w:rsidR="00395AD1" w:rsidRPr="00066FCA">
        <w:rPr>
          <w:rFonts w:asciiTheme="minorHAnsi" w:hAnsiTheme="minorHAnsi" w:cstheme="minorHAnsi"/>
          <w:sz w:val="22"/>
          <w:szCs w:val="22"/>
        </w:rPr>
        <w:t xml:space="preserve">THE PBS </w:t>
      </w:r>
      <w:r w:rsidR="00417F12" w:rsidRPr="00066FCA">
        <w:rPr>
          <w:rFonts w:asciiTheme="minorHAnsi" w:hAnsiTheme="minorHAnsi" w:cstheme="minorHAnsi"/>
          <w:sz w:val="22"/>
          <w:szCs w:val="22"/>
        </w:rPr>
        <w:t>LISTING</w:t>
      </w:r>
      <w:r w:rsidR="00395AD1" w:rsidRPr="00066FCA">
        <w:rPr>
          <w:rFonts w:asciiTheme="minorHAnsi" w:hAnsiTheme="minorHAnsi" w:cstheme="minorHAnsi"/>
          <w:sz w:val="22"/>
          <w:szCs w:val="22"/>
        </w:rPr>
        <w:t>S</w:t>
      </w:r>
      <w:r w:rsidR="00417F12" w:rsidRPr="00066FCA">
        <w:rPr>
          <w:rFonts w:asciiTheme="minorHAnsi" w:hAnsiTheme="minorHAnsi" w:cstheme="minorHAnsi"/>
          <w:sz w:val="22"/>
          <w:szCs w:val="22"/>
        </w:rPr>
        <w:t xml:space="preserve"> OF </w:t>
      </w:r>
      <w:r w:rsidR="00395AD1" w:rsidRPr="00066FCA">
        <w:rPr>
          <w:rFonts w:asciiTheme="minorHAnsi" w:hAnsiTheme="minorHAnsi" w:cstheme="minorHAnsi"/>
          <w:sz w:val="22"/>
          <w:szCs w:val="22"/>
        </w:rPr>
        <w:t>BOTULINUM TOXIN A</w:t>
      </w:r>
    </w:p>
    <w:p w:rsidR="000E5385" w:rsidRPr="00066FCA" w:rsidRDefault="000E5385" w:rsidP="00BB7A5E">
      <w:pPr>
        <w:rPr>
          <w:rFonts w:asciiTheme="minorHAnsi" w:hAnsiTheme="minorHAnsi" w:cstheme="minorHAnsi"/>
          <w:szCs w:val="22"/>
        </w:rPr>
      </w:pPr>
      <w:r w:rsidRPr="00066FCA">
        <w:rPr>
          <w:rFonts w:asciiTheme="minorHAnsi" w:hAnsiTheme="minorHAnsi" w:cstheme="minorHAnsi"/>
          <w:szCs w:val="22"/>
        </w:rPr>
        <w:t>(Agenda item 12.0</w:t>
      </w:r>
      <w:r w:rsidR="00395AD1" w:rsidRPr="00066FCA">
        <w:rPr>
          <w:rFonts w:asciiTheme="minorHAnsi" w:hAnsiTheme="minorHAnsi" w:cstheme="minorHAnsi"/>
          <w:szCs w:val="22"/>
        </w:rPr>
        <w:t>3</w:t>
      </w:r>
      <w:r w:rsidRPr="00066FCA">
        <w:rPr>
          <w:rFonts w:asciiTheme="minorHAnsi" w:hAnsiTheme="minorHAnsi" w:cstheme="minorHAnsi"/>
          <w:szCs w:val="22"/>
        </w:rPr>
        <w:t>)</w:t>
      </w:r>
    </w:p>
    <w:p w:rsidR="000E5385" w:rsidRPr="00066FCA" w:rsidRDefault="000E5385" w:rsidP="000E5385">
      <w:pPr>
        <w:rPr>
          <w:rFonts w:asciiTheme="minorHAnsi" w:hAnsiTheme="minorHAnsi" w:cstheme="minorHAnsi"/>
          <w:szCs w:val="22"/>
        </w:rPr>
      </w:pPr>
    </w:p>
    <w:p w:rsidR="000648BC" w:rsidRPr="00066FCA" w:rsidRDefault="00B210DB" w:rsidP="0022321A">
      <w:pPr>
        <w:pStyle w:val="PBACHeading1"/>
        <w:keepNext/>
        <w:spacing w:after="200"/>
        <w:rPr>
          <w:rFonts w:asciiTheme="minorHAnsi" w:hAnsiTheme="minorHAnsi"/>
          <w:sz w:val="32"/>
          <w:szCs w:val="32"/>
        </w:rPr>
      </w:pPr>
      <w:r w:rsidRPr="00066FCA">
        <w:rPr>
          <w:rFonts w:asciiTheme="minorHAnsi" w:hAnsiTheme="minorHAnsi"/>
          <w:sz w:val="32"/>
          <w:szCs w:val="32"/>
        </w:rPr>
        <w:t>Background</w:t>
      </w:r>
    </w:p>
    <w:p w:rsidR="00E4302C" w:rsidRPr="00066FCA" w:rsidRDefault="00E84901"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 xml:space="preserve">Botulinum toxin </w:t>
      </w:r>
      <w:r w:rsidR="00C249D2" w:rsidRPr="00066FCA">
        <w:rPr>
          <w:rFonts w:asciiTheme="minorHAnsi" w:hAnsiTheme="minorHAnsi" w:cstheme="minorHAnsi"/>
          <w:b w:val="0"/>
        </w:rPr>
        <w:t xml:space="preserve">type </w:t>
      </w:r>
      <w:r w:rsidRPr="00066FCA">
        <w:rPr>
          <w:rFonts w:asciiTheme="minorHAnsi" w:hAnsiTheme="minorHAnsi" w:cstheme="minorHAnsi"/>
          <w:b w:val="0"/>
        </w:rPr>
        <w:t>A (</w:t>
      </w:r>
      <w:r w:rsidR="00614C7A" w:rsidRPr="00066FCA">
        <w:rPr>
          <w:rFonts w:asciiTheme="minorHAnsi" w:hAnsiTheme="minorHAnsi" w:cstheme="minorHAnsi"/>
          <w:b w:val="0"/>
        </w:rPr>
        <w:t>BoNT-A</w:t>
      </w:r>
      <w:r w:rsidRPr="00066FCA">
        <w:rPr>
          <w:rFonts w:asciiTheme="minorHAnsi" w:hAnsiTheme="minorHAnsi" w:cstheme="minorHAnsi"/>
          <w:b w:val="0"/>
        </w:rPr>
        <w:t>)</w:t>
      </w:r>
      <w:r w:rsidR="00614C7A" w:rsidRPr="00066FCA">
        <w:rPr>
          <w:rFonts w:asciiTheme="minorHAnsi" w:hAnsiTheme="minorHAnsi" w:cstheme="minorHAnsi"/>
          <w:b w:val="0"/>
        </w:rPr>
        <w:t xml:space="preserve"> is used for the treatment of muscle overactivity and spasticity</w:t>
      </w:r>
      <w:r w:rsidR="00E56E30" w:rsidRPr="00066FCA">
        <w:rPr>
          <w:rFonts w:asciiTheme="minorHAnsi" w:hAnsiTheme="minorHAnsi" w:cstheme="minorHAnsi"/>
          <w:b w:val="0"/>
        </w:rPr>
        <w:t xml:space="preserve"> in patients with cerebral palsy or following a stroke</w:t>
      </w:r>
      <w:r w:rsidR="00614C7A" w:rsidRPr="00066FCA">
        <w:rPr>
          <w:rFonts w:asciiTheme="minorHAnsi" w:hAnsiTheme="minorHAnsi" w:cstheme="minorHAnsi"/>
          <w:b w:val="0"/>
        </w:rPr>
        <w:t xml:space="preserve">. </w:t>
      </w:r>
      <w:r w:rsidR="00B210DB" w:rsidRPr="00066FCA">
        <w:rPr>
          <w:rFonts w:asciiTheme="minorHAnsi" w:hAnsiTheme="minorHAnsi" w:cstheme="minorHAnsi"/>
          <w:b w:val="0"/>
        </w:rPr>
        <w:t>In correspondence to the PBAC, t</w:t>
      </w:r>
      <w:r w:rsidR="00E4302C" w:rsidRPr="00066FCA">
        <w:rPr>
          <w:rFonts w:asciiTheme="minorHAnsi" w:hAnsiTheme="minorHAnsi" w:cstheme="minorHAnsi"/>
          <w:b w:val="0"/>
        </w:rPr>
        <w:t xml:space="preserve">he </w:t>
      </w:r>
      <w:r w:rsidR="00FB7939" w:rsidRPr="00066FCA">
        <w:rPr>
          <w:rFonts w:asciiTheme="minorHAnsi" w:hAnsiTheme="minorHAnsi" w:cstheme="minorHAnsi"/>
          <w:b w:val="0"/>
        </w:rPr>
        <w:t>Rehabilitation Society of Australia and New Zealand (</w:t>
      </w:r>
      <w:r w:rsidR="00E4302C" w:rsidRPr="00066FCA">
        <w:rPr>
          <w:rFonts w:asciiTheme="minorHAnsi" w:hAnsiTheme="minorHAnsi" w:cstheme="minorHAnsi"/>
          <w:b w:val="0"/>
        </w:rPr>
        <w:t>RMSANZ</w:t>
      </w:r>
      <w:r w:rsidR="00FB7939" w:rsidRPr="00066FCA">
        <w:rPr>
          <w:rFonts w:asciiTheme="minorHAnsi" w:hAnsiTheme="minorHAnsi" w:cstheme="minorHAnsi"/>
          <w:b w:val="0"/>
        </w:rPr>
        <w:t>)</w:t>
      </w:r>
      <w:r w:rsidR="00E4302C" w:rsidRPr="00066FCA">
        <w:rPr>
          <w:rFonts w:asciiTheme="minorHAnsi" w:hAnsiTheme="minorHAnsi" w:cstheme="minorHAnsi"/>
          <w:b w:val="0"/>
        </w:rPr>
        <w:t xml:space="preserve"> </w:t>
      </w:r>
      <w:r w:rsidR="00B210DB" w:rsidRPr="00066FCA">
        <w:rPr>
          <w:rFonts w:asciiTheme="minorHAnsi" w:hAnsiTheme="minorHAnsi" w:cstheme="minorHAnsi"/>
          <w:b w:val="0"/>
        </w:rPr>
        <w:t xml:space="preserve">claimed </w:t>
      </w:r>
      <w:r w:rsidR="00E4302C" w:rsidRPr="00066FCA">
        <w:rPr>
          <w:rFonts w:asciiTheme="minorHAnsi" w:hAnsiTheme="minorHAnsi" w:cstheme="minorHAnsi"/>
          <w:b w:val="0"/>
        </w:rPr>
        <w:t>that A</w:t>
      </w:r>
      <w:r w:rsidR="003A13A2">
        <w:rPr>
          <w:rFonts w:asciiTheme="minorHAnsi" w:hAnsiTheme="minorHAnsi" w:cstheme="minorHAnsi"/>
          <w:b w:val="0"/>
        </w:rPr>
        <w:t>ustralia has very restricted Bo</w:t>
      </w:r>
      <w:r w:rsidR="00E4302C" w:rsidRPr="00066FCA">
        <w:rPr>
          <w:rFonts w:asciiTheme="minorHAnsi" w:hAnsiTheme="minorHAnsi" w:cstheme="minorHAnsi"/>
          <w:b w:val="0"/>
        </w:rPr>
        <w:t>N</w:t>
      </w:r>
      <w:r w:rsidR="003A13A2">
        <w:rPr>
          <w:rFonts w:asciiTheme="minorHAnsi" w:hAnsiTheme="minorHAnsi" w:cstheme="minorHAnsi"/>
          <w:b w:val="0"/>
        </w:rPr>
        <w:t>T</w:t>
      </w:r>
      <w:r w:rsidR="00E4302C" w:rsidRPr="00066FCA">
        <w:rPr>
          <w:rFonts w:asciiTheme="minorHAnsi" w:hAnsiTheme="minorHAnsi" w:cstheme="minorHAnsi"/>
          <w:b w:val="0"/>
        </w:rPr>
        <w:t xml:space="preserve">-A access which poses additional quality of life burdens on a marginalised and disadvantaged group, and does not align with clinical best practice. </w:t>
      </w:r>
    </w:p>
    <w:p w:rsidR="00614C7A" w:rsidRPr="00066FCA" w:rsidRDefault="00614C7A"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The correspondence requested that the following changes be made to the PBS listings of BoNT-A to improve equity</w:t>
      </w:r>
      <w:r w:rsidR="00E74746" w:rsidRPr="00066FCA">
        <w:rPr>
          <w:rFonts w:asciiTheme="minorHAnsi" w:hAnsiTheme="minorHAnsi" w:cstheme="minorHAnsi"/>
          <w:b w:val="0"/>
        </w:rPr>
        <w:t xml:space="preserve"> of access for patients</w:t>
      </w:r>
      <w:r w:rsidRPr="00066FCA">
        <w:rPr>
          <w:rFonts w:asciiTheme="minorHAnsi" w:hAnsiTheme="minorHAnsi" w:cstheme="minorHAnsi"/>
          <w:b w:val="0"/>
        </w:rPr>
        <w:t>:</w:t>
      </w:r>
    </w:p>
    <w:p w:rsidR="00614C7A" w:rsidRPr="00066FCA" w:rsidRDefault="00614C7A" w:rsidP="00BB7A5E">
      <w:pPr>
        <w:pStyle w:val="PBACHeading1"/>
        <w:numPr>
          <w:ilvl w:val="2"/>
          <w:numId w:val="14"/>
        </w:numPr>
        <w:spacing w:after="120"/>
        <w:ind w:left="1134" w:hanging="425"/>
        <w:jc w:val="both"/>
        <w:outlineLvl w:val="9"/>
        <w:rPr>
          <w:rFonts w:asciiTheme="minorHAnsi" w:hAnsiTheme="minorHAnsi" w:cstheme="minorHAnsi"/>
        </w:rPr>
      </w:pPr>
      <w:r w:rsidRPr="00066FCA">
        <w:rPr>
          <w:rFonts w:asciiTheme="minorHAnsi" w:hAnsiTheme="minorHAnsi" w:cstheme="minorHAnsi"/>
          <w:b w:val="0"/>
        </w:rPr>
        <w:t>Removal</w:t>
      </w:r>
      <w:r w:rsidR="00FB7939" w:rsidRPr="00066FCA">
        <w:rPr>
          <w:rFonts w:asciiTheme="minorHAnsi" w:hAnsiTheme="minorHAnsi" w:cstheme="minorHAnsi"/>
          <w:b w:val="0"/>
        </w:rPr>
        <w:t xml:space="preserve"> of the requirement that adult cerebral p</w:t>
      </w:r>
      <w:r w:rsidRPr="00066FCA">
        <w:rPr>
          <w:rFonts w:asciiTheme="minorHAnsi" w:hAnsiTheme="minorHAnsi" w:cstheme="minorHAnsi"/>
          <w:b w:val="0"/>
        </w:rPr>
        <w:t>alsy (CP) patients must have commenced treatment with BoNT-A as a paediatric patient;</w:t>
      </w:r>
    </w:p>
    <w:p w:rsidR="00614C7A" w:rsidRPr="00066FCA" w:rsidRDefault="00614C7A" w:rsidP="00BB7A5E">
      <w:pPr>
        <w:pStyle w:val="PBACHeading1"/>
        <w:numPr>
          <w:ilvl w:val="2"/>
          <w:numId w:val="14"/>
        </w:numPr>
        <w:spacing w:after="120"/>
        <w:ind w:left="1134" w:hanging="425"/>
        <w:jc w:val="both"/>
        <w:outlineLvl w:val="9"/>
        <w:rPr>
          <w:rFonts w:asciiTheme="minorHAnsi" w:hAnsiTheme="minorHAnsi" w:cstheme="minorHAnsi"/>
        </w:rPr>
      </w:pPr>
      <w:r w:rsidRPr="00066FCA">
        <w:rPr>
          <w:rFonts w:asciiTheme="minorHAnsi" w:hAnsiTheme="minorHAnsi" w:cstheme="minorHAnsi"/>
          <w:b w:val="0"/>
        </w:rPr>
        <w:t>Removal of the limitation of four treatment periods (total BoNT-A) per upper limb per lifetime in post-stroke patients;</w:t>
      </w:r>
    </w:p>
    <w:p w:rsidR="00614C7A" w:rsidRPr="00066FCA" w:rsidRDefault="00614C7A" w:rsidP="00BB7A5E">
      <w:pPr>
        <w:pStyle w:val="PBACHeading1"/>
        <w:numPr>
          <w:ilvl w:val="2"/>
          <w:numId w:val="14"/>
        </w:numPr>
        <w:spacing w:after="120"/>
        <w:ind w:left="1134" w:hanging="425"/>
        <w:jc w:val="both"/>
        <w:outlineLvl w:val="9"/>
        <w:rPr>
          <w:rFonts w:asciiTheme="minorHAnsi" w:hAnsiTheme="minorHAnsi" w:cstheme="minorHAnsi"/>
        </w:rPr>
      </w:pPr>
      <w:r w:rsidRPr="00066FCA">
        <w:rPr>
          <w:rFonts w:asciiTheme="minorHAnsi" w:hAnsiTheme="minorHAnsi" w:cstheme="minorHAnsi"/>
          <w:b w:val="0"/>
        </w:rPr>
        <w:t>Reduce the time limitation for first injection of post-stroke upper limb spasticity to less than three months;</w:t>
      </w:r>
    </w:p>
    <w:p w:rsidR="00614C7A" w:rsidRPr="00066FCA" w:rsidRDefault="00614C7A" w:rsidP="00BB7A5E">
      <w:pPr>
        <w:pStyle w:val="PBACHeading1"/>
        <w:numPr>
          <w:ilvl w:val="2"/>
          <w:numId w:val="14"/>
        </w:numPr>
        <w:spacing w:after="120"/>
        <w:ind w:left="1134" w:hanging="425"/>
        <w:jc w:val="both"/>
        <w:outlineLvl w:val="9"/>
        <w:rPr>
          <w:rFonts w:asciiTheme="minorHAnsi" w:hAnsiTheme="minorHAnsi" w:cstheme="minorHAnsi"/>
        </w:rPr>
      </w:pPr>
      <w:r w:rsidRPr="00066FCA">
        <w:rPr>
          <w:rFonts w:asciiTheme="minorHAnsi" w:hAnsiTheme="minorHAnsi" w:cstheme="minorHAnsi"/>
          <w:b w:val="0"/>
        </w:rPr>
        <w:t>Removal of the limitation</w:t>
      </w:r>
      <w:r w:rsidR="00CB1BCE" w:rsidRPr="00066FCA">
        <w:rPr>
          <w:rFonts w:asciiTheme="minorHAnsi" w:hAnsiTheme="minorHAnsi" w:cstheme="minorHAnsi"/>
          <w:b w:val="0"/>
        </w:rPr>
        <w:t xml:space="preserve"> of the non-funding for the post-stroke lower limb; and</w:t>
      </w:r>
    </w:p>
    <w:p w:rsidR="00CB1BCE" w:rsidRPr="00066FCA" w:rsidRDefault="00CB1BCE" w:rsidP="00BB7A5E">
      <w:pPr>
        <w:pStyle w:val="PBACHeading1"/>
        <w:numPr>
          <w:ilvl w:val="2"/>
          <w:numId w:val="14"/>
        </w:numPr>
        <w:spacing w:after="120"/>
        <w:ind w:left="1134" w:hanging="425"/>
        <w:jc w:val="both"/>
        <w:outlineLvl w:val="9"/>
        <w:rPr>
          <w:rFonts w:asciiTheme="minorHAnsi" w:hAnsiTheme="minorHAnsi" w:cstheme="minorHAnsi"/>
        </w:rPr>
      </w:pPr>
      <w:r w:rsidRPr="00066FCA">
        <w:rPr>
          <w:rFonts w:asciiTheme="minorHAnsi" w:hAnsiTheme="minorHAnsi" w:cstheme="minorHAnsi"/>
          <w:b w:val="0"/>
        </w:rPr>
        <w:t>Expansion of the funded conditions to include muscle overactivity of any aetiology.</w:t>
      </w:r>
    </w:p>
    <w:p w:rsidR="00E4302C" w:rsidRPr="00066FCA" w:rsidRDefault="00E4302C"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The RMSANZ acknowledged that BoNT-A is an expensive medication, but noted that the dosage per injection when used for spasticity was limited and the population requiring its use was small.</w:t>
      </w:r>
    </w:p>
    <w:p w:rsidR="00642953" w:rsidRPr="00066FCA" w:rsidRDefault="007A3EAB" w:rsidP="00BB7A5E">
      <w:pPr>
        <w:pStyle w:val="PBACHeading1"/>
        <w:numPr>
          <w:ilvl w:val="1"/>
          <w:numId w:val="3"/>
        </w:numPr>
        <w:spacing w:after="120"/>
        <w:jc w:val="both"/>
        <w:outlineLvl w:val="9"/>
        <w:rPr>
          <w:rFonts w:asciiTheme="minorHAnsi" w:hAnsiTheme="minorHAnsi" w:cstheme="minorHAnsi"/>
          <w:b w:val="0"/>
        </w:rPr>
      </w:pPr>
      <w:r w:rsidRPr="00066FCA">
        <w:rPr>
          <w:rFonts w:asciiTheme="minorHAnsi" w:hAnsiTheme="minorHAnsi" w:cstheme="minorHAnsi"/>
          <w:b w:val="0"/>
        </w:rPr>
        <w:t>Three brands of BoNT-A were listed on the PBS</w:t>
      </w:r>
      <w:r w:rsidR="00800373" w:rsidRPr="00066FCA">
        <w:rPr>
          <w:rFonts w:asciiTheme="minorHAnsi" w:hAnsiTheme="minorHAnsi" w:cstheme="minorHAnsi"/>
          <w:b w:val="0"/>
        </w:rPr>
        <w:t xml:space="preserve"> for the indications in Table 1</w:t>
      </w:r>
      <w:r w:rsidRPr="00066FCA">
        <w:rPr>
          <w:rFonts w:asciiTheme="minorHAnsi" w:hAnsiTheme="minorHAnsi" w:cstheme="minorHAnsi"/>
          <w:b w:val="0"/>
        </w:rPr>
        <w:t xml:space="preserve"> a</w:t>
      </w:r>
      <w:r w:rsidR="00642953" w:rsidRPr="00066FCA">
        <w:rPr>
          <w:rFonts w:asciiTheme="minorHAnsi" w:hAnsiTheme="minorHAnsi" w:cstheme="minorHAnsi"/>
          <w:b w:val="0"/>
        </w:rPr>
        <w:t>t the time of PBAC consideration</w:t>
      </w:r>
      <w:r w:rsidRPr="00066FCA">
        <w:rPr>
          <w:rFonts w:asciiTheme="minorHAnsi" w:hAnsiTheme="minorHAnsi" w:cstheme="minorHAnsi"/>
          <w:b w:val="0"/>
        </w:rPr>
        <w:t xml:space="preserve"> of the correspondence:</w:t>
      </w:r>
      <w:r w:rsidR="00642953" w:rsidRPr="00066FCA">
        <w:rPr>
          <w:rFonts w:asciiTheme="minorHAnsi" w:hAnsiTheme="minorHAnsi" w:cstheme="minorHAnsi"/>
          <w:b w:val="0"/>
        </w:rPr>
        <w:t xml:space="preserve"> Botox® (sponsored by Allergan</w:t>
      </w:r>
      <w:r w:rsidRPr="00066FCA">
        <w:rPr>
          <w:rFonts w:asciiTheme="minorHAnsi" w:hAnsiTheme="minorHAnsi" w:cstheme="minorHAnsi"/>
          <w:b w:val="0"/>
        </w:rPr>
        <w:t xml:space="preserve"> Australia Pty Limited</w:t>
      </w:r>
      <w:r w:rsidR="00642953" w:rsidRPr="00066FCA">
        <w:rPr>
          <w:rFonts w:asciiTheme="minorHAnsi" w:hAnsiTheme="minorHAnsi" w:cstheme="minorHAnsi"/>
          <w:b w:val="0"/>
        </w:rPr>
        <w:t>),</w:t>
      </w:r>
      <w:r w:rsidR="005A07DC" w:rsidRPr="00066FCA">
        <w:rPr>
          <w:rFonts w:asciiTheme="minorHAnsi" w:hAnsiTheme="minorHAnsi" w:cstheme="minorHAnsi"/>
          <w:b w:val="0"/>
        </w:rPr>
        <w:t xml:space="preserve"> Dysport</w:t>
      </w:r>
      <w:r w:rsidR="00E622FD" w:rsidRPr="00066FCA">
        <w:rPr>
          <w:rFonts w:asciiTheme="minorHAnsi" w:hAnsiTheme="minorHAnsi" w:cstheme="minorHAnsi"/>
          <w:b w:val="0"/>
        </w:rPr>
        <w:t>®</w:t>
      </w:r>
      <w:r w:rsidR="005A07DC" w:rsidRPr="00066FCA">
        <w:rPr>
          <w:rFonts w:asciiTheme="minorHAnsi" w:hAnsiTheme="minorHAnsi" w:cstheme="minorHAnsi"/>
          <w:b w:val="0"/>
        </w:rPr>
        <w:t xml:space="preserve"> (sponsored by Ipsen</w:t>
      </w:r>
      <w:r w:rsidRPr="00066FCA">
        <w:rPr>
          <w:rFonts w:asciiTheme="minorHAnsi" w:hAnsiTheme="minorHAnsi" w:cstheme="minorHAnsi"/>
          <w:b w:val="0"/>
        </w:rPr>
        <w:t xml:space="preserve"> Pty Ltd</w:t>
      </w:r>
      <w:r w:rsidR="005A07DC" w:rsidRPr="00066FCA">
        <w:rPr>
          <w:rFonts w:asciiTheme="minorHAnsi" w:hAnsiTheme="minorHAnsi" w:cstheme="minorHAnsi"/>
          <w:b w:val="0"/>
        </w:rPr>
        <w:t>) and Xeomin</w:t>
      </w:r>
      <w:r w:rsidR="00E622FD" w:rsidRPr="00066FCA">
        <w:rPr>
          <w:rFonts w:asciiTheme="minorHAnsi" w:hAnsiTheme="minorHAnsi" w:cstheme="minorHAnsi"/>
          <w:b w:val="0"/>
        </w:rPr>
        <w:t>®</w:t>
      </w:r>
      <w:r w:rsidR="005A07DC" w:rsidRPr="00066FCA">
        <w:rPr>
          <w:rFonts w:asciiTheme="minorHAnsi" w:hAnsiTheme="minorHAnsi" w:cstheme="minorHAnsi"/>
          <w:b w:val="0"/>
        </w:rPr>
        <w:t xml:space="preserve"> </w:t>
      </w:r>
      <w:r w:rsidRPr="00066FCA">
        <w:rPr>
          <w:rFonts w:asciiTheme="minorHAnsi" w:hAnsiTheme="minorHAnsi" w:cstheme="minorHAnsi"/>
          <w:b w:val="0"/>
        </w:rPr>
        <w:t xml:space="preserve">(sponsored by Merz Australia Pty Ltd). </w:t>
      </w:r>
    </w:p>
    <w:p w:rsidR="00E622FD" w:rsidRPr="00066FCA" w:rsidRDefault="00E622FD" w:rsidP="00BB7A5E">
      <w:pPr>
        <w:pStyle w:val="PBACHeading1"/>
        <w:keepNext/>
        <w:numPr>
          <w:ilvl w:val="0"/>
          <w:numId w:val="0"/>
        </w:numPr>
        <w:outlineLvl w:val="9"/>
        <w:rPr>
          <w:rFonts w:ascii="Arial Narrow" w:hAnsi="Arial Narrow"/>
          <w:sz w:val="20"/>
          <w:szCs w:val="20"/>
        </w:rPr>
      </w:pPr>
      <w:r w:rsidRPr="00066FCA">
        <w:rPr>
          <w:rFonts w:ascii="Arial Narrow" w:hAnsi="Arial Narrow"/>
          <w:sz w:val="20"/>
          <w:szCs w:val="20"/>
        </w:rPr>
        <w:t xml:space="preserve">Table 1: PBS listed indications for </w:t>
      </w:r>
      <w:r w:rsidR="00EF5476" w:rsidRPr="00066FCA">
        <w:rPr>
          <w:rFonts w:ascii="Arial Narrow" w:hAnsi="Arial Narrow"/>
          <w:sz w:val="20"/>
          <w:szCs w:val="20"/>
        </w:rPr>
        <w:t>botulinum toxin A,</w:t>
      </w:r>
      <w:r w:rsidRPr="00066FCA">
        <w:rPr>
          <w:rFonts w:ascii="Arial Narrow" w:hAnsi="Arial Narrow"/>
          <w:sz w:val="20"/>
          <w:szCs w:val="20"/>
        </w:rPr>
        <w:t xml:space="preserve"> by brand</w:t>
      </w:r>
    </w:p>
    <w:tbl>
      <w:tblPr>
        <w:tblStyle w:val="TableGrid"/>
        <w:tblW w:w="5000" w:type="pct"/>
        <w:tblLook w:val="04A0" w:firstRow="1" w:lastRow="0" w:firstColumn="1" w:lastColumn="0" w:noHBand="0" w:noVBand="1"/>
        <w:tblCaption w:val="Table 1: PBS listed indications for botulinum toxin A, by brand"/>
      </w:tblPr>
      <w:tblGrid>
        <w:gridCol w:w="6356"/>
        <w:gridCol w:w="2166"/>
      </w:tblGrid>
      <w:tr w:rsidR="002A4668" w:rsidRPr="00066FCA" w:rsidTr="00E85805">
        <w:trPr>
          <w:tblHeader/>
        </w:trPr>
        <w:tc>
          <w:tcPr>
            <w:tcW w:w="3729" w:type="pct"/>
            <w:vAlign w:val="center"/>
          </w:tcPr>
          <w:p w:rsidR="002A4668" w:rsidRPr="00066FCA" w:rsidRDefault="002A4668" w:rsidP="0022321A">
            <w:pPr>
              <w:pStyle w:val="PBACHeading1"/>
              <w:numPr>
                <w:ilvl w:val="0"/>
                <w:numId w:val="0"/>
              </w:numPr>
              <w:rPr>
                <w:rFonts w:ascii="Arial Narrow" w:hAnsi="Arial Narrow" w:cstheme="minorHAnsi"/>
                <w:sz w:val="20"/>
                <w:szCs w:val="20"/>
              </w:rPr>
            </w:pPr>
            <w:r w:rsidRPr="00066FCA">
              <w:rPr>
                <w:rFonts w:ascii="Arial Narrow" w:hAnsi="Arial Narrow" w:cstheme="minorHAnsi"/>
                <w:sz w:val="20"/>
                <w:szCs w:val="20"/>
              </w:rPr>
              <w:t>Indication</w:t>
            </w:r>
          </w:p>
        </w:tc>
        <w:tc>
          <w:tcPr>
            <w:tcW w:w="1271" w:type="pct"/>
            <w:vAlign w:val="center"/>
          </w:tcPr>
          <w:p w:rsidR="002A4668" w:rsidRPr="00066FCA" w:rsidRDefault="002A4668" w:rsidP="0022321A">
            <w:pPr>
              <w:pStyle w:val="PBACHeading1"/>
              <w:numPr>
                <w:ilvl w:val="0"/>
                <w:numId w:val="0"/>
              </w:numPr>
              <w:rPr>
                <w:rFonts w:ascii="Arial Narrow" w:hAnsi="Arial Narrow" w:cstheme="minorHAnsi"/>
                <w:sz w:val="20"/>
                <w:szCs w:val="20"/>
              </w:rPr>
            </w:pPr>
            <w:r w:rsidRPr="00066FCA">
              <w:rPr>
                <w:rFonts w:ascii="Arial Narrow" w:hAnsi="Arial Narrow" w:cstheme="minorHAnsi"/>
                <w:sz w:val="20"/>
                <w:szCs w:val="20"/>
              </w:rPr>
              <w:t>PBS listed brands</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Urinary incontinence</w:t>
            </w:r>
          </w:p>
        </w:tc>
        <w:tc>
          <w:tcPr>
            <w:tcW w:w="1271"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 xml:space="preserve">Blepharospasm </w:t>
            </w:r>
          </w:p>
        </w:tc>
        <w:tc>
          <w:tcPr>
            <w:tcW w:w="1271"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 Dysport, Xeomin</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Hemifacial spasm</w:t>
            </w:r>
          </w:p>
        </w:tc>
        <w:tc>
          <w:tcPr>
            <w:tcW w:w="1271"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 Dysport</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Dynamic equinus foot</w:t>
            </w:r>
            <w:r w:rsidR="00EF5476" w:rsidRPr="00066FCA">
              <w:rPr>
                <w:rFonts w:ascii="Arial Narrow" w:hAnsi="Arial Narrow" w:cstheme="minorHAnsi"/>
                <w:b w:val="0"/>
                <w:sz w:val="20"/>
                <w:szCs w:val="20"/>
              </w:rPr>
              <w:t xml:space="preserve"> deformity (for patients with cerebral palsy</w:t>
            </w:r>
            <w:r w:rsidRPr="00066FCA">
              <w:rPr>
                <w:rFonts w:ascii="Arial Narrow" w:hAnsi="Arial Narrow" w:cstheme="minorHAnsi"/>
                <w:b w:val="0"/>
                <w:sz w:val="20"/>
                <w:szCs w:val="20"/>
              </w:rPr>
              <w:t>)</w:t>
            </w:r>
          </w:p>
        </w:tc>
        <w:tc>
          <w:tcPr>
            <w:tcW w:w="1271" w:type="pct"/>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 Dysport</w:t>
            </w:r>
          </w:p>
        </w:tc>
      </w:tr>
      <w:tr w:rsidR="002A4668" w:rsidRPr="00066FCA" w:rsidTr="000D3A56">
        <w:tc>
          <w:tcPr>
            <w:tcW w:w="3729" w:type="pct"/>
            <w:vAlign w:val="center"/>
          </w:tcPr>
          <w:p w:rsidR="002A4668" w:rsidRPr="00066FCA" w:rsidRDefault="002A4668" w:rsidP="00EF5476">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 xml:space="preserve">Moderate to severe spasticity of the upper limb  (for patients with </w:t>
            </w:r>
            <w:r w:rsidR="00EF5476" w:rsidRPr="00066FCA">
              <w:rPr>
                <w:rFonts w:ascii="Arial Narrow" w:hAnsi="Arial Narrow" w:cstheme="minorHAnsi"/>
                <w:b w:val="0"/>
                <w:sz w:val="20"/>
                <w:szCs w:val="20"/>
              </w:rPr>
              <w:t>cerebral palsy</w:t>
            </w:r>
            <w:r w:rsidRPr="00066FCA">
              <w:rPr>
                <w:rFonts w:ascii="Arial Narrow" w:hAnsi="Arial Narrow" w:cstheme="minorHAnsi"/>
                <w:b w:val="0"/>
                <w:sz w:val="20"/>
                <w:szCs w:val="20"/>
              </w:rPr>
              <w:t>)</w:t>
            </w:r>
          </w:p>
        </w:tc>
        <w:tc>
          <w:tcPr>
            <w:tcW w:w="1271" w:type="pct"/>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Moderate to severe spasticity of the upper limb following a stroke</w:t>
            </w:r>
          </w:p>
        </w:tc>
        <w:tc>
          <w:tcPr>
            <w:tcW w:w="1271" w:type="pct"/>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 Dysport, Xeomin</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Chronic migraine</w:t>
            </w:r>
          </w:p>
        </w:tc>
        <w:tc>
          <w:tcPr>
            <w:tcW w:w="1271" w:type="pct"/>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Severe primary axillary hyperhidrosis</w:t>
            </w:r>
          </w:p>
        </w:tc>
        <w:tc>
          <w:tcPr>
            <w:tcW w:w="1271" w:type="pct"/>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w:t>
            </w:r>
          </w:p>
        </w:tc>
      </w:tr>
      <w:tr w:rsidR="002A4668" w:rsidRPr="00066FCA" w:rsidTr="000D3A56">
        <w:tc>
          <w:tcPr>
            <w:tcW w:w="3729" w:type="pct"/>
            <w:vAlign w:val="center"/>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Spasmodic torticollis</w:t>
            </w:r>
          </w:p>
        </w:tc>
        <w:tc>
          <w:tcPr>
            <w:tcW w:w="1271" w:type="pct"/>
          </w:tcPr>
          <w:p w:rsidR="002A4668" w:rsidRPr="00066FCA" w:rsidRDefault="002A4668" w:rsidP="0022321A">
            <w:pPr>
              <w:pStyle w:val="PBACHeading1"/>
              <w:numPr>
                <w:ilvl w:val="0"/>
                <w:numId w:val="0"/>
              </w:numPr>
              <w:rPr>
                <w:rFonts w:ascii="Arial Narrow" w:hAnsi="Arial Narrow" w:cstheme="minorHAnsi"/>
                <w:b w:val="0"/>
                <w:sz w:val="20"/>
                <w:szCs w:val="20"/>
              </w:rPr>
            </w:pPr>
            <w:r w:rsidRPr="00066FCA">
              <w:rPr>
                <w:rFonts w:ascii="Arial Narrow" w:hAnsi="Arial Narrow" w:cstheme="minorHAnsi"/>
                <w:b w:val="0"/>
                <w:sz w:val="20"/>
                <w:szCs w:val="20"/>
              </w:rPr>
              <w:t>Botox, Dysport, Xeomin</w:t>
            </w:r>
          </w:p>
        </w:tc>
      </w:tr>
    </w:tbl>
    <w:p w:rsidR="00642953" w:rsidRPr="00066FCA" w:rsidRDefault="007A3EAB" w:rsidP="00BB7A5E">
      <w:pPr>
        <w:pStyle w:val="PBACHeading1"/>
        <w:numPr>
          <w:ilvl w:val="0"/>
          <w:numId w:val="0"/>
        </w:numPr>
        <w:spacing w:after="120"/>
        <w:ind w:left="720" w:hanging="720"/>
        <w:jc w:val="both"/>
        <w:outlineLvl w:val="9"/>
        <w:rPr>
          <w:rFonts w:ascii="Arial Narrow" w:hAnsi="Arial Narrow" w:cstheme="minorHAnsi"/>
          <w:b w:val="0"/>
          <w:sz w:val="18"/>
          <w:szCs w:val="18"/>
        </w:rPr>
      </w:pPr>
      <w:r w:rsidRPr="00066FCA">
        <w:rPr>
          <w:rFonts w:ascii="Arial Narrow" w:hAnsi="Arial Narrow" w:cstheme="minorHAnsi"/>
          <w:b w:val="0"/>
          <w:sz w:val="18"/>
          <w:szCs w:val="18"/>
        </w:rPr>
        <w:t xml:space="preserve">Source: Schedule of </w:t>
      </w:r>
      <w:r w:rsidR="00800373" w:rsidRPr="00066FCA">
        <w:rPr>
          <w:rFonts w:ascii="Arial Narrow" w:hAnsi="Arial Narrow" w:cstheme="minorHAnsi"/>
          <w:b w:val="0"/>
          <w:sz w:val="18"/>
          <w:szCs w:val="18"/>
        </w:rPr>
        <w:t>Pharmaceutical</w:t>
      </w:r>
      <w:r w:rsidRPr="00066FCA">
        <w:rPr>
          <w:rFonts w:ascii="Arial Narrow" w:hAnsi="Arial Narrow" w:cstheme="minorHAnsi"/>
          <w:b w:val="0"/>
          <w:sz w:val="18"/>
          <w:szCs w:val="18"/>
        </w:rPr>
        <w:t xml:space="preserve"> Benefits</w:t>
      </w:r>
      <w:r w:rsidR="00687381" w:rsidRPr="00066FCA">
        <w:rPr>
          <w:rFonts w:ascii="Arial Narrow" w:hAnsi="Arial Narrow" w:cstheme="minorHAnsi"/>
          <w:b w:val="0"/>
          <w:sz w:val="18"/>
          <w:szCs w:val="18"/>
        </w:rPr>
        <w:t>, 1 July 2018</w:t>
      </w:r>
    </w:p>
    <w:p w:rsidR="00C249D2" w:rsidRPr="00066FCA" w:rsidRDefault="00B210DB" w:rsidP="00BB7A5E">
      <w:pPr>
        <w:pStyle w:val="PBACHeading1"/>
        <w:numPr>
          <w:ilvl w:val="1"/>
          <w:numId w:val="3"/>
        </w:numPr>
        <w:spacing w:after="240"/>
        <w:jc w:val="both"/>
        <w:outlineLvl w:val="9"/>
        <w:rPr>
          <w:rFonts w:eastAsia="MS Mincho"/>
        </w:rPr>
      </w:pPr>
      <w:r w:rsidRPr="00066FCA">
        <w:rPr>
          <w:rFonts w:asciiTheme="minorHAnsi" w:hAnsiTheme="minorHAnsi" w:cstheme="minorHAnsi"/>
          <w:b w:val="0"/>
        </w:rPr>
        <w:lastRenderedPageBreak/>
        <w:t xml:space="preserve">In response to a request from the PBAC Executive Committee, the Department requested that the sponsors of BoNT-A advise if recent evidence might support a review of the current restrictions and consider making a formal submission for an expanded listing for BoNT-A. In </w:t>
      </w:r>
      <w:r w:rsidR="00054B12" w:rsidRPr="00066FCA">
        <w:rPr>
          <w:rFonts w:asciiTheme="minorHAnsi" w:hAnsiTheme="minorHAnsi" w:cstheme="minorHAnsi"/>
          <w:b w:val="0"/>
        </w:rPr>
        <w:t xml:space="preserve">response to </w:t>
      </w:r>
      <w:r w:rsidRPr="00066FCA">
        <w:rPr>
          <w:rFonts w:asciiTheme="minorHAnsi" w:hAnsiTheme="minorHAnsi" w:cstheme="minorHAnsi"/>
          <w:b w:val="0"/>
        </w:rPr>
        <w:t xml:space="preserve">this </w:t>
      </w:r>
      <w:r w:rsidR="00054B12" w:rsidRPr="00066FCA">
        <w:rPr>
          <w:rFonts w:asciiTheme="minorHAnsi" w:hAnsiTheme="minorHAnsi" w:cstheme="minorHAnsi"/>
          <w:b w:val="0"/>
        </w:rPr>
        <w:t>request,</w:t>
      </w:r>
      <w:r w:rsidR="00E74746" w:rsidRPr="00066FCA">
        <w:rPr>
          <w:rFonts w:asciiTheme="minorHAnsi" w:hAnsiTheme="minorHAnsi" w:cstheme="minorHAnsi"/>
          <w:b w:val="0"/>
        </w:rPr>
        <w:t xml:space="preserve"> Allergan (the </w:t>
      </w:r>
      <w:r w:rsidR="00054B12" w:rsidRPr="00066FCA">
        <w:rPr>
          <w:rFonts w:asciiTheme="minorHAnsi" w:hAnsiTheme="minorHAnsi" w:cstheme="minorHAnsi"/>
          <w:b w:val="0"/>
        </w:rPr>
        <w:t xml:space="preserve">sponsor </w:t>
      </w:r>
      <w:r w:rsidR="00E74746" w:rsidRPr="00066FCA">
        <w:rPr>
          <w:rFonts w:asciiTheme="minorHAnsi" w:hAnsiTheme="minorHAnsi" w:cstheme="minorHAnsi"/>
          <w:b w:val="0"/>
        </w:rPr>
        <w:t xml:space="preserve">of Botox®) </w:t>
      </w:r>
      <w:r w:rsidR="00054B12" w:rsidRPr="00066FCA">
        <w:rPr>
          <w:rFonts w:asciiTheme="minorHAnsi" w:hAnsiTheme="minorHAnsi" w:cstheme="minorHAnsi"/>
          <w:b w:val="0"/>
        </w:rPr>
        <w:t xml:space="preserve">provided </w:t>
      </w:r>
      <w:r w:rsidR="006628AF" w:rsidRPr="00066FCA">
        <w:rPr>
          <w:rFonts w:asciiTheme="minorHAnsi" w:hAnsiTheme="minorHAnsi" w:cstheme="minorHAnsi"/>
          <w:b w:val="0"/>
        </w:rPr>
        <w:t xml:space="preserve">data </w:t>
      </w:r>
      <w:r w:rsidR="001C43E4" w:rsidRPr="00066FCA">
        <w:rPr>
          <w:rFonts w:asciiTheme="minorHAnsi" w:hAnsiTheme="minorHAnsi" w:cstheme="minorHAnsi"/>
          <w:b w:val="0"/>
        </w:rPr>
        <w:t>in</w:t>
      </w:r>
      <w:r w:rsidR="00E74746" w:rsidRPr="00066FCA">
        <w:rPr>
          <w:rFonts w:asciiTheme="minorHAnsi" w:hAnsiTheme="minorHAnsi" w:cstheme="minorHAnsi"/>
          <w:b w:val="0"/>
        </w:rPr>
        <w:t xml:space="preserve"> support </w:t>
      </w:r>
      <w:r w:rsidR="001C43E4" w:rsidRPr="00066FCA">
        <w:rPr>
          <w:rFonts w:asciiTheme="minorHAnsi" w:hAnsiTheme="minorHAnsi" w:cstheme="minorHAnsi"/>
          <w:b w:val="0"/>
        </w:rPr>
        <w:t xml:space="preserve">of </w:t>
      </w:r>
      <w:r w:rsidR="00E74746" w:rsidRPr="00066FCA">
        <w:rPr>
          <w:rFonts w:asciiTheme="minorHAnsi" w:hAnsiTheme="minorHAnsi" w:cstheme="minorHAnsi"/>
          <w:b w:val="0"/>
        </w:rPr>
        <w:t>the RMSANZ requests</w:t>
      </w:r>
      <w:r w:rsidR="006628AF" w:rsidRPr="00066FCA">
        <w:rPr>
          <w:rFonts w:asciiTheme="minorHAnsi" w:hAnsiTheme="minorHAnsi" w:cstheme="minorHAnsi"/>
          <w:b w:val="0"/>
        </w:rPr>
        <w:t>, including</w:t>
      </w:r>
      <w:r w:rsidR="00E74746" w:rsidRPr="00066FCA">
        <w:rPr>
          <w:rFonts w:asciiTheme="minorHAnsi" w:hAnsiTheme="minorHAnsi" w:cstheme="minorHAnsi"/>
          <w:b w:val="0"/>
        </w:rPr>
        <w:t xml:space="preserve"> information on the possible financial implications of the request</w:t>
      </w:r>
      <w:r w:rsidR="006628AF" w:rsidRPr="00066FCA">
        <w:rPr>
          <w:rFonts w:asciiTheme="minorHAnsi" w:hAnsiTheme="minorHAnsi" w:cstheme="minorHAnsi"/>
          <w:b w:val="0"/>
        </w:rPr>
        <w:t>ed changes</w:t>
      </w:r>
      <w:r w:rsidR="00E74746" w:rsidRPr="00066FCA">
        <w:rPr>
          <w:rFonts w:asciiTheme="minorHAnsi" w:hAnsiTheme="minorHAnsi" w:cstheme="minorHAnsi"/>
          <w:b w:val="0"/>
        </w:rPr>
        <w:t>.</w:t>
      </w:r>
    </w:p>
    <w:p w:rsidR="00C249D2" w:rsidRPr="00066FCA" w:rsidRDefault="00C249D2"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 xml:space="preserve">A summary of Allergan’s response is replicated in Table 2. The claims in Allergan’s response have not been evaluated. </w:t>
      </w:r>
    </w:p>
    <w:p w:rsidR="00874E81" w:rsidRDefault="00874E81">
      <w:pPr>
        <w:widowControl/>
        <w:jc w:val="left"/>
        <w:rPr>
          <w:rFonts w:ascii="Arial Narrow" w:hAnsi="Arial Narrow"/>
          <w:b/>
          <w:sz w:val="20"/>
        </w:rPr>
      </w:pPr>
      <w:r>
        <w:rPr>
          <w:rFonts w:ascii="Arial Narrow" w:hAnsi="Arial Narrow"/>
          <w:sz w:val="20"/>
        </w:rPr>
        <w:br w:type="page"/>
      </w:r>
    </w:p>
    <w:p w:rsidR="00C249D2" w:rsidRPr="00066FCA" w:rsidRDefault="00C249D2" w:rsidP="00BB7A5E">
      <w:pPr>
        <w:pStyle w:val="PBACHeading1"/>
        <w:numPr>
          <w:ilvl w:val="0"/>
          <w:numId w:val="0"/>
        </w:numPr>
        <w:outlineLvl w:val="9"/>
        <w:rPr>
          <w:rFonts w:ascii="Arial Narrow" w:hAnsi="Arial Narrow"/>
          <w:sz w:val="20"/>
        </w:rPr>
      </w:pPr>
      <w:r w:rsidRPr="00066FCA">
        <w:rPr>
          <w:rFonts w:ascii="Arial Narrow" w:hAnsi="Arial Narrow"/>
          <w:sz w:val="20"/>
          <w:szCs w:val="20"/>
        </w:rPr>
        <w:lastRenderedPageBreak/>
        <w:t>Table 2: Summary of Allergan’s response</w:t>
      </w:r>
    </w:p>
    <w:tbl>
      <w:tblPr>
        <w:tblStyle w:val="TableGrid"/>
        <w:tblW w:w="5000" w:type="pct"/>
        <w:tblLook w:val="04A0" w:firstRow="1" w:lastRow="0" w:firstColumn="1" w:lastColumn="0" w:noHBand="0" w:noVBand="1"/>
        <w:tblCaption w:val="Table 2: Summary of Allergan’s response"/>
      </w:tblPr>
      <w:tblGrid>
        <w:gridCol w:w="312"/>
        <w:gridCol w:w="1842"/>
        <w:gridCol w:w="1992"/>
        <w:gridCol w:w="2453"/>
        <w:gridCol w:w="1923"/>
      </w:tblGrid>
      <w:tr w:rsidR="00C249D2" w:rsidRPr="00066FCA" w:rsidTr="000D3A56">
        <w:trPr>
          <w:tblHeader/>
        </w:trPr>
        <w:tc>
          <w:tcPr>
            <w:tcW w:w="1264" w:type="pct"/>
            <w:gridSpan w:val="2"/>
            <w:tcBorders>
              <w:left w:val="single" w:sz="4" w:space="0" w:color="auto"/>
            </w:tcBorders>
            <w:shd w:val="clear" w:color="auto" w:fill="auto"/>
          </w:tcPr>
          <w:p w:rsidR="00C249D2" w:rsidRPr="00066FCA" w:rsidRDefault="00C249D2" w:rsidP="008F5066">
            <w:pPr>
              <w:keepNext/>
              <w:jc w:val="left"/>
              <w:rPr>
                <w:rFonts w:ascii="Arial Narrow" w:hAnsi="Arial Narrow" w:cstheme="minorHAnsi"/>
                <w:b/>
                <w:sz w:val="20"/>
                <w:szCs w:val="20"/>
              </w:rPr>
            </w:pPr>
            <w:r w:rsidRPr="00066FCA">
              <w:rPr>
                <w:rFonts w:ascii="Arial Narrow" w:hAnsi="Arial Narrow" w:cstheme="minorHAnsi"/>
                <w:b/>
                <w:sz w:val="20"/>
              </w:rPr>
              <w:t>RMSANZ Request</w:t>
            </w:r>
          </w:p>
        </w:tc>
        <w:tc>
          <w:tcPr>
            <w:tcW w:w="1169" w:type="pct"/>
            <w:shd w:val="clear" w:color="auto" w:fill="auto"/>
          </w:tcPr>
          <w:p w:rsidR="00C249D2" w:rsidRPr="00066FCA" w:rsidRDefault="00C249D2" w:rsidP="008F5066">
            <w:pPr>
              <w:keepNext/>
              <w:jc w:val="left"/>
              <w:rPr>
                <w:rFonts w:ascii="Arial Narrow" w:hAnsi="Arial Narrow" w:cstheme="minorHAnsi"/>
                <w:b/>
                <w:sz w:val="20"/>
                <w:szCs w:val="20"/>
              </w:rPr>
            </w:pPr>
            <w:r w:rsidRPr="00066FCA">
              <w:rPr>
                <w:rFonts w:ascii="Arial Narrow" w:hAnsi="Arial Narrow" w:cstheme="minorHAnsi"/>
                <w:b/>
                <w:sz w:val="20"/>
              </w:rPr>
              <w:t xml:space="preserve">Allergan response </w:t>
            </w:r>
          </w:p>
        </w:tc>
        <w:tc>
          <w:tcPr>
            <w:tcW w:w="1439" w:type="pct"/>
            <w:shd w:val="clear" w:color="auto" w:fill="auto"/>
          </w:tcPr>
          <w:p w:rsidR="00C249D2" w:rsidRPr="00066FCA" w:rsidRDefault="00C249D2" w:rsidP="008F5066">
            <w:pPr>
              <w:keepNext/>
              <w:jc w:val="left"/>
              <w:rPr>
                <w:rFonts w:ascii="Arial Narrow" w:hAnsi="Arial Narrow" w:cstheme="minorHAnsi"/>
                <w:b/>
                <w:sz w:val="20"/>
                <w:szCs w:val="20"/>
              </w:rPr>
            </w:pPr>
            <w:r w:rsidRPr="00066FCA">
              <w:rPr>
                <w:rFonts w:ascii="Arial Narrow" w:hAnsi="Arial Narrow" w:cstheme="minorHAnsi"/>
                <w:b/>
                <w:sz w:val="20"/>
              </w:rPr>
              <w:t>New Clinical Evidence and Rationale</w:t>
            </w:r>
          </w:p>
        </w:tc>
        <w:tc>
          <w:tcPr>
            <w:tcW w:w="1128" w:type="pct"/>
            <w:shd w:val="clear" w:color="auto" w:fill="auto"/>
          </w:tcPr>
          <w:p w:rsidR="00C249D2" w:rsidRPr="00066FCA" w:rsidRDefault="00C249D2" w:rsidP="008F5066">
            <w:pPr>
              <w:keepNext/>
              <w:jc w:val="left"/>
              <w:rPr>
                <w:rFonts w:ascii="Arial Narrow" w:hAnsi="Arial Narrow" w:cstheme="minorHAnsi"/>
                <w:b/>
                <w:sz w:val="20"/>
                <w:szCs w:val="20"/>
              </w:rPr>
            </w:pPr>
            <w:r w:rsidRPr="00066FCA">
              <w:rPr>
                <w:rFonts w:ascii="Arial Narrow" w:hAnsi="Arial Narrow" w:cstheme="minorHAnsi"/>
                <w:b/>
                <w:sz w:val="20"/>
              </w:rPr>
              <w:t>Financial Implications</w:t>
            </w:r>
          </w:p>
        </w:tc>
      </w:tr>
      <w:tr w:rsidR="00C249D2" w:rsidRPr="00066FCA" w:rsidTr="000D3A56">
        <w:tc>
          <w:tcPr>
            <w:tcW w:w="183" w:type="pct"/>
            <w:tcBorders>
              <w:left w:val="single" w:sz="4" w:space="0" w:color="auto"/>
              <w:bottom w:val="single" w:sz="4" w:space="0" w:color="auto"/>
            </w:tcBorders>
          </w:tcPr>
          <w:p w:rsidR="00C249D2" w:rsidRPr="00066FCA" w:rsidRDefault="00C249D2" w:rsidP="008F5066">
            <w:pPr>
              <w:keepNext/>
              <w:jc w:val="left"/>
              <w:rPr>
                <w:rFonts w:ascii="Arial Narrow" w:hAnsi="Arial Narrow" w:cstheme="minorHAnsi"/>
                <w:b/>
                <w:sz w:val="20"/>
                <w:szCs w:val="20"/>
              </w:rPr>
            </w:pPr>
            <w:r w:rsidRPr="00066FCA">
              <w:rPr>
                <w:rFonts w:ascii="Arial Narrow" w:hAnsi="Arial Narrow" w:cstheme="minorHAnsi"/>
                <w:b/>
                <w:sz w:val="20"/>
              </w:rPr>
              <w:t>1</w:t>
            </w:r>
          </w:p>
        </w:tc>
        <w:tc>
          <w:tcPr>
            <w:tcW w:w="1081" w:type="pct"/>
          </w:tcPr>
          <w:p w:rsidR="00C249D2" w:rsidRPr="00066FCA" w:rsidRDefault="00C249D2" w:rsidP="008F5066">
            <w:pPr>
              <w:keepNext/>
              <w:jc w:val="left"/>
              <w:rPr>
                <w:rFonts w:ascii="Arial Narrow" w:hAnsi="Arial Narrow" w:cstheme="minorHAnsi"/>
                <w:sz w:val="20"/>
                <w:szCs w:val="20"/>
              </w:rPr>
            </w:pPr>
            <w:r w:rsidRPr="00066FCA">
              <w:rPr>
                <w:rFonts w:ascii="Arial Narrow" w:hAnsi="Arial Narrow" w:cstheme="minorHAnsi"/>
                <w:sz w:val="20"/>
              </w:rPr>
              <w:t xml:space="preserve">The requirement that adult CP patients must have commenced treatment with BoNT-A as a paediatric patient </w:t>
            </w:r>
          </w:p>
        </w:tc>
        <w:tc>
          <w:tcPr>
            <w:tcW w:w="1169" w:type="pct"/>
          </w:tcPr>
          <w:p w:rsidR="00C249D2" w:rsidRPr="00066FCA" w:rsidRDefault="00C249D2" w:rsidP="008F5066">
            <w:pPr>
              <w:keepNext/>
              <w:jc w:val="left"/>
              <w:rPr>
                <w:rFonts w:ascii="Arial Narrow" w:hAnsi="Arial Narrow" w:cstheme="minorHAnsi"/>
                <w:sz w:val="20"/>
                <w:szCs w:val="20"/>
              </w:rPr>
            </w:pPr>
            <w:r w:rsidRPr="00066FCA">
              <w:rPr>
                <w:rFonts w:ascii="Arial Narrow" w:hAnsi="Arial Narrow" w:cstheme="minorHAnsi"/>
                <w:sz w:val="20"/>
              </w:rPr>
              <w:t>Allergan has not conducted clinical trials in this patient group.</w:t>
            </w:r>
          </w:p>
        </w:tc>
        <w:tc>
          <w:tcPr>
            <w:tcW w:w="1439" w:type="pct"/>
          </w:tcPr>
          <w:p w:rsidR="00C249D2" w:rsidRPr="00066FCA" w:rsidRDefault="00C249D2" w:rsidP="008F5066">
            <w:pPr>
              <w:keepNext/>
              <w:jc w:val="left"/>
              <w:rPr>
                <w:rFonts w:ascii="Arial Narrow" w:hAnsi="Arial Narrow" w:cstheme="minorHAnsi"/>
                <w:sz w:val="20"/>
                <w:szCs w:val="20"/>
              </w:rPr>
            </w:pPr>
            <w:r w:rsidRPr="00066FCA">
              <w:rPr>
                <w:rFonts w:ascii="Arial Narrow" w:hAnsi="Arial Narrow" w:cstheme="minorHAnsi"/>
                <w:sz w:val="20"/>
              </w:rPr>
              <w:t>BOTOX is effective and safe in the treatment of spasticity due to cerebral palsy, regardless of patient age.</w:t>
            </w:r>
          </w:p>
          <w:p w:rsidR="00C249D2" w:rsidRPr="00066FCA" w:rsidRDefault="00C249D2" w:rsidP="008F5066">
            <w:pPr>
              <w:keepNext/>
              <w:jc w:val="left"/>
              <w:rPr>
                <w:rFonts w:ascii="Arial Narrow" w:hAnsi="Arial Narrow" w:cstheme="minorHAnsi"/>
                <w:sz w:val="20"/>
                <w:szCs w:val="20"/>
              </w:rPr>
            </w:pPr>
          </w:p>
          <w:p w:rsidR="00C249D2" w:rsidRPr="00066FCA" w:rsidRDefault="00C249D2" w:rsidP="008F5066">
            <w:pPr>
              <w:keepNext/>
              <w:jc w:val="left"/>
              <w:rPr>
                <w:rFonts w:ascii="Arial Narrow" w:hAnsi="Arial Narrow" w:cstheme="minorHAnsi"/>
                <w:sz w:val="20"/>
                <w:szCs w:val="20"/>
              </w:rPr>
            </w:pPr>
            <w:r w:rsidRPr="00066FCA">
              <w:rPr>
                <w:rFonts w:ascii="Arial Narrow" w:hAnsi="Arial Narrow" w:cstheme="minorHAnsi"/>
                <w:sz w:val="20"/>
              </w:rPr>
              <w:t>This is supported by current clinical evidence.</w:t>
            </w:r>
          </w:p>
        </w:tc>
        <w:tc>
          <w:tcPr>
            <w:tcW w:w="1128" w:type="pct"/>
          </w:tcPr>
          <w:p w:rsidR="00C249D2" w:rsidRPr="00066FCA" w:rsidRDefault="00C249D2" w:rsidP="008F5066">
            <w:pPr>
              <w:keepNext/>
              <w:jc w:val="left"/>
              <w:rPr>
                <w:rFonts w:ascii="Arial Narrow" w:hAnsi="Arial Narrow" w:cstheme="minorHAnsi"/>
                <w:sz w:val="20"/>
                <w:szCs w:val="20"/>
              </w:rPr>
            </w:pPr>
            <w:r w:rsidRPr="00066FCA">
              <w:rPr>
                <w:rFonts w:ascii="Arial Narrow" w:hAnsi="Arial Narrow" w:cstheme="minorHAnsi"/>
                <w:sz w:val="20"/>
              </w:rPr>
              <w:t>Minimal impact because most patients are treated in childhood in Australian clinical practice.</w:t>
            </w:r>
          </w:p>
          <w:p w:rsidR="00C249D2" w:rsidRPr="00066FCA" w:rsidRDefault="00C249D2" w:rsidP="008F5066">
            <w:pPr>
              <w:keepNext/>
              <w:jc w:val="left"/>
              <w:rPr>
                <w:rFonts w:ascii="Arial Narrow" w:hAnsi="Arial Narrow" w:cstheme="minorHAnsi"/>
                <w:sz w:val="20"/>
                <w:szCs w:val="20"/>
              </w:rPr>
            </w:pPr>
          </w:p>
        </w:tc>
      </w:tr>
      <w:tr w:rsidR="00C249D2" w:rsidRPr="00066FCA" w:rsidTr="000D3A56">
        <w:tc>
          <w:tcPr>
            <w:tcW w:w="183" w:type="pct"/>
            <w:tcBorders>
              <w:left w:val="single" w:sz="4" w:space="0" w:color="auto"/>
              <w:bottom w:val="single" w:sz="4" w:space="0" w:color="auto"/>
            </w:tcBorders>
          </w:tcPr>
          <w:p w:rsidR="00C249D2" w:rsidRPr="00066FCA" w:rsidRDefault="00C249D2" w:rsidP="008F5066">
            <w:pPr>
              <w:jc w:val="left"/>
              <w:rPr>
                <w:rFonts w:ascii="Arial Narrow" w:hAnsi="Arial Narrow" w:cstheme="minorHAnsi"/>
                <w:b/>
                <w:sz w:val="20"/>
                <w:szCs w:val="20"/>
              </w:rPr>
            </w:pPr>
            <w:r w:rsidRPr="00066FCA">
              <w:rPr>
                <w:rFonts w:ascii="Arial Narrow" w:hAnsi="Arial Narrow" w:cstheme="minorHAnsi"/>
                <w:b/>
                <w:sz w:val="20"/>
              </w:rPr>
              <w:t>2</w:t>
            </w:r>
          </w:p>
        </w:tc>
        <w:tc>
          <w:tcPr>
            <w:tcW w:w="1081"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The limitation of 4 treatment periods (total BoNT-A) per upper limb per lifetime in post-stroke patients</w:t>
            </w:r>
          </w:p>
        </w:tc>
        <w:tc>
          <w:tcPr>
            <w:tcW w:w="1169"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Allergan has not conducted clinical trials in this patient group.</w:t>
            </w:r>
          </w:p>
        </w:tc>
        <w:tc>
          <w:tcPr>
            <w:tcW w:w="1439"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 xml:space="preserve">Some longer term clinical data now exist which demonstrate benefit of further treatment.  </w:t>
            </w:r>
          </w:p>
          <w:p w:rsidR="00C249D2" w:rsidRPr="00066FCA" w:rsidRDefault="00C249D2" w:rsidP="008F5066">
            <w:pPr>
              <w:jc w:val="left"/>
              <w:rPr>
                <w:rFonts w:ascii="Arial Narrow" w:hAnsi="Arial Narrow" w:cstheme="minorHAnsi"/>
                <w:sz w:val="20"/>
                <w:szCs w:val="20"/>
              </w:rPr>
            </w:pPr>
          </w:p>
        </w:tc>
        <w:tc>
          <w:tcPr>
            <w:tcW w:w="1128"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Modest impact, based on current utilisation patterns which show that few patients receive 4 treatments.</w:t>
            </w:r>
          </w:p>
        </w:tc>
      </w:tr>
      <w:tr w:rsidR="00C249D2" w:rsidRPr="00066FCA" w:rsidTr="000D3A56">
        <w:tc>
          <w:tcPr>
            <w:tcW w:w="183" w:type="pct"/>
            <w:tcBorders>
              <w:left w:val="single" w:sz="4" w:space="0" w:color="auto"/>
              <w:bottom w:val="single" w:sz="4" w:space="0" w:color="auto"/>
            </w:tcBorders>
          </w:tcPr>
          <w:p w:rsidR="00C249D2" w:rsidRPr="00066FCA" w:rsidRDefault="00C249D2" w:rsidP="008F5066">
            <w:pPr>
              <w:jc w:val="left"/>
              <w:rPr>
                <w:rFonts w:ascii="Arial Narrow" w:hAnsi="Arial Narrow" w:cstheme="minorHAnsi"/>
                <w:b/>
                <w:sz w:val="20"/>
                <w:szCs w:val="20"/>
              </w:rPr>
            </w:pPr>
            <w:r w:rsidRPr="00066FCA">
              <w:rPr>
                <w:rFonts w:ascii="Arial Narrow" w:hAnsi="Arial Narrow" w:cstheme="minorHAnsi"/>
                <w:b/>
                <w:sz w:val="20"/>
              </w:rPr>
              <w:t>3</w:t>
            </w:r>
          </w:p>
        </w:tc>
        <w:tc>
          <w:tcPr>
            <w:tcW w:w="1081"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The time limitation for first injection of post-stroke upper limb spasticity</w:t>
            </w:r>
          </w:p>
        </w:tc>
        <w:tc>
          <w:tcPr>
            <w:tcW w:w="1169" w:type="pct"/>
            <w:tcBorders>
              <w:bottom w:val="single" w:sz="4" w:space="0" w:color="auto"/>
            </w:tcBorders>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Allergan has not conducted clinical trials in this patient group.</w:t>
            </w:r>
          </w:p>
        </w:tc>
        <w:tc>
          <w:tcPr>
            <w:tcW w:w="1439"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 xml:space="preserve">The published literature supports early intervention with BOTOX to maximise patient outcomes. </w:t>
            </w:r>
          </w:p>
        </w:tc>
        <w:tc>
          <w:tcPr>
            <w:tcW w:w="1128"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No impact because the clinical criteria for severity (MAS 3) would be unchanged.</w:t>
            </w:r>
          </w:p>
        </w:tc>
      </w:tr>
      <w:tr w:rsidR="00C249D2" w:rsidRPr="00066FCA" w:rsidTr="000D3A56">
        <w:tc>
          <w:tcPr>
            <w:tcW w:w="183" w:type="pct"/>
            <w:tcBorders>
              <w:left w:val="single" w:sz="4" w:space="0" w:color="auto"/>
              <w:bottom w:val="single" w:sz="4" w:space="0" w:color="auto"/>
            </w:tcBorders>
          </w:tcPr>
          <w:p w:rsidR="00C249D2" w:rsidRPr="00066FCA" w:rsidRDefault="00C249D2" w:rsidP="008F5066">
            <w:pPr>
              <w:jc w:val="left"/>
              <w:rPr>
                <w:rFonts w:ascii="Arial Narrow" w:hAnsi="Arial Narrow" w:cstheme="minorHAnsi"/>
                <w:b/>
                <w:sz w:val="20"/>
                <w:szCs w:val="20"/>
              </w:rPr>
            </w:pPr>
            <w:r w:rsidRPr="00066FCA">
              <w:rPr>
                <w:rFonts w:ascii="Arial Narrow" w:hAnsi="Arial Narrow" w:cstheme="minorHAnsi"/>
                <w:b/>
                <w:sz w:val="20"/>
              </w:rPr>
              <w:t>4</w:t>
            </w:r>
          </w:p>
        </w:tc>
        <w:tc>
          <w:tcPr>
            <w:tcW w:w="1081" w:type="pct"/>
            <w:tcBorders>
              <w:right w:val="single" w:sz="4" w:space="0" w:color="auto"/>
            </w:tcBorders>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Non-funding for post-stroke lower limb treatment</w:t>
            </w:r>
          </w:p>
        </w:tc>
        <w:tc>
          <w:tcPr>
            <w:tcW w:w="1169" w:type="pct"/>
            <w:tcBorders>
              <w:left w:val="single" w:sz="4" w:space="0" w:color="auto"/>
            </w:tcBorders>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 xml:space="preserve">Allergan have conducted trials in this patient group and will submit a major PBAC application for the July 2018 cut-off. </w:t>
            </w:r>
          </w:p>
          <w:p w:rsidR="00C249D2" w:rsidRPr="00066FCA" w:rsidRDefault="00C249D2" w:rsidP="008F5066">
            <w:pPr>
              <w:jc w:val="left"/>
              <w:rPr>
                <w:rFonts w:ascii="Arial Narrow" w:hAnsi="Arial Narrow" w:cstheme="minorHAnsi"/>
                <w:sz w:val="20"/>
                <w:szCs w:val="20"/>
              </w:rPr>
            </w:pPr>
          </w:p>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Allergan has previously submitted three major applications for BOTOX treatment of this patient group. The last submission was evaluated in 2008. The forthcoming resubmission contains new clinical evidence.</w:t>
            </w:r>
          </w:p>
        </w:tc>
        <w:tc>
          <w:tcPr>
            <w:tcW w:w="1439"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New clinical evidence supports this PBS listing.</w:t>
            </w:r>
          </w:p>
          <w:p w:rsidR="00C249D2" w:rsidRPr="00066FCA" w:rsidRDefault="00C249D2" w:rsidP="008F5066">
            <w:pPr>
              <w:jc w:val="left"/>
              <w:rPr>
                <w:rFonts w:ascii="Arial Narrow" w:hAnsi="Arial Narrow" w:cstheme="minorHAnsi"/>
                <w:sz w:val="20"/>
                <w:szCs w:val="20"/>
              </w:rPr>
            </w:pPr>
          </w:p>
        </w:tc>
        <w:tc>
          <w:tcPr>
            <w:tcW w:w="1128"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New PBS listing.  Most of the proposed PBS patients have both upper and lower limb spasticity.</w:t>
            </w:r>
          </w:p>
          <w:p w:rsidR="00C249D2" w:rsidRPr="00066FCA" w:rsidRDefault="00C249D2" w:rsidP="008F5066">
            <w:pPr>
              <w:jc w:val="left"/>
              <w:rPr>
                <w:rFonts w:ascii="Arial Narrow" w:hAnsi="Arial Narrow" w:cstheme="minorHAnsi"/>
                <w:sz w:val="20"/>
                <w:szCs w:val="20"/>
              </w:rPr>
            </w:pPr>
          </w:p>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The likely change is an increase in number of patients and scripts per lifetime for existing patients (additional doses required for treatment of different muscle groups supporting different functional outcomes).</w:t>
            </w:r>
          </w:p>
        </w:tc>
      </w:tr>
      <w:tr w:rsidR="00C249D2" w:rsidRPr="00066FCA" w:rsidTr="000D3A56">
        <w:tc>
          <w:tcPr>
            <w:tcW w:w="183" w:type="pct"/>
            <w:tcBorders>
              <w:left w:val="single" w:sz="4" w:space="0" w:color="auto"/>
            </w:tcBorders>
          </w:tcPr>
          <w:p w:rsidR="00C249D2" w:rsidRPr="00066FCA" w:rsidRDefault="00C249D2" w:rsidP="008F5066">
            <w:pPr>
              <w:jc w:val="left"/>
              <w:rPr>
                <w:rFonts w:ascii="Arial Narrow" w:hAnsi="Arial Narrow" w:cstheme="minorHAnsi"/>
                <w:b/>
                <w:sz w:val="20"/>
                <w:szCs w:val="20"/>
              </w:rPr>
            </w:pPr>
            <w:r w:rsidRPr="00066FCA">
              <w:rPr>
                <w:rFonts w:ascii="Arial Narrow" w:hAnsi="Arial Narrow" w:cstheme="minorHAnsi"/>
                <w:b/>
                <w:sz w:val="20"/>
              </w:rPr>
              <w:t>5</w:t>
            </w:r>
          </w:p>
        </w:tc>
        <w:tc>
          <w:tcPr>
            <w:tcW w:w="1081"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Possible expansion of the funded conditions to include muscle overactivity of any aetiology</w:t>
            </w:r>
          </w:p>
        </w:tc>
        <w:tc>
          <w:tcPr>
            <w:tcW w:w="1169"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Allergan has not conducted clinical trials in this patient group.</w:t>
            </w:r>
            <w:r w:rsidRPr="00066FCA" w:rsidDel="00A613C6">
              <w:rPr>
                <w:rFonts w:ascii="Arial Narrow" w:hAnsi="Arial Narrow" w:cstheme="minorHAnsi"/>
                <w:sz w:val="20"/>
              </w:rPr>
              <w:t xml:space="preserve"> </w:t>
            </w:r>
          </w:p>
          <w:p w:rsidR="00C249D2" w:rsidRPr="00066FCA" w:rsidRDefault="00C249D2" w:rsidP="008F5066">
            <w:pPr>
              <w:jc w:val="left"/>
              <w:rPr>
                <w:rFonts w:ascii="Arial Narrow" w:hAnsi="Arial Narrow" w:cstheme="minorHAnsi"/>
                <w:sz w:val="20"/>
                <w:szCs w:val="20"/>
              </w:rPr>
            </w:pPr>
          </w:p>
        </w:tc>
        <w:tc>
          <w:tcPr>
            <w:tcW w:w="1439"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Clinical evidence in the form of 6 small RCTs and 12 non-randomised studies supports this expansion.</w:t>
            </w:r>
          </w:p>
          <w:p w:rsidR="00C249D2" w:rsidRPr="00066FCA" w:rsidRDefault="00C249D2" w:rsidP="008F5066">
            <w:pPr>
              <w:jc w:val="left"/>
              <w:rPr>
                <w:rFonts w:ascii="Arial Narrow" w:hAnsi="Arial Narrow" w:cstheme="minorHAnsi"/>
                <w:sz w:val="20"/>
                <w:szCs w:val="20"/>
              </w:rPr>
            </w:pPr>
          </w:p>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 xml:space="preserve">The data confirms improvement in spasticity in these patients who have suffered TBI and </w:t>
            </w:r>
            <w:r w:rsidR="00066FCA" w:rsidRPr="00066FCA">
              <w:rPr>
                <w:rFonts w:ascii="Arial Narrow" w:hAnsi="Arial Narrow" w:cstheme="minorHAnsi"/>
                <w:sz w:val="20"/>
              </w:rPr>
              <w:t>SCI that</w:t>
            </w:r>
            <w:r w:rsidRPr="00066FCA">
              <w:rPr>
                <w:rFonts w:ascii="Arial Narrow" w:hAnsi="Arial Narrow" w:cstheme="minorHAnsi"/>
                <w:sz w:val="20"/>
              </w:rPr>
              <w:t xml:space="preserve"> is consistent with their post-stroke counterparts in terms of change in MAS score.</w:t>
            </w:r>
          </w:p>
        </w:tc>
        <w:tc>
          <w:tcPr>
            <w:tcW w:w="1128" w:type="pct"/>
          </w:tcPr>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Limited impact because the incidence of TBI and SCI are relatively low compared with the incidence of stroke.</w:t>
            </w:r>
          </w:p>
          <w:p w:rsidR="00C249D2" w:rsidRPr="00066FCA" w:rsidRDefault="00C249D2" w:rsidP="008F5066">
            <w:pPr>
              <w:jc w:val="left"/>
              <w:rPr>
                <w:rFonts w:ascii="Arial Narrow" w:hAnsi="Arial Narrow" w:cstheme="minorHAnsi"/>
                <w:sz w:val="20"/>
                <w:szCs w:val="20"/>
              </w:rPr>
            </w:pPr>
          </w:p>
          <w:p w:rsidR="00C249D2" w:rsidRPr="00066FCA" w:rsidRDefault="00C249D2" w:rsidP="008F5066">
            <w:pPr>
              <w:jc w:val="left"/>
              <w:rPr>
                <w:rFonts w:ascii="Arial Narrow" w:hAnsi="Arial Narrow" w:cstheme="minorHAnsi"/>
                <w:sz w:val="20"/>
                <w:szCs w:val="20"/>
              </w:rPr>
            </w:pPr>
            <w:r w:rsidRPr="00066FCA">
              <w:rPr>
                <w:rFonts w:ascii="Arial Narrow" w:hAnsi="Arial Narrow" w:cstheme="minorHAnsi"/>
                <w:sz w:val="20"/>
              </w:rPr>
              <w:t>The utilisation assumptions for the new restrictions are modelled on those of the post-stroke population (all of them have acute onset).</w:t>
            </w:r>
          </w:p>
        </w:tc>
      </w:tr>
    </w:tbl>
    <w:p w:rsidR="00C249D2" w:rsidRPr="00066FCA" w:rsidRDefault="00C249D2" w:rsidP="00BB7A5E">
      <w:pPr>
        <w:pStyle w:val="PBACHeading1"/>
        <w:numPr>
          <w:ilvl w:val="0"/>
          <w:numId w:val="0"/>
        </w:numPr>
        <w:outlineLvl w:val="9"/>
        <w:rPr>
          <w:rFonts w:ascii="Arial Narrow" w:hAnsi="Arial Narrow"/>
          <w:b w:val="0"/>
          <w:sz w:val="18"/>
          <w:szCs w:val="18"/>
        </w:rPr>
      </w:pPr>
      <w:r w:rsidRPr="00066FCA">
        <w:rPr>
          <w:rFonts w:ascii="Arial Narrow" w:hAnsi="Arial Narrow"/>
          <w:b w:val="0"/>
          <w:sz w:val="18"/>
          <w:szCs w:val="18"/>
        </w:rPr>
        <w:t>Source: Allergan response to the request for further information, p1-2.</w:t>
      </w:r>
    </w:p>
    <w:p w:rsidR="00C249D2" w:rsidRPr="00066FCA" w:rsidRDefault="003A13A2" w:rsidP="00BB7A5E">
      <w:pPr>
        <w:pStyle w:val="PBACHeading1"/>
        <w:numPr>
          <w:ilvl w:val="0"/>
          <w:numId w:val="0"/>
        </w:numPr>
        <w:outlineLvl w:val="9"/>
        <w:rPr>
          <w:rFonts w:ascii="Arial Narrow" w:hAnsi="Arial Narrow"/>
          <w:b w:val="0"/>
          <w:sz w:val="18"/>
          <w:szCs w:val="18"/>
        </w:rPr>
      </w:pPr>
      <w:r>
        <w:rPr>
          <w:rFonts w:ascii="Arial Narrow" w:hAnsi="Arial Narrow"/>
          <w:b w:val="0"/>
          <w:sz w:val="18"/>
          <w:szCs w:val="18"/>
        </w:rPr>
        <w:t>Bo</w:t>
      </w:r>
      <w:r w:rsidR="00C249D2" w:rsidRPr="00066FCA">
        <w:rPr>
          <w:rFonts w:ascii="Arial Narrow" w:hAnsi="Arial Narrow"/>
          <w:b w:val="0"/>
          <w:sz w:val="18"/>
          <w:szCs w:val="18"/>
        </w:rPr>
        <w:t>N</w:t>
      </w:r>
      <w:r>
        <w:rPr>
          <w:rFonts w:ascii="Arial Narrow" w:hAnsi="Arial Narrow"/>
          <w:b w:val="0"/>
          <w:sz w:val="18"/>
          <w:szCs w:val="18"/>
        </w:rPr>
        <w:t>T</w:t>
      </w:r>
      <w:r w:rsidR="00C249D2" w:rsidRPr="00066FCA">
        <w:rPr>
          <w:rFonts w:ascii="Arial Narrow" w:hAnsi="Arial Narrow"/>
          <w:b w:val="0"/>
          <w:sz w:val="18"/>
          <w:szCs w:val="18"/>
        </w:rPr>
        <w:t>-A = botulinum toxin type A; CP = cerebral palsy; MAS = modified Ashworth score; PBAC = Pharmaceutical Benefits Advisory Committee; PBS = Pharmaceutical Benefits Scheme; RCT = randomised controlled trial; SCI = spinal cord injury; TBI = traumatic brain injury</w:t>
      </w:r>
    </w:p>
    <w:p w:rsidR="00BC6235" w:rsidRPr="00066FCA" w:rsidRDefault="00BC6235" w:rsidP="00BB7A5E">
      <w:pPr>
        <w:pStyle w:val="PBACHeading1"/>
        <w:numPr>
          <w:ilvl w:val="0"/>
          <w:numId w:val="0"/>
        </w:numPr>
        <w:outlineLvl w:val="9"/>
        <w:rPr>
          <w:rFonts w:ascii="Arial Narrow" w:hAnsi="Arial Narrow"/>
          <w:b w:val="0"/>
          <w:sz w:val="20"/>
          <w:szCs w:val="20"/>
        </w:rPr>
      </w:pPr>
    </w:p>
    <w:p w:rsidR="00C249D2" w:rsidRPr="00066FCA" w:rsidRDefault="002B5D86" w:rsidP="00BB7A5E">
      <w:pPr>
        <w:pStyle w:val="PBACHeading1"/>
        <w:numPr>
          <w:ilvl w:val="1"/>
          <w:numId w:val="3"/>
        </w:numPr>
        <w:spacing w:after="240"/>
        <w:jc w:val="both"/>
        <w:outlineLvl w:val="9"/>
        <w:rPr>
          <w:rFonts w:eastAsia="MS Mincho"/>
        </w:rPr>
      </w:pPr>
      <w:r w:rsidRPr="00066FCA">
        <w:rPr>
          <w:rFonts w:asciiTheme="minorHAnsi" w:hAnsiTheme="minorHAnsi" w:cstheme="minorHAnsi"/>
          <w:b w:val="0"/>
        </w:rPr>
        <w:lastRenderedPageBreak/>
        <w:t>At the same meeting, t</w:t>
      </w:r>
      <w:r w:rsidR="00C249D2" w:rsidRPr="00066FCA">
        <w:rPr>
          <w:rFonts w:asciiTheme="minorHAnsi" w:hAnsiTheme="minorHAnsi" w:cstheme="minorHAnsi"/>
          <w:b w:val="0"/>
        </w:rPr>
        <w:t xml:space="preserve">he </w:t>
      </w:r>
      <w:r w:rsidRPr="00066FCA">
        <w:rPr>
          <w:rFonts w:asciiTheme="minorHAnsi" w:hAnsiTheme="minorHAnsi" w:cstheme="minorHAnsi"/>
          <w:b w:val="0"/>
        </w:rPr>
        <w:t xml:space="preserve">PBAC considered a </w:t>
      </w:r>
      <w:r w:rsidR="00C249D2" w:rsidRPr="00066FCA">
        <w:rPr>
          <w:rFonts w:asciiTheme="minorHAnsi" w:hAnsiTheme="minorHAnsi" w:cstheme="minorHAnsi"/>
          <w:b w:val="0"/>
        </w:rPr>
        <w:t>DUSC review</w:t>
      </w:r>
      <w:r w:rsidR="00FB7939" w:rsidRPr="00066FCA">
        <w:rPr>
          <w:rFonts w:asciiTheme="minorHAnsi" w:hAnsiTheme="minorHAnsi" w:cstheme="minorHAnsi"/>
          <w:b w:val="0"/>
        </w:rPr>
        <w:t xml:space="preserve"> </w:t>
      </w:r>
      <w:r w:rsidRPr="00066FCA">
        <w:rPr>
          <w:rFonts w:asciiTheme="minorHAnsi" w:hAnsiTheme="minorHAnsi" w:cstheme="minorHAnsi"/>
          <w:b w:val="0"/>
        </w:rPr>
        <w:t xml:space="preserve">(agenda item 10.6) </w:t>
      </w:r>
      <w:r w:rsidR="00FB7939" w:rsidRPr="00066FCA">
        <w:rPr>
          <w:rFonts w:asciiTheme="minorHAnsi" w:hAnsiTheme="minorHAnsi" w:cstheme="minorHAnsi"/>
          <w:b w:val="0"/>
        </w:rPr>
        <w:t>of</w:t>
      </w:r>
      <w:r w:rsidR="00C249D2" w:rsidRPr="00066FCA">
        <w:rPr>
          <w:rFonts w:asciiTheme="minorHAnsi" w:hAnsiTheme="minorHAnsi" w:cstheme="minorHAnsi"/>
          <w:b w:val="0"/>
        </w:rPr>
        <w:t xml:space="preserve"> the utilisation of BoN</w:t>
      </w:r>
      <w:r w:rsidR="003A13A2">
        <w:rPr>
          <w:rFonts w:asciiTheme="minorHAnsi" w:hAnsiTheme="minorHAnsi" w:cstheme="minorHAnsi"/>
          <w:b w:val="0"/>
        </w:rPr>
        <w:t>T</w:t>
      </w:r>
      <w:r w:rsidR="00C249D2" w:rsidRPr="00066FCA">
        <w:rPr>
          <w:rFonts w:asciiTheme="minorHAnsi" w:hAnsiTheme="minorHAnsi" w:cstheme="minorHAnsi"/>
          <w:b w:val="0"/>
        </w:rPr>
        <w:t>-A supplied through the PBS for the treatment of spasticity in patients with CP or following a stroke</w:t>
      </w:r>
      <w:r w:rsidR="00FB7939" w:rsidRPr="00066FCA">
        <w:rPr>
          <w:rFonts w:asciiTheme="minorHAnsi" w:hAnsiTheme="minorHAnsi" w:cstheme="minorHAnsi"/>
          <w:b w:val="0"/>
        </w:rPr>
        <w:t>, and for spasmodic torticollis, blepharospasm and hemifacial spasm</w:t>
      </w:r>
      <w:r w:rsidR="00C249D2" w:rsidRPr="00066FCA">
        <w:rPr>
          <w:rFonts w:asciiTheme="minorHAnsi" w:hAnsiTheme="minorHAnsi" w:cstheme="minorHAnsi"/>
          <w:b w:val="0"/>
        </w:rPr>
        <w:t xml:space="preserve">. </w:t>
      </w:r>
    </w:p>
    <w:p w:rsidR="00C249D2" w:rsidRPr="00066FCA" w:rsidRDefault="00C249D2" w:rsidP="00BB7A5E">
      <w:pPr>
        <w:pStyle w:val="PBACHeading1"/>
        <w:numPr>
          <w:ilvl w:val="1"/>
          <w:numId w:val="3"/>
        </w:numPr>
        <w:spacing w:after="240"/>
        <w:jc w:val="both"/>
        <w:outlineLvl w:val="9"/>
        <w:rPr>
          <w:rFonts w:eastAsia="MS Mincho"/>
        </w:rPr>
      </w:pPr>
      <w:r w:rsidRPr="00066FCA">
        <w:rPr>
          <w:rFonts w:asciiTheme="minorHAnsi" w:eastAsia="MS Mincho" w:hAnsiTheme="minorHAnsi" w:cstheme="minorHAnsi"/>
          <w:b w:val="0"/>
        </w:rPr>
        <w:t>In 2017, 13,116 patients were treated with PBS subsidised BoNT-A for spasticity or dystonia. The number of patients receiving treatment has increased steadily with an approximate doubling of the number of patients receiving treatment over the past decade. DUSC considered that this growth rate seemed reasonable noting that there have been a number of extensions to PBS listings over this time and an increase in the number of prescribers of BoNT-A.</w:t>
      </w:r>
    </w:p>
    <w:p w:rsidR="00C249D2" w:rsidRPr="00066FCA" w:rsidRDefault="00C249D2" w:rsidP="00BB7A5E">
      <w:pPr>
        <w:pStyle w:val="PBACHeading1"/>
        <w:numPr>
          <w:ilvl w:val="1"/>
          <w:numId w:val="3"/>
        </w:numPr>
        <w:spacing w:after="240"/>
        <w:jc w:val="both"/>
        <w:outlineLvl w:val="9"/>
        <w:rPr>
          <w:rFonts w:asciiTheme="minorHAnsi" w:eastAsia="MS Mincho" w:hAnsiTheme="minorHAnsi" w:cstheme="minorHAnsi"/>
          <w:b w:val="0"/>
        </w:rPr>
      </w:pPr>
      <w:r w:rsidRPr="00066FCA">
        <w:rPr>
          <w:rFonts w:asciiTheme="minorHAnsi" w:eastAsia="MS Mincho" w:hAnsiTheme="minorHAnsi" w:cstheme="minorHAnsi"/>
          <w:b w:val="0"/>
        </w:rPr>
        <w:t>The number of patients with CP receiving BoNT-A for upper limb spastic</w:t>
      </w:r>
      <w:r w:rsidR="00533C16" w:rsidRPr="00066FCA">
        <w:rPr>
          <w:rFonts w:asciiTheme="minorHAnsi" w:eastAsia="MS Mincho" w:hAnsiTheme="minorHAnsi" w:cstheme="minorHAnsi"/>
          <w:b w:val="0"/>
        </w:rPr>
        <w:t>ity or foot deformity due to spa</w:t>
      </w:r>
      <w:r w:rsidRPr="00066FCA">
        <w:rPr>
          <w:rFonts w:asciiTheme="minorHAnsi" w:eastAsia="MS Mincho" w:hAnsiTheme="minorHAnsi" w:cstheme="minorHAnsi"/>
          <w:b w:val="0"/>
        </w:rPr>
        <w:t>sticity increased until 2015 and has now stabilised. In 2017, 742 patients were treated with PBS subsidised BoNT-A for upper limb spasticity following a stroke and 1,002 prescriptions were dispensed for this indication. Utilisation of BoNT-A post-stroke is low in the context of all patients who have experienced a stroke and may have resultant spasticity.</w:t>
      </w:r>
    </w:p>
    <w:p w:rsidR="00C249D2" w:rsidRPr="00066FCA" w:rsidRDefault="00C249D2" w:rsidP="00BB7A5E">
      <w:pPr>
        <w:pStyle w:val="PBACHeading1"/>
        <w:numPr>
          <w:ilvl w:val="1"/>
          <w:numId w:val="3"/>
        </w:numPr>
        <w:spacing w:after="240"/>
        <w:jc w:val="both"/>
        <w:outlineLvl w:val="9"/>
        <w:rPr>
          <w:rFonts w:eastAsia="MS Mincho"/>
        </w:rPr>
      </w:pPr>
      <w:r w:rsidRPr="00066FCA">
        <w:rPr>
          <w:rFonts w:asciiTheme="minorHAnsi" w:eastAsia="MS Mincho" w:hAnsiTheme="minorHAnsi" w:cstheme="minorHAnsi"/>
          <w:b w:val="0"/>
        </w:rPr>
        <w:t>DUSC noted that a large proportion of patients (approximately 20% to 45% depending on indication) only had one prescription supplied. This suggests that many patients who initiate BoNT-A may not achieve functional improvement or dislike the injections and cease treatment.</w:t>
      </w:r>
    </w:p>
    <w:p w:rsidR="00C249D2" w:rsidRPr="00066FCA" w:rsidRDefault="00C249D2" w:rsidP="00BB7A5E">
      <w:pPr>
        <w:pStyle w:val="PBACHeading1"/>
        <w:numPr>
          <w:ilvl w:val="1"/>
          <w:numId w:val="3"/>
        </w:numPr>
        <w:spacing w:after="240"/>
        <w:jc w:val="both"/>
        <w:outlineLvl w:val="9"/>
        <w:rPr>
          <w:rFonts w:eastAsia="MS Mincho"/>
        </w:rPr>
      </w:pPr>
      <w:r w:rsidRPr="00066FCA">
        <w:rPr>
          <w:rFonts w:asciiTheme="minorHAnsi" w:eastAsia="MS Mincho" w:hAnsiTheme="minorHAnsi" w:cstheme="minorHAnsi"/>
          <w:b w:val="0"/>
        </w:rPr>
        <w:t>DUSC considered that the cost implications of the first three RMSANZ requests would be small or ne</w:t>
      </w:r>
      <w:r w:rsidR="00533C16" w:rsidRPr="00066FCA">
        <w:rPr>
          <w:rFonts w:asciiTheme="minorHAnsi" w:eastAsia="MS Mincho" w:hAnsiTheme="minorHAnsi" w:cstheme="minorHAnsi"/>
          <w:b w:val="0"/>
        </w:rPr>
        <w:t>g</w:t>
      </w:r>
      <w:r w:rsidRPr="00066FCA">
        <w:rPr>
          <w:rFonts w:asciiTheme="minorHAnsi" w:eastAsia="MS Mincho" w:hAnsiTheme="minorHAnsi" w:cstheme="minorHAnsi"/>
          <w:b w:val="0"/>
        </w:rPr>
        <w:t>ligible, but considered that requests 4 and 5 would require major PBAC submission</w:t>
      </w:r>
      <w:r w:rsidR="00FB7939" w:rsidRPr="00066FCA">
        <w:rPr>
          <w:rFonts w:asciiTheme="minorHAnsi" w:eastAsia="MS Mincho" w:hAnsiTheme="minorHAnsi" w:cstheme="minorHAnsi"/>
          <w:b w:val="0"/>
        </w:rPr>
        <w:t>s.</w:t>
      </w:r>
    </w:p>
    <w:p w:rsidR="000648BC" w:rsidRPr="00066FCA" w:rsidRDefault="000648BC" w:rsidP="0022321A">
      <w:pPr>
        <w:pStyle w:val="PBACHeading1"/>
        <w:keepNext/>
        <w:spacing w:after="200"/>
        <w:jc w:val="both"/>
        <w:rPr>
          <w:rFonts w:asciiTheme="minorHAnsi" w:hAnsiTheme="minorHAnsi"/>
          <w:sz w:val="32"/>
          <w:szCs w:val="32"/>
        </w:rPr>
      </w:pPr>
      <w:r w:rsidRPr="00066FCA">
        <w:rPr>
          <w:rFonts w:asciiTheme="minorHAnsi" w:hAnsiTheme="minorHAnsi"/>
          <w:sz w:val="32"/>
          <w:szCs w:val="32"/>
        </w:rPr>
        <w:t>PBAC Outcome</w:t>
      </w:r>
    </w:p>
    <w:p w:rsidR="000648BC" w:rsidRPr="00066FCA" w:rsidRDefault="000648BC" w:rsidP="00BB7A5E">
      <w:pPr>
        <w:pStyle w:val="PBACHeading1"/>
        <w:numPr>
          <w:ilvl w:val="1"/>
          <w:numId w:val="3"/>
        </w:numPr>
        <w:spacing w:after="120"/>
        <w:jc w:val="both"/>
        <w:outlineLvl w:val="9"/>
        <w:rPr>
          <w:rFonts w:asciiTheme="minorHAnsi" w:hAnsiTheme="minorHAnsi" w:cstheme="minorHAnsi"/>
          <w:b w:val="0"/>
        </w:rPr>
      </w:pPr>
      <w:r w:rsidRPr="00066FCA">
        <w:rPr>
          <w:rFonts w:asciiTheme="minorHAnsi" w:hAnsiTheme="minorHAnsi" w:cstheme="minorHAnsi"/>
          <w:b w:val="0"/>
        </w:rPr>
        <w:t>The PBAC noted the correspondence from the RMSANZ regarding the PBS listings of BoNT-A</w:t>
      </w:r>
      <w:r w:rsidR="001B04B3" w:rsidRPr="00066FCA">
        <w:rPr>
          <w:rFonts w:asciiTheme="minorHAnsi" w:hAnsiTheme="minorHAnsi" w:cstheme="minorHAnsi"/>
          <w:b w:val="0"/>
        </w:rPr>
        <w:t xml:space="preserve"> and the response from Allergan</w:t>
      </w:r>
      <w:r w:rsidRPr="00066FCA">
        <w:rPr>
          <w:rFonts w:asciiTheme="minorHAnsi" w:hAnsiTheme="minorHAnsi" w:cstheme="minorHAnsi"/>
          <w:b w:val="0"/>
        </w:rPr>
        <w:t>.</w:t>
      </w:r>
    </w:p>
    <w:p w:rsidR="00EF39F9" w:rsidRPr="00066FCA" w:rsidRDefault="00EF3755"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The PBAC r</w:t>
      </w:r>
      <w:r w:rsidR="00B44582" w:rsidRPr="00066FCA">
        <w:rPr>
          <w:rFonts w:asciiTheme="minorHAnsi" w:hAnsiTheme="minorHAnsi" w:cstheme="minorHAnsi"/>
          <w:b w:val="0"/>
        </w:rPr>
        <w:t xml:space="preserve">ecommended the </w:t>
      </w:r>
      <w:r w:rsidR="0039582C" w:rsidRPr="00066FCA">
        <w:rPr>
          <w:rFonts w:asciiTheme="minorHAnsi" w:hAnsiTheme="minorHAnsi" w:cstheme="minorHAnsi"/>
          <w:b w:val="0"/>
        </w:rPr>
        <w:t xml:space="preserve">removal of the </w:t>
      </w:r>
      <w:r w:rsidR="00B44582" w:rsidRPr="00066FCA">
        <w:rPr>
          <w:rFonts w:asciiTheme="minorHAnsi" w:hAnsiTheme="minorHAnsi" w:cstheme="minorHAnsi"/>
          <w:b w:val="0"/>
        </w:rPr>
        <w:t>requirement that adult CP patients must have commenced treatment with BoNT-A as a paediatric patient</w:t>
      </w:r>
      <w:r w:rsidRPr="00066FCA">
        <w:rPr>
          <w:rFonts w:asciiTheme="minorHAnsi" w:hAnsiTheme="minorHAnsi" w:cstheme="minorHAnsi"/>
          <w:b w:val="0"/>
        </w:rPr>
        <w:t>, as per RMSANZ request (1)</w:t>
      </w:r>
      <w:r w:rsidR="00A906F5" w:rsidRPr="00066FCA">
        <w:rPr>
          <w:rFonts w:asciiTheme="minorHAnsi" w:hAnsiTheme="minorHAnsi" w:cstheme="minorHAnsi"/>
          <w:b w:val="0"/>
        </w:rPr>
        <w:t xml:space="preserve">. The PBAC </w:t>
      </w:r>
      <w:r w:rsidR="00EF39F9" w:rsidRPr="00066FCA">
        <w:rPr>
          <w:rFonts w:asciiTheme="minorHAnsi" w:hAnsiTheme="minorHAnsi" w:cstheme="minorHAnsi"/>
          <w:b w:val="0"/>
        </w:rPr>
        <w:t>noted the advice from R</w:t>
      </w:r>
      <w:r w:rsidR="00AD01C7">
        <w:rPr>
          <w:rFonts w:asciiTheme="minorHAnsi" w:hAnsiTheme="minorHAnsi" w:cstheme="minorHAnsi"/>
          <w:b w:val="0"/>
        </w:rPr>
        <w:t>M</w:t>
      </w:r>
      <w:r w:rsidR="00EF39F9" w:rsidRPr="00066FCA">
        <w:rPr>
          <w:rFonts w:asciiTheme="minorHAnsi" w:hAnsiTheme="minorHAnsi" w:cstheme="minorHAnsi"/>
          <w:b w:val="0"/>
        </w:rPr>
        <w:t xml:space="preserve">SANZ that there is no observable differentiation in response for adult CP patients based on whether or not they received BoNT-A as a child. The PBAC </w:t>
      </w:r>
      <w:r w:rsidR="00A906F5" w:rsidRPr="00066FCA">
        <w:rPr>
          <w:rFonts w:asciiTheme="minorHAnsi" w:hAnsiTheme="minorHAnsi" w:cstheme="minorHAnsi"/>
          <w:b w:val="0"/>
        </w:rPr>
        <w:t xml:space="preserve">considered </w:t>
      </w:r>
      <w:r w:rsidR="001B04B3" w:rsidRPr="00066FCA">
        <w:rPr>
          <w:rFonts w:asciiTheme="minorHAnsi" w:hAnsiTheme="minorHAnsi" w:cstheme="minorHAnsi"/>
          <w:b w:val="0"/>
        </w:rPr>
        <w:t xml:space="preserve">that </w:t>
      </w:r>
      <w:r w:rsidR="00A906F5" w:rsidRPr="00066FCA">
        <w:rPr>
          <w:rFonts w:asciiTheme="minorHAnsi" w:hAnsiTheme="minorHAnsi" w:cstheme="minorHAnsi"/>
          <w:b w:val="0"/>
        </w:rPr>
        <w:t>the financial implications of this change would be</w:t>
      </w:r>
      <w:r w:rsidR="00EF39F9" w:rsidRPr="00066FCA">
        <w:rPr>
          <w:rFonts w:asciiTheme="minorHAnsi" w:hAnsiTheme="minorHAnsi" w:cstheme="minorHAnsi"/>
          <w:b w:val="0"/>
        </w:rPr>
        <w:t xml:space="preserve"> </w:t>
      </w:r>
      <w:r w:rsidR="0063292A">
        <w:rPr>
          <w:rFonts w:asciiTheme="minorHAnsi" w:hAnsiTheme="minorHAnsi" w:cstheme="minorHAnsi"/>
          <w:b w:val="0"/>
        </w:rPr>
        <w:t>negligible</w:t>
      </w:r>
      <w:r w:rsidR="00A906F5" w:rsidRPr="00066FCA">
        <w:rPr>
          <w:rFonts w:asciiTheme="minorHAnsi" w:hAnsiTheme="minorHAnsi" w:cstheme="minorHAnsi"/>
          <w:b w:val="0"/>
        </w:rPr>
        <w:t>, based on information provided by RSANZ</w:t>
      </w:r>
      <w:r w:rsidR="0098514A">
        <w:rPr>
          <w:rFonts w:asciiTheme="minorHAnsi" w:hAnsiTheme="minorHAnsi" w:cstheme="minorHAnsi"/>
          <w:b w:val="0"/>
        </w:rPr>
        <w:t xml:space="preserve">, </w:t>
      </w:r>
      <w:r w:rsidR="00EF5476" w:rsidRPr="00066FCA">
        <w:rPr>
          <w:rFonts w:asciiTheme="minorHAnsi" w:hAnsiTheme="minorHAnsi" w:cstheme="minorHAnsi"/>
          <w:b w:val="0"/>
        </w:rPr>
        <w:t>DUSC</w:t>
      </w:r>
      <w:r w:rsidR="0098514A">
        <w:rPr>
          <w:rFonts w:asciiTheme="minorHAnsi" w:hAnsiTheme="minorHAnsi" w:cstheme="minorHAnsi"/>
          <w:b w:val="0"/>
        </w:rPr>
        <w:t xml:space="preserve"> and Allergan</w:t>
      </w:r>
      <w:r w:rsidR="00A906F5" w:rsidRPr="00066FCA">
        <w:rPr>
          <w:rFonts w:asciiTheme="minorHAnsi" w:hAnsiTheme="minorHAnsi" w:cstheme="minorHAnsi"/>
          <w:b w:val="0"/>
        </w:rPr>
        <w:t>.</w:t>
      </w:r>
    </w:p>
    <w:p w:rsidR="001B04B3" w:rsidRPr="00066FCA" w:rsidRDefault="003664B6"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T</w:t>
      </w:r>
      <w:r w:rsidR="001B04B3" w:rsidRPr="00066FCA">
        <w:rPr>
          <w:rFonts w:asciiTheme="minorHAnsi" w:hAnsiTheme="minorHAnsi" w:cstheme="minorHAnsi"/>
          <w:b w:val="0"/>
        </w:rPr>
        <w:t>he PBAC t</w:t>
      </w:r>
      <w:r w:rsidRPr="00066FCA">
        <w:rPr>
          <w:rFonts w:asciiTheme="minorHAnsi" w:hAnsiTheme="minorHAnsi" w:cstheme="minorHAnsi"/>
          <w:b w:val="0"/>
        </w:rPr>
        <w:t>hanked A</w:t>
      </w:r>
      <w:r w:rsidR="00B44582" w:rsidRPr="00066FCA">
        <w:rPr>
          <w:rFonts w:asciiTheme="minorHAnsi" w:hAnsiTheme="minorHAnsi" w:cstheme="minorHAnsi"/>
          <w:b w:val="0"/>
        </w:rPr>
        <w:t>llergan</w:t>
      </w:r>
      <w:r w:rsidRPr="00066FCA">
        <w:rPr>
          <w:rFonts w:asciiTheme="minorHAnsi" w:hAnsiTheme="minorHAnsi" w:cstheme="minorHAnsi"/>
          <w:b w:val="0"/>
        </w:rPr>
        <w:t xml:space="preserve"> for </w:t>
      </w:r>
      <w:r w:rsidR="001B04B3" w:rsidRPr="00066FCA">
        <w:rPr>
          <w:rFonts w:asciiTheme="minorHAnsi" w:hAnsiTheme="minorHAnsi" w:cstheme="minorHAnsi"/>
          <w:b w:val="0"/>
        </w:rPr>
        <w:t xml:space="preserve">its </w:t>
      </w:r>
      <w:r w:rsidRPr="00066FCA">
        <w:rPr>
          <w:rFonts w:asciiTheme="minorHAnsi" w:hAnsiTheme="minorHAnsi" w:cstheme="minorHAnsi"/>
          <w:b w:val="0"/>
        </w:rPr>
        <w:t>response</w:t>
      </w:r>
      <w:r w:rsidR="00774064" w:rsidRPr="00066FCA">
        <w:rPr>
          <w:rFonts w:asciiTheme="minorHAnsi" w:hAnsiTheme="minorHAnsi" w:cstheme="minorHAnsi"/>
          <w:b w:val="0"/>
        </w:rPr>
        <w:t xml:space="preserve">. The PBAC </w:t>
      </w:r>
      <w:r w:rsidRPr="00066FCA">
        <w:rPr>
          <w:rFonts w:asciiTheme="minorHAnsi" w:hAnsiTheme="minorHAnsi" w:cstheme="minorHAnsi"/>
          <w:b w:val="0"/>
        </w:rPr>
        <w:t>not</w:t>
      </w:r>
      <w:r w:rsidR="00774064" w:rsidRPr="00066FCA">
        <w:rPr>
          <w:rFonts w:asciiTheme="minorHAnsi" w:hAnsiTheme="minorHAnsi" w:cstheme="minorHAnsi"/>
          <w:b w:val="0"/>
        </w:rPr>
        <w:t>ed</w:t>
      </w:r>
      <w:r w:rsidRPr="00066FCA">
        <w:rPr>
          <w:rFonts w:asciiTheme="minorHAnsi" w:hAnsiTheme="minorHAnsi" w:cstheme="minorHAnsi"/>
          <w:b w:val="0"/>
        </w:rPr>
        <w:t xml:space="preserve"> </w:t>
      </w:r>
      <w:r w:rsidR="00774064" w:rsidRPr="00066FCA">
        <w:rPr>
          <w:rFonts w:asciiTheme="minorHAnsi" w:hAnsiTheme="minorHAnsi" w:cstheme="minorHAnsi"/>
          <w:b w:val="0"/>
        </w:rPr>
        <w:t xml:space="preserve">Allergan </w:t>
      </w:r>
      <w:r w:rsidR="00533C16" w:rsidRPr="00066FCA">
        <w:rPr>
          <w:rFonts w:asciiTheme="minorHAnsi" w:hAnsiTheme="minorHAnsi" w:cstheme="minorHAnsi"/>
          <w:b w:val="0"/>
        </w:rPr>
        <w:t>had</w:t>
      </w:r>
      <w:r w:rsidR="00B44582" w:rsidRPr="00066FCA">
        <w:rPr>
          <w:rFonts w:asciiTheme="minorHAnsi" w:hAnsiTheme="minorHAnsi" w:cstheme="minorHAnsi"/>
          <w:b w:val="0"/>
        </w:rPr>
        <w:t xml:space="preserve"> submit</w:t>
      </w:r>
      <w:r w:rsidR="00533C16" w:rsidRPr="00066FCA">
        <w:rPr>
          <w:rFonts w:asciiTheme="minorHAnsi" w:hAnsiTheme="minorHAnsi" w:cstheme="minorHAnsi"/>
          <w:b w:val="0"/>
        </w:rPr>
        <w:t>ted</w:t>
      </w:r>
      <w:r w:rsidR="00B44582" w:rsidRPr="00066FCA">
        <w:rPr>
          <w:rFonts w:asciiTheme="minorHAnsi" w:hAnsiTheme="minorHAnsi" w:cstheme="minorHAnsi"/>
          <w:b w:val="0"/>
        </w:rPr>
        <w:t xml:space="preserve"> a major submission </w:t>
      </w:r>
      <w:r w:rsidR="001B04B3" w:rsidRPr="00066FCA">
        <w:rPr>
          <w:rFonts w:asciiTheme="minorHAnsi" w:hAnsiTheme="minorHAnsi" w:cstheme="minorHAnsi"/>
          <w:b w:val="0"/>
        </w:rPr>
        <w:t xml:space="preserve">for consideration at </w:t>
      </w:r>
      <w:r w:rsidR="00B44582" w:rsidRPr="00066FCA">
        <w:rPr>
          <w:rFonts w:asciiTheme="minorHAnsi" w:hAnsiTheme="minorHAnsi" w:cstheme="minorHAnsi"/>
          <w:b w:val="0"/>
        </w:rPr>
        <w:t xml:space="preserve">the November 2018 PBAC </w:t>
      </w:r>
      <w:r w:rsidR="001B04B3" w:rsidRPr="00066FCA">
        <w:rPr>
          <w:rFonts w:asciiTheme="minorHAnsi" w:hAnsiTheme="minorHAnsi" w:cstheme="minorHAnsi"/>
          <w:b w:val="0"/>
        </w:rPr>
        <w:t>meeting request</w:t>
      </w:r>
      <w:r w:rsidR="00774064" w:rsidRPr="00066FCA">
        <w:rPr>
          <w:rFonts w:asciiTheme="minorHAnsi" w:hAnsiTheme="minorHAnsi" w:cstheme="minorHAnsi"/>
          <w:b w:val="0"/>
        </w:rPr>
        <w:t>ing</w:t>
      </w:r>
      <w:r w:rsidR="001B04B3" w:rsidRPr="00066FCA">
        <w:rPr>
          <w:rFonts w:asciiTheme="minorHAnsi" w:hAnsiTheme="minorHAnsi" w:cstheme="minorHAnsi"/>
          <w:b w:val="0"/>
        </w:rPr>
        <w:t xml:space="preserve"> </w:t>
      </w:r>
      <w:r w:rsidR="00774064" w:rsidRPr="00066FCA">
        <w:rPr>
          <w:rFonts w:asciiTheme="minorHAnsi" w:hAnsiTheme="minorHAnsi" w:cstheme="minorHAnsi"/>
          <w:b w:val="0"/>
        </w:rPr>
        <w:t xml:space="preserve">PBS </w:t>
      </w:r>
      <w:r w:rsidR="001B04B3" w:rsidRPr="00066FCA">
        <w:rPr>
          <w:rFonts w:asciiTheme="minorHAnsi" w:hAnsiTheme="minorHAnsi" w:cstheme="minorHAnsi"/>
          <w:b w:val="0"/>
        </w:rPr>
        <w:t xml:space="preserve">listing for adult lower limb focal spasticity, in line with </w:t>
      </w:r>
      <w:r w:rsidR="00B44582" w:rsidRPr="00066FCA">
        <w:rPr>
          <w:rFonts w:asciiTheme="minorHAnsi" w:hAnsiTheme="minorHAnsi" w:cstheme="minorHAnsi"/>
          <w:b w:val="0"/>
        </w:rPr>
        <w:t>RMSANZ</w:t>
      </w:r>
      <w:r w:rsidR="001B04B3" w:rsidRPr="00066FCA">
        <w:rPr>
          <w:rFonts w:asciiTheme="minorHAnsi" w:hAnsiTheme="minorHAnsi" w:cstheme="minorHAnsi"/>
          <w:b w:val="0"/>
        </w:rPr>
        <w:t>’s</w:t>
      </w:r>
      <w:r w:rsidR="00B44582" w:rsidRPr="00066FCA">
        <w:rPr>
          <w:rFonts w:asciiTheme="minorHAnsi" w:hAnsiTheme="minorHAnsi" w:cstheme="minorHAnsi"/>
          <w:b w:val="0"/>
        </w:rPr>
        <w:t xml:space="preserve"> request</w:t>
      </w:r>
      <w:r w:rsidR="00BC3F0C" w:rsidRPr="00066FCA">
        <w:rPr>
          <w:rFonts w:asciiTheme="minorHAnsi" w:hAnsiTheme="minorHAnsi" w:cstheme="minorHAnsi"/>
          <w:b w:val="0"/>
        </w:rPr>
        <w:t> </w:t>
      </w:r>
      <w:r w:rsidR="001B04B3" w:rsidRPr="00066FCA">
        <w:rPr>
          <w:rFonts w:asciiTheme="minorHAnsi" w:hAnsiTheme="minorHAnsi" w:cstheme="minorHAnsi"/>
          <w:b w:val="0"/>
        </w:rPr>
        <w:t>(</w:t>
      </w:r>
      <w:r w:rsidR="00B44582" w:rsidRPr="00066FCA">
        <w:rPr>
          <w:rFonts w:asciiTheme="minorHAnsi" w:hAnsiTheme="minorHAnsi" w:cstheme="minorHAnsi"/>
          <w:b w:val="0"/>
        </w:rPr>
        <w:t>4</w:t>
      </w:r>
      <w:r w:rsidR="001B04B3" w:rsidRPr="00066FCA">
        <w:rPr>
          <w:rFonts w:asciiTheme="minorHAnsi" w:hAnsiTheme="minorHAnsi" w:cstheme="minorHAnsi"/>
          <w:b w:val="0"/>
        </w:rPr>
        <w:t>).</w:t>
      </w:r>
    </w:p>
    <w:p w:rsidR="00533C16" w:rsidRPr="00066FCA" w:rsidRDefault="00533C16"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The PBAC noted Ip</w:t>
      </w:r>
      <w:r w:rsidR="00066FCA">
        <w:rPr>
          <w:rFonts w:asciiTheme="minorHAnsi" w:hAnsiTheme="minorHAnsi" w:cstheme="minorHAnsi"/>
          <w:b w:val="0"/>
        </w:rPr>
        <w:t>s</w:t>
      </w:r>
      <w:r w:rsidRPr="00066FCA">
        <w:rPr>
          <w:rFonts w:asciiTheme="minorHAnsi" w:hAnsiTheme="minorHAnsi" w:cstheme="minorHAnsi"/>
          <w:b w:val="0"/>
        </w:rPr>
        <w:t>en (the sponsor of Dysport®)</w:t>
      </w:r>
      <w:r w:rsidR="00A93153" w:rsidRPr="00066FCA">
        <w:rPr>
          <w:rFonts w:asciiTheme="minorHAnsi" w:hAnsiTheme="minorHAnsi" w:cstheme="minorHAnsi"/>
          <w:b w:val="0"/>
        </w:rPr>
        <w:t xml:space="preserve"> had submitted two major submissions for consideration at the November 2018 PBAC meeting. One was to extend the listing of BoNT-A for moderate to severe spasticity of the upper limb </w:t>
      </w:r>
      <w:r w:rsidR="00EA7B9C">
        <w:rPr>
          <w:rFonts w:asciiTheme="minorHAnsi" w:hAnsiTheme="minorHAnsi" w:cstheme="minorHAnsi"/>
          <w:b w:val="0"/>
        </w:rPr>
        <w:t xml:space="preserve">from </w:t>
      </w:r>
      <w:r w:rsidR="00A93153" w:rsidRPr="00066FCA">
        <w:rPr>
          <w:rFonts w:asciiTheme="minorHAnsi" w:hAnsiTheme="minorHAnsi" w:cstheme="minorHAnsi"/>
          <w:b w:val="0"/>
        </w:rPr>
        <w:t xml:space="preserve">following a stroke </w:t>
      </w:r>
      <w:r w:rsidR="00EA7B9C">
        <w:rPr>
          <w:rFonts w:asciiTheme="minorHAnsi" w:hAnsiTheme="minorHAnsi" w:cstheme="minorHAnsi"/>
          <w:b w:val="0"/>
        </w:rPr>
        <w:t xml:space="preserve">to </w:t>
      </w:r>
      <w:r w:rsidR="00A93153" w:rsidRPr="00066FCA">
        <w:rPr>
          <w:rFonts w:asciiTheme="minorHAnsi" w:hAnsiTheme="minorHAnsi" w:cstheme="minorHAnsi"/>
          <w:b w:val="0"/>
        </w:rPr>
        <w:t xml:space="preserve">following an acute event </w:t>
      </w:r>
      <w:r w:rsidR="00066FCA">
        <w:rPr>
          <w:rFonts w:asciiTheme="minorHAnsi" w:hAnsiTheme="minorHAnsi" w:cstheme="minorHAnsi"/>
          <w:b w:val="0"/>
        </w:rPr>
        <w:t>(</w:t>
      </w:r>
      <w:r w:rsidR="00066FCA" w:rsidRPr="00066FCA">
        <w:rPr>
          <w:rFonts w:asciiTheme="minorHAnsi" w:hAnsiTheme="minorHAnsi" w:cstheme="minorHAnsi"/>
          <w:b w:val="0"/>
        </w:rPr>
        <w:t xml:space="preserve">such as stroke, traumatic brain </w:t>
      </w:r>
      <w:r w:rsidR="00066FCA" w:rsidRPr="00066FCA">
        <w:rPr>
          <w:rFonts w:asciiTheme="minorHAnsi" w:hAnsiTheme="minorHAnsi" w:cstheme="minorHAnsi"/>
          <w:b w:val="0"/>
        </w:rPr>
        <w:lastRenderedPageBreak/>
        <w:t>injury, infection or hypoxia</w:t>
      </w:r>
      <w:r w:rsidR="00066FCA">
        <w:rPr>
          <w:rFonts w:asciiTheme="minorHAnsi" w:hAnsiTheme="minorHAnsi" w:cstheme="minorHAnsi"/>
          <w:b w:val="0"/>
        </w:rPr>
        <w:t xml:space="preserve">) </w:t>
      </w:r>
      <w:r w:rsidR="00A93153" w:rsidRPr="00066FCA">
        <w:rPr>
          <w:rFonts w:asciiTheme="minorHAnsi" w:hAnsiTheme="minorHAnsi" w:cstheme="minorHAnsi"/>
          <w:b w:val="0"/>
        </w:rPr>
        <w:t>that leads to an upper motor neuron lesion resulting in spasticity (i.e. RMSANZ request 5) and to remove the current four-treatment period per lifetime restriction (i.e. RMSANZ request 2). The second submission was for a new listing of BoNT-A for the tre</w:t>
      </w:r>
      <w:r w:rsidR="00FB7939" w:rsidRPr="00066FCA">
        <w:rPr>
          <w:rFonts w:asciiTheme="minorHAnsi" w:hAnsiTheme="minorHAnsi" w:cstheme="minorHAnsi"/>
          <w:b w:val="0"/>
        </w:rPr>
        <w:t>atment of lower limb spasticity in</w:t>
      </w:r>
      <w:r w:rsidR="00A93153" w:rsidRPr="00066FCA">
        <w:rPr>
          <w:rFonts w:asciiTheme="minorHAnsi" w:hAnsiTheme="minorHAnsi" w:cstheme="minorHAnsi"/>
          <w:b w:val="0"/>
        </w:rPr>
        <w:t xml:space="preserve"> patients following an acute event</w:t>
      </w:r>
      <w:r w:rsidR="00FB7939" w:rsidRPr="00066FCA">
        <w:rPr>
          <w:rFonts w:asciiTheme="minorHAnsi" w:hAnsiTheme="minorHAnsi" w:cstheme="minorHAnsi"/>
          <w:b w:val="0"/>
        </w:rPr>
        <w:t xml:space="preserve"> (i.e. RMSANZ request 4 and 5).</w:t>
      </w:r>
    </w:p>
    <w:p w:rsidR="00B44582" w:rsidRPr="00066FCA" w:rsidRDefault="002A379E" w:rsidP="00BB7A5E">
      <w:pPr>
        <w:pStyle w:val="PBACHeading1"/>
        <w:numPr>
          <w:ilvl w:val="1"/>
          <w:numId w:val="3"/>
        </w:numPr>
        <w:spacing w:after="120"/>
        <w:jc w:val="both"/>
        <w:outlineLvl w:val="9"/>
        <w:rPr>
          <w:rFonts w:asciiTheme="minorHAnsi" w:hAnsiTheme="minorHAnsi" w:cstheme="minorHAnsi"/>
        </w:rPr>
      </w:pPr>
      <w:r w:rsidRPr="00066FCA">
        <w:rPr>
          <w:rFonts w:asciiTheme="minorHAnsi" w:hAnsiTheme="minorHAnsi" w:cstheme="minorHAnsi"/>
          <w:b w:val="0"/>
        </w:rPr>
        <w:t>The PBAC</w:t>
      </w:r>
      <w:r w:rsidRPr="00066FCA">
        <w:rPr>
          <w:rFonts w:asciiTheme="minorHAnsi" w:hAnsiTheme="minorHAnsi" w:cstheme="minorHAnsi"/>
        </w:rPr>
        <w:t xml:space="preserve"> </w:t>
      </w:r>
      <w:r w:rsidR="0098514A">
        <w:rPr>
          <w:rFonts w:asciiTheme="minorHAnsi" w:hAnsiTheme="minorHAnsi" w:cstheme="minorHAnsi"/>
          <w:b w:val="0"/>
        </w:rPr>
        <w:t xml:space="preserve">deferred </w:t>
      </w:r>
      <w:r w:rsidRPr="00066FCA">
        <w:rPr>
          <w:rFonts w:asciiTheme="minorHAnsi" w:hAnsiTheme="minorHAnsi" w:cstheme="minorHAnsi"/>
          <w:b w:val="0"/>
        </w:rPr>
        <w:t>c</w:t>
      </w:r>
      <w:r w:rsidR="00B44582" w:rsidRPr="00066FCA">
        <w:rPr>
          <w:rFonts w:asciiTheme="minorHAnsi" w:hAnsiTheme="minorHAnsi" w:cstheme="minorHAnsi"/>
          <w:b w:val="0"/>
        </w:rPr>
        <w:t>onsider</w:t>
      </w:r>
      <w:r w:rsidR="0098514A">
        <w:rPr>
          <w:rFonts w:asciiTheme="minorHAnsi" w:hAnsiTheme="minorHAnsi" w:cstheme="minorHAnsi"/>
          <w:b w:val="0"/>
        </w:rPr>
        <w:t xml:space="preserve">ation of </w:t>
      </w:r>
      <w:r w:rsidR="00B44582" w:rsidRPr="00066FCA">
        <w:rPr>
          <w:rFonts w:asciiTheme="minorHAnsi" w:hAnsiTheme="minorHAnsi" w:cstheme="minorHAnsi"/>
          <w:b w:val="0"/>
        </w:rPr>
        <w:t>RMSANZ</w:t>
      </w:r>
      <w:r w:rsidRPr="00066FCA">
        <w:rPr>
          <w:rFonts w:asciiTheme="minorHAnsi" w:hAnsiTheme="minorHAnsi" w:cstheme="minorHAnsi"/>
          <w:b w:val="0"/>
        </w:rPr>
        <w:t>’s remaining</w:t>
      </w:r>
      <w:r w:rsidR="00B44582" w:rsidRPr="00066FCA">
        <w:rPr>
          <w:rFonts w:asciiTheme="minorHAnsi" w:hAnsiTheme="minorHAnsi" w:cstheme="minorHAnsi"/>
          <w:b w:val="0"/>
        </w:rPr>
        <w:t xml:space="preserve"> request</w:t>
      </w:r>
      <w:r w:rsidR="00FB7939" w:rsidRPr="00066FCA">
        <w:rPr>
          <w:rFonts w:asciiTheme="minorHAnsi" w:hAnsiTheme="minorHAnsi" w:cstheme="minorHAnsi"/>
          <w:b w:val="0"/>
        </w:rPr>
        <w:t xml:space="preserve"> (3)</w:t>
      </w:r>
      <w:r w:rsidR="00774064" w:rsidRPr="00066FCA">
        <w:rPr>
          <w:rFonts w:asciiTheme="minorHAnsi" w:hAnsiTheme="minorHAnsi" w:cstheme="minorHAnsi"/>
          <w:b w:val="0"/>
        </w:rPr>
        <w:t xml:space="preserve">. The PBAC noted its intent to </w:t>
      </w:r>
      <w:r w:rsidR="00B44582" w:rsidRPr="00066FCA">
        <w:rPr>
          <w:rFonts w:asciiTheme="minorHAnsi" w:hAnsiTheme="minorHAnsi" w:cstheme="minorHAnsi"/>
          <w:b w:val="0"/>
        </w:rPr>
        <w:t>discuss th</w:t>
      </w:r>
      <w:r w:rsidR="00FB7939" w:rsidRPr="00066FCA">
        <w:rPr>
          <w:rFonts w:asciiTheme="minorHAnsi" w:hAnsiTheme="minorHAnsi" w:cstheme="minorHAnsi"/>
          <w:b w:val="0"/>
        </w:rPr>
        <w:t>is</w:t>
      </w:r>
      <w:r w:rsidR="00B44582" w:rsidRPr="00066FCA">
        <w:rPr>
          <w:rFonts w:asciiTheme="minorHAnsi" w:hAnsiTheme="minorHAnsi" w:cstheme="minorHAnsi"/>
          <w:b w:val="0"/>
        </w:rPr>
        <w:t xml:space="preserve"> request </w:t>
      </w:r>
      <w:r w:rsidR="00774064" w:rsidRPr="00066FCA">
        <w:rPr>
          <w:rFonts w:asciiTheme="minorHAnsi" w:hAnsiTheme="minorHAnsi" w:cstheme="minorHAnsi"/>
          <w:b w:val="0"/>
        </w:rPr>
        <w:t xml:space="preserve">in conjunction with the </w:t>
      </w:r>
      <w:r w:rsidR="00FB7939" w:rsidRPr="00066FCA">
        <w:rPr>
          <w:rFonts w:asciiTheme="minorHAnsi" w:hAnsiTheme="minorHAnsi" w:cstheme="minorHAnsi"/>
          <w:b w:val="0"/>
        </w:rPr>
        <w:t xml:space="preserve">major </w:t>
      </w:r>
      <w:r w:rsidR="00774064" w:rsidRPr="00066FCA">
        <w:rPr>
          <w:rFonts w:asciiTheme="minorHAnsi" w:hAnsiTheme="minorHAnsi" w:cstheme="minorHAnsi"/>
          <w:b w:val="0"/>
        </w:rPr>
        <w:t>submission</w:t>
      </w:r>
      <w:r w:rsidR="00FB7939" w:rsidRPr="00066FCA">
        <w:rPr>
          <w:rFonts w:asciiTheme="minorHAnsi" w:hAnsiTheme="minorHAnsi" w:cstheme="minorHAnsi"/>
          <w:b w:val="0"/>
        </w:rPr>
        <w:t>s</w:t>
      </w:r>
      <w:r w:rsidR="00774064" w:rsidRPr="00066FCA">
        <w:rPr>
          <w:rFonts w:asciiTheme="minorHAnsi" w:hAnsiTheme="minorHAnsi" w:cstheme="minorHAnsi"/>
          <w:b w:val="0"/>
        </w:rPr>
        <w:t xml:space="preserve"> from Allergan </w:t>
      </w:r>
      <w:r w:rsidR="00FB7939" w:rsidRPr="00066FCA">
        <w:rPr>
          <w:rFonts w:asciiTheme="minorHAnsi" w:hAnsiTheme="minorHAnsi" w:cstheme="minorHAnsi"/>
          <w:b w:val="0"/>
        </w:rPr>
        <w:t>and Ip</w:t>
      </w:r>
      <w:r w:rsidR="00066FCA">
        <w:rPr>
          <w:rFonts w:asciiTheme="minorHAnsi" w:hAnsiTheme="minorHAnsi" w:cstheme="minorHAnsi"/>
          <w:b w:val="0"/>
        </w:rPr>
        <w:t>s</w:t>
      </w:r>
      <w:r w:rsidR="00FB7939" w:rsidRPr="00066FCA">
        <w:rPr>
          <w:rFonts w:asciiTheme="minorHAnsi" w:hAnsiTheme="minorHAnsi" w:cstheme="minorHAnsi"/>
          <w:b w:val="0"/>
        </w:rPr>
        <w:t xml:space="preserve">en </w:t>
      </w:r>
      <w:r w:rsidR="00B44582" w:rsidRPr="00066FCA">
        <w:rPr>
          <w:rFonts w:asciiTheme="minorHAnsi" w:hAnsiTheme="minorHAnsi" w:cstheme="minorHAnsi"/>
          <w:b w:val="0"/>
        </w:rPr>
        <w:t xml:space="preserve">at </w:t>
      </w:r>
      <w:r w:rsidR="00BC3F0C" w:rsidRPr="00066FCA">
        <w:rPr>
          <w:rFonts w:asciiTheme="minorHAnsi" w:hAnsiTheme="minorHAnsi" w:cstheme="minorHAnsi"/>
          <w:b w:val="0"/>
        </w:rPr>
        <w:t xml:space="preserve">its </w:t>
      </w:r>
      <w:r w:rsidR="00B44582" w:rsidRPr="00066FCA">
        <w:rPr>
          <w:rFonts w:asciiTheme="minorHAnsi" w:hAnsiTheme="minorHAnsi" w:cstheme="minorHAnsi"/>
          <w:b w:val="0"/>
        </w:rPr>
        <w:t>November 2018 meeting.</w:t>
      </w:r>
    </w:p>
    <w:p w:rsidR="00CB1BCE" w:rsidRPr="00066FCA" w:rsidRDefault="00CB1BCE" w:rsidP="00CB1BCE">
      <w:pPr>
        <w:rPr>
          <w:rFonts w:asciiTheme="minorHAnsi" w:hAnsiTheme="minorHAnsi" w:cstheme="minorHAnsi"/>
          <w:szCs w:val="22"/>
        </w:rPr>
      </w:pPr>
    </w:p>
    <w:p w:rsidR="00E84901" w:rsidRPr="00066FCA" w:rsidRDefault="00E84901" w:rsidP="0022321A">
      <w:pPr>
        <w:pStyle w:val="PBACHeading1"/>
        <w:keepNext/>
        <w:spacing w:after="200"/>
        <w:rPr>
          <w:rFonts w:asciiTheme="minorHAnsi" w:hAnsiTheme="minorHAnsi"/>
          <w:b w:val="0"/>
          <w:sz w:val="32"/>
          <w:szCs w:val="32"/>
        </w:rPr>
      </w:pPr>
      <w:r w:rsidRPr="00066FCA">
        <w:rPr>
          <w:rFonts w:asciiTheme="minorHAnsi" w:hAnsiTheme="minorHAnsi"/>
          <w:sz w:val="32"/>
          <w:szCs w:val="32"/>
        </w:rPr>
        <w:t>Recommended listing</w:t>
      </w:r>
    </w:p>
    <w:p w:rsidR="00590F66" w:rsidRPr="00066FCA" w:rsidRDefault="00590F66" w:rsidP="00590F66">
      <w:pPr>
        <w:numPr>
          <w:ilvl w:val="1"/>
          <w:numId w:val="3"/>
        </w:numPr>
        <w:spacing w:after="120"/>
        <w:rPr>
          <w:rFonts w:asciiTheme="minorHAnsi" w:hAnsiTheme="minorHAnsi" w:cstheme="minorHAnsi"/>
          <w:b/>
          <w:bCs/>
          <w:szCs w:val="22"/>
        </w:rPr>
      </w:pPr>
      <w:r w:rsidRPr="00066FCA">
        <w:rPr>
          <w:rFonts w:asciiTheme="minorHAnsi" w:hAnsiTheme="minorHAnsi" w:cstheme="minorHAnsi"/>
          <w:bCs/>
          <w:szCs w:val="22"/>
        </w:rPr>
        <w:t>Amend existing listing</w:t>
      </w:r>
      <w:r w:rsidR="007A3606" w:rsidRPr="00066FCA">
        <w:rPr>
          <w:rFonts w:asciiTheme="minorHAnsi" w:hAnsiTheme="minorHAnsi" w:cstheme="minorHAnsi"/>
          <w:bCs/>
          <w:szCs w:val="22"/>
        </w:rPr>
        <w:t xml:space="preserve">s </w:t>
      </w:r>
      <w:r w:rsidRPr="00066FCA">
        <w:rPr>
          <w:rFonts w:asciiTheme="minorHAnsi" w:hAnsiTheme="minorHAnsi" w:cstheme="minorHAnsi"/>
          <w:bCs/>
          <w:szCs w:val="22"/>
        </w:rPr>
        <w:t xml:space="preserve">as follows:  </w:t>
      </w:r>
    </w:p>
    <w:tbl>
      <w:tblPr>
        <w:tblW w:w="4933" w:type="pct"/>
        <w:tblLayout w:type="fixed"/>
        <w:tblLook w:val="0000" w:firstRow="0" w:lastRow="0" w:firstColumn="0" w:lastColumn="0" w:noHBand="0" w:noVBand="0"/>
      </w:tblPr>
      <w:tblGrid>
        <w:gridCol w:w="1729"/>
        <w:gridCol w:w="1987"/>
        <w:gridCol w:w="850"/>
        <w:gridCol w:w="851"/>
        <w:gridCol w:w="810"/>
        <w:gridCol w:w="1109"/>
        <w:gridCol w:w="883"/>
        <w:gridCol w:w="31"/>
      </w:tblGrid>
      <w:tr w:rsidR="004A1F21" w:rsidRPr="00066FCA" w:rsidTr="00B401B7">
        <w:trPr>
          <w:gridAfter w:val="1"/>
          <w:wAfter w:w="19" w:type="pct"/>
          <w:cantSplit/>
          <w:trHeight w:val="465"/>
        </w:trPr>
        <w:tc>
          <w:tcPr>
            <w:tcW w:w="2252" w:type="pct"/>
            <w:gridSpan w:val="2"/>
            <w:tcBorders>
              <w:bottom w:val="single" w:sz="4" w:space="0" w:color="auto"/>
            </w:tcBorders>
            <w:tcMar>
              <w:left w:w="28" w:type="dxa"/>
              <w:right w:w="28" w:type="dxa"/>
            </w:tcMar>
          </w:tcPr>
          <w:p w:rsidR="00590F66" w:rsidRPr="00066FCA" w:rsidRDefault="00590F66" w:rsidP="004A1F21">
            <w:pPr>
              <w:pStyle w:val="PBACHeading1"/>
              <w:keepNext/>
              <w:numPr>
                <w:ilvl w:val="0"/>
                <w:numId w:val="0"/>
              </w:numPr>
              <w:rPr>
                <w:rFonts w:ascii="Arial Narrow" w:hAnsi="Arial Narrow" w:cstheme="minorHAnsi"/>
                <w:sz w:val="20"/>
                <w:szCs w:val="20"/>
              </w:rPr>
            </w:pPr>
            <w:r w:rsidRPr="00066FCA">
              <w:rPr>
                <w:rFonts w:ascii="Arial Narrow" w:hAnsi="Arial Narrow" w:cstheme="minorHAnsi"/>
                <w:sz w:val="20"/>
                <w:szCs w:val="20"/>
              </w:rPr>
              <w:t>Name, Restriction,</w:t>
            </w:r>
          </w:p>
          <w:p w:rsidR="00590F66" w:rsidRPr="00066FCA" w:rsidRDefault="00590F66" w:rsidP="004A1F21">
            <w:pPr>
              <w:pStyle w:val="PBACHeading1"/>
              <w:keepNext/>
              <w:numPr>
                <w:ilvl w:val="0"/>
                <w:numId w:val="0"/>
              </w:numPr>
              <w:ind w:left="720" w:hanging="720"/>
              <w:rPr>
                <w:rFonts w:ascii="Arial Narrow" w:hAnsi="Arial Narrow" w:cstheme="minorHAnsi"/>
                <w:sz w:val="20"/>
                <w:szCs w:val="20"/>
              </w:rPr>
            </w:pPr>
            <w:r w:rsidRPr="00066FCA">
              <w:rPr>
                <w:rFonts w:ascii="Arial Narrow" w:hAnsi="Arial Narrow" w:cstheme="minorHAnsi"/>
                <w:sz w:val="20"/>
                <w:szCs w:val="20"/>
              </w:rPr>
              <w:t>Manner of administration and form</w:t>
            </w:r>
          </w:p>
        </w:tc>
        <w:tc>
          <w:tcPr>
            <w:tcW w:w="515" w:type="pct"/>
            <w:tcBorders>
              <w:bottom w:val="single" w:sz="4" w:space="0" w:color="auto"/>
            </w:tcBorders>
            <w:tcMar>
              <w:left w:w="28" w:type="dxa"/>
              <w:right w:w="28" w:type="dxa"/>
            </w:tcMar>
          </w:tcPr>
          <w:p w:rsidR="00590F66" w:rsidRPr="00066FCA" w:rsidRDefault="00590F66" w:rsidP="00D34BFC">
            <w:pPr>
              <w:keepNext/>
              <w:spacing w:before="40" w:after="40"/>
              <w:jc w:val="center"/>
              <w:rPr>
                <w:rFonts w:ascii="Arial Narrow" w:hAnsi="Arial Narrow" w:cstheme="minorHAnsi"/>
                <w:b/>
                <w:sz w:val="20"/>
              </w:rPr>
            </w:pPr>
            <w:r w:rsidRPr="00066FCA">
              <w:rPr>
                <w:rFonts w:ascii="Arial Narrow" w:hAnsi="Arial Narrow" w:cstheme="minorHAnsi"/>
                <w:b/>
                <w:sz w:val="20"/>
              </w:rPr>
              <w:t>Max qty packs</w:t>
            </w:r>
          </w:p>
        </w:tc>
        <w:tc>
          <w:tcPr>
            <w:tcW w:w="516" w:type="pct"/>
            <w:tcBorders>
              <w:bottom w:val="single" w:sz="4" w:space="0" w:color="auto"/>
            </w:tcBorders>
            <w:tcMar>
              <w:left w:w="28" w:type="dxa"/>
              <w:right w:w="28" w:type="dxa"/>
            </w:tcMar>
          </w:tcPr>
          <w:p w:rsidR="00590F66" w:rsidRPr="00066FCA" w:rsidRDefault="00590F66" w:rsidP="00D34BFC">
            <w:pPr>
              <w:keepNext/>
              <w:spacing w:before="40" w:after="40"/>
              <w:jc w:val="center"/>
              <w:rPr>
                <w:rFonts w:ascii="Arial Narrow" w:hAnsi="Arial Narrow" w:cstheme="minorHAnsi"/>
                <w:b/>
                <w:sz w:val="20"/>
              </w:rPr>
            </w:pPr>
            <w:r w:rsidRPr="00066FCA">
              <w:rPr>
                <w:rFonts w:ascii="Arial Narrow" w:hAnsi="Arial Narrow" w:cstheme="minorHAnsi"/>
                <w:b/>
                <w:sz w:val="20"/>
              </w:rPr>
              <w:t>Max qty units</w:t>
            </w:r>
          </w:p>
        </w:tc>
        <w:tc>
          <w:tcPr>
            <w:tcW w:w="491" w:type="pct"/>
            <w:tcBorders>
              <w:bottom w:val="single" w:sz="4" w:space="0" w:color="auto"/>
            </w:tcBorders>
            <w:tcMar>
              <w:left w:w="28" w:type="dxa"/>
              <w:right w:w="28" w:type="dxa"/>
            </w:tcMar>
          </w:tcPr>
          <w:p w:rsidR="00590F66" w:rsidRPr="00066FCA" w:rsidRDefault="00590F66" w:rsidP="00D34BFC">
            <w:pPr>
              <w:keepNext/>
              <w:spacing w:before="40" w:after="40"/>
              <w:jc w:val="center"/>
              <w:rPr>
                <w:rFonts w:ascii="Arial Narrow" w:hAnsi="Arial Narrow" w:cstheme="minorHAnsi"/>
                <w:b/>
                <w:sz w:val="20"/>
              </w:rPr>
            </w:pPr>
            <w:r w:rsidRPr="00066FCA">
              <w:rPr>
                <w:rFonts w:ascii="Arial Narrow" w:hAnsi="Arial Narrow" w:cstheme="minorHAnsi"/>
                <w:b/>
                <w:sz w:val="20"/>
              </w:rPr>
              <w:t>No. of</w:t>
            </w:r>
          </w:p>
          <w:p w:rsidR="00590F66" w:rsidRPr="00066FCA" w:rsidRDefault="00590F66" w:rsidP="00D34BFC">
            <w:pPr>
              <w:keepNext/>
              <w:spacing w:before="40" w:after="40"/>
              <w:jc w:val="center"/>
              <w:rPr>
                <w:rFonts w:ascii="Arial Narrow" w:hAnsi="Arial Narrow" w:cstheme="minorHAnsi"/>
                <w:b/>
                <w:sz w:val="20"/>
              </w:rPr>
            </w:pPr>
            <w:r w:rsidRPr="00066FCA">
              <w:rPr>
                <w:rFonts w:ascii="Arial Narrow" w:hAnsi="Arial Narrow" w:cstheme="minorHAnsi"/>
                <w:b/>
                <w:sz w:val="20"/>
              </w:rPr>
              <w:t>repeats</w:t>
            </w:r>
          </w:p>
        </w:tc>
        <w:tc>
          <w:tcPr>
            <w:tcW w:w="1207" w:type="pct"/>
            <w:gridSpan w:val="2"/>
            <w:tcBorders>
              <w:bottom w:val="single" w:sz="4" w:space="0" w:color="auto"/>
            </w:tcBorders>
            <w:tcMar>
              <w:left w:w="28" w:type="dxa"/>
              <w:right w:w="28" w:type="dxa"/>
            </w:tcMar>
          </w:tcPr>
          <w:p w:rsidR="00590F66" w:rsidRPr="00066FCA" w:rsidRDefault="00590F66" w:rsidP="004A1F21">
            <w:pPr>
              <w:keepNext/>
              <w:spacing w:before="40" w:after="40"/>
              <w:jc w:val="left"/>
              <w:rPr>
                <w:rFonts w:ascii="Arial Narrow" w:hAnsi="Arial Narrow" w:cstheme="minorHAnsi"/>
                <w:b/>
                <w:sz w:val="20"/>
              </w:rPr>
            </w:pPr>
            <w:r w:rsidRPr="00066FCA">
              <w:rPr>
                <w:rFonts w:ascii="Arial Narrow" w:hAnsi="Arial Narrow" w:cstheme="minorHAnsi"/>
                <w:b/>
                <w:sz w:val="20"/>
              </w:rPr>
              <w:t>Proprietary Name and Manufacturer</w:t>
            </w:r>
          </w:p>
        </w:tc>
      </w:tr>
      <w:tr w:rsidR="004A1F21" w:rsidRPr="00066FCA" w:rsidTr="00B401B7">
        <w:trPr>
          <w:gridAfter w:val="1"/>
          <w:wAfter w:w="19" w:type="pct"/>
          <w:cantSplit/>
          <w:trHeight w:val="567"/>
        </w:trPr>
        <w:tc>
          <w:tcPr>
            <w:tcW w:w="2252" w:type="pct"/>
            <w:gridSpan w:val="2"/>
            <w:tcMar>
              <w:left w:w="28" w:type="dxa"/>
              <w:right w:w="28" w:type="dxa"/>
            </w:tcMar>
          </w:tcPr>
          <w:p w:rsidR="00590F66" w:rsidRPr="00066FCA" w:rsidRDefault="00590F66" w:rsidP="004A1F21">
            <w:pPr>
              <w:keepNext/>
              <w:spacing w:before="40" w:after="40"/>
              <w:jc w:val="left"/>
              <w:rPr>
                <w:rFonts w:ascii="Arial Narrow" w:hAnsi="Arial Narrow" w:cstheme="minorHAnsi"/>
                <w:sz w:val="20"/>
              </w:rPr>
            </w:pPr>
            <w:r w:rsidRPr="00066FCA">
              <w:rPr>
                <w:rFonts w:ascii="Arial Narrow" w:hAnsi="Arial Narrow" w:cstheme="minorHAnsi"/>
                <w:smallCaps/>
                <w:sz w:val="20"/>
              </w:rPr>
              <w:t>Botulinum Toxin Type A</w:t>
            </w:r>
          </w:p>
          <w:p w:rsidR="00590F66" w:rsidRPr="00066FCA" w:rsidRDefault="00590F66" w:rsidP="004A1F21">
            <w:pPr>
              <w:keepNext/>
              <w:spacing w:before="40" w:after="40"/>
              <w:jc w:val="left"/>
              <w:rPr>
                <w:rFonts w:ascii="Arial Narrow" w:hAnsi="Arial Narrow" w:cstheme="minorHAnsi"/>
                <w:sz w:val="20"/>
              </w:rPr>
            </w:pPr>
            <w:r w:rsidRPr="00066FCA">
              <w:rPr>
                <w:rFonts w:ascii="Arial Narrow" w:hAnsi="Arial Narrow" w:cstheme="minorHAnsi"/>
                <w:sz w:val="20"/>
              </w:rPr>
              <w:t>Botulinum toxin type A 100 units injection, 1 vial</w:t>
            </w:r>
          </w:p>
        </w:tc>
        <w:tc>
          <w:tcPr>
            <w:tcW w:w="515" w:type="pct"/>
            <w:tcMar>
              <w:left w:w="28" w:type="dxa"/>
              <w:right w:w="28" w:type="dxa"/>
            </w:tcMar>
          </w:tcPr>
          <w:p w:rsidR="00590F66" w:rsidRPr="00066FCA" w:rsidRDefault="00590F66" w:rsidP="00D34BFC">
            <w:pPr>
              <w:keepNext/>
              <w:spacing w:before="40" w:after="40"/>
              <w:jc w:val="center"/>
              <w:rPr>
                <w:rFonts w:ascii="Arial Narrow" w:hAnsi="Arial Narrow" w:cstheme="minorHAnsi"/>
                <w:sz w:val="20"/>
              </w:rPr>
            </w:pPr>
          </w:p>
          <w:p w:rsidR="00590F66" w:rsidRPr="00066FCA" w:rsidRDefault="00590F66" w:rsidP="00D34BFC">
            <w:pPr>
              <w:keepNext/>
              <w:spacing w:before="40" w:after="40"/>
              <w:jc w:val="center"/>
              <w:rPr>
                <w:rFonts w:ascii="Arial Narrow" w:hAnsi="Arial Narrow" w:cstheme="minorHAnsi"/>
                <w:sz w:val="20"/>
              </w:rPr>
            </w:pPr>
            <w:r w:rsidRPr="00066FCA">
              <w:rPr>
                <w:rFonts w:ascii="Arial Narrow" w:hAnsi="Arial Narrow" w:cstheme="minorHAnsi"/>
                <w:sz w:val="20"/>
              </w:rPr>
              <w:t>4</w:t>
            </w:r>
          </w:p>
        </w:tc>
        <w:tc>
          <w:tcPr>
            <w:tcW w:w="516" w:type="pct"/>
            <w:tcMar>
              <w:left w:w="28" w:type="dxa"/>
              <w:right w:w="28" w:type="dxa"/>
            </w:tcMar>
          </w:tcPr>
          <w:p w:rsidR="00590F66" w:rsidRPr="00066FCA" w:rsidRDefault="00590F66" w:rsidP="00D34BFC">
            <w:pPr>
              <w:keepNext/>
              <w:spacing w:before="40" w:after="40"/>
              <w:jc w:val="center"/>
              <w:rPr>
                <w:rFonts w:ascii="Arial Narrow" w:hAnsi="Arial Narrow" w:cstheme="minorHAnsi"/>
                <w:sz w:val="20"/>
              </w:rPr>
            </w:pPr>
          </w:p>
          <w:p w:rsidR="00590F66" w:rsidRPr="00066FCA" w:rsidRDefault="00590F66" w:rsidP="00D34BFC">
            <w:pPr>
              <w:keepNext/>
              <w:spacing w:before="40" w:after="40"/>
              <w:jc w:val="center"/>
              <w:rPr>
                <w:rFonts w:ascii="Arial Narrow" w:hAnsi="Arial Narrow" w:cstheme="minorHAnsi"/>
                <w:sz w:val="20"/>
              </w:rPr>
            </w:pPr>
            <w:r w:rsidRPr="00066FCA">
              <w:rPr>
                <w:rFonts w:ascii="Arial Narrow" w:hAnsi="Arial Narrow" w:cstheme="minorHAnsi"/>
                <w:sz w:val="20"/>
              </w:rPr>
              <w:t>4</w:t>
            </w:r>
          </w:p>
        </w:tc>
        <w:tc>
          <w:tcPr>
            <w:tcW w:w="491" w:type="pct"/>
            <w:tcMar>
              <w:left w:w="28" w:type="dxa"/>
              <w:right w:w="28" w:type="dxa"/>
            </w:tcMar>
          </w:tcPr>
          <w:p w:rsidR="00590F66" w:rsidRPr="00066FCA" w:rsidRDefault="00590F66" w:rsidP="00D34BFC">
            <w:pPr>
              <w:keepNext/>
              <w:spacing w:before="40" w:after="40"/>
              <w:jc w:val="center"/>
              <w:rPr>
                <w:rFonts w:ascii="Arial Narrow" w:hAnsi="Arial Narrow" w:cstheme="minorHAnsi"/>
                <w:sz w:val="20"/>
              </w:rPr>
            </w:pPr>
          </w:p>
          <w:p w:rsidR="00590F66" w:rsidRPr="00066FCA" w:rsidRDefault="00590F66" w:rsidP="00D34BFC">
            <w:pPr>
              <w:keepNext/>
              <w:spacing w:before="40" w:after="40"/>
              <w:jc w:val="center"/>
              <w:rPr>
                <w:rFonts w:ascii="Arial Narrow" w:hAnsi="Arial Narrow" w:cstheme="minorHAnsi"/>
                <w:sz w:val="20"/>
              </w:rPr>
            </w:pPr>
            <w:r w:rsidRPr="00066FCA">
              <w:rPr>
                <w:rFonts w:ascii="Arial Narrow" w:hAnsi="Arial Narrow" w:cstheme="minorHAnsi"/>
                <w:sz w:val="20"/>
              </w:rPr>
              <w:t>0</w:t>
            </w:r>
          </w:p>
        </w:tc>
        <w:tc>
          <w:tcPr>
            <w:tcW w:w="672" w:type="pct"/>
            <w:tcMar>
              <w:left w:w="28" w:type="dxa"/>
              <w:right w:w="28" w:type="dxa"/>
            </w:tcMar>
          </w:tcPr>
          <w:p w:rsidR="00590F66" w:rsidRPr="00066FCA" w:rsidRDefault="00590F66" w:rsidP="00D34BFC">
            <w:pPr>
              <w:keepNext/>
              <w:spacing w:before="40" w:after="40"/>
              <w:rPr>
                <w:rFonts w:ascii="Arial Narrow" w:hAnsi="Arial Narrow" w:cstheme="minorHAnsi"/>
                <w:sz w:val="20"/>
              </w:rPr>
            </w:pPr>
          </w:p>
          <w:p w:rsidR="00590F66" w:rsidRPr="00066FCA" w:rsidRDefault="00590F66" w:rsidP="00D34BFC">
            <w:pPr>
              <w:keepNext/>
              <w:spacing w:before="40" w:after="40"/>
              <w:rPr>
                <w:rFonts w:ascii="Arial Narrow" w:hAnsi="Arial Narrow" w:cstheme="minorHAnsi"/>
                <w:sz w:val="20"/>
              </w:rPr>
            </w:pPr>
            <w:r w:rsidRPr="00066FCA">
              <w:rPr>
                <w:rFonts w:ascii="Arial Narrow" w:hAnsi="Arial Narrow" w:cstheme="minorHAnsi"/>
                <w:sz w:val="20"/>
              </w:rPr>
              <w:t xml:space="preserve">Botox </w:t>
            </w:r>
            <w:r w:rsidRPr="00066FCA">
              <w:rPr>
                <w:rFonts w:ascii="Arial Narrow" w:hAnsi="Arial Narrow" w:cstheme="minorHAnsi"/>
                <w:sz w:val="20"/>
                <w:vertAlign w:val="superscript"/>
              </w:rPr>
              <w:t>®</w:t>
            </w:r>
          </w:p>
        </w:tc>
        <w:tc>
          <w:tcPr>
            <w:tcW w:w="535" w:type="pct"/>
            <w:tcMar>
              <w:left w:w="28" w:type="dxa"/>
              <w:right w:w="28" w:type="dxa"/>
            </w:tcMar>
          </w:tcPr>
          <w:p w:rsidR="00590F66" w:rsidRPr="00066FCA" w:rsidRDefault="00590F66" w:rsidP="00D34BFC">
            <w:pPr>
              <w:keepNext/>
              <w:spacing w:before="40" w:after="40"/>
              <w:rPr>
                <w:rFonts w:ascii="Arial Narrow" w:hAnsi="Arial Narrow" w:cstheme="minorHAnsi"/>
                <w:sz w:val="20"/>
              </w:rPr>
            </w:pPr>
          </w:p>
          <w:p w:rsidR="00590F66" w:rsidRPr="00066FCA" w:rsidRDefault="00590F66" w:rsidP="00D34BFC">
            <w:pPr>
              <w:keepNext/>
              <w:spacing w:before="40" w:after="40"/>
              <w:rPr>
                <w:rFonts w:ascii="Arial Narrow" w:hAnsi="Arial Narrow" w:cstheme="minorHAnsi"/>
                <w:sz w:val="20"/>
              </w:rPr>
            </w:pPr>
            <w:r w:rsidRPr="00066FCA">
              <w:rPr>
                <w:rFonts w:ascii="Arial Narrow" w:hAnsi="Arial Narrow" w:cstheme="minorHAnsi"/>
                <w:sz w:val="20"/>
              </w:rPr>
              <w:t>Allergan</w:t>
            </w:r>
          </w:p>
        </w:tc>
      </w:tr>
      <w:tr w:rsidR="00590F66" w:rsidRPr="00066FCA" w:rsidTr="00B401B7">
        <w:trPr>
          <w:cantSplit/>
          <w:trHeight w:val="360"/>
        </w:trPr>
        <w:tc>
          <w:tcPr>
            <w:tcW w:w="5000" w:type="pct"/>
            <w:gridSpan w:val="8"/>
          </w:tcPr>
          <w:p w:rsidR="00590F66" w:rsidRPr="00066FCA" w:rsidRDefault="00590F66" w:rsidP="00D34BFC">
            <w:pPr>
              <w:spacing w:before="40" w:after="40"/>
              <w:rPr>
                <w:rFonts w:ascii="Arial Narrow" w:hAnsi="Arial Narrow" w:cstheme="minorHAnsi"/>
                <w:sz w:val="20"/>
              </w:rPr>
            </w:pP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b/>
                <w:sz w:val="20"/>
              </w:rPr>
            </w:pPr>
            <w:r w:rsidRPr="00066FCA">
              <w:rPr>
                <w:rFonts w:ascii="Arial Narrow" w:hAnsi="Arial Narrow" w:cstheme="minorHAnsi"/>
                <w:b/>
                <w:sz w:val="20"/>
              </w:rPr>
              <w:t>Category / Program:</w:t>
            </w: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Section 100 – Botulinum Toxin Program</w:t>
            </w: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b/>
                <w:sz w:val="20"/>
              </w:rPr>
            </w:pPr>
            <w:r w:rsidRPr="00066FCA">
              <w:rPr>
                <w:rFonts w:ascii="Arial Narrow" w:hAnsi="Arial Narrow" w:cstheme="minorHAnsi"/>
                <w:b/>
                <w:sz w:val="20"/>
              </w:rPr>
              <w:t>Prescriber type:</w:t>
            </w: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1"/>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Dental </w:t>
            </w:r>
            <w:r w:rsidRPr="00066FCA">
              <w:rPr>
                <w:rFonts w:ascii="Arial Narrow" w:hAnsi="Arial Narrow" w:cstheme="minorHAnsi"/>
                <w:sz w:val="20"/>
              </w:rPr>
              <w:fldChar w:fldCharType="begin">
                <w:ffData>
                  <w:name w:val=""/>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Medical Practitioners  </w:t>
            </w:r>
            <w:r w:rsidRPr="00066FCA">
              <w:rPr>
                <w:rFonts w:ascii="Arial Narrow" w:hAnsi="Arial Narrow" w:cstheme="minorHAnsi"/>
                <w:sz w:val="20"/>
              </w:rPr>
              <w:fldChar w:fldCharType="begin">
                <w:ffData>
                  <w:name w:val="Check3"/>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Nurse practitioners  </w:t>
            </w:r>
            <w:r w:rsidRPr="00066FCA">
              <w:rPr>
                <w:rFonts w:ascii="Arial Narrow" w:hAnsi="Arial Narrow" w:cstheme="minorHAnsi"/>
                <w:sz w:val="20"/>
              </w:rPr>
              <w:fldChar w:fldCharType="begin">
                <w:ffData>
                  <w:name w:val=""/>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Optometrists </w:t>
            </w:r>
            <w:r w:rsidRPr="00066FCA">
              <w:rPr>
                <w:rFonts w:ascii="Arial Narrow" w:hAnsi="Arial Narrow" w:cstheme="minorHAnsi"/>
                <w:sz w:val="20"/>
              </w:rPr>
              <w:fldChar w:fldCharType="begin">
                <w:ffData>
                  <w:name w:val="Check5"/>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Midwives</w:t>
            </w: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b/>
                <w:sz w:val="20"/>
              </w:rPr>
            </w:pPr>
            <w:r w:rsidRPr="00066FCA">
              <w:rPr>
                <w:rFonts w:ascii="Arial Narrow" w:hAnsi="Arial Narrow" w:cstheme="minorHAnsi"/>
                <w:b/>
                <w:sz w:val="20"/>
              </w:rPr>
              <w:t>PBS indication:</w:t>
            </w: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Dynamic equinus foot deformity (5407)</w:t>
            </w: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sz w:val="20"/>
              </w:rPr>
            </w:pPr>
            <w:r w:rsidRPr="00066FCA">
              <w:rPr>
                <w:rFonts w:ascii="Arial Narrow" w:hAnsi="Arial Narrow" w:cstheme="minorHAnsi"/>
                <w:b/>
                <w:sz w:val="20"/>
              </w:rPr>
              <w:t>Restriction level / Method:</w:t>
            </w: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5"/>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Streamlined</w:t>
            </w: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b/>
                <w:sz w:val="20"/>
              </w:rPr>
            </w:pPr>
            <w:r w:rsidRPr="00066FCA">
              <w:rPr>
                <w:rFonts w:ascii="Arial Narrow" w:hAnsi="Arial Narrow" w:cstheme="minorHAnsi"/>
                <w:b/>
                <w:sz w:val="20"/>
              </w:rPr>
              <w:t>Clinical criteria:</w:t>
            </w:r>
          </w:p>
          <w:p w:rsidR="00FF764E" w:rsidRPr="00066FCA" w:rsidRDefault="00FF764E" w:rsidP="004A1F21">
            <w:pPr>
              <w:spacing w:before="40" w:after="40"/>
              <w:jc w:val="left"/>
              <w:rPr>
                <w:rFonts w:ascii="Arial Narrow" w:hAnsi="Arial Narrow" w:cstheme="minorHAnsi"/>
                <w:i/>
                <w:sz w:val="20"/>
              </w:rPr>
            </w:pPr>
          </w:p>
          <w:p w:rsidR="00FF764E" w:rsidRPr="00066FCA" w:rsidRDefault="00FF764E" w:rsidP="004A1F21">
            <w:pPr>
              <w:spacing w:before="40" w:after="40"/>
              <w:jc w:val="left"/>
              <w:rPr>
                <w:rFonts w:ascii="Arial Narrow" w:hAnsi="Arial Narrow" w:cstheme="minorHAnsi"/>
                <w:sz w:val="20"/>
              </w:rPr>
            </w:pP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The condition must be due to spasticity,</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AND</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Patient must have cerebral palsy,</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 xml:space="preserve">AND </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Patient must be ambulant,</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AND</w:t>
            </w:r>
          </w:p>
          <w:p w:rsidR="00FF764E" w:rsidRPr="00066FCA" w:rsidRDefault="00FF764E" w:rsidP="007A3606">
            <w:pPr>
              <w:spacing w:before="40" w:after="40"/>
              <w:jc w:val="left"/>
              <w:rPr>
                <w:rFonts w:ascii="Arial Narrow" w:hAnsi="Arial Narrow" w:cstheme="minorHAnsi"/>
                <w:strike/>
                <w:sz w:val="20"/>
              </w:rPr>
            </w:pPr>
            <w:r w:rsidRPr="00066FCA">
              <w:rPr>
                <w:rFonts w:ascii="Arial Narrow" w:hAnsi="Arial Narrow" w:cstheme="minorHAnsi"/>
                <w:strike/>
                <w:sz w:val="20"/>
              </w:rPr>
              <w:t>Patient must have commenced PBS-subsidised treatment with Botulinum Toxin Type A Neurotoxin Complex as a paediatric patient</w:t>
            </w:r>
            <w:r w:rsidR="004A1F21" w:rsidRPr="00066FCA">
              <w:rPr>
                <w:rFonts w:ascii="Arial Narrow" w:hAnsi="Arial Narrow" w:cstheme="minorHAnsi"/>
                <w:strike/>
                <w:sz w:val="20"/>
              </w:rPr>
              <w:t>.</w:t>
            </w: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b/>
                <w:sz w:val="20"/>
              </w:rPr>
            </w:pPr>
            <w:r w:rsidRPr="00066FCA">
              <w:rPr>
                <w:rFonts w:ascii="Arial Narrow" w:hAnsi="Arial Narrow" w:cstheme="minorHAnsi"/>
                <w:b/>
                <w:sz w:val="20"/>
              </w:rPr>
              <w:t>Population criteria:</w:t>
            </w: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Patient must be aged 18 years or older.</w:t>
            </w:r>
          </w:p>
        </w:tc>
      </w:tr>
      <w:tr w:rsidR="00FF764E" w:rsidRPr="00066FCA" w:rsidTr="00B401B7">
        <w:trPr>
          <w:gridAfter w:val="1"/>
          <w:wAfter w:w="19" w:type="pct"/>
          <w:cantSplit/>
          <w:trHeight w:val="360"/>
        </w:trPr>
        <w:tc>
          <w:tcPr>
            <w:tcW w:w="1048"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4A1F21">
            <w:pPr>
              <w:spacing w:before="40" w:after="40"/>
              <w:jc w:val="left"/>
              <w:rPr>
                <w:rFonts w:ascii="Arial Narrow" w:hAnsi="Arial Narrow" w:cstheme="minorHAnsi"/>
                <w:b/>
                <w:sz w:val="20"/>
              </w:rPr>
            </w:pPr>
            <w:r w:rsidRPr="00066FCA">
              <w:rPr>
                <w:rFonts w:ascii="Arial Narrow" w:hAnsi="Arial Narrow" w:cstheme="minorHAnsi"/>
                <w:b/>
                <w:sz w:val="20"/>
              </w:rPr>
              <w:t>Treatment criteria:</w:t>
            </w:r>
          </w:p>
        </w:tc>
        <w:tc>
          <w:tcPr>
            <w:tcW w:w="393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neurologist; OR</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an orthopaedic surgeon; OR</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paediatrician; OR</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rehabilitation specialist.</w:t>
            </w:r>
          </w:p>
        </w:tc>
      </w:tr>
    </w:tbl>
    <w:p w:rsidR="00FF764E" w:rsidRPr="00066FCA" w:rsidRDefault="00FF764E" w:rsidP="002F3AE3">
      <w:pPr>
        <w:rPr>
          <w:rFonts w:ascii="Arial Narrow" w:hAnsi="Arial Narrow" w:cstheme="minorHAnsi"/>
          <w:sz w:val="20"/>
        </w:rPr>
      </w:pPr>
    </w:p>
    <w:p w:rsidR="004A1F21" w:rsidRPr="00066FCA" w:rsidRDefault="004A1F21" w:rsidP="002F3AE3">
      <w:pPr>
        <w:rPr>
          <w:rFonts w:ascii="Arial Narrow" w:hAnsi="Arial Narrow" w:cstheme="minorHAnsi"/>
          <w:sz w:val="20"/>
        </w:rPr>
      </w:pPr>
    </w:p>
    <w:tbl>
      <w:tblPr>
        <w:tblW w:w="4915" w:type="pct"/>
        <w:tblLook w:val="0000" w:firstRow="0" w:lastRow="0" w:firstColumn="0" w:lastColumn="0" w:noHBand="0" w:noVBand="0"/>
      </w:tblPr>
      <w:tblGrid>
        <w:gridCol w:w="1729"/>
        <w:gridCol w:w="6491"/>
      </w:tblGrid>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b/>
                <w:sz w:val="20"/>
              </w:rPr>
            </w:pPr>
            <w:r w:rsidRPr="00066FCA">
              <w:rPr>
                <w:rFonts w:ascii="Arial Narrow" w:hAnsi="Arial Narrow" w:cstheme="minorHAnsi"/>
                <w:b/>
                <w:sz w:val="20"/>
              </w:rPr>
              <w:t>Category / Program:</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Section 100 – Botulinum Toxin Program</w:t>
            </w:r>
          </w:p>
        </w:tc>
      </w:tr>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b/>
                <w:sz w:val="20"/>
              </w:rPr>
            </w:pPr>
            <w:r w:rsidRPr="00066FCA">
              <w:rPr>
                <w:rFonts w:ascii="Arial Narrow" w:hAnsi="Arial Narrow" w:cstheme="minorHAnsi"/>
                <w:b/>
                <w:sz w:val="20"/>
              </w:rPr>
              <w:t>Prescriber type:</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1"/>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Dental </w:t>
            </w:r>
            <w:r w:rsidRPr="00066FCA">
              <w:rPr>
                <w:rFonts w:ascii="Arial Narrow" w:hAnsi="Arial Narrow" w:cstheme="minorHAnsi"/>
                <w:sz w:val="20"/>
              </w:rPr>
              <w:fldChar w:fldCharType="begin">
                <w:ffData>
                  <w:name w:val=""/>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Medical Practitioners  </w:t>
            </w:r>
            <w:r w:rsidRPr="00066FCA">
              <w:rPr>
                <w:rFonts w:ascii="Arial Narrow" w:hAnsi="Arial Narrow" w:cstheme="minorHAnsi"/>
                <w:sz w:val="20"/>
              </w:rPr>
              <w:fldChar w:fldCharType="begin">
                <w:ffData>
                  <w:name w:val="Check3"/>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Nurse practitioners  </w:t>
            </w:r>
            <w:r w:rsidRPr="00066FCA">
              <w:rPr>
                <w:rFonts w:ascii="Arial Narrow" w:hAnsi="Arial Narrow" w:cstheme="minorHAnsi"/>
                <w:sz w:val="20"/>
              </w:rPr>
              <w:fldChar w:fldCharType="begin">
                <w:ffData>
                  <w:name w:val=""/>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Optometrists </w:t>
            </w:r>
            <w:r w:rsidRPr="00066FCA">
              <w:rPr>
                <w:rFonts w:ascii="Arial Narrow" w:hAnsi="Arial Narrow" w:cstheme="minorHAnsi"/>
                <w:sz w:val="20"/>
              </w:rPr>
              <w:fldChar w:fldCharType="begin">
                <w:ffData>
                  <w:name w:val="Check5"/>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Midwives</w:t>
            </w:r>
          </w:p>
        </w:tc>
      </w:tr>
      <w:tr w:rsidR="004A1F21" w:rsidRPr="00066FCA" w:rsidTr="004A1F21">
        <w:trPr>
          <w:cantSplit/>
          <w:trHeight w:val="491"/>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b/>
                <w:sz w:val="20"/>
              </w:rPr>
            </w:pPr>
            <w:r w:rsidRPr="00066FCA">
              <w:rPr>
                <w:rFonts w:ascii="Arial Narrow" w:hAnsi="Arial Narrow" w:cstheme="minorHAnsi"/>
                <w:b/>
                <w:sz w:val="20"/>
              </w:rPr>
              <w:t>PBS indication:</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Moderate to severe spasticity of the upper limb (5261)</w:t>
            </w:r>
          </w:p>
        </w:tc>
      </w:tr>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sz w:val="20"/>
              </w:rPr>
            </w:pPr>
            <w:r w:rsidRPr="00066FCA">
              <w:rPr>
                <w:rFonts w:ascii="Arial Narrow" w:hAnsi="Arial Narrow" w:cstheme="minorHAnsi"/>
                <w:b/>
                <w:sz w:val="20"/>
              </w:rPr>
              <w:t>Restriction level / Method:</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5"/>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Streamlined</w:t>
            </w:r>
          </w:p>
        </w:tc>
      </w:tr>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b/>
                <w:sz w:val="20"/>
              </w:rPr>
            </w:pPr>
            <w:r w:rsidRPr="00066FCA">
              <w:rPr>
                <w:rFonts w:ascii="Arial Narrow" w:hAnsi="Arial Narrow" w:cstheme="minorHAnsi"/>
                <w:b/>
                <w:sz w:val="20"/>
              </w:rPr>
              <w:lastRenderedPageBreak/>
              <w:t>Clinical criteria:</w:t>
            </w:r>
          </w:p>
          <w:p w:rsidR="004A1F21" w:rsidRPr="00066FCA" w:rsidRDefault="004A1F21" w:rsidP="004A1F21">
            <w:pPr>
              <w:spacing w:before="40" w:after="40"/>
              <w:jc w:val="left"/>
              <w:rPr>
                <w:rFonts w:ascii="Arial Narrow" w:hAnsi="Arial Narrow" w:cstheme="minorHAnsi"/>
                <w:i/>
                <w:sz w:val="20"/>
              </w:rPr>
            </w:pPr>
          </w:p>
          <w:p w:rsidR="004A1F21" w:rsidRPr="00066FCA" w:rsidRDefault="004A1F21" w:rsidP="004A1F21">
            <w:pPr>
              <w:spacing w:before="40" w:after="40"/>
              <w:jc w:val="left"/>
              <w:rPr>
                <w:rFonts w:ascii="Arial Narrow" w:hAnsi="Arial Narrow" w:cstheme="minorHAnsi"/>
                <w:sz w:val="20"/>
              </w:rPr>
            </w:pP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Patient must have cerebral palsy,</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AND</w:t>
            </w:r>
          </w:p>
          <w:p w:rsidR="004A1F21" w:rsidRPr="00066FCA" w:rsidRDefault="004A1F21" w:rsidP="007A3606">
            <w:pPr>
              <w:spacing w:before="40" w:after="40"/>
              <w:jc w:val="left"/>
              <w:rPr>
                <w:rFonts w:ascii="Arial Narrow" w:hAnsi="Arial Narrow" w:cstheme="minorHAnsi"/>
                <w:strike/>
                <w:sz w:val="20"/>
              </w:rPr>
            </w:pPr>
            <w:r w:rsidRPr="00066FCA">
              <w:rPr>
                <w:rFonts w:ascii="Arial Narrow" w:hAnsi="Arial Narrow" w:cstheme="minorHAnsi"/>
                <w:strike/>
                <w:sz w:val="20"/>
              </w:rPr>
              <w:t>Patient must have commenced PBS-subsidised treatment with Botulinum Toxin Type A Neurotoxin Complex as a paediatric patient.</w:t>
            </w:r>
          </w:p>
        </w:tc>
      </w:tr>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D34BFC">
            <w:pPr>
              <w:spacing w:before="40" w:after="40"/>
              <w:rPr>
                <w:rFonts w:ascii="Arial Narrow" w:hAnsi="Arial Narrow" w:cstheme="minorHAnsi"/>
                <w:b/>
                <w:sz w:val="20"/>
              </w:rPr>
            </w:pPr>
            <w:r w:rsidRPr="00066FCA">
              <w:rPr>
                <w:rFonts w:ascii="Arial Narrow" w:hAnsi="Arial Narrow" w:cstheme="minorHAnsi"/>
                <w:b/>
                <w:sz w:val="20"/>
              </w:rPr>
              <w:t>Population criteria:</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Patient must be aged 18 years or older.</w:t>
            </w:r>
          </w:p>
        </w:tc>
      </w:tr>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b/>
                <w:sz w:val="20"/>
              </w:rPr>
            </w:pPr>
            <w:r w:rsidRPr="00066FCA">
              <w:rPr>
                <w:rFonts w:ascii="Arial Narrow" w:hAnsi="Arial Narrow" w:cstheme="minorHAnsi"/>
                <w:b/>
                <w:sz w:val="20"/>
              </w:rPr>
              <w:t>Treatment criteria:</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neurologist;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an orthopaedic surgeon;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paediatrician;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rehabilitation specialist;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plastic surgeon.</w:t>
            </w:r>
          </w:p>
        </w:tc>
      </w:tr>
      <w:tr w:rsidR="004A1F21" w:rsidRPr="00066FCA" w:rsidTr="004A1F21">
        <w:trPr>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4A1F21">
            <w:pPr>
              <w:spacing w:before="40" w:after="40"/>
              <w:jc w:val="left"/>
              <w:rPr>
                <w:rFonts w:ascii="Arial Narrow" w:hAnsi="Arial Narrow" w:cstheme="minorHAnsi"/>
                <w:b/>
                <w:sz w:val="20"/>
              </w:rPr>
            </w:pPr>
            <w:r w:rsidRPr="00066FCA">
              <w:rPr>
                <w:rFonts w:ascii="Arial Narrow" w:hAnsi="Arial Narrow" w:cstheme="minorHAnsi"/>
                <w:b/>
                <w:sz w:val="20"/>
              </w:rPr>
              <w:t>Note:</w:t>
            </w:r>
          </w:p>
        </w:tc>
        <w:tc>
          <w:tcPr>
            <w:tcW w:w="3948"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trike/>
                <w:sz w:val="20"/>
              </w:rPr>
            </w:pPr>
            <w:r w:rsidRPr="00066FCA">
              <w:rPr>
                <w:rFonts w:ascii="Arial Narrow" w:hAnsi="Arial Narrow" w:cstheme="minorHAnsi"/>
                <w:strike/>
                <w:sz w:val="20"/>
              </w:rPr>
              <w:t>Contact the Department of Human Services before commencing PBS-subsidised treatment in cerebral palsy patients who have been treated for moderate to severe spasticity of the upper limb with non-PBS subsidised botulinum toxin prior to the age of 18.</w:t>
            </w:r>
          </w:p>
        </w:tc>
      </w:tr>
    </w:tbl>
    <w:p w:rsidR="004A1F21" w:rsidRPr="00066FCA" w:rsidRDefault="004A1F21" w:rsidP="002F3AE3">
      <w:pPr>
        <w:rPr>
          <w:rFonts w:ascii="Arial Narrow" w:hAnsi="Arial Narrow" w:cstheme="minorHAnsi"/>
          <w:sz w:val="20"/>
        </w:rPr>
      </w:pPr>
    </w:p>
    <w:p w:rsidR="004A1F21" w:rsidRPr="00066FCA" w:rsidRDefault="004A1F21" w:rsidP="002F3AE3">
      <w:pPr>
        <w:rPr>
          <w:rFonts w:ascii="Arial Narrow" w:hAnsi="Arial Narrow" w:cstheme="minorHAnsi"/>
          <w:sz w:val="20"/>
        </w:rPr>
      </w:pPr>
    </w:p>
    <w:tbl>
      <w:tblPr>
        <w:tblW w:w="4915" w:type="pct"/>
        <w:tblLayout w:type="fixed"/>
        <w:tblLook w:val="0000" w:firstRow="0" w:lastRow="0" w:firstColumn="0" w:lastColumn="0" w:noHBand="0" w:noVBand="0"/>
      </w:tblPr>
      <w:tblGrid>
        <w:gridCol w:w="1728"/>
        <w:gridCol w:w="2126"/>
        <w:gridCol w:w="988"/>
        <w:gridCol w:w="709"/>
        <w:gridCol w:w="848"/>
        <w:gridCol w:w="931"/>
        <w:gridCol w:w="168"/>
        <w:gridCol w:w="715"/>
        <w:gridCol w:w="7"/>
      </w:tblGrid>
      <w:tr w:rsidR="004A1F21" w:rsidRPr="00066FCA" w:rsidTr="007A3606">
        <w:trPr>
          <w:cantSplit/>
          <w:trHeight w:val="465"/>
        </w:trPr>
        <w:tc>
          <w:tcPr>
            <w:tcW w:w="2345" w:type="pct"/>
            <w:gridSpan w:val="2"/>
            <w:tcBorders>
              <w:bottom w:val="single" w:sz="4" w:space="0" w:color="auto"/>
            </w:tcBorders>
            <w:tcMar>
              <w:left w:w="28" w:type="dxa"/>
              <w:right w:w="28" w:type="dxa"/>
            </w:tcMar>
          </w:tcPr>
          <w:p w:rsidR="00FF764E" w:rsidRPr="00066FCA" w:rsidRDefault="00FF764E" w:rsidP="004A1F21">
            <w:pPr>
              <w:pStyle w:val="PBACHeading1"/>
              <w:keepNext/>
              <w:numPr>
                <w:ilvl w:val="0"/>
                <w:numId w:val="0"/>
              </w:numPr>
              <w:rPr>
                <w:rFonts w:ascii="Arial Narrow" w:hAnsi="Arial Narrow" w:cstheme="minorHAnsi"/>
                <w:sz w:val="20"/>
                <w:szCs w:val="20"/>
              </w:rPr>
            </w:pPr>
            <w:r w:rsidRPr="00066FCA">
              <w:rPr>
                <w:rFonts w:ascii="Arial Narrow" w:hAnsi="Arial Narrow" w:cstheme="minorHAnsi"/>
                <w:sz w:val="20"/>
                <w:szCs w:val="20"/>
              </w:rPr>
              <w:t>Name, Restriction,</w:t>
            </w:r>
          </w:p>
          <w:p w:rsidR="00FF764E" w:rsidRPr="00066FCA" w:rsidRDefault="00FF764E" w:rsidP="004A1F21">
            <w:pPr>
              <w:pStyle w:val="PBACHeading1"/>
              <w:keepNext/>
              <w:numPr>
                <w:ilvl w:val="0"/>
                <w:numId w:val="0"/>
              </w:numPr>
              <w:ind w:left="720" w:hanging="720"/>
              <w:rPr>
                <w:rFonts w:ascii="Arial Narrow" w:hAnsi="Arial Narrow" w:cstheme="minorHAnsi"/>
                <w:sz w:val="20"/>
                <w:szCs w:val="20"/>
              </w:rPr>
            </w:pPr>
            <w:r w:rsidRPr="00066FCA">
              <w:rPr>
                <w:rFonts w:ascii="Arial Narrow" w:hAnsi="Arial Narrow" w:cstheme="minorHAnsi"/>
                <w:sz w:val="20"/>
                <w:szCs w:val="20"/>
              </w:rPr>
              <w:t>Manner of administration and form</w:t>
            </w:r>
          </w:p>
        </w:tc>
        <w:tc>
          <w:tcPr>
            <w:tcW w:w="601" w:type="pct"/>
            <w:tcBorders>
              <w:bottom w:val="single" w:sz="4" w:space="0" w:color="auto"/>
            </w:tcBorders>
            <w:tcMar>
              <w:left w:w="28" w:type="dxa"/>
              <w:right w:w="28" w:type="dxa"/>
            </w:tcMar>
          </w:tcPr>
          <w:p w:rsidR="00FF764E" w:rsidRPr="00066FCA" w:rsidRDefault="00FF764E" w:rsidP="00D34BFC">
            <w:pPr>
              <w:keepNext/>
              <w:spacing w:before="40" w:after="40"/>
              <w:jc w:val="center"/>
              <w:rPr>
                <w:rFonts w:ascii="Arial Narrow" w:hAnsi="Arial Narrow" w:cstheme="minorHAnsi"/>
                <w:b/>
                <w:sz w:val="20"/>
              </w:rPr>
            </w:pPr>
            <w:r w:rsidRPr="00066FCA">
              <w:rPr>
                <w:rFonts w:ascii="Arial Narrow" w:hAnsi="Arial Narrow" w:cstheme="minorHAnsi"/>
                <w:b/>
                <w:sz w:val="20"/>
              </w:rPr>
              <w:t>Max qty packs</w:t>
            </w:r>
          </w:p>
        </w:tc>
        <w:tc>
          <w:tcPr>
            <w:tcW w:w="431" w:type="pct"/>
            <w:tcBorders>
              <w:bottom w:val="single" w:sz="4" w:space="0" w:color="auto"/>
            </w:tcBorders>
            <w:tcMar>
              <w:left w:w="28" w:type="dxa"/>
              <w:right w:w="28" w:type="dxa"/>
            </w:tcMar>
          </w:tcPr>
          <w:p w:rsidR="00FF764E" w:rsidRPr="00066FCA" w:rsidRDefault="00FF764E" w:rsidP="00D34BFC">
            <w:pPr>
              <w:keepNext/>
              <w:spacing w:before="40" w:after="40"/>
              <w:jc w:val="center"/>
              <w:rPr>
                <w:rFonts w:ascii="Arial Narrow" w:hAnsi="Arial Narrow" w:cstheme="minorHAnsi"/>
                <w:b/>
                <w:sz w:val="20"/>
              </w:rPr>
            </w:pPr>
            <w:r w:rsidRPr="00066FCA">
              <w:rPr>
                <w:rFonts w:ascii="Arial Narrow" w:hAnsi="Arial Narrow" w:cstheme="minorHAnsi"/>
                <w:b/>
                <w:sz w:val="20"/>
              </w:rPr>
              <w:t>Max qty units</w:t>
            </w:r>
          </w:p>
        </w:tc>
        <w:tc>
          <w:tcPr>
            <w:tcW w:w="516" w:type="pct"/>
            <w:tcBorders>
              <w:bottom w:val="single" w:sz="4" w:space="0" w:color="auto"/>
            </w:tcBorders>
            <w:tcMar>
              <w:left w:w="28" w:type="dxa"/>
              <w:right w:w="28" w:type="dxa"/>
            </w:tcMar>
          </w:tcPr>
          <w:p w:rsidR="00FF764E" w:rsidRPr="00066FCA" w:rsidRDefault="00FF764E" w:rsidP="00D34BFC">
            <w:pPr>
              <w:keepNext/>
              <w:spacing w:before="40" w:after="40"/>
              <w:jc w:val="center"/>
              <w:rPr>
                <w:rFonts w:ascii="Arial Narrow" w:hAnsi="Arial Narrow" w:cstheme="minorHAnsi"/>
                <w:b/>
                <w:sz w:val="20"/>
              </w:rPr>
            </w:pPr>
            <w:r w:rsidRPr="00066FCA">
              <w:rPr>
                <w:rFonts w:ascii="Arial Narrow" w:hAnsi="Arial Narrow" w:cstheme="minorHAnsi"/>
                <w:b/>
                <w:sz w:val="20"/>
              </w:rPr>
              <w:t>No. of</w:t>
            </w:r>
          </w:p>
          <w:p w:rsidR="00FF764E" w:rsidRPr="00066FCA" w:rsidRDefault="00FF764E" w:rsidP="00D34BFC">
            <w:pPr>
              <w:keepNext/>
              <w:spacing w:before="40" w:after="40"/>
              <w:jc w:val="center"/>
              <w:rPr>
                <w:rFonts w:ascii="Arial Narrow" w:hAnsi="Arial Narrow" w:cstheme="minorHAnsi"/>
                <w:b/>
                <w:sz w:val="20"/>
              </w:rPr>
            </w:pPr>
            <w:r w:rsidRPr="00066FCA">
              <w:rPr>
                <w:rFonts w:ascii="Arial Narrow" w:hAnsi="Arial Narrow" w:cstheme="minorHAnsi"/>
                <w:b/>
                <w:sz w:val="20"/>
              </w:rPr>
              <w:t>repeats</w:t>
            </w:r>
          </w:p>
        </w:tc>
        <w:tc>
          <w:tcPr>
            <w:tcW w:w="1106" w:type="pct"/>
            <w:gridSpan w:val="4"/>
            <w:tcBorders>
              <w:bottom w:val="single" w:sz="4" w:space="0" w:color="auto"/>
            </w:tcBorders>
            <w:tcMar>
              <w:left w:w="28" w:type="dxa"/>
              <w:right w:w="28" w:type="dxa"/>
            </w:tcMar>
          </w:tcPr>
          <w:p w:rsidR="00FF764E" w:rsidRPr="00066FCA" w:rsidRDefault="00FF764E" w:rsidP="004A1F21">
            <w:pPr>
              <w:keepNext/>
              <w:spacing w:before="40" w:after="40"/>
              <w:jc w:val="left"/>
              <w:rPr>
                <w:rFonts w:ascii="Arial Narrow" w:hAnsi="Arial Narrow" w:cstheme="minorHAnsi"/>
                <w:b/>
                <w:sz w:val="20"/>
              </w:rPr>
            </w:pPr>
            <w:r w:rsidRPr="00066FCA">
              <w:rPr>
                <w:rFonts w:ascii="Arial Narrow" w:hAnsi="Arial Narrow" w:cstheme="minorHAnsi"/>
                <w:b/>
                <w:sz w:val="20"/>
              </w:rPr>
              <w:t>Proprietary Name and Manufacturer</w:t>
            </w:r>
          </w:p>
        </w:tc>
      </w:tr>
      <w:tr w:rsidR="004A1F21" w:rsidRPr="00066FCA" w:rsidTr="007A3606">
        <w:trPr>
          <w:cantSplit/>
          <w:trHeight w:val="567"/>
        </w:trPr>
        <w:tc>
          <w:tcPr>
            <w:tcW w:w="2345" w:type="pct"/>
            <w:gridSpan w:val="2"/>
            <w:tcMar>
              <w:left w:w="28" w:type="dxa"/>
              <w:right w:w="28" w:type="dxa"/>
            </w:tcMar>
          </w:tcPr>
          <w:p w:rsidR="00FF764E" w:rsidRPr="00066FCA" w:rsidRDefault="00FF764E" w:rsidP="004A1F21">
            <w:pPr>
              <w:keepNext/>
              <w:spacing w:before="40" w:after="40"/>
              <w:jc w:val="left"/>
              <w:rPr>
                <w:rFonts w:ascii="Arial Narrow" w:hAnsi="Arial Narrow" w:cstheme="minorHAnsi"/>
                <w:sz w:val="20"/>
              </w:rPr>
            </w:pPr>
            <w:r w:rsidRPr="00066FCA">
              <w:rPr>
                <w:rFonts w:ascii="Arial Narrow" w:hAnsi="Arial Narrow" w:cstheme="minorHAnsi"/>
                <w:smallCaps/>
                <w:sz w:val="20"/>
              </w:rPr>
              <w:t>Clostridium Botulinum Type A Toxin-Haemagglutinin Complex</w:t>
            </w:r>
          </w:p>
          <w:p w:rsidR="00FF764E" w:rsidRPr="00066FCA" w:rsidRDefault="00FF764E" w:rsidP="004A1F21">
            <w:pPr>
              <w:keepNext/>
              <w:spacing w:before="40" w:after="40"/>
              <w:jc w:val="left"/>
              <w:rPr>
                <w:rFonts w:ascii="Arial Narrow" w:hAnsi="Arial Narrow" w:cstheme="minorHAnsi"/>
                <w:sz w:val="20"/>
              </w:rPr>
            </w:pPr>
            <w:r w:rsidRPr="00066FCA">
              <w:rPr>
                <w:rFonts w:ascii="Arial Narrow" w:hAnsi="Arial Narrow" w:cstheme="minorHAnsi"/>
                <w:sz w:val="20"/>
              </w:rPr>
              <w:t>Clostridium botulinum type A toxin-haemagglutinin complex 500 units injection, 1 vial</w:t>
            </w:r>
          </w:p>
        </w:tc>
        <w:tc>
          <w:tcPr>
            <w:tcW w:w="601" w:type="pct"/>
            <w:tcMar>
              <w:left w:w="28" w:type="dxa"/>
              <w:right w:w="28" w:type="dxa"/>
            </w:tcMar>
          </w:tcPr>
          <w:p w:rsidR="00FF764E" w:rsidRPr="00066FCA" w:rsidRDefault="00FF764E" w:rsidP="00D34BFC">
            <w:pPr>
              <w:keepNext/>
              <w:spacing w:before="40" w:after="40"/>
              <w:jc w:val="center"/>
              <w:rPr>
                <w:rFonts w:ascii="Arial Narrow" w:hAnsi="Arial Narrow" w:cstheme="minorHAnsi"/>
                <w:sz w:val="20"/>
              </w:rPr>
            </w:pPr>
          </w:p>
          <w:p w:rsidR="007A3606" w:rsidRPr="00066FCA" w:rsidRDefault="007A3606" w:rsidP="00D34BFC">
            <w:pPr>
              <w:keepNext/>
              <w:spacing w:before="40" w:after="40"/>
              <w:jc w:val="center"/>
              <w:rPr>
                <w:rFonts w:ascii="Arial Narrow" w:hAnsi="Arial Narrow" w:cstheme="minorHAnsi"/>
                <w:sz w:val="20"/>
              </w:rPr>
            </w:pPr>
          </w:p>
          <w:p w:rsidR="00FF764E" w:rsidRPr="00066FCA" w:rsidRDefault="00FF764E" w:rsidP="00D34BFC">
            <w:pPr>
              <w:keepNext/>
              <w:spacing w:before="40" w:after="40"/>
              <w:jc w:val="center"/>
              <w:rPr>
                <w:rFonts w:ascii="Arial Narrow" w:hAnsi="Arial Narrow" w:cstheme="minorHAnsi"/>
                <w:sz w:val="20"/>
              </w:rPr>
            </w:pPr>
            <w:r w:rsidRPr="00066FCA">
              <w:rPr>
                <w:rFonts w:ascii="Arial Narrow" w:hAnsi="Arial Narrow" w:cstheme="minorHAnsi"/>
                <w:sz w:val="20"/>
              </w:rPr>
              <w:t>2</w:t>
            </w:r>
          </w:p>
        </w:tc>
        <w:tc>
          <w:tcPr>
            <w:tcW w:w="431" w:type="pct"/>
            <w:tcMar>
              <w:left w:w="28" w:type="dxa"/>
              <w:right w:w="28" w:type="dxa"/>
            </w:tcMar>
          </w:tcPr>
          <w:p w:rsidR="00FF764E" w:rsidRPr="00066FCA" w:rsidRDefault="00FF764E" w:rsidP="00D34BFC">
            <w:pPr>
              <w:keepNext/>
              <w:spacing w:before="40" w:after="40"/>
              <w:jc w:val="center"/>
              <w:rPr>
                <w:rFonts w:ascii="Arial Narrow" w:hAnsi="Arial Narrow" w:cstheme="minorHAnsi"/>
                <w:sz w:val="20"/>
              </w:rPr>
            </w:pPr>
          </w:p>
          <w:p w:rsidR="007A3606" w:rsidRPr="00066FCA" w:rsidRDefault="007A3606" w:rsidP="00D34BFC">
            <w:pPr>
              <w:keepNext/>
              <w:spacing w:before="40" w:after="40"/>
              <w:jc w:val="center"/>
              <w:rPr>
                <w:rFonts w:ascii="Arial Narrow" w:hAnsi="Arial Narrow" w:cstheme="minorHAnsi"/>
                <w:sz w:val="20"/>
              </w:rPr>
            </w:pPr>
          </w:p>
          <w:p w:rsidR="00FF764E" w:rsidRPr="00066FCA" w:rsidRDefault="00FF764E" w:rsidP="00D34BFC">
            <w:pPr>
              <w:keepNext/>
              <w:spacing w:before="40" w:after="40"/>
              <w:jc w:val="center"/>
              <w:rPr>
                <w:rFonts w:ascii="Arial Narrow" w:hAnsi="Arial Narrow" w:cstheme="minorHAnsi"/>
                <w:sz w:val="20"/>
              </w:rPr>
            </w:pPr>
            <w:r w:rsidRPr="00066FCA">
              <w:rPr>
                <w:rFonts w:ascii="Arial Narrow" w:hAnsi="Arial Narrow" w:cstheme="minorHAnsi"/>
                <w:sz w:val="20"/>
              </w:rPr>
              <w:t>2</w:t>
            </w:r>
          </w:p>
        </w:tc>
        <w:tc>
          <w:tcPr>
            <w:tcW w:w="516" w:type="pct"/>
            <w:tcMar>
              <w:left w:w="28" w:type="dxa"/>
              <w:right w:w="28" w:type="dxa"/>
            </w:tcMar>
          </w:tcPr>
          <w:p w:rsidR="00FF764E" w:rsidRPr="00066FCA" w:rsidRDefault="00FF764E" w:rsidP="00D34BFC">
            <w:pPr>
              <w:keepNext/>
              <w:spacing w:before="40" w:after="40"/>
              <w:jc w:val="center"/>
              <w:rPr>
                <w:rFonts w:ascii="Arial Narrow" w:hAnsi="Arial Narrow" w:cstheme="minorHAnsi"/>
                <w:sz w:val="20"/>
              </w:rPr>
            </w:pPr>
          </w:p>
          <w:p w:rsidR="007A3606" w:rsidRPr="00066FCA" w:rsidRDefault="007A3606" w:rsidP="00D34BFC">
            <w:pPr>
              <w:keepNext/>
              <w:spacing w:before="40" w:after="40"/>
              <w:jc w:val="center"/>
              <w:rPr>
                <w:rFonts w:ascii="Arial Narrow" w:hAnsi="Arial Narrow" w:cstheme="minorHAnsi"/>
                <w:sz w:val="20"/>
              </w:rPr>
            </w:pPr>
          </w:p>
          <w:p w:rsidR="00FF764E" w:rsidRPr="00066FCA" w:rsidRDefault="00FF764E" w:rsidP="00D34BFC">
            <w:pPr>
              <w:keepNext/>
              <w:spacing w:before="40" w:after="40"/>
              <w:jc w:val="center"/>
              <w:rPr>
                <w:rFonts w:ascii="Arial Narrow" w:hAnsi="Arial Narrow" w:cstheme="minorHAnsi"/>
                <w:sz w:val="20"/>
              </w:rPr>
            </w:pPr>
            <w:r w:rsidRPr="00066FCA">
              <w:rPr>
                <w:rFonts w:ascii="Arial Narrow" w:hAnsi="Arial Narrow" w:cstheme="minorHAnsi"/>
                <w:sz w:val="20"/>
              </w:rPr>
              <w:t>0</w:t>
            </w:r>
          </w:p>
        </w:tc>
        <w:tc>
          <w:tcPr>
            <w:tcW w:w="566" w:type="pct"/>
            <w:tcMar>
              <w:left w:w="28" w:type="dxa"/>
              <w:right w:w="28" w:type="dxa"/>
            </w:tcMar>
          </w:tcPr>
          <w:p w:rsidR="00FF764E" w:rsidRPr="00066FCA" w:rsidRDefault="00FF764E" w:rsidP="004A1F21">
            <w:pPr>
              <w:keepNext/>
              <w:spacing w:before="40" w:after="40"/>
              <w:jc w:val="left"/>
              <w:rPr>
                <w:rFonts w:ascii="Arial Narrow" w:hAnsi="Arial Narrow" w:cstheme="minorHAnsi"/>
                <w:sz w:val="20"/>
              </w:rPr>
            </w:pPr>
          </w:p>
          <w:p w:rsidR="007A3606" w:rsidRPr="00066FCA" w:rsidRDefault="007A3606" w:rsidP="004A1F21">
            <w:pPr>
              <w:keepNext/>
              <w:spacing w:before="40" w:after="40"/>
              <w:jc w:val="left"/>
              <w:rPr>
                <w:rFonts w:ascii="Arial Narrow" w:hAnsi="Arial Narrow" w:cstheme="minorHAnsi"/>
                <w:sz w:val="20"/>
              </w:rPr>
            </w:pPr>
          </w:p>
          <w:p w:rsidR="00FF764E" w:rsidRPr="00066FCA" w:rsidRDefault="00FF764E" w:rsidP="004A1F21">
            <w:pPr>
              <w:keepNext/>
              <w:spacing w:before="40" w:after="40"/>
              <w:jc w:val="left"/>
              <w:rPr>
                <w:rFonts w:ascii="Arial Narrow" w:hAnsi="Arial Narrow" w:cstheme="minorHAnsi"/>
                <w:sz w:val="20"/>
              </w:rPr>
            </w:pPr>
            <w:r w:rsidRPr="00066FCA">
              <w:rPr>
                <w:rFonts w:ascii="Arial Narrow" w:hAnsi="Arial Narrow" w:cstheme="minorHAnsi"/>
                <w:sz w:val="20"/>
              </w:rPr>
              <w:t xml:space="preserve">Dysport </w:t>
            </w:r>
            <w:r w:rsidRPr="00066FCA">
              <w:rPr>
                <w:rFonts w:ascii="Arial Narrow" w:hAnsi="Arial Narrow" w:cstheme="minorHAnsi"/>
                <w:sz w:val="20"/>
                <w:vertAlign w:val="superscript"/>
              </w:rPr>
              <w:t>®</w:t>
            </w:r>
          </w:p>
        </w:tc>
        <w:tc>
          <w:tcPr>
            <w:tcW w:w="540" w:type="pct"/>
            <w:gridSpan w:val="3"/>
            <w:tcMar>
              <w:left w:w="28" w:type="dxa"/>
              <w:right w:w="28" w:type="dxa"/>
            </w:tcMar>
          </w:tcPr>
          <w:p w:rsidR="00FF764E" w:rsidRPr="00066FCA" w:rsidRDefault="00FF764E" w:rsidP="004A1F21">
            <w:pPr>
              <w:keepNext/>
              <w:spacing w:before="40" w:after="40"/>
              <w:jc w:val="left"/>
              <w:rPr>
                <w:rFonts w:ascii="Arial Narrow" w:hAnsi="Arial Narrow" w:cstheme="minorHAnsi"/>
                <w:sz w:val="20"/>
              </w:rPr>
            </w:pPr>
          </w:p>
          <w:p w:rsidR="007A3606" w:rsidRPr="00066FCA" w:rsidRDefault="007A3606" w:rsidP="004A1F21">
            <w:pPr>
              <w:keepNext/>
              <w:spacing w:before="40" w:after="40"/>
              <w:jc w:val="left"/>
              <w:rPr>
                <w:rFonts w:ascii="Arial Narrow" w:hAnsi="Arial Narrow" w:cstheme="minorHAnsi"/>
                <w:sz w:val="20"/>
              </w:rPr>
            </w:pPr>
          </w:p>
          <w:p w:rsidR="00FF764E" w:rsidRPr="00066FCA" w:rsidRDefault="00FF764E" w:rsidP="004A1F21">
            <w:pPr>
              <w:keepNext/>
              <w:spacing w:before="40" w:after="40"/>
              <w:jc w:val="left"/>
              <w:rPr>
                <w:rFonts w:ascii="Arial Narrow" w:hAnsi="Arial Narrow" w:cstheme="minorHAnsi"/>
                <w:sz w:val="20"/>
              </w:rPr>
            </w:pPr>
            <w:r w:rsidRPr="00066FCA">
              <w:rPr>
                <w:rFonts w:ascii="Arial Narrow" w:hAnsi="Arial Narrow" w:cstheme="minorHAnsi"/>
                <w:sz w:val="20"/>
              </w:rPr>
              <w:t>Ispen</w:t>
            </w:r>
          </w:p>
        </w:tc>
      </w:tr>
      <w:tr w:rsidR="00FF764E" w:rsidRPr="00066FCA" w:rsidTr="004A1F21">
        <w:trPr>
          <w:gridAfter w:val="2"/>
          <w:wAfter w:w="439" w:type="pct"/>
          <w:cantSplit/>
          <w:trHeight w:val="360"/>
        </w:trPr>
        <w:tc>
          <w:tcPr>
            <w:tcW w:w="4561" w:type="pct"/>
            <w:gridSpan w:val="7"/>
            <w:tcBorders>
              <w:bottom w:val="single" w:sz="4" w:space="0" w:color="auto"/>
            </w:tcBorders>
          </w:tcPr>
          <w:p w:rsidR="00FF764E" w:rsidRPr="00066FCA" w:rsidRDefault="00FF764E" w:rsidP="00D34BFC">
            <w:pPr>
              <w:spacing w:before="40" w:after="40"/>
              <w:rPr>
                <w:rFonts w:ascii="Arial Narrow" w:hAnsi="Arial Narrow" w:cstheme="minorHAnsi"/>
                <w:sz w:val="20"/>
              </w:rPr>
            </w:pP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b/>
                <w:sz w:val="20"/>
              </w:rPr>
            </w:pPr>
            <w:r w:rsidRPr="00066FCA">
              <w:rPr>
                <w:rFonts w:ascii="Arial Narrow" w:hAnsi="Arial Narrow" w:cstheme="minorHAnsi"/>
                <w:b/>
                <w:sz w:val="20"/>
              </w:rPr>
              <w:t>Category / Program:</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Section 100 – Botulinum Toxin Program</w:t>
            </w: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b/>
                <w:sz w:val="20"/>
              </w:rPr>
            </w:pPr>
            <w:r w:rsidRPr="00066FCA">
              <w:rPr>
                <w:rFonts w:ascii="Arial Narrow" w:hAnsi="Arial Narrow" w:cstheme="minorHAnsi"/>
                <w:b/>
                <w:sz w:val="20"/>
              </w:rPr>
              <w:t>Prescriber type:</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1"/>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Dental </w:t>
            </w:r>
            <w:r w:rsidRPr="00066FCA">
              <w:rPr>
                <w:rFonts w:ascii="Arial Narrow" w:hAnsi="Arial Narrow" w:cstheme="minorHAnsi"/>
                <w:sz w:val="20"/>
              </w:rPr>
              <w:fldChar w:fldCharType="begin">
                <w:ffData>
                  <w:name w:val=""/>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Medical Practitioners  </w:t>
            </w:r>
            <w:r w:rsidRPr="00066FCA">
              <w:rPr>
                <w:rFonts w:ascii="Arial Narrow" w:hAnsi="Arial Narrow" w:cstheme="minorHAnsi"/>
                <w:sz w:val="20"/>
              </w:rPr>
              <w:fldChar w:fldCharType="begin">
                <w:ffData>
                  <w:name w:val="Check3"/>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Nurse practitioners  </w:t>
            </w:r>
            <w:r w:rsidRPr="00066FCA">
              <w:rPr>
                <w:rFonts w:ascii="Arial Narrow" w:hAnsi="Arial Narrow" w:cstheme="minorHAnsi"/>
                <w:sz w:val="20"/>
              </w:rPr>
              <w:fldChar w:fldCharType="begin">
                <w:ffData>
                  <w:name w:val=""/>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Optometrists </w:t>
            </w:r>
            <w:r w:rsidRPr="00066FCA">
              <w:rPr>
                <w:rFonts w:ascii="Arial Narrow" w:hAnsi="Arial Narrow" w:cstheme="minorHAnsi"/>
                <w:sz w:val="20"/>
              </w:rPr>
              <w:fldChar w:fldCharType="begin">
                <w:ffData>
                  <w:name w:val="Check5"/>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Midwives</w:t>
            </w: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b/>
                <w:sz w:val="20"/>
              </w:rPr>
            </w:pPr>
            <w:r w:rsidRPr="00066FCA">
              <w:rPr>
                <w:rFonts w:ascii="Arial Narrow" w:hAnsi="Arial Narrow" w:cstheme="minorHAnsi"/>
                <w:b/>
                <w:sz w:val="20"/>
              </w:rPr>
              <w:t>PBS indication:</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Dynamic equinus foot deformity (5332)</w:t>
            </w: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b/>
                <w:sz w:val="20"/>
              </w:rPr>
              <w:t>Restriction level / Method:</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5"/>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Streamlined</w:t>
            </w: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b/>
                <w:sz w:val="20"/>
              </w:rPr>
            </w:pPr>
            <w:r w:rsidRPr="00066FCA">
              <w:rPr>
                <w:rFonts w:ascii="Arial Narrow" w:hAnsi="Arial Narrow" w:cstheme="minorHAnsi"/>
                <w:b/>
                <w:sz w:val="20"/>
              </w:rPr>
              <w:t>Clinical criteria:</w:t>
            </w:r>
          </w:p>
          <w:p w:rsidR="00FF764E" w:rsidRPr="00066FCA" w:rsidRDefault="00FF764E" w:rsidP="007A3606">
            <w:pPr>
              <w:spacing w:before="40" w:after="40"/>
              <w:jc w:val="left"/>
              <w:rPr>
                <w:rFonts w:ascii="Arial Narrow" w:hAnsi="Arial Narrow" w:cstheme="minorHAnsi"/>
                <w:i/>
                <w:sz w:val="20"/>
              </w:rPr>
            </w:pPr>
          </w:p>
          <w:p w:rsidR="00FF764E" w:rsidRPr="00066FCA" w:rsidRDefault="00FF764E" w:rsidP="007A3606">
            <w:pPr>
              <w:spacing w:before="40" w:after="40"/>
              <w:jc w:val="left"/>
              <w:rPr>
                <w:rFonts w:ascii="Arial Narrow" w:hAnsi="Arial Narrow" w:cstheme="minorHAnsi"/>
                <w:sz w:val="20"/>
              </w:rPr>
            </w:pP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The condition must be due to spasticity,</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AND</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Patient must be an ambulant cerebral palsy patient,</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 xml:space="preserve">AND </w:t>
            </w:r>
          </w:p>
          <w:p w:rsidR="00FF764E" w:rsidRPr="00066FCA" w:rsidRDefault="004A1F21" w:rsidP="007A3606">
            <w:pPr>
              <w:spacing w:before="40" w:after="40"/>
              <w:jc w:val="left"/>
              <w:rPr>
                <w:rFonts w:ascii="Arial Narrow" w:hAnsi="Arial Narrow" w:cstheme="minorHAnsi"/>
                <w:strike/>
                <w:sz w:val="20"/>
              </w:rPr>
            </w:pPr>
            <w:r w:rsidRPr="00066FCA">
              <w:rPr>
                <w:rFonts w:ascii="Arial Narrow" w:hAnsi="Arial Narrow" w:cstheme="minorHAnsi"/>
                <w:strike/>
                <w:sz w:val="20"/>
              </w:rPr>
              <w:t>Patient must have commenced PBS-subsidised treatment with clostridium botulinum type A toxin-haemagglutinin complex as a paediatric patient.</w:t>
            </w: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b/>
                <w:sz w:val="20"/>
              </w:rPr>
            </w:pPr>
            <w:r w:rsidRPr="00066FCA">
              <w:rPr>
                <w:rFonts w:ascii="Arial Narrow" w:hAnsi="Arial Narrow" w:cstheme="minorHAnsi"/>
                <w:b/>
                <w:sz w:val="20"/>
              </w:rPr>
              <w:t>Population criteria:</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Patient must be aged 18 years or older.</w:t>
            </w:r>
          </w:p>
        </w:tc>
      </w:tr>
      <w:tr w:rsidR="00FF764E"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b/>
                <w:sz w:val="20"/>
              </w:rPr>
            </w:pPr>
            <w:r w:rsidRPr="00066FCA">
              <w:rPr>
                <w:rFonts w:ascii="Arial Narrow" w:hAnsi="Arial Narrow" w:cstheme="minorHAnsi"/>
                <w:b/>
                <w:sz w:val="20"/>
              </w:rPr>
              <w:t>Treatment criteria:</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neurologist; OR</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an orthopaedic surgeon; OR</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paediatrician; OR</w:t>
            </w:r>
          </w:p>
          <w:p w:rsidR="00FF764E" w:rsidRPr="00066FCA" w:rsidRDefault="00FF764E"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rehabilitation specialist.</w:t>
            </w:r>
          </w:p>
        </w:tc>
      </w:tr>
    </w:tbl>
    <w:p w:rsidR="00FF764E" w:rsidRPr="00066FCA" w:rsidRDefault="00FF764E" w:rsidP="002F3AE3">
      <w:pPr>
        <w:rPr>
          <w:rFonts w:ascii="Arial Narrow" w:hAnsi="Arial Narrow" w:cstheme="minorHAnsi"/>
          <w:sz w:val="20"/>
        </w:rPr>
      </w:pPr>
    </w:p>
    <w:p w:rsidR="00FF764E" w:rsidRPr="00066FCA" w:rsidRDefault="00FF764E" w:rsidP="002F3AE3">
      <w:pPr>
        <w:rPr>
          <w:rFonts w:ascii="Arial Narrow" w:hAnsi="Arial Narrow" w:cstheme="minorHAnsi"/>
          <w:sz w:val="20"/>
        </w:rPr>
      </w:pPr>
    </w:p>
    <w:tbl>
      <w:tblPr>
        <w:tblW w:w="4915" w:type="pct"/>
        <w:tblLayout w:type="fixed"/>
        <w:tblLook w:val="0000" w:firstRow="0" w:lastRow="0" w:firstColumn="0" w:lastColumn="0" w:noHBand="0" w:noVBand="0"/>
      </w:tblPr>
      <w:tblGrid>
        <w:gridCol w:w="1728"/>
        <w:gridCol w:w="2126"/>
        <w:gridCol w:w="990"/>
        <w:gridCol w:w="709"/>
        <w:gridCol w:w="848"/>
        <w:gridCol w:w="852"/>
        <w:gridCol w:w="245"/>
        <w:gridCol w:w="715"/>
        <w:gridCol w:w="7"/>
      </w:tblGrid>
      <w:tr w:rsidR="007A3606" w:rsidRPr="00066FCA" w:rsidTr="007A3606">
        <w:trPr>
          <w:cantSplit/>
          <w:trHeight w:val="465"/>
        </w:trPr>
        <w:tc>
          <w:tcPr>
            <w:tcW w:w="2345" w:type="pct"/>
            <w:gridSpan w:val="2"/>
            <w:tcBorders>
              <w:bottom w:val="single" w:sz="4" w:space="0" w:color="auto"/>
            </w:tcBorders>
            <w:tcMar>
              <w:left w:w="28" w:type="dxa"/>
              <w:right w:w="28" w:type="dxa"/>
            </w:tcMar>
          </w:tcPr>
          <w:p w:rsidR="004A1F21" w:rsidRPr="00066FCA" w:rsidRDefault="004A1F21" w:rsidP="007A3606">
            <w:pPr>
              <w:pStyle w:val="PBACHeading1"/>
              <w:keepNext/>
              <w:numPr>
                <w:ilvl w:val="0"/>
                <w:numId w:val="0"/>
              </w:numPr>
              <w:rPr>
                <w:rFonts w:ascii="Arial Narrow" w:hAnsi="Arial Narrow" w:cstheme="minorHAnsi"/>
                <w:sz w:val="20"/>
                <w:szCs w:val="20"/>
              </w:rPr>
            </w:pPr>
            <w:r w:rsidRPr="00066FCA">
              <w:rPr>
                <w:rFonts w:ascii="Arial Narrow" w:hAnsi="Arial Narrow" w:cstheme="minorHAnsi"/>
                <w:sz w:val="20"/>
                <w:szCs w:val="20"/>
              </w:rPr>
              <w:lastRenderedPageBreak/>
              <w:t>Name, Restriction,</w:t>
            </w:r>
          </w:p>
          <w:p w:rsidR="004A1F21" w:rsidRPr="00066FCA" w:rsidRDefault="004A1F21" w:rsidP="007A3606">
            <w:pPr>
              <w:pStyle w:val="PBACHeading1"/>
              <w:keepNext/>
              <w:numPr>
                <w:ilvl w:val="0"/>
                <w:numId w:val="0"/>
              </w:numPr>
              <w:ind w:left="720" w:hanging="720"/>
              <w:rPr>
                <w:rFonts w:ascii="Arial Narrow" w:hAnsi="Arial Narrow" w:cstheme="minorHAnsi"/>
                <w:sz w:val="20"/>
                <w:szCs w:val="20"/>
              </w:rPr>
            </w:pPr>
            <w:r w:rsidRPr="00066FCA">
              <w:rPr>
                <w:rFonts w:ascii="Arial Narrow" w:hAnsi="Arial Narrow" w:cstheme="minorHAnsi"/>
                <w:sz w:val="20"/>
                <w:szCs w:val="20"/>
              </w:rPr>
              <w:t>Manner of administration and form</w:t>
            </w:r>
          </w:p>
        </w:tc>
        <w:tc>
          <w:tcPr>
            <w:tcW w:w="602" w:type="pct"/>
            <w:tcBorders>
              <w:bottom w:val="single" w:sz="4" w:space="0" w:color="auto"/>
            </w:tcBorders>
            <w:tcMar>
              <w:left w:w="28" w:type="dxa"/>
              <w:right w:w="28" w:type="dxa"/>
            </w:tcMar>
          </w:tcPr>
          <w:p w:rsidR="004A1F21" w:rsidRPr="00066FCA" w:rsidRDefault="004A1F21" w:rsidP="00D34BFC">
            <w:pPr>
              <w:keepNext/>
              <w:spacing w:before="40" w:after="40"/>
              <w:jc w:val="center"/>
              <w:rPr>
                <w:rFonts w:ascii="Arial Narrow" w:hAnsi="Arial Narrow" w:cstheme="minorHAnsi"/>
                <w:b/>
                <w:sz w:val="20"/>
              </w:rPr>
            </w:pPr>
            <w:r w:rsidRPr="00066FCA">
              <w:rPr>
                <w:rFonts w:ascii="Arial Narrow" w:hAnsi="Arial Narrow" w:cstheme="minorHAnsi"/>
                <w:b/>
                <w:sz w:val="20"/>
              </w:rPr>
              <w:t>Max qty packs</w:t>
            </w:r>
          </w:p>
        </w:tc>
        <w:tc>
          <w:tcPr>
            <w:tcW w:w="431" w:type="pct"/>
            <w:tcBorders>
              <w:bottom w:val="single" w:sz="4" w:space="0" w:color="auto"/>
            </w:tcBorders>
            <w:tcMar>
              <w:left w:w="28" w:type="dxa"/>
              <w:right w:w="28" w:type="dxa"/>
            </w:tcMar>
          </w:tcPr>
          <w:p w:rsidR="004A1F21" w:rsidRPr="00066FCA" w:rsidRDefault="004A1F21" w:rsidP="00D34BFC">
            <w:pPr>
              <w:keepNext/>
              <w:spacing w:before="40" w:after="40"/>
              <w:jc w:val="center"/>
              <w:rPr>
                <w:rFonts w:ascii="Arial Narrow" w:hAnsi="Arial Narrow" w:cstheme="minorHAnsi"/>
                <w:b/>
                <w:sz w:val="20"/>
              </w:rPr>
            </w:pPr>
            <w:r w:rsidRPr="00066FCA">
              <w:rPr>
                <w:rFonts w:ascii="Arial Narrow" w:hAnsi="Arial Narrow" w:cstheme="minorHAnsi"/>
                <w:b/>
                <w:sz w:val="20"/>
              </w:rPr>
              <w:t>Max qty units</w:t>
            </w:r>
          </w:p>
        </w:tc>
        <w:tc>
          <w:tcPr>
            <w:tcW w:w="516" w:type="pct"/>
            <w:tcBorders>
              <w:bottom w:val="single" w:sz="4" w:space="0" w:color="auto"/>
            </w:tcBorders>
            <w:tcMar>
              <w:left w:w="28" w:type="dxa"/>
              <w:right w:w="28" w:type="dxa"/>
            </w:tcMar>
          </w:tcPr>
          <w:p w:rsidR="004A1F21" w:rsidRPr="00066FCA" w:rsidRDefault="004A1F21" w:rsidP="00D34BFC">
            <w:pPr>
              <w:keepNext/>
              <w:spacing w:before="40" w:after="40"/>
              <w:jc w:val="center"/>
              <w:rPr>
                <w:rFonts w:ascii="Arial Narrow" w:hAnsi="Arial Narrow" w:cstheme="minorHAnsi"/>
                <w:b/>
                <w:sz w:val="20"/>
              </w:rPr>
            </w:pPr>
            <w:r w:rsidRPr="00066FCA">
              <w:rPr>
                <w:rFonts w:ascii="Arial Narrow" w:hAnsi="Arial Narrow" w:cstheme="minorHAnsi"/>
                <w:b/>
                <w:sz w:val="20"/>
              </w:rPr>
              <w:t>No. of</w:t>
            </w:r>
          </w:p>
          <w:p w:rsidR="004A1F21" w:rsidRPr="00066FCA" w:rsidRDefault="004A1F21" w:rsidP="00D34BFC">
            <w:pPr>
              <w:keepNext/>
              <w:spacing w:before="40" w:after="40"/>
              <w:jc w:val="center"/>
              <w:rPr>
                <w:rFonts w:ascii="Arial Narrow" w:hAnsi="Arial Narrow" w:cstheme="minorHAnsi"/>
                <w:b/>
                <w:sz w:val="20"/>
              </w:rPr>
            </w:pPr>
            <w:r w:rsidRPr="00066FCA">
              <w:rPr>
                <w:rFonts w:ascii="Arial Narrow" w:hAnsi="Arial Narrow" w:cstheme="minorHAnsi"/>
                <w:b/>
                <w:sz w:val="20"/>
              </w:rPr>
              <w:t>repeats</w:t>
            </w:r>
          </w:p>
        </w:tc>
        <w:tc>
          <w:tcPr>
            <w:tcW w:w="1105" w:type="pct"/>
            <w:gridSpan w:val="4"/>
            <w:tcBorders>
              <w:bottom w:val="single" w:sz="4" w:space="0" w:color="auto"/>
            </w:tcBorders>
            <w:tcMar>
              <w:left w:w="28" w:type="dxa"/>
              <w:right w:w="28" w:type="dxa"/>
            </w:tcMar>
          </w:tcPr>
          <w:p w:rsidR="004A1F21" w:rsidRPr="00066FCA" w:rsidRDefault="004A1F21" w:rsidP="007A3606">
            <w:pPr>
              <w:keepNext/>
              <w:spacing w:before="40" w:after="40"/>
              <w:jc w:val="left"/>
              <w:rPr>
                <w:rFonts w:ascii="Arial Narrow" w:hAnsi="Arial Narrow" w:cstheme="minorHAnsi"/>
                <w:b/>
                <w:sz w:val="20"/>
              </w:rPr>
            </w:pPr>
            <w:r w:rsidRPr="00066FCA">
              <w:rPr>
                <w:rFonts w:ascii="Arial Narrow" w:hAnsi="Arial Narrow" w:cstheme="minorHAnsi"/>
                <w:b/>
                <w:sz w:val="20"/>
              </w:rPr>
              <w:t>Proprietary Name and Manufacturer</w:t>
            </w:r>
          </w:p>
        </w:tc>
      </w:tr>
      <w:tr w:rsidR="007A3606" w:rsidRPr="00066FCA" w:rsidTr="007A3606">
        <w:trPr>
          <w:cantSplit/>
          <w:trHeight w:val="567"/>
        </w:trPr>
        <w:tc>
          <w:tcPr>
            <w:tcW w:w="2345" w:type="pct"/>
            <w:gridSpan w:val="2"/>
            <w:tcMar>
              <w:left w:w="28" w:type="dxa"/>
              <w:right w:w="28" w:type="dxa"/>
            </w:tcMar>
          </w:tcPr>
          <w:p w:rsidR="004A1F21" w:rsidRPr="00066FCA" w:rsidRDefault="004A1F21" w:rsidP="007A3606">
            <w:pPr>
              <w:keepNext/>
              <w:spacing w:before="40" w:after="40"/>
              <w:jc w:val="left"/>
              <w:rPr>
                <w:rFonts w:ascii="Arial Narrow" w:hAnsi="Arial Narrow" w:cstheme="minorHAnsi"/>
                <w:sz w:val="20"/>
              </w:rPr>
            </w:pPr>
            <w:r w:rsidRPr="00066FCA">
              <w:rPr>
                <w:rFonts w:ascii="Arial Narrow" w:hAnsi="Arial Narrow" w:cstheme="minorHAnsi"/>
                <w:smallCaps/>
                <w:sz w:val="20"/>
              </w:rPr>
              <w:t>Clostridium Botulinum Type A Toxin-Haemagglutinin Complex</w:t>
            </w:r>
          </w:p>
          <w:p w:rsidR="004A1F21" w:rsidRPr="00066FCA" w:rsidRDefault="004A1F21" w:rsidP="007A3606">
            <w:pPr>
              <w:keepNext/>
              <w:spacing w:before="40" w:after="40"/>
              <w:jc w:val="left"/>
              <w:rPr>
                <w:rFonts w:ascii="Arial Narrow" w:hAnsi="Arial Narrow" w:cstheme="minorHAnsi"/>
                <w:sz w:val="20"/>
              </w:rPr>
            </w:pPr>
            <w:r w:rsidRPr="00066FCA">
              <w:rPr>
                <w:rFonts w:ascii="Arial Narrow" w:hAnsi="Arial Narrow" w:cstheme="minorHAnsi"/>
                <w:sz w:val="20"/>
              </w:rPr>
              <w:t>Clostridium botulinum type A toxin-haemagglutinin complex 300 units injection, 1 vial</w:t>
            </w:r>
          </w:p>
        </w:tc>
        <w:tc>
          <w:tcPr>
            <w:tcW w:w="602" w:type="pct"/>
            <w:tcMar>
              <w:left w:w="28" w:type="dxa"/>
              <w:right w:w="28" w:type="dxa"/>
            </w:tcMar>
          </w:tcPr>
          <w:p w:rsidR="004A1F21" w:rsidRPr="00066FCA" w:rsidRDefault="004A1F21" w:rsidP="00D34BFC">
            <w:pPr>
              <w:keepNext/>
              <w:spacing w:before="40" w:after="40"/>
              <w:jc w:val="center"/>
              <w:rPr>
                <w:rFonts w:ascii="Arial Narrow" w:hAnsi="Arial Narrow" w:cstheme="minorHAnsi"/>
                <w:sz w:val="20"/>
              </w:rPr>
            </w:pPr>
          </w:p>
          <w:p w:rsidR="007A3606" w:rsidRPr="00066FCA" w:rsidRDefault="007A3606" w:rsidP="00D34BFC">
            <w:pPr>
              <w:keepNext/>
              <w:spacing w:before="40" w:after="40"/>
              <w:jc w:val="center"/>
              <w:rPr>
                <w:rFonts w:ascii="Arial Narrow" w:hAnsi="Arial Narrow" w:cstheme="minorHAnsi"/>
                <w:sz w:val="20"/>
              </w:rPr>
            </w:pPr>
          </w:p>
          <w:p w:rsidR="004A1F21" w:rsidRPr="00066FCA" w:rsidRDefault="004A1F21" w:rsidP="00D34BFC">
            <w:pPr>
              <w:keepNext/>
              <w:spacing w:before="40" w:after="40"/>
              <w:jc w:val="center"/>
              <w:rPr>
                <w:rFonts w:ascii="Arial Narrow" w:hAnsi="Arial Narrow" w:cstheme="minorHAnsi"/>
                <w:sz w:val="20"/>
              </w:rPr>
            </w:pPr>
            <w:r w:rsidRPr="00066FCA">
              <w:rPr>
                <w:rFonts w:ascii="Arial Narrow" w:hAnsi="Arial Narrow" w:cstheme="minorHAnsi"/>
                <w:sz w:val="20"/>
              </w:rPr>
              <w:t>4</w:t>
            </w:r>
          </w:p>
        </w:tc>
        <w:tc>
          <w:tcPr>
            <w:tcW w:w="431" w:type="pct"/>
            <w:tcMar>
              <w:left w:w="28" w:type="dxa"/>
              <w:right w:w="28" w:type="dxa"/>
            </w:tcMar>
          </w:tcPr>
          <w:p w:rsidR="004A1F21" w:rsidRPr="00066FCA" w:rsidRDefault="004A1F21" w:rsidP="00D34BFC">
            <w:pPr>
              <w:keepNext/>
              <w:spacing w:before="40" w:after="40"/>
              <w:jc w:val="center"/>
              <w:rPr>
                <w:rFonts w:ascii="Arial Narrow" w:hAnsi="Arial Narrow" w:cstheme="minorHAnsi"/>
                <w:sz w:val="20"/>
              </w:rPr>
            </w:pPr>
          </w:p>
          <w:p w:rsidR="007A3606" w:rsidRPr="00066FCA" w:rsidRDefault="007A3606" w:rsidP="00D34BFC">
            <w:pPr>
              <w:keepNext/>
              <w:spacing w:before="40" w:after="40"/>
              <w:jc w:val="center"/>
              <w:rPr>
                <w:rFonts w:ascii="Arial Narrow" w:hAnsi="Arial Narrow" w:cstheme="minorHAnsi"/>
                <w:sz w:val="20"/>
              </w:rPr>
            </w:pPr>
          </w:p>
          <w:p w:rsidR="004A1F21" w:rsidRPr="00066FCA" w:rsidRDefault="004A1F21" w:rsidP="00D34BFC">
            <w:pPr>
              <w:keepNext/>
              <w:spacing w:before="40" w:after="40"/>
              <w:jc w:val="center"/>
              <w:rPr>
                <w:rFonts w:ascii="Arial Narrow" w:hAnsi="Arial Narrow" w:cstheme="minorHAnsi"/>
                <w:sz w:val="20"/>
              </w:rPr>
            </w:pPr>
            <w:r w:rsidRPr="00066FCA">
              <w:rPr>
                <w:rFonts w:ascii="Arial Narrow" w:hAnsi="Arial Narrow" w:cstheme="minorHAnsi"/>
                <w:sz w:val="20"/>
              </w:rPr>
              <w:t>4</w:t>
            </w:r>
          </w:p>
        </w:tc>
        <w:tc>
          <w:tcPr>
            <w:tcW w:w="516" w:type="pct"/>
            <w:tcMar>
              <w:left w:w="28" w:type="dxa"/>
              <w:right w:w="28" w:type="dxa"/>
            </w:tcMar>
          </w:tcPr>
          <w:p w:rsidR="004A1F21" w:rsidRPr="00066FCA" w:rsidRDefault="004A1F21" w:rsidP="00D34BFC">
            <w:pPr>
              <w:keepNext/>
              <w:spacing w:before="40" w:after="40"/>
              <w:jc w:val="center"/>
              <w:rPr>
                <w:rFonts w:ascii="Arial Narrow" w:hAnsi="Arial Narrow" w:cstheme="minorHAnsi"/>
                <w:sz w:val="20"/>
              </w:rPr>
            </w:pPr>
          </w:p>
          <w:p w:rsidR="007A3606" w:rsidRPr="00066FCA" w:rsidRDefault="007A3606" w:rsidP="00D34BFC">
            <w:pPr>
              <w:keepNext/>
              <w:spacing w:before="40" w:after="40"/>
              <w:jc w:val="center"/>
              <w:rPr>
                <w:rFonts w:ascii="Arial Narrow" w:hAnsi="Arial Narrow" w:cstheme="minorHAnsi"/>
                <w:sz w:val="20"/>
              </w:rPr>
            </w:pPr>
          </w:p>
          <w:p w:rsidR="004A1F21" w:rsidRPr="00066FCA" w:rsidRDefault="004A1F21" w:rsidP="00D34BFC">
            <w:pPr>
              <w:keepNext/>
              <w:spacing w:before="40" w:after="40"/>
              <w:jc w:val="center"/>
              <w:rPr>
                <w:rFonts w:ascii="Arial Narrow" w:hAnsi="Arial Narrow" w:cstheme="minorHAnsi"/>
                <w:sz w:val="20"/>
              </w:rPr>
            </w:pPr>
            <w:r w:rsidRPr="00066FCA">
              <w:rPr>
                <w:rFonts w:ascii="Arial Narrow" w:hAnsi="Arial Narrow" w:cstheme="minorHAnsi"/>
                <w:sz w:val="20"/>
              </w:rPr>
              <w:t>0</w:t>
            </w:r>
          </w:p>
        </w:tc>
        <w:tc>
          <w:tcPr>
            <w:tcW w:w="518" w:type="pct"/>
            <w:tcMar>
              <w:left w:w="28" w:type="dxa"/>
              <w:right w:w="28" w:type="dxa"/>
            </w:tcMar>
          </w:tcPr>
          <w:p w:rsidR="004A1F21" w:rsidRPr="00066FCA" w:rsidRDefault="004A1F21" w:rsidP="007A3606">
            <w:pPr>
              <w:keepNext/>
              <w:spacing w:before="40" w:after="40"/>
              <w:jc w:val="left"/>
              <w:rPr>
                <w:rFonts w:ascii="Arial Narrow" w:hAnsi="Arial Narrow" w:cstheme="minorHAnsi"/>
                <w:sz w:val="20"/>
              </w:rPr>
            </w:pPr>
          </w:p>
          <w:p w:rsidR="007A3606" w:rsidRPr="00066FCA" w:rsidRDefault="007A3606" w:rsidP="007A3606">
            <w:pPr>
              <w:keepNext/>
              <w:spacing w:before="40" w:after="40"/>
              <w:jc w:val="left"/>
              <w:rPr>
                <w:rFonts w:ascii="Arial Narrow" w:hAnsi="Arial Narrow" w:cstheme="minorHAnsi"/>
                <w:sz w:val="20"/>
              </w:rPr>
            </w:pPr>
          </w:p>
          <w:p w:rsidR="004A1F21" w:rsidRPr="00066FCA" w:rsidRDefault="004A1F21" w:rsidP="007A3606">
            <w:pPr>
              <w:keepNext/>
              <w:spacing w:before="40" w:after="40"/>
              <w:jc w:val="left"/>
              <w:rPr>
                <w:rFonts w:ascii="Arial Narrow" w:hAnsi="Arial Narrow" w:cstheme="minorHAnsi"/>
                <w:sz w:val="20"/>
              </w:rPr>
            </w:pPr>
            <w:r w:rsidRPr="00066FCA">
              <w:rPr>
                <w:rFonts w:ascii="Arial Narrow" w:hAnsi="Arial Narrow" w:cstheme="minorHAnsi"/>
                <w:sz w:val="20"/>
              </w:rPr>
              <w:t xml:space="preserve">Dysport </w:t>
            </w:r>
            <w:r w:rsidRPr="00066FCA">
              <w:rPr>
                <w:rFonts w:ascii="Arial Narrow" w:hAnsi="Arial Narrow" w:cstheme="minorHAnsi"/>
                <w:sz w:val="20"/>
                <w:vertAlign w:val="superscript"/>
              </w:rPr>
              <w:t>®</w:t>
            </w:r>
          </w:p>
        </w:tc>
        <w:tc>
          <w:tcPr>
            <w:tcW w:w="587" w:type="pct"/>
            <w:gridSpan w:val="3"/>
            <w:tcMar>
              <w:left w:w="28" w:type="dxa"/>
              <w:right w:w="28" w:type="dxa"/>
            </w:tcMar>
          </w:tcPr>
          <w:p w:rsidR="004A1F21" w:rsidRPr="00066FCA" w:rsidRDefault="004A1F21" w:rsidP="007A3606">
            <w:pPr>
              <w:keepNext/>
              <w:spacing w:before="40" w:after="40"/>
              <w:jc w:val="left"/>
              <w:rPr>
                <w:rFonts w:ascii="Arial Narrow" w:hAnsi="Arial Narrow" w:cstheme="minorHAnsi"/>
                <w:sz w:val="20"/>
              </w:rPr>
            </w:pPr>
          </w:p>
          <w:p w:rsidR="007A3606" w:rsidRPr="00066FCA" w:rsidRDefault="007A3606" w:rsidP="007A3606">
            <w:pPr>
              <w:keepNext/>
              <w:spacing w:before="40" w:after="40"/>
              <w:jc w:val="left"/>
              <w:rPr>
                <w:rFonts w:ascii="Arial Narrow" w:hAnsi="Arial Narrow" w:cstheme="minorHAnsi"/>
                <w:sz w:val="20"/>
              </w:rPr>
            </w:pPr>
          </w:p>
          <w:p w:rsidR="004A1F21" w:rsidRPr="00066FCA" w:rsidRDefault="004A1F21" w:rsidP="007A3606">
            <w:pPr>
              <w:keepNext/>
              <w:spacing w:before="40" w:after="40"/>
              <w:jc w:val="left"/>
              <w:rPr>
                <w:rFonts w:ascii="Arial Narrow" w:hAnsi="Arial Narrow" w:cstheme="minorHAnsi"/>
                <w:sz w:val="20"/>
              </w:rPr>
            </w:pPr>
            <w:r w:rsidRPr="00066FCA">
              <w:rPr>
                <w:rFonts w:ascii="Arial Narrow" w:hAnsi="Arial Narrow" w:cstheme="minorHAnsi"/>
                <w:sz w:val="20"/>
              </w:rPr>
              <w:t>Ispen</w:t>
            </w:r>
          </w:p>
        </w:tc>
      </w:tr>
      <w:tr w:rsidR="004A1F21" w:rsidRPr="00066FCA" w:rsidTr="007A3606">
        <w:trPr>
          <w:gridAfter w:val="2"/>
          <w:wAfter w:w="439" w:type="pct"/>
          <w:cantSplit/>
          <w:trHeight w:val="360"/>
        </w:trPr>
        <w:tc>
          <w:tcPr>
            <w:tcW w:w="4561" w:type="pct"/>
            <w:gridSpan w:val="7"/>
            <w:tcBorders>
              <w:bottom w:val="single" w:sz="4" w:space="0" w:color="auto"/>
            </w:tcBorders>
          </w:tcPr>
          <w:p w:rsidR="004A1F21" w:rsidRPr="00066FCA" w:rsidRDefault="004A1F21" w:rsidP="00D34BFC">
            <w:pPr>
              <w:spacing w:before="40" w:after="40"/>
              <w:rPr>
                <w:rFonts w:ascii="Arial Narrow" w:hAnsi="Arial Narrow" w:cstheme="minorHAnsi"/>
                <w:sz w:val="20"/>
              </w:rPr>
            </w:pP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b/>
                <w:sz w:val="20"/>
              </w:rPr>
            </w:pPr>
            <w:r w:rsidRPr="00066FCA">
              <w:rPr>
                <w:rFonts w:ascii="Arial Narrow" w:hAnsi="Arial Narrow" w:cstheme="minorHAnsi"/>
                <w:b/>
                <w:sz w:val="20"/>
              </w:rPr>
              <w:t>Category / Program:</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Section 100 – Botulinum Toxin Program</w:t>
            </w: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b/>
                <w:sz w:val="20"/>
              </w:rPr>
            </w:pPr>
            <w:r w:rsidRPr="00066FCA">
              <w:rPr>
                <w:rFonts w:ascii="Arial Narrow" w:hAnsi="Arial Narrow" w:cstheme="minorHAnsi"/>
                <w:b/>
                <w:sz w:val="20"/>
              </w:rPr>
              <w:t>Prescriber type:</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1"/>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Dental </w:t>
            </w:r>
            <w:r w:rsidRPr="00066FCA">
              <w:rPr>
                <w:rFonts w:ascii="Arial Narrow" w:hAnsi="Arial Narrow" w:cstheme="minorHAnsi"/>
                <w:sz w:val="20"/>
              </w:rPr>
              <w:fldChar w:fldCharType="begin">
                <w:ffData>
                  <w:name w:val=""/>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Medical Practitioners  </w:t>
            </w:r>
            <w:r w:rsidRPr="00066FCA">
              <w:rPr>
                <w:rFonts w:ascii="Arial Narrow" w:hAnsi="Arial Narrow" w:cstheme="minorHAnsi"/>
                <w:sz w:val="20"/>
              </w:rPr>
              <w:fldChar w:fldCharType="begin">
                <w:ffData>
                  <w:name w:val="Check3"/>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Nurse practitioners  </w:t>
            </w:r>
            <w:r w:rsidRPr="00066FCA">
              <w:rPr>
                <w:rFonts w:ascii="Arial Narrow" w:hAnsi="Arial Narrow" w:cstheme="minorHAnsi"/>
                <w:sz w:val="20"/>
              </w:rPr>
              <w:fldChar w:fldCharType="begin">
                <w:ffData>
                  <w:name w:val=""/>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 xml:space="preserve">Optometrists </w:t>
            </w:r>
            <w:r w:rsidRPr="00066FCA">
              <w:rPr>
                <w:rFonts w:ascii="Arial Narrow" w:hAnsi="Arial Narrow" w:cstheme="minorHAnsi"/>
                <w:sz w:val="20"/>
              </w:rPr>
              <w:fldChar w:fldCharType="begin">
                <w:ffData>
                  <w:name w:val="Check5"/>
                  <w:enabled/>
                  <w:calcOnExit w:val="0"/>
                  <w:checkBox>
                    <w:sizeAuto/>
                    <w:default w:val="0"/>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Midwives</w:t>
            </w: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b/>
                <w:sz w:val="20"/>
              </w:rPr>
            </w:pPr>
            <w:r w:rsidRPr="00066FCA">
              <w:rPr>
                <w:rFonts w:ascii="Arial Narrow" w:hAnsi="Arial Narrow" w:cstheme="minorHAnsi"/>
                <w:b/>
                <w:sz w:val="20"/>
              </w:rPr>
              <w:t>PBS indication:</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Dynamic equinus foot deformity (5332)</w:t>
            </w: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b/>
                <w:sz w:val="20"/>
              </w:rPr>
              <w:t>Restriction level / Method:</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fldChar w:fldCharType="begin">
                <w:ffData>
                  <w:name w:val="Check5"/>
                  <w:enabled/>
                  <w:calcOnExit w:val="0"/>
                  <w:checkBox>
                    <w:sizeAuto/>
                    <w:default w:val="1"/>
                  </w:checkBox>
                </w:ffData>
              </w:fldChar>
            </w:r>
            <w:r w:rsidRPr="00066FCA">
              <w:rPr>
                <w:rFonts w:ascii="Arial Narrow" w:hAnsi="Arial Narrow" w:cstheme="minorHAnsi"/>
                <w:sz w:val="20"/>
              </w:rPr>
              <w:instrText xml:space="preserve"> FORMCHECKBOX </w:instrText>
            </w:r>
            <w:r w:rsidR="00E85805">
              <w:rPr>
                <w:rFonts w:ascii="Arial Narrow" w:hAnsi="Arial Narrow" w:cstheme="minorHAnsi"/>
                <w:sz w:val="20"/>
              </w:rPr>
            </w:r>
            <w:r w:rsidR="00E85805">
              <w:rPr>
                <w:rFonts w:ascii="Arial Narrow" w:hAnsi="Arial Narrow" w:cstheme="minorHAnsi"/>
                <w:sz w:val="20"/>
              </w:rPr>
              <w:fldChar w:fldCharType="separate"/>
            </w:r>
            <w:r w:rsidRPr="00066FCA">
              <w:rPr>
                <w:rFonts w:ascii="Arial Narrow" w:hAnsi="Arial Narrow" w:cstheme="minorHAnsi"/>
                <w:sz w:val="20"/>
              </w:rPr>
              <w:fldChar w:fldCharType="end"/>
            </w:r>
            <w:r w:rsidRPr="00066FCA">
              <w:rPr>
                <w:rFonts w:ascii="Arial Narrow" w:hAnsi="Arial Narrow" w:cstheme="minorHAnsi"/>
                <w:sz w:val="20"/>
              </w:rPr>
              <w:t>Streamlined</w:t>
            </w: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b/>
                <w:sz w:val="20"/>
              </w:rPr>
            </w:pPr>
            <w:r w:rsidRPr="00066FCA">
              <w:rPr>
                <w:rFonts w:ascii="Arial Narrow" w:hAnsi="Arial Narrow" w:cstheme="minorHAnsi"/>
                <w:b/>
                <w:sz w:val="20"/>
              </w:rPr>
              <w:t>Clinical criteria:</w:t>
            </w:r>
          </w:p>
          <w:p w:rsidR="004A1F21" w:rsidRPr="00066FCA" w:rsidRDefault="004A1F21" w:rsidP="007A3606">
            <w:pPr>
              <w:spacing w:before="40" w:after="40"/>
              <w:jc w:val="left"/>
              <w:rPr>
                <w:rFonts w:ascii="Arial Narrow" w:hAnsi="Arial Narrow" w:cstheme="minorHAnsi"/>
                <w:i/>
                <w:sz w:val="20"/>
              </w:rPr>
            </w:pPr>
          </w:p>
          <w:p w:rsidR="004A1F21" w:rsidRPr="00066FCA" w:rsidRDefault="004A1F21" w:rsidP="007A3606">
            <w:pPr>
              <w:spacing w:before="40" w:after="40"/>
              <w:jc w:val="left"/>
              <w:rPr>
                <w:rFonts w:ascii="Arial Narrow" w:hAnsi="Arial Narrow" w:cstheme="minorHAnsi"/>
                <w:sz w:val="20"/>
              </w:rPr>
            </w:pP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The condition must be due to spasticity,</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AND</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Patient must be an ambulant cerebral palsy patient,</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 xml:space="preserve">AND </w:t>
            </w:r>
          </w:p>
          <w:p w:rsidR="004A1F21" w:rsidRPr="00066FCA" w:rsidRDefault="004A1F21" w:rsidP="007A3606">
            <w:pPr>
              <w:spacing w:before="40" w:after="40"/>
              <w:jc w:val="left"/>
              <w:rPr>
                <w:rFonts w:ascii="Arial Narrow" w:hAnsi="Arial Narrow" w:cstheme="minorHAnsi"/>
                <w:strike/>
                <w:sz w:val="20"/>
              </w:rPr>
            </w:pPr>
            <w:r w:rsidRPr="00066FCA">
              <w:rPr>
                <w:rFonts w:ascii="Arial Narrow" w:hAnsi="Arial Narrow" w:cstheme="minorHAnsi"/>
                <w:strike/>
                <w:sz w:val="20"/>
              </w:rPr>
              <w:t>Patient must have commenced PBS-subsidised treatment with clostridium botulinum type A toxin-haemagglutinin complex as a paediatric patient.</w:t>
            </w: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b/>
                <w:sz w:val="20"/>
              </w:rPr>
            </w:pPr>
            <w:r w:rsidRPr="00066FCA">
              <w:rPr>
                <w:rFonts w:ascii="Arial Narrow" w:hAnsi="Arial Narrow" w:cstheme="minorHAnsi"/>
                <w:b/>
                <w:sz w:val="20"/>
              </w:rPr>
              <w:t>Population criteria:</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Patient must be aged 18 years or older.</w:t>
            </w:r>
          </w:p>
        </w:tc>
      </w:tr>
      <w:tr w:rsidR="004A1F21" w:rsidRPr="00066FCA" w:rsidTr="007A3606">
        <w:trPr>
          <w:gridAfter w:val="1"/>
          <w:wAfter w:w="4" w:type="pct"/>
          <w:cantSplit/>
          <w:trHeight w:val="360"/>
        </w:trPr>
        <w:tc>
          <w:tcPr>
            <w:tcW w:w="1052" w:type="pct"/>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b/>
                <w:sz w:val="20"/>
              </w:rPr>
            </w:pPr>
            <w:r w:rsidRPr="00066FCA">
              <w:rPr>
                <w:rFonts w:ascii="Arial Narrow" w:hAnsi="Arial Narrow" w:cstheme="minorHAnsi"/>
                <w:b/>
                <w:sz w:val="20"/>
              </w:rPr>
              <w:t>Treatment criteria:</w:t>
            </w:r>
          </w:p>
        </w:tc>
        <w:tc>
          <w:tcPr>
            <w:tcW w:w="3944" w:type="pct"/>
            <w:gridSpan w:val="7"/>
            <w:tcBorders>
              <w:top w:val="single" w:sz="4" w:space="0" w:color="auto"/>
              <w:left w:val="single" w:sz="4" w:space="0" w:color="auto"/>
              <w:bottom w:val="single" w:sz="4" w:space="0" w:color="auto"/>
              <w:right w:val="single" w:sz="4" w:space="0" w:color="auto"/>
            </w:tcBorders>
            <w:tcMar>
              <w:left w:w="28" w:type="dxa"/>
              <w:right w:w="28" w:type="dxa"/>
            </w:tcMar>
          </w:tcPr>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neurologist;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an orthopaedic surgeon;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paediatrician; OR</w:t>
            </w:r>
          </w:p>
          <w:p w:rsidR="004A1F21" w:rsidRPr="00066FCA" w:rsidRDefault="004A1F21" w:rsidP="007A3606">
            <w:pPr>
              <w:spacing w:before="40" w:after="40"/>
              <w:jc w:val="left"/>
              <w:rPr>
                <w:rFonts w:ascii="Arial Narrow" w:hAnsi="Arial Narrow" w:cstheme="minorHAnsi"/>
                <w:sz w:val="20"/>
              </w:rPr>
            </w:pPr>
            <w:r w:rsidRPr="00066FCA">
              <w:rPr>
                <w:rFonts w:ascii="Arial Narrow" w:hAnsi="Arial Narrow" w:cstheme="minorHAnsi"/>
                <w:sz w:val="20"/>
              </w:rPr>
              <w:t>Must be treated by a rehabilitation specialist.</w:t>
            </w:r>
          </w:p>
        </w:tc>
      </w:tr>
    </w:tbl>
    <w:p w:rsidR="00B401B7" w:rsidRDefault="00B401B7" w:rsidP="002F3AE3">
      <w:pPr>
        <w:rPr>
          <w:rFonts w:asciiTheme="minorHAnsi" w:hAnsiTheme="minorHAnsi" w:cstheme="minorHAnsi"/>
          <w:szCs w:val="22"/>
        </w:rPr>
      </w:pPr>
    </w:p>
    <w:p w:rsidR="00B401B7" w:rsidRDefault="00B401B7" w:rsidP="00B401B7">
      <w:pPr>
        <w:rPr>
          <w:rFonts w:asciiTheme="minorHAnsi" w:hAnsiTheme="minorHAnsi" w:cstheme="minorHAnsi"/>
          <w:szCs w:val="22"/>
        </w:rPr>
      </w:pPr>
    </w:p>
    <w:p w:rsidR="00B401B7" w:rsidRDefault="00B401B7" w:rsidP="00B401B7">
      <w:pPr>
        <w:pStyle w:val="PBACHeading1"/>
        <w:keepNext/>
        <w:spacing w:after="200"/>
        <w:rPr>
          <w:rFonts w:asciiTheme="minorHAnsi" w:hAnsiTheme="minorHAnsi"/>
          <w:sz w:val="32"/>
          <w:szCs w:val="32"/>
        </w:rPr>
      </w:pPr>
      <w:r>
        <w:rPr>
          <w:rFonts w:asciiTheme="minorHAnsi" w:hAnsiTheme="minorHAnsi"/>
          <w:sz w:val="32"/>
          <w:szCs w:val="32"/>
        </w:rPr>
        <w:t xml:space="preserve">Context for Decision </w:t>
      </w:r>
    </w:p>
    <w:p w:rsidR="00B401B7" w:rsidRPr="00E85805" w:rsidRDefault="00B401B7" w:rsidP="00F062C9">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2" w:name="_GoBack"/>
      <w:bookmarkEnd w:id="2"/>
    </w:p>
    <w:p w:rsidR="004A1F21" w:rsidRPr="00B401B7" w:rsidRDefault="004A1F21" w:rsidP="00B401B7">
      <w:pPr>
        <w:rPr>
          <w:rFonts w:asciiTheme="minorHAnsi" w:hAnsiTheme="minorHAnsi" w:cstheme="minorHAnsi"/>
          <w:szCs w:val="22"/>
        </w:rPr>
      </w:pPr>
    </w:p>
    <w:sectPr w:rsidR="004A1F21" w:rsidRPr="00B401B7" w:rsidSect="00350C56">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56" w:rsidRDefault="00350C56" w:rsidP="00350C56">
      <w:r>
        <w:separator/>
      </w:r>
    </w:p>
  </w:endnote>
  <w:endnote w:type="continuationSeparator" w:id="0">
    <w:p w:rsidR="00350C56" w:rsidRDefault="00350C56" w:rsidP="0035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56" w:rsidRDefault="00350C56" w:rsidP="00350C56">
    <w:pPr>
      <w:ind w:right="360"/>
      <w:jc w:val="center"/>
      <w:rPr>
        <w:szCs w:val="24"/>
      </w:rPr>
    </w:pPr>
  </w:p>
  <w:p w:rsidR="00350C56" w:rsidRPr="00350C56" w:rsidRDefault="00350C56" w:rsidP="00350C56">
    <w:pPr>
      <w:pStyle w:val="Footer"/>
      <w:ind w:left="360"/>
      <w:jc w:val="center"/>
      <w:rPr>
        <w:rFonts w:asciiTheme="minorHAnsi" w:hAnsiTheme="minorHAnsi" w:cstheme="minorHAnsi"/>
        <w:sz w:val="20"/>
      </w:rPr>
    </w:pPr>
    <w:r w:rsidRPr="00350C56">
      <w:rPr>
        <w:rFonts w:asciiTheme="minorHAnsi" w:hAnsiTheme="minorHAnsi" w:cstheme="minorHAnsi"/>
        <w:sz w:val="20"/>
      </w:rPr>
      <w:fldChar w:fldCharType="begin"/>
    </w:r>
    <w:r w:rsidRPr="00350C56">
      <w:rPr>
        <w:rFonts w:asciiTheme="minorHAnsi" w:hAnsiTheme="minorHAnsi" w:cstheme="minorHAnsi"/>
        <w:sz w:val="20"/>
      </w:rPr>
      <w:instrText xml:space="preserve"> PAGE   \* MERGEFORMAT </w:instrText>
    </w:r>
    <w:r w:rsidRPr="00350C56">
      <w:rPr>
        <w:rFonts w:asciiTheme="minorHAnsi" w:hAnsiTheme="minorHAnsi" w:cstheme="minorHAnsi"/>
        <w:sz w:val="20"/>
      </w:rPr>
      <w:fldChar w:fldCharType="separate"/>
    </w:r>
    <w:r w:rsidR="00E85805">
      <w:rPr>
        <w:rFonts w:asciiTheme="minorHAnsi" w:hAnsiTheme="minorHAnsi" w:cstheme="minorHAnsi"/>
        <w:noProof/>
        <w:sz w:val="20"/>
      </w:rPr>
      <w:t>1</w:t>
    </w:r>
    <w:r w:rsidRPr="00350C56">
      <w:rPr>
        <w:rFonts w:asciiTheme="minorHAnsi" w:hAnsiTheme="minorHAnsi" w:cstheme="minorHAns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56" w:rsidRDefault="00350C56" w:rsidP="00350C56">
      <w:r>
        <w:separator/>
      </w:r>
    </w:p>
  </w:footnote>
  <w:footnote w:type="continuationSeparator" w:id="0">
    <w:p w:rsidR="00350C56" w:rsidRDefault="00350C56" w:rsidP="00350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34" w:rsidRPr="00CF6534" w:rsidRDefault="00CF6534" w:rsidP="00CF6534">
    <w:pPr>
      <w:widowControl/>
      <w:tabs>
        <w:tab w:val="center" w:pos="4513"/>
        <w:tab w:val="right" w:pos="9026"/>
      </w:tabs>
      <w:jc w:val="center"/>
      <w:rPr>
        <w:rFonts w:asciiTheme="minorHAnsi" w:eastAsiaTheme="minorHAnsi" w:hAnsiTheme="minorHAnsi" w:cstheme="minorHAnsi"/>
        <w:i/>
        <w:snapToGrid/>
        <w:color w:val="808080"/>
        <w:szCs w:val="22"/>
      </w:rPr>
    </w:pPr>
    <w:r w:rsidRPr="00CF6534">
      <w:rPr>
        <w:rFonts w:asciiTheme="minorHAnsi" w:eastAsiaTheme="minorHAnsi" w:hAnsiTheme="minorHAnsi" w:cstheme="minorHAnsi"/>
        <w:i/>
        <w:snapToGrid/>
        <w:color w:val="808080"/>
        <w:szCs w:val="22"/>
      </w:rPr>
      <w:t xml:space="preserve">Public Summary Document – </w:t>
    </w:r>
    <w:r>
      <w:rPr>
        <w:rFonts w:asciiTheme="minorHAnsi" w:eastAsiaTheme="minorHAnsi" w:hAnsiTheme="minorHAnsi" w:cstheme="minorHAnsi"/>
        <w:i/>
        <w:snapToGrid/>
        <w:color w:val="808080"/>
        <w:szCs w:val="22"/>
      </w:rPr>
      <w:t>July 2018</w:t>
    </w:r>
    <w:r w:rsidRPr="00CF6534">
      <w:rPr>
        <w:rFonts w:asciiTheme="minorHAnsi" w:eastAsiaTheme="minorHAnsi" w:hAnsiTheme="minorHAnsi" w:cstheme="minorHAnsi"/>
        <w:i/>
        <w:snapToGrid/>
        <w:color w:val="808080"/>
        <w:szCs w:val="22"/>
      </w:rPr>
      <w:t xml:space="preserve"> PBAC Meeting</w:t>
    </w:r>
  </w:p>
  <w:p w:rsidR="00350C56" w:rsidRPr="00350C56" w:rsidRDefault="00350C56" w:rsidP="00350C56">
    <w:pPr>
      <w:pStyle w:val="Header"/>
      <w:jc w:val="center"/>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AA3"/>
    <w:multiLevelType w:val="multilevel"/>
    <w:tmpl w:val="DA884BD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25107F"/>
    <w:multiLevelType w:val="hybridMultilevel"/>
    <w:tmpl w:val="874C00FA"/>
    <w:lvl w:ilvl="0" w:tplc="C9ECE8EE">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8E029C2"/>
    <w:multiLevelType w:val="multilevel"/>
    <w:tmpl w:val="3936533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3)"/>
      <w:lvlJc w:val="left"/>
      <w:pPr>
        <w:ind w:left="1713" w:hanging="720"/>
      </w:pPr>
      <w:rPr>
        <w:rFonts w:hint="default"/>
        <w:b w:val="0"/>
        <w:i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2D515D1"/>
    <w:multiLevelType w:val="hybridMultilevel"/>
    <w:tmpl w:val="372889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5BB320C9"/>
    <w:multiLevelType w:val="multilevel"/>
    <w:tmpl w:val="D9F8906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3)"/>
      <w:lvlJc w:val="left"/>
      <w:pPr>
        <w:ind w:left="1713" w:hanging="720"/>
      </w:pPr>
      <w:rPr>
        <w:rFonts w:hint="default"/>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E4B030E"/>
    <w:multiLevelType w:val="multilevel"/>
    <w:tmpl w:val="B71A0FE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lowerRoman"/>
      <w:lvlText w:val="%3."/>
      <w:lvlJc w:val="right"/>
      <w:pPr>
        <w:ind w:left="720" w:hanging="720"/>
      </w:pPr>
      <w:rPr>
        <w:rFonts w:hint="default"/>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84D033C"/>
    <w:multiLevelType w:val="multilevel"/>
    <w:tmpl w:val="396A097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Calibri" w:hAnsi="Calibri" w:cs="Calibri" w:hint="default"/>
        <w:b w:val="0"/>
        <w:i w:val="0"/>
      </w:rPr>
    </w:lvl>
    <w:lvl w:ilvl="2">
      <w:start w:val="1"/>
      <w:numFmt w:val="bullet"/>
      <w:lvlText w:val=""/>
      <w:lvlJc w:val="left"/>
      <w:pPr>
        <w:ind w:left="720" w:hanging="720"/>
      </w:pPr>
      <w:rPr>
        <w:rFonts w:ascii="Symbol" w:hAnsi="Symbol" w:hint="default"/>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6"/>
  </w:num>
  <w:num w:numId="5">
    <w:abstractNumId w:val="6"/>
  </w:num>
  <w:num w:numId="6">
    <w:abstractNumId w:val="6"/>
  </w:num>
  <w:num w:numId="7">
    <w:abstractNumId w:val="0"/>
  </w:num>
  <w:num w:numId="8">
    <w:abstractNumId w:val="5"/>
  </w:num>
  <w:num w:numId="9">
    <w:abstractNumId w:val="6"/>
  </w:num>
  <w:num w:numId="10">
    <w:abstractNumId w:val="6"/>
  </w:num>
  <w:num w:numId="11">
    <w:abstractNumId w:val="6"/>
  </w:num>
  <w:num w:numId="12">
    <w:abstractNumId w:val="6"/>
  </w:num>
  <w:num w:numId="13">
    <w:abstractNumId w:val="4"/>
  </w:num>
  <w:num w:numId="14">
    <w:abstractNumId w:val="2"/>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85"/>
    <w:rsid w:val="0000129E"/>
    <w:rsid w:val="00003743"/>
    <w:rsid w:val="00054B12"/>
    <w:rsid w:val="000648BC"/>
    <w:rsid w:val="00066FCA"/>
    <w:rsid w:val="00067456"/>
    <w:rsid w:val="000808F8"/>
    <w:rsid w:val="000D3A56"/>
    <w:rsid w:val="000E5385"/>
    <w:rsid w:val="00140491"/>
    <w:rsid w:val="00173779"/>
    <w:rsid w:val="00187964"/>
    <w:rsid w:val="001B04B3"/>
    <w:rsid w:val="001B3443"/>
    <w:rsid w:val="001C24F0"/>
    <w:rsid w:val="001C43E4"/>
    <w:rsid w:val="0022321A"/>
    <w:rsid w:val="002A379E"/>
    <w:rsid w:val="002A4668"/>
    <w:rsid w:val="002B5D86"/>
    <w:rsid w:val="002F3AE3"/>
    <w:rsid w:val="0030786C"/>
    <w:rsid w:val="00341A47"/>
    <w:rsid w:val="00350C56"/>
    <w:rsid w:val="003664B6"/>
    <w:rsid w:val="0039582C"/>
    <w:rsid w:val="00395AD1"/>
    <w:rsid w:val="003A13A2"/>
    <w:rsid w:val="003A44BE"/>
    <w:rsid w:val="003D17F9"/>
    <w:rsid w:val="00417F12"/>
    <w:rsid w:val="00473B24"/>
    <w:rsid w:val="00476C4F"/>
    <w:rsid w:val="004867E2"/>
    <w:rsid w:val="004A1F21"/>
    <w:rsid w:val="00533C16"/>
    <w:rsid w:val="00536CE9"/>
    <w:rsid w:val="00581BCA"/>
    <w:rsid w:val="00590F66"/>
    <w:rsid w:val="005959FE"/>
    <w:rsid w:val="005A07DC"/>
    <w:rsid w:val="00614C7A"/>
    <w:rsid w:val="0063292A"/>
    <w:rsid w:val="00642953"/>
    <w:rsid w:val="006628AF"/>
    <w:rsid w:val="00672D96"/>
    <w:rsid w:val="00687381"/>
    <w:rsid w:val="00774064"/>
    <w:rsid w:val="007A3606"/>
    <w:rsid w:val="007A3EAB"/>
    <w:rsid w:val="00800373"/>
    <w:rsid w:val="00815F8C"/>
    <w:rsid w:val="008264EB"/>
    <w:rsid w:val="00843B1A"/>
    <w:rsid w:val="00874E81"/>
    <w:rsid w:val="0098514A"/>
    <w:rsid w:val="009B3CA7"/>
    <w:rsid w:val="009C3D43"/>
    <w:rsid w:val="009D4DB6"/>
    <w:rsid w:val="009E176B"/>
    <w:rsid w:val="00A367A6"/>
    <w:rsid w:val="00A4512D"/>
    <w:rsid w:val="00A705AF"/>
    <w:rsid w:val="00A906F5"/>
    <w:rsid w:val="00A93153"/>
    <w:rsid w:val="00AD01C7"/>
    <w:rsid w:val="00AD1865"/>
    <w:rsid w:val="00AF1774"/>
    <w:rsid w:val="00B210DB"/>
    <w:rsid w:val="00B376C9"/>
    <w:rsid w:val="00B401B7"/>
    <w:rsid w:val="00B42851"/>
    <w:rsid w:val="00B44582"/>
    <w:rsid w:val="00B90B45"/>
    <w:rsid w:val="00BB7A5E"/>
    <w:rsid w:val="00BC3F0C"/>
    <w:rsid w:val="00BC6235"/>
    <w:rsid w:val="00BD5351"/>
    <w:rsid w:val="00BD6C3E"/>
    <w:rsid w:val="00BE1CD5"/>
    <w:rsid w:val="00C15F9C"/>
    <w:rsid w:val="00C249D2"/>
    <w:rsid w:val="00CB1BCE"/>
    <w:rsid w:val="00CB5B1A"/>
    <w:rsid w:val="00CF6534"/>
    <w:rsid w:val="00D34BFC"/>
    <w:rsid w:val="00E4302C"/>
    <w:rsid w:val="00E56E30"/>
    <w:rsid w:val="00E622FD"/>
    <w:rsid w:val="00E74746"/>
    <w:rsid w:val="00E84901"/>
    <w:rsid w:val="00E85805"/>
    <w:rsid w:val="00EA7408"/>
    <w:rsid w:val="00EA7B9C"/>
    <w:rsid w:val="00EF3755"/>
    <w:rsid w:val="00EF39F9"/>
    <w:rsid w:val="00EF5476"/>
    <w:rsid w:val="00F062C9"/>
    <w:rsid w:val="00FA13AB"/>
    <w:rsid w:val="00FA2C43"/>
    <w:rsid w:val="00FB7939"/>
    <w:rsid w:val="00FD5CAC"/>
    <w:rsid w:val="00FF7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385"/>
    <w:pPr>
      <w:widowControl w:val="0"/>
      <w:jc w:val="both"/>
    </w:pPr>
    <w:rPr>
      <w:rFonts w:ascii="Arial" w:hAnsi="Arial" w:cs="Arial"/>
      <w:snapToGrid w:val="0"/>
      <w:sz w:val="22"/>
      <w:lang w:eastAsia="en-US"/>
    </w:rPr>
  </w:style>
  <w:style w:type="paragraph" w:styleId="Heading1">
    <w:name w:val="heading 1"/>
    <w:basedOn w:val="Normal"/>
    <w:next w:val="Normal"/>
    <w:qFormat/>
    <w:rsid w:val="00A705AF"/>
    <w:pPr>
      <w:keepNext/>
      <w:widowControl/>
      <w:spacing w:before="240" w:after="60"/>
      <w:jc w:val="left"/>
      <w:outlineLvl w:val="0"/>
    </w:pPr>
    <w:rPr>
      <w:b/>
      <w:bCs/>
      <w:snapToGrid/>
      <w:kern w:val="28"/>
      <w:sz w:val="28"/>
      <w:szCs w:val="32"/>
    </w:rPr>
  </w:style>
  <w:style w:type="paragraph" w:styleId="Heading2">
    <w:name w:val="heading 2"/>
    <w:basedOn w:val="Normal"/>
    <w:next w:val="Normal"/>
    <w:qFormat/>
    <w:rsid w:val="00A705AF"/>
    <w:pPr>
      <w:keepNext/>
      <w:widowControl/>
      <w:spacing w:before="240" w:after="60"/>
      <w:jc w:val="left"/>
      <w:outlineLvl w:val="1"/>
    </w:pPr>
    <w:rPr>
      <w:b/>
      <w:bCs/>
      <w:i/>
      <w:iCs/>
      <w:snapToGrid/>
      <w:sz w:val="24"/>
      <w:szCs w:val="28"/>
    </w:rPr>
  </w:style>
  <w:style w:type="paragraph" w:styleId="Heading3">
    <w:name w:val="heading 3"/>
    <w:basedOn w:val="Normal"/>
    <w:next w:val="Normal"/>
    <w:qFormat/>
    <w:rsid w:val="00A705AF"/>
    <w:pPr>
      <w:keepNext/>
      <w:widowControl/>
      <w:spacing w:before="240" w:after="60"/>
      <w:jc w:val="left"/>
      <w:outlineLvl w:val="2"/>
    </w:pPr>
    <w:rPr>
      <w:bCs/>
      <w:snapToGrid/>
      <w:sz w:val="24"/>
      <w:szCs w:val="26"/>
    </w:rPr>
  </w:style>
  <w:style w:type="paragraph" w:styleId="Heading4">
    <w:name w:val="heading 4"/>
    <w:basedOn w:val="Normal"/>
    <w:next w:val="Normal"/>
    <w:qFormat/>
    <w:rsid w:val="00A705AF"/>
    <w:pPr>
      <w:keepNext/>
      <w:widowControl/>
      <w:spacing w:before="240" w:after="60"/>
      <w:jc w:val="left"/>
      <w:outlineLvl w:val="3"/>
    </w:pPr>
    <w:rPr>
      <w:rFonts w:cs="Times New Roman"/>
      <w:bCs/>
      <w:snapToGrid/>
      <w:sz w:val="28"/>
      <w:szCs w:val="28"/>
    </w:rPr>
  </w:style>
  <w:style w:type="paragraph" w:styleId="Heading5">
    <w:name w:val="heading 5"/>
    <w:basedOn w:val="Normal"/>
    <w:next w:val="Normal"/>
    <w:qFormat/>
    <w:rsid w:val="00A705AF"/>
    <w:pPr>
      <w:keepNext/>
      <w:widowControl/>
      <w:spacing w:before="240" w:after="60"/>
      <w:jc w:val="left"/>
      <w:outlineLvl w:val="4"/>
    </w:pPr>
    <w:rPr>
      <w:rFonts w:ascii="Times New Roman" w:hAnsi="Times New Roman" w:cs="Times New Roman"/>
      <w:b/>
      <w:bCs/>
      <w:iCs/>
      <w:snapToGrid/>
      <w:sz w:val="24"/>
      <w:szCs w:val="26"/>
    </w:rPr>
  </w:style>
  <w:style w:type="paragraph" w:styleId="Heading6">
    <w:name w:val="heading 6"/>
    <w:basedOn w:val="Normal"/>
    <w:next w:val="Normal"/>
    <w:qFormat/>
    <w:rsid w:val="00A705AF"/>
    <w:pPr>
      <w:keepNext/>
      <w:widowControl/>
      <w:spacing w:before="240" w:after="60"/>
      <w:jc w:val="left"/>
      <w:outlineLvl w:val="5"/>
    </w:pPr>
    <w:rPr>
      <w:rFonts w:ascii="Times New Roman" w:hAnsi="Times New Roman" w:cs="Times New Roman"/>
      <w:b/>
      <w:bCs/>
      <w:i/>
      <w:snapToGrid/>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widowControl/>
      <w:numPr>
        <w:ilvl w:val="1"/>
      </w:numPr>
      <w:jc w:val="left"/>
    </w:pPr>
    <w:rPr>
      <w:rFonts w:asciiTheme="majorHAnsi" w:eastAsiaTheme="majorEastAsia" w:hAnsiTheme="majorHAnsi" w:cstheme="majorBidi"/>
      <w:iCs/>
      <w:snapToGrid/>
      <w:spacing w:val="15"/>
      <w:sz w:val="24"/>
      <w:szCs w:val="24"/>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widowControl/>
      <w:pBdr>
        <w:bottom w:val="single" w:sz="8" w:space="4" w:color="4F81BD" w:themeColor="accent1"/>
      </w:pBdr>
      <w:spacing w:after="300"/>
      <w:contextualSpacing/>
      <w:jc w:val="center"/>
    </w:pPr>
    <w:rPr>
      <w:rFonts w:eastAsiaTheme="majorEastAsia" w:cstheme="majorBidi"/>
      <w:b/>
      <w:snapToGrid/>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widowControl/>
      <w:jc w:val="left"/>
    </w:pPr>
    <w:rPr>
      <w:rFonts w:ascii="Times New Roman" w:hAnsi="Times New Roman" w:cs="Times New Roman"/>
      <w:i/>
      <w:iCs/>
      <w:snapToGrid/>
      <w:color w:val="000000" w:themeColor="text1"/>
      <w:sz w:val="24"/>
      <w:szCs w:val="24"/>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widowControl/>
      <w:pBdr>
        <w:bottom w:val="single" w:sz="4" w:space="4" w:color="4F81BD" w:themeColor="accent1"/>
      </w:pBdr>
      <w:spacing w:before="200" w:after="280"/>
      <w:ind w:left="936" w:right="936"/>
      <w:jc w:val="left"/>
    </w:pPr>
    <w:rPr>
      <w:rFonts w:ascii="Times New Roman" w:hAnsi="Times New Roman" w:cs="Times New Roman"/>
      <w:b/>
      <w:bCs/>
      <w:i/>
      <w:iCs/>
      <w:snapToGrid/>
      <w:color w:val="4F81BD" w:themeColor="accent1"/>
      <w:sz w:val="24"/>
      <w:szCs w:val="24"/>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widowControl/>
      <w:ind w:left="720"/>
      <w:contextualSpacing/>
      <w:jc w:val="left"/>
    </w:pPr>
    <w:rPr>
      <w:rFonts w:ascii="Times New Roman" w:hAnsi="Times New Roman" w:cs="Times New Roman"/>
      <w:snapToGrid/>
      <w:sz w:val="24"/>
      <w:szCs w:val="24"/>
    </w:rPr>
  </w:style>
  <w:style w:type="paragraph" w:customStyle="1" w:styleId="PBAC3">
    <w:name w:val="PBAC3"/>
    <w:basedOn w:val="Heading3"/>
    <w:link w:val="PBAC3Char"/>
    <w:qFormat/>
    <w:rsid w:val="000E5385"/>
    <w:pPr>
      <w:keepNext w:val="0"/>
      <w:widowControl w:val="0"/>
      <w:spacing w:before="0" w:after="0"/>
      <w:jc w:val="both"/>
    </w:pPr>
    <w:rPr>
      <w:b/>
      <w:snapToGrid w:val="0"/>
      <w:sz w:val="28"/>
      <w:u w:val="single"/>
      <w:lang w:eastAsia="en-AU"/>
    </w:rPr>
  </w:style>
  <w:style w:type="character" w:customStyle="1" w:styleId="PBAC3Char">
    <w:name w:val="PBAC3 Char"/>
    <w:basedOn w:val="DefaultParagraphFont"/>
    <w:link w:val="PBAC3"/>
    <w:rsid w:val="000E5385"/>
    <w:rPr>
      <w:rFonts w:ascii="Arial" w:hAnsi="Arial" w:cs="Arial"/>
      <w:b/>
      <w:bCs/>
      <w:snapToGrid w:val="0"/>
      <w:sz w:val="28"/>
      <w:szCs w:val="26"/>
      <w:u w:val="single"/>
    </w:rPr>
  </w:style>
  <w:style w:type="paragraph" w:customStyle="1" w:styleId="PBACHeading1">
    <w:name w:val="PBAC Heading 1"/>
    <w:qFormat/>
    <w:rsid w:val="00590F66"/>
    <w:pPr>
      <w:numPr>
        <w:numId w:val="3"/>
      </w:numPr>
      <w:outlineLvl w:val="0"/>
    </w:pPr>
    <w:rPr>
      <w:rFonts w:ascii="Arial" w:hAnsi="Arial" w:cs="Arial"/>
      <w:b/>
      <w:snapToGrid w:val="0"/>
      <w:sz w:val="22"/>
      <w:szCs w:val="22"/>
      <w:lang w:eastAsia="en-US"/>
    </w:rPr>
  </w:style>
  <w:style w:type="paragraph" w:styleId="BalloonText">
    <w:name w:val="Balloon Text"/>
    <w:basedOn w:val="Normal"/>
    <w:link w:val="BalloonTextChar"/>
    <w:rsid w:val="000648BC"/>
    <w:rPr>
      <w:rFonts w:ascii="Tahoma" w:hAnsi="Tahoma" w:cs="Tahoma"/>
      <w:sz w:val="16"/>
      <w:szCs w:val="16"/>
    </w:rPr>
  </w:style>
  <w:style w:type="character" w:customStyle="1" w:styleId="BalloonTextChar">
    <w:name w:val="Balloon Text Char"/>
    <w:basedOn w:val="DefaultParagraphFont"/>
    <w:link w:val="BalloonText"/>
    <w:rsid w:val="000648BC"/>
    <w:rPr>
      <w:rFonts w:ascii="Tahoma" w:hAnsi="Tahoma" w:cs="Tahoma"/>
      <w:snapToGrid w:val="0"/>
      <w:sz w:val="16"/>
      <w:szCs w:val="16"/>
      <w:lang w:eastAsia="en-US"/>
    </w:rPr>
  </w:style>
  <w:style w:type="character" w:styleId="CommentReference">
    <w:name w:val="annotation reference"/>
    <w:basedOn w:val="DefaultParagraphFont"/>
    <w:rsid w:val="000648BC"/>
    <w:rPr>
      <w:sz w:val="16"/>
      <w:szCs w:val="16"/>
    </w:rPr>
  </w:style>
  <w:style w:type="paragraph" w:styleId="CommentText">
    <w:name w:val="annotation text"/>
    <w:basedOn w:val="Normal"/>
    <w:link w:val="CommentTextChar"/>
    <w:rsid w:val="000648BC"/>
    <w:rPr>
      <w:sz w:val="20"/>
    </w:rPr>
  </w:style>
  <w:style w:type="character" w:customStyle="1" w:styleId="CommentTextChar">
    <w:name w:val="Comment Text Char"/>
    <w:basedOn w:val="DefaultParagraphFont"/>
    <w:link w:val="CommentText"/>
    <w:rsid w:val="000648BC"/>
    <w:rPr>
      <w:rFonts w:ascii="Arial" w:hAnsi="Arial" w:cs="Arial"/>
      <w:snapToGrid w:val="0"/>
      <w:lang w:eastAsia="en-US"/>
    </w:rPr>
  </w:style>
  <w:style w:type="paragraph" w:styleId="CommentSubject">
    <w:name w:val="annotation subject"/>
    <w:basedOn w:val="CommentText"/>
    <w:next w:val="CommentText"/>
    <w:link w:val="CommentSubjectChar"/>
    <w:rsid w:val="000648BC"/>
    <w:rPr>
      <w:b/>
      <w:bCs/>
    </w:rPr>
  </w:style>
  <w:style w:type="character" w:customStyle="1" w:styleId="CommentSubjectChar">
    <w:name w:val="Comment Subject Char"/>
    <w:basedOn w:val="CommentTextChar"/>
    <w:link w:val="CommentSubject"/>
    <w:rsid w:val="000648BC"/>
    <w:rPr>
      <w:rFonts w:ascii="Arial" w:hAnsi="Arial" w:cs="Arial"/>
      <w:b/>
      <w:bCs/>
      <w:snapToGrid w:val="0"/>
      <w:lang w:eastAsia="en-US"/>
    </w:rPr>
  </w:style>
  <w:style w:type="paragraph" w:styleId="Revision">
    <w:name w:val="Revision"/>
    <w:hidden/>
    <w:uiPriority w:val="99"/>
    <w:semiHidden/>
    <w:rsid w:val="000648BC"/>
    <w:rPr>
      <w:rFonts w:ascii="Arial" w:hAnsi="Arial" w:cs="Arial"/>
      <w:snapToGrid w:val="0"/>
      <w:sz w:val="22"/>
      <w:lang w:eastAsia="en-US"/>
    </w:rPr>
  </w:style>
  <w:style w:type="table" w:styleId="TableGrid">
    <w:name w:val="Table Grid"/>
    <w:aliases w:val="Summary box"/>
    <w:basedOn w:val="TableNormal"/>
    <w:uiPriority w:val="39"/>
    <w:rsid w:val="001C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Page header"/>
    <w:basedOn w:val="Normal"/>
    <w:link w:val="HeaderChar"/>
    <w:uiPriority w:val="99"/>
    <w:rsid w:val="00350C56"/>
    <w:pPr>
      <w:tabs>
        <w:tab w:val="center" w:pos="4513"/>
        <w:tab w:val="right" w:pos="9026"/>
      </w:tabs>
    </w:pPr>
  </w:style>
  <w:style w:type="character" w:customStyle="1" w:styleId="HeaderChar">
    <w:name w:val="Header Char"/>
    <w:aliases w:val="Page Header Char,Header title Char,he=header Char,cntr/bld Char,Page header Char"/>
    <w:basedOn w:val="DefaultParagraphFont"/>
    <w:link w:val="Header"/>
    <w:uiPriority w:val="99"/>
    <w:rsid w:val="00350C56"/>
    <w:rPr>
      <w:rFonts w:ascii="Arial" w:hAnsi="Arial" w:cs="Arial"/>
      <w:snapToGrid w:val="0"/>
      <w:sz w:val="22"/>
      <w:lang w:eastAsia="en-US"/>
    </w:rPr>
  </w:style>
  <w:style w:type="paragraph" w:styleId="Footer">
    <w:name w:val="footer"/>
    <w:aliases w:val="Page Footer"/>
    <w:basedOn w:val="Normal"/>
    <w:link w:val="FooterChar"/>
    <w:uiPriority w:val="99"/>
    <w:rsid w:val="00350C56"/>
    <w:pPr>
      <w:tabs>
        <w:tab w:val="center" w:pos="4513"/>
        <w:tab w:val="right" w:pos="9026"/>
      </w:tabs>
    </w:pPr>
  </w:style>
  <w:style w:type="character" w:customStyle="1" w:styleId="FooterChar">
    <w:name w:val="Footer Char"/>
    <w:aliases w:val="Page Footer Char"/>
    <w:basedOn w:val="DefaultParagraphFont"/>
    <w:link w:val="Footer"/>
    <w:uiPriority w:val="99"/>
    <w:rsid w:val="00350C5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385"/>
    <w:pPr>
      <w:widowControl w:val="0"/>
      <w:jc w:val="both"/>
    </w:pPr>
    <w:rPr>
      <w:rFonts w:ascii="Arial" w:hAnsi="Arial" w:cs="Arial"/>
      <w:snapToGrid w:val="0"/>
      <w:sz w:val="22"/>
      <w:lang w:eastAsia="en-US"/>
    </w:rPr>
  </w:style>
  <w:style w:type="paragraph" w:styleId="Heading1">
    <w:name w:val="heading 1"/>
    <w:basedOn w:val="Normal"/>
    <w:next w:val="Normal"/>
    <w:qFormat/>
    <w:rsid w:val="00A705AF"/>
    <w:pPr>
      <w:keepNext/>
      <w:widowControl/>
      <w:spacing w:before="240" w:after="60"/>
      <w:jc w:val="left"/>
      <w:outlineLvl w:val="0"/>
    </w:pPr>
    <w:rPr>
      <w:b/>
      <w:bCs/>
      <w:snapToGrid/>
      <w:kern w:val="28"/>
      <w:sz w:val="28"/>
      <w:szCs w:val="32"/>
    </w:rPr>
  </w:style>
  <w:style w:type="paragraph" w:styleId="Heading2">
    <w:name w:val="heading 2"/>
    <w:basedOn w:val="Normal"/>
    <w:next w:val="Normal"/>
    <w:qFormat/>
    <w:rsid w:val="00A705AF"/>
    <w:pPr>
      <w:keepNext/>
      <w:widowControl/>
      <w:spacing w:before="240" w:after="60"/>
      <w:jc w:val="left"/>
      <w:outlineLvl w:val="1"/>
    </w:pPr>
    <w:rPr>
      <w:b/>
      <w:bCs/>
      <w:i/>
      <w:iCs/>
      <w:snapToGrid/>
      <w:sz w:val="24"/>
      <w:szCs w:val="28"/>
    </w:rPr>
  </w:style>
  <w:style w:type="paragraph" w:styleId="Heading3">
    <w:name w:val="heading 3"/>
    <w:basedOn w:val="Normal"/>
    <w:next w:val="Normal"/>
    <w:qFormat/>
    <w:rsid w:val="00A705AF"/>
    <w:pPr>
      <w:keepNext/>
      <w:widowControl/>
      <w:spacing w:before="240" w:after="60"/>
      <w:jc w:val="left"/>
      <w:outlineLvl w:val="2"/>
    </w:pPr>
    <w:rPr>
      <w:bCs/>
      <w:snapToGrid/>
      <w:sz w:val="24"/>
      <w:szCs w:val="26"/>
    </w:rPr>
  </w:style>
  <w:style w:type="paragraph" w:styleId="Heading4">
    <w:name w:val="heading 4"/>
    <w:basedOn w:val="Normal"/>
    <w:next w:val="Normal"/>
    <w:qFormat/>
    <w:rsid w:val="00A705AF"/>
    <w:pPr>
      <w:keepNext/>
      <w:widowControl/>
      <w:spacing w:before="240" w:after="60"/>
      <w:jc w:val="left"/>
      <w:outlineLvl w:val="3"/>
    </w:pPr>
    <w:rPr>
      <w:rFonts w:cs="Times New Roman"/>
      <w:bCs/>
      <w:snapToGrid/>
      <w:sz w:val="28"/>
      <w:szCs w:val="28"/>
    </w:rPr>
  </w:style>
  <w:style w:type="paragraph" w:styleId="Heading5">
    <w:name w:val="heading 5"/>
    <w:basedOn w:val="Normal"/>
    <w:next w:val="Normal"/>
    <w:qFormat/>
    <w:rsid w:val="00A705AF"/>
    <w:pPr>
      <w:keepNext/>
      <w:widowControl/>
      <w:spacing w:before="240" w:after="60"/>
      <w:jc w:val="left"/>
      <w:outlineLvl w:val="4"/>
    </w:pPr>
    <w:rPr>
      <w:rFonts w:ascii="Times New Roman" w:hAnsi="Times New Roman" w:cs="Times New Roman"/>
      <w:b/>
      <w:bCs/>
      <w:iCs/>
      <w:snapToGrid/>
      <w:sz w:val="24"/>
      <w:szCs w:val="26"/>
    </w:rPr>
  </w:style>
  <w:style w:type="paragraph" w:styleId="Heading6">
    <w:name w:val="heading 6"/>
    <w:basedOn w:val="Normal"/>
    <w:next w:val="Normal"/>
    <w:qFormat/>
    <w:rsid w:val="00A705AF"/>
    <w:pPr>
      <w:keepNext/>
      <w:widowControl/>
      <w:spacing w:before="240" w:after="60"/>
      <w:jc w:val="left"/>
      <w:outlineLvl w:val="5"/>
    </w:pPr>
    <w:rPr>
      <w:rFonts w:ascii="Times New Roman" w:hAnsi="Times New Roman" w:cs="Times New Roman"/>
      <w:b/>
      <w:bCs/>
      <w:i/>
      <w:snapToGrid/>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widowControl/>
      <w:numPr>
        <w:ilvl w:val="1"/>
      </w:numPr>
      <w:jc w:val="left"/>
    </w:pPr>
    <w:rPr>
      <w:rFonts w:asciiTheme="majorHAnsi" w:eastAsiaTheme="majorEastAsia" w:hAnsiTheme="majorHAnsi" w:cstheme="majorBidi"/>
      <w:iCs/>
      <w:snapToGrid/>
      <w:spacing w:val="15"/>
      <w:sz w:val="24"/>
      <w:szCs w:val="24"/>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widowControl/>
      <w:pBdr>
        <w:bottom w:val="single" w:sz="8" w:space="4" w:color="4F81BD" w:themeColor="accent1"/>
      </w:pBdr>
      <w:spacing w:after="300"/>
      <w:contextualSpacing/>
      <w:jc w:val="center"/>
    </w:pPr>
    <w:rPr>
      <w:rFonts w:eastAsiaTheme="majorEastAsia" w:cstheme="majorBidi"/>
      <w:b/>
      <w:snapToGrid/>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widowControl/>
      <w:jc w:val="left"/>
    </w:pPr>
    <w:rPr>
      <w:rFonts w:ascii="Times New Roman" w:hAnsi="Times New Roman" w:cs="Times New Roman"/>
      <w:i/>
      <w:iCs/>
      <w:snapToGrid/>
      <w:color w:val="000000" w:themeColor="text1"/>
      <w:sz w:val="24"/>
      <w:szCs w:val="24"/>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widowControl/>
      <w:pBdr>
        <w:bottom w:val="single" w:sz="4" w:space="4" w:color="4F81BD" w:themeColor="accent1"/>
      </w:pBdr>
      <w:spacing w:before="200" w:after="280"/>
      <w:ind w:left="936" w:right="936"/>
      <w:jc w:val="left"/>
    </w:pPr>
    <w:rPr>
      <w:rFonts w:ascii="Times New Roman" w:hAnsi="Times New Roman" w:cs="Times New Roman"/>
      <w:b/>
      <w:bCs/>
      <w:i/>
      <w:iCs/>
      <w:snapToGrid/>
      <w:color w:val="4F81BD" w:themeColor="accent1"/>
      <w:sz w:val="24"/>
      <w:szCs w:val="24"/>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widowControl/>
      <w:ind w:left="720"/>
      <w:contextualSpacing/>
      <w:jc w:val="left"/>
    </w:pPr>
    <w:rPr>
      <w:rFonts w:ascii="Times New Roman" w:hAnsi="Times New Roman" w:cs="Times New Roman"/>
      <w:snapToGrid/>
      <w:sz w:val="24"/>
      <w:szCs w:val="24"/>
    </w:rPr>
  </w:style>
  <w:style w:type="paragraph" w:customStyle="1" w:styleId="PBAC3">
    <w:name w:val="PBAC3"/>
    <w:basedOn w:val="Heading3"/>
    <w:link w:val="PBAC3Char"/>
    <w:qFormat/>
    <w:rsid w:val="000E5385"/>
    <w:pPr>
      <w:keepNext w:val="0"/>
      <w:widowControl w:val="0"/>
      <w:spacing w:before="0" w:after="0"/>
      <w:jc w:val="both"/>
    </w:pPr>
    <w:rPr>
      <w:b/>
      <w:snapToGrid w:val="0"/>
      <w:sz w:val="28"/>
      <w:u w:val="single"/>
      <w:lang w:eastAsia="en-AU"/>
    </w:rPr>
  </w:style>
  <w:style w:type="character" w:customStyle="1" w:styleId="PBAC3Char">
    <w:name w:val="PBAC3 Char"/>
    <w:basedOn w:val="DefaultParagraphFont"/>
    <w:link w:val="PBAC3"/>
    <w:rsid w:val="000E5385"/>
    <w:rPr>
      <w:rFonts w:ascii="Arial" w:hAnsi="Arial" w:cs="Arial"/>
      <w:b/>
      <w:bCs/>
      <w:snapToGrid w:val="0"/>
      <w:sz w:val="28"/>
      <w:szCs w:val="26"/>
      <w:u w:val="single"/>
    </w:rPr>
  </w:style>
  <w:style w:type="paragraph" w:customStyle="1" w:styleId="PBACHeading1">
    <w:name w:val="PBAC Heading 1"/>
    <w:qFormat/>
    <w:rsid w:val="00590F66"/>
    <w:pPr>
      <w:numPr>
        <w:numId w:val="3"/>
      </w:numPr>
      <w:outlineLvl w:val="0"/>
    </w:pPr>
    <w:rPr>
      <w:rFonts w:ascii="Arial" w:hAnsi="Arial" w:cs="Arial"/>
      <w:b/>
      <w:snapToGrid w:val="0"/>
      <w:sz w:val="22"/>
      <w:szCs w:val="22"/>
      <w:lang w:eastAsia="en-US"/>
    </w:rPr>
  </w:style>
  <w:style w:type="paragraph" w:styleId="BalloonText">
    <w:name w:val="Balloon Text"/>
    <w:basedOn w:val="Normal"/>
    <w:link w:val="BalloonTextChar"/>
    <w:rsid w:val="000648BC"/>
    <w:rPr>
      <w:rFonts w:ascii="Tahoma" w:hAnsi="Tahoma" w:cs="Tahoma"/>
      <w:sz w:val="16"/>
      <w:szCs w:val="16"/>
    </w:rPr>
  </w:style>
  <w:style w:type="character" w:customStyle="1" w:styleId="BalloonTextChar">
    <w:name w:val="Balloon Text Char"/>
    <w:basedOn w:val="DefaultParagraphFont"/>
    <w:link w:val="BalloonText"/>
    <w:rsid w:val="000648BC"/>
    <w:rPr>
      <w:rFonts w:ascii="Tahoma" w:hAnsi="Tahoma" w:cs="Tahoma"/>
      <w:snapToGrid w:val="0"/>
      <w:sz w:val="16"/>
      <w:szCs w:val="16"/>
      <w:lang w:eastAsia="en-US"/>
    </w:rPr>
  </w:style>
  <w:style w:type="character" w:styleId="CommentReference">
    <w:name w:val="annotation reference"/>
    <w:basedOn w:val="DefaultParagraphFont"/>
    <w:rsid w:val="000648BC"/>
    <w:rPr>
      <w:sz w:val="16"/>
      <w:szCs w:val="16"/>
    </w:rPr>
  </w:style>
  <w:style w:type="paragraph" w:styleId="CommentText">
    <w:name w:val="annotation text"/>
    <w:basedOn w:val="Normal"/>
    <w:link w:val="CommentTextChar"/>
    <w:rsid w:val="000648BC"/>
    <w:rPr>
      <w:sz w:val="20"/>
    </w:rPr>
  </w:style>
  <w:style w:type="character" w:customStyle="1" w:styleId="CommentTextChar">
    <w:name w:val="Comment Text Char"/>
    <w:basedOn w:val="DefaultParagraphFont"/>
    <w:link w:val="CommentText"/>
    <w:rsid w:val="000648BC"/>
    <w:rPr>
      <w:rFonts w:ascii="Arial" w:hAnsi="Arial" w:cs="Arial"/>
      <w:snapToGrid w:val="0"/>
      <w:lang w:eastAsia="en-US"/>
    </w:rPr>
  </w:style>
  <w:style w:type="paragraph" w:styleId="CommentSubject">
    <w:name w:val="annotation subject"/>
    <w:basedOn w:val="CommentText"/>
    <w:next w:val="CommentText"/>
    <w:link w:val="CommentSubjectChar"/>
    <w:rsid w:val="000648BC"/>
    <w:rPr>
      <w:b/>
      <w:bCs/>
    </w:rPr>
  </w:style>
  <w:style w:type="character" w:customStyle="1" w:styleId="CommentSubjectChar">
    <w:name w:val="Comment Subject Char"/>
    <w:basedOn w:val="CommentTextChar"/>
    <w:link w:val="CommentSubject"/>
    <w:rsid w:val="000648BC"/>
    <w:rPr>
      <w:rFonts w:ascii="Arial" w:hAnsi="Arial" w:cs="Arial"/>
      <w:b/>
      <w:bCs/>
      <w:snapToGrid w:val="0"/>
      <w:lang w:eastAsia="en-US"/>
    </w:rPr>
  </w:style>
  <w:style w:type="paragraph" w:styleId="Revision">
    <w:name w:val="Revision"/>
    <w:hidden/>
    <w:uiPriority w:val="99"/>
    <w:semiHidden/>
    <w:rsid w:val="000648BC"/>
    <w:rPr>
      <w:rFonts w:ascii="Arial" w:hAnsi="Arial" w:cs="Arial"/>
      <w:snapToGrid w:val="0"/>
      <w:sz w:val="22"/>
      <w:lang w:eastAsia="en-US"/>
    </w:rPr>
  </w:style>
  <w:style w:type="table" w:styleId="TableGrid">
    <w:name w:val="Table Grid"/>
    <w:aliases w:val="Summary box"/>
    <w:basedOn w:val="TableNormal"/>
    <w:uiPriority w:val="39"/>
    <w:rsid w:val="001C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Page header"/>
    <w:basedOn w:val="Normal"/>
    <w:link w:val="HeaderChar"/>
    <w:uiPriority w:val="99"/>
    <w:rsid w:val="00350C56"/>
    <w:pPr>
      <w:tabs>
        <w:tab w:val="center" w:pos="4513"/>
        <w:tab w:val="right" w:pos="9026"/>
      </w:tabs>
    </w:pPr>
  </w:style>
  <w:style w:type="character" w:customStyle="1" w:styleId="HeaderChar">
    <w:name w:val="Header Char"/>
    <w:aliases w:val="Page Header Char,Header title Char,he=header Char,cntr/bld Char,Page header Char"/>
    <w:basedOn w:val="DefaultParagraphFont"/>
    <w:link w:val="Header"/>
    <w:uiPriority w:val="99"/>
    <w:rsid w:val="00350C56"/>
    <w:rPr>
      <w:rFonts w:ascii="Arial" w:hAnsi="Arial" w:cs="Arial"/>
      <w:snapToGrid w:val="0"/>
      <w:sz w:val="22"/>
      <w:lang w:eastAsia="en-US"/>
    </w:rPr>
  </w:style>
  <w:style w:type="paragraph" w:styleId="Footer">
    <w:name w:val="footer"/>
    <w:aliases w:val="Page Footer"/>
    <w:basedOn w:val="Normal"/>
    <w:link w:val="FooterChar"/>
    <w:uiPriority w:val="99"/>
    <w:rsid w:val="00350C56"/>
    <w:pPr>
      <w:tabs>
        <w:tab w:val="center" w:pos="4513"/>
        <w:tab w:val="right" w:pos="9026"/>
      </w:tabs>
    </w:pPr>
  </w:style>
  <w:style w:type="character" w:customStyle="1" w:styleId="FooterChar">
    <w:name w:val="Footer Char"/>
    <w:aliases w:val="Page Footer Char"/>
    <w:basedOn w:val="DefaultParagraphFont"/>
    <w:link w:val="Footer"/>
    <w:uiPriority w:val="99"/>
    <w:rsid w:val="00350C5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0759-714B-4B18-9E42-BBCA9F5A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2018-08-10T01:49:00Z</dcterms:created>
  <dcterms:modified xsi:type="dcterms:W3CDTF">2018-10-17T06:51:00Z</dcterms:modified>
</cp:coreProperties>
</file>