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41E" w:rsidRPr="000B49C6" w:rsidRDefault="003775C0" w:rsidP="0040741E">
      <w:pPr>
        <w:rPr>
          <w:b/>
          <w:sz w:val="36"/>
          <w:szCs w:val="36"/>
        </w:rPr>
      </w:pPr>
      <w:r w:rsidRPr="000B49C6">
        <w:rPr>
          <w:b/>
          <w:sz w:val="36"/>
          <w:szCs w:val="36"/>
        </w:rPr>
        <w:t>7.01</w:t>
      </w:r>
      <w:r w:rsidR="0040741E" w:rsidRPr="000B49C6">
        <w:rPr>
          <w:b/>
          <w:sz w:val="36"/>
          <w:szCs w:val="36"/>
        </w:rPr>
        <w:t xml:space="preserve"> BEZLOTOXUMAB</w:t>
      </w:r>
      <w:r w:rsidR="00B60939" w:rsidRPr="000B49C6">
        <w:rPr>
          <w:b/>
          <w:sz w:val="36"/>
          <w:szCs w:val="36"/>
        </w:rPr>
        <w:t xml:space="preserve">, </w:t>
      </w:r>
    </w:p>
    <w:p w:rsidR="0040741E" w:rsidRPr="000B49C6" w:rsidRDefault="00360EEB" w:rsidP="00122DA1">
      <w:pPr>
        <w:ind w:left="510" w:firstLine="170"/>
        <w:rPr>
          <w:b/>
          <w:sz w:val="36"/>
          <w:szCs w:val="36"/>
        </w:rPr>
      </w:pPr>
      <w:proofErr w:type="gramStart"/>
      <w:r w:rsidRPr="000B49C6">
        <w:rPr>
          <w:b/>
          <w:sz w:val="36"/>
          <w:szCs w:val="36"/>
        </w:rPr>
        <w:t>Solution concentrate</w:t>
      </w:r>
      <w:proofErr w:type="gramEnd"/>
      <w:r w:rsidRPr="000B49C6">
        <w:rPr>
          <w:b/>
          <w:sz w:val="36"/>
          <w:szCs w:val="36"/>
        </w:rPr>
        <w:t xml:space="preserve"> for I.V. infusion 1000 mg in 40 mL</w:t>
      </w:r>
      <w:r w:rsidR="00B60939" w:rsidRPr="000B49C6">
        <w:rPr>
          <w:b/>
          <w:sz w:val="36"/>
          <w:szCs w:val="36"/>
        </w:rPr>
        <w:t>,</w:t>
      </w:r>
    </w:p>
    <w:p w:rsidR="00122DA1" w:rsidRPr="000B49C6" w:rsidRDefault="0040741E" w:rsidP="00122DA1">
      <w:pPr>
        <w:ind w:left="510" w:firstLine="170"/>
        <w:rPr>
          <w:b/>
          <w:sz w:val="36"/>
          <w:szCs w:val="36"/>
        </w:rPr>
      </w:pPr>
      <w:proofErr w:type="spellStart"/>
      <w:r w:rsidRPr="000B49C6">
        <w:rPr>
          <w:b/>
          <w:sz w:val="36"/>
          <w:szCs w:val="36"/>
        </w:rPr>
        <w:t>Zinplava</w:t>
      </w:r>
      <w:proofErr w:type="spellEnd"/>
      <w:r w:rsidRPr="000B49C6">
        <w:rPr>
          <w:b/>
          <w:sz w:val="36"/>
          <w:szCs w:val="36"/>
        </w:rPr>
        <w:t xml:space="preserve">®, </w:t>
      </w:r>
    </w:p>
    <w:p w:rsidR="00B60939" w:rsidRPr="000B49C6" w:rsidRDefault="0040741E" w:rsidP="00122DA1">
      <w:pPr>
        <w:ind w:left="510" w:firstLine="170"/>
        <w:rPr>
          <w:b/>
          <w:sz w:val="36"/>
          <w:szCs w:val="36"/>
        </w:rPr>
      </w:pPr>
      <w:r w:rsidRPr="000B49C6">
        <w:rPr>
          <w:b/>
          <w:sz w:val="36"/>
          <w:szCs w:val="36"/>
        </w:rPr>
        <w:t>Merck Sharp &amp; Dohme</w:t>
      </w:r>
    </w:p>
    <w:p w:rsidR="00B50DB8" w:rsidRPr="000B49C6" w:rsidRDefault="00B50DB8" w:rsidP="00AB4E07">
      <w:pPr>
        <w:pStyle w:val="PBACHeading1"/>
        <w:spacing w:before="240" w:after="120"/>
      </w:pPr>
      <w:bookmarkStart w:id="0" w:name="_Toc514248027"/>
      <w:r w:rsidRPr="000B49C6">
        <w:t>Purpose of Application</w:t>
      </w:r>
      <w:bookmarkEnd w:id="0"/>
    </w:p>
    <w:p w:rsidR="00B71DD0" w:rsidRPr="000B49C6" w:rsidRDefault="00AF326F" w:rsidP="00AF326F">
      <w:pPr>
        <w:pStyle w:val="ListParagraph"/>
        <w:numPr>
          <w:ilvl w:val="1"/>
          <w:numId w:val="3"/>
        </w:numPr>
      </w:pPr>
      <w:r w:rsidRPr="000B49C6">
        <w:t xml:space="preserve">The resubmission requested a Section 100 (Authority Required) listing for </w:t>
      </w:r>
      <w:proofErr w:type="spellStart"/>
      <w:r w:rsidRPr="000B49C6">
        <w:t>bezlotoxumab</w:t>
      </w:r>
      <w:proofErr w:type="spellEnd"/>
      <w:r w:rsidRPr="000B49C6">
        <w:t xml:space="preserve"> for prevention of </w:t>
      </w:r>
      <w:r w:rsidR="000B49C6" w:rsidRPr="000B49C6">
        <w:rPr>
          <w:i/>
        </w:rPr>
        <w:t>Clostridium difficile</w:t>
      </w:r>
      <w:r w:rsidRPr="000B49C6">
        <w:t xml:space="preserve"> infection (CDI) </w:t>
      </w:r>
      <w:r w:rsidR="00B71DD0" w:rsidRPr="000B49C6">
        <w:t xml:space="preserve">recurrence </w:t>
      </w:r>
      <w:r w:rsidRPr="000B49C6">
        <w:t xml:space="preserve">in </w:t>
      </w:r>
      <w:r w:rsidR="00B71DD0" w:rsidRPr="000B49C6">
        <w:t>patients aged 18 year</w:t>
      </w:r>
      <w:r w:rsidR="00E71F79">
        <w:t>s</w:t>
      </w:r>
      <w:r w:rsidR="00B71DD0" w:rsidRPr="000B49C6">
        <w:t xml:space="preserve"> or older with confirmed diagnosis of toxin B positive CDI, who are at high risk of CDI recurrence and receiving oral antibiotics</w:t>
      </w:r>
      <w:r w:rsidR="00991401">
        <w:t xml:space="preserve">. </w:t>
      </w:r>
    </w:p>
    <w:p w:rsidR="00AF326F" w:rsidRPr="000B49C6" w:rsidRDefault="00B71DD0" w:rsidP="00B71DD0">
      <w:pPr>
        <w:pStyle w:val="ListParagraph"/>
        <w:numPr>
          <w:ilvl w:val="1"/>
          <w:numId w:val="3"/>
        </w:numPr>
      </w:pPr>
      <w:r w:rsidRPr="000B49C6">
        <w:t xml:space="preserve">This was a second submission for </w:t>
      </w:r>
      <w:proofErr w:type="spellStart"/>
      <w:r w:rsidRPr="000B49C6">
        <w:t>bezlotoxumab</w:t>
      </w:r>
      <w:proofErr w:type="spellEnd"/>
      <w:r w:rsidR="002F3ADB" w:rsidRPr="000B49C6">
        <w:t xml:space="preserve"> for prevention of CDI</w:t>
      </w:r>
      <w:r w:rsidR="00991401">
        <w:t xml:space="preserve">. </w:t>
      </w:r>
      <w:r w:rsidR="00490474" w:rsidRPr="000B49C6">
        <w:t>T</w:t>
      </w:r>
      <w:r w:rsidRPr="000B49C6">
        <w:t xml:space="preserve">he PBAC </w:t>
      </w:r>
      <w:r w:rsidR="00490474" w:rsidRPr="000B49C6">
        <w:t xml:space="preserve">previously </w:t>
      </w:r>
      <w:r w:rsidRPr="000B49C6">
        <w:t xml:space="preserve">rejected </w:t>
      </w:r>
      <w:r w:rsidR="00490474" w:rsidRPr="000B49C6">
        <w:t xml:space="preserve">an </w:t>
      </w:r>
      <w:r w:rsidRPr="000B49C6">
        <w:t xml:space="preserve">application </w:t>
      </w:r>
      <w:r w:rsidR="00490474" w:rsidRPr="000B49C6">
        <w:t xml:space="preserve">at the November 2017 PBAC meeting </w:t>
      </w:r>
      <w:r w:rsidRPr="000B49C6">
        <w:t>on the basis of its modest effectiveness and uncertain incremental cost-effectiveness ratio (ICER).</w:t>
      </w:r>
    </w:p>
    <w:p w:rsidR="00C53090" w:rsidRPr="000B49C6" w:rsidRDefault="0040741E" w:rsidP="003F52CA">
      <w:pPr>
        <w:pStyle w:val="ListParagraph"/>
        <w:widowControl/>
        <w:numPr>
          <w:ilvl w:val="1"/>
          <w:numId w:val="3"/>
        </w:numPr>
      </w:pPr>
      <w:r w:rsidRPr="000B49C6">
        <w:t xml:space="preserve">As with the previous submission, </w:t>
      </w:r>
      <w:r w:rsidR="00C53090" w:rsidRPr="000B49C6">
        <w:t xml:space="preserve">the key rationale for the PBS listing of </w:t>
      </w:r>
      <w:proofErr w:type="spellStart"/>
      <w:r w:rsidR="00C53090" w:rsidRPr="000B49C6">
        <w:t>bezlotoxumab</w:t>
      </w:r>
      <w:proofErr w:type="spellEnd"/>
      <w:r w:rsidR="00C53090" w:rsidRPr="000B49C6">
        <w:t xml:space="preserve"> was that there is currently no PBS listed treatments f</w:t>
      </w:r>
      <w:r w:rsidR="003F52CA" w:rsidRPr="000B49C6">
        <w:t xml:space="preserve">or the prevention of recurrent </w:t>
      </w:r>
      <w:r w:rsidR="00C53090" w:rsidRPr="000B49C6">
        <w:t>CDI</w:t>
      </w:r>
      <w:r w:rsidR="00490474" w:rsidRPr="000B49C6">
        <w:t xml:space="preserve"> and </w:t>
      </w:r>
      <w:proofErr w:type="spellStart"/>
      <w:r w:rsidR="00490474" w:rsidRPr="000B49C6">
        <w:t>bezlotoxumab</w:t>
      </w:r>
      <w:proofErr w:type="spellEnd"/>
      <w:r w:rsidR="00490474" w:rsidRPr="000B49C6">
        <w:t xml:space="preserve"> works via a novel mechanism of action</w:t>
      </w:r>
      <w:r w:rsidR="00991401">
        <w:t xml:space="preserve">. </w:t>
      </w:r>
      <w:r w:rsidR="00C53090" w:rsidRPr="000B49C6">
        <w:t xml:space="preserve">While it </w:t>
      </w:r>
      <w:r w:rsidR="00D76449" w:rsidRPr="000B49C6">
        <w:t xml:space="preserve">is </w:t>
      </w:r>
      <w:r w:rsidR="00C53090" w:rsidRPr="000B49C6">
        <w:t>true that no PBS listed treatments are available to prevent CDI recurrence, subsequent lines of antibiotic therapy are available for treatment of recurrent CDIs</w:t>
      </w:r>
      <w:r w:rsidR="00991401">
        <w:t xml:space="preserve">. </w:t>
      </w:r>
      <w:r w:rsidR="00C53090" w:rsidRPr="000B49C6">
        <w:t xml:space="preserve">In that sense, </w:t>
      </w:r>
      <w:proofErr w:type="spellStart"/>
      <w:r w:rsidR="00C53090" w:rsidRPr="000B49C6">
        <w:t>bezlotoxumab</w:t>
      </w:r>
      <w:proofErr w:type="spellEnd"/>
      <w:r w:rsidR="00C53090" w:rsidRPr="000B49C6">
        <w:t xml:space="preserve"> would be delaying or reducing the need for patients to access subsequent lines of antibiotics for treatment of CDI.</w:t>
      </w:r>
    </w:p>
    <w:p w:rsidR="0040741E" w:rsidRPr="000B49C6" w:rsidRDefault="00C53090" w:rsidP="0040741E">
      <w:pPr>
        <w:pStyle w:val="ListParagraph"/>
        <w:widowControl/>
        <w:numPr>
          <w:ilvl w:val="1"/>
          <w:numId w:val="3"/>
        </w:numPr>
      </w:pPr>
      <w:r w:rsidRPr="000B49C6">
        <w:t>T</w:t>
      </w:r>
      <w:r w:rsidR="0040741E" w:rsidRPr="000B49C6">
        <w:t xml:space="preserve">he basis for the resubmission’s requested listing was cost-effectiveness of </w:t>
      </w:r>
      <w:proofErr w:type="spellStart"/>
      <w:r w:rsidR="0040741E" w:rsidRPr="000B49C6">
        <w:t>bezlotoxumab</w:t>
      </w:r>
      <w:proofErr w:type="spellEnd"/>
      <w:r w:rsidR="0040741E" w:rsidRPr="000B49C6">
        <w:t xml:space="preserve"> plus standard of care (</w:t>
      </w:r>
      <w:proofErr w:type="spellStart"/>
      <w:r w:rsidR="0040741E" w:rsidRPr="000B49C6">
        <w:t>SoC</w:t>
      </w:r>
      <w:proofErr w:type="spellEnd"/>
      <w:r w:rsidR="0040741E" w:rsidRPr="000B49C6">
        <w:t xml:space="preserve">) versus </w:t>
      </w:r>
      <w:proofErr w:type="spellStart"/>
      <w:r w:rsidR="0040741E" w:rsidRPr="000B49C6">
        <w:t>So</w:t>
      </w:r>
      <w:r w:rsidR="00B71DD0" w:rsidRPr="000B49C6">
        <w:t>C</w:t>
      </w:r>
      <w:proofErr w:type="spellEnd"/>
      <w:r w:rsidR="00B71DD0" w:rsidRPr="000B49C6">
        <w:t xml:space="preserve"> alone.</w:t>
      </w:r>
    </w:p>
    <w:p w:rsidR="00C51339" w:rsidRPr="000B49C6" w:rsidRDefault="00C51339" w:rsidP="00F4358C">
      <w:pPr>
        <w:pStyle w:val="Caption"/>
        <w:keepNext/>
        <w:spacing w:after="60"/>
        <w:rPr>
          <w:rFonts w:ascii="Arial Narrow" w:hAnsi="Arial Narrow"/>
          <w:color w:val="auto"/>
          <w:sz w:val="20"/>
          <w:szCs w:val="20"/>
        </w:rPr>
      </w:pPr>
      <w:r w:rsidRPr="000B49C6">
        <w:rPr>
          <w:rFonts w:ascii="Arial Narrow" w:hAnsi="Arial Narrow"/>
          <w:color w:val="auto"/>
          <w:sz w:val="20"/>
          <w:szCs w:val="20"/>
        </w:rPr>
        <w:t xml:space="preserve">Table </w:t>
      </w:r>
      <w:r w:rsidR="00363F50" w:rsidRPr="000B49C6">
        <w:rPr>
          <w:rFonts w:ascii="Arial Narrow" w:hAnsi="Arial Narrow"/>
          <w:noProof/>
          <w:color w:val="auto"/>
          <w:sz w:val="20"/>
          <w:szCs w:val="20"/>
        </w:rPr>
        <w:t>1</w:t>
      </w:r>
      <w:r w:rsidRPr="000B49C6">
        <w:rPr>
          <w:rFonts w:ascii="Arial Narrow" w:hAnsi="Arial Narrow"/>
          <w:color w:val="auto"/>
          <w:sz w:val="20"/>
          <w:szCs w:val="20"/>
        </w:rPr>
        <w:t>: Key components of the clinical issue addressed by the resubmission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Key components of the clinical issue addressed by the resubmission"/>
      </w:tblPr>
      <w:tblGrid>
        <w:gridCol w:w="1696"/>
        <w:gridCol w:w="7484"/>
      </w:tblGrid>
      <w:tr w:rsidR="0040741E" w:rsidRPr="000B49C6" w:rsidTr="00C0267A">
        <w:trPr>
          <w:cantSplit/>
          <w:tblHeader/>
        </w:trPr>
        <w:tc>
          <w:tcPr>
            <w:tcW w:w="1696" w:type="dxa"/>
            <w:shd w:val="clear" w:color="auto" w:fill="auto"/>
          </w:tcPr>
          <w:p w:rsidR="0040741E" w:rsidRPr="000B49C6" w:rsidRDefault="0040741E" w:rsidP="00F4358C">
            <w:pPr>
              <w:pStyle w:val="Tabletext"/>
              <w:keepNext/>
              <w:rPr>
                <w:b/>
                <w:szCs w:val="20"/>
              </w:rPr>
            </w:pPr>
            <w:r w:rsidRPr="000B49C6">
              <w:rPr>
                <w:b/>
              </w:rPr>
              <w:t>Component</w:t>
            </w:r>
          </w:p>
        </w:tc>
        <w:tc>
          <w:tcPr>
            <w:tcW w:w="7484" w:type="dxa"/>
            <w:shd w:val="clear" w:color="auto" w:fill="auto"/>
          </w:tcPr>
          <w:p w:rsidR="0040741E" w:rsidRPr="000B49C6" w:rsidRDefault="0040741E" w:rsidP="00F4358C">
            <w:pPr>
              <w:pStyle w:val="Tabletext"/>
              <w:keepNext/>
              <w:jc w:val="center"/>
              <w:rPr>
                <w:b/>
              </w:rPr>
            </w:pPr>
            <w:r w:rsidRPr="000B49C6">
              <w:rPr>
                <w:b/>
              </w:rPr>
              <w:t>Description</w:t>
            </w:r>
          </w:p>
        </w:tc>
      </w:tr>
      <w:tr w:rsidR="0040741E" w:rsidRPr="000B49C6" w:rsidTr="00B71DD0">
        <w:trPr>
          <w:cantSplit/>
        </w:trPr>
        <w:tc>
          <w:tcPr>
            <w:tcW w:w="1696" w:type="dxa"/>
            <w:shd w:val="clear" w:color="auto" w:fill="auto"/>
            <w:vAlign w:val="center"/>
          </w:tcPr>
          <w:p w:rsidR="0040741E" w:rsidRPr="000B49C6" w:rsidRDefault="0040741E" w:rsidP="00F4358C">
            <w:pPr>
              <w:pStyle w:val="Tabletext"/>
              <w:keepNext/>
            </w:pPr>
            <w:r w:rsidRPr="000B49C6">
              <w:t>Population</w:t>
            </w:r>
          </w:p>
        </w:tc>
        <w:tc>
          <w:tcPr>
            <w:tcW w:w="7484" w:type="dxa"/>
            <w:shd w:val="clear" w:color="auto" w:fill="auto"/>
          </w:tcPr>
          <w:p w:rsidR="0040741E" w:rsidRPr="000B49C6" w:rsidRDefault="0040741E" w:rsidP="00F4358C">
            <w:pPr>
              <w:pStyle w:val="Tabletext"/>
              <w:keepNext/>
            </w:pPr>
            <w:r w:rsidRPr="000B49C6">
              <w:t>Patients aged 18 year or older with confirmed diagnosis of toxin B positive CDI, who are at high risk of CDI recurrence and receiving oral antibiotics.</w:t>
            </w:r>
          </w:p>
        </w:tc>
      </w:tr>
      <w:tr w:rsidR="0040741E" w:rsidRPr="000B49C6" w:rsidTr="00B71DD0">
        <w:trPr>
          <w:cantSplit/>
        </w:trPr>
        <w:tc>
          <w:tcPr>
            <w:tcW w:w="1696" w:type="dxa"/>
            <w:shd w:val="clear" w:color="auto" w:fill="auto"/>
            <w:vAlign w:val="center"/>
          </w:tcPr>
          <w:p w:rsidR="0040741E" w:rsidRPr="000B49C6" w:rsidRDefault="0040741E" w:rsidP="00F4358C">
            <w:pPr>
              <w:pStyle w:val="Tabletext"/>
              <w:keepNext/>
            </w:pPr>
            <w:r w:rsidRPr="000B49C6">
              <w:t>Intervention</w:t>
            </w:r>
          </w:p>
        </w:tc>
        <w:tc>
          <w:tcPr>
            <w:tcW w:w="7484" w:type="dxa"/>
            <w:shd w:val="clear" w:color="auto" w:fill="auto"/>
          </w:tcPr>
          <w:p w:rsidR="0040741E" w:rsidRPr="000B49C6" w:rsidRDefault="0040741E" w:rsidP="00F4358C">
            <w:pPr>
              <w:pStyle w:val="Tabletext"/>
              <w:keepNext/>
            </w:pPr>
            <w:proofErr w:type="spellStart"/>
            <w:r w:rsidRPr="000B49C6">
              <w:t>Bezlotoxumab</w:t>
            </w:r>
            <w:proofErr w:type="spellEnd"/>
            <w:r w:rsidRPr="000B49C6">
              <w:t xml:space="preserve"> 1000mg IV single administration.</w:t>
            </w:r>
          </w:p>
        </w:tc>
      </w:tr>
      <w:tr w:rsidR="0040741E" w:rsidRPr="000B49C6" w:rsidTr="00B71DD0">
        <w:trPr>
          <w:cantSplit/>
        </w:trPr>
        <w:tc>
          <w:tcPr>
            <w:tcW w:w="1696" w:type="dxa"/>
            <w:shd w:val="clear" w:color="auto" w:fill="auto"/>
            <w:vAlign w:val="center"/>
          </w:tcPr>
          <w:p w:rsidR="0040741E" w:rsidRPr="000B49C6" w:rsidRDefault="0040741E" w:rsidP="00F4358C">
            <w:pPr>
              <w:pStyle w:val="Tabletext"/>
              <w:keepNext/>
            </w:pPr>
            <w:r w:rsidRPr="000B49C6">
              <w:t>Comparator</w:t>
            </w:r>
          </w:p>
        </w:tc>
        <w:tc>
          <w:tcPr>
            <w:tcW w:w="7484" w:type="dxa"/>
            <w:shd w:val="clear" w:color="auto" w:fill="auto"/>
          </w:tcPr>
          <w:p w:rsidR="0040741E" w:rsidRPr="000B49C6" w:rsidRDefault="0040741E" w:rsidP="00F4358C">
            <w:pPr>
              <w:pStyle w:val="Tabletext"/>
              <w:keepNext/>
            </w:pPr>
            <w:proofErr w:type="spellStart"/>
            <w:r w:rsidRPr="000B49C6">
              <w:t>S</w:t>
            </w:r>
            <w:r w:rsidR="00C0267A" w:rsidRPr="000B49C6">
              <w:t>o</w:t>
            </w:r>
            <w:r w:rsidRPr="000B49C6">
              <w:t>C</w:t>
            </w:r>
            <w:proofErr w:type="spellEnd"/>
            <w:r w:rsidRPr="000B49C6">
              <w:t xml:space="preserve"> antibiotic therapy including but not limited to vancomycin / metronidazole.</w:t>
            </w:r>
          </w:p>
        </w:tc>
      </w:tr>
      <w:tr w:rsidR="0040741E" w:rsidRPr="000B49C6" w:rsidTr="00B71DD0">
        <w:trPr>
          <w:cantSplit/>
        </w:trPr>
        <w:tc>
          <w:tcPr>
            <w:tcW w:w="1696" w:type="dxa"/>
            <w:shd w:val="clear" w:color="auto" w:fill="auto"/>
            <w:vAlign w:val="center"/>
          </w:tcPr>
          <w:p w:rsidR="0040741E" w:rsidRPr="000B49C6" w:rsidRDefault="0040741E" w:rsidP="00F4358C">
            <w:pPr>
              <w:pStyle w:val="Tabletext"/>
              <w:keepNext/>
            </w:pPr>
            <w:r w:rsidRPr="000B49C6">
              <w:t>Outcomes</w:t>
            </w:r>
          </w:p>
        </w:tc>
        <w:tc>
          <w:tcPr>
            <w:tcW w:w="7484" w:type="dxa"/>
            <w:shd w:val="clear" w:color="auto" w:fill="auto"/>
          </w:tcPr>
          <w:p w:rsidR="0040741E" w:rsidRPr="000B49C6" w:rsidRDefault="0040741E" w:rsidP="00F4358C">
            <w:pPr>
              <w:pStyle w:val="Tabletext"/>
              <w:keepNext/>
            </w:pPr>
            <w:r w:rsidRPr="000B49C6">
              <w:t>Prevention of recurrence of CDI and reduction in hospitalisations due to CDI recurrence.</w:t>
            </w:r>
          </w:p>
        </w:tc>
      </w:tr>
      <w:tr w:rsidR="0040741E" w:rsidRPr="000B49C6" w:rsidTr="00B71DD0">
        <w:trPr>
          <w:cantSplit/>
        </w:trPr>
        <w:tc>
          <w:tcPr>
            <w:tcW w:w="1696" w:type="dxa"/>
            <w:shd w:val="clear" w:color="auto" w:fill="auto"/>
            <w:vAlign w:val="center"/>
          </w:tcPr>
          <w:p w:rsidR="0040741E" w:rsidRPr="000B49C6" w:rsidRDefault="0040741E" w:rsidP="00F4358C">
            <w:pPr>
              <w:pStyle w:val="Tabletext"/>
              <w:keepNext/>
            </w:pPr>
            <w:r w:rsidRPr="000B49C6">
              <w:t>Clinical claim</w:t>
            </w:r>
          </w:p>
        </w:tc>
        <w:tc>
          <w:tcPr>
            <w:tcW w:w="7484" w:type="dxa"/>
            <w:shd w:val="clear" w:color="auto" w:fill="auto"/>
          </w:tcPr>
          <w:p w:rsidR="0040741E" w:rsidRPr="000B49C6" w:rsidRDefault="0040741E" w:rsidP="00F4358C">
            <w:pPr>
              <w:pStyle w:val="Tabletext"/>
              <w:keepNext/>
            </w:pPr>
            <w:r w:rsidRPr="000B49C6">
              <w:t xml:space="preserve">In patients with CDI, </w:t>
            </w:r>
            <w:proofErr w:type="spellStart"/>
            <w:r w:rsidRPr="000B49C6">
              <w:t>bezlotoxumab</w:t>
            </w:r>
            <w:proofErr w:type="spellEnd"/>
            <w:r w:rsidRPr="000B49C6">
              <w:t xml:space="preserve"> with </w:t>
            </w:r>
            <w:proofErr w:type="spellStart"/>
            <w:r w:rsidRPr="000B49C6">
              <w:t>S</w:t>
            </w:r>
            <w:r w:rsidR="00C0267A" w:rsidRPr="000B49C6">
              <w:t>oC</w:t>
            </w:r>
            <w:proofErr w:type="spellEnd"/>
            <w:r w:rsidR="00C0267A" w:rsidRPr="000B49C6">
              <w:t xml:space="preserve"> is more effective than </w:t>
            </w:r>
            <w:proofErr w:type="spellStart"/>
            <w:r w:rsidR="00C0267A" w:rsidRPr="000B49C6">
              <w:t>So</w:t>
            </w:r>
            <w:r w:rsidRPr="000B49C6">
              <w:t>C</w:t>
            </w:r>
            <w:proofErr w:type="spellEnd"/>
            <w:r w:rsidR="00C0267A" w:rsidRPr="000B49C6">
              <w:t xml:space="preserve"> antibiotics</w:t>
            </w:r>
            <w:r w:rsidRPr="000B49C6">
              <w:t xml:space="preserve"> at preventing recurrence of CDI infection with a similar safety profile.</w:t>
            </w:r>
          </w:p>
        </w:tc>
      </w:tr>
    </w:tbl>
    <w:p w:rsidR="0040741E" w:rsidRPr="000B49C6" w:rsidRDefault="0040741E" w:rsidP="00C0267A">
      <w:pPr>
        <w:rPr>
          <w:rFonts w:ascii="Arial Narrow" w:hAnsi="Arial Narrow"/>
          <w:sz w:val="18"/>
        </w:rPr>
      </w:pPr>
      <w:r w:rsidRPr="000B49C6">
        <w:rPr>
          <w:rFonts w:ascii="Arial Narrow" w:hAnsi="Arial Narrow"/>
          <w:sz w:val="18"/>
        </w:rPr>
        <w:t>Abbreviations:  CDI=</w:t>
      </w:r>
      <w:r w:rsidR="000B49C6" w:rsidRPr="000B49C6">
        <w:rPr>
          <w:rFonts w:ascii="Arial Narrow" w:hAnsi="Arial Narrow"/>
          <w:i/>
          <w:sz w:val="18"/>
        </w:rPr>
        <w:t>clostridium difficile</w:t>
      </w:r>
      <w:r w:rsidRPr="000B49C6">
        <w:rPr>
          <w:rFonts w:ascii="Arial Narrow" w:hAnsi="Arial Narrow"/>
          <w:sz w:val="18"/>
        </w:rPr>
        <w:t xml:space="preserve"> infection; IV=intravenous; </w:t>
      </w:r>
      <w:proofErr w:type="spellStart"/>
      <w:r w:rsidRPr="000B49C6">
        <w:rPr>
          <w:rFonts w:ascii="Arial Narrow" w:hAnsi="Arial Narrow"/>
          <w:sz w:val="18"/>
        </w:rPr>
        <w:t>S</w:t>
      </w:r>
      <w:r w:rsidR="00C0267A" w:rsidRPr="000B49C6">
        <w:rPr>
          <w:rFonts w:ascii="Arial Narrow" w:hAnsi="Arial Narrow"/>
          <w:sz w:val="18"/>
        </w:rPr>
        <w:t>o</w:t>
      </w:r>
      <w:r w:rsidRPr="000B49C6">
        <w:rPr>
          <w:rFonts w:ascii="Arial Narrow" w:hAnsi="Arial Narrow"/>
          <w:sz w:val="18"/>
        </w:rPr>
        <w:t>C</w:t>
      </w:r>
      <w:proofErr w:type="spellEnd"/>
      <w:r w:rsidRPr="000B49C6">
        <w:rPr>
          <w:rFonts w:ascii="Arial Narrow" w:hAnsi="Arial Narrow"/>
          <w:sz w:val="18"/>
        </w:rPr>
        <w:t>=standard of care</w:t>
      </w:r>
    </w:p>
    <w:p w:rsidR="0040741E" w:rsidRPr="000B49C6" w:rsidRDefault="0040741E" w:rsidP="0040741E">
      <w:pPr>
        <w:widowControl/>
      </w:pPr>
      <w:r w:rsidRPr="000B49C6">
        <w:rPr>
          <w:rFonts w:ascii="Arial Narrow" w:hAnsi="Arial Narrow"/>
          <w:sz w:val="18"/>
        </w:rPr>
        <w:t>Source: Table 1-2, p13 of the resubmission</w:t>
      </w:r>
    </w:p>
    <w:p w:rsidR="00B60939" w:rsidRPr="000B49C6" w:rsidRDefault="00B50DB8" w:rsidP="00AB4E07">
      <w:pPr>
        <w:pStyle w:val="PBACHeading1"/>
        <w:spacing w:before="240" w:after="120"/>
      </w:pPr>
      <w:bookmarkStart w:id="1" w:name="_Toc514248028"/>
      <w:r w:rsidRPr="000B49C6">
        <w:t>Requested listing</w:t>
      </w:r>
      <w:bookmarkEnd w:id="1"/>
    </w:p>
    <w:p w:rsidR="00E71F79" w:rsidRPr="008C3718" w:rsidRDefault="00E71F79" w:rsidP="00E71F79">
      <w:pPr>
        <w:rPr>
          <w:b/>
        </w:rPr>
      </w:pPr>
      <w:r w:rsidRPr="00360EEB">
        <w:rPr>
          <w:iCs/>
        </w:rPr>
        <w:t>S</w:t>
      </w:r>
      <w:r>
        <w:rPr>
          <w:iCs/>
        </w:rPr>
        <w:t>ecretariat s</w:t>
      </w:r>
      <w:r w:rsidRPr="00360EEB">
        <w:rPr>
          <w:iCs/>
        </w:rPr>
        <w:t>uggested additions are in italics and deletions are in strikethrough</w:t>
      </w:r>
      <w:r>
        <w:rPr>
          <w:iCs/>
        </w:rPr>
        <w:t>.</w:t>
      </w: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E71F79" w:rsidRPr="004F52D9" w:rsidTr="00991401">
        <w:trPr>
          <w:cantSplit/>
          <w:trHeight w:val="471"/>
        </w:trPr>
        <w:tc>
          <w:tcPr>
            <w:tcW w:w="3261" w:type="dxa"/>
            <w:gridSpan w:val="2"/>
            <w:tcBorders>
              <w:bottom w:val="single" w:sz="4" w:space="0" w:color="auto"/>
            </w:tcBorders>
          </w:tcPr>
          <w:p w:rsidR="00E71F79" w:rsidRPr="00F4358C" w:rsidRDefault="00E71F79" w:rsidP="00991401">
            <w:pPr>
              <w:keepNext/>
              <w:widowControl/>
              <w:ind w:left="-108"/>
              <w:rPr>
                <w:rFonts w:ascii="Arial Narrow" w:hAnsi="Arial Narrow"/>
                <w:b/>
                <w:snapToGrid/>
                <w:sz w:val="20"/>
                <w:szCs w:val="20"/>
                <w:lang w:eastAsia="en-AU"/>
              </w:rPr>
            </w:pPr>
            <w:r w:rsidRPr="00F4358C">
              <w:rPr>
                <w:rFonts w:ascii="Arial Narrow" w:hAnsi="Arial Narrow"/>
                <w:b/>
                <w:snapToGrid/>
                <w:sz w:val="20"/>
                <w:szCs w:val="20"/>
                <w:lang w:eastAsia="en-AU"/>
              </w:rPr>
              <w:lastRenderedPageBreak/>
              <w:t>Name, Restriction,</w:t>
            </w:r>
          </w:p>
          <w:p w:rsidR="00E71F79" w:rsidRPr="00F4358C" w:rsidRDefault="00E71F79" w:rsidP="00991401">
            <w:pPr>
              <w:keepNext/>
              <w:widowControl/>
              <w:ind w:left="-108"/>
              <w:rPr>
                <w:rFonts w:ascii="Arial Narrow" w:hAnsi="Arial Narrow"/>
                <w:b/>
                <w:snapToGrid/>
                <w:sz w:val="20"/>
                <w:szCs w:val="20"/>
                <w:lang w:eastAsia="en-AU"/>
              </w:rPr>
            </w:pPr>
            <w:r w:rsidRPr="00F4358C">
              <w:rPr>
                <w:rFonts w:ascii="Arial Narrow" w:hAnsi="Arial Narrow"/>
                <w:b/>
                <w:snapToGrid/>
                <w:sz w:val="20"/>
                <w:szCs w:val="20"/>
                <w:lang w:eastAsia="en-AU"/>
              </w:rPr>
              <w:t>Manner of administration and form</w:t>
            </w:r>
          </w:p>
        </w:tc>
        <w:tc>
          <w:tcPr>
            <w:tcW w:w="567" w:type="dxa"/>
            <w:tcBorders>
              <w:bottom w:val="single" w:sz="4" w:space="0" w:color="auto"/>
            </w:tcBorders>
          </w:tcPr>
          <w:p w:rsidR="00E71F79" w:rsidRPr="00F4358C" w:rsidRDefault="00E71F79" w:rsidP="00991401">
            <w:pPr>
              <w:keepNext/>
              <w:widowControl/>
              <w:ind w:left="-108"/>
              <w:rPr>
                <w:rFonts w:ascii="Arial Narrow" w:hAnsi="Arial Narrow"/>
                <w:b/>
                <w:snapToGrid/>
                <w:sz w:val="20"/>
                <w:szCs w:val="20"/>
                <w:lang w:eastAsia="en-AU"/>
              </w:rPr>
            </w:pPr>
            <w:r w:rsidRPr="00F4358C">
              <w:rPr>
                <w:rFonts w:ascii="Arial Narrow" w:hAnsi="Arial Narrow"/>
                <w:b/>
                <w:snapToGrid/>
                <w:sz w:val="20"/>
                <w:szCs w:val="20"/>
                <w:lang w:eastAsia="en-AU"/>
              </w:rPr>
              <w:t>Max.</w:t>
            </w:r>
          </w:p>
          <w:p w:rsidR="00E71F79" w:rsidRPr="00F4358C" w:rsidRDefault="00E71F79" w:rsidP="00991401">
            <w:pPr>
              <w:keepNext/>
              <w:widowControl/>
              <w:ind w:left="-108"/>
              <w:rPr>
                <w:rFonts w:ascii="Arial Narrow" w:hAnsi="Arial Narrow"/>
                <w:b/>
                <w:snapToGrid/>
                <w:sz w:val="20"/>
                <w:szCs w:val="20"/>
                <w:lang w:eastAsia="en-AU"/>
              </w:rPr>
            </w:pPr>
            <w:r w:rsidRPr="00F4358C">
              <w:rPr>
                <w:rFonts w:ascii="Arial Narrow" w:hAnsi="Arial Narrow"/>
                <w:b/>
                <w:snapToGrid/>
                <w:sz w:val="20"/>
                <w:szCs w:val="20"/>
                <w:lang w:eastAsia="en-AU"/>
              </w:rPr>
              <w:t>Qty</w:t>
            </w:r>
          </w:p>
        </w:tc>
        <w:tc>
          <w:tcPr>
            <w:tcW w:w="850" w:type="dxa"/>
            <w:tcBorders>
              <w:bottom w:val="single" w:sz="4" w:space="0" w:color="auto"/>
            </w:tcBorders>
          </w:tcPr>
          <w:p w:rsidR="00E71F79" w:rsidRPr="00F4358C" w:rsidRDefault="00E71F79" w:rsidP="00991401">
            <w:pPr>
              <w:keepNext/>
              <w:widowControl/>
              <w:ind w:left="-108"/>
              <w:rPr>
                <w:rFonts w:ascii="Arial Narrow" w:hAnsi="Arial Narrow"/>
                <w:b/>
                <w:snapToGrid/>
                <w:sz w:val="20"/>
                <w:szCs w:val="20"/>
                <w:lang w:eastAsia="en-AU"/>
              </w:rPr>
            </w:pPr>
            <w:r w:rsidRPr="00F4358C">
              <w:rPr>
                <w:rFonts w:ascii="Arial Narrow" w:hAnsi="Arial Narrow"/>
                <w:b/>
                <w:snapToGrid/>
                <w:sz w:val="20"/>
                <w:szCs w:val="20"/>
                <w:lang w:eastAsia="en-AU"/>
              </w:rPr>
              <w:t>№.of</w:t>
            </w:r>
          </w:p>
          <w:p w:rsidR="00E71F79" w:rsidRPr="00F4358C" w:rsidRDefault="00E71F79" w:rsidP="00991401">
            <w:pPr>
              <w:keepNext/>
              <w:widowControl/>
              <w:ind w:left="-108"/>
              <w:rPr>
                <w:rFonts w:ascii="Arial Narrow" w:hAnsi="Arial Narrow"/>
                <w:b/>
                <w:snapToGrid/>
                <w:sz w:val="20"/>
                <w:szCs w:val="20"/>
                <w:lang w:eastAsia="en-AU"/>
              </w:rPr>
            </w:pPr>
            <w:r w:rsidRPr="00F4358C">
              <w:rPr>
                <w:rFonts w:ascii="Arial Narrow" w:hAnsi="Arial Narrow"/>
                <w:b/>
                <w:snapToGrid/>
                <w:sz w:val="20"/>
                <w:szCs w:val="20"/>
                <w:lang w:eastAsia="en-AU"/>
              </w:rPr>
              <w:t>Rpts</w:t>
            </w:r>
          </w:p>
        </w:tc>
        <w:tc>
          <w:tcPr>
            <w:tcW w:w="1701" w:type="dxa"/>
            <w:tcBorders>
              <w:bottom w:val="single" w:sz="4" w:space="0" w:color="auto"/>
            </w:tcBorders>
          </w:tcPr>
          <w:p w:rsidR="00E71F79" w:rsidRPr="00F4358C" w:rsidRDefault="00E71F79" w:rsidP="00F4358C">
            <w:pPr>
              <w:keepNext/>
              <w:widowControl/>
              <w:ind w:left="-108"/>
              <w:jc w:val="left"/>
              <w:rPr>
                <w:rFonts w:ascii="Arial Narrow" w:hAnsi="Arial Narrow"/>
                <w:b/>
                <w:snapToGrid/>
                <w:sz w:val="20"/>
                <w:szCs w:val="20"/>
                <w:lang w:eastAsia="en-AU"/>
              </w:rPr>
            </w:pPr>
            <w:r w:rsidRPr="00F4358C">
              <w:rPr>
                <w:rFonts w:ascii="Arial Narrow" w:hAnsi="Arial Narrow"/>
                <w:b/>
                <w:snapToGrid/>
                <w:sz w:val="20"/>
                <w:szCs w:val="20"/>
                <w:lang w:eastAsia="en-AU"/>
              </w:rPr>
              <w:t>Dispensed Price for Max. Qty</w:t>
            </w:r>
          </w:p>
        </w:tc>
        <w:tc>
          <w:tcPr>
            <w:tcW w:w="2835" w:type="dxa"/>
            <w:gridSpan w:val="2"/>
            <w:tcBorders>
              <w:bottom w:val="single" w:sz="4" w:space="0" w:color="auto"/>
            </w:tcBorders>
          </w:tcPr>
          <w:p w:rsidR="00E71F79" w:rsidRPr="00F4358C" w:rsidRDefault="00E71F79" w:rsidP="00F4358C">
            <w:pPr>
              <w:keepNext/>
              <w:widowControl/>
              <w:jc w:val="left"/>
              <w:rPr>
                <w:rFonts w:ascii="Arial Narrow" w:hAnsi="Arial Narrow"/>
                <w:b/>
                <w:snapToGrid/>
                <w:sz w:val="20"/>
                <w:szCs w:val="20"/>
                <w:lang w:val="fr-FR" w:eastAsia="en-AU"/>
              </w:rPr>
            </w:pPr>
            <w:r w:rsidRPr="00F4358C">
              <w:rPr>
                <w:rFonts w:ascii="Arial Narrow" w:hAnsi="Arial Narrow"/>
                <w:b/>
                <w:snapToGrid/>
                <w:sz w:val="20"/>
                <w:szCs w:val="20"/>
                <w:lang w:eastAsia="en-AU"/>
              </w:rPr>
              <w:t>Proprietary Name and Manufacturer</w:t>
            </w:r>
          </w:p>
        </w:tc>
      </w:tr>
      <w:tr w:rsidR="00E71F79" w:rsidRPr="004F52D9" w:rsidTr="00991401">
        <w:trPr>
          <w:cantSplit/>
          <w:trHeight w:val="577"/>
        </w:trPr>
        <w:tc>
          <w:tcPr>
            <w:tcW w:w="3261" w:type="dxa"/>
            <w:gridSpan w:val="2"/>
            <w:vAlign w:val="center"/>
          </w:tcPr>
          <w:p w:rsidR="00E71F79" w:rsidRPr="004F52D9" w:rsidRDefault="00E71F79" w:rsidP="00991401">
            <w:pPr>
              <w:widowControl/>
              <w:jc w:val="left"/>
              <w:rPr>
                <w:rFonts w:ascii="Arial Narrow" w:eastAsia="Arial" w:hAnsi="Arial Narrow" w:cs="Times New Roman"/>
                <w:snapToGrid/>
                <w:sz w:val="20"/>
                <w:szCs w:val="20"/>
              </w:rPr>
            </w:pPr>
            <w:proofErr w:type="spellStart"/>
            <w:r w:rsidRPr="004F52D9">
              <w:rPr>
                <w:rFonts w:ascii="Arial Narrow" w:eastAsia="Arial" w:hAnsi="Arial Narrow" w:cs="Times New Roman"/>
                <w:snapToGrid/>
                <w:sz w:val="20"/>
                <w:szCs w:val="20"/>
              </w:rPr>
              <w:t>Bezlotoxumab</w:t>
            </w:r>
            <w:proofErr w:type="spellEnd"/>
            <w:r w:rsidRPr="004F52D9">
              <w:rPr>
                <w:rFonts w:ascii="Arial Narrow" w:eastAsia="Arial" w:hAnsi="Arial Narrow" w:cs="Times New Roman"/>
                <w:snapToGrid/>
                <w:sz w:val="20"/>
                <w:szCs w:val="20"/>
              </w:rPr>
              <w:t>, concentrated vial for injection, 1000mg/40mL</w:t>
            </w:r>
          </w:p>
        </w:tc>
        <w:tc>
          <w:tcPr>
            <w:tcW w:w="567" w:type="dxa"/>
            <w:vAlign w:val="center"/>
          </w:tcPr>
          <w:p w:rsidR="00E71F79" w:rsidRPr="004F52D9" w:rsidRDefault="00E71F79" w:rsidP="00991401">
            <w:pPr>
              <w:widowControl/>
              <w:jc w:val="left"/>
              <w:rPr>
                <w:rFonts w:ascii="Arial Narrow" w:eastAsia="Arial" w:hAnsi="Arial Narrow" w:cs="Times New Roman"/>
                <w:snapToGrid/>
                <w:sz w:val="20"/>
                <w:szCs w:val="20"/>
              </w:rPr>
            </w:pPr>
            <w:r w:rsidRPr="004F52D9">
              <w:rPr>
                <w:rFonts w:ascii="Arial Narrow" w:eastAsia="Arial" w:hAnsi="Arial Narrow" w:cs="Times New Roman"/>
                <w:snapToGrid/>
                <w:sz w:val="20"/>
                <w:szCs w:val="20"/>
              </w:rPr>
              <w:t>1</w:t>
            </w:r>
          </w:p>
        </w:tc>
        <w:tc>
          <w:tcPr>
            <w:tcW w:w="850" w:type="dxa"/>
            <w:vAlign w:val="center"/>
          </w:tcPr>
          <w:p w:rsidR="00E71F79" w:rsidRPr="004F52D9" w:rsidRDefault="00E71F79" w:rsidP="00991401">
            <w:pPr>
              <w:widowControl/>
              <w:jc w:val="left"/>
              <w:rPr>
                <w:rFonts w:ascii="Arial Narrow" w:eastAsia="Arial" w:hAnsi="Arial Narrow" w:cs="Times New Roman"/>
                <w:snapToGrid/>
                <w:sz w:val="20"/>
                <w:szCs w:val="20"/>
              </w:rPr>
            </w:pPr>
            <w:r w:rsidRPr="004F52D9">
              <w:rPr>
                <w:rFonts w:ascii="Arial Narrow" w:eastAsia="Arial" w:hAnsi="Arial Narrow" w:cs="Times New Roman"/>
                <w:snapToGrid/>
                <w:sz w:val="20"/>
                <w:szCs w:val="20"/>
              </w:rPr>
              <w:t>0</w:t>
            </w:r>
          </w:p>
        </w:tc>
        <w:tc>
          <w:tcPr>
            <w:tcW w:w="1701" w:type="dxa"/>
            <w:vAlign w:val="center"/>
          </w:tcPr>
          <w:p w:rsidR="00E71F79" w:rsidRPr="008C3718" w:rsidRDefault="00E71F79" w:rsidP="00E71F79">
            <w:pPr>
              <w:pStyle w:val="Tabletext"/>
              <w:rPr>
                <w:iCs/>
                <w:u w:val="single"/>
              </w:rPr>
            </w:pPr>
            <w:r w:rsidRPr="008C3718">
              <w:rPr>
                <w:iCs/>
                <w:u w:val="single"/>
              </w:rPr>
              <w:t>published prices</w:t>
            </w:r>
          </w:p>
          <w:p w:rsidR="00E71F79" w:rsidRPr="008C3718" w:rsidRDefault="00E71F79" w:rsidP="00E71F79">
            <w:pPr>
              <w:pStyle w:val="Tabletext"/>
              <w:rPr>
                <w:iCs/>
              </w:rPr>
            </w:pPr>
            <w:r w:rsidRPr="008C3718">
              <w:rPr>
                <w:iCs/>
              </w:rPr>
              <w:t>$</w:t>
            </w:r>
            <w:r w:rsidR="00410A2A">
              <w:rPr>
                <w:iCs/>
                <w:noProof/>
                <w:color w:val="000000"/>
                <w:highlight w:val="black"/>
              </w:rPr>
              <w:t>'''''''''''''''''''</w:t>
            </w:r>
            <w:r w:rsidRPr="008C3718">
              <w:rPr>
                <w:iCs/>
              </w:rPr>
              <w:t xml:space="preserve"> (public)</w:t>
            </w:r>
          </w:p>
          <w:p w:rsidR="00E71F79" w:rsidRPr="008C3718" w:rsidRDefault="00E71F79" w:rsidP="00E71F79">
            <w:pPr>
              <w:pStyle w:val="Tabletext"/>
              <w:rPr>
                <w:iCs/>
              </w:rPr>
            </w:pPr>
            <w:r w:rsidRPr="008C3718">
              <w:rPr>
                <w:iCs/>
              </w:rPr>
              <w:t>$</w:t>
            </w:r>
            <w:r w:rsidR="00410A2A">
              <w:rPr>
                <w:iCs/>
                <w:noProof/>
                <w:color w:val="000000"/>
                <w:highlight w:val="black"/>
              </w:rPr>
              <w:t>'''''''''''''''''''</w:t>
            </w:r>
            <w:r w:rsidRPr="008C3718">
              <w:rPr>
                <w:iCs/>
              </w:rPr>
              <w:t xml:space="preserve"> (private)</w:t>
            </w:r>
          </w:p>
          <w:p w:rsidR="00E71F79" w:rsidRPr="008C3718" w:rsidRDefault="00E71F79" w:rsidP="00E71F79">
            <w:pPr>
              <w:pStyle w:val="Tabletext"/>
              <w:rPr>
                <w:iCs/>
                <w:u w:val="single"/>
              </w:rPr>
            </w:pPr>
            <w:r w:rsidRPr="008C3718">
              <w:rPr>
                <w:iCs/>
                <w:u w:val="single"/>
              </w:rPr>
              <w:t>effective price</w:t>
            </w:r>
          </w:p>
          <w:p w:rsidR="00E71F79" w:rsidRPr="008C3718" w:rsidRDefault="00E71F79" w:rsidP="00E71F79">
            <w:pPr>
              <w:pStyle w:val="Tabletext"/>
              <w:rPr>
                <w:iCs/>
              </w:rPr>
            </w:pPr>
            <w:r w:rsidRPr="008C3718">
              <w:rPr>
                <w:iCs/>
              </w:rPr>
              <w:t>$</w:t>
            </w:r>
            <w:r w:rsidR="00410A2A">
              <w:rPr>
                <w:iCs/>
                <w:noProof/>
                <w:color w:val="000000"/>
                <w:highlight w:val="black"/>
              </w:rPr>
              <w:t>'''''''''''''''''''''''</w:t>
            </w:r>
            <w:r w:rsidRPr="008C3718">
              <w:rPr>
                <w:iCs/>
              </w:rPr>
              <w:t xml:space="preserve"> (public)</w:t>
            </w:r>
          </w:p>
          <w:p w:rsidR="00E71F79" w:rsidRPr="004F52D9" w:rsidRDefault="00E71F79" w:rsidP="00E71F79">
            <w:pPr>
              <w:pStyle w:val="Tabletext"/>
              <w:rPr>
                <w:rFonts w:eastAsia="Arial"/>
                <w:szCs w:val="20"/>
              </w:rPr>
            </w:pPr>
            <w:r w:rsidRPr="008C3718">
              <w:rPr>
                <w:iCs/>
              </w:rPr>
              <w:t>$</w:t>
            </w:r>
            <w:r w:rsidR="00410A2A">
              <w:rPr>
                <w:iCs/>
                <w:noProof/>
                <w:color w:val="000000"/>
                <w:highlight w:val="black"/>
              </w:rPr>
              <w:t>''''''''''''''''''''''</w:t>
            </w:r>
            <w:r w:rsidRPr="008C3718">
              <w:rPr>
                <w:iCs/>
              </w:rPr>
              <w:t xml:space="preserve"> (private)</w:t>
            </w:r>
          </w:p>
        </w:tc>
        <w:tc>
          <w:tcPr>
            <w:tcW w:w="1559" w:type="dxa"/>
            <w:vAlign w:val="center"/>
          </w:tcPr>
          <w:p w:rsidR="00E71F79" w:rsidRPr="004F52D9" w:rsidRDefault="00E71F79" w:rsidP="00991401">
            <w:pPr>
              <w:widowControl/>
              <w:jc w:val="left"/>
              <w:rPr>
                <w:rFonts w:ascii="Arial Narrow" w:eastAsia="Arial" w:hAnsi="Arial Narrow" w:cs="Times New Roman"/>
                <w:snapToGrid/>
                <w:sz w:val="20"/>
                <w:szCs w:val="20"/>
              </w:rPr>
            </w:pPr>
            <w:proofErr w:type="spellStart"/>
            <w:r w:rsidRPr="004F52D9">
              <w:rPr>
                <w:rFonts w:ascii="Arial Narrow" w:eastAsia="Arial" w:hAnsi="Arial Narrow" w:cs="Times New Roman"/>
                <w:snapToGrid/>
                <w:sz w:val="20"/>
                <w:szCs w:val="20"/>
              </w:rPr>
              <w:t>Zinplava</w:t>
            </w:r>
            <w:proofErr w:type="spellEnd"/>
          </w:p>
        </w:tc>
        <w:tc>
          <w:tcPr>
            <w:tcW w:w="1276" w:type="dxa"/>
            <w:vAlign w:val="center"/>
          </w:tcPr>
          <w:p w:rsidR="00E71F79" w:rsidRPr="004F52D9" w:rsidRDefault="00E71F79" w:rsidP="00991401">
            <w:pPr>
              <w:widowControl/>
              <w:jc w:val="left"/>
              <w:rPr>
                <w:rFonts w:ascii="Arial Narrow" w:eastAsia="Arial" w:hAnsi="Arial Narrow" w:cs="Times New Roman"/>
                <w:snapToGrid/>
                <w:sz w:val="20"/>
                <w:szCs w:val="20"/>
              </w:rPr>
            </w:pPr>
            <w:r w:rsidRPr="004F52D9">
              <w:rPr>
                <w:rFonts w:ascii="Arial Narrow" w:eastAsia="Arial" w:hAnsi="Arial Narrow" w:cs="Times New Roman"/>
                <w:snapToGrid/>
                <w:sz w:val="20"/>
                <w:szCs w:val="20"/>
              </w:rPr>
              <w:t>Merck Sharp &amp; Dohme</w:t>
            </w:r>
          </w:p>
        </w:tc>
      </w:tr>
      <w:tr w:rsidR="00E71F79" w:rsidRPr="004F52D9" w:rsidTr="00991401">
        <w:trPr>
          <w:cantSplit/>
          <w:trHeight w:val="360"/>
        </w:trPr>
        <w:tc>
          <w:tcPr>
            <w:tcW w:w="9214" w:type="dxa"/>
            <w:gridSpan w:val="7"/>
            <w:tcBorders>
              <w:bottom w:val="single" w:sz="4" w:space="0" w:color="auto"/>
            </w:tcBorders>
          </w:tcPr>
          <w:p w:rsidR="00E71F79" w:rsidRPr="004F52D9" w:rsidRDefault="00E71F79" w:rsidP="00991401">
            <w:pPr>
              <w:widowControl/>
              <w:rPr>
                <w:rFonts w:ascii="Arial Narrow" w:hAnsi="Arial Narrow"/>
                <w:snapToGrid/>
                <w:sz w:val="20"/>
                <w:szCs w:val="20"/>
                <w:lang w:eastAsia="en-AU"/>
              </w:rPr>
            </w:pPr>
          </w:p>
        </w:tc>
      </w:tr>
      <w:tr w:rsidR="00E71F79" w:rsidRPr="004F52D9" w:rsidTr="00991401">
        <w:trPr>
          <w:cantSplit/>
          <w:trHeight w:val="360"/>
        </w:trPr>
        <w:tc>
          <w:tcPr>
            <w:tcW w:w="2835" w:type="dxa"/>
            <w:tcBorders>
              <w:top w:val="single" w:sz="4" w:space="0" w:color="auto"/>
              <w:left w:val="single" w:sz="4" w:space="0" w:color="auto"/>
              <w:bottom w:val="single" w:sz="4" w:space="0" w:color="auto"/>
              <w:right w:val="single" w:sz="4" w:space="0" w:color="auto"/>
            </w:tcBorders>
          </w:tcPr>
          <w:p w:rsidR="00E71F79" w:rsidRPr="004F52D9" w:rsidRDefault="00E71F79" w:rsidP="00F4358C">
            <w:pPr>
              <w:widowControl/>
              <w:rPr>
                <w:rFonts w:ascii="Arial Narrow" w:hAnsi="Arial Narrow"/>
                <w:b/>
                <w:snapToGrid/>
                <w:sz w:val="20"/>
                <w:szCs w:val="20"/>
                <w:lang w:eastAsia="en-AU"/>
              </w:rPr>
            </w:pPr>
            <w:r w:rsidRPr="004F52D9">
              <w:rPr>
                <w:rFonts w:ascii="Arial Narrow" w:hAnsi="Arial Narrow"/>
                <w:b/>
                <w:snapToGrid/>
                <w:sz w:val="20"/>
                <w:szCs w:val="20"/>
                <w:lang w:eastAsia="en-AU"/>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E71F79" w:rsidRPr="004F52D9" w:rsidRDefault="00E71F79" w:rsidP="00991401">
            <w:pPr>
              <w:widowControl/>
              <w:jc w:val="left"/>
              <w:rPr>
                <w:rFonts w:ascii="Arial Narrow" w:hAnsi="Arial Narrow"/>
                <w:snapToGrid/>
                <w:sz w:val="20"/>
                <w:szCs w:val="20"/>
                <w:lang w:eastAsia="en-AU"/>
              </w:rPr>
            </w:pPr>
            <w:r w:rsidRPr="004F52D9">
              <w:rPr>
                <w:rFonts w:ascii="Arial Narrow" w:hAnsi="Arial Narrow"/>
                <w:snapToGrid/>
                <w:sz w:val="20"/>
                <w:szCs w:val="20"/>
                <w:lang w:eastAsia="en-AU"/>
              </w:rPr>
              <w:t>Section 100 – Authority Required</w:t>
            </w:r>
          </w:p>
        </w:tc>
      </w:tr>
      <w:tr w:rsidR="00E71F79" w:rsidRPr="004F52D9" w:rsidTr="00991401">
        <w:trPr>
          <w:cantSplit/>
          <w:trHeight w:val="360"/>
        </w:trPr>
        <w:tc>
          <w:tcPr>
            <w:tcW w:w="2835" w:type="dxa"/>
            <w:tcBorders>
              <w:top w:val="single" w:sz="4" w:space="0" w:color="auto"/>
              <w:left w:val="single" w:sz="4" w:space="0" w:color="auto"/>
              <w:bottom w:val="single" w:sz="4" w:space="0" w:color="auto"/>
              <w:right w:val="single" w:sz="4" w:space="0" w:color="auto"/>
            </w:tcBorders>
          </w:tcPr>
          <w:p w:rsidR="00E71F79" w:rsidRPr="004F52D9" w:rsidRDefault="00E71F79" w:rsidP="00991401">
            <w:pPr>
              <w:widowControl/>
              <w:rPr>
                <w:rFonts w:ascii="Arial Narrow" w:hAnsi="Arial Narrow"/>
                <w:b/>
                <w:snapToGrid/>
                <w:sz w:val="20"/>
                <w:szCs w:val="20"/>
                <w:lang w:eastAsia="en-AU"/>
              </w:rPr>
            </w:pPr>
            <w:r w:rsidRPr="004F52D9">
              <w:rPr>
                <w:rFonts w:ascii="Arial Narrow" w:hAnsi="Arial Narrow"/>
                <w:b/>
                <w:snapToGrid/>
                <w:sz w:val="20"/>
                <w:szCs w:val="20"/>
                <w:lang w:eastAsia="en-AU"/>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E71F79" w:rsidRPr="004F52D9" w:rsidRDefault="00E71F79" w:rsidP="00991401">
            <w:pPr>
              <w:widowControl/>
              <w:jc w:val="left"/>
              <w:rPr>
                <w:rFonts w:ascii="Arial Narrow" w:hAnsi="Arial Narrow"/>
                <w:snapToGrid/>
                <w:sz w:val="20"/>
                <w:szCs w:val="20"/>
                <w:lang w:eastAsia="en-AU"/>
              </w:rPr>
            </w:pPr>
            <w:r w:rsidRPr="004F52D9">
              <w:rPr>
                <w:rFonts w:ascii="Arial Narrow" w:hAnsi="Arial Narrow"/>
                <w:snapToGrid/>
                <w:sz w:val="20"/>
                <w:szCs w:val="20"/>
                <w:lang w:eastAsia="en-AU"/>
              </w:rPr>
              <w:fldChar w:fldCharType="begin">
                <w:ffData>
                  <w:name w:val="Check1"/>
                  <w:enabled/>
                  <w:calcOnExit w:val="0"/>
                  <w:checkBox>
                    <w:sizeAuto/>
                    <w:default w:val="0"/>
                  </w:checkBox>
                </w:ffData>
              </w:fldChar>
            </w:r>
            <w:r w:rsidRPr="004F52D9">
              <w:rPr>
                <w:rFonts w:ascii="Arial Narrow" w:hAnsi="Arial Narrow"/>
                <w:snapToGrid/>
                <w:sz w:val="20"/>
                <w:szCs w:val="20"/>
                <w:lang w:eastAsia="en-AU"/>
              </w:rPr>
              <w:instrText xml:space="preserve"> FORMCHECKBOX </w:instrText>
            </w:r>
            <w:r w:rsidR="00F23853">
              <w:rPr>
                <w:rFonts w:ascii="Arial Narrow" w:hAnsi="Arial Narrow"/>
                <w:snapToGrid/>
                <w:sz w:val="20"/>
                <w:szCs w:val="20"/>
                <w:lang w:eastAsia="en-AU"/>
              </w:rPr>
            </w:r>
            <w:r w:rsidR="00F23853">
              <w:rPr>
                <w:rFonts w:ascii="Arial Narrow" w:hAnsi="Arial Narrow"/>
                <w:snapToGrid/>
                <w:sz w:val="20"/>
                <w:szCs w:val="20"/>
                <w:lang w:eastAsia="en-AU"/>
              </w:rPr>
              <w:fldChar w:fldCharType="separate"/>
            </w:r>
            <w:r w:rsidRPr="004F52D9">
              <w:rPr>
                <w:rFonts w:ascii="Arial Narrow" w:hAnsi="Arial Narrow"/>
                <w:snapToGrid/>
                <w:sz w:val="20"/>
                <w:szCs w:val="20"/>
                <w:lang w:eastAsia="en-AU"/>
              </w:rPr>
              <w:fldChar w:fldCharType="end"/>
            </w:r>
            <w:r w:rsidRPr="004F52D9">
              <w:rPr>
                <w:rFonts w:ascii="Arial Narrow" w:hAnsi="Arial Narrow"/>
                <w:snapToGrid/>
                <w:sz w:val="20"/>
                <w:szCs w:val="20"/>
                <w:lang w:eastAsia="en-AU"/>
              </w:rPr>
              <w:t xml:space="preserve">Dental  </w:t>
            </w:r>
            <w:r w:rsidRPr="004F52D9">
              <w:rPr>
                <w:rFonts w:ascii="Arial Narrow" w:hAnsi="Arial Narrow"/>
                <w:snapToGrid/>
                <w:sz w:val="20"/>
                <w:szCs w:val="20"/>
                <w:lang w:eastAsia="en-AU"/>
              </w:rPr>
              <w:fldChar w:fldCharType="begin">
                <w:ffData>
                  <w:name w:val=""/>
                  <w:enabled/>
                  <w:calcOnExit w:val="0"/>
                  <w:checkBox>
                    <w:sizeAuto/>
                    <w:default w:val="1"/>
                  </w:checkBox>
                </w:ffData>
              </w:fldChar>
            </w:r>
            <w:r w:rsidRPr="004F52D9">
              <w:rPr>
                <w:rFonts w:ascii="Arial Narrow" w:hAnsi="Arial Narrow"/>
                <w:snapToGrid/>
                <w:sz w:val="20"/>
                <w:szCs w:val="20"/>
                <w:lang w:eastAsia="en-AU"/>
              </w:rPr>
              <w:instrText xml:space="preserve"> FORMCHECKBOX </w:instrText>
            </w:r>
            <w:r w:rsidR="00F23853">
              <w:rPr>
                <w:rFonts w:ascii="Arial Narrow" w:hAnsi="Arial Narrow"/>
                <w:snapToGrid/>
                <w:sz w:val="20"/>
                <w:szCs w:val="20"/>
                <w:lang w:eastAsia="en-AU"/>
              </w:rPr>
            </w:r>
            <w:r w:rsidR="00F23853">
              <w:rPr>
                <w:rFonts w:ascii="Arial Narrow" w:hAnsi="Arial Narrow"/>
                <w:snapToGrid/>
                <w:sz w:val="20"/>
                <w:szCs w:val="20"/>
                <w:lang w:eastAsia="en-AU"/>
              </w:rPr>
              <w:fldChar w:fldCharType="separate"/>
            </w:r>
            <w:r w:rsidRPr="004F52D9">
              <w:rPr>
                <w:rFonts w:ascii="Arial Narrow" w:hAnsi="Arial Narrow"/>
                <w:snapToGrid/>
                <w:sz w:val="20"/>
                <w:szCs w:val="20"/>
                <w:lang w:eastAsia="en-AU"/>
              </w:rPr>
              <w:fldChar w:fldCharType="end"/>
            </w:r>
            <w:r w:rsidRPr="004F52D9">
              <w:rPr>
                <w:rFonts w:ascii="Arial Narrow" w:hAnsi="Arial Narrow"/>
                <w:snapToGrid/>
                <w:sz w:val="20"/>
                <w:szCs w:val="20"/>
                <w:lang w:eastAsia="en-AU"/>
              </w:rPr>
              <w:t xml:space="preserve">Medical Practitioners  </w:t>
            </w:r>
            <w:r w:rsidRPr="004F52D9">
              <w:rPr>
                <w:rFonts w:ascii="Arial Narrow" w:hAnsi="Arial Narrow"/>
                <w:snapToGrid/>
                <w:sz w:val="20"/>
                <w:szCs w:val="20"/>
                <w:lang w:eastAsia="en-AU"/>
              </w:rPr>
              <w:fldChar w:fldCharType="begin">
                <w:ffData>
                  <w:name w:val="Check3"/>
                  <w:enabled/>
                  <w:calcOnExit w:val="0"/>
                  <w:checkBox>
                    <w:sizeAuto/>
                    <w:default w:val="0"/>
                  </w:checkBox>
                </w:ffData>
              </w:fldChar>
            </w:r>
            <w:r w:rsidRPr="004F52D9">
              <w:rPr>
                <w:rFonts w:ascii="Arial Narrow" w:hAnsi="Arial Narrow"/>
                <w:snapToGrid/>
                <w:sz w:val="20"/>
                <w:szCs w:val="20"/>
                <w:lang w:eastAsia="en-AU"/>
              </w:rPr>
              <w:instrText xml:space="preserve"> FORMCHECKBOX </w:instrText>
            </w:r>
            <w:r w:rsidR="00F23853">
              <w:rPr>
                <w:rFonts w:ascii="Arial Narrow" w:hAnsi="Arial Narrow"/>
                <w:snapToGrid/>
                <w:sz w:val="20"/>
                <w:szCs w:val="20"/>
                <w:lang w:eastAsia="en-AU"/>
              </w:rPr>
            </w:r>
            <w:r w:rsidR="00F23853">
              <w:rPr>
                <w:rFonts w:ascii="Arial Narrow" w:hAnsi="Arial Narrow"/>
                <w:snapToGrid/>
                <w:sz w:val="20"/>
                <w:szCs w:val="20"/>
                <w:lang w:eastAsia="en-AU"/>
              </w:rPr>
              <w:fldChar w:fldCharType="separate"/>
            </w:r>
            <w:r w:rsidRPr="004F52D9">
              <w:rPr>
                <w:rFonts w:ascii="Arial Narrow" w:hAnsi="Arial Narrow"/>
                <w:snapToGrid/>
                <w:sz w:val="20"/>
                <w:szCs w:val="20"/>
                <w:lang w:eastAsia="en-AU"/>
              </w:rPr>
              <w:fldChar w:fldCharType="end"/>
            </w:r>
            <w:r w:rsidRPr="004F52D9">
              <w:rPr>
                <w:rFonts w:ascii="Arial Narrow" w:hAnsi="Arial Narrow"/>
                <w:snapToGrid/>
                <w:sz w:val="20"/>
                <w:szCs w:val="20"/>
                <w:lang w:eastAsia="en-AU"/>
              </w:rPr>
              <w:t xml:space="preserve">Nurse practitioners  </w:t>
            </w:r>
            <w:r w:rsidRPr="004F52D9">
              <w:rPr>
                <w:rFonts w:ascii="Arial Narrow" w:hAnsi="Arial Narrow"/>
                <w:snapToGrid/>
                <w:sz w:val="20"/>
                <w:szCs w:val="20"/>
                <w:lang w:eastAsia="en-AU"/>
              </w:rPr>
              <w:fldChar w:fldCharType="begin">
                <w:ffData>
                  <w:name w:val=""/>
                  <w:enabled/>
                  <w:calcOnExit w:val="0"/>
                  <w:checkBox>
                    <w:sizeAuto/>
                    <w:default w:val="0"/>
                  </w:checkBox>
                </w:ffData>
              </w:fldChar>
            </w:r>
            <w:r w:rsidRPr="004F52D9">
              <w:rPr>
                <w:rFonts w:ascii="Arial Narrow" w:hAnsi="Arial Narrow"/>
                <w:snapToGrid/>
                <w:sz w:val="20"/>
                <w:szCs w:val="20"/>
                <w:lang w:eastAsia="en-AU"/>
              </w:rPr>
              <w:instrText xml:space="preserve"> FORMCHECKBOX </w:instrText>
            </w:r>
            <w:r w:rsidR="00F23853">
              <w:rPr>
                <w:rFonts w:ascii="Arial Narrow" w:hAnsi="Arial Narrow"/>
                <w:snapToGrid/>
                <w:sz w:val="20"/>
                <w:szCs w:val="20"/>
                <w:lang w:eastAsia="en-AU"/>
              </w:rPr>
            </w:r>
            <w:r w:rsidR="00F23853">
              <w:rPr>
                <w:rFonts w:ascii="Arial Narrow" w:hAnsi="Arial Narrow"/>
                <w:snapToGrid/>
                <w:sz w:val="20"/>
                <w:szCs w:val="20"/>
                <w:lang w:eastAsia="en-AU"/>
              </w:rPr>
              <w:fldChar w:fldCharType="separate"/>
            </w:r>
            <w:r w:rsidRPr="004F52D9">
              <w:rPr>
                <w:rFonts w:ascii="Arial Narrow" w:hAnsi="Arial Narrow"/>
                <w:snapToGrid/>
                <w:sz w:val="20"/>
                <w:szCs w:val="20"/>
                <w:lang w:eastAsia="en-AU"/>
              </w:rPr>
              <w:fldChar w:fldCharType="end"/>
            </w:r>
            <w:r w:rsidRPr="004F52D9">
              <w:rPr>
                <w:rFonts w:ascii="Arial Narrow" w:hAnsi="Arial Narrow"/>
                <w:snapToGrid/>
                <w:sz w:val="20"/>
                <w:szCs w:val="20"/>
                <w:lang w:eastAsia="en-AU"/>
              </w:rPr>
              <w:t>Optometrists</w:t>
            </w:r>
          </w:p>
          <w:p w:rsidR="00E71F79" w:rsidRPr="004F52D9" w:rsidRDefault="00E71F79" w:rsidP="00991401">
            <w:pPr>
              <w:widowControl/>
              <w:jc w:val="left"/>
              <w:rPr>
                <w:rFonts w:ascii="Arial Narrow" w:hAnsi="Arial Narrow"/>
                <w:snapToGrid/>
                <w:sz w:val="20"/>
                <w:szCs w:val="20"/>
                <w:lang w:eastAsia="en-AU"/>
              </w:rPr>
            </w:pPr>
            <w:r w:rsidRPr="004F52D9">
              <w:rPr>
                <w:rFonts w:ascii="Arial Narrow" w:hAnsi="Arial Narrow"/>
                <w:snapToGrid/>
                <w:sz w:val="20"/>
                <w:szCs w:val="20"/>
                <w:lang w:eastAsia="en-AU"/>
              </w:rPr>
              <w:fldChar w:fldCharType="begin">
                <w:ffData>
                  <w:name w:val="Check5"/>
                  <w:enabled/>
                  <w:calcOnExit w:val="0"/>
                  <w:checkBox>
                    <w:sizeAuto/>
                    <w:default w:val="0"/>
                  </w:checkBox>
                </w:ffData>
              </w:fldChar>
            </w:r>
            <w:r w:rsidRPr="004F52D9">
              <w:rPr>
                <w:rFonts w:ascii="Arial Narrow" w:hAnsi="Arial Narrow"/>
                <w:snapToGrid/>
                <w:sz w:val="20"/>
                <w:szCs w:val="20"/>
                <w:lang w:eastAsia="en-AU"/>
              </w:rPr>
              <w:instrText xml:space="preserve"> FORMCHECKBOX </w:instrText>
            </w:r>
            <w:r w:rsidR="00F23853">
              <w:rPr>
                <w:rFonts w:ascii="Arial Narrow" w:hAnsi="Arial Narrow"/>
                <w:snapToGrid/>
                <w:sz w:val="20"/>
                <w:szCs w:val="20"/>
                <w:lang w:eastAsia="en-AU"/>
              </w:rPr>
            </w:r>
            <w:r w:rsidR="00F23853">
              <w:rPr>
                <w:rFonts w:ascii="Arial Narrow" w:hAnsi="Arial Narrow"/>
                <w:snapToGrid/>
                <w:sz w:val="20"/>
                <w:szCs w:val="20"/>
                <w:lang w:eastAsia="en-AU"/>
              </w:rPr>
              <w:fldChar w:fldCharType="separate"/>
            </w:r>
            <w:r w:rsidRPr="004F52D9">
              <w:rPr>
                <w:rFonts w:ascii="Arial Narrow" w:hAnsi="Arial Narrow"/>
                <w:snapToGrid/>
                <w:sz w:val="20"/>
                <w:szCs w:val="20"/>
                <w:lang w:eastAsia="en-AU"/>
              </w:rPr>
              <w:fldChar w:fldCharType="end"/>
            </w:r>
            <w:r w:rsidRPr="004F52D9">
              <w:rPr>
                <w:rFonts w:ascii="Arial Narrow" w:hAnsi="Arial Narrow"/>
                <w:snapToGrid/>
                <w:sz w:val="20"/>
                <w:szCs w:val="20"/>
                <w:lang w:eastAsia="en-AU"/>
              </w:rPr>
              <w:t>Midwives</w:t>
            </w:r>
          </w:p>
        </w:tc>
      </w:tr>
      <w:tr w:rsidR="00E71F79" w:rsidRPr="004F52D9" w:rsidTr="00991401">
        <w:trPr>
          <w:cantSplit/>
          <w:trHeight w:val="360"/>
        </w:trPr>
        <w:tc>
          <w:tcPr>
            <w:tcW w:w="2835" w:type="dxa"/>
            <w:tcBorders>
              <w:top w:val="single" w:sz="4" w:space="0" w:color="auto"/>
              <w:left w:val="single" w:sz="4" w:space="0" w:color="auto"/>
              <w:bottom w:val="single" w:sz="4" w:space="0" w:color="auto"/>
              <w:right w:val="single" w:sz="4" w:space="0" w:color="auto"/>
            </w:tcBorders>
          </w:tcPr>
          <w:p w:rsidR="00E71F79" w:rsidRPr="004F52D9" w:rsidRDefault="00E71F79" w:rsidP="00991401">
            <w:pPr>
              <w:widowControl/>
              <w:rPr>
                <w:rFonts w:ascii="Arial Narrow" w:hAnsi="Arial Narrow"/>
                <w:b/>
                <w:snapToGrid/>
                <w:sz w:val="20"/>
                <w:szCs w:val="20"/>
                <w:lang w:eastAsia="en-AU"/>
              </w:rPr>
            </w:pPr>
            <w:r w:rsidRPr="004F52D9">
              <w:rPr>
                <w:rFonts w:ascii="Arial Narrow" w:hAnsi="Arial Narrow"/>
                <w:b/>
                <w:snapToGrid/>
                <w:sz w:val="20"/>
                <w:szCs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E71F79" w:rsidRPr="004F52D9" w:rsidRDefault="00E71F79" w:rsidP="00991401">
            <w:pPr>
              <w:widowControl/>
              <w:jc w:val="left"/>
              <w:rPr>
                <w:rFonts w:ascii="Arial Narrow" w:hAnsi="Arial Narrow"/>
                <w:snapToGrid/>
                <w:sz w:val="20"/>
                <w:szCs w:val="20"/>
                <w:lang w:eastAsia="en-AU"/>
              </w:rPr>
            </w:pPr>
            <w:r w:rsidRPr="004F52D9">
              <w:rPr>
                <w:rFonts w:ascii="Arial Narrow" w:hAnsi="Arial Narrow"/>
                <w:snapToGrid/>
                <w:sz w:val="20"/>
                <w:szCs w:val="20"/>
                <w:lang w:eastAsia="en-AU"/>
              </w:rPr>
              <w:t xml:space="preserve">Clostridium Difficile Infection </w:t>
            </w:r>
          </w:p>
        </w:tc>
      </w:tr>
      <w:tr w:rsidR="00E71F79" w:rsidRPr="004F52D9" w:rsidTr="00991401">
        <w:trPr>
          <w:cantSplit/>
          <w:trHeight w:val="385"/>
        </w:trPr>
        <w:tc>
          <w:tcPr>
            <w:tcW w:w="2835" w:type="dxa"/>
            <w:tcBorders>
              <w:top w:val="single" w:sz="4" w:space="0" w:color="auto"/>
              <w:left w:val="single" w:sz="4" w:space="0" w:color="auto"/>
              <w:bottom w:val="single" w:sz="4" w:space="0" w:color="auto"/>
              <w:right w:val="single" w:sz="4" w:space="0" w:color="auto"/>
            </w:tcBorders>
          </w:tcPr>
          <w:p w:rsidR="00E71F79" w:rsidRPr="004F52D9" w:rsidRDefault="00E71F79" w:rsidP="00991401">
            <w:pPr>
              <w:widowControl/>
              <w:rPr>
                <w:rFonts w:ascii="Arial Narrow" w:hAnsi="Arial Narrow"/>
                <w:b/>
                <w:snapToGrid/>
                <w:sz w:val="20"/>
                <w:szCs w:val="20"/>
                <w:lang w:eastAsia="en-AU"/>
              </w:rPr>
            </w:pPr>
            <w:r w:rsidRPr="004F52D9">
              <w:rPr>
                <w:rFonts w:ascii="Arial Narrow" w:hAnsi="Arial Narrow"/>
                <w:b/>
                <w:snapToGrid/>
                <w:sz w:val="20"/>
                <w:szCs w:val="20"/>
                <w:lang w:eastAsia="en-AU"/>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E71F79" w:rsidRPr="004F52D9" w:rsidRDefault="00E71F79" w:rsidP="00991401">
            <w:pPr>
              <w:widowControl/>
              <w:jc w:val="left"/>
              <w:rPr>
                <w:rFonts w:ascii="Arial Narrow" w:hAnsi="Arial Narrow"/>
                <w:snapToGrid/>
                <w:sz w:val="20"/>
                <w:szCs w:val="20"/>
                <w:lang w:eastAsia="en-AU"/>
              </w:rPr>
            </w:pPr>
            <w:r w:rsidRPr="004F52D9">
              <w:rPr>
                <w:rFonts w:ascii="Arial Narrow" w:hAnsi="Arial Narrow"/>
                <w:snapToGrid/>
                <w:sz w:val="20"/>
                <w:szCs w:val="20"/>
                <w:lang w:eastAsia="en-AU"/>
              </w:rPr>
              <w:t>Initial</w:t>
            </w:r>
          </w:p>
        </w:tc>
      </w:tr>
      <w:tr w:rsidR="00E71F79" w:rsidRPr="004F52D9" w:rsidTr="00991401">
        <w:trPr>
          <w:cantSplit/>
          <w:trHeight w:val="360"/>
        </w:trPr>
        <w:tc>
          <w:tcPr>
            <w:tcW w:w="2835" w:type="dxa"/>
            <w:tcBorders>
              <w:top w:val="single" w:sz="4" w:space="0" w:color="auto"/>
              <w:left w:val="single" w:sz="4" w:space="0" w:color="auto"/>
              <w:bottom w:val="single" w:sz="4" w:space="0" w:color="auto"/>
              <w:right w:val="single" w:sz="4" w:space="0" w:color="auto"/>
            </w:tcBorders>
          </w:tcPr>
          <w:p w:rsidR="00E71F79" w:rsidRPr="004F52D9" w:rsidRDefault="00E71F79" w:rsidP="00991401">
            <w:pPr>
              <w:widowControl/>
              <w:rPr>
                <w:rFonts w:ascii="Arial Narrow" w:hAnsi="Arial Narrow"/>
                <w:b/>
                <w:snapToGrid/>
                <w:sz w:val="20"/>
                <w:szCs w:val="20"/>
                <w:lang w:eastAsia="en-AU"/>
              </w:rPr>
            </w:pPr>
            <w:r w:rsidRPr="004F52D9">
              <w:rPr>
                <w:rFonts w:ascii="Arial Narrow" w:hAnsi="Arial Narrow"/>
                <w:b/>
                <w:snapToGrid/>
                <w:sz w:val="20"/>
                <w:szCs w:val="20"/>
                <w:lang w:eastAsia="en-AU"/>
              </w:rPr>
              <w:t>Restriction Level / Method: Section 100 (Authority required)</w:t>
            </w:r>
          </w:p>
          <w:p w:rsidR="00E71F79" w:rsidRPr="004F52D9" w:rsidRDefault="00E71F79" w:rsidP="00991401">
            <w:pPr>
              <w:widowControl/>
              <w:jc w:val="left"/>
              <w:rPr>
                <w:rFonts w:ascii="Arial Narrow" w:hAnsi="Arial Narrow"/>
                <w:i/>
                <w:snapToGrid/>
                <w:sz w:val="20"/>
                <w:szCs w:val="20"/>
                <w:highlight w:val="yellow"/>
                <w:lang w:eastAsia="en-AU"/>
              </w:rPr>
            </w:pPr>
          </w:p>
          <w:p w:rsidR="00E71F79" w:rsidRPr="004F52D9" w:rsidRDefault="00E71F79" w:rsidP="00991401">
            <w:pPr>
              <w:widowControl/>
              <w:jc w:val="left"/>
              <w:rPr>
                <w:rFonts w:ascii="Arial Narrow" w:hAnsi="Arial Narrow"/>
                <w:i/>
                <w:snapToGrid/>
                <w:sz w:val="20"/>
                <w:szCs w:val="20"/>
                <w:lang w:eastAsia="en-AU"/>
              </w:rPr>
            </w:pPr>
          </w:p>
          <w:p w:rsidR="00E71F79" w:rsidRPr="004F52D9" w:rsidRDefault="00E71F79" w:rsidP="00991401">
            <w:pPr>
              <w:widowControl/>
              <w:jc w:val="left"/>
              <w:rPr>
                <w:rFonts w:ascii="Arial Narrow" w:hAnsi="Arial Narrow"/>
                <w:i/>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E71F79" w:rsidRPr="004F52D9" w:rsidRDefault="00E71F79" w:rsidP="00991401">
            <w:pPr>
              <w:widowControl/>
              <w:jc w:val="left"/>
              <w:rPr>
                <w:rFonts w:ascii="Arial Narrow" w:hAnsi="Arial Narrow"/>
                <w:snapToGrid/>
                <w:sz w:val="20"/>
                <w:szCs w:val="20"/>
                <w:lang w:eastAsia="en-AU"/>
              </w:rPr>
            </w:pPr>
            <w:r w:rsidRPr="004F52D9">
              <w:rPr>
                <w:rFonts w:ascii="Arial Narrow" w:hAnsi="Arial Narrow"/>
                <w:snapToGrid/>
                <w:sz w:val="20"/>
                <w:szCs w:val="20"/>
                <w:lang w:eastAsia="en-AU"/>
              </w:rPr>
              <w:fldChar w:fldCharType="begin">
                <w:ffData>
                  <w:name w:val="Check1"/>
                  <w:enabled/>
                  <w:calcOnExit w:val="0"/>
                  <w:checkBox>
                    <w:sizeAuto/>
                    <w:default w:val="0"/>
                  </w:checkBox>
                </w:ffData>
              </w:fldChar>
            </w:r>
            <w:r w:rsidRPr="004F52D9">
              <w:rPr>
                <w:rFonts w:ascii="Arial Narrow" w:hAnsi="Arial Narrow"/>
                <w:snapToGrid/>
                <w:sz w:val="20"/>
                <w:szCs w:val="20"/>
                <w:lang w:eastAsia="en-AU"/>
              </w:rPr>
              <w:instrText xml:space="preserve"> FORMCHECKBOX </w:instrText>
            </w:r>
            <w:r w:rsidR="00F23853">
              <w:rPr>
                <w:rFonts w:ascii="Arial Narrow" w:hAnsi="Arial Narrow"/>
                <w:snapToGrid/>
                <w:sz w:val="20"/>
                <w:szCs w:val="20"/>
                <w:lang w:eastAsia="en-AU"/>
              </w:rPr>
            </w:r>
            <w:r w:rsidR="00F23853">
              <w:rPr>
                <w:rFonts w:ascii="Arial Narrow" w:hAnsi="Arial Narrow"/>
                <w:snapToGrid/>
                <w:sz w:val="20"/>
                <w:szCs w:val="20"/>
                <w:lang w:eastAsia="en-AU"/>
              </w:rPr>
              <w:fldChar w:fldCharType="separate"/>
            </w:r>
            <w:r w:rsidRPr="004F52D9">
              <w:rPr>
                <w:rFonts w:ascii="Arial Narrow" w:hAnsi="Arial Narrow"/>
                <w:snapToGrid/>
                <w:sz w:val="20"/>
                <w:szCs w:val="20"/>
                <w:lang w:eastAsia="en-AU"/>
              </w:rPr>
              <w:fldChar w:fldCharType="end"/>
            </w:r>
            <w:r w:rsidRPr="004F52D9">
              <w:rPr>
                <w:rFonts w:ascii="Arial Narrow" w:hAnsi="Arial Narrow"/>
                <w:snapToGrid/>
                <w:sz w:val="20"/>
                <w:szCs w:val="20"/>
                <w:lang w:eastAsia="en-AU"/>
              </w:rPr>
              <w:t>Restricted benefit</w:t>
            </w:r>
          </w:p>
          <w:p w:rsidR="00E71F79" w:rsidRPr="004F52D9" w:rsidRDefault="00E71F79" w:rsidP="00991401">
            <w:pPr>
              <w:widowControl/>
              <w:jc w:val="left"/>
              <w:rPr>
                <w:rFonts w:ascii="Arial Narrow" w:hAnsi="Arial Narrow"/>
                <w:snapToGrid/>
                <w:sz w:val="20"/>
                <w:szCs w:val="20"/>
                <w:lang w:eastAsia="en-AU"/>
              </w:rPr>
            </w:pPr>
            <w:r w:rsidRPr="004F52D9">
              <w:rPr>
                <w:rFonts w:ascii="Arial Narrow" w:hAnsi="Arial Narrow"/>
                <w:snapToGrid/>
                <w:sz w:val="20"/>
                <w:szCs w:val="20"/>
                <w:lang w:eastAsia="en-AU"/>
              </w:rPr>
              <w:fldChar w:fldCharType="begin">
                <w:ffData>
                  <w:name w:val=""/>
                  <w:enabled/>
                  <w:calcOnExit w:val="0"/>
                  <w:checkBox>
                    <w:sizeAuto/>
                    <w:default w:val="1"/>
                  </w:checkBox>
                </w:ffData>
              </w:fldChar>
            </w:r>
            <w:r w:rsidRPr="004F52D9">
              <w:rPr>
                <w:rFonts w:ascii="Arial Narrow" w:hAnsi="Arial Narrow"/>
                <w:snapToGrid/>
                <w:sz w:val="20"/>
                <w:szCs w:val="20"/>
                <w:lang w:eastAsia="en-AU"/>
              </w:rPr>
              <w:instrText xml:space="preserve"> FORMCHECKBOX </w:instrText>
            </w:r>
            <w:r w:rsidR="00F23853">
              <w:rPr>
                <w:rFonts w:ascii="Arial Narrow" w:hAnsi="Arial Narrow"/>
                <w:snapToGrid/>
                <w:sz w:val="20"/>
                <w:szCs w:val="20"/>
                <w:lang w:eastAsia="en-AU"/>
              </w:rPr>
            </w:r>
            <w:r w:rsidR="00F23853">
              <w:rPr>
                <w:rFonts w:ascii="Arial Narrow" w:hAnsi="Arial Narrow"/>
                <w:snapToGrid/>
                <w:sz w:val="20"/>
                <w:szCs w:val="20"/>
                <w:lang w:eastAsia="en-AU"/>
              </w:rPr>
              <w:fldChar w:fldCharType="separate"/>
            </w:r>
            <w:r w:rsidRPr="004F52D9">
              <w:rPr>
                <w:rFonts w:ascii="Arial Narrow" w:hAnsi="Arial Narrow"/>
                <w:snapToGrid/>
                <w:sz w:val="20"/>
                <w:szCs w:val="20"/>
                <w:lang w:eastAsia="en-AU"/>
              </w:rPr>
              <w:fldChar w:fldCharType="end"/>
            </w:r>
            <w:r w:rsidRPr="004F52D9">
              <w:rPr>
                <w:rFonts w:ascii="Arial Narrow" w:hAnsi="Arial Narrow"/>
                <w:snapToGrid/>
                <w:sz w:val="20"/>
                <w:szCs w:val="20"/>
                <w:lang w:eastAsia="en-AU"/>
              </w:rPr>
              <w:t>Authority Required - In Writing</w:t>
            </w:r>
          </w:p>
          <w:p w:rsidR="00E71F79" w:rsidRPr="004F52D9" w:rsidRDefault="00E71F79" w:rsidP="00991401">
            <w:pPr>
              <w:widowControl/>
              <w:jc w:val="left"/>
              <w:rPr>
                <w:rFonts w:ascii="Arial Narrow" w:hAnsi="Arial Narrow"/>
                <w:snapToGrid/>
                <w:sz w:val="20"/>
                <w:szCs w:val="20"/>
                <w:lang w:eastAsia="en-AU"/>
              </w:rPr>
            </w:pPr>
            <w:r w:rsidRPr="004F52D9">
              <w:rPr>
                <w:rFonts w:ascii="Arial Narrow" w:hAnsi="Arial Narrow"/>
                <w:snapToGrid/>
                <w:sz w:val="20"/>
                <w:szCs w:val="20"/>
                <w:lang w:eastAsia="en-AU"/>
              </w:rPr>
              <w:fldChar w:fldCharType="begin">
                <w:ffData>
                  <w:name w:val="Check3"/>
                  <w:enabled/>
                  <w:calcOnExit w:val="0"/>
                  <w:checkBox>
                    <w:sizeAuto/>
                    <w:default w:val="1"/>
                  </w:checkBox>
                </w:ffData>
              </w:fldChar>
            </w:r>
            <w:bookmarkStart w:id="2" w:name="Check3"/>
            <w:r w:rsidRPr="004F52D9">
              <w:rPr>
                <w:rFonts w:ascii="Arial Narrow" w:hAnsi="Arial Narrow"/>
                <w:snapToGrid/>
                <w:sz w:val="20"/>
                <w:szCs w:val="20"/>
                <w:lang w:eastAsia="en-AU"/>
              </w:rPr>
              <w:instrText xml:space="preserve"> FORMCHECKBOX </w:instrText>
            </w:r>
            <w:r w:rsidR="00F23853">
              <w:rPr>
                <w:rFonts w:ascii="Arial Narrow" w:hAnsi="Arial Narrow"/>
                <w:snapToGrid/>
                <w:sz w:val="20"/>
                <w:szCs w:val="20"/>
                <w:lang w:eastAsia="en-AU"/>
              </w:rPr>
            </w:r>
            <w:r w:rsidR="00F23853">
              <w:rPr>
                <w:rFonts w:ascii="Arial Narrow" w:hAnsi="Arial Narrow"/>
                <w:snapToGrid/>
                <w:sz w:val="20"/>
                <w:szCs w:val="20"/>
                <w:lang w:eastAsia="en-AU"/>
              </w:rPr>
              <w:fldChar w:fldCharType="separate"/>
            </w:r>
            <w:r w:rsidRPr="004F52D9">
              <w:rPr>
                <w:rFonts w:ascii="Arial Narrow" w:hAnsi="Arial Narrow"/>
                <w:snapToGrid/>
                <w:sz w:val="20"/>
                <w:szCs w:val="20"/>
                <w:lang w:eastAsia="en-AU"/>
              </w:rPr>
              <w:fldChar w:fldCharType="end"/>
            </w:r>
            <w:bookmarkEnd w:id="2"/>
            <w:r w:rsidRPr="004F52D9">
              <w:rPr>
                <w:rFonts w:ascii="Arial Narrow" w:hAnsi="Arial Narrow"/>
                <w:snapToGrid/>
                <w:sz w:val="20"/>
                <w:szCs w:val="20"/>
                <w:lang w:eastAsia="en-AU"/>
              </w:rPr>
              <w:t>Authority Required - Telephone</w:t>
            </w:r>
          </w:p>
          <w:p w:rsidR="00E71F79" w:rsidRPr="004F52D9" w:rsidRDefault="00E71F79" w:rsidP="00991401">
            <w:pPr>
              <w:widowControl/>
              <w:jc w:val="left"/>
              <w:rPr>
                <w:rFonts w:ascii="Arial Narrow" w:hAnsi="Arial Narrow"/>
                <w:snapToGrid/>
                <w:sz w:val="20"/>
                <w:szCs w:val="20"/>
                <w:lang w:eastAsia="en-AU"/>
              </w:rPr>
            </w:pPr>
            <w:r w:rsidRPr="004F52D9">
              <w:rPr>
                <w:rFonts w:ascii="Arial Narrow" w:hAnsi="Arial Narrow"/>
                <w:snapToGrid/>
                <w:sz w:val="20"/>
                <w:szCs w:val="20"/>
                <w:lang w:eastAsia="en-AU"/>
              </w:rPr>
              <w:fldChar w:fldCharType="begin">
                <w:ffData>
                  <w:name w:val=""/>
                  <w:enabled/>
                  <w:calcOnExit w:val="0"/>
                  <w:checkBox>
                    <w:sizeAuto/>
                    <w:default w:val="0"/>
                  </w:checkBox>
                </w:ffData>
              </w:fldChar>
            </w:r>
            <w:r w:rsidRPr="004F52D9">
              <w:rPr>
                <w:rFonts w:ascii="Arial Narrow" w:hAnsi="Arial Narrow"/>
                <w:snapToGrid/>
                <w:sz w:val="20"/>
                <w:szCs w:val="20"/>
                <w:lang w:eastAsia="en-AU"/>
              </w:rPr>
              <w:instrText xml:space="preserve"> FORMCHECKBOX </w:instrText>
            </w:r>
            <w:r w:rsidR="00F23853">
              <w:rPr>
                <w:rFonts w:ascii="Arial Narrow" w:hAnsi="Arial Narrow"/>
                <w:snapToGrid/>
                <w:sz w:val="20"/>
                <w:szCs w:val="20"/>
                <w:lang w:eastAsia="en-AU"/>
              </w:rPr>
            </w:r>
            <w:r w:rsidR="00F23853">
              <w:rPr>
                <w:rFonts w:ascii="Arial Narrow" w:hAnsi="Arial Narrow"/>
                <w:snapToGrid/>
                <w:sz w:val="20"/>
                <w:szCs w:val="20"/>
                <w:lang w:eastAsia="en-AU"/>
              </w:rPr>
              <w:fldChar w:fldCharType="separate"/>
            </w:r>
            <w:r w:rsidRPr="004F52D9">
              <w:rPr>
                <w:rFonts w:ascii="Arial Narrow" w:hAnsi="Arial Narrow"/>
                <w:snapToGrid/>
                <w:sz w:val="20"/>
                <w:szCs w:val="20"/>
                <w:lang w:eastAsia="en-AU"/>
              </w:rPr>
              <w:fldChar w:fldCharType="end"/>
            </w:r>
            <w:r w:rsidRPr="004F52D9">
              <w:rPr>
                <w:rFonts w:ascii="Arial Narrow" w:hAnsi="Arial Narrow"/>
                <w:snapToGrid/>
                <w:sz w:val="20"/>
                <w:szCs w:val="20"/>
                <w:lang w:eastAsia="en-AU"/>
              </w:rPr>
              <w:t>Authority Required - Emergency</w:t>
            </w:r>
          </w:p>
          <w:p w:rsidR="00E71F79" w:rsidRPr="004F52D9" w:rsidRDefault="00E71F79" w:rsidP="00991401">
            <w:pPr>
              <w:widowControl/>
              <w:jc w:val="left"/>
              <w:rPr>
                <w:rFonts w:ascii="Arial Narrow" w:hAnsi="Arial Narrow"/>
                <w:snapToGrid/>
                <w:sz w:val="20"/>
                <w:szCs w:val="20"/>
                <w:lang w:eastAsia="en-AU"/>
              </w:rPr>
            </w:pPr>
            <w:r w:rsidRPr="004F52D9">
              <w:rPr>
                <w:rFonts w:ascii="Arial Narrow" w:hAnsi="Arial Narrow"/>
                <w:snapToGrid/>
                <w:sz w:val="20"/>
                <w:szCs w:val="20"/>
                <w:lang w:eastAsia="en-AU"/>
              </w:rPr>
              <w:fldChar w:fldCharType="begin">
                <w:ffData>
                  <w:name w:val="Check5"/>
                  <w:enabled/>
                  <w:calcOnExit w:val="0"/>
                  <w:checkBox>
                    <w:sizeAuto/>
                    <w:default w:val="0"/>
                  </w:checkBox>
                </w:ffData>
              </w:fldChar>
            </w:r>
            <w:r w:rsidRPr="004F52D9">
              <w:rPr>
                <w:rFonts w:ascii="Arial Narrow" w:hAnsi="Arial Narrow"/>
                <w:snapToGrid/>
                <w:sz w:val="20"/>
                <w:szCs w:val="20"/>
                <w:lang w:eastAsia="en-AU"/>
              </w:rPr>
              <w:instrText xml:space="preserve"> FORMCHECKBOX </w:instrText>
            </w:r>
            <w:r w:rsidR="00F23853">
              <w:rPr>
                <w:rFonts w:ascii="Arial Narrow" w:hAnsi="Arial Narrow"/>
                <w:snapToGrid/>
                <w:sz w:val="20"/>
                <w:szCs w:val="20"/>
                <w:lang w:eastAsia="en-AU"/>
              </w:rPr>
            </w:r>
            <w:r w:rsidR="00F23853">
              <w:rPr>
                <w:rFonts w:ascii="Arial Narrow" w:hAnsi="Arial Narrow"/>
                <w:snapToGrid/>
                <w:sz w:val="20"/>
                <w:szCs w:val="20"/>
                <w:lang w:eastAsia="en-AU"/>
              </w:rPr>
              <w:fldChar w:fldCharType="separate"/>
            </w:r>
            <w:r w:rsidRPr="004F52D9">
              <w:rPr>
                <w:rFonts w:ascii="Arial Narrow" w:hAnsi="Arial Narrow"/>
                <w:snapToGrid/>
                <w:sz w:val="20"/>
                <w:szCs w:val="20"/>
                <w:lang w:eastAsia="en-AU"/>
              </w:rPr>
              <w:fldChar w:fldCharType="end"/>
            </w:r>
            <w:r w:rsidRPr="004F52D9">
              <w:rPr>
                <w:rFonts w:ascii="Arial Narrow" w:hAnsi="Arial Narrow"/>
                <w:snapToGrid/>
                <w:sz w:val="20"/>
                <w:szCs w:val="20"/>
                <w:lang w:eastAsia="en-AU"/>
              </w:rPr>
              <w:t>Authority Required - Electronic</w:t>
            </w:r>
          </w:p>
          <w:p w:rsidR="00E71F79" w:rsidRPr="004F52D9" w:rsidRDefault="00E71F79" w:rsidP="00991401">
            <w:pPr>
              <w:widowControl/>
              <w:jc w:val="left"/>
              <w:rPr>
                <w:rFonts w:ascii="Arial Narrow" w:hAnsi="Arial Narrow"/>
                <w:snapToGrid/>
                <w:sz w:val="20"/>
                <w:szCs w:val="20"/>
                <w:lang w:eastAsia="en-AU"/>
              </w:rPr>
            </w:pPr>
            <w:r w:rsidRPr="004F52D9">
              <w:rPr>
                <w:rFonts w:ascii="Arial Narrow" w:hAnsi="Arial Narrow"/>
                <w:snapToGrid/>
                <w:sz w:val="20"/>
                <w:szCs w:val="20"/>
                <w:lang w:eastAsia="en-AU"/>
              </w:rPr>
              <w:fldChar w:fldCharType="begin">
                <w:ffData>
                  <w:name w:val="Check5"/>
                  <w:enabled/>
                  <w:calcOnExit w:val="0"/>
                  <w:checkBox>
                    <w:sizeAuto/>
                    <w:default w:val="0"/>
                  </w:checkBox>
                </w:ffData>
              </w:fldChar>
            </w:r>
            <w:r w:rsidRPr="004F52D9">
              <w:rPr>
                <w:rFonts w:ascii="Arial Narrow" w:hAnsi="Arial Narrow"/>
                <w:snapToGrid/>
                <w:sz w:val="20"/>
                <w:szCs w:val="20"/>
                <w:lang w:eastAsia="en-AU"/>
              </w:rPr>
              <w:instrText xml:space="preserve"> FORMCHECKBOX </w:instrText>
            </w:r>
            <w:r w:rsidR="00F23853">
              <w:rPr>
                <w:rFonts w:ascii="Arial Narrow" w:hAnsi="Arial Narrow"/>
                <w:snapToGrid/>
                <w:sz w:val="20"/>
                <w:szCs w:val="20"/>
                <w:lang w:eastAsia="en-AU"/>
              </w:rPr>
            </w:r>
            <w:r w:rsidR="00F23853">
              <w:rPr>
                <w:rFonts w:ascii="Arial Narrow" w:hAnsi="Arial Narrow"/>
                <w:snapToGrid/>
                <w:sz w:val="20"/>
                <w:szCs w:val="20"/>
                <w:lang w:eastAsia="en-AU"/>
              </w:rPr>
              <w:fldChar w:fldCharType="separate"/>
            </w:r>
            <w:r w:rsidRPr="004F52D9">
              <w:rPr>
                <w:rFonts w:ascii="Arial Narrow" w:hAnsi="Arial Narrow"/>
                <w:snapToGrid/>
                <w:sz w:val="20"/>
                <w:szCs w:val="20"/>
                <w:lang w:eastAsia="en-AU"/>
              </w:rPr>
              <w:fldChar w:fldCharType="end"/>
            </w:r>
            <w:r w:rsidRPr="004F52D9">
              <w:rPr>
                <w:rFonts w:ascii="Arial Narrow" w:hAnsi="Arial Narrow"/>
                <w:snapToGrid/>
                <w:sz w:val="20"/>
                <w:szCs w:val="20"/>
                <w:lang w:eastAsia="en-AU"/>
              </w:rPr>
              <w:t>Streamlined</w:t>
            </w:r>
          </w:p>
        </w:tc>
      </w:tr>
      <w:tr w:rsidR="00E71F79" w:rsidRPr="004F52D9" w:rsidTr="00991401">
        <w:trPr>
          <w:cantSplit/>
          <w:trHeight w:val="360"/>
        </w:trPr>
        <w:tc>
          <w:tcPr>
            <w:tcW w:w="2835" w:type="dxa"/>
            <w:tcBorders>
              <w:top w:val="single" w:sz="4" w:space="0" w:color="auto"/>
              <w:left w:val="single" w:sz="4" w:space="0" w:color="auto"/>
              <w:bottom w:val="single" w:sz="4" w:space="0" w:color="auto"/>
              <w:right w:val="single" w:sz="4" w:space="0" w:color="auto"/>
            </w:tcBorders>
          </w:tcPr>
          <w:p w:rsidR="00E71F79" w:rsidRPr="00F4358C" w:rsidRDefault="00F4358C" w:rsidP="00991401">
            <w:pPr>
              <w:widowControl/>
              <w:jc w:val="left"/>
              <w:rPr>
                <w:rFonts w:ascii="Arial Narrow" w:hAnsi="Arial Narrow"/>
                <w:b/>
                <w:snapToGrid/>
                <w:sz w:val="20"/>
                <w:szCs w:val="20"/>
                <w:lang w:eastAsia="en-AU"/>
              </w:rPr>
            </w:pPr>
            <w:r>
              <w:rPr>
                <w:rFonts w:ascii="Arial Narrow" w:hAnsi="Arial Narrow"/>
                <w:b/>
                <w:snapToGrid/>
                <w:sz w:val="20"/>
                <w:szCs w:val="20"/>
                <w:lang w:eastAsia="en-AU"/>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E71F79" w:rsidRPr="004F52D9" w:rsidRDefault="00E71F79" w:rsidP="00991401">
            <w:pPr>
              <w:widowControl/>
              <w:jc w:val="left"/>
              <w:rPr>
                <w:rFonts w:ascii="Arial Narrow" w:hAnsi="Arial Narrow"/>
                <w:snapToGrid/>
                <w:sz w:val="20"/>
                <w:szCs w:val="20"/>
                <w:lang w:eastAsia="en-AU"/>
              </w:rPr>
            </w:pPr>
            <w:r w:rsidRPr="004F52D9">
              <w:rPr>
                <w:rFonts w:ascii="Arial Narrow" w:hAnsi="Arial Narrow"/>
                <w:snapToGrid/>
                <w:sz w:val="20"/>
                <w:szCs w:val="20"/>
                <w:lang w:eastAsia="en-AU"/>
              </w:rPr>
              <w:t>Patient</w:t>
            </w:r>
            <w:r w:rsidRPr="004F52D9">
              <w:rPr>
                <w:rFonts w:ascii="Arial Narrow" w:hAnsi="Arial Narrow"/>
                <w:strike/>
                <w:snapToGrid/>
                <w:sz w:val="20"/>
                <w:szCs w:val="20"/>
                <w:lang w:eastAsia="en-AU"/>
              </w:rPr>
              <w:t>s</w:t>
            </w:r>
            <w:r w:rsidRPr="004F52D9">
              <w:rPr>
                <w:rFonts w:ascii="Arial Narrow" w:hAnsi="Arial Narrow"/>
                <w:snapToGrid/>
                <w:sz w:val="20"/>
                <w:szCs w:val="20"/>
                <w:lang w:eastAsia="en-AU"/>
              </w:rPr>
              <w:t xml:space="preserve"> must be receiving oral antibiotic therapy</w:t>
            </w:r>
          </w:p>
        </w:tc>
      </w:tr>
      <w:tr w:rsidR="00E71F79" w:rsidRPr="004F52D9" w:rsidTr="00991401">
        <w:trPr>
          <w:cantSplit/>
          <w:trHeight w:val="360"/>
        </w:trPr>
        <w:tc>
          <w:tcPr>
            <w:tcW w:w="2835" w:type="dxa"/>
            <w:tcBorders>
              <w:top w:val="single" w:sz="4" w:space="0" w:color="auto"/>
              <w:left w:val="single" w:sz="4" w:space="0" w:color="auto"/>
              <w:bottom w:val="single" w:sz="4" w:space="0" w:color="auto"/>
              <w:right w:val="single" w:sz="4" w:space="0" w:color="auto"/>
            </w:tcBorders>
          </w:tcPr>
          <w:p w:rsidR="00E71F79" w:rsidRPr="004F52D9" w:rsidRDefault="00E71F79" w:rsidP="00991401">
            <w:pPr>
              <w:widowControl/>
              <w:rPr>
                <w:rFonts w:ascii="Arial Narrow" w:hAnsi="Arial Narrow"/>
                <w:b/>
                <w:snapToGrid/>
                <w:sz w:val="20"/>
                <w:szCs w:val="20"/>
                <w:lang w:eastAsia="en-AU"/>
              </w:rPr>
            </w:pPr>
            <w:r w:rsidRPr="004F52D9">
              <w:rPr>
                <w:rFonts w:ascii="Arial Narrow" w:hAnsi="Arial Narrow"/>
                <w:b/>
                <w:snapToGrid/>
                <w:sz w:val="20"/>
                <w:szCs w:val="20"/>
                <w:lang w:eastAsia="en-AU"/>
              </w:rPr>
              <w:t>Clinical criteria:</w:t>
            </w:r>
          </w:p>
          <w:p w:rsidR="00E71F79" w:rsidRPr="004F52D9" w:rsidRDefault="00E71F79" w:rsidP="00991401">
            <w:pPr>
              <w:widowControl/>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E71F79" w:rsidRPr="004F52D9" w:rsidRDefault="00E71F79" w:rsidP="00991401">
            <w:pPr>
              <w:widowControl/>
              <w:jc w:val="left"/>
              <w:rPr>
                <w:rFonts w:ascii="Arial Narrow" w:hAnsi="Arial Narrow"/>
                <w:snapToGrid/>
                <w:sz w:val="20"/>
                <w:szCs w:val="20"/>
                <w:lang w:eastAsia="en-AU"/>
              </w:rPr>
            </w:pPr>
            <w:r w:rsidRPr="004F52D9">
              <w:rPr>
                <w:rFonts w:ascii="Arial Narrow" w:hAnsi="Arial Narrow"/>
                <w:snapToGrid/>
                <w:sz w:val="20"/>
                <w:szCs w:val="20"/>
                <w:lang w:eastAsia="en-AU"/>
              </w:rPr>
              <w:t>Patient</w:t>
            </w:r>
            <w:r w:rsidRPr="004F52D9">
              <w:rPr>
                <w:rFonts w:ascii="Arial Narrow" w:hAnsi="Arial Narrow"/>
                <w:strike/>
                <w:snapToGrid/>
                <w:sz w:val="20"/>
                <w:szCs w:val="20"/>
                <w:lang w:eastAsia="en-AU"/>
              </w:rPr>
              <w:t xml:space="preserve">s </w:t>
            </w:r>
            <w:r w:rsidRPr="004F52D9">
              <w:rPr>
                <w:rFonts w:ascii="Arial Narrow" w:hAnsi="Arial Narrow"/>
                <w:snapToGrid/>
                <w:sz w:val="20"/>
                <w:szCs w:val="20"/>
                <w:lang w:eastAsia="en-AU"/>
              </w:rPr>
              <w:t xml:space="preserve">must have confirmed toxin B positive Clostridium Difficile Infection </w:t>
            </w:r>
          </w:p>
          <w:p w:rsidR="00E71F79" w:rsidRPr="004F52D9" w:rsidRDefault="00E71F79" w:rsidP="00991401">
            <w:pPr>
              <w:widowControl/>
              <w:jc w:val="left"/>
              <w:rPr>
                <w:rFonts w:ascii="Arial Narrow" w:hAnsi="Arial Narrow"/>
                <w:snapToGrid/>
                <w:sz w:val="20"/>
                <w:szCs w:val="20"/>
                <w:lang w:eastAsia="en-AU"/>
              </w:rPr>
            </w:pPr>
          </w:p>
          <w:p w:rsidR="00E71F79" w:rsidRPr="004F52D9" w:rsidRDefault="00E71F79" w:rsidP="00991401">
            <w:pPr>
              <w:widowControl/>
              <w:jc w:val="left"/>
              <w:rPr>
                <w:rFonts w:ascii="Arial Narrow" w:hAnsi="Arial Narrow"/>
                <w:snapToGrid/>
                <w:sz w:val="20"/>
                <w:szCs w:val="20"/>
                <w:lang w:eastAsia="en-AU"/>
              </w:rPr>
            </w:pPr>
            <w:r w:rsidRPr="004F52D9">
              <w:rPr>
                <w:rFonts w:ascii="Arial Narrow" w:hAnsi="Arial Narrow"/>
                <w:snapToGrid/>
                <w:sz w:val="20"/>
                <w:szCs w:val="20"/>
                <w:lang w:eastAsia="en-AU"/>
              </w:rPr>
              <w:t xml:space="preserve">AND </w:t>
            </w:r>
          </w:p>
          <w:p w:rsidR="00E71F79" w:rsidRPr="004F52D9" w:rsidRDefault="00E71F79" w:rsidP="00991401">
            <w:pPr>
              <w:widowControl/>
              <w:jc w:val="left"/>
              <w:rPr>
                <w:rFonts w:ascii="Arial Narrow" w:hAnsi="Arial Narrow"/>
                <w:snapToGrid/>
                <w:sz w:val="20"/>
                <w:szCs w:val="20"/>
                <w:lang w:eastAsia="en-AU"/>
              </w:rPr>
            </w:pPr>
          </w:p>
          <w:p w:rsidR="00E71F79" w:rsidRPr="004F52D9" w:rsidRDefault="00E71F79" w:rsidP="00991401">
            <w:pPr>
              <w:widowControl/>
              <w:jc w:val="left"/>
              <w:rPr>
                <w:rFonts w:ascii="Arial Narrow" w:hAnsi="Arial Narrow"/>
                <w:snapToGrid/>
                <w:sz w:val="20"/>
                <w:szCs w:val="20"/>
                <w:lang w:eastAsia="en-AU"/>
              </w:rPr>
            </w:pPr>
            <w:r w:rsidRPr="004F52D9">
              <w:rPr>
                <w:rFonts w:ascii="Arial Narrow" w:hAnsi="Arial Narrow"/>
                <w:snapToGrid/>
                <w:sz w:val="20"/>
                <w:szCs w:val="20"/>
                <w:lang w:eastAsia="en-AU"/>
              </w:rPr>
              <w:t>Patient must be at high risk of recurrence.</w:t>
            </w:r>
          </w:p>
        </w:tc>
      </w:tr>
      <w:tr w:rsidR="00E71F79" w:rsidRPr="004F52D9" w:rsidTr="00991401">
        <w:trPr>
          <w:cantSplit/>
          <w:trHeight w:val="360"/>
        </w:trPr>
        <w:tc>
          <w:tcPr>
            <w:tcW w:w="2835" w:type="dxa"/>
            <w:tcBorders>
              <w:top w:val="single" w:sz="4" w:space="0" w:color="auto"/>
              <w:left w:val="single" w:sz="4" w:space="0" w:color="auto"/>
              <w:bottom w:val="single" w:sz="4" w:space="0" w:color="auto"/>
              <w:right w:val="single" w:sz="4" w:space="0" w:color="auto"/>
            </w:tcBorders>
          </w:tcPr>
          <w:p w:rsidR="00E71F79" w:rsidRPr="004F52D9" w:rsidRDefault="00E71F79" w:rsidP="00991401">
            <w:pPr>
              <w:widowControl/>
              <w:rPr>
                <w:rFonts w:ascii="Arial Narrow" w:hAnsi="Arial Narrow"/>
                <w:b/>
                <w:snapToGrid/>
                <w:sz w:val="20"/>
                <w:szCs w:val="20"/>
                <w:lang w:eastAsia="en-AU"/>
              </w:rPr>
            </w:pPr>
            <w:r w:rsidRPr="004F52D9">
              <w:rPr>
                <w:rFonts w:ascii="Arial Narrow" w:hAnsi="Arial Narrow"/>
                <w:b/>
                <w:snapToGrid/>
                <w:sz w:val="20"/>
                <w:szCs w:val="20"/>
                <w:lang w:eastAsia="en-AU"/>
              </w:rPr>
              <w:t>Prescriber Instructions</w:t>
            </w:r>
          </w:p>
          <w:p w:rsidR="00E71F79" w:rsidRPr="004F52D9" w:rsidRDefault="00E71F79" w:rsidP="00991401">
            <w:pPr>
              <w:widowControl/>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E71F79" w:rsidRPr="004F52D9" w:rsidRDefault="00E71F79" w:rsidP="00991401">
            <w:pPr>
              <w:widowControl/>
              <w:jc w:val="left"/>
              <w:rPr>
                <w:rFonts w:ascii="Arial Narrow" w:hAnsi="Arial Narrow"/>
                <w:snapToGrid/>
                <w:sz w:val="20"/>
                <w:szCs w:val="20"/>
                <w:lang w:eastAsia="en-AU"/>
              </w:rPr>
            </w:pPr>
            <w:r w:rsidRPr="004F52D9">
              <w:rPr>
                <w:rFonts w:ascii="Arial Narrow" w:hAnsi="Arial Narrow"/>
                <w:snapToGrid/>
                <w:sz w:val="20"/>
                <w:szCs w:val="20"/>
                <w:lang w:eastAsia="en-AU"/>
              </w:rPr>
              <w:t>High risk is defined by the presence of one or more of the following factors:</w:t>
            </w:r>
          </w:p>
          <w:p w:rsidR="00E71F79" w:rsidRPr="004F52D9" w:rsidRDefault="00E71F79" w:rsidP="00991401">
            <w:pPr>
              <w:widowControl/>
              <w:jc w:val="left"/>
              <w:rPr>
                <w:rFonts w:ascii="Arial Narrow" w:hAnsi="Arial Narrow"/>
                <w:snapToGrid/>
                <w:sz w:val="20"/>
                <w:szCs w:val="20"/>
                <w:lang w:eastAsia="en-AU"/>
              </w:rPr>
            </w:pPr>
            <w:r w:rsidRPr="004F52D9">
              <w:rPr>
                <w:rFonts w:ascii="Arial Narrow" w:hAnsi="Arial Narrow"/>
                <w:snapToGrid/>
                <w:sz w:val="20"/>
                <w:szCs w:val="20"/>
                <w:lang w:eastAsia="en-AU"/>
              </w:rPr>
              <w:t xml:space="preserve">Age 65 years or older, history of </w:t>
            </w:r>
            <w:r w:rsidRPr="004F52D9">
              <w:rPr>
                <w:rFonts w:ascii="Arial Narrow" w:hAnsi="Arial Narrow"/>
                <w:strike/>
                <w:snapToGrid/>
                <w:sz w:val="20"/>
                <w:szCs w:val="20"/>
                <w:lang w:eastAsia="en-AU"/>
              </w:rPr>
              <w:t>CDI</w:t>
            </w:r>
            <w:r w:rsidRPr="004F52D9">
              <w:rPr>
                <w:rFonts w:ascii="Arial Narrow" w:hAnsi="Arial Narrow"/>
                <w:snapToGrid/>
                <w:sz w:val="20"/>
                <w:szCs w:val="20"/>
                <w:lang w:eastAsia="en-AU"/>
              </w:rPr>
              <w:t xml:space="preserve"> </w:t>
            </w:r>
            <w:r w:rsidRPr="004F52D9">
              <w:rPr>
                <w:rFonts w:ascii="Arial Narrow" w:hAnsi="Arial Narrow"/>
                <w:i/>
                <w:snapToGrid/>
                <w:sz w:val="20"/>
                <w:szCs w:val="20"/>
                <w:lang w:eastAsia="en-AU"/>
              </w:rPr>
              <w:t>Clostridium Difficile Infection</w:t>
            </w:r>
            <w:r w:rsidRPr="004F52D9">
              <w:rPr>
                <w:rFonts w:ascii="Arial Narrow" w:hAnsi="Arial Narrow"/>
                <w:snapToGrid/>
                <w:sz w:val="20"/>
                <w:szCs w:val="20"/>
                <w:lang w:eastAsia="en-AU"/>
              </w:rPr>
              <w:t xml:space="preserve"> in the past 6 months, clinically severe </w:t>
            </w:r>
            <w:r w:rsidRPr="004F52D9">
              <w:rPr>
                <w:rFonts w:ascii="Arial Narrow" w:hAnsi="Arial Narrow"/>
                <w:strike/>
                <w:snapToGrid/>
                <w:sz w:val="20"/>
                <w:szCs w:val="20"/>
                <w:lang w:eastAsia="en-AU"/>
              </w:rPr>
              <w:t xml:space="preserve">CDI </w:t>
            </w:r>
            <w:r w:rsidRPr="004F52D9">
              <w:rPr>
                <w:rFonts w:ascii="Arial Narrow" w:hAnsi="Arial Narrow"/>
                <w:i/>
                <w:snapToGrid/>
                <w:sz w:val="20"/>
                <w:szCs w:val="20"/>
                <w:lang w:eastAsia="en-AU"/>
              </w:rPr>
              <w:t>Clostridium Difficile Infection</w:t>
            </w:r>
            <w:r w:rsidRPr="004F52D9">
              <w:rPr>
                <w:rFonts w:ascii="Arial Narrow" w:hAnsi="Arial Narrow"/>
                <w:snapToGrid/>
                <w:sz w:val="20"/>
                <w:szCs w:val="20"/>
                <w:lang w:eastAsia="en-AU"/>
              </w:rPr>
              <w:t xml:space="preserve">, </w:t>
            </w:r>
            <w:proofErr w:type="spellStart"/>
            <w:r w:rsidRPr="004F52D9">
              <w:rPr>
                <w:rFonts w:ascii="Arial Narrow" w:hAnsi="Arial Narrow"/>
                <w:snapToGrid/>
                <w:sz w:val="20"/>
                <w:szCs w:val="20"/>
                <w:lang w:eastAsia="en-AU"/>
              </w:rPr>
              <w:t>hypervirulent</w:t>
            </w:r>
            <w:proofErr w:type="spellEnd"/>
            <w:r w:rsidRPr="004F52D9">
              <w:rPr>
                <w:rFonts w:ascii="Arial Narrow" w:hAnsi="Arial Narrow"/>
                <w:snapToGrid/>
                <w:sz w:val="20"/>
                <w:szCs w:val="20"/>
                <w:lang w:eastAsia="en-AU"/>
              </w:rPr>
              <w:t xml:space="preserve"> strain (027, 078, or 244 </w:t>
            </w:r>
            <w:proofErr w:type="spellStart"/>
            <w:r w:rsidRPr="004F52D9">
              <w:rPr>
                <w:rFonts w:ascii="Arial Narrow" w:hAnsi="Arial Narrow"/>
                <w:snapToGrid/>
                <w:sz w:val="20"/>
                <w:szCs w:val="20"/>
                <w:lang w:eastAsia="en-AU"/>
              </w:rPr>
              <w:t>ribotypes</w:t>
            </w:r>
            <w:proofErr w:type="spellEnd"/>
            <w:r w:rsidRPr="004F52D9">
              <w:rPr>
                <w:rFonts w:ascii="Arial Narrow" w:hAnsi="Arial Narrow"/>
                <w:snapToGrid/>
                <w:sz w:val="20"/>
                <w:szCs w:val="20"/>
                <w:lang w:eastAsia="en-AU"/>
              </w:rPr>
              <w:t>), or compromised immunity</w:t>
            </w:r>
          </w:p>
        </w:tc>
      </w:tr>
      <w:tr w:rsidR="00E71F79" w:rsidRPr="004F52D9" w:rsidTr="00991401">
        <w:trPr>
          <w:cantSplit/>
          <w:trHeight w:val="360"/>
        </w:trPr>
        <w:tc>
          <w:tcPr>
            <w:tcW w:w="2835" w:type="dxa"/>
            <w:tcBorders>
              <w:top w:val="single" w:sz="4" w:space="0" w:color="auto"/>
              <w:left w:val="single" w:sz="4" w:space="0" w:color="auto"/>
              <w:bottom w:val="single" w:sz="4" w:space="0" w:color="auto"/>
              <w:right w:val="single" w:sz="4" w:space="0" w:color="auto"/>
            </w:tcBorders>
          </w:tcPr>
          <w:p w:rsidR="00E71F79" w:rsidRPr="00F4358C" w:rsidRDefault="00F4358C" w:rsidP="00991401">
            <w:pPr>
              <w:widowControl/>
              <w:rPr>
                <w:rFonts w:ascii="Arial Narrow" w:hAnsi="Arial Narrow"/>
                <w:b/>
                <w:snapToGrid/>
                <w:sz w:val="20"/>
                <w:szCs w:val="20"/>
                <w:lang w:eastAsia="en-AU"/>
              </w:rPr>
            </w:pPr>
            <w:r>
              <w:rPr>
                <w:rFonts w:ascii="Arial Narrow" w:hAnsi="Arial Narrow"/>
                <w:b/>
                <w:snapToGrid/>
                <w:sz w:val="20"/>
                <w:szCs w:val="20"/>
                <w:lang w:eastAsia="en-AU"/>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E71F79" w:rsidRPr="004F52D9" w:rsidRDefault="00E71F79" w:rsidP="00991401">
            <w:pPr>
              <w:widowControl/>
              <w:jc w:val="left"/>
              <w:rPr>
                <w:rFonts w:ascii="Arial Narrow" w:hAnsi="Arial Narrow"/>
                <w:snapToGrid/>
                <w:sz w:val="20"/>
                <w:szCs w:val="20"/>
                <w:lang w:eastAsia="en-AU"/>
              </w:rPr>
            </w:pPr>
            <w:r w:rsidRPr="004F52D9">
              <w:rPr>
                <w:rFonts w:ascii="Arial Narrow" w:hAnsi="Arial Narrow"/>
                <w:snapToGrid/>
                <w:sz w:val="20"/>
                <w:szCs w:val="20"/>
                <w:lang w:eastAsia="en-AU"/>
              </w:rPr>
              <w:t>Repeat administration is not permitted within 90 days of the initial episode.</w:t>
            </w:r>
          </w:p>
        </w:tc>
      </w:tr>
    </w:tbl>
    <w:p w:rsidR="00C0267A" w:rsidRPr="000B49C6" w:rsidRDefault="00C0267A" w:rsidP="005B2CC8">
      <w:pPr>
        <w:pStyle w:val="ListParagraph"/>
        <w:widowControl/>
        <w:numPr>
          <w:ilvl w:val="1"/>
          <w:numId w:val="3"/>
        </w:numPr>
        <w:spacing w:before="120"/>
      </w:pPr>
      <w:r w:rsidRPr="000B49C6">
        <w:t xml:space="preserve">The proposed effective price (via special pricing arrangement) for </w:t>
      </w:r>
      <w:proofErr w:type="spellStart"/>
      <w:r w:rsidRPr="000B49C6">
        <w:t>bezlotoxumab</w:t>
      </w:r>
      <w:proofErr w:type="spellEnd"/>
      <w:r w:rsidRPr="000B49C6">
        <w:t xml:space="preserve"> was $</w:t>
      </w:r>
      <w:r w:rsidR="00410A2A">
        <w:rPr>
          <w:noProof/>
          <w:color w:val="000000"/>
          <w:highlight w:val="black"/>
        </w:rPr>
        <w:t>''''''''''''</w:t>
      </w:r>
      <w:r w:rsidRPr="000B49C6">
        <w:t xml:space="preserve"> </w:t>
      </w:r>
      <w:r w:rsidR="00490474" w:rsidRPr="000B49C6">
        <w:t xml:space="preserve">(public hospitals) </w:t>
      </w:r>
      <w:r w:rsidRPr="000B49C6">
        <w:t>(versus a published price of $</w:t>
      </w:r>
      <w:r w:rsidR="00410A2A">
        <w:rPr>
          <w:noProof/>
          <w:color w:val="000000"/>
          <w:highlight w:val="black"/>
        </w:rPr>
        <w:t>''''''''''''</w:t>
      </w:r>
      <w:r w:rsidRPr="000B49C6">
        <w:t>)</w:t>
      </w:r>
      <w:r w:rsidR="00991401">
        <w:t xml:space="preserve">. </w:t>
      </w:r>
      <w:r w:rsidRPr="000B49C6">
        <w:t xml:space="preserve">This was a </w:t>
      </w:r>
      <w:r w:rsidR="00410A2A">
        <w:rPr>
          <w:noProof/>
          <w:color w:val="000000"/>
          <w:highlight w:val="black"/>
        </w:rPr>
        <w:t>'''''</w:t>
      </w:r>
      <w:r w:rsidRPr="000B49C6">
        <w:t>% price reduction compared to</w:t>
      </w:r>
      <w:r w:rsidR="00C53090" w:rsidRPr="000B49C6">
        <w:t xml:space="preserve"> the November 2017 submission.</w:t>
      </w:r>
    </w:p>
    <w:p w:rsidR="00C0267A" w:rsidRPr="000B49C6" w:rsidRDefault="00563C19" w:rsidP="00C0267A">
      <w:pPr>
        <w:pStyle w:val="ListParagraph"/>
        <w:widowControl/>
        <w:numPr>
          <w:ilvl w:val="1"/>
          <w:numId w:val="3"/>
        </w:numPr>
      </w:pPr>
      <w:r w:rsidRPr="000B49C6">
        <w:t xml:space="preserve">The resubmission presented a revised requested restriction for </w:t>
      </w:r>
      <w:proofErr w:type="spellStart"/>
      <w:r w:rsidRPr="000B49C6">
        <w:t>bezlotoxumab</w:t>
      </w:r>
      <w:proofErr w:type="spellEnd"/>
      <w:r w:rsidR="00991401">
        <w:t xml:space="preserve">. </w:t>
      </w:r>
      <w:r w:rsidR="00C0267A" w:rsidRPr="000B49C6">
        <w:t xml:space="preserve">The requested restriction was consistent with the TGA approved indication of </w:t>
      </w:r>
      <w:proofErr w:type="spellStart"/>
      <w:r w:rsidR="00C0267A" w:rsidRPr="000B49C6">
        <w:t>bezlotoxumab</w:t>
      </w:r>
      <w:proofErr w:type="spellEnd"/>
      <w:r w:rsidR="00991401">
        <w:t xml:space="preserve">. </w:t>
      </w:r>
      <w:r w:rsidR="00C0267A" w:rsidRPr="000B49C6">
        <w:t xml:space="preserve">Compared to the restriction considered at the November 2017 PBAC meeting, </w:t>
      </w:r>
      <w:r w:rsidR="00D76449" w:rsidRPr="000B49C6">
        <w:t xml:space="preserve">the </w:t>
      </w:r>
      <w:r w:rsidR="00C0267A" w:rsidRPr="000B49C6">
        <w:t xml:space="preserve">main changes were: </w:t>
      </w:r>
    </w:p>
    <w:p w:rsidR="00C0267A" w:rsidRPr="000B49C6" w:rsidRDefault="00C0267A" w:rsidP="00C53090">
      <w:pPr>
        <w:pStyle w:val="ListParagraph"/>
        <w:numPr>
          <w:ilvl w:val="0"/>
          <w:numId w:val="21"/>
        </w:numPr>
        <w:ind w:left="993" w:hanging="284"/>
      </w:pPr>
      <w:r w:rsidRPr="000B49C6">
        <w:t xml:space="preserve">Patients must have confirmed toxin B positive CDI </w:t>
      </w:r>
      <w:r w:rsidR="00D76449" w:rsidRPr="000B49C6">
        <w:t xml:space="preserve">as </w:t>
      </w:r>
      <w:proofErr w:type="spellStart"/>
      <w:r w:rsidRPr="000B49C6">
        <w:t>bezlotoxumab</w:t>
      </w:r>
      <w:proofErr w:type="spellEnd"/>
      <w:r w:rsidRPr="000B49C6">
        <w:t xml:space="preserve"> confer</w:t>
      </w:r>
      <w:r w:rsidR="00D76449" w:rsidRPr="000B49C6">
        <w:t>s</w:t>
      </w:r>
      <w:r w:rsidRPr="000B49C6">
        <w:t xml:space="preserve"> passive immunity to toxin B</w:t>
      </w:r>
      <w:r w:rsidR="00E07E49" w:rsidRPr="000B49C6">
        <w:t>;</w:t>
      </w:r>
    </w:p>
    <w:p w:rsidR="007F351C" w:rsidRPr="000B49C6" w:rsidRDefault="00C0267A" w:rsidP="00CB525E">
      <w:pPr>
        <w:pStyle w:val="ListParagraph"/>
        <w:widowControl/>
        <w:numPr>
          <w:ilvl w:val="0"/>
          <w:numId w:val="22"/>
        </w:numPr>
        <w:ind w:left="993" w:hanging="273"/>
      </w:pPr>
      <w:r w:rsidRPr="000B49C6">
        <w:t>High risk of CDI recurrence is to be a clinical practice decisio</w:t>
      </w:r>
      <w:r w:rsidR="00C53090" w:rsidRPr="000B49C6">
        <w:t xml:space="preserve">n, however under “Prescriber instructions” </w:t>
      </w:r>
      <w:r w:rsidR="00C53090" w:rsidRPr="000B49C6">
        <w:rPr>
          <w:color w:val="000000"/>
          <w:szCs w:val="24"/>
          <w:lang w:eastAsia="en-AU"/>
        </w:rPr>
        <w:t>high risk is defined by the presence of one or more of the following factors:</w:t>
      </w:r>
      <w:r w:rsidR="00C53090" w:rsidRPr="000B49C6">
        <w:t xml:space="preserve"> </w:t>
      </w:r>
      <w:r w:rsidRPr="000B49C6">
        <w:t xml:space="preserve">age &gt;65 years, history of CDI in the past 6 months, clinically severe CDI, immunocompromised patient, or infection with a </w:t>
      </w:r>
      <w:proofErr w:type="spellStart"/>
      <w:r w:rsidRPr="000B49C6">
        <w:t>hypervirulent</w:t>
      </w:r>
      <w:proofErr w:type="spellEnd"/>
      <w:r w:rsidRPr="000B49C6">
        <w:t xml:space="preserve"> strain (027, 078, 244 </w:t>
      </w:r>
      <w:proofErr w:type="spellStart"/>
      <w:r w:rsidRPr="000B49C6">
        <w:t>ribotypes</w:t>
      </w:r>
      <w:proofErr w:type="spellEnd"/>
      <w:r w:rsidRPr="000B49C6">
        <w:t>)</w:t>
      </w:r>
      <w:r w:rsidR="00991401">
        <w:t xml:space="preserve">. </w:t>
      </w:r>
    </w:p>
    <w:p w:rsidR="00C0267A" w:rsidRPr="008B1C03" w:rsidRDefault="00C0267A" w:rsidP="00CB525E">
      <w:pPr>
        <w:pStyle w:val="ListParagraph"/>
        <w:widowControl/>
        <w:numPr>
          <w:ilvl w:val="0"/>
          <w:numId w:val="22"/>
        </w:numPr>
        <w:ind w:left="993" w:hanging="273"/>
      </w:pPr>
      <w:r w:rsidRPr="000B49C6">
        <w:lastRenderedPageBreak/>
        <w:t xml:space="preserve">Repeat dosing of </w:t>
      </w:r>
      <w:proofErr w:type="spellStart"/>
      <w:r w:rsidRPr="000B49C6">
        <w:t>bezlotoxumab</w:t>
      </w:r>
      <w:proofErr w:type="spellEnd"/>
      <w:r w:rsidRPr="000B49C6">
        <w:t xml:space="preserve"> is </w:t>
      </w:r>
      <w:r w:rsidR="00C53090" w:rsidRPr="000B49C6">
        <w:t xml:space="preserve">now </w:t>
      </w:r>
      <w:r w:rsidRPr="000B49C6">
        <w:t xml:space="preserve">permitted 90 days </w:t>
      </w:r>
      <w:r w:rsidR="00B829A1" w:rsidRPr="000B49C6">
        <w:t xml:space="preserve">after the </w:t>
      </w:r>
      <w:r w:rsidRPr="000B49C6">
        <w:t>initial episode, whereas previously, via the PSCR</w:t>
      </w:r>
      <w:r w:rsidRPr="000B49C6">
        <w:rPr>
          <w:rStyle w:val="FootnoteReference"/>
        </w:rPr>
        <w:footnoteReference w:id="1"/>
      </w:r>
      <w:r w:rsidRPr="000B49C6">
        <w:t xml:space="preserve"> it was proposed that </w:t>
      </w:r>
      <w:proofErr w:type="spellStart"/>
      <w:r w:rsidR="00B829A1" w:rsidRPr="000B49C6">
        <w:t>bezlotoxumab</w:t>
      </w:r>
      <w:proofErr w:type="spellEnd"/>
      <w:r w:rsidRPr="000B49C6">
        <w:t xml:space="preserve"> </w:t>
      </w:r>
      <w:r w:rsidR="00C53090" w:rsidRPr="000B49C6">
        <w:t>be</w:t>
      </w:r>
      <w:r w:rsidRPr="000B49C6">
        <w:t xml:space="preserve"> limited to on</w:t>
      </w:r>
      <w:r w:rsidR="004170F4" w:rsidRPr="000B49C6">
        <w:t>ce</w:t>
      </w:r>
      <w:r w:rsidRPr="000B49C6">
        <w:t xml:space="preserve"> per patient lifetime</w:t>
      </w:r>
      <w:r w:rsidR="00991401">
        <w:t xml:space="preserve">. </w:t>
      </w:r>
      <w:r w:rsidRPr="000B49C6">
        <w:rPr>
          <w:iCs/>
        </w:rPr>
        <w:t xml:space="preserve">Despite the incorporation of repeat administration with </w:t>
      </w:r>
      <w:proofErr w:type="spellStart"/>
      <w:r w:rsidRPr="000B49C6">
        <w:rPr>
          <w:iCs/>
        </w:rPr>
        <w:t>bezlotoxumab</w:t>
      </w:r>
      <w:proofErr w:type="spellEnd"/>
      <w:r w:rsidRPr="000B49C6">
        <w:rPr>
          <w:iCs/>
        </w:rPr>
        <w:t xml:space="preserve"> in the requested restrictions, repeat dosing was not </w:t>
      </w:r>
      <w:r w:rsidRPr="000B49C6">
        <w:t>captured</w:t>
      </w:r>
      <w:r w:rsidRPr="000B49C6">
        <w:rPr>
          <w:iCs/>
        </w:rPr>
        <w:t xml:space="preserve"> in the modelled economic evaluation </w:t>
      </w:r>
      <w:r w:rsidR="00E44830" w:rsidRPr="000B49C6">
        <w:rPr>
          <w:iCs/>
        </w:rPr>
        <w:t>or</w:t>
      </w:r>
      <w:r w:rsidRPr="000B49C6">
        <w:rPr>
          <w:iCs/>
        </w:rPr>
        <w:t xml:space="preserve"> the financial estimates</w:t>
      </w:r>
      <w:r w:rsidR="00991401">
        <w:rPr>
          <w:iCs/>
        </w:rPr>
        <w:t xml:space="preserve">. </w:t>
      </w:r>
      <w:r w:rsidRPr="000B49C6">
        <w:rPr>
          <w:iCs/>
        </w:rPr>
        <w:t xml:space="preserve">Instead, the resubmission continued to argue that there was no reason to expect the efficacy and cost effectiveness of </w:t>
      </w:r>
      <w:proofErr w:type="spellStart"/>
      <w:r w:rsidRPr="000B49C6">
        <w:rPr>
          <w:iCs/>
        </w:rPr>
        <w:t>bezlotoxumab</w:t>
      </w:r>
      <w:proofErr w:type="spellEnd"/>
      <w:r w:rsidRPr="000B49C6">
        <w:rPr>
          <w:iCs/>
        </w:rPr>
        <w:t xml:space="preserve"> to differ upon re-administration.</w:t>
      </w:r>
      <w:r w:rsidR="00851767" w:rsidRPr="000B49C6">
        <w:rPr>
          <w:iCs/>
        </w:rPr>
        <w:t xml:space="preserve"> </w:t>
      </w:r>
      <w:r w:rsidR="00851767" w:rsidRPr="000B49C6">
        <w:rPr>
          <w:rFonts w:asciiTheme="minorHAnsi" w:hAnsiTheme="minorHAnsi"/>
          <w:iCs/>
          <w:szCs w:val="24"/>
        </w:rPr>
        <w:t xml:space="preserve">The PSCR acknowledged that the efficacy and safety of </w:t>
      </w:r>
      <w:proofErr w:type="spellStart"/>
      <w:r w:rsidR="00851767" w:rsidRPr="000B49C6">
        <w:rPr>
          <w:rFonts w:asciiTheme="minorHAnsi" w:hAnsiTheme="minorHAnsi"/>
          <w:iCs/>
          <w:szCs w:val="24"/>
        </w:rPr>
        <w:t>bezlotoxumab</w:t>
      </w:r>
      <w:proofErr w:type="spellEnd"/>
      <w:r w:rsidR="00851767" w:rsidRPr="000B49C6">
        <w:rPr>
          <w:rFonts w:asciiTheme="minorHAnsi" w:hAnsiTheme="minorHAnsi"/>
          <w:iCs/>
          <w:szCs w:val="24"/>
        </w:rPr>
        <w:t xml:space="preserve"> re</w:t>
      </w:r>
      <w:r w:rsidR="00383142" w:rsidRPr="000B49C6">
        <w:rPr>
          <w:rFonts w:asciiTheme="minorHAnsi" w:hAnsiTheme="minorHAnsi"/>
          <w:iCs/>
          <w:szCs w:val="24"/>
        </w:rPr>
        <w:noBreakHyphen/>
      </w:r>
      <w:r w:rsidR="00851767" w:rsidRPr="000B49C6">
        <w:rPr>
          <w:rFonts w:asciiTheme="minorHAnsi" w:hAnsiTheme="minorHAnsi"/>
          <w:iCs/>
          <w:szCs w:val="24"/>
        </w:rPr>
        <w:t>administration was unknown</w:t>
      </w:r>
      <w:r w:rsidR="00383142" w:rsidRPr="000B49C6">
        <w:rPr>
          <w:rFonts w:asciiTheme="minorHAnsi" w:hAnsiTheme="minorHAnsi"/>
          <w:iCs/>
          <w:szCs w:val="24"/>
        </w:rPr>
        <w:t>.</w:t>
      </w:r>
      <w:r w:rsidR="00851767" w:rsidRPr="000B49C6">
        <w:rPr>
          <w:rFonts w:asciiTheme="minorHAnsi" w:hAnsiTheme="minorHAnsi"/>
          <w:iCs/>
          <w:szCs w:val="24"/>
        </w:rPr>
        <w:t xml:space="preserve"> </w:t>
      </w:r>
      <w:r w:rsidR="00383142" w:rsidRPr="000B49C6">
        <w:rPr>
          <w:rFonts w:asciiTheme="minorHAnsi" w:hAnsiTheme="minorHAnsi"/>
          <w:iCs/>
          <w:szCs w:val="24"/>
        </w:rPr>
        <w:t>T</w:t>
      </w:r>
      <w:r w:rsidR="00851767" w:rsidRPr="000B49C6">
        <w:rPr>
          <w:rFonts w:asciiTheme="minorHAnsi" w:hAnsiTheme="minorHAnsi"/>
          <w:iCs/>
          <w:szCs w:val="24"/>
        </w:rPr>
        <w:t>he sponsor indicated it would be willing to manage the uncertainties around the cost-effectiveness of repeat dosing. Suggestions presented in the PSCR include: “monitoring repeat dosing via a unique authority code, which would have different rebates associated with it; or restricting use to once per lifetime (as per the November 2017 submission) until further evidence around repeat dosing becomes available</w:t>
      </w:r>
      <w:r w:rsidR="00383142" w:rsidRPr="000B49C6">
        <w:rPr>
          <w:rFonts w:asciiTheme="minorHAnsi" w:hAnsiTheme="minorHAnsi"/>
          <w:iCs/>
          <w:szCs w:val="24"/>
        </w:rPr>
        <w:t>”</w:t>
      </w:r>
      <w:r w:rsidR="00851767" w:rsidRPr="000B49C6">
        <w:rPr>
          <w:rFonts w:asciiTheme="minorHAnsi" w:hAnsiTheme="minorHAnsi"/>
          <w:iCs/>
          <w:szCs w:val="24"/>
        </w:rPr>
        <w:t xml:space="preserve">. </w:t>
      </w:r>
    </w:p>
    <w:p w:rsidR="008B1C03" w:rsidRPr="003943AF" w:rsidRDefault="008B1C03" w:rsidP="00BC15C8">
      <w:pPr>
        <w:pStyle w:val="ListParagraph"/>
        <w:widowControl/>
        <w:numPr>
          <w:ilvl w:val="1"/>
          <w:numId w:val="3"/>
        </w:numPr>
      </w:pPr>
      <w:r>
        <w:rPr>
          <w:rFonts w:asciiTheme="minorHAnsi" w:hAnsiTheme="minorHAnsi"/>
          <w:iCs/>
          <w:szCs w:val="24"/>
        </w:rPr>
        <w:t xml:space="preserve">The PBAC considered that given there is no clinical data to support repeat dosing of </w:t>
      </w:r>
      <w:proofErr w:type="spellStart"/>
      <w:r>
        <w:rPr>
          <w:rFonts w:asciiTheme="minorHAnsi" w:hAnsiTheme="minorHAnsi"/>
          <w:iCs/>
          <w:szCs w:val="24"/>
        </w:rPr>
        <w:t>bezlotoxumab</w:t>
      </w:r>
      <w:proofErr w:type="spellEnd"/>
      <w:r>
        <w:rPr>
          <w:rFonts w:asciiTheme="minorHAnsi" w:hAnsiTheme="minorHAnsi"/>
          <w:iCs/>
          <w:szCs w:val="24"/>
        </w:rPr>
        <w:t xml:space="preserve">, and that it had not been accounted for in the economic analysis, that it may be more appropriate to limit use to one dose per lifetime in the restriction. However, the PBAC also noted that the risk </w:t>
      </w:r>
      <w:r w:rsidR="00137F30">
        <w:rPr>
          <w:rFonts w:asciiTheme="minorHAnsi" w:hAnsiTheme="minorHAnsi"/>
          <w:iCs/>
          <w:szCs w:val="24"/>
        </w:rPr>
        <w:t xml:space="preserve">of use </w:t>
      </w:r>
      <w:r>
        <w:rPr>
          <w:rFonts w:asciiTheme="minorHAnsi" w:hAnsiTheme="minorHAnsi"/>
          <w:iCs/>
          <w:szCs w:val="24"/>
        </w:rPr>
        <w:t>outside this limit would also need to be managed through a risk sharing arrangement.</w:t>
      </w:r>
    </w:p>
    <w:p w:rsidR="003943AF" w:rsidRPr="003943AF" w:rsidRDefault="003943AF" w:rsidP="003943AF">
      <w:pPr>
        <w:pStyle w:val="ListParagraph"/>
        <w:rPr>
          <w:rFonts w:asciiTheme="minorHAnsi" w:hAnsiTheme="minorHAnsi"/>
          <w:i/>
        </w:rPr>
      </w:pPr>
      <w:r w:rsidRPr="00525B39">
        <w:rPr>
          <w:rFonts w:asciiTheme="minorHAnsi" w:hAnsiTheme="minorHAnsi"/>
          <w:i/>
        </w:rPr>
        <w:t>For more detail on PBAC’s view, see section 7 PBAC outcome.</w:t>
      </w:r>
    </w:p>
    <w:p w:rsidR="00FC2486" w:rsidRPr="000B49C6" w:rsidRDefault="00B50DB8" w:rsidP="00AB4E07">
      <w:pPr>
        <w:pStyle w:val="PBACHeading1"/>
        <w:spacing w:before="240" w:after="120"/>
      </w:pPr>
      <w:bookmarkStart w:id="3" w:name="_Toc514248029"/>
      <w:r w:rsidRPr="000B49C6">
        <w:t>Background</w:t>
      </w:r>
      <w:bookmarkEnd w:id="3"/>
    </w:p>
    <w:p w:rsidR="00591957" w:rsidRPr="00E03435" w:rsidRDefault="00591957" w:rsidP="00E03435">
      <w:pPr>
        <w:spacing w:before="240" w:after="120"/>
        <w:outlineLvl w:val="1"/>
        <w:rPr>
          <w:b/>
          <w:i/>
          <w:sz w:val="28"/>
          <w:szCs w:val="28"/>
        </w:rPr>
      </w:pPr>
      <w:r w:rsidRPr="008C757C">
        <w:rPr>
          <w:b/>
          <w:i/>
          <w:sz w:val="28"/>
          <w:szCs w:val="28"/>
        </w:rPr>
        <w:t>Registration status</w:t>
      </w:r>
    </w:p>
    <w:p w:rsidR="00563C19" w:rsidRPr="000B49C6" w:rsidRDefault="00B5292F" w:rsidP="00563C19">
      <w:pPr>
        <w:pStyle w:val="ListParagraph"/>
        <w:widowControl/>
        <w:numPr>
          <w:ilvl w:val="1"/>
          <w:numId w:val="3"/>
        </w:numPr>
      </w:pPr>
      <w:proofErr w:type="spellStart"/>
      <w:r w:rsidRPr="000B49C6">
        <w:t>B</w:t>
      </w:r>
      <w:r w:rsidR="00563C19" w:rsidRPr="000B49C6">
        <w:t>ezlotoxumab</w:t>
      </w:r>
      <w:proofErr w:type="spellEnd"/>
      <w:r w:rsidR="00563C19" w:rsidRPr="000B49C6">
        <w:t xml:space="preserve"> </w:t>
      </w:r>
      <w:r w:rsidRPr="000B49C6">
        <w:t xml:space="preserve">was approved by the </w:t>
      </w:r>
      <w:r w:rsidR="00563C19" w:rsidRPr="000B49C6">
        <w:t xml:space="preserve">TGA (8 November 2017) </w:t>
      </w:r>
      <w:r w:rsidRPr="000B49C6">
        <w:t xml:space="preserve">after the November 2017 PBAC meeting </w:t>
      </w:r>
      <w:r w:rsidR="00563C19" w:rsidRPr="000B49C6">
        <w:t>for the indication of:  “ZINPLAVA (</w:t>
      </w:r>
      <w:proofErr w:type="spellStart"/>
      <w:r w:rsidR="00563C19" w:rsidRPr="000B49C6">
        <w:t>bezlotoxumab</w:t>
      </w:r>
      <w:proofErr w:type="spellEnd"/>
      <w:r w:rsidR="00563C19" w:rsidRPr="000B49C6">
        <w:t xml:space="preserve">) is indicated for the prevention of recurrence of </w:t>
      </w:r>
      <w:r w:rsidR="000B49C6" w:rsidRPr="000B49C6">
        <w:rPr>
          <w:i/>
        </w:rPr>
        <w:t>Clostridium difficile</w:t>
      </w:r>
      <w:r w:rsidR="00563C19" w:rsidRPr="000B49C6">
        <w:t xml:space="preserve"> infection (CDI) in adult patients 18 years or older at high risk of recurrence of CDI who are receiving antibiotic therapy for CDI. ZINPLAVA is not indicated for the treatment of CDI</w:t>
      </w:r>
      <w:r w:rsidR="00991401">
        <w:t xml:space="preserve">. </w:t>
      </w:r>
      <w:r w:rsidR="00563C19" w:rsidRPr="000B49C6">
        <w:t xml:space="preserve">ZINPLAVA is not an antibacterial drug. ZINPLAVA should only be used in conjunction with antibacterial drug treatment of CDI.” </w:t>
      </w:r>
    </w:p>
    <w:p w:rsidR="003943AF" w:rsidRPr="003943AF" w:rsidRDefault="00563C19" w:rsidP="003943AF">
      <w:pPr>
        <w:pStyle w:val="ListParagraph"/>
        <w:widowControl/>
        <w:numPr>
          <w:ilvl w:val="1"/>
          <w:numId w:val="3"/>
        </w:numPr>
      </w:pPr>
      <w:r w:rsidRPr="000B49C6">
        <w:rPr>
          <w:iCs/>
        </w:rPr>
        <w:t xml:space="preserve">The approved Australian indication aligns with both the EU and US </w:t>
      </w:r>
      <w:r w:rsidR="00B829A1" w:rsidRPr="000B49C6">
        <w:rPr>
          <w:iCs/>
        </w:rPr>
        <w:t xml:space="preserve">market authorisations for </w:t>
      </w:r>
      <w:proofErr w:type="spellStart"/>
      <w:r w:rsidR="00B829A1" w:rsidRPr="000B49C6">
        <w:rPr>
          <w:iCs/>
        </w:rPr>
        <w:t>bezlotoxumab</w:t>
      </w:r>
      <w:proofErr w:type="spellEnd"/>
      <w:r w:rsidR="00B829A1" w:rsidRPr="000B49C6">
        <w:rPr>
          <w:iCs/>
        </w:rPr>
        <w:t xml:space="preserve"> </w:t>
      </w:r>
      <w:r w:rsidR="00B5292F" w:rsidRPr="000B49C6">
        <w:rPr>
          <w:iCs/>
        </w:rPr>
        <w:t xml:space="preserve">and </w:t>
      </w:r>
      <w:r w:rsidR="0037344C" w:rsidRPr="000B49C6">
        <w:rPr>
          <w:iCs/>
        </w:rPr>
        <w:t>is</w:t>
      </w:r>
      <w:r w:rsidR="00B5292F" w:rsidRPr="000B49C6">
        <w:rPr>
          <w:iCs/>
        </w:rPr>
        <w:t xml:space="preserve"> limited to patients at </w:t>
      </w:r>
      <w:r w:rsidRPr="000B49C6">
        <w:rPr>
          <w:iCs/>
        </w:rPr>
        <w:t>a high risk of CDI recurrence</w:t>
      </w:r>
      <w:r w:rsidR="00991401">
        <w:rPr>
          <w:iCs/>
        </w:rPr>
        <w:t xml:space="preserve">. </w:t>
      </w:r>
      <w:r w:rsidRPr="000B49C6">
        <w:rPr>
          <w:iCs/>
        </w:rPr>
        <w:t xml:space="preserve">The factors associated with a high risk of </w:t>
      </w:r>
      <w:r w:rsidR="0037344C" w:rsidRPr="000B49C6">
        <w:rPr>
          <w:iCs/>
        </w:rPr>
        <w:t xml:space="preserve">CDI </w:t>
      </w:r>
      <w:r w:rsidRPr="000B49C6">
        <w:rPr>
          <w:iCs/>
        </w:rPr>
        <w:t xml:space="preserve">recurrence </w:t>
      </w:r>
      <w:r w:rsidR="00B5292F" w:rsidRPr="000B49C6">
        <w:rPr>
          <w:iCs/>
        </w:rPr>
        <w:t xml:space="preserve">however </w:t>
      </w:r>
      <w:r w:rsidRPr="000B49C6">
        <w:rPr>
          <w:iCs/>
        </w:rPr>
        <w:t xml:space="preserve">were not </w:t>
      </w:r>
      <w:r w:rsidR="00802A6B" w:rsidRPr="000B49C6">
        <w:rPr>
          <w:iCs/>
        </w:rPr>
        <w:t xml:space="preserve">stated </w:t>
      </w:r>
      <w:r w:rsidRPr="000B49C6">
        <w:rPr>
          <w:iCs/>
        </w:rPr>
        <w:t xml:space="preserve">in the TGA </w:t>
      </w:r>
      <w:r w:rsidR="00D018E0" w:rsidRPr="000B49C6">
        <w:rPr>
          <w:iCs/>
        </w:rPr>
        <w:t xml:space="preserve">restriction </w:t>
      </w:r>
      <w:r w:rsidR="00B5292F" w:rsidRPr="000B49C6">
        <w:rPr>
          <w:iCs/>
        </w:rPr>
        <w:t>wording.</w:t>
      </w:r>
    </w:p>
    <w:p w:rsidR="003943AF" w:rsidRPr="000B49C6" w:rsidRDefault="003943AF" w:rsidP="003943AF">
      <w:pPr>
        <w:pStyle w:val="ListParagraph"/>
        <w:widowControl/>
      </w:pPr>
      <w:r w:rsidRPr="00525B39">
        <w:rPr>
          <w:rFonts w:asciiTheme="minorHAnsi" w:hAnsiTheme="minorHAnsi"/>
          <w:i/>
        </w:rPr>
        <w:t>For more detail on PBAC’s view, see section 7 PBAC outcome</w:t>
      </w:r>
    </w:p>
    <w:p w:rsidR="00B033E5" w:rsidRPr="00E03435" w:rsidRDefault="00B033E5" w:rsidP="00E03435">
      <w:pPr>
        <w:widowControl/>
        <w:spacing w:before="240" w:after="120"/>
        <w:outlineLvl w:val="1"/>
        <w:rPr>
          <w:b/>
          <w:i/>
          <w:sz w:val="28"/>
          <w:szCs w:val="28"/>
        </w:rPr>
      </w:pPr>
      <w:r w:rsidRPr="008C757C">
        <w:rPr>
          <w:b/>
          <w:i/>
          <w:sz w:val="28"/>
          <w:szCs w:val="28"/>
        </w:rPr>
        <w:lastRenderedPageBreak/>
        <w:t>Previous PBAC consideration</w:t>
      </w:r>
    </w:p>
    <w:p w:rsidR="00802A6B" w:rsidRDefault="00423DEF" w:rsidP="00FC2486">
      <w:pPr>
        <w:pStyle w:val="ListParagraph"/>
        <w:numPr>
          <w:ilvl w:val="1"/>
          <w:numId w:val="3"/>
        </w:numPr>
      </w:pPr>
      <w:r w:rsidRPr="000B49C6">
        <w:t>A summary of outstanding</w:t>
      </w:r>
      <w:r w:rsidR="00563C19" w:rsidRPr="000B49C6">
        <w:t xml:space="preserve"> matters from </w:t>
      </w:r>
      <w:r w:rsidR="00B5292F" w:rsidRPr="000B49C6">
        <w:t xml:space="preserve">the November 2017 </w:t>
      </w:r>
      <w:r w:rsidR="00563C19" w:rsidRPr="000B49C6">
        <w:t xml:space="preserve">PBAC consideration </w:t>
      </w:r>
      <w:r w:rsidR="00B5292F" w:rsidRPr="000B49C6">
        <w:t xml:space="preserve">of </w:t>
      </w:r>
      <w:proofErr w:type="spellStart"/>
      <w:r w:rsidR="00563C19" w:rsidRPr="000B49C6">
        <w:t>bezlotoxumab</w:t>
      </w:r>
      <w:proofErr w:type="spellEnd"/>
      <w:r w:rsidR="00563C19" w:rsidRPr="000B49C6">
        <w:t xml:space="preserve"> and how they were addressed in the resubmission</w:t>
      </w:r>
      <w:r w:rsidRPr="000B49C6">
        <w:t xml:space="preserve"> is presented in </w:t>
      </w:r>
      <w:r w:rsidR="00991401">
        <w:t>the table below</w:t>
      </w:r>
      <w:r w:rsidR="00563C19" w:rsidRPr="000B49C6">
        <w:t>.</w:t>
      </w:r>
      <w:r w:rsidRPr="000B49C6">
        <w:t xml:space="preserve"> Briefly, the PBAC noted the modest efficacy of </w:t>
      </w:r>
      <w:proofErr w:type="spellStart"/>
      <w:r w:rsidRPr="000B49C6">
        <w:t>bezlotoxumab</w:t>
      </w:r>
      <w:proofErr w:type="spellEnd"/>
      <w:r w:rsidRPr="000B49C6">
        <w:t xml:space="preserve"> at preventing CDI recurrence and noted that it was only marginally higher in the ‘high risk’ patient subgroup</w:t>
      </w:r>
      <w:r w:rsidR="00991401">
        <w:t xml:space="preserve">. </w:t>
      </w:r>
      <w:r w:rsidRPr="000B49C6">
        <w:t xml:space="preserve">The PBAC also thought </w:t>
      </w:r>
      <w:r w:rsidR="00802A6B" w:rsidRPr="000B49C6">
        <w:t xml:space="preserve">the cost effectiveness </w:t>
      </w:r>
      <w:r w:rsidR="00B829A1" w:rsidRPr="000B49C6">
        <w:t xml:space="preserve">of </w:t>
      </w:r>
      <w:proofErr w:type="spellStart"/>
      <w:r w:rsidR="00B829A1" w:rsidRPr="000B49C6">
        <w:t>bezlotoxumab</w:t>
      </w:r>
      <w:proofErr w:type="spellEnd"/>
      <w:r w:rsidR="00B829A1" w:rsidRPr="000B49C6">
        <w:t xml:space="preserve"> </w:t>
      </w:r>
      <w:r w:rsidR="00802A6B" w:rsidRPr="000B49C6">
        <w:t xml:space="preserve">to be uncertain, the </w:t>
      </w:r>
      <w:r w:rsidR="0037344C" w:rsidRPr="000B49C6">
        <w:t>Committee</w:t>
      </w:r>
      <w:r w:rsidR="00802A6B" w:rsidRPr="000B49C6">
        <w:t xml:space="preserve"> considered </w:t>
      </w:r>
      <w:r w:rsidRPr="000B49C6">
        <w:t xml:space="preserve">mortality rates and mortality benefits of </w:t>
      </w:r>
      <w:proofErr w:type="spellStart"/>
      <w:r w:rsidRPr="000B49C6">
        <w:t>bezlotoxumab</w:t>
      </w:r>
      <w:proofErr w:type="spellEnd"/>
      <w:r w:rsidRPr="000B49C6">
        <w:t xml:space="preserve"> were overestimated in the economic model</w:t>
      </w:r>
      <w:r w:rsidR="00B829A1" w:rsidRPr="000B49C6">
        <w:t xml:space="preserve">, </w:t>
      </w:r>
      <w:r w:rsidR="00CD5A89" w:rsidRPr="000B49C6">
        <w:t>while</w:t>
      </w:r>
      <w:r w:rsidR="00802A6B" w:rsidRPr="000B49C6">
        <w:t xml:space="preserve"> o</w:t>
      </w:r>
      <w:r w:rsidRPr="000B49C6">
        <w:t xml:space="preserve">ther important patient and health-system relevant benefits, such as a reduction in hospital bed days and impact on quality of life, which may be realised as a result of the reduction in CDI recurrence </w:t>
      </w:r>
      <w:r w:rsidR="00802A6B" w:rsidRPr="000B49C6">
        <w:t>were not accounted for in the model</w:t>
      </w:r>
      <w:r w:rsidR="00991401">
        <w:t xml:space="preserve">. </w:t>
      </w:r>
    </w:p>
    <w:p w:rsidR="00991401" w:rsidRPr="00991401" w:rsidRDefault="00991401" w:rsidP="00F4358C">
      <w:pPr>
        <w:pStyle w:val="ListParagraph"/>
        <w:keepNext/>
        <w:ind w:left="0"/>
        <w:rPr>
          <w:b/>
        </w:rPr>
      </w:pPr>
      <w:r w:rsidRPr="008B1C03">
        <w:rPr>
          <w:rStyle w:val="CommentReference"/>
        </w:rPr>
        <w:t xml:space="preserve">Table </w:t>
      </w:r>
      <w:r w:rsidR="00E82A52" w:rsidRPr="008B1C03">
        <w:rPr>
          <w:rStyle w:val="CommentReference"/>
        </w:rPr>
        <w:t>2</w:t>
      </w:r>
      <w:r w:rsidRPr="008B1C03">
        <w:rPr>
          <w:rStyle w:val="CommentReference"/>
        </w:rPr>
        <w:t>:</w:t>
      </w:r>
      <w:r w:rsidRPr="00991401">
        <w:rPr>
          <w:rStyle w:val="CommentReference"/>
        </w:rPr>
        <w:t xml:space="preserve"> </w:t>
      </w:r>
      <w:r w:rsidRPr="008C3718">
        <w:rPr>
          <w:rStyle w:val="CommentReference"/>
        </w:rPr>
        <w:t xml:space="preserve">Key differences between </w:t>
      </w:r>
      <w:r>
        <w:rPr>
          <w:rStyle w:val="CommentReference"/>
        </w:rPr>
        <w:t>the November 2017 submission and the resubmission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63"/>
        <w:gridCol w:w="4076"/>
        <w:gridCol w:w="3844"/>
      </w:tblGrid>
      <w:tr w:rsidR="00991401" w:rsidRPr="008C3718" w:rsidTr="00F4358C">
        <w:trPr>
          <w:cantSplit/>
          <w:tblHeader/>
        </w:trPr>
        <w:tc>
          <w:tcPr>
            <w:tcW w:w="0" w:type="auto"/>
            <w:shd w:val="clear" w:color="auto" w:fill="auto"/>
            <w:vAlign w:val="center"/>
          </w:tcPr>
          <w:p w:rsidR="00991401" w:rsidRPr="008C3718" w:rsidRDefault="00991401" w:rsidP="00F4358C">
            <w:pPr>
              <w:pStyle w:val="Tabletext"/>
              <w:keepNext/>
              <w:rPr>
                <w:b/>
              </w:rPr>
            </w:pPr>
            <w:r w:rsidRPr="008C3718">
              <w:rPr>
                <w:b/>
              </w:rPr>
              <w:t>Component</w:t>
            </w:r>
          </w:p>
        </w:tc>
        <w:tc>
          <w:tcPr>
            <w:tcW w:w="0" w:type="auto"/>
            <w:shd w:val="clear" w:color="auto" w:fill="auto"/>
            <w:vAlign w:val="center"/>
          </w:tcPr>
          <w:p w:rsidR="00991401" w:rsidRPr="008C3718" w:rsidRDefault="00991401" w:rsidP="00F4358C">
            <w:pPr>
              <w:pStyle w:val="Tabletext"/>
              <w:keepNext/>
              <w:jc w:val="center"/>
              <w:rPr>
                <w:b/>
              </w:rPr>
            </w:pPr>
            <w:r w:rsidRPr="008C3718">
              <w:rPr>
                <w:b/>
              </w:rPr>
              <w:t>Submission considered in November 2017</w:t>
            </w:r>
          </w:p>
          <w:p w:rsidR="00991401" w:rsidRPr="008C3718" w:rsidRDefault="00991401" w:rsidP="00F4358C">
            <w:pPr>
              <w:pStyle w:val="Tabletext"/>
              <w:keepNext/>
              <w:jc w:val="center"/>
              <w:rPr>
                <w:b/>
                <w:i/>
              </w:rPr>
            </w:pPr>
            <w:r w:rsidRPr="008C3718">
              <w:rPr>
                <w:b/>
                <w:i/>
              </w:rPr>
              <w:t>PBAC recommendations in italics</w:t>
            </w:r>
          </w:p>
        </w:tc>
        <w:tc>
          <w:tcPr>
            <w:tcW w:w="0" w:type="auto"/>
            <w:shd w:val="clear" w:color="auto" w:fill="auto"/>
            <w:vAlign w:val="center"/>
          </w:tcPr>
          <w:p w:rsidR="00991401" w:rsidRPr="008C3718" w:rsidRDefault="00991401" w:rsidP="00F4358C">
            <w:pPr>
              <w:pStyle w:val="Tabletext"/>
              <w:keepNext/>
              <w:jc w:val="center"/>
              <w:rPr>
                <w:b/>
              </w:rPr>
            </w:pPr>
            <w:r w:rsidRPr="008C3718">
              <w:rPr>
                <w:b/>
              </w:rPr>
              <w:t>Current resubmission</w:t>
            </w:r>
          </w:p>
        </w:tc>
      </w:tr>
      <w:tr w:rsidR="00991401" w:rsidRPr="008C3718" w:rsidTr="00F4358C">
        <w:trPr>
          <w:cantSplit/>
        </w:trPr>
        <w:tc>
          <w:tcPr>
            <w:tcW w:w="0" w:type="auto"/>
            <w:gridSpan w:val="3"/>
            <w:shd w:val="clear" w:color="auto" w:fill="auto"/>
            <w:vAlign w:val="center"/>
          </w:tcPr>
          <w:p w:rsidR="00991401" w:rsidRPr="008C3718" w:rsidRDefault="00991401" w:rsidP="00F4358C">
            <w:pPr>
              <w:pStyle w:val="Tabletext"/>
              <w:keepNext/>
              <w:rPr>
                <w:b/>
              </w:rPr>
            </w:pPr>
            <w:r w:rsidRPr="008C3718">
              <w:rPr>
                <w:rFonts w:eastAsia="Calibri" w:cs="Arial"/>
                <w:b/>
              </w:rPr>
              <w:t>Requested restrictions</w:t>
            </w:r>
          </w:p>
        </w:tc>
      </w:tr>
      <w:tr w:rsidR="00991401" w:rsidRPr="008C3718" w:rsidTr="00F4358C">
        <w:trPr>
          <w:cantSplit/>
        </w:trPr>
        <w:tc>
          <w:tcPr>
            <w:tcW w:w="0" w:type="auto"/>
            <w:shd w:val="clear" w:color="auto" w:fill="auto"/>
            <w:vAlign w:val="center"/>
          </w:tcPr>
          <w:p w:rsidR="00991401" w:rsidRPr="008C3718" w:rsidRDefault="00991401" w:rsidP="00F4358C">
            <w:pPr>
              <w:pStyle w:val="Tabletext"/>
              <w:keepNext/>
            </w:pPr>
            <w:r w:rsidRPr="008C3718">
              <w:rPr>
                <w:rFonts w:eastAsia="Calibri" w:cs="Arial"/>
              </w:rPr>
              <w:t>Population</w:t>
            </w:r>
          </w:p>
        </w:tc>
        <w:tc>
          <w:tcPr>
            <w:tcW w:w="0" w:type="auto"/>
            <w:shd w:val="clear" w:color="auto" w:fill="auto"/>
            <w:vAlign w:val="center"/>
          </w:tcPr>
          <w:p w:rsidR="00991401" w:rsidRPr="008C3718" w:rsidRDefault="00991401" w:rsidP="00F4358C">
            <w:pPr>
              <w:pStyle w:val="Tabletext"/>
              <w:keepNext/>
            </w:pPr>
            <w:r w:rsidRPr="008C3718">
              <w:t>Patients with severe first episode or recurrent CDI</w:t>
            </w:r>
            <w:r>
              <w:t xml:space="preserve">. </w:t>
            </w:r>
            <w:r w:rsidRPr="008C3718">
              <w:t>In the PSCR a revised listing restricting use to “High risk” population was further proposed.</w:t>
            </w:r>
          </w:p>
          <w:p w:rsidR="00991401" w:rsidRPr="008C3718" w:rsidRDefault="00991401" w:rsidP="00F4358C">
            <w:pPr>
              <w:pStyle w:val="Tabletext"/>
              <w:keepNext/>
            </w:pPr>
          </w:p>
          <w:p w:rsidR="00991401" w:rsidRPr="008C3718" w:rsidRDefault="00991401" w:rsidP="00F4358C">
            <w:pPr>
              <w:pStyle w:val="Tabletext"/>
              <w:keepNext/>
              <w:rPr>
                <w:i/>
              </w:rPr>
            </w:pPr>
            <w:r w:rsidRPr="008C3718">
              <w:rPr>
                <w:i/>
              </w:rPr>
              <w:t xml:space="preserve">The PBAC noted that the efficacy of </w:t>
            </w:r>
            <w:proofErr w:type="spellStart"/>
            <w:r w:rsidRPr="008C3718">
              <w:rPr>
                <w:i/>
              </w:rPr>
              <w:t>bezlotoxumab</w:t>
            </w:r>
            <w:proofErr w:type="spellEnd"/>
            <w:r w:rsidRPr="008C3718">
              <w:rPr>
                <w:i/>
              </w:rPr>
              <w:t xml:space="preserve"> was numerically marginally higher in the ‘high risk’ group of patients, but noted the considerable overlap in confidence intervals across patient subgroups. It considered that it may be more appropriate for the determination of patients at high risk to be a clinical practice decision, rather than as specific criteria in the restriction. However, the PBAC advised that as </w:t>
            </w:r>
            <w:proofErr w:type="spellStart"/>
            <w:r w:rsidRPr="008C3718">
              <w:rPr>
                <w:i/>
              </w:rPr>
              <w:t>bezlotoxumab</w:t>
            </w:r>
            <w:proofErr w:type="spellEnd"/>
            <w:r w:rsidRPr="008C3718">
              <w:rPr>
                <w:i/>
              </w:rPr>
              <w:t xml:space="preserve"> conferred passive immunity to toxin B, the restriction should require patients to be confirmed toxin B positive.</w:t>
            </w:r>
          </w:p>
        </w:tc>
        <w:tc>
          <w:tcPr>
            <w:tcW w:w="0" w:type="auto"/>
            <w:shd w:val="clear" w:color="auto" w:fill="auto"/>
          </w:tcPr>
          <w:p w:rsidR="00991401" w:rsidRPr="008C3718" w:rsidRDefault="00991401" w:rsidP="00F4358C">
            <w:pPr>
              <w:pStyle w:val="Tabletext"/>
              <w:keepNext/>
            </w:pPr>
            <w:r w:rsidRPr="008C3718">
              <w:t>Patients at ‘high risk’ of CDI recurrence as determined by clinicians, with confirmed toxin B positive CDI.</w:t>
            </w:r>
          </w:p>
        </w:tc>
      </w:tr>
      <w:tr w:rsidR="00991401" w:rsidRPr="008C3718" w:rsidTr="00F4358C">
        <w:trPr>
          <w:cantSplit/>
        </w:trPr>
        <w:tc>
          <w:tcPr>
            <w:tcW w:w="0" w:type="auto"/>
            <w:shd w:val="clear" w:color="auto" w:fill="auto"/>
            <w:vAlign w:val="center"/>
          </w:tcPr>
          <w:p w:rsidR="00991401" w:rsidRPr="008C3718" w:rsidRDefault="00991401" w:rsidP="00F4358C">
            <w:pPr>
              <w:pStyle w:val="Tabletext"/>
            </w:pPr>
            <w:r w:rsidRPr="008C3718">
              <w:t>Suggested use</w:t>
            </w:r>
          </w:p>
        </w:tc>
        <w:tc>
          <w:tcPr>
            <w:tcW w:w="0" w:type="auto"/>
            <w:shd w:val="clear" w:color="auto" w:fill="auto"/>
            <w:vAlign w:val="center"/>
          </w:tcPr>
          <w:p w:rsidR="00991401" w:rsidRPr="008C3718" w:rsidRDefault="00991401" w:rsidP="00F4358C">
            <w:pPr>
              <w:pStyle w:val="Tabletext"/>
            </w:pPr>
            <w:r w:rsidRPr="008C3718">
              <w:t>One dose administered per patient in a lifetime.</w:t>
            </w:r>
          </w:p>
          <w:p w:rsidR="00991401" w:rsidRPr="008C3718" w:rsidRDefault="00991401" w:rsidP="00F4358C">
            <w:pPr>
              <w:pStyle w:val="Tabletext"/>
            </w:pPr>
          </w:p>
          <w:p w:rsidR="00991401" w:rsidRPr="008C3718" w:rsidRDefault="00991401" w:rsidP="00F4358C">
            <w:pPr>
              <w:pStyle w:val="Tabletext"/>
              <w:rPr>
                <w:i/>
              </w:rPr>
            </w:pPr>
            <w:r w:rsidRPr="008C3718">
              <w:rPr>
                <w:i/>
              </w:rPr>
              <w:t xml:space="preserve">The PBAC considered it was probable, and likely appropriate, that </w:t>
            </w:r>
            <w:proofErr w:type="spellStart"/>
            <w:r w:rsidRPr="008C3718">
              <w:rPr>
                <w:i/>
              </w:rPr>
              <w:t>bezlotoxumab</w:t>
            </w:r>
            <w:proofErr w:type="spellEnd"/>
            <w:r w:rsidRPr="008C3718">
              <w:rPr>
                <w:i/>
              </w:rPr>
              <w:t xml:space="preserve"> would be used more than once within a patient’s lifetime for a new infection or recurrence.</w:t>
            </w:r>
          </w:p>
        </w:tc>
        <w:tc>
          <w:tcPr>
            <w:tcW w:w="0" w:type="auto"/>
            <w:shd w:val="clear" w:color="auto" w:fill="auto"/>
            <w:vAlign w:val="center"/>
          </w:tcPr>
          <w:p w:rsidR="00991401" w:rsidRPr="008C3718" w:rsidRDefault="00991401" w:rsidP="00F4358C">
            <w:pPr>
              <w:pStyle w:val="Tabletext"/>
            </w:pPr>
            <w:proofErr w:type="spellStart"/>
            <w:r w:rsidRPr="008C3718">
              <w:t>Bezlotoxumab</w:t>
            </w:r>
            <w:proofErr w:type="spellEnd"/>
            <w:r w:rsidRPr="008C3718">
              <w:t xml:space="preserve"> was administered once per episode of CDI</w:t>
            </w:r>
            <w:r>
              <w:t xml:space="preserve">. </w:t>
            </w:r>
            <w:r w:rsidRPr="008C3718">
              <w:t>Repeat dosing was only permitted after 90 days of initial episode.</w:t>
            </w:r>
          </w:p>
          <w:p w:rsidR="00991401" w:rsidRPr="008C3718" w:rsidRDefault="00991401" w:rsidP="00F4358C">
            <w:pPr>
              <w:pStyle w:val="Tabletext"/>
              <w:rPr>
                <w:i/>
              </w:rPr>
            </w:pPr>
          </w:p>
          <w:p w:rsidR="00991401" w:rsidRPr="008C3718" w:rsidRDefault="00991401" w:rsidP="00F4358C">
            <w:pPr>
              <w:pStyle w:val="Tabletext"/>
              <w:rPr>
                <w:i/>
              </w:rPr>
            </w:pPr>
            <w:r w:rsidRPr="008C3718">
              <w:rPr>
                <w:i/>
              </w:rPr>
              <w:t>Inappropriately, this was not captured in the modelled economic evaluation.</w:t>
            </w:r>
          </w:p>
        </w:tc>
      </w:tr>
      <w:tr w:rsidR="00991401" w:rsidRPr="008C3718" w:rsidTr="00F4358C">
        <w:trPr>
          <w:cantSplit/>
        </w:trPr>
        <w:tc>
          <w:tcPr>
            <w:tcW w:w="0" w:type="auto"/>
            <w:shd w:val="clear" w:color="auto" w:fill="auto"/>
            <w:vAlign w:val="center"/>
          </w:tcPr>
          <w:p w:rsidR="00991401" w:rsidRPr="008C3718" w:rsidRDefault="00991401" w:rsidP="00F4358C">
            <w:pPr>
              <w:pStyle w:val="Tabletext"/>
            </w:pPr>
            <w:r w:rsidRPr="008C3718">
              <w:t>Patient location</w:t>
            </w:r>
          </w:p>
        </w:tc>
        <w:tc>
          <w:tcPr>
            <w:tcW w:w="0" w:type="auto"/>
            <w:shd w:val="clear" w:color="auto" w:fill="auto"/>
            <w:vAlign w:val="center"/>
          </w:tcPr>
          <w:p w:rsidR="00991401" w:rsidRPr="008C3718" w:rsidRDefault="00991401" w:rsidP="00F4358C">
            <w:pPr>
              <w:pStyle w:val="Tabletext"/>
              <w:rPr>
                <w:rFonts w:eastAsia="Calibri" w:cs="Arial"/>
              </w:rPr>
            </w:pPr>
            <w:r w:rsidRPr="008C3718">
              <w:rPr>
                <w:rFonts w:eastAsia="Calibri" w:cs="Arial"/>
              </w:rPr>
              <w:t>Outpatient subgroup.</w:t>
            </w:r>
          </w:p>
          <w:p w:rsidR="00991401" w:rsidRPr="008C3718" w:rsidRDefault="00991401" w:rsidP="00F4358C">
            <w:pPr>
              <w:pStyle w:val="Tabletext"/>
              <w:rPr>
                <w:rFonts w:eastAsia="Calibri" w:cs="Arial"/>
                <w:i/>
              </w:rPr>
            </w:pPr>
            <w:r w:rsidRPr="008C3718">
              <w:rPr>
                <w:rFonts w:eastAsia="Calibri" w:cs="Arial"/>
                <w:i/>
              </w:rPr>
              <w:t xml:space="preserve">The PBAC did not agree with the submission that the outpatients’ </w:t>
            </w:r>
            <w:proofErr w:type="gramStart"/>
            <w:r w:rsidRPr="008C3718">
              <w:rPr>
                <w:rFonts w:eastAsia="Calibri" w:cs="Arial"/>
                <w:i/>
              </w:rPr>
              <w:t>subgroup,</w:t>
            </w:r>
            <w:proofErr w:type="gramEnd"/>
            <w:r w:rsidRPr="008C3718">
              <w:rPr>
                <w:rFonts w:eastAsia="Calibri" w:cs="Arial"/>
                <w:i/>
              </w:rPr>
              <w:t xml:space="preserve"> was representative of the PBS population, and considered that future analyses should be based on the total population.</w:t>
            </w:r>
          </w:p>
        </w:tc>
        <w:tc>
          <w:tcPr>
            <w:tcW w:w="0" w:type="auto"/>
            <w:shd w:val="clear" w:color="auto" w:fill="auto"/>
            <w:vAlign w:val="center"/>
          </w:tcPr>
          <w:p w:rsidR="00991401" w:rsidRPr="008C3718" w:rsidRDefault="00991401" w:rsidP="00F4358C">
            <w:pPr>
              <w:pStyle w:val="Tabletext"/>
            </w:pPr>
            <w:r w:rsidRPr="008C3718">
              <w:t>Patients at ‘high risk’ of CDI recurrence inclusive of inpatients and outpatients</w:t>
            </w:r>
          </w:p>
        </w:tc>
      </w:tr>
      <w:tr w:rsidR="00991401" w:rsidRPr="008C3718" w:rsidTr="00F4358C">
        <w:trPr>
          <w:cantSplit/>
        </w:trPr>
        <w:tc>
          <w:tcPr>
            <w:tcW w:w="0" w:type="auto"/>
            <w:shd w:val="clear" w:color="auto" w:fill="auto"/>
            <w:vAlign w:val="center"/>
          </w:tcPr>
          <w:p w:rsidR="00991401" w:rsidRPr="008C3718" w:rsidRDefault="00991401" w:rsidP="00F4358C">
            <w:pPr>
              <w:pStyle w:val="Tabletext"/>
            </w:pPr>
            <w:r w:rsidRPr="008C3718">
              <w:t>List price</w:t>
            </w:r>
          </w:p>
        </w:tc>
        <w:tc>
          <w:tcPr>
            <w:tcW w:w="0" w:type="auto"/>
            <w:shd w:val="clear" w:color="auto" w:fill="auto"/>
            <w:vAlign w:val="center"/>
          </w:tcPr>
          <w:p w:rsidR="00991401" w:rsidRPr="008C3718" w:rsidRDefault="00991401" w:rsidP="00F4358C">
            <w:pPr>
              <w:pStyle w:val="Tabletext"/>
              <w:rPr>
                <w:rFonts w:eastAsia="Calibri" w:cs="Arial"/>
              </w:rPr>
            </w:pPr>
            <w:r w:rsidRPr="008C3718">
              <w:rPr>
                <w:rFonts w:eastAsia="Calibri" w:cs="Arial"/>
              </w:rPr>
              <w:t>$</w:t>
            </w:r>
            <w:r w:rsidR="00410A2A">
              <w:rPr>
                <w:rFonts w:eastAsia="Calibri" w:cs="Arial"/>
                <w:noProof/>
                <w:color w:val="000000"/>
                <w:highlight w:val="black"/>
              </w:rPr>
              <w:t>''''''''''''''</w:t>
            </w:r>
            <w:r w:rsidRPr="008C3718">
              <w:rPr>
                <w:rFonts w:eastAsia="Calibri" w:cs="Arial"/>
              </w:rPr>
              <w:t xml:space="preserve"> per 1000mg/40mL vial</w:t>
            </w:r>
          </w:p>
        </w:tc>
        <w:tc>
          <w:tcPr>
            <w:tcW w:w="0" w:type="auto"/>
            <w:shd w:val="clear" w:color="auto" w:fill="auto"/>
            <w:vAlign w:val="center"/>
          </w:tcPr>
          <w:p w:rsidR="00991401" w:rsidRPr="008C3718" w:rsidRDefault="00991401" w:rsidP="00F4358C">
            <w:pPr>
              <w:pStyle w:val="Tabletext"/>
            </w:pPr>
            <w:r w:rsidRPr="008C3718">
              <w:rPr>
                <w:rFonts w:eastAsia="Calibri" w:cs="Arial"/>
              </w:rPr>
              <w:t>$</w:t>
            </w:r>
            <w:r w:rsidR="00410A2A">
              <w:rPr>
                <w:rFonts w:eastAsia="Calibri" w:cs="Arial"/>
                <w:noProof/>
                <w:color w:val="000000"/>
                <w:highlight w:val="black"/>
              </w:rPr>
              <w:t>''''''''''''</w:t>
            </w:r>
            <w:r w:rsidRPr="008C3718">
              <w:rPr>
                <w:rFonts w:eastAsia="Calibri" w:cs="Arial"/>
              </w:rPr>
              <w:t xml:space="preserve"> per 1000mg/40mL vial, representing a </w:t>
            </w:r>
            <w:r w:rsidR="00410A2A">
              <w:rPr>
                <w:rFonts w:eastAsia="Calibri" w:cs="Arial"/>
                <w:noProof/>
                <w:color w:val="000000"/>
                <w:highlight w:val="black"/>
              </w:rPr>
              <w:t>'''''''</w:t>
            </w:r>
            <w:r w:rsidRPr="008C3718">
              <w:rPr>
                <w:rFonts w:eastAsia="Calibri" w:cs="Arial"/>
              </w:rPr>
              <w:t>% price reduction</w:t>
            </w:r>
            <w:r>
              <w:rPr>
                <w:rFonts w:eastAsia="Calibri" w:cs="Arial"/>
              </w:rPr>
              <w:t xml:space="preserve">. </w:t>
            </w:r>
            <w:r w:rsidRPr="008C3718">
              <w:rPr>
                <w:rFonts w:eastAsia="Calibri" w:cs="Arial"/>
              </w:rPr>
              <w:t>Request for this to be applied as a special pricing arrangement.</w:t>
            </w:r>
          </w:p>
        </w:tc>
      </w:tr>
      <w:tr w:rsidR="00991401" w:rsidRPr="008C3718" w:rsidTr="00F4358C">
        <w:trPr>
          <w:cantSplit/>
        </w:trPr>
        <w:tc>
          <w:tcPr>
            <w:tcW w:w="0" w:type="auto"/>
            <w:gridSpan w:val="3"/>
            <w:shd w:val="clear" w:color="auto" w:fill="auto"/>
            <w:vAlign w:val="center"/>
          </w:tcPr>
          <w:p w:rsidR="00991401" w:rsidRPr="008C3718" w:rsidRDefault="00991401" w:rsidP="00F4358C">
            <w:pPr>
              <w:pStyle w:val="Tabletext"/>
              <w:rPr>
                <w:b/>
              </w:rPr>
            </w:pPr>
            <w:r w:rsidRPr="008C3718">
              <w:rPr>
                <w:b/>
              </w:rPr>
              <w:t>Clinical evaluation</w:t>
            </w:r>
          </w:p>
        </w:tc>
      </w:tr>
      <w:tr w:rsidR="00991401" w:rsidRPr="008C3718" w:rsidTr="00F4358C">
        <w:trPr>
          <w:cantSplit/>
        </w:trPr>
        <w:tc>
          <w:tcPr>
            <w:tcW w:w="0" w:type="auto"/>
            <w:shd w:val="clear" w:color="auto" w:fill="auto"/>
            <w:vAlign w:val="center"/>
          </w:tcPr>
          <w:p w:rsidR="00991401" w:rsidRPr="008C3718" w:rsidRDefault="00991401" w:rsidP="00F4358C">
            <w:pPr>
              <w:pStyle w:val="Tabletext"/>
            </w:pPr>
            <w:r w:rsidRPr="008C3718">
              <w:lastRenderedPageBreak/>
              <w:t>Clinical efficacy</w:t>
            </w:r>
          </w:p>
        </w:tc>
        <w:tc>
          <w:tcPr>
            <w:tcW w:w="0" w:type="auto"/>
            <w:shd w:val="clear" w:color="auto" w:fill="auto"/>
            <w:vAlign w:val="center"/>
          </w:tcPr>
          <w:p w:rsidR="00991401" w:rsidRPr="008C3718" w:rsidRDefault="00991401" w:rsidP="00F4358C">
            <w:pPr>
              <w:pStyle w:val="Tabletext"/>
              <w:rPr>
                <w:rFonts w:eastAsia="Calibri" w:cs="Arial"/>
              </w:rPr>
            </w:pPr>
            <w:r w:rsidRPr="008C3718">
              <w:rPr>
                <w:rFonts w:eastAsia="Calibri" w:cs="Arial"/>
              </w:rPr>
              <w:t xml:space="preserve">The main efficacy results were informed by the outcomes of the MODIFY I and MODIFY II trials of </w:t>
            </w:r>
            <w:proofErr w:type="spellStart"/>
            <w:r w:rsidRPr="008C3718">
              <w:rPr>
                <w:rFonts w:eastAsia="Calibri" w:cs="Arial"/>
              </w:rPr>
              <w:t>bezlotoxumab</w:t>
            </w:r>
            <w:proofErr w:type="spellEnd"/>
            <w:r w:rsidRPr="008C3718">
              <w:rPr>
                <w:rFonts w:eastAsia="Calibri" w:cs="Arial"/>
              </w:rPr>
              <w:t xml:space="preserve"> +</w:t>
            </w:r>
            <w:proofErr w:type="spellStart"/>
            <w:r w:rsidRPr="008C3718">
              <w:rPr>
                <w:rFonts w:eastAsia="Calibri" w:cs="Arial"/>
              </w:rPr>
              <w:t>SoC</w:t>
            </w:r>
            <w:proofErr w:type="spellEnd"/>
            <w:r w:rsidRPr="008C3718">
              <w:rPr>
                <w:rFonts w:eastAsia="Calibri" w:cs="Arial"/>
              </w:rPr>
              <w:t xml:space="preserve"> antibiotics versus </w:t>
            </w:r>
            <w:proofErr w:type="spellStart"/>
            <w:r w:rsidRPr="008C3718">
              <w:rPr>
                <w:rFonts w:eastAsia="Calibri" w:cs="Arial"/>
              </w:rPr>
              <w:t>SoC</w:t>
            </w:r>
            <w:proofErr w:type="spellEnd"/>
            <w:r w:rsidRPr="008C3718">
              <w:rPr>
                <w:rFonts w:eastAsia="Calibri" w:cs="Arial"/>
              </w:rPr>
              <w:t xml:space="preserve"> antibiotics alone</w:t>
            </w:r>
            <w:r>
              <w:rPr>
                <w:rFonts w:eastAsia="Calibri" w:cs="Arial"/>
              </w:rPr>
              <w:t xml:space="preserve">. </w:t>
            </w:r>
            <w:r w:rsidRPr="008C3718">
              <w:rPr>
                <w:rFonts w:eastAsia="Calibri" w:cs="Arial"/>
                <w:i/>
              </w:rPr>
              <w:t>The submission had focused on a trial defined ‘outpatient group’, which it claimed to represent treatment of CDI in an outpatient patient setting</w:t>
            </w:r>
            <w:r>
              <w:rPr>
                <w:rFonts w:eastAsia="Calibri" w:cs="Arial"/>
                <w:i/>
              </w:rPr>
              <w:t xml:space="preserve">. </w:t>
            </w:r>
            <w:r w:rsidRPr="008C3718">
              <w:rPr>
                <w:rFonts w:eastAsia="Calibri" w:cs="Arial"/>
                <w:i/>
              </w:rPr>
              <w:t xml:space="preserve">This was an inappropriate </w:t>
            </w:r>
            <w:proofErr w:type="gramStart"/>
            <w:r w:rsidRPr="008C3718">
              <w:rPr>
                <w:rFonts w:eastAsia="Calibri" w:cs="Arial"/>
                <w:i/>
              </w:rPr>
              <w:t>claim,</w:t>
            </w:r>
            <w:proofErr w:type="gramEnd"/>
            <w:r w:rsidRPr="008C3718">
              <w:rPr>
                <w:rFonts w:eastAsia="Calibri" w:cs="Arial"/>
                <w:i/>
              </w:rPr>
              <w:t xml:space="preserve"> instead ‘outpatient’ represented the location of diagnosis of CDI of trial participants</w:t>
            </w:r>
            <w:r>
              <w:rPr>
                <w:rFonts w:eastAsia="Calibri" w:cs="Arial"/>
                <w:i/>
              </w:rPr>
              <w:t xml:space="preserve">. </w:t>
            </w:r>
            <w:r w:rsidRPr="008C3718">
              <w:rPr>
                <w:rFonts w:eastAsia="Calibri" w:cs="Arial"/>
              </w:rPr>
              <w:t xml:space="preserve">The primary outcome found a modest reduction in CDI recurrence at 12 weeks in </w:t>
            </w:r>
            <w:r w:rsidR="00927EBB">
              <w:rPr>
                <w:rFonts w:eastAsia="Calibri" w:cs="Arial"/>
              </w:rPr>
              <w:t>all participants</w:t>
            </w:r>
            <w:r w:rsidR="005B2CC8">
              <w:rPr>
                <w:rFonts w:eastAsia="Calibri" w:cs="Arial"/>
              </w:rPr>
              <w:t xml:space="preserve"> </w:t>
            </w:r>
            <w:r w:rsidRPr="008C3718">
              <w:rPr>
                <w:rFonts w:eastAsia="Calibri" w:cs="Arial"/>
              </w:rPr>
              <w:t>(RD: -10.1%, 95%CI: -14.2, -6.1). Data presented in the PSCR illustrated that the risk of CDI recurrence in the high risk population was -</w:t>
            </w:r>
            <w:r w:rsidR="00410A2A">
              <w:rPr>
                <w:rFonts w:eastAsia="Calibri" w:cs="Arial"/>
                <w:noProof/>
                <w:color w:val="000000"/>
                <w:highlight w:val="black"/>
              </w:rPr>
              <w:t>''''''''''</w:t>
            </w:r>
            <w:r w:rsidRPr="008C3718">
              <w:rPr>
                <w:rFonts w:eastAsia="Calibri" w:cs="Arial"/>
              </w:rPr>
              <w:t xml:space="preserve">% (95%CI: </w:t>
            </w:r>
            <w:r w:rsidR="00410A2A">
              <w:rPr>
                <w:rFonts w:eastAsia="Calibri" w:cs="Arial"/>
                <w:noProof/>
                <w:color w:val="000000"/>
                <w:highlight w:val="black"/>
              </w:rPr>
              <w:t>''''''''''''</w:t>
            </w:r>
            <w:r w:rsidRPr="008C3718">
              <w:rPr>
                <w:rFonts w:eastAsia="Calibri" w:cs="Arial"/>
              </w:rPr>
              <w:t xml:space="preserve">, </w:t>
            </w:r>
            <w:r w:rsidR="00410A2A">
              <w:rPr>
                <w:rFonts w:eastAsia="Calibri" w:cs="Arial"/>
                <w:noProof/>
                <w:color w:val="000000"/>
                <w:highlight w:val="black"/>
              </w:rPr>
              <w:t>''''''''''</w:t>
            </w:r>
            <w:r w:rsidRPr="008C3718">
              <w:rPr>
                <w:rFonts w:eastAsia="Calibri" w:cs="Arial"/>
              </w:rPr>
              <w:t>).</w:t>
            </w:r>
          </w:p>
          <w:p w:rsidR="00991401" w:rsidRPr="008C3718" w:rsidRDefault="00991401" w:rsidP="00F4358C">
            <w:pPr>
              <w:pStyle w:val="Tabletext"/>
              <w:rPr>
                <w:rFonts w:eastAsia="Calibri" w:cs="Arial"/>
              </w:rPr>
            </w:pPr>
          </w:p>
          <w:p w:rsidR="00991401" w:rsidRPr="008C3718" w:rsidRDefault="00991401" w:rsidP="00F4358C">
            <w:pPr>
              <w:pStyle w:val="Tabletext"/>
              <w:rPr>
                <w:rFonts w:eastAsia="Calibri" w:cs="Arial"/>
                <w:i/>
              </w:rPr>
            </w:pPr>
            <w:r w:rsidRPr="008C3718">
              <w:rPr>
                <w:rFonts w:eastAsia="Calibri" w:cs="Arial"/>
                <w:i/>
              </w:rPr>
              <w:t xml:space="preserve">The PBAC considered the overall benefit of </w:t>
            </w:r>
            <w:proofErr w:type="spellStart"/>
            <w:r w:rsidRPr="008C3718">
              <w:rPr>
                <w:rFonts w:eastAsia="Calibri" w:cs="Arial"/>
                <w:i/>
              </w:rPr>
              <w:t>bezlotoxumab</w:t>
            </w:r>
            <w:proofErr w:type="spellEnd"/>
            <w:r w:rsidRPr="008C3718">
              <w:rPr>
                <w:rFonts w:eastAsia="Calibri" w:cs="Arial"/>
                <w:i/>
              </w:rPr>
              <w:t xml:space="preserve"> in high risk group (data presented in PSCR) remained modest, and the clinical significance of such a benefit was unclear.</w:t>
            </w:r>
          </w:p>
        </w:tc>
        <w:tc>
          <w:tcPr>
            <w:tcW w:w="0" w:type="auto"/>
            <w:shd w:val="clear" w:color="auto" w:fill="auto"/>
            <w:vAlign w:val="center"/>
          </w:tcPr>
          <w:p w:rsidR="00991401" w:rsidRPr="008C3718" w:rsidRDefault="00991401" w:rsidP="00F4358C">
            <w:pPr>
              <w:pStyle w:val="Tabletext"/>
            </w:pPr>
            <w:r w:rsidRPr="008C3718">
              <w:t xml:space="preserve">Data from the high risk population was again presented in the resubmission, showing a CDI recurrence rate reduction of </w:t>
            </w:r>
            <w:r w:rsidR="00410A2A">
              <w:rPr>
                <w:noProof/>
                <w:color w:val="000000"/>
                <w:highlight w:val="black"/>
              </w:rPr>
              <w:t>'''''''''''''</w:t>
            </w:r>
            <w:r w:rsidRPr="008C3718">
              <w:t xml:space="preserve">% (95%CI: </w:t>
            </w:r>
            <w:r w:rsidR="00410A2A">
              <w:rPr>
                <w:noProof/>
                <w:color w:val="000000"/>
                <w:highlight w:val="black"/>
              </w:rPr>
              <w:t>'''''''''''''</w:t>
            </w:r>
            <w:r w:rsidRPr="008C3718">
              <w:t xml:space="preserve">, </w:t>
            </w:r>
            <w:r w:rsidR="00410A2A">
              <w:rPr>
                <w:noProof/>
                <w:color w:val="000000"/>
                <w:highlight w:val="black"/>
              </w:rPr>
              <w:t>'''''''''</w:t>
            </w:r>
            <w:r w:rsidRPr="008C3718">
              <w:t>).</w:t>
            </w:r>
          </w:p>
          <w:p w:rsidR="00991401" w:rsidRPr="008C3718" w:rsidRDefault="00991401" w:rsidP="00F4358C">
            <w:pPr>
              <w:pStyle w:val="Tabletext"/>
            </w:pPr>
          </w:p>
          <w:p w:rsidR="00991401" w:rsidRPr="008C3718" w:rsidRDefault="00991401" w:rsidP="00F4358C">
            <w:pPr>
              <w:pStyle w:val="Tabletext"/>
            </w:pPr>
            <w:r w:rsidRPr="008C3718">
              <w:t xml:space="preserve">Data presented in </w:t>
            </w:r>
            <w:proofErr w:type="spellStart"/>
            <w:r w:rsidRPr="008C3718">
              <w:t>Gerding</w:t>
            </w:r>
            <w:proofErr w:type="spellEnd"/>
            <w:r w:rsidRPr="008C3718">
              <w:t xml:space="preserve"> </w:t>
            </w:r>
            <w:r w:rsidR="00CC5D6C" w:rsidRPr="00CC5D6C">
              <w:rPr>
                <w:i/>
              </w:rPr>
              <w:t>et. al.</w:t>
            </w:r>
            <w:r w:rsidRPr="008C3718">
              <w:t xml:space="preserve"> 2018 illustrated no significant benefit of </w:t>
            </w:r>
            <w:proofErr w:type="spellStart"/>
            <w:r w:rsidRPr="008C3718">
              <w:t>bezlotoxumab</w:t>
            </w:r>
            <w:proofErr w:type="spellEnd"/>
            <w:r w:rsidRPr="008C3718">
              <w:t xml:space="preserve"> in patients without any risk factor for recurrence (RD (95%CI): -2.1(-11.1, 6.9), but the benefit significantly increases if there were </w:t>
            </w:r>
            <w:r w:rsidRPr="008C3718">
              <w:sym w:font="Symbol" w:char="F0B3"/>
            </w:r>
            <w:r w:rsidRPr="008C3718">
              <w:t>3 risk factors (RD (95%CI): -24.8 (-39.1,-9.3).</w:t>
            </w:r>
          </w:p>
          <w:p w:rsidR="00991401" w:rsidRPr="008C3718" w:rsidRDefault="00991401" w:rsidP="00F4358C">
            <w:pPr>
              <w:pStyle w:val="Tabletext"/>
            </w:pPr>
          </w:p>
        </w:tc>
      </w:tr>
      <w:tr w:rsidR="00991401" w:rsidRPr="008C3718" w:rsidTr="00F4358C">
        <w:trPr>
          <w:cantSplit/>
        </w:trPr>
        <w:tc>
          <w:tcPr>
            <w:tcW w:w="0" w:type="auto"/>
            <w:shd w:val="clear" w:color="auto" w:fill="auto"/>
            <w:vAlign w:val="center"/>
          </w:tcPr>
          <w:p w:rsidR="00991401" w:rsidRPr="008C3718" w:rsidRDefault="00991401" w:rsidP="00F4358C">
            <w:pPr>
              <w:pStyle w:val="Tabletext"/>
            </w:pPr>
            <w:r w:rsidRPr="008C3718">
              <w:t>Outcome measure</w:t>
            </w:r>
          </w:p>
        </w:tc>
        <w:tc>
          <w:tcPr>
            <w:tcW w:w="0" w:type="auto"/>
            <w:shd w:val="clear" w:color="auto" w:fill="auto"/>
            <w:vAlign w:val="center"/>
          </w:tcPr>
          <w:p w:rsidR="00991401" w:rsidRPr="008C3718" w:rsidRDefault="00991401" w:rsidP="00F4358C">
            <w:pPr>
              <w:pStyle w:val="Tabletext"/>
              <w:rPr>
                <w:rFonts w:eastAsia="Calibri" w:cs="Arial"/>
              </w:rPr>
            </w:pPr>
            <w:r w:rsidRPr="008C3718">
              <w:rPr>
                <w:rFonts w:eastAsia="Calibri" w:cs="Arial"/>
              </w:rPr>
              <w:t>CDI recurrence the primary outcome in the MODIFY trials.</w:t>
            </w:r>
          </w:p>
          <w:p w:rsidR="00991401" w:rsidRPr="008C3718" w:rsidRDefault="00991401" w:rsidP="00F4358C">
            <w:pPr>
              <w:pStyle w:val="Tabletext"/>
              <w:rPr>
                <w:rFonts w:eastAsia="Calibri" w:cs="Arial"/>
              </w:rPr>
            </w:pPr>
          </w:p>
          <w:p w:rsidR="00991401" w:rsidRPr="008C3718" w:rsidRDefault="00991401" w:rsidP="00F4358C">
            <w:pPr>
              <w:pStyle w:val="Tabletext"/>
              <w:rPr>
                <w:rFonts w:eastAsia="Calibri" w:cs="Arial"/>
                <w:i/>
                <w:iCs/>
              </w:rPr>
            </w:pPr>
            <w:r w:rsidRPr="008C3718">
              <w:rPr>
                <w:rFonts w:eastAsia="Calibri" w:cs="Arial"/>
                <w:i/>
              </w:rPr>
              <w:t>The PBAC noted and agreed with the FDA who considered global cure to be a more relevant endpoint as it is “more interpretable”, since clinically, the goal would be to get cured, stay alive, and remain free of recurrent infection over time. Global cure is also less biased compared to CDI recurrence, since by definition, CDI recurrence would underestimate the true recurrence rate (since those who fail antibiotic therapy and do not get better from their current CDI episode cannot have a recurrence).</w:t>
            </w:r>
          </w:p>
        </w:tc>
        <w:tc>
          <w:tcPr>
            <w:tcW w:w="0" w:type="auto"/>
            <w:shd w:val="clear" w:color="auto" w:fill="auto"/>
            <w:vAlign w:val="center"/>
          </w:tcPr>
          <w:p w:rsidR="00991401" w:rsidRPr="008C3718" w:rsidRDefault="00991401" w:rsidP="00F4358C">
            <w:pPr>
              <w:pStyle w:val="Tabletext"/>
              <w:rPr>
                <w:rFonts w:eastAsia="Calibri" w:cs="Arial"/>
              </w:rPr>
            </w:pPr>
            <w:r w:rsidRPr="008C3718">
              <w:rPr>
                <w:rFonts w:eastAsia="Calibri" w:cs="Arial"/>
              </w:rPr>
              <w:t>Global cure rate in high risk patients was reported in addition to CDI recurrence, BUT</w:t>
            </w:r>
            <w:r w:rsidRPr="008C3718">
              <w:rPr>
                <w:rFonts w:eastAsia="Calibri" w:cs="Arial"/>
                <w:i/>
                <w:iCs/>
              </w:rPr>
              <w:t xml:space="preserve"> global cure results were not used in either the modelled economic evaluation or financial estimates, both of which continued to rely on CDI recurrence. </w:t>
            </w:r>
          </w:p>
        </w:tc>
      </w:tr>
      <w:tr w:rsidR="00991401" w:rsidRPr="008C3718" w:rsidTr="00F4358C">
        <w:trPr>
          <w:cantSplit/>
        </w:trPr>
        <w:tc>
          <w:tcPr>
            <w:tcW w:w="0" w:type="auto"/>
            <w:shd w:val="clear" w:color="auto" w:fill="auto"/>
            <w:vAlign w:val="center"/>
          </w:tcPr>
          <w:p w:rsidR="00991401" w:rsidRPr="008C3718" w:rsidRDefault="00991401" w:rsidP="00F4358C">
            <w:pPr>
              <w:pStyle w:val="Tabletext"/>
            </w:pPr>
            <w:r w:rsidRPr="008C3718">
              <w:t>Safety</w:t>
            </w:r>
          </w:p>
        </w:tc>
        <w:tc>
          <w:tcPr>
            <w:tcW w:w="0" w:type="auto"/>
            <w:shd w:val="clear" w:color="auto" w:fill="auto"/>
          </w:tcPr>
          <w:p w:rsidR="00991401" w:rsidRPr="008C3718" w:rsidRDefault="00991401" w:rsidP="00F4358C">
            <w:pPr>
              <w:pStyle w:val="Tabletext"/>
              <w:rPr>
                <w:rFonts w:eastAsia="Calibri" w:cs="Arial"/>
              </w:rPr>
            </w:pPr>
            <w:r w:rsidRPr="008C3718">
              <w:rPr>
                <w:rFonts w:eastAsia="Calibri" w:cs="Arial"/>
                <w:i/>
              </w:rPr>
              <w:t xml:space="preserve">The PBAC did not accept the submission’s non-inferiority safety claim versus </w:t>
            </w:r>
            <w:proofErr w:type="spellStart"/>
            <w:r w:rsidRPr="008C3718">
              <w:rPr>
                <w:rFonts w:eastAsia="Calibri" w:cs="Arial"/>
                <w:i/>
              </w:rPr>
              <w:t>SoC</w:t>
            </w:r>
            <w:proofErr w:type="spellEnd"/>
            <w:r w:rsidRPr="008C3718">
              <w:rPr>
                <w:rFonts w:eastAsia="Calibri" w:cs="Arial"/>
                <w:i/>
              </w:rPr>
              <w:t xml:space="preserve"> antibiotics and considered that the total proportion of infusion specific AEs for </w:t>
            </w:r>
            <w:proofErr w:type="spellStart"/>
            <w:r w:rsidRPr="008C3718">
              <w:rPr>
                <w:rFonts w:eastAsia="Calibri" w:cs="Arial"/>
                <w:i/>
              </w:rPr>
              <w:t>bezlotoxumab</w:t>
            </w:r>
            <w:proofErr w:type="spellEnd"/>
            <w:r w:rsidRPr="008C3718">
              <w:rPr>
                <w:rFonts w:eastAsia="Calibri" w:cs="Arial"/>
                <w:i/>
              </w:rPr>
              <w:t>, rather than the difference compared to placebo, was the more reasonable estimate of the AE rate (since placebo arm of trial had received placebo infusions).</w:t>
            </w:r>
          </w:p>
        </w:tc>
        <w:tc>
          <w:tcPr>
            <w:tcW w:w="0" w:type="auto"/>
            <w:shd w:val="clear" w:color="auto" w:fill="auto"/>
            <w:vAlign w:val="center"/>
          </w:tcPr>
          <w:p w:rsidR="00991401" w:rsidRPr="008C3718" w:rsidRDefault="00991401" w:rsidP="00F4358C">
            <w:pPr>
              <w:pStyle w:val="Tabletext"/>
            </w:pPr>
            <w:r w:rsidRPr="008C3718">
              <w:t xml:space="preserve">The resubmission maintained a claim of non-inferior safety, stating that while the 10% of patients in the </w:t>
            </w:r>
            <w:proofErr w:type="spellStart"/>
            <w:r w:rsidRPr="008C3718">
              <w:t>bezlotoxumab</w:t>
            </w:r>
            <w:proofErr w:type="spellEnd"/>
            <w:r w:rsidRPr="008C3718">
              <w:t xml:space="preserve"> arm of the trial had infusion specific AEs, the majority of the events were mild in nature</w:t>
            </w:r>
            <w:r>
              <w:t xml:space="preserve">. </w:t>
            </w:r>
            <w:r w:rsidRPr="008C3718">
              <w:t xml:space="preserve"> Modelled economic evaluation </w:t>
            </w:r>
            <w:r w:rsidRPr="008C3718">
              <w:rPr>
                <w:rFonts w:eastAsia="Calibri" w:cs="Arial"/>
              </w:rPr>
              <w:t xml:space="preserve">included health care cost for infusion specific AEs from </w:t>
            </w:r>
            <w:proofErr w:type="spellStart"/>
            <w:r w:rsidRPr="008C3718">
              <w:rPr>
                <w:rFonts w:eastAsia="Calibri" w:cs="Arial"/>
              </w:rPr>
              <w:t>bezlotoxumab</w:t>
            </w:r>
            <w:proofErr w:type="spellEnd"/>
            <w:r w:rsidRPr="008C3718">
              <w:rPr>
                <w:rFonts w:eastAsia="Calibri" w:cs="Arial"/>
              </w:rPr>
              <w:t xml:space="preserve"> administration (based on 10% infusion reactions in the </w:t>
            </w:r>
            <w:proofErr w:type="spellStart"/>
            <w:r w:rsidRPr="008C3718">
              <w:rPr>
                <w:rFonts w:eastAsia="Calibri" w:cs="Arial"/>
              </w:rPr>
              <w:t>bezlotoxumab</w:t>
            </w:r>
            <w:proofErr w:type="spellEnd"/>
            <w:r w:rsidRPr="008C3718">
              <w:rPr>
                <w:rFonts w:eastAsia="Calibri" w:cs="Arial"/>
              </w:rPr>
              <w:t xml:space="preserve"> arm from MODIFY trials).</w:t>
            </w:r>
          </w:p>
        </w:tc>
      </w:tr>
      <w:tr w:rsidR="00991401" w:rsidRPr="008C3718" w:rsidTr="00F4358C">
        <w:trPr>
          <w:cantSplit/>
        </w:trPr>
        <w:tc>
          <w:tcPr>
            <w:tcW w:w="0" w:type="auto"/>
            <w:gridSpan w:val="3"/>
            <w:shd w:val="clear" w:color="auto" w:fill="auto"/>
            <w:vAlign w:val="center"/>
          </w:tcPr>
          <w:p w:rsidR="00991401" w:rsidRPr="008C3718" w:rsidRDefault="00991401" w:rsidP="00F4358C">
            <w:pPr>
              <w:pStyle w:val="Tabletext"/>
              <w:rPr>
                <w:rFonts w:eastAsia="Calibri" w:cs="Arial"/>
                <w:b/>
              </w:rPr>
            </w:pPr>
            <w:r w:rsidRPr="008C3718">
              <w:rPr>
                <w:rFonts w:eastAsia="Calibri" w:cs="Arial"/>
                <w:b/>
              </w:rPr>
              <w:t>Economic modelling</w:t>
            </w:r>
          </w:p>
        </w:tc>
      </w:tr>
      <w:tr w:rsidR="00991401" w:rsidRPr="008C3718" w:rsidTr="00F4358C">
        <w:trPr>
          <w:cantSplit/>
        </w:trPr>
        <w:tc>
          <w:tcPr>
            <w:tcW w:w="0" w:type="auto"/>
            <w:shd w:val="clear" w:color="auto" w:fill="auto"/>
            <w:vAlign w:val="center"/>
          </w:tcPr>
          <w:p w:rsidR="00991401" w:rsidRPr="008C3718" w:rsidRDefault="00991401" w:rsidP="00F4358C">
            <w:pPr>
              <w:pStyle w:val="Tabletext"/>
              <w:rPr>
                <w:rFonts w:eastAsia="Calibri" w:cs="Arial"/>
              </w:rPr>
            </w:pPr>
            <w:r w:rsidRPr="008C3718">
              <w:rPr>
                <w:rFonts w:eastAsia="Calibri" w:cs="Arial"/>
              </w:rPr>
              <w:t>Patient population</w:t>
            </w:r>
          </w:p>
        </w:tc>
        <w:tc>
          <w:tcPr>
            <w:tcW w:w="0" w:type="auto"/>
            <w:shd w:val="clear" w:color="auto" w:fill="auto"/>
            <w:vAlign w:val="center"/>
          </w:tcPr>
          <w:p w:rsidR="00991401" w:rsidRPr="008C3718" w:rsidRDefault="00991401" w:rsidP="00F4358C">
            <w:pPr>
              <w:pStyle w:val="Tabletext"/>
              <w:rPr>
                <w:rFonts w:eastAsia="Calibri" w:cs="Arial"/>
              </w:rPr>
            </w:pPr>
            <w:r w:rsidRPr="008C3718">
              <w:rPr>
                <w:rFonts w:eastAsia="Calibri" w:cs="Arial"/>
              </w:rPr>
              <w:t>Outpatient population (based on MODIFY trials)</w:t>
            </w:r>
          </w:p>
          <w:p w:rsidR="00991401" w:rsidRPr="008C3718" w:rsidRDefault="00991401" w:rsidP="00F4358C">
            <w:pPr>
              <w:pStyle w:val="Tabletext"/>
              <w:rPr>
                <w:rFonts w:eastAsia="Calibri" w:cs="Arial"/>
              </w:rPr>
            </w:pPr>
            <w:r w:rsidRPr="008C3718">
              <w:rPr>
                <w:rFonts w:eastAsia="Calibri" w:cs="Arial"/>
              </w:rPr>
              <w:t xml:space="preserve">Age at model entry: </w:t>
            </w:r>
            <w:r w:rsidRPr="00817B80">
              <w:rPr>
                <w:rFonts w:eastAsia="Calibri" w:cs="Arial"/>
              </w:rPr>
              <w:t>56.7</w:t>
            </w:r>
          </w:p>
          <w:p w:rsidR="00991401" w:rsidRPr="008C3718" w:rsidRDefault="00991401" w:rsidP="00F4358C">
            <w:pPr>
              <w:pStyle w:val="Tabletext"/>
              <w:rPr>
                <w:rFonts w:eastAsia="Calibri" w:cs="Arial"/>
              </w:rPr>
            </w:pPr>
            <w:r w:rsidRPr="008C3718">
              <w:rPr>
                <w:rFonts w:eastAsia="Calibri" w:cs="Arial"/>
              </w:rPr>
              <w:t xml:space="preserve">Proportion of females: </w:t>
            </w:r>
            <w:r w:rsidRPr="00817B80">
              <w:rPr>
                <w:rFonts w:eastAsia="Calibri" w:cs="Arial"/>
              </w:rPr>
              <w:t>63.3</w:t>
            </w:r>
          </w:p>
          <w:p w:rsidR="00991401" w:rsidRPr="008C3718" w:rsidRDefault="00991401" w:rsidP="00F4358C">
            <w:pPr>
              <w:pStyle w:val="Tabletext"/>
              <w:rPr>
                <w:rFonts w:eastAsia="Calibri" w:cs="Arial"/>
              </w:rPr>
            </w:pPr>
            <w:r w:rsidRPr="008C3718">
              <w:rPr>
                <w:rFonts w:eastAsia="Calibri" w:cs="Arial"/>
              </w:rPr>
              <w:t xml:space="preserve">Entering with severe CDI: </w:t>
            </w:r>
            <w:r w:rsidRPr="00817B80">
              <w:rPr>
                <w:rFonts w:eastAsia="Calibri" w:cs="Arial"/>
              </w:rPr>
              <w:t>3.6</w:t>
            </w:r>
          </w:p>
        </w:tc>
        <w:tc>
          <w:tcPr>
            <w:tcW w:w="0" w:type="auto"/>
            <w:shd w:val="clear" w:color="auto" w:fill="auto"/>
            <w:vAlign w:val="center"/>
          </w:tcPr>
          <w:p w:rsidR="00991401" w:rsidRPr="008C3718" w:rsidRDefault="00991401" w:rsidP="00F4358C">
            <w:pPr>
              <w:pStyle w:val="Tabletext"/>
              <w:rPr>
                <w:rFonts w:eastAsia="Calibri" w:cs="Arial"/>
              </w:rPr>
            </w:pPr>
            <w:r w:rsidRPr="008C3718">
              <w:rPr>
                <w:rFonts w:eastAsia="Calibri" w:cs="Arial"/>
              </w:rPr>
              <w:t>High risk population based on MODIFY I and II trial subgroups</w:t>
            </w:r>
            <w:r>
              <w:rPr>
                <w:rFonts w:eastAsia="Calibri" w:cs="Arial"/>
              </w:rPr>
              <w:t xml:space="preserve">. </w:t>
            </w:r>
            <w:r w:rsidRPr="008C3718">
              <w:rPr>
                <w:rFonts w:eastAsia="Calibri" w:cs="Arial"/>
              </w:rPr>
              <w:t>High risk was defined by the resubmission as having at least one of the following risk factors:  age ≥ 65 or history of CDI in the past 6 months, immunocompromised or severe CDI</w:t>
            </w:r>
            <w:proofErr w:type="gramStart"/>
            <w:r w:rsidRPr="008C3718">
              <w:rPr>
                <w:rFonts w:eastAsia="Calibri" w:cs="Arial"/>
              </w:rPr>
              <w:t>)</w:t>
            </w:r>
            <w:r>
              <w:rPr>
                <w:rFonts w:eastAsia="Calibri" w:cs="Arial"/>
                <w:vertAlign w:val="superscript"/>
              </w:rPr>
              <w:t>c</w:t>
            </w:r>
            <w:proofErr w:type="gramEnd"/>
            <w:r w:rsidRPr="008C3718">
              <w:rPr>
                <w:rFonts w:eastAsia="Calibri" w:cs="Arial"/>
              </w:rPr>
              <w:t xml:space="preserve">. </w:t>
            </w:r>
          </w:p>
          <w:p w:rsidR="00991401" w:rsidRPr="008C3718" w:rsidRDefault="00991401" w:rsidP="00F4358C">
            <w:pPr>
              <w:pStyle w:val="Tabletext"/>
              <w:rPr>
                <w:rFonts w:eastAsia="Calibri" w:cs="Arial"/>
              </w:rPr>
            </w:pPr>
            <w:r w:rsidRPr="008C3718">
              <w:rPr>
                <w:rFonts w:eastAsia="Calibri" w:cs="Arial"/>
              </w:rPr>
              <w:t xml:space="preserve">Age at model entry: </w:t>
            </w:r>
            <w:r w:rsidR="00410A2A">
              <w:rPr>
                <w:rFonts w:eastAsia="Calibri" w:cs="Arial"/>
                <w:noProof/>
                <w:color w:val="000000"/>
                <w:highlight w:val="black"/>
              </w:rPr>
              <w:t>''''''''''</w:t>
            </w:r>
          </w:p>
          <w:p w:rsidR="00991401" w:rsidRPr="008C3718" w:rsidRDefault="00991401" w:rsidP="00F4358C">
            <w:pPr>
              <w:pStyle w:val="Tabletext"/>
              <w:rPr>
                <w:rFonts w:eastAsia="Calibri" w:cs="Arial"/>
              </w:rPr>
            </w:pPr>
            <w:r w:rsidRPr="008C3718">
              <w:rPr>
                <w:rFonts w:eastAsia="Calibri" w:cs="Arial"/>
              </w:rPr>
              <w:t xml:space="preserve">Proportion of females: </w:t>
            </w:r>
            <w:r w:rsidR="00410A2A">
              <w:rPr>
                <w:rFonts w:eastAsia="Calibri" w:cs="Arial"/>
                <w:noProof/>
                <w:color w:val="000000"/>
                <w:highlight w:val="black"/>
              </w:rPr>
              <w:t>''''''''''</w:t>
            </w:r>
            <w:r w:rsidRPr="008C3718">
              <w:rPr>
                <w:rFonts w:eastAsia="Calibri" w:cs="Arial"/>
              </w:rPr>
              <w:t>%</w:t>
            </w:r>
          </w:p>
          <w:p w:rsidR="00991401" w:rsidRPr="008C3718" w:rsidRDefault="00991401" w:rsidP="00F4358C">
            <w:pPr>
              <w:pStyle w:val="Tabletext"/>
              <w:rPr>
                <w:rFonts w:eastAsia="Calibri" w:cs="Arial"/>
              </w:rPr>
            </w:pPr>
            <w:r w:rsidRPr="008C3718">
              <w:rPr>
                <w:rFonts w:eastAsia="Calibri" w:cs="Arial"/>
              </w:rPr>
              <w:t xml:space="preserve">Entering with severe CDI: </w:t>
            </w:r>
            <w:r w:rsidR="00410A2A">
              <w:rPr>
                <w:rFonts w:eastAsia="Calibri" w:cs="Arial"/>
                <w:noProof/>
                <w:color w:val="000000"/>
                <w:highlight w:val="black"/>
              </w:rPr>
              <w:t>''''''''''</w:t>
            </w:r>
            <w:r w:rsidRPr="008C3718">
              <w:rPr>
                <w:rFonts w:eastAsia="Calibri" w:cs="Arial"/>
              </w:rPr>
              <w:t xml:space="preserve">% </w:t>
            </w:r>
          </w:p>
        </w:tc>
      </w:tr>
      <w:tr w:rsidR="00991401" w:rsidRPr="008C3718" w:rsidTr="00F4358C">
        <w:trPr>
          <w:cantSplit/>
        </w:trPr>
        <w:tc>
          <w:tcPr>
            <w:tcW w:w="0" w:type="auto"/>
            <w:shd w:val="clear" w:color="auto" w:fill="auto"/>
            <w:vAlign w:val="center"/>
          </w:tcPr>
          <w:p w:rsidR="00991401" w:rsidRPr="008C3718" w:rsidRDefault="00991401" w:rsidP="00F4358C">
            <w:pPr>
              <w:pStyle w:val="Tabletext"/>
              <w:rPr>
                <w:rFonts w:eastAsia="Calibri" w:cs="Arial"/>
              </w:rPr>
            </w:pPr>
            <w:r w:rsidRPr="008C3718">
              <w:rPr>
                <w:rFonts w:eastAsia="Calibri" w:cs="Arial"/>
              </w:rPr>
              <w:lastRenderedPageBreak/>
              <w:t>Model structure</w:t>
            </w:r>
          </w:p>
        </w:tc>
        <w:tc>
          <w:tcPr>
            <w:tcW w:w="0" w:type="auto"/>
            <w:shd w:val="clear" w:color="auto" w:fill="auto"/>
            <w:vAlign w:val="center"/>
          </w:tcPr>
          <w:p w:rsidR="00991401" w:rsidRPr="008C3718" w:rsidRDefault="00991401" w:rsidP="00F4358C">
            <w:pPr>
              <w:pStyle w:val="Tabletext"/>
              <w:rPr>
                <w:rFonts w:eastAsia="Calibri" w:cs="Arial"/>
              </w:rPr>
            </w:pPr>
            <w:r w:rsidRPr="008C3718">
              <w:rPr>
                <w:rFonts w:eastAsia="Calibri" w:cs="Arial"/>
              </w:rPr>
              <w:t>A stepped cost utility analysis was presented, based on results from the MODIFY I and MODIFY II trials</w:t>
            </w:r>
            <w:r>
              <w:rPr>
                <w:rFonts w:eastAsia="Calibri" w:cs="Arial"/>
              </w:rPr>
              <w:t xml:space="preserve">. </w:t>
            </w:r>
            <w:r w:rsidRPr="008C3718">
              <w:rPr>
                <w:rFonts w:eastAsia="Calibri" w:cs="Arial"/>
              </w:rPr>
              <w:t>The model presented was a Markov cohort model with a 10-year time horizon. There were 8 main health states in the model: mild/moderate CDI; severe CDI; clinical cure; clinical failure; post-clinical failure; colectomy; post colectomy and death</w:t>
            </w:r>
            <w:r>
              <w:rPr>
                <w:rFonts w:eastAsia="Calibri" w:cs="Arial"/>
              </w:rPr>
              <w:t xml:space="preserve">. </w:t>
            </w:r>
            <w:r w:rsidRPr="008C3718">
              <w:rPr>
                <w:rFonts w:eastAsia="Calibri" w:cs="Arial"/>
              </w:rPr>
              <w:t>Clinical failure and colectomy are temporary health states and patients were assumed to transit to post clinical failure and post colectomy next cycle.</w:t>
            </w:r>
          </w:p>
          <w:p w:rsidR="00991401" w:rsidRPr="008C3718" w:rsidRDefault="00991401" w:rsidP="00F4358C">
            <w:pPr>
              <w:pStyle w:val="Tabletext"/>
              <w:rPr>
                <w:rFonts w:eastAsia="Calibri" w:cs="Arial"/>
              </w:rPr>
            </w:pPr>
          </w:p>
          <w:p w:rsidR="00991401" w:rsidRPr="008C3718" w:rsidRDefault="00991401" w:rsidP="00F4358C">
            <w:pPr>
              <w:pStyle w:val="Tabletext"/>
              <w:rPr>
                <w:rFonts w:eastAsia="Calibri" w:cs="Arial"/>
              </w:rPr>
            </w:pPr>
            <w:r w:rsidRPr="008C3718">
              <w:rPr>
                <w:rFonts w:eastAsia="Calibri" w:cs="Arial"/>
              </w:rPr>
              <w:t>A cycle length of 15 days was adopted in Year 1, annual cycle lengths thereafter</w:t>
            </w:r>
            <w:r>
              <w:rPr>
                <w:rFonts w:eastAsia="Calibri" w:cs="Arial"/>
              </w:rPr>
              <w:t xml:space="preserve">. </w:t>
            </w:r>
            <w:r w:rsidRPr="008C3718">
              <w:rPr>
                <w:rFonts w:eastAsia="Calibri" w:cs="Arial"/>
              </w:rPr>
              <w:t>The model was calibrated to adjust 84- and 30-day outcomes to 15 days.</w:t>
            </w:r>
          </w:p>
          <w:p w:rsidR="00991401" w:rsidRPr="008C3718" w:rsidRDefault="00991401" w:rsidP="00F4358C">
            <w:pPr>
              <w:pStyle w:val="Tabletext"/>
              <w:rPr>
                <w:rFonts w:eastAsia="Calibri" w:cs="Arial"/>
              </w:rPr>
            </w:pPr>
          </w:p>
          <w:p w:rsidR="00991401" w:rsidRPr="008C3718" w:rsidRDefault="00991401" w:rsidP="00F4358C">
            <w:pPr>
              <w:pStyle w:val="Tabletext"/>
              <w:rPr>
                <w:rFonts w:eastAsia="Calibri" w:cs="Arial"/>
                <w:i/>
              </w:rPr>
            </w:pPr>
            <w:r w:rsidRPr="008C3718">
              <w:rPr>
                <w:rFonts w:eastAsia="Calibri" w:cs="Arial"/>
                <w:i/>
              </w:rPr>
              <w:t xml:space="preserve">The PBAC reflected that the submission’s model was unnecessarily complicated, and any resubmission should take a more simplified approach for modelling any mortality benefit, and should also take into account other benefits. </w:t>
            </w:r>
          </w:p>
          <w:p w:rsidR="00991401" w:rsidRPr="008C3718" w:rsidRDefault="00991401" w:rsidP="00F4358C">
            <w:pPr>
              <w:pStyle w:val="Tabletext"/>
              <w:rPr>
                <w:rFonts w:eastAsia="Calibri" w:cs="Arial"/>
                <w:i/>
              </w:rPr>
            </w:pPr>
          </w:p>
          <w:p w:rsidR="00991401" w:rsidRPr="008C3718" w:rsidRDefault="00991401" w:rsidP="00F4358C">
            <w:pPr>
              <w:pStyle w:val="Tabletext"/>
              <w:rPr>
                <w:rFonts w:eastAsia="Calibri" w:cs="Arial"/>
                <w:i/>
              </w:rPr>
            </w:pPr>
            <w:r w:rsidRPr="008C3718">
              <w:rPr>
                <w:rFonts w:eastAsia="Calibri" w:cs="Arial"/>
                <w:i/>
              </w:rPr>
              <w:t>The PBAC considered that there were considerable benefits to preventing recurrence in terms of quality of life and other health-system benefits, which had not been modelled.</w:t>
            </w:r>
          </w:p>
        </w:tc>
        <w:tc>
          <w:tcPr>
            <w:tcW w:w="0" w:type="auto"/>
            <w:shd w:val="clear" w:color="auto" w:fill="auto"/>
          </w:tcPr>
          <w:p w:rsidR="00991401" w:rsidRPr="008C3718" w:rsidRDefault="00991401" w:rsidP="00F4358C">
            <w:pPr>
              <w:pStyle w:val="Tabletext"/>
              <w:rPr>
                <w:rFonts w:eastAsia="Calibri" w:cs="Arial"/>
              </w:rPr>
            </w:pPr>
            <w:r w:rsidRPr="008C3718">
              <w:rPr>
                <w:rFonts w:eastAsia="Calibri" w:cs="Arial"/>
              </w:rPr>
              <w:t xml:space="preserve">The model structure was similar to the model presented in the November 2017 submission with a few modifications: </w:t>
            </w:r>
          </w:p>
          <w:p w:rsidR="00991401" w:rsidRPr="008C3718" w:rsidRDefault="00991401" w:rsidP="00F4358C">
            <w:pPr>
              <w:pStyle w:val="Tabletext"/>
              <w:numPr>
                <w:ilvl w:val="0"/>
                <w:numId w:val="8"/>
              </w:numPr>
              <w:ind w:left="112" w:hanging="142"/>
              <w:rPr>
                <w:rFonts w:eastAsia="Calibri" w:cs="Arial"/>
              </w:rPr>
            </w:pPr>
            <w:r w:rsidRPr="008C3718">
              <w:rPr>
                <w:rFonts w:eastAsia="Calibri" w:cs="Arial"/>
              </w:rPr>
              <w:t>Cycle length in Year 1 was increased to 30-days.</w:t>
            </w:r>
          </w:p>
          <w:p w:rsidR="00991401" w:rsidRPr="008C3718" w:rsidRDefault="00991401" w:rsidP="00F4358C">
            <w:pPr>
              <w:pStyle w:val="Tabletext"/>
              <w:numPr>
                <w:ilvl w:val="0"/>
                <w:numId w:val="8"/>
              </w:numPr>
              <w:ind w:left="112" w:hanging="142"/>
              <w:rPr>
                <w:rFonts w:eastAsia="Calibri" w:cs="Arial"/>
              </w:rPr>
            </w:pPr>
            <w:r w:rsidRPr="008C3718">
              <w:rPr>
                <w:rFonts w:eastAsia="Calibri" w:cs="Arial"/>
              </w:rPr>
              <w:t>Calibration of outcomes was removed.</w:t>
            </w:r>
          </w:p>
          <w:p w:rsidR="00991401" w:rsidRPr="008C3718" w:rsidRDefault="00991401" w:rsidP="00F4358C">
            <w:pPr>
              <w:pStyle w:val="Tabletext"/>
              <w:numPr>
                <w:ilvl w:val="0"/>
                <w:numId w:val="8"/>
              </w:numPr>
              <w:ind w:left="112" w:hanging="142"/>
              <w:rPr>
                <w:rFonts w:eastAsia="Calibri" w:cs="Arial"/>
              </w:rPr>
            </w:pPr>
            <w:r w:rsidRPr="008C3718">
              <w:rPr>
                <w:rFonts w:eastAsia="Calibri" w:cs="Arial"/>
              </w:rPr>
              <w:t>Colectomy health state was also removed</w:t>
            </w:r>
          </w:p>
          <w:p w:rsidR="00991401" w:rsidRPr="008C3718" w:rsidRDefault="00991401" w:rsidP="00F4358C">
            <w:pPr>
              <w:pStyle w:val="Tabletext"/>
              <w:numPr>
                <w:ilvl w:val="0"/>
                <w:numId w:val="8"/>
              </w:numPr>
              <w:ind w:left="112" w:hanging="142"/>
              <w:rPr>
                <w:rFonts w:eastAsia="Calibri" w:cs="Arial"/>
              </w:rPr>
            </w:pPr>
            <w:r w:rsidRPr="008C3718">
              <w:rPr>
                <w:rFonts w:eastAsia="Calibri" w:cs="Arial"/>
              </w:rPr>
              <w:t xml:space="preserve">Additional cost benefit of avoiding CDI infections were included in the form of hospital bed days avoided. </w:t>
            </w:r>
          </w:p>
          <w:p w:rsidR="00991401" w:rsidRPr="008C3718" w:rsidRDefault="00991401" w:rsidP="00F4358C">
            <w:pPr>
              <w:pStyle w:val="Tabletext"/>
              <w:ind w:left="-30"/>
              <w:rPr>
                <w:rFonts w:eastAsia="Calibri" w:cs="Arial"/>
                <w:i/>
              </w:rPr>
            </w:pPr>
          </w:p>
          <w:p w:rsidR="00991401" w:rsidRPr="008C3718" w:rsidRDefault="00991401" w:rsidP="00F4358C">
            <w:pPr>
              <w:pStyle w:val="Tabletext"/>
              <w:ind w:left="-30"/>
              <w:rPr>
                <w:rFonts w:eastAsia="Calibri" w:cs="Arial"/>
                <w:i/>
              </w:rPr>
            </w:pPr>
            <w:r w:rsidRPr="008C3718">
              <w:rPr>
                <w:rFonts w:eastAsia="Calibri" w:cs="Arial"/>
                <w:i/>
              </w:rPr>
              <w:t xml:space="preserve">However, the model was still driven by mortality, which the PBAC had previously considered was not the main benefit associated with </w:t>
            </w:r>
            <w:proofErr w:type="spellStart"/>
            <w:r w:rsidRPr="008C3718">
              <w:rPr>
                <w:rFonts w:eastAsia="Calibri" w:cs="Arial"/>
                <w:i/>
              </w:rPr>
              <w:t>bezlotoxumab</w:t>
            </w:r>
            <w:proofErr w:type="spellEnd"/>
            <w:r w:rsidRPr="008C3718">
              <w:rPr>
                <w:rFonts w:eastAsia="Calibri" w:cs="Arial"/>
                <w:i/>
              </w:rPr>
              <w:t xml:space="preserve"> in the Australian context.</w:t>
            </w:r>
          </w:p>
        </w:tc>
      </w:tr>
      <w:tr w:rsidR="00991401" w:rsidRPr="008C3718" w:rsidTr="00F4358C">
        <w:trPr>
          <w:cantSplit/>
        </w:trPr>
        <w:tc>
          <w:tcPr>
            <w:tcW w:w="0" w:type="auto"/>
            <w:shd w:val="clear" w:color="auto" w:fill="auto"/>
            <w:vAlign w:val="center"/>
          </w:tcPr>
          <w:p w:rsidR="00991401" w:rsidRPr="008C3718" w:rsidRDefault="00991401" w:rsidP="00F4358C">
            <w:pPr>
              <w:pStyle w:val="Tabletext"/>
              <w:rPr>
                <w:rFonts w:eastAsia="Calibri" w:cs="Arial"/>
              </w:rPr>
            </w:pPr>
            <w:r w:rsidRPr="008C3718">
              <w:rPr>
                <w:rFonts w:eastAsia="Calibri" w:cs="Arial"/>
              </w:rPr>
              <w:lastRenderedPageBreak/>
              <w:t>Mortality rate</w:t>
            </w:r>
          </w:p>
        </w:tc>
        <w:tc>
          <w:tcPr>
            <w:tcW w:w="0" w:type="auto"/>
            <w:shd w:val="clear" w:color="auto" w:fill="auto"/>
            <w:vAlign w:val="center"/>
          </w:tcPr>
          <w:p w:rsidR="00991401" w:rsidRPr="008C3718" w:rsidRDefault="00991401" w:rsidP="00F4358C">
            <w:pPr>
              <w:pStyle w:val="Tabletext"/>
              <w:rPr>
                <w:rFonts w:eastAsia="Calibri" w:cs="Arial"/>
              </w:rPr>
            </w:pPr>
            <w:r w:rsidRPr="008C3718">
              <w:rPr>
                <w:rFonts w:eastAsia="Calibri" w:cs="Arial"/>
              </w:rPr>
              <w:t>The trial reported no significant differences in mortality</w:t>
            </w:r>
            <w:r>
              <w:rPr>
                <w:rFonts w:eastAsia="Calibri" w:cs="Arial"/>
              </w:rPr>
              <w:t xml:space="preserve">. </w:t>
            </w:r>
            <w:r w:rsidRPr="008C3718">
              <w:rPr>
                <w:rFonts w:eastAsia="Calibri" w:cs="Arial"/>
              </w:rPr>
              <w:t xml:space="preserve">Mortality rates were obtained from Olsen </w:t>
            </w:r>
            <w:r w:rsidR="00CC5D6C" w:rsidRPr="00CC5D6C">
              <w:rPr>
                <w:rFonts w:eastAsia="Calibri" w:cs="Arial"/>
                <w:i/>
              </w:rPr>
              <w:t>et. al.</w:t>
            </w:r>
            <w:r w:rsidRPr="008C3718">
              <w:rPr>
                <w:rFonts w:eastAsia="Calibri" w:cs="Arial"/>
              </w:rPr>
              <w:t xml:space="preserve"> (2015) based on US data. </w:t>
            </w:r>
          </w:p>
          <w:p w:rsidR="00991401" w:rsidRPr="008C3718" w:rsidRDefault="00991401" w:rsidP="00F4358C">
            <w:pPr>
              <w:pStyle w:val="Tabletext"/>
              <w:numPr>
                <w:ilvl w:val="0"/>
                <w:numId w:val="9"/>
              </w:numPr>
              <w:rPr>
                <w:rFonts w:eastAsia="Calibri" w:cs="Arial"/>
              </w:rPr>
            </w:pPr>
            <w:r w:rsidRPr="008C3718">
              <w:rPr>
                <w:rFonts w:eastAsia="Calibri" w:cs="Arial"/>
              </w:rPr>
              <w:t xml:space="preserve">180-day </w:t>
            </w:r>
            <w:r w:rsidR="00710672" w:rsidRPr="008C3718">
              <w:rPr>
                <w:rFonts w:eastAsia="Calibri" w:cs="Arial"/>
              </w:rPr>
              <w:t>all-cause</w:t>
            </w:r>
            <w:r w:rsidRPr="008C3718">
              <w:rPr>
                <w:rFonts w:eastAsia="Calibri" w:cs="Arial"/>
              </w:rPr>
              <w:t xml:space="preserve"> mortality (no recurrences): 25.7% (adjusted to 15-day mortality 0.0245)</w:t>
            </w:r>
          </w:p>
          <w:p w:rsidR="00991401" w:rsidRPr="008C3718" w:rsidRDefault="00991401" w:rsidP="00F4358C">
            <w:pPr>
              <w:pStyle w:val="Tabletext"/>
              <w:numPr>
                <w:ilvl w:val="0"/>
                <w:numId w:val="9"/>
              </w:numPr>
              <w:rPr>
                <w:rFonts w:eastAsia="Calibri" w:cs="Arial"/>
              </w:rPr>
            </w:pPr>
            <w:r w:rsidRPr="008C3718">
              <w:rPr>
                <w:rFonts w:eastAsia="Calibri" w:cs="Arial"/>
              </w:rPr>
              <w:t xml:space="preserve">180-day </w:t>
            </w:r>
            <w:r w:rsidR="00710672" w:rsidRPr="008C3718">
              <w:rPr>
                <w:rFonts w:eastAsia="Calibri" w:cs="Arial"/>
              </w:rPr>
              <w:t>all-cause</w:t>
            </w:r>
            <w:r w:rsidRPr="008C3718">
              <w:rPr>
                <w:rFonts w:eastAsia="Calibri" w:cs="Arial"/>
              </w:rPr>
              <w:t xml:space="preserve"> mortality (recurrences): 36.3%  (adjusted to 15-day mortality 0.0391)</w:t>
            </w:r>
          </w:p>
          <w:p w:rsidR="00991401" w:rsidRPr="008C3718" w:rsidRDefault="00991401" w:rsidP="00F4358C">
            <w:pPr>
              <w:pStyle w:val="Tabletext"/>
              <w:numPr>
                <w:ilvl w:val="0"/>
                <w:numId w:val="9"/>
              </w:numPr>
              <w:rPr>
                <w:rFonts w:eastAsia="Calibri" w:cs="Arial"/>
              </w:rPr>
            </w:pPr>
            <w:r w:rsidRPr="008C3718">
              <w:rPr>
                <w:rFonts w:eastAsia="Calibri" w:cs="Arial"/>
              </w:rPr>
              <w:t>Hazard ratio mortality (calibrated): 1.6</w:t>
            </w:r>
          </w:p>
          <w:p w:rsidR="00991401" w:rsidRPr="008C3718" w:rsidRDefault="00991401" w:rsidP="00F4358C">
            <w:pPr>
              <w:pStyle w:val="Tabletext"/>
              <w:rPr>
                <w:rFonts w:eastAsia="Calibri" w:cs="Arial"/>
              </w:rPr>
            </w:pPr>
          </w:p>
          <w:p w:rsidR="00991401" w:rsidRPr="008C3718" w:rsidRDefault="00991401" w:rsidP="00F4358C">
            <w:pPr>
              <w:pStyle w:val="Tabletext"/>
              <w:rPr>
                <w:rFonts w:eastAsia="Calibri" w:cs="Arial"/>
                <w:i/>
              </w:rPr>
            </w:pPr>
            <w:r w:rsidRPr="008C3718">
              <w:rPr>
                <w:rFonts w:eastAsia="Calibri" w:cs="Arial"/>
                <w:i/>
              </w:rPr>
              <w:t>The PBAC noted that the mortality estimates used from US and EU were not comparable to Australia and not supported by published Australian data or the views expressed by the clinician in the Sponsor hearing</w:t>
            </w:r>
            <w:r>
              <w:rPr>
                <w:rFonts w:eastAsia="Calibri" w:cs="Arial"/>
                <w:i/>
              </w:rPr>
              <w:t xml:space="preserve">. </w:t>
            </w:r>
          </w:p>
          <w:p w:rsidR="00991401" w:rsidRPr="008C3718" w:rsidRDefault="00991401" w:rsidP="00F4358C">
            <w:pPr>
              <w:pStyle w:val="Tabletext"/>
              <w:rPr>
                <w:rFonts w:eastAsia="Calibri" w:cs="Arial"/>
                <w:i/>
              </w:rPr>
            </w:pPr>
          </w:p>
          <w:p w:rsidR="00991401" w:rsidRPr="008C3718" w:rsidRDefault="00991401" w:rsidP="00F4358C">
            <w:pPr>
              <w:pStyle w:val="Tabletext"/>
              <w:rPr>
                <w:rFonts w:eastAsia="Calibri" w:cs="Arial"/>
                <w:i/>
              </w:rPr>
            </w:pPr>
            <w:r w:rsidRPr="008C3718">
              <w:rPr>
                <w:rFonts w:eastAsia="Calibri" w:cs="Arial"/>
                <w:i/>
              </w:rPr>
              <w:t xml:space="preserve">One Australian study (Huber </w:t>
            </w:r>
            <w:r w:rsidR="00CC5D6C" w:rsidRPr="00CC5D6C">
              <w:rPr>
                <w:rFonts w:eastAsia="Calibri" w:cs="Arial"/>
                <w:i/>
              </w:rPr>
              <w:t>et. al.</w:t>
            </w:r>
            <w:r w:rsidRPr="008C3718">
              <w:rPr>
                <w:rFonts w:eastAsia="Calibri" w:cs="Arial"/>
                <w:i/>
              </w:rPr>
              <w:t xml:space="preserve"> 2014) identified during the evaluation estimated a 30 day mortality rate of 3.6%, which is significantly lower than that reported by Olsen 2015 at 30 days of 8.7% and 7.8% or 25.7% and 36.3% at 180 days.</w:t>
            </w:r>
          </w:p>
          <w:p w:rsidR="00991401" w:rsidRPr="008C3718" w:rsidRDefault="00991401" w:rsidP="00F4358C">
            <w:pPr>
              <w:pStyle w:val="Tabletext"/>
              <w:rPr>
                <w:rFonts w:eastAsia="Calibri" w:cs="Arial"/>
                <w:i/>
              </w:rPr>
            </w:pPr>
          </w:p>
          <w:p w:rsidR="00991401" w:rsidRPr="008C3718" w:rsidRDefault="00991401" w:rsidP="00F4358C">
            <w:pPr>
              <w:pStyle w:val="Tabletext"/>
              <w:rPr>
                <w:rFonts w:eastAsia="Calibri" w:cs="Arial"/>
                <w:i/>
              </w:rPr>
            </w:pPr>
            <w:r w:rsidRPr="008C3718">
              <w:rPr>
                <w:rFonts w:eastAsia="Calibri" w:cs="Arial"/>
                <w:i/>
              </w:rPr>
              <w:t>The ESC noted that a RR for mortality of 1.6 was applied to patients with recurrent CDI compared to non-recurrent CDI patients, which was higher than reported in  the study used to inform the RR (adjusted HR of 1.33: 95% CI 1.12 to 1.58), which was in itself likely an overestimate. The model also assumed a higher mortality rate in the comparator arm than likely to be the case in the eligible Australian population. The ESC considered that a more appropriate approach would be to apply the lower 95% CI for the recurrent CDI hazard ratio for mortality (1.12) to estimate the mortality effect.</w:t>
            </w:r>
          </w:p>
        </w:tc>
        <w:tc>
          <w:tcPr>
            <w:tcW w:w="0" w:type="auto"/>
            <w:shd w:val="clear" w:color="auto" w:fill="auto"/>
          </w:tcPr>
          <w:p w:rsidR="00991401" w:rsidRPr="008C3718" w:rsidRDefault="00991401" w:rsidP="00F4358C">
            <w:pPr>
              <w:pStyle w:val="Tabletext"/>
              <w:rPr>
                <w:rFonts w:eastAsia="Calibri" w:cs="Arial"/>
              </w:rPr>
            </w:pPr>
            <w:r w:rsidRPr="008C3718">
              <w:rPr>
                <w:rFonts w:eastAsia="Calibri" w:cs="Arial"/>
              </w:rPr>
              <w:t xml:space="preserve">30-day all-cause mortality  for no recurrences, (Huber </w:t>
            </w:r>
            <w:r w:rsidR="00CC5D6C" w:rsidRPr="00CC5D6C">
              <w:rPr>
                <w:rFonts w:eastAsia="Calibri" w:cs="Arial"/>
                <w:i/>
              </w:rPr>
              <w:t>et. al.</w:t>
            </w:r>
            <w:r w:rsidRPr="008C3718">
              <w:rPr>
                <w:rFonts w:eastAsia="Calibri" w:cs="Arial"/>
              </w:rPr>
              <w:t xml:space="preserve"> 2014): 3.6%</w:t>
            </w:r>
          </w:p>
          <w:p w:rsidR="00991401" w:rsidRPr="00763E99" w:rsidRDefault="00991401" w:rsidP="00F4358C">
            <w:pPr>
              <w:pStyle w:val="Tabletext"/>
              <w:rPr>
                <w:rFonts w:eastAsia="Calibri" w:cs="Arial"/>
                <w:i/>
              </w:rPr>
            </w:pPr>
            <w:r w:rsidRPr="008C3718">
              <w:rPr>
                <w:rFonts w:eastAsia="Calibri" w:cs="Arial"/>
              </w:rPr>
              <w:t>Hazard ratio mortality (Olsen et a; 2015): 1.33 (</w:t>
            </w:r>
            <w:r w:rsidRPr="008C3718">
              <w:rPr>
                <w:rFonts w:eastAsia="Calibri" w:cs="Arial"/>
                <w:i/>
              </w:rPr>
              <w:t xml:space="preserve">Note this HR was higher than what ESC had considered more reasonable 1.12, the lower 95CI reported by Olsen </w:t>
            </w:r>
            <w:r w:rsidR="00CC5D6C" w:rsidRPr="00CC5D6C">
              <w:rPr>
                <w:rFonts w:eastAsia="Calibri" w:cs="Arial"/>
                <w:i/>
              </w:rPr>
              <w:t>et. al.</w:t>
            </w:r>
            <w:r w:rsidRPr="008C3718">
              <w:rPr>
                <w:rFonts w:eastAsia="Calibri" w:cs="Arial"/>
                <w:i/>
              </w:rPr>
              <w:t xml:space="preserve"> 2015).</w:t>
            </w:r>
          </w:p>
          <w:p w:rsidR="00991401" w:rsidRPr="008C3718" w:rsidRDefault="00991401" w:rsidP="00F4358C">
            <w:pPr>
              <w:pStyle w:val="Tabletext"/>
              <w:rPr>
                <w:rFonts w:eastAsia="Calibri" w:cs="Arial"/>
              </w:rPr>
            </w:pPr>
          </w:p>
        </w:tc>
      </w:tr>
      <w:tr w:rsidR="00991401" w:rsidRPr="008C3718" w:rsidTr="00F4358C">
        <w:trPr>
          <w:cantSplit/>
        </w:trPr>
        <w:tc>
          <w:tcPr>
            <w:tcW w:w="0" w:type="auto"/>
            <w:shd w:val="clear" w:color="auto" w:fill="auto"/>
            <w:vAlign w:val="center"/>
          </w:tcPr>
          <w:p w:rsidR="00991401" w:rsidRPr="008C3718" w:rsidRDefault="00991401" w:rsidP="00F4358C">
            <w:pPr>
              <w:pStyle w:val="Tabletext"/>
              <w:rPr>
                <w:rFonts w:eastAsia="Calibri" w:cs="Arial"/>
              </w:rPr>
            </w:pPr>
            <w:r w:rsidRPr="008C3718">
              <w:rPr>
                <w:rFonts w:eastAsia="Calibri" w:cs="Arial"/>
              </w:rPr>
              <w:t xml:space="preserve">Cost of </w:t>
            </w:r>
            <w:proofErr w:type="spellStart"/>
            <w:r w:rsidRPr="008C3718">
              <w:rPr>
                <w:rFonts w:eastAsia="Calibri" w:cs="Arial"/>
              </w:rPr>
              <w:t>bezlotoxumab</w:t>
            </w:r>
            <w:proofErr w:type="spellEnd"/>
          </w:p>
        </w:tc>
        <w:tc>
          <w:tcPr>
            <w:tcW w:w="0" w:type="auto"/>
            <w:shd w:val="clear" w:color="auto" w:fill="auto"/>
            <w:vAlign w:val="center"/>
          </w:tcPr>
          <w:p w:rsidR="00991401" w:rsidRPr="008C3718" w:rsidRDefault="00991401" w:rsidP="00F4358C">
            <w:pPr>
              <w:pStyle w:val="Tabletext"/>
              <w:rPr>
                <w:rFonts w:eastAsia="Calibri" w:cs="Arial"/>
              </w:rPr>
            </w:pPr>
            <w:proofErr w:type="spellStart"/>
            <w:r w:rsidRPr="008C3718">
              <w:rPr>
                <w:rFonts w:eastAsia="Calibri" w:cs="Arial"/>
              </w:rPr>
              <w:t>Bezlotoxumab</w:t>
            </w:r>
            <w:proofErr w:type="spellEnd"/>
            <w:r w:rsidRPr="008C3718">
              <w:rPr>
                <w:rFonts w:eastAsia="Calibri" w:cs="Arial"/>
              </w:rPr>
              <w:t xml:space="preserve"> + administration: $</w:t>
            </w:r>
            <w:r w:rsidR="00410A2A">
              <w:rPr>
                <w:rFonts w:eastAsia="Calibri" w:cs="Arial"/>
                <w:noProof/>
                <w:color w:val="000000"/>
                <w:highlight w:val="black"/>
              </w:rPr>
              <w:t>'''''''''''''''''''</w:t>
            </w:r>
          </w:p>
          <w:p w:rsidR="00991401" w:rsidRPr="008C3718" w:rsidRDefault="00991401" w:rsidP="00F4358C">
            <w:pPr>
              <w:pStyle w:val="Tabletext"/>
              <w:rPr>
                <w:rFonts w:eastAsia="Calibri" w:cs="Arial"/>
              </w:rPr>
            </w:pPr>
            <w:r w:rsidRPr="008C3718">
              <w:rPr>
                <w:rFonts w:eastAsia="Calibri" w:cs="Arial"/>
              </w:rPr>
              <w:t>Assumed 10% of patients (weight&gt;100kg) will need 2 vials</w:t>
            </w:r>
          </w:p>
        </w:tc>
        <w:tc>
          <w:tcPr>
            <w:tcW w:w="0" w:type="auto"/>
            <w:shd w:val="clear" w:color="auto" w:fill="auto"/>
            <w:vAlign w:val="center"/>
          </w:tcPr>
          <w:p w:rsidR="00991401" w:rsidRPr="008C3718" w:rsidRDefault="00991401" w:rsidP="00F4358C">
            <w:pPr>
              <w:pStyle w:val="Tabletext"/>
              <w:rPr>
                <w:rFonts w:eastAsia="Calibri" w:cs="Arial"/>
              </w:rPr>
            </w:pPr>
            <w:proofErr w:type="spellStart"/>
            <w:r w:rsidRPr="008C3718">
              <w:rPr>
                <w:rFonts w:eastAsia="Calibri" w:cs="Arial"/>
              </w:rPr>
              <w:t>Bezlotoxumab</w:t>
            </w:r>
            <w:proofErr w:type="spellEnd"/>
            <w:r w:rsidRPr="008C3718">
              <w:rPr>
                <w:rFonts w:eastAsia="Calibri" w:cs="Arial"/>
              </w:rPr>
              <w:t xml:space="preserve"> + administration*: $</w:t>
            </w:r>
            <w:r w:rsidR="00410A2A">
              <w:rPr>
                <w:rFonts w:eastAsia="Calibri" w:cs="Arial"/>
                <w:noProof/>
                <w:color w:val="000000"/>
                <w:highlight w:val="black"/>
              </w:rPr>
              <w:t>'''''''''''''''''''</w:t>
            </w:r>
            <w:r w:rsidRPr="008C3718">
              <w:rPr>
                <w:rFonts w:eastAsia="Calibri" w:cs="Arial"/>
              </w:rPr>
              <w:t xml:space="preserve"> (including a </w:t>
            </w:r>
            <w:r w:rsidR="00410A2A">
              <w:rPr>
                <w:rFonts w:eastAsia="Calibri" w:cs="Arial"/>
                <w:noProof/>
                <w:color w:val="000000"/>
                <w:highlight w:val="black"/>
              </w:rPr>
              <w:t>''''''</w:t>
            </w:r>
            <w:r w:rsidRPr="008C3718">
              <w:rPr>
                <w:rFonts w:eastAsia="Calibri" w:cs="Arial"/>
              </w:rPr>
              <w:t xml:space="preserve">% price reduction for </w:t>
            </w:r>
            <w:proofErr w:type="spellStart"/>
            <w:r w:rsidRPr="008C3718">
              <w:rPr>
                <w:rFonts w:eastAsia="Calibri" w:cs="Arial"/>
              </w:rPr>
              <w:t>bezlotoxumab</w:t>
            </w:r>
            <w:proofErr w:type="spellEnd"/>
            <w:r w:rsidRPr="008C3718">
              <w:rPr>
                <w:rFonts w:eastAsia="Calibri" w:cs="Arial"/>
              </w:rPr>
              <w:t>).</w:t>
            </w:r>
          </w:p>
          <w:p w:rsidR="00991401" w:rsidRPr="008C3718" w:rsidRDefault="00991401" w:rsidP="00F4358C">
            <w:pPr>
              <w:pStyle w:val="Tabletext"/>
              <w:rPr>
                <w:rFonts w:eastAsia="Calibri" w:cs="Arial"/>
              </w:rPr>
            </w:pPr>
            <w:r w:rsidRPr="008C3718">
              <w:rPr>
                <w:rFonts w:eastAsia="Calibri" w:cs="Arial"/>
              </w:rPr>
              <w:t>Assumed 7.3% of patients (weight&gt;100kg) will need 2 vials.</w:t>
            </w:r>
          </w:p>
          <w:p w:rsidR="00991401" w:rsidRPr="008C3718" w:rsidRDefault="00991401" w:rsidP="00F4358C">
            <w:pPr>
              <w:pStyle w:val="Tabletext"/>
              <w:rPr>
                <w:rFonts w:eastAsia="Calibri" w:cs="Arial"/>
              </w:rPr>
            </w:pPr>
          </w:p>
          <w:p w:rsidR="00991401" w:rsidRPr="008C3718" w:rsidRDefault="00991401" w:rsidP="00F4358C">
            <w:pPr>
              <w:pStyle w:val="Tabletext"/>
              <w:rPr>
                <w:rFonts w:eastAsia="Calibri" w:cs="Arial"/>
              </w:rPr>
            </w:pPr>
            <w:r w:rsidRPr="008C3718">
              <w:rPr>
                <w:rFonts w:eastAsia="Calibri" w:cs="Arial"/>
              </w:rPr>
              <w:t xml:space="preserve">*10% of patients in the </w:t>
            </w:r>
            <w:proofErr w:type="spellStart"/>
            <w:r w:rsidRPr="008C3718">
              <w:rPr>
                <w:rFonts w:eastAsia="Calibri" w:cs="Arial"/>
              </w:rPr>
              <w:t>bezlotoxumab</w:t>
            </w:r>
            <w:proofErr w:type="spellEnd"/>
            <w:r w:rsidRPr="008C3718">
              <w:rPr>
                <w:rFonts w:eastAsia="Calibri" w:cs="Arial"/>
              </w:rPr>
              <w:t xml:space="preserve"> arm were assumed to have an infusion related AE (based on trial results) that will require one additional specialist visit.</w:t>
            </w:r>
          </w:p>
        </w:tc>
      </w:tr>
      <w:tr w:rsidR="00991401" w:rsidRPr="008C3718" w:rsidTr="00F4358C">
        <w:trPr>
          <w:cantSplit/>
        </w:trPr>
        <w:tc>
          <w:tcPr>
            <w:tcW w:w="0" w:type="auto"/>
            <w:shd w:val="clear" w:color="auto" w:fill="auto"/>
            <w:vAlign w:val="center"/>
          </w:tcPr>
          <w:p w:rsidR="00991401" w:rsidRPr="008C3718" w:rsidRDefault="00991401" w:rsidP="00F4358C">
            <w:pPr>
              <w:pStyle w:val="Tabletext"/>
              <w:rPr>
                <w:rFonts w:eastAsia="Calibri" w:cs="Arial"/>
              </w:rPr>
            </w:pPr>
            <w:r w:rsidRPr="008C3718">
              <w:rPr>
                <w:rFonts w:eastAsia="Calibri" w:cs="Arial"/>
              </w:rPr>
              <w:t>Resource cost</w:t>
            </w:r>
          </w:p>
        </w:tc>
        <w:tc>
          <w:tcPr>
            <w:tcW w:w="0" w:type="auto"/>
            <w:shd w:val="clear" w:color="auto" w:fill="auto"/>
            <w:vAlign w:val="center"/>
          </w:tcPr>
          <w:p w:rsidR="00991401" w:rsidRPr="004074B5" w:rsidRDefault="00991401" w:rsidP="00F4358C">
            <w:pPr>
              <w:pStyle w:val="Tabletext"/>
              <w:rPr>
                <w:rFonts w:eastAsia="Calibri" w:cs="Arial"/>
                <w:vertAlign w:val="superscript"/>
              </w:rPr>
            </w:pPr>
            <w:r w:rsidRPr="008C3718">
              <w:rPr>
                <w:rFonts w:eastAsia="Calibri" w:cs="Arial"/>
              </w:rPr>
              <w:t>Mild/moderate CDI^: $4,443.69</w:t>
            </w:r>
            <w:r>
              <w:rPr>
                <w:rFonts w:eastAsia="Calibri" w:cs="Arial"/>
                <w:vertAlign w:val="superscript"/>
              </w:rPr>
              <w:t>#</w:t>
            </w:r>
          </w:p>
          <w:p w:rsidR="00991401" w:rsidRPr="008C3718" w:rsidRDefault="00991401" w:rsidP="00F4358C">
            <w:pPr>
              <w:pStyle w:val="Tabletext"/>
              <w:rPr>
                <w:rFonts w:eastAsia="Calibri" w:cs="Arial"/>
              </w:rPr>
            </w:pPr>
            <w:r w:rsidRPr="008C3718">
              <w:rPr>
                <w:rFonts w:eastAsia="Calibri" w:cs="Arial"/>
              </w:rPr>
              <w:t>Severe CDI: $30,890.70</w:t>
            </w:r>
          </w:p>
          <w:p w:rsidR="00991401" w:rsidRPr="008C3718" w:rsidRDefault="00991401" w:rsidP="00F4358C">
            <w:pPr>
              <w:pStyle w:val="Tabletext"/>
              <w:rPr>
                <w:rFonts w:eastAsia="Calibri" w:cs="Arial"/>
              </w:rPr>
            </w:pPr>
          </w:p>
          <w:p w:rsidR="00991401" w:rsidRPr="004074B5" w:rsidRDefault="00991401" w:rsidP="00F4358C">
            <w:pPr>
              <w:pStyle w:val="Tabletext"/>
              <w:rPr>
                <w:rFonts w:eastAsia="Calibri" w:cs="Arial"/>
                <w:vertAlign w:val="superscript"/>
              </w:rPr>
            </w:pPr>
            <w:r w:rsidRPr="008C3718">
              <w:rPr>
                <w:rFonts w:eastAsia="Calibri" w:cs="Arial"/>
              </w:rPr>
              <w:t xml:space="preserve">^ Proportion of patients with mild/moderate CDI requiring hospitalisation: </w:t>
            </w:r>
            <w:r>
              <w:rPr>
                <w:rFonts w:eastAsia="Calibri" w:cs="Arial"/>
              </w:rPr>
              <w:t>32%</w:t>
            </w:r>
            <w:r>
              <w:rPr>
                <w:rFonts w:eastAsia="Calibri" w:cs="Arial"/>
                <w:vertAlign w:val="superscript"/>
              </w:rPr>
              <w:t>#</w:t>
            </w:r>
          </w:p>
        </w:tc>
        <w:tc>
          <w:tcPr>
            <w:tcW w:w="0" w:type="auto"/>
            <w:shd w:val="clear" w:color="auto" w:fill="auto"/>
            <w:vAlign w:val="center"/>
          </w:tcPr>
          <w:p w:rsidR="00991401" w:rsidRPr="008C3718" w:rsidRDefault="00991401" w:rsidP="00F4358C">
            <w:pPr>
              <w:pStyle w:val="Tabletext"/>
              <w:rPr>
                <w:rFonts w:eastAsia="Calibri" w:cs="Arial"/>
              </w:rPr>
            </w:pPr>
            <w:r w:rsidRPr="008C3718">
              <w:rPr>
                <w:rFonts w:eastAsia="Calibri" w:cs="Arial"/>
              </w:rPr>
              <w:t xml:space="preserve">Mild/moderate </w:t>
            </w:r>
            <w:proofErr w:type="spellStart"/>
            <w:r w:rsidRPr="008C3718">
              <w:rPr>
                <w:rFonts w:eastAsia="Calibri" w:cs="Arial"/>
              </w:rPr>
              <w:t>CDI</w:t>
            </w:r>
            <w:r w:rsidRPr="008C3718">
              <w:rPr>
                <w:rFonts w:eastAsia="Calibri" w:cs="Arial"/>
                <w:vertAlign w:val="superscript"/>
              </w:rPr>
              <w:t>a</w:t>
            </w:r>
            <w:proofErr w:type="spellEnd"/>
            <w:r w:rsidRPr="008C3718">
              <w:rPr>
                <w:rFonts w:eastAsia="Calibri" w:cs="Arial"/>
              </w:rPr>
              <w:t>: $8,8556.13</w:t>
            </w:r>
          </w:p>
          <w:p w:rsidR="00991401" w:rsidRPr="008C3718" w:rsidRDefault="00991401" w:rsidP="00F4358C">
            <w:pPr>
              <w:pStyle w:val="Tabletext"/>
              <w:rPr>
                <w:rFonts w:eastAsia="Calibri" w:cs="Arial"/>
              </w:rPr>
            </w:pPr>
            <w:r w:rsidRPr="008C3718">
              <w:rPr>
                <w:rFonts w:eastAsia="Calibri" w:cs="Arial"/>
              </w:rPr>
              <w:t xml:space="preserve">Severe </w:t>
            </w:r>
            <w:proofErr w:type="spellStart"/>
            <w:r w:rsidRPr="008C3718">
              <w:rPr>
                <w:rFonts w:eastAsia="Calibri" w:cs="Arial"/>
              </w:rPr>
              <w:t>CDI</w:t>
            </w:r>
            <w:r w:rsidRPr="008C3718">
              <w:rPr>
                <w:rFonts w:eastAsia="Calibri" w:cs="Arial"/>
                <w:vertAlign w:val="superscript"/>
              </w:rPr>
              <w:t>b</w:t>
            </w:r>
            <w:proofErr w:type="spellEnd"/>
            <w:r w:rsidRPr="008C3718">
              <w:rPr>
                <w:rFonts w:eastAsia="Calibri" w:cs="Arial"/>
              </w:rPr>
              <w:t>: $41,810.36</w:t>
            </w:r>
          </w:p>
          <w:p w:rsidR="00991401" w:rsidRPr="008C3718" w:rsidRDefault="00991401" w:rsidP="00F4358C">
            <w:pPr>
              <w:pStyle w:val="Tabletext"/>
              <w:rPr>
                <w:rFonts w:eastAsia="Calibri" w:cs="Arial"/>
              </w:rPr>
            </w:pPr>
            <w:r w:rsidRPr="008C3718">
              <w:rPr>
                <w:rFonts w:eastAsia="Calibri" w:cs="Arial"/>
              </w:rPr>
              <w:t>Mean hospital LOS mild/moderate CDI: 16.4 days</w:t>
            </w:r>
          </w:p>
          <w:p w:rsidR="00991401" w:rsidRPr="008C3718" w:rsidRDefault="00991401" w:rsidP="00F4358C">
            <w:pPr>
              <w:pStyle w:val="Tabletext"/>
              <w:rPr>
                <w:rFonts w:eastAsia="Calibri" w:cs="Arial"/>
              </w:rPr>
            </w:pPr>
            <w:r w:rsidRPr="008C3718">
              <w:rPr>
                <w:rFonts w:eastAsia="Calibri" w:cs="Arial"/>
              </w:rPr>
              <w:t>Mean hospital LOS severe CDI: 22 days</w:t>
            </w:r>
          </w:p>
          <w:p w:rsidR="00991401" w:rsidRPr="008C3718" w:rsidRDefault="00991401" w:rsidP="00F4358C">
            <w:pPr>
              <w:pStyle w:val="Tabletext"/>
              <w:rPr>
                <w:rFonts w:eastAsia="Calibri" w:cs="Arial"/>
              </w:rPr>
            </w:pPr>
          </w:p>
          <w:p w:rsidR="00991401" w:rsidRPr="008C3718" w:rsidRDefault="00991401" w:rsidP="00F4358C">
            <w:pPr>
              <w:pStyle w:val="Tabletext"/>
              <w:rPr>
                <w:rFonts w:eastAsia="Calibri" w:cs="Arial"/>
              </w:rPr>
            </w:pPr>
            <w:r w:rsidRPr="008C3718">
              <w:rPr>
                <w:rFonts w:eastAsia="Calibri" w:cs="Arial"/>
                <w:vertAlign w:val="superscript"/>
              </w:rPr>
              <w:t>a</w:t>
            </w:r>
            <w:r w:rsidRPr="008C3718">
              <w:rPr>
                <w:rFonts w:eastAsia="Calibri" w:cs="Arial"/>
              </w:rPr>
              <w:t xml:space="preserve"> 32% of mild/moderate CDI patients were assumed to require hospitalisation: </w:t>
            </w:r>
          </w:p>
          <w:p w:rsidR="00991401" w:rsidRPr="008C3718" w:rsidRDefault="00991401" w:rsidP="00F4358C">
            <w:pPr>
              <w:pStyle w:val="Tabletext"/>
              <w:rPr>
                <w:rFonts w:eastAsia="Calibri" w:cs="Arial"/>
              </w:rPr>
            </w:pPr>
            <w:proofErr w:type="gramStart"/>
            <w:r w:rsidRPr="008C3718">
              <w:rPr>
                <w:rFonts w:eastAsia="Calibri" w:cs="Arial"/>
                <w:vertAlign w:val="superscript"/>
              </w:rPr>
              <w:t>b</w:t>
            </w:r>
            <w:proofErr w:type="gramEnd"/>
            <w:r w:rsidRPr="008C3718">
              <w:rPr>
                <w:rFonts w:eastAsia="Calibri" w:cs="Arial"/>
              </w:rPr>
              <w:t xml:space="preserve"> 100% of severe CDI patients were assumed to be hospitalised.</w:t>
            </w:r>
          </w:p>
        </w:tc>
      </w:tr>
      <w:tr w:rsidR="00991401" w:rsidRPr="008C3718" w:rsidTr="00F4358C">
        <w:trPr>
          <w:cantSplit/>
        </w:trPr>
        <w:tc>
          <w:tcPr>
            <w:tcW w:w="0" w:type="auto"/>
            <w:gridSpan w:val="3"/>
            <w:shd w:val="clear" w:color="auto" w:fill="auto"/>
            <w:vAlign w:val="center"/>
          </w:tcPr>
          <w:p w:rsidR="00991401" w:rsidRPr="008C3718" w:rsidRDefault="00991401" w:rsidP="00F4358C">
            <w:pPr>
              <w:pStyle w:val="Tabletext"/>
              <w:rPr>
                <w:rFonts w:eastAsia="Calibri" w:cs="Arial"/>
                <w:b/>
              </w:rPr>
            </w:pPr>
            <w:r w:rsidRPr="008C3718">
              <w:rPr>
                <w:rFonts w:eastAsia="Calibri" w:cs="Arial"/>
                <w:b/>
              </w:rPr>
              <w:t>Financial estimates</w:t>
            </w:r>
          </w:p>
        </w:tc>
      </w:tr>
      <w:tr w:rsidR="00991401" w:rsidRPr="008C3718" w:rsidTr="00F4358C">
        <w:trPr>
          <w:cantSplit/>
        </w:trPr>
        <w:tc>
          <w:tcPr>
            <w:tcW w:w="0" w:type="auto"/>
            <w:shd w:val="clear" w:color="auto" w:fill="auto"/>
            <w:vAlign w:val="center"/>
          </w:tcPr>
          <w:p w:rsidR="00991401" w:rsidRPr="008C3718" w:rsidRDefault="00991401" w:rsidP="00F4358C">
            <w:pPr>
              <w:pStyle w:val="Tabletext"/>
              <w:rPr>
                <w:rFonts w:eastAsia="Calibri" w:cs="Arial"/>
              </w:rPr>
            </w:pPr>
            <w:r w:rsidRPr="008C3718">
              <w:rPr>
                <w:rFonts w:eastAsia="Calibri" w:cs="Arial"/>
              </w:rPr>
              <w:lastRenderedPageBreak/>
              <w:t>Uptake rate</w:t>
            </w:r>
          </w:p>
        </w:tc>
        <w:tc>
          <w:tcPr>
            <w:tcW w:w="0" w:type="auto"/>
            <w:shd w:val="clear" w:color="auto" w:fill="auto"/>
            <w:vAlign w:val="center"/>
          </w:tcPr>
          <w:p w:rsidR="00991401" w:rsidRPr="008C3718" w:rsidRDefault="00991401" w:rsidP="00F4358C">
            <w:pPr>
              <w:pStyle w:val="Tabletext"/>
              <w:rPr>
                <w:rFonts w:eastAsia="Calibri" w:cs="Arial"/>
              </w:rPr>
            </w:pPr>
            <w:r w:rsidRPr="008C3718">
              <w:rPr>
                <w:rFonts w:eastAsia="Calibri" w:cs="Arial"/>
              </w:rPr>
              <w:t>Year 1: 20%</w:t>
            </w:r>
          </w:p>
          <w:p w:rsidR="00991401" w:rsidRPr="008C3718" w:rsidRDefault="00991401" w:rsidP="00F4358C">
            <w:pPr>
              <w:pStyle w:val="Tabletext"/>
              <w:rPr>
                <w:rFonts w:eastAsia="Calibri" w:cs="Arial"/>
              </w:rPr>
            </w:pPr>
            <w:r w:rsidRPr="008C3718">
              <w:rPr>
                <w:rFonts w:eastAsia="Calibri" w:cs="Arial"/>
              </w:rPr>
              <w:t>Year 2: 30%</w:t>
            </w:r>
          </w:p>
          <w:p w:rsidR="00991401" w:rsidRPr="008C3718" w:rsidRDefault="00991401" w:rsidP="00F4358C">
            <w:pPr>
              <w:pStyle w:val="Tabletext"/>
              <w:rPr>
                <w:rFonts w:eastAsia="Calibri" w:cs="Arial"/>
              </w:rPr>
            </w:pPr>
            <w:r w:rsidRPr="008C3718">
              <w:rPr>
                <w:rFonts w:eastAsia="Calibri" w:cs="Arial"/>
              </w:rPr>
              <w:t>Year 3: 40%</w:t>
            </w:r>
          </w:p>
          <w:p w:rsidR="00991401" w:rsidRPr="008C3718" w:rsidRDefault="00991401" w:rsidP="00F4358C">
            <w:pPr>
              <w:pStyle w:val="Tabletext"/>
              <w:rPr>
                <w:rFonts w:eastAsia="Calibri" w:cs="Arial"/>
              </w:rPr>
            </w:pPr>
            <w:r w:rsidRPr="008C3718">
              <w:rPr>
                <w:rFonts w:eastAsia="Calibri" w:cs="Arial"/>
              </w:rPr>
              <w:t>Year 4: 50%</w:t>
            </w:r>
          </w:p>
          <w:p w:rsidR="00991401" w:rsidRPr="008C3718" w:rsidRDefault="00991401" w:rsidP="00F4358C">
            <w:pPr>
              <w:pStyle w:val="Tabletext"/>
              <w:rPr>
                <w:rFonts w:eastAsia="Calibri" w:cs="Arial"/>
              </w:rPr>
            </w:pPr>
            <w:r w:rsidRPr="008C3718">
              <w:rPr>
                <w:rFonts w:eastAsia="Calibri" w:cs="Arial"/>
              </w:rPr>
              <w:t>Year 5: 50%</w:t>
            </w:r>
          </w:p>
          <w:p w:rsidR="00991401" w:rsidRPr="008C3718" w:rsidRDefault="00991401" w:rsidP="00F4358C">
            <w:pPr>
              <w:pStyle w:val="Tabletext"/>
              <w:rPr>
                <w:rFonts w:eastAsia="Calibri" w:cs="Arial"/>
              </w:rPr>
            </w:pPr>
            <w:r w:rsidRPr="008C3718">
              <w:rPr>
                <w:rFonts w:eastAsia="Calibri" w:cs="Arial"/>
              </w:rPr>
              <w:t>Year 6: 50%</w:t>
            </w:r>
          </w:p>
        </w:tc>
        <w:tc>
          <w:tcPr>
            <w:tcW w:w="0" w:type="auto"/>
            <w:shd w:val="clear" w:color="auto" w:fill="auto"/>
            <w:vAlign w:val="center"/>
          </w:tcPr>
          <w:p w:rsidR="00991401" w:rsidRPr="008C3718" w:rsidRDefault="00991401" w:rsidP="00F4358C">
            <w:pPr>
              <w:pStyle w:val="Tabletext"/>
              <w:rPr>
                <w:rFonts w:eastAsia="Calibri" w:cs="Arial"/>
              </w:rPr>
            </w:pPr>
            <w:r w:rsidRPr="008C3718">
              <w:rPr>
                <w:rFonts w:eastAsia="Calibri" w:cs="Arial"/>
              </w:rPr>
              <w:t>Year 1: 40%</w:t>
            </w:r>
          </w:p>
          <w:p w:rsidR="00991401" w:rsidRPr="008C3718" w:rsidRDefault="00991401" w:rsidP="00F4358C">
            <w:pPr>
              <w:pStyle w:val="Tabletext"/>
              <w:rPr>
                <w:rFonts w:eastAsia="Calibri" w:cs="Arial"/>
              </w:rPr>
            </w:pPr>
            <w:r w:rsidRPr="008C3718">
              <w:rPr>
                <w:rFonts w:eastAsia="Calibri" w:cs="Arial"/>
              </w:rPr>
              <w:t>Year 2: 50%</w:t>
            </w:r>
          </w:p>
          <w:p w:rsidR="00991401" w:rsidRPr="008C3718" w:rsidRDefault="00991401" w:rsidP="00F4358C">
            <w:pPr>
              <w:pStyle w:val="Tabletext"/>
              <w:rPr>
                <w:rFonts w:eastAsia="Calibri" w:cs="Arial"/>
              </w:rPr>
            </w:pPr>
            <w:r w:rsidRPr="008C3718">
              <w:rPr>
                <w:rFonts w:eastAsia="Calibri" w:cs="Arial"/>
              </w:rPr>
              <w:t>Year 3: 60%</w:t>
            </w:r>
          </w:p>
          <w:p w:rsidR="00991401" w:rsidRPr="008C3718" w:rsidRDefault="00991401" w:rsidP="00F4358C">
            <w:pPr>
              <w:pStyle w:val="Tabletext"/>
              <w:rPr>
                <w:rFonts w:eastAsia="Calibri" w:cs="Arial"/>
              </w:rPr>
            </w:pPr>
            <w:r w:rsidRPr="008C3718">
              <w:rPr>
                <w:rFonts w:eastAsia="Calibri" w:cs="Arial"/>
              </w:rPr>
              <w:t>Year 4: 70%</w:t>
            </w:r>
          </w:p>
          <w:p w:rsidR="00991401" w:rsidRPr="008C3718" w:rsidRDefault="00991401" w:rsidP="00F4358C">
            <w:pPr>
              <w:pStyle w:val="Tabletext"/>
              <w:rPr>
                <w:rFonts w:eastAsia="Calibri" w:cs="Arial"/>
              </w:rPr>
            </w:pPr>
            <w:r w:rsidRPr="008C3718">
              <w:rPr>
                <w:rFonts w:eastAsia="Calibri" w:cs="Arial"/>
              </w:rPr>
              <w:t>Year 5: 80%</w:t>
            </w:r>
          </w:p>
          <w:p w:rsidR="00991401" w:rsidRPr="008C3718" w:rsidRDefault="00991401" w:rsidP="00F4358C">
            <w:pPr>
              <w:pStyle w:val="Tabletext"/>
              <w:rPr>
                <w:rFonts w:eastAsia="Calibri" w:cs="Arial"/>
              </w:rPr>
            </w:pPr>
            <w:r w:rsidRPr="008C3718">
              <w:rPr>
                <w:rFonts w:eastAsia="Calibri" w:cs="Arial"/>
              </w:rPr>
              <w:t>Year 6: 80%</w:t>
            </w:r>
          </w:p>
        </w:tc>
      </w:tr>
      <w:tr w:rsidR="00991401" w:rsidRPr="008C3718" w:rsidTr="00F4358C">
        <w:trPr>
          <w:cantSplit/>
          <w:trHeight w:val="1068"/>
        </w:trPr>
        <w:tc>
          <w:tcPr>
            <w:tcW w:w="0" w:type="auto"/>
            <w:shd w:val="clear" w:color="auto" w:fill="auto"/>
            <w:vAlign w:val="center"/>
          </w:tcPr>
          <w:p w:rsidR="00991401" w:rsidRPr="008C3718" w:rsidRDefault="00991401" w:rsidP="00F4358C">
            <w:pPr>
              <w:pStyle w:val="Tabletext"/>
              <w:rPr>
                <w:rFonts w:eastAsia="Calibri" w:cs="Arial"/>
              </w:rPr>
            </w:pPr>
            <w:r w:rsidRPr="008C3718">
              <w:rPr>
                <w:rFonts w:eastAsia="Calibri" w:cs="Arial"/>
              </w:rPr>
              <w:t>Eligible patient population</w:t>
            </w:r>
          </w:p>
        </w:tc>
        <w:tc>
          <w:tcPr>
            <w:tcW w:w="0" w:type="auto"/>
            <w:shd w:val="clear" w:color="auto" w:fill="auto"/>
            <w:vAlign w:val="center"/>
          </w:tcPr>
          <w:p w:rsidR="00991401" w:rsidRPr="008C3718" w:rsidRDefault="00991401" w:rsidP="00F4358C">
            <w:pPr>
              <w:pStyle w:val="Tabletext"/>
              <w:rPr>
                <w:rFonts w:eastAsia="Calibri" w:cs="Arial"/>
              </w:rPr>
            </w:pPr>
            <w:r w:rsidRPr="008C3718">
              <w:rPr>
                <w:rFonts w:eastAsia="Calibri" w:cs="Arial"/>
              </w:rPr>
              <w:t>Outpatient population.</w:t>
            </w:r>
          </w:p>
          <w:p w:rsidR="00991401" w:rsidRPr="008C3718" w:rsidRDefault="00991401" w:rsidP="00F4358C">
            <w:pPr>
              <w:pStyle w:val="Tabletext"/>
              <w:rPr>
                <w:rFonts w:eastAsia="Calibri" w:cs="Arial"/>
              </w:rPr>
            </w:pPr>
            <w:r w:rsidRPr="008C3718">
              <w:rPr>
                <w:rFonts w:eastAsia="Calibri" w:cs="Arial"/>
              </w:rPr>
              <w:t xml:space="preserve">Assumed 10% of patients will use metronidazole + </w:t>
            </w:r>
            <w:proofErr w:type="spellStart"/>
            <w:r w:rsidRPr="008C3718">
              <w:rPr>
                <w:rFonts w:eastAsia="Calibri" w:cs="Arial"/>
              </w:rPr>
              <w:t>bezlotoxumab</w:t>
            </w:r>
            <w:proofErr w:type="spellEnd"/>
            <w:r w:rsidRPr="008C3718">
              <w:rPr>
                <w:rFonts w:eastAsia="Calibri" w:cs="Arial"/>
              </w:rPr>
              <w:t xml:space="preserve"> (based on assumption that 90% of eligible patient population used vancomycin + </w:t>
            </w:r>
            <w:proofErr w:type="spellStart"/>
            <w:r w:rsidRPr="008C3718">
              <w:rPr>
                <w:rFonts w:eastAsia="Calibri" w:cs="Arial"/>
              </w:rPr>
              <w:t>bezlotoxumab</w:t>
            </w:r>
            <w:proofErr w:type="spellEnd"/>
            <w:r w:rsidRPr="008C3718">
              <w:rPr>
                <w:rFonts w:eastAsia="Calibri" w:cs="Arial"/>
              </w:rPr>
              <w:t>).</w:t>
            </w:r>
          </w:p>
        </w:tc>
        <w:tc>
          <w:tcPr>
            <w:tcW w:w="0" w:type="auto"/>
            <w:shd w:val="clear" w:color="auto" w:fill="auto"/>
            <w:vAlign w:val="center"/>
          </w:tcPr>
          <w:p w:rsidR="00991401" w:rsidRPr="008C3718" w:rsidRDefault="00991401" w:rsidP="00F4358C">
            <w:pPr>
              <w:pStyle w:val="Tabletext"/>
              <w:rPr>
                <w:rFonts w:eastAsia="Calibri" w:cs="Arial"/>
              </w:rPr>
            </w:pPr>
            <w:r w:rsidRPr="008C3718">
              <w:rPr>
                <w:rFonts w:eastAsia="Calibri" w:cs="Arial"/>
              </w:rPr>
              <w:t>High risk patient population (inclusive of inpatient and outpatients)</w:t>
            </w:r>
            <w:r>
              <w:rPr>
                <w:rFonts w:eastAsia="Calibri" w:cs="Arial"/>
              </w:rPr>
              <w:t xml:space="preserve">. </w:t>
            </w:r>
            <w:r w:rsidRPr="008C3718">
              <w:rPr>
                <w:rFonts w:eastAsia="Calibri" w:cs="Arial"/>
              </w:rPr>
              <w:t>To align with the requested restriction, the patient population estimate assumed 95% with positive Toxin B test</w:t>
            </w:r>
            <w:r>
              <w:rPr>
                <w:rFonts w:eastAsia="Calibri" w:cs="Arial"/>
              </w:rPr>
              <w:t xml:space="preserve">. </w:t>
            </w:r>
          </w:p>
          <w:p w:rsidR="00991401" w:rsidRPr="008C3718" w:rsidRDefault="00991401" w:rsidP="00F4358C">
            <w:pPr>
              <w:pStyle w:val="Tabletext"/>
              <w:rPr>
                <w:rFonts w:eastAsia="Calibri" w:cs="Arial"/>
              </w:rPr>
            </w:pPr>
            <w:r w:rsidRPr="008C3718">
              <w:rPr>
                <w:rFonts w:eastAsia="Calibri" w:cs="Arial"/>
              </w:rPr>
              <w:t xml:space="preserve">Adjusted for 42.6% metronidazole usage (based on MODIFY trials, and excluded </w:t>
            </w:r>
            <w:proofErr w:type="spellStart"/>
            <w:r w:rsidRPr="008C3718">
              <w:rPr>
                <w:rFonts w:eastAsia="Calibri" w:cs="Arial"/>
              </w:rPr>
              <w:t>fidaxomicin</w:t>
            </w:r>
            <w:proofErr w:type="spellEnd"/>
            <w:r w:rsidRPr="008C3718">
              <w:rPr>
                <w:rFonts w:eastAsia="Calibri" w:cs="Arial"/>
              </w:rPr>
              <w:t xml:space="preserve"> use).</w:t>
            </w:r>
          </w:p>
        </w:tc>
      </w:tr>
      <w:tr w:rsidR="00991401" w:rsidRPr="008C3718" w:rsidTr="00F4358C">
        <w:trPr>
          <w:cantSplit/>
        </w:trPr>
        <w:tc>
          <w:tcPr>
            <w:tcW w:w="0" w:type="auto"/>
            <w:shd w:val="clear" w:color="auto" w:fill="auto"/>
            <w:vAlign w:val="center"/>
          </w:tcPr>
          <w:p w:rsidR="00991401" w:rsidRPr="008C3718" w:rsidRDefault="00991401" w:rsidP="00F4358C">
            <w:pPr>
              <w:pStyle w:val="Tabletext"/>
              <w:rPr>
                <w:rFonts w:eastAsia="Calibri" w:cs="Arial"/>
              </w:rPr>
            </w:pPr>
            <w:r w:rsidRPr="008C3718">
              <w:rPr>
                <w:rFonts w:eastAsia="Calibri" w:cs="Arial"/>
              </w:rPr>
              <w:t xml:space="preserve">Administration cost </w:t>
            </w:r>
          </w:p>
        </w:tc>
        <w:tc>
          <w:tcPr>
            <w:tcW w:w="0" w:type="auto"/>
            <w:shd w:val="clear" w:color="auto" w:fill="auto"/>
            <w:vAlign w:val="center"/>
          </w:tcPr>
          <w:p w:rsidR="00991401" w:rsidRPr="008C3718" w:rsidRDefault="00991401" w:rsidP="00F4358C">
            <w:pPr>
              <w:pStyle w:val="Tabletext"/>
              <w:rPr>
                <w:rFonts w:eastAsia="Calibri" w:cs="Arial"/>
              </w:rPr>
            </w:pPr>
            <w:r w:rsidRPr="008C3718">
              <w:rPr>
                <w:rFonts w:eastAsia="Calibri" w:cs="Arial"/>
              </w:rPr>
              <w:t>Not included</w:t>
            </w:r>
          </w:p>
        </w:tc>
        <w:tc>
          <w:tcPr>
            <w:tcW w:w="0" w:type="auto"/>
            <w:shd w:val="clear" w:color="auto" w:fill="auto"/>
            <w:vAlign w:val="center"/>
          </w:tcPr>
          <w:p w:rsidR="00991401" w:rsidRPr="008C3718" w:rsidRDefault="00991401" w:rsidP="00F4358C">
            <w:pPr>
              <w:pStyle w:val="Tabletext"/>
              <w:rPr>
                <w:rFonts w:eastAsia="Calibri" w:cs="Arial"/>
              </w:rPr>
            </w:pPr>
            <w:r w:rsidRPr="008C3718">
              <w:rPr>
                <w:rFonts w:eastAsia="Calibri" w:cs="Arial"/>
              </w:rPr>
              <w:t>MBS 14245 intravenous infusion of PBS Section 100 agent $97.95</w:t>
            </w:r>
          </w:p>
        </w:tc>
      </w:tr>
    </w:tbl>
    <w:p w:rsidR="00FC2486" w:rsidRPr="000B49C6" w:rsidRDefault="00203181" w:rsidP="00FC2486">
      <w:pPr>
        <w:pStyle w:val="PBACHeading1"/>
        <w:spacing w:before="240" w:after="120"/>
      </w:pPr>
      <w:bookmarkStart w:id="4" w:name="_Toc514248030"/>
      <w:r w:rsidRPr="000B49C6">
        <w:t xml:space="preserve">Population and </w:t>
      </w:r>
      <w:r w:rsidR="008E0D3C" w:rsidRPr="000B49C6">
        <w:t>d</w:t>
      </w:r>
      <w:r w:rsidRPr="000B49C6">
        <w:t>isease</w:t>
      </w:r>
      <w:bookmarkEnd w:id="4"/>
    </w:p>
    <w:p w:rsidR="008B7A49" w:rsidRPr="000B49C6" w:rsidRDefault="008B7A49" w:rsidP="008B7A49">
      <w:pPr>
        <w:pStyle w:val="ListParagraph"/>
        <w:widowControl/>
        <w:numPr>
          <w:ilvl w:val="1"/>
          <w:numId w:val="3"/>
        </w:numPr>
      </w:pPr>
      <w:r w:rsidRPr="000B49C6">
        <w:t>CDI</w:t>
      </w:r>
      <w:r w:rsidR="00CD5A89" w:rsidRPr="000B49C6">
        <w:t xml:space="preserve"> recurrence</w:t>
      </w:r>
      <w:r w:rsidRPr="000B49C6">
        <w:t xml:space="preserve"> </w:t>
      </w:r>
      <w:r w:rsidR="00CD5A89" w:rsidRPr="000B49C6">
        <w:t xml:space="preserve">can be </w:t>
      </w:r>
      <w:r w:rsidRPr="000B49C6">
        <w:t xml:space="preserve">due to persistent or newly-acquired </w:t>
      </w:r>
      <w:r w:rsidR="000B49C6" w:rsidRPr="000B49C6">
        <w:rPr>
          <w:i/>
        </w:rPr>
        <w:t>C. difficile</w:t>
      </w:r>
      <w:r w:rsidRPr="000B49C6">
        <w:t xml:space="preserve"> spores</w:t>
      </w:r>
      <w:r w:rsidR="00CD5A89" w:rsidRPr="000B49C6">
        <w:t>. O</w:t>
      </w:r>
      <w:r w:rsidRPr="000B49C6">
        <w:t>utgrowth (leading to new toxin expression) is facilitated by gut flora disturbance caused by antibiotics</w:t>
      </w:r>
      <w:r w:rsidR="00991401">
        <w:t xml:space="preserve">. </w:t>
      </w:r>
      <w:r w:rsidR="00CD5A89" w:rsidRPr="000B49C6">
        <w:t>Patients are at a higher risk of recurrence if they</w:t>
      </w:r>
      <w:r w:rsidR="00851767" w:rsidRPr="000B49C6">
        <w:t>:</w:t>
      </w:r>
      <w:r w:rsidR="00CD5A89" w:rsidRPr="000B49C6">
        <w:t xml:space="preserve"> are </w:t>
      </w:r>
      <w:r w:rsidRPr="000B49C6">
        <w:t>age</w:t>
      </w:r>
      <w:r w:rsidR="00851767" w:rsidRPr="000B49C6">
        <w:t>d</w:t>
      </w:r>
      <w:r w:rsidRPr="000B49C6">
        <w:t xml:space="preserve"> 65 </w:t>
      </w:r>
      <w:r w:rsidR="00813856" w:rsidRPr="000B49C6">
        <w:t xml:space="preserve">years </w:t>
      </w:r>
      <w:r w:rsidRPr="000B49C6">
        <w:t xml:space="preserve">or greater, </w:t>
      </w:r>
      <w:r w:rsidR="00851767" w:rsidRPr="000B49C6">
        <w:t xml:space="preserve">are </w:t>
      </w:r>
      <w:r w:rsidRPr="000B49C6">
        <w:t xml:space="preserve">immunocompromised, </w:t>
      </w:r>
      <w:r w:rsidR="00CD5A89" w:rsidRPr="000B49C6">
        <w:t xml:space="preserve">have a </w:t>
      </w:r>
      <w:r w:rsidRPr="000B49C6">
        <w:t>history of CDI</w:t>
      </w:r>
      <w:r w:rsidR="00CD5A89" w:rsidRPr="000B49C6">
        <w:t>s</w:t>
      </w:r>
      <w:r w:rsidRPr="000B49C6">
        <w:t xml:space="preserve">, </w:t>
      </w:r>
      <w:r w:rsidR="00851767" w:rsidRPr="000B49C6">
        <w:t>have had a clinically severe episode</w:t>
      </w:r>
      <w:r w:rsidR="00383142" w:rsidRPr="000B49C6">
        <w:t>,</w:t>
      </w:r>
      <w:r w:rsidR="00851767" w:rsidRPr="000B49C6">
        <w:t xml:space="preserve"> or have </w:t>
      </w:r>
      <w:r w:rsidR="00CD5A89" w:rsidRPr="000B49C6">
        <w:t xml:space="preserve">a </w:t>
      </w:r>
      <w:proofErr w:type="spellStart"/>
      <w:r w:rsidR="00CD5A89" w:rsidRPr="000B49C6">
        <w:t>hypervirulent</w:t>
      </w:r>
      <w:proofErr w:type="spellEnd"/>
      <w:r w:rsidR="00CD5A89" w:rsidRPr="000B49C6">
        <w:t xml:space="preserve"> CDI </w:t>
      </w:r>
      <w:proofErr w:type="spellStart"/>
      <w:r w:rsidR="00CD5A89" w:rsidRPr="000B49C6">
        <w:t>ribotype</w:t>
      </w:r>
      <w:proofErr w:type="spellEnd"/>
      <w:r w:rsidRPr="000B49C6">
        <w:t>.</w:t>
      </w:r>
    </w:p>
    <w:p w:rsidR="008B7A49" w:rsidRPr="000B49C6" w:rsidRDefault="008B7A49" w:rsidP="008B7A49">
      <w:pPr>
        <w:pStyle w:val="ListParagraph"/>
        <w:widowControl/>
        <w:numPr>
          <w:ilvl w:val="1"/>
          <w:numId w:val="3"/>
        </w:numPr>
      </w:pPr>
      <w:proofErr w:type="spellStart"/>
      <w:r w:rsidRPr="000B49C6">
        <w:t>Bezlotoxumab</w:t>
      </w:r>
      <w:proofErr w:type="spellEnd"/>
      <w:r w:rsidRPr="000B49C6">
        <w:t xml:space="preserve"> is a human monoclonal antibody that binds with high affinity to </w:t>
      </w:r>
      <w:r w:rsidR="00991401">
        <w:rPr>
          <w:i/>
        </w:rPr>
        <w:t>C. </w:t>
      </w:r>
      <w:r w:rsidR="000B49C6" w:rsidRPr="000B49C6">
        <w:rPr>
          <w:i/>
        </w:rPr>
        <w:t>difficile</w:t>
      </w:r>
      <w:r w:rsidRPr="000B49C6">
        <w:t xml:space="preserve"> toxin B and neutralises its activity by preventing it from binding to host cells</w:t>
      </w:r>
      <w:r w:rsidR="00991401">
        <w:t xml:space="preserve">. </w:t>
      </w:r>
      <w:proofErr w:type="spellStart"/>
      <w:r w:rsidRPr="000B49C6">
        <w:t>Bezlotoxumab</w:t>
      </w:r>
      <w:proofErr w:type="spellEnd"/>
      <w:r w:rsidRPr="000B49C6">
        <w:t xml:space="preserve"> is thought to prevent CDI recurrence by providing enhanced passive immunity against toxin produced by the o</w:t>
      </w:r>
      <w:r w:rsidR="00991401">
        <w:t>utgrowth of persistent or newly</w:t>
      </w:r>
      <w:r w:rsidR="00991401">
        <w:noBreakHyphen/>
      </w:r>
      <w:r w:rsidRPr="000B49C6">
        <w:t>acquired CDI spores</w:t>
      </w:r>
      <w:r w:rsidR="00991401">
        <w:t xml:space="preserve">. </w:t>
      </w:r>
      <w:proofErr w:type="spellStart"/>
      <w:r w:rsidRPr="000B49C6">
        <w:t>Bezlotoxumab</w:t>
      </w:r>
      <w:proofErr w:type="spellEnd"/>
      <w:r w:rsidRPr="000B49C6">
        <w:t xml:space="preserve"> is effective against toxins from a broad range of clinical isolates of CDI</w:t>
      </w:r>
      <w:r w:rsidR="00991401">
        <w:t xml:space="preserve">. </w:t>
      </w:r>
      <w:r w:rsidRPr="000B49C6">
        <w:t xml:space="preserve">However, </w:t>
      </w:r>
      <w:proofErr w:type="spellStart"/>
      <w:r w:rsidRPr="000B49C6">
        <w:t>bezlotoxumab</w:t>
      </w:r>
      <w:proofErr w:type="spellEnd"/>
      <w:r w:rsidRPr="000B49C6">
        <w:t xml:space="preserve"> does not enhance the efficacy of antibiotics used to treat CDI and only prevents recurrence of CDI </w:t>
      </w:r>
      <w:r w:rsidR="00CD5A89" w:rsidRPr="000B49C6">
        <w:t>once patients are cured from their current episode</w:t>
      </w:r>
      <w:r w:rsidRPr="000B49C6">
        <w:t xml:space="preserve">. </w:t>
      </w:r>
    </w:p>
    <w:p w:rsidR="002C2775" w:rsidRPr="003943AF" w:rsidRDefault="008B7A49" w:rsidP="008B7A49">
      <w:pPr>
        <w:pStyle w:val="ListParagraph"/>
        <w:widowControl/>
        <w:numPr>
          <w:ilvl w:val="1"/>
          <w:numId w:val="3"/>
        </w:numPr>
      </w:pPr>
      <w:r w:rsidRPr="000B49C6">
        <w:t>The resubmission provided a revised clinical management algorithm reflecting the listing for high risk patients</w:t>
      </w:r>
      <w:r w:rsidR="00991401">
        <w:t xml:space="preserve">. </w:t>
      </w:r>
      <w:r w:rsidRPr="000B49C6">
        <w:t xml:space="preserve">If </w:t>
      </w:r>
      <w:proofErr w:type="spellStart"/>
      <w:r w:rsidRPr="000B49C6">
        <w:t>bezlotoxumab</w:t>
      </w:r>
      <w:proofErr w:type="spellEnd"/>
      <w:r w:rsidRPr="000B49C6">
        <w:t xml:space="preserve"> is to be listed as proposed, then patients at high risk of recurrence will be administered </w:t>
      </w:r>
      <w:proofErr w:type="spellStart"/>
      <w:r w:rsidRPr="000B49C6">
        <w:t>bezlotoxumab</w:t>
      </w:r>
      <w:proofErr w:type="spellEnd"/>
      <w:r w:rsidRPr="000B49C6">
        <w:t xml:space="preserve"> as add-on to antibiotic therapy for both initial and recurrent CDI</w:t>
      </w:r>
      <w:r w:rsidR="00CD5A89" w:rsidRPr="000B49C6">
        <w:t>s</w:t>
      </w:r>
      <w:r w:rsidRPr="000B49C6">
        <w:t xml:space="preserve"> (non-severe and severe episodes)</w:t>
      </w:r>
      <w:r w:rsidR="00991401">
        <w:t xml:space="preserve">. </w:t>
      </w:r>
      <w:r w:rsidRPr="000B49C6">
        <w:t xml:space="preserve">The resubmission also indicated that </w:t>
      </w:r>
      <w:proofErr w:type="spellStart"/>
      <w:r w:rsidRPr="000B49C6">
        <w:t>bezlotoxumab</w:t>
      </w:r>
      <w:proofErr w:type="spellEnd"/>
      <w:r w:rsidRPr="000B49C6">
        <w:t xml:space="preserve"> would mostly be administered alongside vancomycin</w:t>
      </w:r>
      <w:r w:rsidR="00FC2486" w:rsidRPr="000B49C6">
        <w:t>,</w:t>
      </w:r>
      <w:r w:rsidRPr="000B49C6">
        <w:rPr>
          <w:color w:val="3366FF"/>
        </w:rPr>
        <w:t xml:space="preserve"> </w:t>
      </w:r>
      <w:r w:rsidRPr="000B49C6">
        <w:t>an assumption that was carried through the modelled economic evaluation and financial estimates.</w:t>
      </w:r>
      <w:r w:rsidRPr="000B49C6">
        <w:rPr>
          <w:color w:val="3366FF"/>
        </w:rPr>
        <w:t xml:space="preserve"> </w:t>
      </w:r>
    </w:p>
    <w:p w:rsidR="003943AF" w:rsidRPr="000B49C6" w:rsidRDefault="003943AF" w:rsidP="003943AF">
      <w:pPr>
        <w:pStyle w:val="ListParagraph"/>
        <w:widowControl/>
      </w:pPr>
      <w:r w:rsidRPr="00525B39">
        <w:rPr>
          <w:rFonts w:asciiTheme="minorHAnsi" w:hAnsiTheme="minorHAnsi"/>
          <w:i/>
        </w:rPr>
        <w:t>For more detail on PBAC’s view, see section 7 PBAC outcome</w:t>
      </w:r>
    </w:p>
    <w:p w:rsidR="00B50DB8" w:rsidRPr="000B49C6" w:rsidRDefault="00B50DB8" w:rsidP="00AB4E07">
      <w:pPr>
        <w:pStyle w:val="PBACHeading1"/>
        <w:spacing w:before="240" w:after="120"/>
      </w:pPr>
      <w:bookmarkStart w:id="5" w:name="_Toc514248031"/>
      <w:r w:rsidRPr="000B49C6">
        <w:t>Comparator</w:t>
      </w:r>
      <w:bookmarkEnd w:id="5"/>
    </w:p>
    <w:p w:rsidR="0027785C" w:rsidRPr="000B49C6" w:rsidRDefault="0027785C" w:rsidP="00F4358C">
      <w:pPr>
        <w:pStyle w:val="ListParagraph"/>
        <w:keepNext/>
        <w:widowControl/>
        <w:numPr>
          <w:ilvl w:val="1"/>
          <w:numId w:val="3"/>
        </w:numPr>
      </w:pPr>
      <w:r w:rsidRPr="000B49C6">
        <w:t xml:space="preserve">The resubmission nominated placebo (or </w:t>
      </w:r>
      <w:proofErr w:type="spellStart"/>
      <w:r w:rsidRPr="000B49C6">
        <w:t>SoC</w:t>
      </w:r>
      <w:proofErr w:type="spellEnd"/>
      <w:r w:rsidRPr="000B49C6">
        <w:t>) as the main comparator</w:t>
      </w:r>
      <w:r w:rsidR="00991401">
        <w:t xml:space="preserve">. </w:t>
      </w:r>
      <w:r w:rsidRPr="000B49C6">
        <w:rPr>
          <w:iCs/>
        </w:rPr>
        <w:t>The PBAC</w:t>
      </w:r>
      <w:r w:rsidR="00991401">
        <w:rPr>
          <w:iCs/>
        </w:rPr>
        <w:t xml:space="preserve"> recalled that at the November 2017 meeting it</w:t>
      </w:r>
      <w:r w:rsidRPr="000B49C6">
        <w:rPr>
          <w:iCs/>
        </w:rPr>
        <w:t xml:space="preserve"> considered this to be appropriate (Paragraph 5.1; </w:t>
      </w:r>
      <w:proofErr w:type="spellStart"/>
      <w:r w:rsidRPr="000B49C6">
        <w:rPr>
          <w:iCs/>
        </w:rPr>
        <w:t>Bezlotoxumab</w:t>
      </w:r>
      <w:proofErr w:type="spellEnd"/>
      <w:r w:rsidRPr="000B49C6">
        <w:rPr>
          <w:iCs/>
        </w:rPr>
        <w:t xml:space="preserve"> November 2017</w:t>
      </w:r>
      <w:r w:rsidR="00DB12F1" w:rsidRPr="000B49C6">
        <w:rPr>
          <w:iCs/>
        </w:rPr>
        <w:t xml:space="preserve"> </w:t>
      </w:r>
      <w:r w:rsidR="00087339">
        <w:rPr>
          <w:iCs/>
        </w:rPr>
        <w:t>Public Summary Document (</w:t>
      </w:r>
      <w:r w:rsidR="00DB12F1" w:rsidRPr="000B49C6">
        <w:rPr>
          <w:iCs/>
        </w:rPr>
        <w:t>PSD</w:t>
      </w:r>
      <w:r w:rsidR="00087339">
        <w:rPr>
          <w:iCs/>
        </w:rPr>
        <w:t>)</w:t>
      </w:r>
      <w:r w:rsidR="000114C4" w:rsidRPr="000B49C6">
        <w:rPr>
          <w:iCs/>
        </w:rPr>
        <w:t>).</w:t>
      </w:r>
      <w:r w:rsidR="00262287">
        <w:rPr>
          <w:iCs/>
        </w:rPr>
        <w:t xml:space="preserve"> </w:t>
      </w:r>
      <w:r w:rsidR="00262287">
        <w:rPr>
          <w:iCs/>
        </w:rPr>
        <w:lastRenderedPageBreak/>
        <w:t>However, the PBAC</w:t>
      </w:r>
      <w:r w:rsidR="00BC15C8">
        <w:rPr>
          <w:iCs/>
        </w:rPr>
        <w:t xml:space="preserve"> also </w:t>
      </w:r>
      <w:r w:rsidR="00262287">
        <w:rPr>
          <w:iCs/>
        </w:rPr>
        <w:t xml:space="preserve">noted that other options, such as </w:t>
      </w:r>
      <w:proofErr w:type="spellStart"/>
      <w:r w:rsidR="00262287">
        <w:rPr>
          <w:iCs/>
        </w:rPr>
        <w:t>fidaxomicin</w:t>
      </w:r>
      <w:proofErr w:type="spellEnd"/>
      <w:r w:rsidR="00262287">
        <w:rPr>
          <w:iCs/>
        </w:rPr>
        <w:t xml:space="preserve"> or faecal microbiota transplantation may be treatments that are </w:t>
      </w:r>
      <w:r w:rsidR="00033060">
        <w:rPr>
          <w:iCs/>
        </w:rPr>
        <w:t xml:space="preserve">avoided or </w:t>
      </w:r>
      <w:r w:rsidR="00262287">
        <w:rPr>
          <w:iCs/>
        </w:rPr>
        <w:t xml:space="preserve">delayed as a result of treatment with </w:t>
      </w:r>
      <w:proofErr w:type="spellStart"/>
      <w:r w:rsidR="00262287">
        <w:rPr>
          <w:iCs/>
        </w:rPr>
        <w:t>bezlotoxumab</w:t>
      </w:r>
      <w:proofErr w:type="spellEnd"/>
      <w:r w:rsidR="00262287">
        <w:rPr>
          <w:iCs/>
        </w:rPr>
        <w:t xml:space="preserve"> treatment.</w:t>
      </w:r>
    </w:p>
    <w:p w:rsidR="003943AF" w:rsidRPr="000B49C6" w:rsidRDefault="003943AF" w:rsidP="003943AF">
      <w:pPr>
        <w:pStyle w:val="ListParagraph"/>
        <w:widowControl/>
        <w:rPr>
          <w:iCs/>
        </w:rPr>
      </w:pPr>
      <w:r w:rsidRPr="00525B39">
        <w:rPr>
          <w:rFonts w:asciiTheme="minorHAnsi" w:hAnsiTheme="minorHAnsi"/>
          <w:i/>
        </w:rPr>
        <w:t>For more detail on PBAC’s view, see section 7 PBAC outcome</w:t>
      </w:r>
    </w:p>
    <w:p w:rsidR="00B50DB8" w:rsidRPr="000B49C6" w:rsidRDefault="00BD6CF3" w:rsidP="00AB4E07">
      <w:pPr>
        <w:pStyle w:val="PBACHeading1"/>
        <w:spacing w:before="240" w:after="120"/>
      </w:pPr>
      <w:bookmarkStart w:id="6" w:name="_Toc514248032"/>
      <w:r w:rsidRPr="000B49C6">
        <w:t>C</w:t>
      </w:r>
      <w:r w:rsidR="00B50DB8" w:rsidRPr="000B49C6">
        <w:t>onsideration of the evidence</w:t>
      </w:r>
      <w:bookmarkEnd w:id="6"/>
    </w:p>
    <w:p w:rsidR="003943AF" w:rsidRPr="00525B39" w:rsidRDefault="003943AF" w:rsidP="003943AF">
      <w:pPr>
        <w:spacing w:before="240" w:line="276" w:lineRule="auto"/>
        <w:rPr>
          <w:rFonts w:asciiTheme="minorHAnsi" w:hAnsiTheme="minorHAnsi"/>
          <w:b/>
          <w:bCs/>
          <w:i/>
          <w:sz w:val="28"/>
          <w:szCs w:val="28"/>
        </w:rPr>
      </w:pPr>
      <w:bookmarkStart w:id="7" w:name="_Toc514248033"/>
      <w:r w:rsidRPr="00525B39">
        <w:rPr>
          <w:rFonts w:asciiTheme="minorHAnsi" w:hAnsiTheme="minorHAnsi"/>
          <w:b/>
          <w:bCs/>
          <w:i/>
          <w:sz w:val="28"/>
          <w:szCs w:val="28"/>
        </w:rPr>
        <w:t>Sponsor hearing</w:t>
      </w:r>
    </w:p>
    <w:p w:rsidR="003943AF" w:rsidRPr="00525B39" w:rsidRDefault="003943AF" w:rsidP="003943AF">
      <w:pPr>
        <w:numPr>
          <w:ilvl w:val="1"/>
          <w:numId w:val="3"/>
        </w:numPr>
        <w:spacing w:after="120"/>
        <w:rPr>
          <w:rFonts w:asciiTheme="minorHAnsi" w:hAnsiTheme="minorHAnsi"/>
          <w:bCs/>
        </w:rPr>
      </w:pPr>
      <w:r w:rsidRPr="00525B39">
        <w:rPr>
          <w:rFonts w:asciiTheme="minorHAnsi" w:hAnsiTheme="minorHAnsi"/>
          <w:bCs/>
        </w:rPr>
        <w:t>There was no hearing for this item.</w:t>
      </w:r>
    </w:p>
    <w:p w:rsidR="003943AF" w:rsidRPr="00525B39" w:rsidRDefault="003943AF" w:rsidP="003943AF">
      <w:pPr>
        <w:spacing w:before="240" w:line="276" w:lineRule="auto"/>
        <w:rPr>
          <w:rFonts w:asciiTheme="minorHAnsi" w:hAnsiTheme="minorHAnsi"/>
          <w:b/>
          <w:bCs/>
          <w:i/>
          <w:sz w:val="28"/>
          <w:szCs w:val="28"/>
        </w:rPr>
      </w:pPr>
      <w:r w:rsidRPr="00525B39">
        <w:rPr>
          <w:rFonts w:asciiTheme="minorHAnsi" w:hAnsiTheme="minorHAnsi"/>
          <w:b/>
          <w:bCs/>
          <w:i/>
          <w:sz w:val="28"/>
          <w:szCs w:val="28"/>
        </w:rPr>
        <w:t>Consumer comments</w:t>
      </w:r>
    </w:p>
    <w:p w:rsidR="003943AF" w:rsidRPr="00CC5D6C" w:rsidRDefault="003943AF" w:rsidP="00C9624D">
      <w:pPr>
        <w:numPr>
          <w:ilvl w:val="1"/>
          <w:numId w:val="3"/>
        </w:numPr>
        <w:spacing w:after="120"/>
      </w:pPr>
      <w:r w:rsidRPr="00525B39">
        <w:rPr>
          <w:rFonts w:asciiTheme="minorHAnsi" w:hAnsiTheme="minorHAnsi"/>
          <w:bCs/>
        </w:rPr>
        <w:t>The PBAC noted that no consumer comments were received for this item.</w:t>
      </w:r>
    </w:p>
    <w:p w:rsidR="00B60939" w:rsidRPr="005B2CC8" w:rsidRDefault="00B60939" w:rsidP="00E03435">
      <w:pPr>
        <w:pStyle w:val="Heading2"/>
        <w:spacing w:before="240" w:after="120"/>
      </w:pPr>
      <w:r w:rsidRPr="005B2CC8">
        <w:t>Clinical trials</w:t>
      </w:r>
      <w:bookmarkEnd w:id="7"/>
    </w:p>
    <w:p w:rsidR="00862502" w:rsidRPr="000B49C6" w:rsidRDefault="00CC5D6C" w:rsidP="00B8785C">
      <w:pPr>
        <w:pStyle w:val="ListParagraph"/>
        <w:widowControl/>
        <w:numPr>
          <w:ilvl w:val="1"/>
          <w:numId w:val="3"/>
        </w:numPr>
      </w:pPr>
      <w:r>
        <w:t>T</w:t>
      </w:r>
      <w:r w:rsidR="00B8785C" w:rsidRPr="000B49C6">
        <w:t xml:space="preserve">he resubmission was based on two head-to-head randomised trials comparing </w:t>
      </w:r>
      <w:proofErr w:type="spellStart"/>
      <w:r w:rsidR="00B8785C" w:rsidRPr="000B49C6">
        <w:t>bezlotoxumab</w:t>
      </w:r>
      <w:proofErr w:type="spellEnd"/>
      <w:r w:rsidR="00B8785C" w:rsidRPr="000B49C6">
        <w:t xml:space="preserve"> to placebo:  MODIFY </w:t>
      </w:r>
      <w:proofErr w:type="gramStart"/>
      <w:r w:rsidR="00B8785C" w:rsidRPr="000B49C6">
        <w:t>I</w:t>
      </w:r>
      <w:proofErr w:type="gramEnd"/>
      <w:r w:rsidR="00B8785C" w:rsidRPr="000B49C6">
        <w:t xml:space="preserve"> and MODIFY II</w:t>
      </w:r>
      <w:r w:rsidR="00991401">
        <w:t xml:space="preserve">. </w:t>
      </w:r>
      <w:r w:rsidR="00B8785C" w:rsidRPr="000B49C6">
        <w:t>The main clinical trial reports and publications reported data for the total trial population (with patients at low and high risk of CDI recurrence)</w:t>
      </w:r>
      <w:r w:rsidR="00991401">
        <w:t xml:space="preserve">. </w:t>
      </w:r>
      <w:r w:rsidR="00B8785C" w:rsidRPr="000B49C6">
        <w:t xml:space="preserve">A </w:t>
      </w:r>
      <w:r w:rsidR="00B8785C" w:rsidRPr="000B49C6">
        <w:rPr>
          <w:iCs/>
        </w:rPr>
        <w:t>manuscript by</w:t>
      </w:r>
      <w:r w:rsidR="00B8785C" w:rsidRPr="000B49C6">
        <w:t xml:space="preserve"> </w:t>
      </w:r>
      <w:proofErr w:type="spellStart"/>
      <w:r w:rsidR="00B8785C" w:rsidRPr="000B49C6">
        <w:t>Gerding</w:t>
      </w:r>
      <w:proofErr w:type="spellEnd"/>
      <w:r w:rsidR="00B8785C" w:rsidRPr="000B49C6">
        <w:t xml:space="preserve"> </w:t>
      </w:r>
      <w:proofErr w:type="gramStart"/>
      <w:r w:rsidR="00B8785C" w:rsidRPr="00CC5D6C">
        <w:rPr>
          <w:i/>
        </w:rPr>
        <w:t>et</w:t>
      </w:r>
      <w:proofErr w:type="gramEnd"/>
      <w:r w:rsidRPr="00CC5D6C">
        <w:rPr>
          <w:i/>
        </w:rPr>
        <w:t>.</w:t>
      </w:r>
      <w:r w:rsidR="00B8785C" w:rsidRPr="00CC5D6C">
        <w:rPr>
          <w:i/>
        </w:rPr>
        <w:t xml:space="preserve"> al</w:t>
      </w:r>
      <w:r w:rsidRPr="00CC5D6C">
        <w:rPr>
          <w:i/>
        </w:rPr>
        <w:t>.</w:t>
      </w:r>
      <w:r w:rsidR="00B8785C" w:rsidRPr="000B49C6">
        <w:t xml:space="preserve"> 2018</w:t>
      </w:r>
      <w:r w:rsidR="00B8785C" w:rsidRPr="000B49C6">
        <w:rPr>
          <w:rStyle w:val="FootnoteReference"/>
        </w:rPr>
        <w:footnoteReference w:id="2"/>
      </w:r>
      <w:r w:rsidR="00B8785C" w:rsidRPr="000B49C6">
        <w:t xml:space="preserve"> (now published online) presented data on the subgroup of patients with at least one risk factor for CDI recurrence (defined as:</w:t>
      </w:r>
      <w:r w:rsidR="00B8785C" w:rsidRPr="000B49C6">
        <w:rPr>
          <w:iCs/>
        </w:rPr>
        <w:t xml:space="preserve"> age ≥65 years, one or more episodes of CDI within the prior 6 months, immunocompromised, clinically severe CDI or having a </w:t>
      </w:r>
      <w:proofErr w:type="spellStart"/>
      <w:r w:rsidR="00B8785C" w:rsidRPr="000B49C6">
        <w:rPr>
          <w:iCs/>
        </w:rPr>
        <w:t>hypervirulent</w:t>
      </w:r>
      <w:proofErr w:type="spellEnd"/>
      <w:r w:rsidR="00B8785C" w:rsidRPr="000B49C6">
        <w:rPr>
          <w:iCs/>
        </w:rPr>
        <w:t xml:space="preserve"> strain of infection (</w:t>
      </w:r>
      <w:proofErr w:type="spellStart"/>
      <w:r w:rsidR="00B8785C" w:rsidRPr="000B49C6">
        <w:rPr>
          <w:iCs/>
        </w:rPr>
        <w:t>ribotypes</w:t>
      </w:r>
      <w:proofErr w:type="spellEnd"/>
      <w:r w:rsidR="00B8785C" w:rsidRPr="000B49C6">
        <w:rPr>
          <w:iCs/>
        </w:rPr>
        <w:t xml:space="preserve"> 027, 078 or 244)).</w:t>
      </w:r>
    </w:p>
    <w:p w:rsidR="00CC5D6C" w:rsidRDefault="00CF6935" w:rsidP="00CF6935">
      <w:pPr>
        <w:pStyle w:val="ListParagraph"/>
        <w:widowControl/>
        <w:numPr>
          <w:ilvl w:val="1"/>
          <w:numId w:val="3"/>
        </w:numPr>
      </w:pPr>
      <w:r w:rsidRPr="000B49C6">
        <w:t xml:space="preserve">The dose of </w:t>
      </w:r>
      <w:proofErr w:type="spellStart"/>
      <w:r w:rsidRPr="000B49C6">
        <w:t>bezlotoxumab</w:t>
      </w:r>
      <w:proofErr w:type="spellEnd"/>
      <w:r w:rsidRPr="000B49C6">
        <w:t xml:space="preserve"> administered in the trials was 10mg/kg as a single infusion</w:t>
      </w:r>
      <w:r w:rsidR="00991401">
        <w:t xml:space="preserve">. </w:t>
      </w:r>
      <w:proofErr w:type="spellStart"/>
      <w:r w:rsidR="00CC5D6C" w:rsidRPr="000B49C6">
        <w:t>Bezlotoxumab</w:t>
      </w:r>
      <w:proofErr w:type="spellEnd"/>
      <w:r w:rsidR="00CC5D6C" w:rsidRPr="000B49C6">
        <w:t xml:space="preserve"> was administered alongside </w:t>
      </w:r>
      <w:proofErr w:type="spellStart"/>
      <w:r w:rsidR="00CC5D6C" w:rsidRPr="000B49C6">
        <w:t>SoC</w:t>
      </w:r>
      <w:proofErr w:type="spellEnd"/>
      <w:r w:rsidR="00CC5D6C" w:rsidRPr="000B49C6">
        <w:t xml:space="preserve"> oral antibiotics in the trials</w:t>
      </w:r>
      <w:r w:rsidR="00CC5D6C">
        <w:t xml:space="preserve">. </w:t>
      </w:r>
      <w:r w:rsidR="00CC5D6C" w:rsidRPr="000B49C6">
        <w:t xml:space="preserve">Antibiotic therapy (metronidazole (1.2-1.5g/day), vancomycin (125-500mg every 6 hours) or </w:t>
      </w:r>
      <w:proofErr w:type="spellStart"/>
      <w:r w:rsidR="00CC5D6C" w:rsidRPr="000B49C6">
        <w:t>fidaxomicin</w:t>
      </w:r>
      <w:proofErr w:type="spellEnd"/>
      <w:r w:rsidR="00CC5D6C" w:rsidRPr="000B49C6">
        <w:t xml:space="preserve"> (200mg daily)) was selected by the patient’s treating physician and was administered for 10-14 days</w:t>
      </w:r>
      <w:r w:rsidR="00CC5D6C">
        <w:t xml:space="preserve">. </w:t>
      </w:r>
      <w:r w:rsidR="00CC5D6C" w:rsidRPr="000B49C6">
        <w:t xml:space="preserve">42.6%, 52.9% and 4.6% of high risk patients in the </w:t>
      </w:r>
      <w:proofErr w:type="spellStart"/>
      <w:r w:rsidR="00CC5D6C" w:rsidRPr="000B49C6">
        <w:t>bezlotoxumab</w:t>
      </w:r>
      <w:proofErr w:type="spellEnd"/>
      <w:r w:rsidR="00CC5D6C" w:rsidRPr="000B49C6">
        <w:t xml:space="preserve"> arm of the trials received therapy with metronidazole, vancomycin and </w:t>
      </w:r>
      <w:proofErr w:type="spellStart"/>
      <w:r w:rsidR="00CC5D6C" w:rsidRPr="000B49C6">
        <w:t>fidaxomicin</w:t>
      </w:r>
      <w:proofErr w:type="spellEnd"/>
      <w:r w:rsidR="00CC5D6C" w:rsidRPr="000B49C6">
        <w:t xml:space="preserve"> respectively</w:t>
      </w:r>
      <w:r w:rsidR="00CC5D6C">
        <w:t xml:space="preserve">. </w:t>
      </w:r>
      <w:r w:rsidR="00CC5D6C" w:rsidRPr="000B49C6">
        <w:t xml:space="preserve">Patients taking oral vancomycin or </w:t>
      </w:r>
      <w:proofErr w:type="spellStart"/>
      <w:r w:rsidR="00CC5D6C" w:rsidRPr="000B49C6">
        <w:t>fidaxomicin</w:t>
      </w:r>
      <w:proofErr w:type="spellEnd"/>
      <w:r w:rsidR="00CC5D6C" w:rsidRPr="000B49C6">
        <w:t xml:space="preserve"> were also able to take IV metronidazole (1500mg/day).</w:t>
      </w:r>
    </w:p>
    <w:p w:rsidR="00CF6935" w:rsidRPr="000B49C6" w:rsidRDefault="00CF6935" w:rsidP="00C85DBC">
      <w:pPr>
        <w:pStyle w:val="ListParagraph"/>
        <w:widowControl/>
        <w:numPr>
          <w:ilvl w:val="1"/>
          <w:numId w:val="3"/>
        </w:numPr>
      </w:pPr>
      <w:r w:rsidRPr="000B49C6">
        <w:t>The predefined trial outcomes included CDI recurrence (primary outcome) and global cure (secondary outcome)</w:t>
      </w:r>
      <w:r w:rsidR="00991401">
        <w:t xml:space="preserve">. </w:t>
      </w:r>
      <w:r w:rsidR="00C85DBC" w:rsidRPr="000B49C6">
        <w:t>In contrast to recurrence, global cure required patients to first obtain clinical cure of the baseline episode AND have no CDI recurrence</w:t>
      </w:r>
      <w:r w:rsidR="00991401">
        <w:t xml:space="preserve">. </w:t>
      </w:r>
      <w:r w:rsidR="00C85DBC" w:rsidRPr="000B49C6">
        <w:t xml:space="preserve">Clinical cure </w:t>
      </w:r>
      <w:r w:rsidR="0027401D" w:rsidRPr="000B49C6">
        <w:t xml:space="preserve">was an exploratory outcome in the trials and was </w:t>
      </w:r>
      <w:r w:rsidR="00C85DBC" w:rsidRPr="000B49C6">
        <w:t>defined as: achieving resolution of diarrhoea within 14</w:t>
      </w:r>
      <w:r w:rsidR="00DE7B27" w:rsidRPr="000B49C6">
        <w:t xml:space="preserve"> </w:t>
      </w:r>
      <w:r w:rsidR="00C85DBC" w:rsidRPr="000B49C6">
        <w:t>day</w:t>
      </w:r>
      <w:r w:rsidR="00DE7B27" w:rsidRPr="000B49C6">
        <w:t>s</w:t>
      </w:r>
      <w:r w:rsidR="00C85DBC" w:rsidRPr="000B49C6">
        <w:t xml:space="preserve"> of treatment with </w:t>
      </w:r>
      <w:proofErr w:type="spellStart"/>
      <w:r w:rsidR="00C85DBC" w:rsidRPr="000B49C6">
        <w:t>SoC</w:t>
      </w:r>
      <w:proofErr w:type="spellEnd"/>
      <w:r w:rsidR="00C85DBC" w:rsidRPr="000B49C6">
        <w:t xml:space="preserve"> antibiotics</w:t>
      </w:r>
      <w:r w:rsidR="00991401">
        <w:t xml:space="preserve">. </w:t>
      </w:r>
      <w:r w:rsidRPr="000B49C6">
        <w:t>In its consideration of the November 2017 submission</w:t>
      </w:r>
      <w:r w:rsidR="00CC5D6C">
        <w:t xml:space="preserve"> </w:t>
      </w:r>
      <w:r w:rsidRPr="000B49C6">
        <w:t xml:space="preserve">the PBAC noted and agreed with the FDA who considered global cure to be a more relevant endpoint </w:t>
      </w:r>
      <w:r w:rsidRPr="000B49C6">
        <w:lastRenderedPageBreak/>
        <w:t xml:space="preserve">as it is ‘more interpretable’, since clinically, the goal would be to get cured, stay alive, and remain free of recurrent infection over time (Paragraph 6.8; </w:t>
      </w:r>
      <w:proofErr w:type="spellStart"/>
      <w:r w:rsidRPr="000B49C6">
        <w:t>Bezlotoxumab</w:t>
      </w:r>
      <w:proofErr w:type="spellEnd"/>
      <w:r w:rsidRPr="000B49C6">
        <w:t xml:space="preserve"> November 2017 PSD).</w:t>
      </w:r>
      <w:r w:rsidR="00CC5D6C">
        <w:t xml:space="preserve"> </w:t>
      </w:r>
    </w:p>
    <w:p w:rsidR="00CF6935" w:rsidRDefault="00CF6935" w:rsidP="00CC5D6C">
      <w:pPr>
        <w:pStyle w:val="ListParagraph"/>
        <w:widowControl/>
        <w:numPr>
          <w:ilvl w:val="1"/>
          <w:numId w:val="3"/>
        </w:numPr>
      </w:pPr>
      <w:r w:rsidRPr="000B49C6">
        <w:t xml:space="preserve">The resubmission argued that CDI recurrence was the most relevant measure of efficacy because: </w:t>
      </w:r>
      <w:proofErr w:type="spellStart"/>
      <w:r w:rsidRPr="000B49C6">
        <w:t>i</w:t>
      </w:r>
      <w:proofErr w:type="spellEnd"/>
      <w:r w:rsidRPr="000B49C6">
        <w:t xml:space="preserve">) </w:t>
      </w:r>
      <w:proofErr w:type="spellStart"/>
      <w:r w:rsidRPr="000B49C6">
        <w:t>bezlotoxumab</w:t>
      </w:r>
      <w:proofErr w:type="spellEnd"/>
      <w:r w:rsidRPr="000B49C6">
        <w:t xml:space="preserve"> has no impact on initial clinical cure</w:t>
      </w:r>
      <w:r w:rsidR="00CC5D6C">
        <w:t>; and,</w:t>
      </w:r>
      <w:r w:rsidRPr="000B49C6">
        <w:t xml:space="preserve"> ii) exclusion of patients not achieving initial cure occurred equally for both arms </w:t>
      </w:r>
      <w:r w:rsidR="00CC5D6C">
        <w:t xml:space="preserve">and </w:t>
      </w:r>
      <w:r w:rsidRPr="000B49C6">
        <w:t>as such the relative risk was not biased</w:t>
      </w:r>
      <w:r w:rsidR="00991401">
        <w:t xml:space="preserve">. </w:t>
      </w:r>
      <w:r w:rsidRPr="000B49C6">
        <w:t xml:space="preserve">However, </w:t>
      </w:r>
      <w:r w:rsidR="00CC5D6C">
        <w:t>u</w:t>
      </w:r>
      <w:r w:rsidRPr="000B49C6">
        <w:t xml:space="preserve">sing recurrence rate was likely to overestimate the true benefit of </w:t>
      </w:r>
      <w:proofErr w:type="spellStart"/>
      <w:r w:rsidRPr="000B49C6">
        <w:t>bezlotoxumab</w:t>
      </w:r>
      <w:proofErr w:type="spellEnd"/>
      <w:r w:rsidRPr="000B49C6">
        <w:t>, as patients who do not obtain clinical cure from their index CDI episode would not be able to relapse</w:t>
      </w:r>
      <w:r w:rsidR="00CC5D6C">
        <w:t xml:space="preserve">, but would have received </w:t>
      </w:r>
      <w:proofErr w:type="spellStart"/>
      <w:r w:rsidR="00CC5D6C">
        <w:t>bezlotoxumab</w:t>
      </w:r>
      <w:proofErr w:type="spellEnd"/>
      <w:r w:rsidR="00CC5D6C">
        <w:t xml:space="preserve"> regardless</w:t>
      </w:r>
      <w:r w:rsidR="00991401">
        <w:t xml:space="preserve">. </w:t>
      </w:r>
      <w:r w:rsidRPr="000B49C6">
        <w:t xml:space="preserve">Both the EMA and the FDA </w:t>
      </w:r>
      <w:r w:rsidR="00CC5D6C">
        <w:t>considered</w:t>
      </w:r>
      <w:r w:rsidRPr="000B49C6">
        <w:t xml:space="preserve"> that global cure would be a more interpretable clinical endpoint</w:t>
      </w:r>
      <w:r w:rsidR="00991401">
        <w:t xml:space="preserve">. </w:t>
      </w:r>
      <w:r w:rsidR="00CC5D6C">
        <w:t>G</w:t>
      </w:r>
      <w:r w:rsidRPr="000B49C6">
        <w:t xml:space="preserve">lobal cure </w:t>
      </w:r>
      <w:r w:rsidR="00CC5D6C" w:rsidRPr="000B49C6">
        <w:t>w</w:t>
      </w:r>
      <w:r w:rsidR="00CC5D6C">
        <w:t>as</w:t>
      </w:r>
      <w:r w:rsidR="00CC5D6C" w:rsidRPr="000B49C6">
        <w:t xml:space="preserve"> </w:t>
      </w:r>
      <w:r w:rsidRPr="000B49C6">
        <w:t xml:space="preserve">also considered to maintain the initial randomisation of the trial, whereas the population evaluated only for recurrence was no longer randomised i.e. patients who did not achieve an initial cure were no longer included in the recurrence analysis (Johnson </w:t>
      </w:r>
      <w:r w:rsidRPr="00CC5D6C">
        <w:rPr>
          <w:i/>
        </w:rPr>
        <w:t>et</w:t>
      </w:r>
      <w:r w:rsidR="00CC5D6C" w:rsidRPr="00CC5D6C">
        <w:rPr>
          <w:i/>
        </w:rPr>
        <w:t>.</w:t>
      </w:r>
      <w:r w:rsidRPr="00CC5D6C">
        <w:rPr>
          <w:i/>
        </w:rPr>
        <w:t xml:space="preserve"> al</w:t>
      </w:r>
      <w:r w:rsidR="00CC5D6C" w:rsidRPr="00CC5D6C">
        <w:rPr>
          <w:i/>
        </w:rPr>
        <w:t>.</w:t>
      </w:r>
      <w:r w:rsidRPr="000B49C6">
        <w:t xml:space="preserve"> 2012</w:t>
      </w:r>
      <w:r w:rsidR="00C85DBC" w:rsidRPr="000B49C6">
        <w:t>).</w:t>
      </w:r>
    </w:p>
    <w:p w:rsidR="003943AF" w:rsidRPr="00CC5D6C" w:rsidRDefault="003943AF" w:rsidP="00F4358C">
      <w:pPr>
        <w:keepNext/>
        <w:rPr>
          <w:rFonts w:ascii="Arial Narrow" w:hAnsi="Arial Narrow"/>
          <w:b/>
          <w:sz w:val="20"/>
        </w:rPr>
      </w:pPr>
      <w:r w:rsidRPr="00CC5D6C">
        <w:rPr>
          <w:rFonts w:ascii="Arial Narrow" w:hAnsi="Arial Narrow"/>
          <w:b/>
          <w:sz w:val="20"/>
        </w:rPr>
        <w:lastRenderedPageBreak/>
        <w:t xml:space="preserve">Table </w:t>
      </w:r>
      <w:r w:rsidR="00E82A52">
        <w:rPr>
          <w:rFonts w:ascii="Arial Narrow" w:hAnsi="Arial Narrow"/>
          <w:b/>
          <w:sz w:val="20"/>
        </w:rPr>
        <w:t>3</w:t>
      </w:r>
      <w:r w:rsidRPr="00CC5D6C">
        <w:rPr>
          <w:rFonts w:ascii="Arial Narrow" w:hAnsi="Arial Narrow"/>
          <w:b/>
          <w:sz w:val="20"/>
        </w:rPr>
        <w:t>: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37"/>
        <w:gridCol w:w="4856"/>
        <w:gridCol w:w="3090"/>
      </w:tblGrid>
      <w:tr w:rsidR="00CC5D6C" w:rsidRPr="008C3718" w:rsidTr="00F4358C">
        <w:trPr>
          <w:cantSplit/>
          <w:tblHeader/>
        </w:trPr>
        <w:tc>
          <w:tcPr>
            <w:tcW w:w="626" w:type="pct"/>
            <w:vAlign w:val="center"/>
          </w:tcPr>
          <w:p w:rsidR="00CC5D6C" w:rsidRPr="008C3718" w:rsidRDefault="00CC5D6C" w:rsidP="00F4358C">
            <w:pPr>
              <w:pStyle w:val="Tabletext"/>
              <w:keepNext/>
              <w:rPr>
                <w:b/>
              </w:rPr>
            </w:pPr>
            <w:r w:rsidRPr="008C3718">
              <w:rPr>
                <w:b/>
              </w:rPr>
              <w:t>Trial ID</w:t>
            </w:r>
          </w:p>
        </w:tc>
        <w:tc>
          <w:tcPr>
            <w:tcW w:w="2673" w:type="pct"/>
            <w:vAlign w:val="center"/>
          </w:tcPr>
          <w:p w:rsidR="00CC5D6C" w:rsidRPr="008C3718" w:rsidRDefault="00CC5D6C" w:rsidP="00F4358C">
            <w:pPr>
              <w:pStyle w:val="Tabletext"/>
              <w:keepNext/>
              <w:jc w:val="center"/>
              <w:rPr>
                <w:b/>
              </w:rPr>
            </w:pPr>
            <w:r w:rsidRPr="008C3718">
              <w:rPr>
                <w:b/>
              </w:rPr>
              <w:t>Protocol title/ Publication title</w:t>
            </w:r>
          </w:p>
        </w:tc>
        <w:tc>
          <w:tcPr>
            <w:tcW w:w="1701" w:type="pct"/>
            <w:vAlign w:val="center"/>
          </w:tcPr>
          <w:p w:rsidR="00CC5D6C" w:rsidRPr="008C3718" w:rsidRDefault="00CC5D6C" w:rsidP="00F4358C">
            <w:pPr>
              <w:pStyle w:val="Tabletext"/>
              <w:keepNext/>
              <w:jc w:val="center"/>
              <w:rPr>
                <w:b/>
              </w:rPr>
            </w:pPr>
            <w:r w:rsidRPr="008C3718">
              <w:rPr>
                <w:b/>
              </w:rPr>
              <w:t>Publication citation</w:t>
            </w:r>
          </w:p>
        </w:tc>
      </w:tr>
      <w:tr w:rsidR="00CC5D6C" w:rsidRPr="008C3718" w:rsidTr="00F4358C">
        <w:trPr>
          <w:cantSplit/>
          <w:tblHeader/>
        </w:trPr>
        <w:tc>
          <w:tcPr>
            <w:tcW w:w="5000" w:type="pct"/>
            <w:gridSpan w:val="3"/>
            <w:tcBorders>
              <w:bottom w:val="single" w:sz="4" w:space="0" w:color="auto"/>
            </w:tcBorders>
            <w:vAlign w:val="center"/>
          </w:tcPr>
          <w:p w:rsidR="00CC5D6C" w:rsidRPr="008C3718" w:rsidRDefault="00CC5D6C" w:rsidP="00F4358C">
            <w:pPr>
              <w:pStyle w:val="Tabletext"/>
              <w:keepNext/>
              <w:rPr>
                <w:b/>
              </w:rPr>
            </w:pPr>
            <w:r w:rsidRPr="008C3718">
              <w:rPr>
                <w:b/>
              </w:rPr>
              <w:t>Direct randomised trial(s)</w:t>
            </w:r>
          </w:p>
        </w:tc>
      </w:tr>
      <w:tr w:rsidR="00CC5D6C" w:rsidRPr="008C3718" w:rsidTr="00F4358C">
        <w:trPr>
          <w:cantSplit/>
          <w:trHeight w:val="295"/>
        </w:trPr>
        <w:tc>
          <w:tcPr>
            <w:tcW w:w="626" w:type="pct"/>
            <w:shd w:val="clear" w:color="auto" w:fill="auto"/>
            <w:vAlign w:val="center"/>
          </w:tcPr>
          <w:p w:rsidR="00CC5D6C" w:rsidRPr="008C3718" w:rsidRDefault="00CC5D6C" w:rsidP="00F4358C">
            <w:pPr>
              <w:pStyle w:val="Tabletext"/>
              <w:keepNext/>
              <w:rPr>
                <w:rFonts w:ascii="Times" w:hAnsi="Times"/>
              </w:rPr>
            </w:pPr>
            <w:r w:rsidRPr="008C3718">
              <w:t>MODIFY I</w:t>
            </w:r>
          </w:p>
        </w:tc>
        <w:tc>
          <w:tcPr>
            <w:tcW w:w="2673" w:type="pct"/>
            <w:shd w:val="clear" w:color="auto" w:fill="auto"/>
            <w:vAlign w:val="center"/>
          </w:tcPr>
          <w:p w:rsidR="00CC5D6C" w:rsidRPr="008C3718" w:rsidRDefault="00CC5D6C" w:rsidP="00F4358C">
            <w:pPr>
              <w:pStyle w:val="NoSpacing"/>
              <w:keepNext/>
              <w:shd w:val="clear" w:color="auto" w:fill="D9D9D9" w:themeFill="background1" w:themeFillShade="D9"/>
              <w:rPr>
                <w:rFonts w:ascii="Arial Narrow" w:hAnsi="Arial Narrow" w:cstheme="minorBidi"/>
                <w:sz w:val="20"/>
              </w:rPr>
            </w:pPr>
            <w:r w:rsidRPr="008C3718">
              <w:rPr>
                <w:rFonts w:ascii="Arial Narrow" w:hAnsi="Arial Narrow" w:cstheme="minorBidi"/>
                <w:sz w:val="20"/>
              </w:rPr>
              <w:t xml:space="preserve">A Phase III, Randomized, Double-Blind, Placebo-Controlled, Adaptive Design Study of the Efficacy, Safety, and Tolerability of a Single Infusion of MK-3415 (Human Monoclonal Antibody to Clostridium difficile toxin A), MK-3067 (Human Monoclonal Antibody to </w:t>
            </w:r>
            <w:r w:rsidRPr="008C3718">
              <w:rPr>
                <w:rFonts w:ascii="Arial Narrow" w:hAnsi="Arial Narrow" w:cstheme="minorBidi"/>
                <w:i/>
                <w:iCs/>
                <w:sz w:val="20"/>
              </w:rPr>
              <w:t>C. difficile</w:t>
            </w:r>
            <w:r w:rsidRPr="008C3718">
              <w:rPr>
                <w:rFonts w:ascii="Arial Narrow" w:hAnsi="Arial Narrow" w:cstheme="minorBidi"/>
                <w:sz w:val="20"/>
              </w:rPr>
              <w:t xml:space="preserve"> toxin B), and MK-3415A (Human Monoclonal Antibodies to </w:t>
            </w:r>
            <w:r w:rsidRPr="008C3718">
              <w:rPr>
                <w:rFonts w:ascii="Arial Narrow" w:hAnsi="Arial Narrow" w:cstheme="minorBidi"/>
                <w:i/>
                <w:iCs/>
                <w:sz w:val="20"/>
              </w:rPr>
              <w:t>C. difficile</w:t>
            </w:r>
            <w:r w:rsidRPr="008C3718">
              <w:rPr>
                <w:rFonts w:ascii="Arial Narrow" w:hAnsi="Arial Narrow" w:cstheme="minorBidi"/>
                <w:sz w:val="20"/>
              </w:rPr>
              <w:t xml:space="preserve"> toxin A and toxin B) in Patient Receiving Antibiotic Therapy for </w:t>
            </w:r>
            <w:r w:rsidRPr="008C3718">
              <w:rPr>
                <w:rFonts w:ascii="Arial Narrow" w:hAnsi="Arial Narrow" w:cstheme="minorBidi"/>
                <w:i/>
                <w:iCs/>
                <w:sz w:val="20"/>
              </w:rPr>
              <w:t>C. difficile</w:t>
            </w:r>
            <w:r w:rsidRPr="008C3718">
              <w:rPr>
                <w:rFonts w:ascii="Arial Narrow" w:hAnsi="Arial Narrow" w:cstheme="minorBidi"/>
                <w:sz w:val="20"/>
              </w:rPr>
              <w:t xml:space="preserve"> Infection (MODIFY I). </w:t>
            </w:r>
          </w:p>
          <w:p w:rsidR="00CC5D6C" w:rsidRPr="008C3718" w:rsidRDefault="00CC5D6C" w:rsidP="00F4358C">
            <w:pPr>
              <w:pStyle w:val="TableText0"/>
              <w:shd w:val="clear" w:color="auto" w:fill="D9D9D9" w:themeFill="background1" w:themeFillShade="D9"/>
              <w:spacing w:before="0" w:after="0"/>
              <w:jc w:val="both"/>
              <w:rPr>
                <w:szCs w:val="20"/>
              </w:rPr>
            </w:pPr>
          </w:p>
          <w:p w:rsidR="00CC5D6C" w:rsidRPr="008C3718" w:rsidRDefault="00CC5D6C" w:rsidP="00F4358C">
            <w:pPr>
              <w:pStyle w:val="NoSpacing"/>
              <w:keepNext/>
              <w:shd w:val="clear" w:color="auto" w:fill="D9D9D9" w:themeFill="background1" w:themeFillShade="D9"/>
              <w:rPr>
                <w:rFonts w:ascii="Arial Narrow" w:hAnsi="Arial Narrow" w:cstheme="minorBidi"/>
                <w:sz w:val="20"/>
              </w:rPr>
            </w:pPr>
            <w:r w:rsidRPr="008C3718">
              <w:rPr>
                <w:rFonts w:ascii="Arial Narrow" w:hAnsi="Arial Narrow" w:cstheme="minorBidi"/>
                <w:sz w:val="20"/>
              </w:rPr>
              <w:t xml:space="preserve">Wilcox et al., </w:t>
            </w:r>
            <w:proofErr w:type="spellStart"/>
            <w:r w:rsidRPr="008C3718">
              <w:rPr>
                <w:rFonts w:ascii="Arial Narrow" w:hAnsi="Arial Narrow" w:cstheme="minorBidi"/>
                <w:sz w:val="20"/>
              </w:rPr>
              <w:t>Bezlotoxumab</w:t>
            </w:r>
            <w:proofErr w:type="spellEnd"/>
            <w:r w:rsidRPr="008C3718">
              <w:rPr>
                <w:rFonts w:ascii="Arial Narrow" w:hAnsi="Arial Narrow" w:cstheme="minorBidi"/>
                <w:sz w:val="20"/>
              </w:rPr>
              <w:t xml:space="preserve"> for Prevention of Recurrent Clostridium difficile Infection. </w:t>
            </w:r>
          </w:p>
          <w:p w:rsidR="00CC5D6C" w:rsidRPr="008C3718" w:rsidRDefault="00CC5D6C" w:rsidP="00F4358C">
            <w:pPr>
              <w:pStyle w:val="NoSpacing"/>
              <w:keepNext/>
              <w:shd w:val="clear" w:color="auto" w:fill="D9D9D9" w:themeFill="background1" w:themeFillShade="D9"/>
              <w:rPr>
                <w:rFonts w:ascii="Arial Narrow" w:hAnsi="Arial Narrow" w:cstheme="minorBidi"/>
                <w:sz w:val="20"/>
              </w:rPr>
            </w:pPr>
          </w:p>
          <w:p w:rsidR="00CC5D6C" w:rsidRPr="008C3718" w:rsidRDefault="00CC5D6C" w:rsidP="00F4358C">
            <w:pPr>
              <w:pStyle w:val="Tabletext"/>
              <w:keepNext/>
              <w:shd w:val="clear" w:color="auto" w:fill="D9D9D9" w:themeFill="background1" w:themeFillShade="D9"/>
              <w:jc w:val="both"/>
            </w:pPr>
            <w:r w:rsidRPr="008C3718">
              <w:t xml:space="preserve">Kelly CP, </w:t>
            </w:r>
            <w:proofErr w:type="spellStart"/>
            <w:r w:rsidRPr="008C3718">
              <w:t>Gerding</w:t>
            </w:r>
            <w:proofErr w:type="spellEnd"/>
            <w:r w:rsidRPr="008C3718">
              <w:t xml:space="preserve"> DN, </w:t>
            </w:r>
            <w:proofErr w:type="spellStart"/>
            <w:r w:rsidRPr="008C3718">
              <w:t>Rahav</w:t>
            </w:r>
            <w:proofErr w:type="spellEnd"/>
            <w:r w:rsidRPr="008C3718">
              <w:t xml:space="preserve"> G, The monoclonal antibody, </w:t>
            </w:r>
            <w:proofErr w:type="spellStart"/>
            <w:r w:rsidRPr="008C3718">
              <w:t>bezlotoxumab</w:t>
            </w:r>
            <w:proofErr w:type="spellEnd"/>
            <w:r w:rsidRPr="008C3718">
              <w:t xml:space="preserve"> targeting </w:t>
            </w:r>
            <w:r w:rsidRPr="008C3718">
              <w:rPr>
                <w:i/>
                <w:iCs/>
              </w:rPr>
              <w:t>C. Difficile</w:t>
            </w:r>
            <w:r w:rsidRPr="008C3718">
              <w:t xml:space="preserve"> toxin B shows efficacy in preventing recurrent </w:t>
            </w:r>
            <w:r w:rsidRPr="008C3718">
              <w:rPr>
                <w:i/>
                <w:iCs/>
              </w:rPr>
              <w:t>C. Difficile</w:t>
            </w:r>
            <w:r w:rsidRPr="008C3718">
              <w:t xml:space="preserve"> infection (CDI) in patients at high risk of recurrence or of CDI-related adverse outcomes (Abstract)</w:t>
            </w:r>
          </w:p>
          <w:p w:rsidR="00CC5D6C" w:rsidRPr="008C3718" w:rsidRDefault="00CC5D6C" w:rsidP="00F4358C">
            <w:pPr>
              <w:pStyle w:val="Tabletext"/>
              <w:keepNext/>
              <w:jc w:val="both"/>
            </w:pPr>
          </w:p>
          <w:p w:rsidR="00CC5D6C" w:rsidRPr="008C3718" w:rsidRDefault="00CC5D6C" w:rsidP="00F4358C">
            <w:pPr>
              <w:pStyle w:val="Tabletext"/>
              <w:keepNext/>
              <w:jc w:val="both"/>
            </w:pPr>
            <w:proofErr w:type="spellStart"/>
            <w:r w:rsidRPr="008C3718">
              <w:t>Prabhu</w:t>
            </w:r>
            <w:proofErr w:type="spellEnd"/>
            <w:r w:rsidRPr="008C3718">
              <w:t xml:space="preserve"> VS, </w:t>
            </w:r>
            <w:proofErr w:type="spellStart"/>
            <w:r w:rsidRPr="008C3718">
              <w:t>Cornely</w:t>
            </w:r>
            <w:proofErr w:type="spellEnd"/>
            <w:r w:rsidRPr="008C3718">
              <w:t xml:space="preserve"> OA, Golan Y, </w:t>
            </w:r>
            <w:proofErr w:type="spellStart"/>
            <w:r w:rsidRPr="008C3718">
              <w:t>Dubberke</w:t>
            </w:r>
            <w:proofErr w:type="spellEnd"/>
            <w:r w:rsidRPr="008C3718">
              <w:t xml:space="preserve"> ER, </w:t>
            </w:r>
            <w:proofErr w:type="spellStart"/>
            <w:r w:rsidRPr="008C3718">
              <w:t>Heimann</w:t>
            </w:r>
            <w:proofErr w:type="spellEnd"/>
            <w:r w:rsidRPr="008C3718">
              <w:t xml:space="preserve"> SM, Hanson ME, Liao J, </w:t>
            </w:r>
            <w:proofErr w:type="spellStart"/>
            <w:r w:rsidRPr="008C3718">
              <w:t>Pedley</w:t>
            </w:r>
            <w:proofErr w:type="spellEnd"/>
            <w:r w:rsidRPr="008C3718">
              <w:t xml:space="preserve"> A, Dorr MB, Marcella S, Thirty-Day Readmissions in Hospitalized Patients Who Received </w:t>
            </w:r>
            <w:proofErr w:type="spellStart"/>
            <w:r w:rsidRPr="008C3718">
              <w:t>Bezlotoxumab</w:t>
            </w:r>
            <w:proofErr w:type="spellEnd"/>
            <w:r w:rsidRPr="008C3718">
              <w:t xml:space="preserve"> with Antibacterial Drug Treatment for Clostridium difficile Infection</w:t>
            </w:r>
          </w:p>
          <w:p w:rsidR="00CC5D6C" w:rsidRPr="008C3718" w:rsidRDefault="00CC5D6C" w:rsidP="00F4358C">
            <w:pPr>
              <w:pStyle w:val="Tabletext"/>
              <w:keepNext/>
              <w:jc w:val="both"/>
            </w:pPr>
          </w:p>
          <w:p w:rsidR="00CC5D6C" w:rsidRPr="008C3718" w:rsidRDefault="00CC5D6C" w:rsidP="00F4358C">
            <w:pPr>
              <w:pStyle w:val="Tabletext"/>
              <w:keepNext/>
              <w:rPr>
                <w:szCs w:val="18"/>
              </w:rPr>
            </w:pPr>
            <w:proofErr w:type="spellStart"/>
            <w:r w:rsidRPr="008C3718">
              <w:rPr>
                <w:szCs w:val="18"/>
              </w:rPr>
              <w:t>Zar</w:t>
            </w:r>
            <w:proofErr w:type="spellEnd"/>
            <w:r w:rsidRPr="008C3718">
              <w:rPr>
                <w:szCs w:val="18"/>
              </w:rPr>
              <w:t xml:space="preserve"> FA, In C difficile infection, adding IV </w:t>
            </w:r>
            <w:proofErr w:type="spellStart"/>
            <w:r w:rsidRPr="008C3718">
              <w:rPr>
                <w:szCs w:val="18"/>
              </w:rPr>
              <w:t>bezlotoxumab</w:t>
            </w:r>
            <w:proofErr w:type="spellEnd"/>
            <w:r w:rsidRPr="008C3718">
              <w:rPr>
                <w:szCs w:val="18"/>
              </w:rPr>
              <w:t xml:space="preserve"> to standard antibiotics reduced recurrence at 12 weeks</w:t>
            </w:r>
          </w:p>
          <w:p w:rsidR="00CC5D6C" w:rsidRPr="008C3718" w:rsidRDefault="00CC5D6C" w:rsidP="00F4358C">
            <w:pPr>
              <w:pStyle w:val="Tabletext"/>
              <w:keepNext/>
              <w:rPr>
                <w:szCs w:val="18"/>
              </w:rPr>
            </w:pPr>
          </w:p>
          <w:p w:rsidR="00CC5D6C" w:rsidRPr="008C3718" w:rsidRDefault="00CC5D6C" w:rsidP="00F4358C">
            <w:pPr>
              <w:pStyle w:val="Tabletext"/>
              <w:keepNext/>
              <w:rPr>
                <w:szCs w:val="18"/>
              </w:rPr>
            </w:pPr>
            <w:proofErr w:type="spellStart"/>
            <w:r w:rsidRPr="008C3718">
              <w:rPr>
                <w:szCs w:val="18"/>
              </w:rPr>
              <w:t>Yacyshyn</w:t>
            </w:r>
            <w:proofErr w:type="spellEnd"/>
            <w:r w:rsidRPr="008C3718">
              <w:rPr>
                <w:szCs w:val="18"/>
              </w:rPr>
              <w:t xml:space="preserve"> B, </w:t>
            </w:r>
            <w:proofErr w:type="spellStart"/>
            <w:r w:rsidRPr="008C3718">
              <w:rPr>
                <w:szCs w:val="18"/>
              </w:rPr>
              <w:t>Rahav</w:t>
            </w:r>
            <w:proofErr w:type="spellEnd"/>
            <w:r w:rsidRPr="008C3718">
              <w:rPr>
                <w:szCs w:val="18"/>
              </w:rPr>
              <w:t xml:space="preserve"> G, Kao DH, Ellison M, </w:t>
            </w:r>
            <w:proofErr w:type="spellStart"/>
            <w:r w:rsidRPr="008C3718">
              <w:rPr>
                <w:szCs w:val="18"/>
              </w:rPr>
              <w:t>Pedley</w:t>
            </w:r>
            <w:proofErr w:type="spellEnd"/>
            <w:r w:rsidRPr="008C3718">
              <w:rPr>
                <w:szCs w:val="18"/>
              </w:rPr>
              <w:t xml:space="preserve"> A, Eves K, Hanson ME, </w:t>
            </w:r>
            <w:proofErr w:type="spellStart"/>
            <w:r w:rsidRPr="008C3718">
              <w:rPr>
                <w:szCs w:val="18"/>
              </w:rPr>
              <w:t>Guris</w:t>
            </w:r>
            <w:proofErr w:type="spellEnd"/>
            <w:r w:rsidRPr="008C3718">
              <w:rPr>
                <w:szCs w:val="18"/>
              </w:rPr>
              <w:t xml:space="preserve"> D, Dorr MB, Efficacy of </w:t>
            </w:r>
            <w:proofErr w:type="spellStart"/>
            <w:r w:rsidRPr="008C3718">
              <w:rPr>
                <w:szCs w:val="18"/>
              </w:rPr>
              <w:t>bezlotoxumab</w:t>
            </w:r>
            <w:proofErr w:type="spellEnd"/>
            <w:r w:rsidRPr="008C3718">
              <w:rPr>
                <w:szCs w:val="18"/>
              </w:rPr>
              <w:t xml:space="preserve"> in patients with recurrent clostridium difficile infection (CDI): Pooled analysis of data from the modify trials</w:t>
            </w:r>
          </w:p>
        </w:tc>
        <w:tc>
          <w:tcPr>
            <w:tcW w:w="1701" w:type="pct"/>
            <w:shd w:val="clear" w:color="auto" w:fill="auto"/>
          </w:tcPr>
          <w:p w:rsidR="00CC5D6C" w:rsidRPr="008C3718" w:rsidRDefault="00CC5D6C" w:rsidP="00F4358C">
            <w:pPr>
              <w:pStyle w:val="Tabletext"/>
              <w:keepNext/>
              <w:shd w:val="clear" w:color="auto" w:fill="D9D9D9" w:themeFill="background1" w:themeFillShade="D9"/>
              <w:rPr>
                <w:szCs w:val="20"/>
              </w:rPr>
            </w:pPr>
            <w:r w:rsidRPr="008C3718">
              <w:rPr>
                <w:szCs w:val="20"/>
              </w:rPr>
              <w:t>09/10/2015</w:t>
            </w:r>
          </w:p>
          <w:p w:rsidR="00CC5D6C" w:rsidRPr="008C3718" w:rsidRDefault="00CC5D6C" w:rsidP="00F4358C">
            <w:pPr>
              <w:pStyle w:val="Tabletext"/>
              <w:keepNext/>
              <w:shd w:val="clear" w:color="auto" w:fill="D9D9D9" w:themeFill="background1" w:themeFillShade="D9"/>
              <w:rPr>
                <w:szCs w:val="20"/>
              </w:rPr>
            </w:pPr>
          </w:p>
          <w:p w:rsidR="00CC5D6C" w:rsidRPr="008C3718" w:rsidRDefault="00CC5D6C" w:rsidP="00F4358C">
            <w:pPr>
              <w:pStyle w:val="Tabletext"/>
              <w:keepNext/>
              <w:shd w:val="clear" w:color="auto" w:fill="D9D9D9" w:themeFill="background1" w:themeFillShade="D9"/>
              <w:rPr>
                <w:szCs w:val="20"/>
              </w:rPr>
            </w:pPr>
          </w:p>
          <w:p w:rsidR="00CC5D6C" w:rsidRPr="008C3718" w:rsidRDefault="00CC5D6C" w:rsidP="00F4358C">
            <w:pPr>
              <w:pStyle w:val="Tabletext"/>
              <w:keepNext/>
              <w:shd w:val="clear" w:color="auto" w:fill="D9D9D9" w:themeFill="background1" w:themeFillShade="D9"/>
              <w:rPr>
                <w:szCs w:val="20"/>
              </w:rPr>
            </w:pPr>
          </w:p>
          <w:p w:rsidR="00CC5D6C" w:rsidRPr="008C3718" w:rsidRDefault="00CC5D6C" w:rsidP="00F4358C">
            <w:pPr>
              <w:pStyle w:val="Tabletext"/>
              <w:keepNext/>
              <w:shd w:val="clear" w:color="auto" w:fill="D9D9D9" w:themeFill="background1" w:themeFillShade="D9"/>
              <w:rPr>
                <w:szCs w:val="20"/>
              </w:rPr>
            </w:pPr>
          </w:p>
          <w:p w:rsidR="00CC5D6C" w:rsidRPr="008C3718" w:rsidRDefault="00CC5D6C" w:rsidP="00F4358C">
            <w:pPr>
              <w:pStyle w:val="Tabletext"/>
              <w:keepNext/>
              <w:shd w:val="clear" w:color="auto" w:fill="D9D9D9" w:themeFill="background1" w:themeFillShade="D9"/>
              <w:rPr>
                <w:szCs w:val="20"/>
              </w:rPr>
            </w:pPr>
          </w:p>
          <w:p w:rsidR="00CC5D6C" w:rsidRPr="008C3718" w:rsidRDefault="00CC5D6C" w:rsidP="00F4358C">
            <w:pPr>
              <w:pStyle w:val="Tabletext"/>
              <w:keepNext/>
              <w:shd w:val="clear" w:color="auto" w:fill="D9D9D9" w:themeFill="background1" w:themeFillShade="D9"/>
              <w:rPr>
                <w:szCs w:val="20"/>
              </w:rPr>
            </w:pPr>
          </w:p>
          <w:p w:rsidR="00CC5D6C" w:rsidRPr="008C3718" w:rsidRDefault="00CC5D6C" w:rsidP="00F4358C">
            <w:pPr>
              <w:pStyle w:val="Tabletext"/>
              <w:keepNext/>
              <w:shd w:val="clear" w:color="auto" w:fill="D9D9D9" w:themeFill="background1" w:themeFillShade="D9"/>
              <w:rPr>
                <w:szCs w:val="20"/>
              </w:rPr>
            </w:pPr>
          </w:p>
          <w:p w:rsidR="00CC5D6C" w:rsidRPr="008C3718" w:rsidRDefault="00CC5D6C" w:rsidP="00F4358C">
            <w:pPr>
              <w:pStyle w:val="Tabletext"/>
              <w:keepNext/>
              <w:shd w:val="clear" w:color="auto" w:fill="D9D9D9" w:themeFill="background1" w:themeFillShade="D9"/>
              <w:rPr>
                <w:szCs w:val="20"/>
              </w:rPr>
            </w:pPr>
            <w:r w:rsidRPr="008C3718">
              <w:rPr>
                <w:szCs w:val="20"/>
              </w:rPr>
              <w:t>New England Journal of Medicine 2017; 376(4):305-317</w:t>
            </w:r>
          </w:p>
          <w:p w:rsidR="00CC5D6C" w:rsidRPr="008C3718" w:rsidRDefault="00CC5D6C" w:rsidP="00F4358C">
            <w:pPr>
              <w:pStyle w:val="Tabletext"/>
              <w:keepNext/>
              <w:shd w:val="clear" w:color="auto" w:fill="D9D9D9" w:themeFill="background1" w:themeFillShade="D9"/>
              <w:rPr>
                <w:szCs w:val="20"/>
              </w:rPr>
            </w:pPr>
          </w:p>
          <w:p w:rsidR="00CC5D6C" w:rsidRPr="008C3718" w:rsidRDefault="00CC5D6C" w:rsidP="00F4358C">
            <w:pPr>
              <w:pStyle w:val="Tabletext"/>
              <w:keepNext/>
              <w:shd w:val="clear" w:color="auto" w:fill="D9D9D9" w:themeFill="background1" w:themeFillShade="D9"/>
              <w:rPr>
                <w:szCs w:val="20"/>
              </w:rPr>
            </w:pPr>
            <w:r w:rsidRPr="008C3718">
              <w:rPr>
                <w:szCs w:val="20"/>
              </w:rPr>
              <w:t>Digestive Disease Week 2016, San Diego, CA, May 21-24, 2016</w:t>
            </w:r>
          </w:p>
          <w:p w:rsidR="00CC5D6C" w:rsidRPr="008C3718" w:rsidRDefault="00CC5D6C" w:rsidP="00F4358C">
            <w:pPr>
              <w:pStyle w:val="Tabletext"/>
              <w:keepNext/>
              <w:shd w:val="clear" w:color="auto" w:fill="D9D9D9" w:themeFill="background1" w:themeFillShade="D9"/>
              <w:rPr>
                <w:szCs w:val="20"/>
              </w:rPr>
            </w:pPr>
          </w:p>
          <w:p w:rsidR="00CC5D6C" w:rsidRPr="008C3718" w:rsidRDefault="00CC5D6C" w:rsidP="00F4358C">
            <w:pPr>
              <w:pStyle w:val="Tabletext"/>
              <w:keepNext/>
              <w:shd w:val="clear" w:color="auto" w:fill="D9D9D9" w:themeFill="background1" w:themeFillShade="D9"/>
              <w:rPr>
                <w:szCs w:val="20"/>
              </w:rPr>
            </w:pPr>
          </w:p>
          <w:p w:rsidR="00CC5D6C" w:rsidRPr="008C3718" w:rsidRDefault="00CC5D6C" w:rsidP="00F4358C">
            <w:pPr>
              <w:pStyle w:val="Tabletext"/>
              <w:keepNext/>
              <w:rPr>
                <w:szCs w:val="20"/>
              </w:rPr>
            </w:pPr>
          </w:p>
          <w:p w:rsidR="00CC5D6C" w:rsidRPr="008C3718" w:rsidRDefault="00CC5D6C" w:rsidP="00F4358C">
            <w:pPr>
              <w:pStyle w:val="Tabletext"/>
              <w:keepNext/>
              <w:rPr>
                <w:szCs w:val="20"/>
              </w:rPr>
            </w:pPr>
            <w:r w:rsidRPr="008C3718">
              <w:rPr>
                <w:szCs w:val="20"/>
              </w:rPr>
              <w:t>Clinical Infectious Diseases, 1 October 2017, 65(7):1218-1221</w:t>
            </w:r>
          </w:p>
          <w:p w:rsidR="00CC5D6C" w:rsidRPr="008C3718" w:rsidRDefault="00CC5D6C" w:rsidP="00F4358C">
            <w:pPr>
              <w:pStyle w:val="Tabletext"/>
              <w:keepNext/>
              <w:rPr>
                <w:szCs w:val="20"/>
              </w:rPr>
            </w:pPr>
          </w:p>
          <w:p w:rsidR="00CC5D6C" w:rsidRPr="008C3718" w:rsidRDefault="00CC5D6C" w:rsidP="00F4358C">
            <w:pPr>
              <w:pStyle w:val="Tabletext"/>
              <w:keepNext/>
              <w:rPr>
                <w:szCs w:val="20"/>
              </w:rPr>
            </w:pPr>
          </w:p>
          <w:p w:rsidR="00CC5D6C" w:rsidRPr="008C3718" w:rsidRDefault="00CC5D6C" w:rsidP="00F4358C">
            <w:pPr>
              <w:pStyle w:val="Tabletext"/>
              <w:keepNext/>
              <w:rPr>
                <w:szCs w:val="20"/>
              </w:rPr>
            </w:pPr>
          </w:p>
          <w:p w:rsidR="00CC5D6C" w:rsidRPr="008C3718" w:rsidRDefault="00CC5D6C" w:rsidP="00F4358C">
            <w:pPr>
              <w:pStyle w:val="Tabletext"/>
              <w:keepNext/>
              <w:rPr>
                <w:szCs w:val="20"/>
              </w:rPr>
            </w:pPr>
          </w:p>
          <w:p w:rsidR="00CC5D6C" w:rsidRPr="008C3718" w:rsidRDefault="00CC5D6C" w:rsidP="00F4358C">
            <w:pPr>
              <w:pStyle w:val="Tabletext"/>
              <w:keepNext/>
              <w:rPr>
                <w:szCs w:val="20"/>
              </w:rPr>
            </w:pPr>
            <w:r w:rsidRPr="008C3718">
              <w:rPr>
                <w:szCs w:val="20"/>
              </w:rPr>
              <w:t>Annals of Internal Medicine, 16 May 2017, 166(10):JC53</w:t>
            </w:r>
          </w:p>
          <w:p w:rsidR="00CC5D6C" w:rsidRPr="008C3718" w:rsidRDefault="00CC5D6C" w:rsidP="00F4358C">
            <w:pPr>
              <w:pStyle w:val="Tabletext"/>
              <w:keepNext/>
              <w:rPr>
                <w:szCs w:val="20"/>
              </w:rPr>
            </w:pPr>
          </w:p>
          <w:p w:rsidR="00CC5D6C" w:rsidRPr="008C3718" w:rsidRDefault="00CC5D6C" w:rsidP="00F4358C">
            <w:pPr>
              <w:pStyle w:val="Tabletext"/>
              <w:keepNext/>
              <w:rPr>
                <w:szCs w:val="20"/>
              </w:rPr>
            </w:pPr>
            <w:r w:rsidRPr="008C3718">
              <w:rPr>
                <w:szCs w:val="20"/>
              </w:rPr>
              <w:t>Gastroenterology, 2017, 152(5 Supplement 1):S343</w:t>
            </w:r>
          </w:p>
        </w:tc>
      </w:tr>
      <w:tr w:rsidR="00CC5D6C" w:rsidRPr="008C3718" w:rsidTr="00F4358C">
        <w:trPr>
          <w:cantSplit/>
          <w:trHeight w:val="4304"/>
        </w:trPr>
        <w:tc>
          <w:tcPr>
            <w:tcW w:w="626" w:type="pct"/>
            <w:shd w:val="clear" w:color="auto" w:fill="auto"/>
            <w:vAlign w:val="center"/>
          </w:tcPr>
          <w:p w:rsidR="00CC5D6C" w:rsidRPr="008C3718" w:rsidRDefault="00CC5D6C" w:rsidP="00104AC1">
            <w:pPr>
              <w:pStyle w:val="Tabletext"/>
              <w:rPr>
                <w:rFonts w:ascii="Times" w:hAnsi="Times"/>
              </w:rPr>
            </w:pPr>
            <w:r w:rsidRPr="008C3718">
              <w:lastRenderedPageBreak/>
              <w:t>MODIFY II</w:t>
            </w:r>
          </w:p>
        </w:tc>
        <w:tc>
          <w:tcPr>
            <w:tcW w:w="2673" w:type="pct"/>
            <w:shd w:val="clear" w:color="auto" w:fill="auto"/>
          </w:tcPr>
          <w:p w:rsidR="00CC5D6C" w:rsidRPr="008C3718" w:rsidRDefault="00CC5D6C" w:rsidP="00104AC1">
            <w:pPr>
              <w:pStyle w:val="NoSpacing"/>
              <w:shd w:val="clear" w:color="auto" w:fill="D9D9D9" w:themeFill="background1" w:themeFillShade="D9"/>
              <w:rPr>
                <w:rFonts w:ascii="Arial Narrow" w:hAnsi="Arial Narrow"/>
                <w:sz w:val="20"/>
              </w:rPr>
            </w:pPr>
            <w:r w:rsidRPr="008C3718">
              <w:rPr>
                <w:rFonts w:ascii="Arial Narrow" w:hAnsi="Arial Narrow"/>
                <w:sz w:val="20"/>
              </w:rPr>
              <w:t>A Phase III, Randomized, Double-Blind, Placebo-Controlled Study of the Efficacy, Safety and Tolerability of a Single Infusion of MK-6072 (Human Monoclonal Antibody to Clostridium difficile toxin B), and MK3415A (Human Monoclonal Antibodies to Clostridium difficile toxin A and B) in Patients Receiving Antibiotic Therapy for Clostridium difficile Infection (MODIFY II)</w:t>
            </w:r>
          </w:p>
          <w:p w:rsidR="00CC5D6C" w:rsidRPr="008C3718" w:rsidRDefault="00CC5D6C" w:rsidP="00104AC1">
            <w:pPr>
              <w:pStyle w:val="TableText0"/>
              <w:shd w:val="clear" w:color="auto" w:fill="D9D9D9" w:themeFill="background1" w:themeFillShade="D9"/>
              <w:spacing w:before="0" w:after="0"/>
              <w:jc w:val="both"/>
              <w:rPr>
                <w:szCs w:val="20"/>
              </w:rPr>
            </w:pPr>
          </w:p>
          <w:p w:rsidR="00CC5D6C" w:rsidRPr="008C3718" w:rsidRDefault="00CC5D6C" w:rsidP="00104AC1">
            <w:pPr>
              <w:pStyle w:val="NoSpacing"/>
              <w:shd w:val="clear" w:color="auto" w:fill="D9D9D9" w:themeFill="background1" w:themeFillShade="D9"/>
              <w:rPr>
                <w:rFonts w:ascii="Arial Narrow" w:hAnsi="Arial Narrow"/>
                <w:sz w:val="20"/>
              </w:rPr>
            </w:pPr>
            <w:r w:rsidRPr="008C3718">
              <w:rPr>
                <w:rFonts w:ascii="Arial Narrow" w:hAnsi="Arial Narrow"/>
                <w:sz w:val="20"/>
              </w:rPr>
              <w:t xml:space="preserve">Wilcox et al., </w:t>
            </w:r>
            <w:proofErr w:type="spellStart"/>
            <w:r w:rsidRPr="008C3718">
              <w:rPr>
                <w:rFonts w:ascii="Arial Narrow" w:hAnsi="Arial Narrow"/>
                <w:sz w:val="20"/>
              </w:rPr>
              <w:t>Bezlotoxumab</w:t>
            </w:r>
            <w:proofErr w:type="spellEnd"/>
            <w:r w:rsidRPr="008C3718">
              <w:rPr>
                <w:rFonts w:ascii="Arial Narrow" w:hAnsi="Arial Narrow"/>
                <w:sz w:val="20"/>
              </w:rPr>
              <w:t xml:space="preserve"> for Prevention of Recurrent Clostridium difficile Infection. </w:t>
            </w:r>
          </w:p>
          <w:p w:rsidR="00CC5D6C" w:rsidRPr="008C3718" w:rsidRDefault="00CC5D6C" w:rsidP="00104AC1">
            <w:pPr>
              <w:pStyle w:val="TableText0"/>
              <w:shd w:val="clear" w:color="auto" w:fill="D9D9D9" w:themeFill="background1" w:themeFillShade="D9"/>
              <w:spacing w:before="0" w:after="0"/>
              <w:jc w:val="both"/>
              <w:rPr>
                <w:szCs w:val="20"/>
              </w:rPr>
            </w:pPr>
          </w:p>
          <w:p w:rsidR="00CC5D6C" w:rsidRPr="008C3718" w:rsidRDefault="00CC5D6C" w:rsidP="00104AC1">
            <w:pPr>
              <w:pStyle w:val="TableText0"/>
              <w:shd w:val="clear" w:color="auto" w:fill="D9D9D9" w:themeFill="background1" w:themeFillShade="D9"/>
              <w:spacing w:before="0" w:after="0"/>
              <w:jc w:val="both"/>
              <w:rPr>
                <w:szCs w:val="20"/>
              </w:rPr>
            </w:pPr>
            <w:proofErr w:type="spellStart"/>
            <w:r w:rsidRPr="008C3718">
              <w:rPr>
                <w:szCs w:val="20"/>
              </w:rPr>
              <w:t>Hust</w:t>
            </w:r>
            <w:proofErr w:type="spellEnd"/>
            <w:r w:rsidRPr="008C3718">
              <w:rPr>
                <w:szCs w:val="20"/>
              </w:rPr>
              <w:t xml:space="preserve"> M; Fuhrer V Development of neutralizing human antibodies against Clostridium difficile toxins (Abstract) </w:t>
            </w:r>
          </w:p>
          <w:p w:rsidR="00CC5D6C" w:rsidRPr="008C3718" w:rsidRDefault="00CC5D6C" w:rsidP="00104AC1">
            <w:pPr>
              <w:pStyle w:val="TableText0"/>
              <w:shd w:val="clear" w:color="auto" w:fill="D9D9D9" w:themeFill="background1" w:themeFillShade="D9"/>
              <w:spacing w:before="0" w:after="0"/>
              <w:jc w:val="both"/>
              <w:rPr>
                <w:szCs w:val="20"/>
              </w:rPr>
            </w:pPr>
          </w:p>
          <w:p w:rsidR="00CC5D6C" w:rsidRPr="008C3718" w:rsidRDefault="00CC5D6C" w:rsidP="00104AC1">
            <w:pPr>
              <w:pStyle w:val="TableText0"/>
              <w:shd w:val="clear" w:color="auto" w:fill="D9D9D9" w:themeFill="background1" w:themeFillShade="D9"/>
              <w:spacing w:before="0" w:after="0"/>
              <w:jc w:val="both"/>
              <w:rPr>
                <w:szCs w:val="20"/>
              </w:rPr>
            </w:pPr>
          </w:p>
          <w:p w:rsidR="00CC5D6C" w:rsidRPr="008C3718" w:rsidRDefault="00CC5D6C" w:rsidP="00104AC1">
            <w:pPr>
              <w:pStyle w:val="TableText0"/>
              <w:shd w:val="clear" w:color="auto" w:fill="D9D9D9" w:themeFill="background1" w:themeFillShade="D9"/>
              <w:spacing w:before="0" w:after="0"/>
              <w:jc w:val="both"/>
              <w:rPr>
                <w:szCs w:val="20"/>
              </w:rPr>
            </w:pPr>
          </w:p>
          <w:p w:rsidR="00CC5D6C" w:rsidRPr="008C3718" w:rsidRDefault="00CC5D6C" w:rsidP="00104AC1">
            <w:pPr>
              <w:pStyle w:val="Tabletext"/>
              <w:shd w:val="clear" w:color="auto" w:fill="D9D9D9" w:themeFill="background1" w:themeFillShade="D9"/>
              <w:jc w:val="both"/>
              <w:rPr>
                <w:szCs w:val="20"/>
              </w:rPr>
            </w:pPr>
            <w:r w:rsidRPr="008C3718">
              <w:rPr>
                <w:szCs w:val="20"/>
              </w:rPr>
              <w:t xml:space="preserve">Kelly CP; </w:t>
            </w:r>
            <w:proofErr w:type="spellStart"/>
            <w:r w:rsidRPr="008C3718">
              <w:rPr>
                <w:szCs w:val="20"/>
              </w:rPr>
              <w:t>Gerding</w:t>
            </w:r>
            <w:proofErr w:type="spellEnd"/>
            <w:r w:rsidRPr="008C3718">
              <w:rPr>
                <w:szCs w:val="20"/>
              </w:rPr>
              <w:t xml:space="preserve"> DN; </w:t>
            </w:r>
            <w:proofErr w:type="spellStart"/>
            <w:r w:rsidRPr="008C3718">
              <w:rPr>
                <w:szCs w:val="20"/>
              </w:rPr>
              <w:t>Rahav</w:t>
            </w:r>
            <w:proofErr w:type="spellEnd"/>
            <w:r w:rsidRPr="008C3718">
              <w:rPr>
                <w:szCs w:val="20"/>
              </w:rPr>
              <w:t xml:space="preserve"> G, The monoclonal antibody, </w:t>
            </w:r>
            <w:proofErr w:type="spellStart"/>
            <w:r w:rsidRPr="008C3718">
              <w:rPr>
                <w:szCs w:val="20"/>
              </w:rPr>
              <w:t>bezlotoxumab</w:t>
            </w:r>
            <w:proofErr w:type="spellEnd"/>
            <w:r w:rsidRPr="008C3718">
              <w:rPr>
                <w:szCs w:val="20"/>
              </w:rPr>
              <w:t xml:space="preserve"> targeting </w:t>
            </w:r>
            <w:r w:rsidRPr="008C3718">
              <w:rPr>
                <w:i/>
                <w:iCs/>
                <w:szCs w:val="20"/>
              </w:rPr>
              <w:t>C. Difficile</w:t>
            </w:r>
            <w:r w:rsidRPr="008C3718">
              <w:rPr>
                <w:szCs w:val="20"/>
              </w:rPr>
              <w:t xml:space="preserve"> toxin B shows efficacy in preventing recurrent </w:t>
            </w:r>
            <w:r w:rsidRPr="008C3718">
              <w:rPr>
                <w:i/>
                <w:iCs/>
                <w:szCs w:val="20"/>
              </w:rPr>
              <w:t xml:space="preserve">C. Difficile </w:t>
            </w:r>
            <w:r w:rsidRPr="008C3718">
              <w:rPr>
                <w:szCs w:val="20"/>
              </w:rPr>
              <w:t>infection (CDI) in patients at high risk of recurrence or of CDI-related adverse outcomes (Abstract)</w:t>
            </w:r>
          </w:p>
          <w:p w:rsidR="00CC5D6C" w:rsidRPr="008C3718" w:rsidRDefault="00CC5D6C" w:rsidP="00104AC1">
            <w:pPr>
              <w:pStyle w:val="Tabletext"/>
              <w:jc w:val="both"/>
              <w:rPr>
                <w:szCs w:val="20"/>
              </w:rPr>
            </w:pPr>
          </w:p>
          <w:p w:rsidR="00CC5D6C" w:rsidRPr="008C3718" w:rsidRDefault="00CC5D6C" w:rsidP="00104AC1">
            <w:pPr>
              <w:pStyle w:val="Tabletext"/>
              <w:jc w:val="both"/>
            </w:pPr>
            <w:proofErr w:type="spellStart"/>
            <w:r w:rsidRPr="008C3718">
              <w:t>Prabhu</w:t>
            </w:r>
            <w:proofErr w:type="spellEnd"/>
            <w:r w:rsidRPr="008C3718">
              <w:t xml:space="preserve"> VS, </w:t>
            </w:r>
            <w:proofErr w:type="spellStart"/>
            <w:r w:rsidRPr="008C3718">
              <w:t>Cornely</w:t>
            </w:r>
            <w:proofErr w:type="spellEnd"/>
            <w:r w:rsidRPr="008C3718">
              <w:t xml:space="preserve"> OA, Golan Y, </w:t>
            </w:r>
            <w:proofErr w:type="spellStart"/>
            <w:r w:rsidRPr="008C3718">
              <w:t>Dubberke</w:t>
            </w:r>
            <w:proofErr w:type="spellEnd"/>
            <w:r w:rsidRPr="008C3718">
              <w:t xml:space="preserve"> ER, </w:t>
            </w:r>
            <w:proofErr w:type="spellStart"/>
            <w:r w:rsidRPr="008C3718">
              <w:t>Heimann</w:t>
            </w:r>
            <w:proofErr w:type="spellEnd"/>
            <w:r w:rsidRPr="008C3718">
              <w:t xml:space="preserve"> SM, Hanson ME, Liao J, </w:t>
            </w:r>
            <w:proofErr w:type="spellStart"/>
            <w:r w:rsidRPr="008C3718">
              <w:t>Pedley</w:t>
            </w:r>
            <w:proofErr w:type="spellEnd"/>
            <w:r w:rsidRPr="008C3718">
              <w:t xml:space="preserve"> A, Dorr MB, Marcella S, Thirty-Day Readmissions in Hospitalized Patients Who Received </w:t>
            </w:r>
            <w:proofErr w:type="spellStart"/>
            <w:r w:rsidRPr="008C3718">
              <w:t>Bezlotoxumab</w:t>
            </w:r>
            <w:proofErr w:type="spellEnd"/>
            <w:r w:rsidRPr="008C3718">
              <w:t xml:space="preserve"> with Antibacterial Drug Treatment for Clostridium difficile Infection</w:t>
            </w:r>
          </w:p>
          <w:p w:rsidR="00CC5D6C" w:rsidRPr="008C3718" w:rsidRDefault="00CC5D6C" w:rsidP="00104AC1">
            <w:pPr>
              <w:pStyle w:val="Tabletext"/>
              <w:jc w:val="both"/>
            </w:pPr>
          </w:p>
          <w:p w:rsidR="00CC5D6C" w:rsidRPr="008C3718" w:rsidRDefault="00CC5D6C" w:rsidP="00104AC1">
            <w:pPr>
              <w:pStyle w:val="Tabletext"/>
              <w:rPr>
                <w:szCs w:val="18"/>
              </w:rPr>
            </w:pPr>
            <w:proofErr w:type="spellStart"/>
            <w:r w:rsidRPr="008C3718">
              <w:rPr>
                <w:szCs w:val="18"/>
              </w:rPr>
              <w:t>Zar</w:t>
            </w:r>
            <w:proofErr w:type="spellEnd"/>
            <w:r w:rsidRPr="008C3718">
              <w:rPr>
                <w:szCs w:val="18"/>
              </w:rPr>
              <w:t xml:space="preserve"> FA, In C difficile infection, adding IV </w:t>
            </w:r>
            <w:proofErr w:type="spellStart"/>
            <w:r w:rsidRPr="008C3718">
              <w:rPr>
                <w:szCs w:val="18"/>
              </w:rPr>
              <w:t>bezlotoxumab</w:t>
            </w:r>
            <w:proofErr w:type="spellEnd"/>
            <w:r w:rsidRPr="008C3718">
              <w:rPr>
                <w:szCs w:val="18"/>
              </w:rPr>
              <w:t xml:space="preserve"> to standard antibiotics reduced recurrence at 12 weeks</w:t>
            </w:r>
          </w:p>
          <w:p w:rsidR="00CC5D6C" w:rsidRPr="008C3718" w:rsidRDefault="00CC5D6C" w:rsidP="00104AC1">
            <w:pPr>
              <w:pStyle w:val="Tabletext"/>
              <w:rPr>
                <w:szCs w:val="18"/>
              </w:rPr>
            </w:pPr>
          </w:p>
          <w:p w:rsidR="00CC5D6C" w:rsidRPr="008C3718" w:rsidRDefault="00CC5D6C" w:rsidP="00104AC1">
            <w:pPr>
              <w:pStyle w:val="Tabletext"/>
              <w:jc w:val="both"/>
              <w:rPr>
                <w:szCs w:val="20"/>
              </w:rPr>
            </w:pPr>
            <w:proofErr w:type="spellStart"/>
            <w:r w:rsidRPr="008C3718">
              <w:rPr>
                <w:szCs w:val="18"/>
              </w:rPr>
              <w:t>Yacyshyn</w:t>
            </w:r>
            <w:proofErr w:type="spellEnd"/>
            <w:r w:rsidRPr="008C3718">
              <w:rPr>
                <w:szCs w:val="18"/>
              </w:rPr>
              <w:t xml:space="preserve"> B, </w:t>
            </w:r>
            <w:proofErr w:type="spellStart"/>
            <w:r w:rsidRPr="008C3718">
              <w:rPr>
                <w:szCs w:val="18"/>
              </w:rPr>
              <w:t>Rahav</w:t>
            </w:r>
            <w:proofErr w:type="spellEnd"/>
            <w:r w:rsidRPr="008C3718">
              <w:rPr>
                <w:szCs w:val="18"/>
              </w:rPr>
              <w:t xml:space="preserve"> G, Kao DH, Ellison M, </w:t>
            </w:r>
            <w:proofErr w:type="spellStart"/>
            <w:r w:rsidRPr="008C3718">
              <w:rPr>
                <w:szCs w:val="18"/>
              </w:rPr>
              <w:t>Pedley</w:t>
            </w:r>
            <w:proofErr w:type="spellEnd"/>
            <w:r w:rsidRPr="008C3718">
              <w:rPr>
                <w:szCs w:val="18"/>
              </w:rPr>
              <w:t xml:space="preserve"> A, Eves K, Hanson ME, </w:t>
            </w:r>
            <w:proofErr w:type="spellStart"/>
            <w:r w:rsidRPr="008C3718">
              <w:rPr>
                <w:szCs w:val="18"/>
              </w:rPr>
              <w:t>Guris</w:t>
            </w:r>
            <w:proofErr w:type="spellEnd"/>
            <w:r w:rsidRPr="008C3718">
              <w:rPr>
                <w:szCs w:val="18"/>
              </w:rPr>
              <w:t xml:space="preserve"> D, Dorr MB, Efficacy of </w:t>
            </w:r>
            <w:proofErr w:type="spellStart"/>
            <w:r w:rsidRPr="008C3718">
              <w:rPr>
                <w:szCs w:val="18"/>
              </w:rPr>
              <w:t>bezlotoxumab</w:t>
            </w:r>
            <w:proofErr w:type="spellEnd"/>
            <w:r w:rsidRPr="008C3718">
              <w:rPr>
                <w:szCs w:val="18"/>
              </w:rPr>
              <w:t xml:space="preserve"> in patients with recurrent clostridium difficile infection (CDI): Pooled analysis of data from the modify trials</w:t>
            </w:r>
          </w:p>
        </w:tc>
        <w:tc>
          <w:tcPr>
            <w:tcW w:w="1701" w:type="pct"/>
            <w:shd w:val="clear" w:color="auto" w:fill="auto"/>
          </w:tcPr>
          <w:p w:rsidR="00CC5D6C" w:rsidRPr="008C3718" w:rsidRDefault="00CC5D6C" w:rsidP="00104AC1">
            <w:pPr>
              <w:pStyle w:val="Tabletext"/>
              <w:shd w:val="clear" w:color="auto" w:fill="D9D9D9" w:themeFill="background1" w:themeFillShade="D9"/>
            </w:pPr>
            <w:r w:rsidRPr="008C3718">
              <w:t>02/11/2015</w:t>
            </w:r>
          </w:p>
          <w:p w:rsidR="00CC5D6C" w:rsidRPr="008C3718" w:rsidRDefault="00CC5D6C" w:rsidP="00104AC1">
            <w:pPr>
              <w:pStyle w:val="Tabletext"/>
              <w:shd w:val="clear" w:color="auto" w:fill="D9D9D9" w:themeFill="background1" w:themeFillShade="D9"/>
            </w:pPr>
          </w:p>
          <w:p w:rsidR="00CC5D6C" w:rsidRPr="008C3718" w:rsidRDefault="00CC5D6C" w:rsidP="00104AC1">
            <w:pPr>
              <w:pStyle w:val="Tabletext"/>
              <w:shd w:val="clear" w:color="auto" w:fill="D9D9D9" w:themeFill="background1" w:themeFillShade="D9"/>
            </w:pPr>
          </w:p>
          <w:p w:rsidR="00CC5D6C" w:rsidRPr="008C3718" w:rsidRDefault="00CC5D6C" w:rsidP="00104AC1">
            <w:pPr>
              <w:pStyle w:val="Tabletext"/>
              <w:shd w:val="clear" w:color="auto" w:fill="D9D9D9" w:themeFill="background1" w:themeFillShade="D9"/>
            </w:pPr>
          </w:p>
          <w:p w:rsidR="00CC5D6C" w:rsidRPr="008C3718" w:rsidRDefault="00CC5D6C" w:rsidP="00104AC1">
            <w:pPr>
              <w:pStyle w:val="Tabletext"/>
              <w:shd w:val="clear" w:color="auto" w:fill="D9D9D9" w:themeFill="background1" w:themeFillShade="D9"/>
            </w:pPr>
          </w:p>
          <w:p w:rsidR="00CC5D6C" w:rsidRPr="008C3718" w:rsidRDefault="00CC5D6C" w:rsidP="00104AC1">
            <w:pPr>
              <w:pStyle w:val="Tabletext"/>
              <w:shd w:val="clear" w:color="auto" w:fill="D9D9D9" w:themeFill="background1" w:themeFillShade="D9"/>
            </w:pPr>
          </w:p>
          <w:p w:rsidR="00CC5D6C" w:rsidRPr="008C3718" w:rsidRDefault="00CC5D6C" w:rsidP="00104AC1">
            <w:pPr>
              <w:pStyle w:val="Tabletext"/>
              <w:shd w:val="clear" w:color="auto" w:fill="D9D9D9" w:themeFill="background1" w:themeFillShade="D9"/>
            </w:pPr>
          </w:p>
          <w:p w:rsidR="00CC5D6C" w:rsidRPr="008C3718" w:rsidRDefault="00CC5D6C" w:rsidP="00104AC1">
            <w:pPr>
              <w:pStyle w:val="Tabletext"/>
              <w:shd w:val="clear" w:color="auto" w:fill="D9D9D9" w:themeFill="background1" w:themeFillShade="D9"/>
            </w:pPr>
            <w:r w:rsidRPr="008C3718">
              <w:t>New England Journal of Medicine 2017; 376:4 (305-317)</w:t>
            </w:r>
          </w:p>
          <w:p w:rsidR="00CC5D6C" w:rsidRPr="008C3718" w:rsidRDefault="00CC5D6C" w:rsidP="00104AC1">
            <w:pPr>
              <w:pStyle w:val="Tabletext"/>
              <w:shd w:val="clear" w:color="auto" w:fill="D9D9D9" w:themeFill="background1" w:themeFillShade="D9"/>
            </w:pPr>
          </w:p>
          <w:p w:rsidR="00CC5D6C" w:rsidRPr="008C3718" w:rsidRDefault="00CC5D6C" w:rsidP="00104AC1">
            <w:pPr>
              <w:pStyle w:val="Tabletext"/>
              <w:shd w:val="clear" w:color="auto" w:fill="D9D9D9" w:themeFill="background1" w:themeFillShade="D9"/>
            </w:pPr>
            <w:r w:rsidRPr="008C3718">
              <w:t>68th Annual Meeting of the German Society for Hygiene and Microbiology, DGHM 2016, Ulm, Germany, September 11-14, 2017</w:t>
            </w:r>
          </w:p>
          <w:p w:rsidR="00CC5D6C" w:rsidRPr="008C3718" w:rsidRDefault="00CC5D6C" w:rsidP="00104AC1">
            <w:pPr>
              <w:pStyle w:val="Tabletext"/>
              <w:shd w:val="clear" w:color="auto" w:fill="D9D9D9" w:themeFill="background1" w:themeFillShade="D9"/>
            </w:pPr>
          </w:p>
          <w:p w:rsidR="00CC5D6C" w:rsidRPr="008C3718" w:rsidRDefault="00CC5D6C" w:rsidP="00104AC1">
            <w:pPr>
              <w:pStyle w:val="Tabletext"/>
              <w:shd w:val="clear" w:color="auto" w:fill="D9D9D9" w:themeFill="background1" w:themeFillShade="D9"/>
            </w:pPr>
            <w:r w:rsidRPr="008C3718">
              <w:t>Digestive Disease Week 2016, San Diego, CA, May 21-24, 2016</w:t>
            </w:r>
          </w:p>
          <w:p w:rsidR="00CC5D6C" w:rsidRPr="008C3718" w:rsidRDefault="00CC5D6C" w:rsidP="00104AC1">
            <w:pPr>
              <w:pStyle w:val="Tabletext"/>
              <w:shd w:val="clear" w:color="auto" w:fill="D9D9D9" w:themeFill="background1" w:themeFillShade="D9"/>
            </w:pPr>
          </w:p>
          <w:p w:rsidR="00CC5D6C" w:rsidRPr="008C3718" w:rsidRDefault="00CC5D6C" w:rsidP="00104AC1">
            <w:pPr>
              <w:pStyle w:val="Tabletext"/>
              <w:shd w:val="clear" w:color="auto" w:fill="D9D9D9" w:themeFill="background1" w:themeFillShade="D9"/>
            </w:pPr>
          </w:p>
          <w:p w:rsidR="00CC5D6C" w:rsidRPr="008C3718" w:rsidRDefault="00CC5D6C" w:rsidP="00104AC1">
            <w:pPr>
              <w:pStyle w:val="Tabletext"/>
            </w:pPr>
          </w:p>
          <w:p w:rsidR="00CC5D6C" w:rsidRPr="008C3718" w:rsidRDefault="00CC5D6C" w:rsidP="00104AC1">
            <w:pPr>
              <w:pStyle w:val="Tabletext"/>
              <w:rPr>
                <w:szCs w:val="20"/>
              </w:rPr>
            </w:pPr>
            <w:r w:rsidRPr="008C3718">
              <w:rPr>
                <w:szCs w:val="20"/>
              </w:rPr>
              <w:t>Clinical Infectious Diseases, 1 October 2017, 65(7):1218-1221</w:t>
            </w:r>
          </w:p>
          <w:p w:rsidR="00CC5D6C" w:rsidRPr="008C3718" w:rsidRDefault="00CC5D6C" w:rsidP="00104AC1">
            <w:pPr>
              <w:pStyle w:val="Tabletext"/>
              <w:rPr>
                <w:szCs w:val="20"/>
              </w:rPr>
            </w:pPr>
          </w:p>
          <w:p w:rsidR="00CC5D6C" w:rsidRPr="008C3718" w:rsidRDefault="00CC5D6C" w:rsidP="00104AC1">
            <w:pPr>
              <w:pStyle w:val="Tabletext"/>
              <w:rPr>
                <w:szCs w:val="20"/>
              </w:rPr>
            </w:pPr>
          </w:p>
          <w:p w:rsidR="00CC5D6C" w:rsidRPr="008C3718" w:rsidRDefault="00CC5D6C" w:rsidP="00104AC1">
            <w:pPr>
              <w:pStyle w:val="Tabletext"/>
              <w:rPr>
                <w:szCs w:val="20"/>
              </w:rPr>
            </w:pPr>
          </w:p>
          <w:p w:rsidR="00CC5D6C" w:rsidRPr="008C3718" w:rsidRDefault="00CC5D6C" w:rsidP="00104AC1">
            <w:pPr>
              <w:pStyle w:val="Tabletext"/>
              <w:rPr>
                <w:szCs w:val="20"/>
              </w:rPr>
            </w:pPr>
          </w:p>
          <w:p w:rsidR="00CC5D6C" w:rsidRPr="008C3718" w:rsidRDefault="00CC5D6C" w:rsidP="00104AC1">
            <w:pPr>
              <w:pStyle w:val="Tabletext"/>
              <w:rPr>
                <w:szCs w:val="20"/>
              </w:rPr>
            </w:pPr>
            <w:r w:rsidRPr="008C3718">
              <w:rPr>
                <w:szCs w:val="20"/>
              </w:rPr>
              <w:t>Annals of Internal Medicine, 16 May 2017, 166(10):JC53</w:t>
            </w:r>
          </w:p>
          <w:p w:rsidR="00CC5D6C" w:rsidRPr="008C3718" w:rsidRDefault="00CC5D6C" w:rsidP="00104AC1">
            <w:pPr>
              <w:pStyle w:val="Tabletext"/>
              <w:rPr>
                <w:szCs w:val="20"/>
              </w:rPr>
            </w:pPr>
          </w:p>
          <w:p w:rsidR="00CC5D6C" w:rsidRPr="008C3718" w:rsidRDefault="00CC5D6C" w:rsidP="00104AC1">
            <w:pPr>
              <w:pStyle w:val="Tabletext"/>
            </w:pPr>
            <w:r w:rsidRPr="008C3718">
              <w:rPr>
                <w:szCs w:val="20"/>
              </w:rPr>
              <w:t>Gastroenterology, 2017, 152(5 Supplement 1):S343</w:t>
            </w:r>
          </w:p>
        </w:tc>
      </w:tr>
    </w:tbl>
    <w:p w:rsidR="00CC5D6C" w:rsidRPr="008C3718" w:rsidRDefault="00CC5D6C" w:rsidP="00CC5D6C">
      <w:pPr>
        <w:pStyle w:val="TableFooter"/>
      </w:pPr>
      <w:r w:rsidRPr="008C3718">
        <w:t>Shaded areas indicate data previously seen by the PBAC</w:t>
      </w:r>
    </w:p>
    <w:p w:rsidR="00CC5D6C" w:rsidRPr="008C3718" w:rsidRDefault="00CC5D6C" w:rsidP="00CC5D6C">
      <w:pPr>
        <w:pStyle w:val="TableFooter"/>
        <w:rPr>
          <w:sz w:val="20"/>
        </w:rPr>
      </w:pPr>
      <w:r w:rsidRPr="008C3718">
        <w:t>Source: Appendix 3 of the submission</w:t>
      </w:r>
    </w:p>
    <w:p w:rsidR="00B60939" w:rsidRPr="000B49C6" w:rsidRDefault="00CC5D6C" w:rsidP="005B2CC8">
      <w:pPr>
        <w:pStyle w:val="ListParagraph"/>
        <w:widowControl/>
        <w:numPr>
          <w:ilvl w:val="1"/>
          <w:numId w:val="3"/>
        </w:numPr>
        <w:spacing w:before="240"/>
      </w:pPr>
      <w:r w:rsidRPr="000B49C6">
        <w:t xml:space="preserve">The PBAC </w:t>
      </w:r>
      <w:r>
        <w:t>previously</w:t>
      </w:r>
      <w:r w:rsidRPr="000B49C6">
        <w:t xml:space="preserve"> considered repeat dosing </w:t>
      </w:r>
      <w:r>
        <w:t xml:space="preserve">was </w:t>
      </w:r>
      <w:r w:rsidRPr="000B49C6">
        <w:t xml:space="preserve">likely in clinical practice, however as repeat dosing was not tested in the trials, the efficacy of </w:t>
      </w:r>
      <w:proofErr w:type="spellStart"/>
      <w:r w:rsidRPr="000B49C6">
        <w:t>bezlotoxumab</w:t>
      </w:r>
      <w:proofErr w:type="spellEnd"/>
      <w:r w:rsidRPr="000B49C6">
        <w:t xml:space="preserve"> re</w:t>
      </w:r>
      <w:r w:rsidRPr="000B49C6">
        <w:noBreakHyphen/>
        <w:t>administration in patients who experience another recurrence was unknown</w:t>
      </w:r>
      <w:r>
        <w:t xml:space="preserve">. </w:t>
      </w:r>
      <w:r w:rsidRPr="000B49C6">
        <w:t xml:space="preserve">The resubmission maintained that the efficacy of </w:t>
      </w:r>
      <w:proofErr w:type="spellStart"/>
      <w:r w:rsidRPr="000B49C6">
        <w:t>bezlotoxumab</w:t>
      </w:r>
      <w:proofErr w:type="spellEnd"/>
      <w:r w:rsidRPr="000B49C6">
        <w:t xml:space="preserve"> repeat </w:t>
      </w:r>
      <w:r>
        <w:t>dosing</w:t>
      </w:r>
      <w:r w:rsidRPr="000B49C6">
        <w:t xml:space="preserve"> would be expected to be the same</w:t>
      </w:r>
      <w:r>
        <w:t xml:space="preserve"> as the initial dosing</w:t>
      </w:r>
      <w:r w:rsidRPr="000B49C6">
        <w:t>, based on a significant reduction in recurrence in patients with prior CDIs compared to placebo</w:t>
      </w:r>
      <w:r>
        <w:t xml:space="preserve">. </w:t>
      </w:r>
      <w:r w:rsidRPr="000B49C6">
        <w:t>The resubmission’s reasoning was considered poor</w:t>
      </w:r>
      <w:r>
        <w:t>;</w:t>
      </w:r>
      <w:r w:rsidRPr="000B49C6">
        <w:t xml:space="preserve"> prior CDI is a risk factor for CDI recurrence, however as no patient had prior </w:t>
      </w:r>
      <w:proofErr w:type="spellStart"/>
      <w:r w:rsidRPr="000B49C6">
        <w:t>bezlotoxumab</w:t>
      </w:r>
      <w:proofErr w:type="spellEnd"/>
      <w:r w:rsidRPr="000B49C6">
        <w:t xml:space="preserve"> in the trials; it was uncertain how this group of patients could inform efficacy of </w:t>
      </w:r>
      <w:proofErr w:type="spellStart"/>
      <w:r w:rsidRPr="000B49C6">
        <w:t>bezlotoxumab</w:t>
      </w:r>
      <w:proofErr w:type="spellEnd"/>
      <w:r w:rsidRPr="000B49C6">
        <w:t xml:space="preserve"> in repeat dosing.</w:t>
      </w:r>
    </w:p>
    <w:p w:rsidR="00B60939" w:rsidRPr="005B2CC8" w:rsidRDefault="00B60939" w:rsidP="00E03435">
      <w:pPr>
        <w:pStyle w:val="Heading2"/>
        <w:keepNext/>
        <w:spacing w:before="240" w:after="120"/>
      </w:pPr>
      <w:bookmarkStart w:id="8" w:name="_Toc514248034"/>
      <w:r w:rsidRPr="005B2CC8">
        <w:t>Comparative effectiveness</w:t>
      </w:r>
      <w:bookmarkEnd w:id="8"/>
    </w:p>
    <w:p w:rsidR="005B2CC8" w:rsidRDefault="00A40FCE" w:rsidP="00F4358C">
      <w:pPr>
        <w:pStyle w:val="ListParagraph"/>
        <w:keepNext/>
        <w:numPr>
          <w:ilvl w:val="1"/>
          <w:numId w:val="3"/>
        </w:numPr>
      </w:pPr>
      <w:r w:rsidRPr="000B49C6">
        <w:rPr>
          <w:rFonts w:cs="Calibri"/>
          <w:snapToGrid/>
          <w:szCs w:val="24"/>
          <w:lang w:eastAsia="en-AU"/>
        </w:rPr>
        <w:t xml:space="preserve">Main efficacy outcomes for the MODIFY I and MODIFY II trial high risk populations are </w:t>
      </w:r>
      <w:r w:rsidR="00DF1354" w:rsidRPr="000B49C6">
        <w:rPr>
          <w:rFonts w:cs="Calibri"/>
          <w:snapToGrid/>
          <w:szCs w:val="24"/>
          <w:lang w:eastAsia="en-AU"/>
        </w:rPr>
        <w:t xml:space="preserve">summarised </w:t>
      </w:r>
      <w:r w:rsidRPr="000B49C6">
        <w:rPr>
          <w:rFonts w:cs="Calibri"/>
          <w:snapToGrid/>
          <w:szCs w:val="24"/>
          <w:lang w:eastAsia="en-AU"/>
        </w:rPr>
        <w:t xml:space="preserve">in Table </w:t>
      </w:r>
      <w:r w:rsidR="00E82A52">
        <w:rPr>
          <w:rFonts w:cs="Calibri"/>
          <w:snapToGrid/>
          <w:szCs w:val="24"/>
          <w:lang w:eastAsia="en-AU"/>
        </w:rPr>
        <w:t>4</w:t>
      </w:r>
      <w:r w:rsidRPr="000B49C6">
        <w:rPr>
          <w:rFonts w:cs="Calibri"/>
          <w:snapToGrid/>
          <w:szCs w:val="24"/>
          <w:lang w:eastAsia="en-AU"/>
        </w:rPr>
        <w:t xml:space="preserve"> and Figure 1 below</w:t>
      </w:r>
      <w:r w:rsidR="00991401">
        <w:rPr>
          <w:rFonts w:cs="Calibri"/>
          <w:snapToGrid/>
          <w:szCs w:val="24"/>
          <w:lang w:eastAsia="en-AU"/>
        </w:rPr>
        <w:t xml:space="preserve">. </w:t>
      </w:r>
      <w:r w:rsidR="001F3946" w:rsidRPr="000B49C6">
        <w:t xml:space="preserve">The resubmission maintained the </w:t>
      </w:r>
      <w:r w:rsidR="001F3946" w:rsidRPr="000B49C6">
        <w:lastRenderedPageBreak/>
        <w:t>minimal clinically important difference (MCID) from the previous submission, which was the reduction in recurrence of 8-9%</w:t>
      </w:r>
      <w:r w:rsidR="00991401">
        <w:t xml:space="preserve">. </w:t>
      </w:r>
      <w:r w:rsidR="001F3946" w:rsidRPr="000B49C6">
        <w:t>It clarified that this was within the trial period of 12 weeks</w:t>
      </w:r>
      <w:r w:rsidR="00991401">
        <w:t xml:space="preserve">. </w:t>
      </w:r>
      <w:r w:rsidR="001F3946" w:rsidRPr="000B49C6">
        <w:t>The proposed MCID for the total trial population was also assumed for the high risk patient population.</w:t>
      </w:r>
    </w:p>
    <w:p w:rsidR="005B2CC8" w:rsidRDefault="005B2CC8">
      <w:pPr>
        <w:widowControl/>
        <w:jc w:val="left"/>
      </w:pPr>
      <w:r>
        <w:br w:type="page"/>
      </w:r>
    </w:p>
    <w:p w:rsidR="00C51339" w:rsidRPr="000B49C6" w:rsidRDefault="00C51339" w:rsidP="00C51339">
      <w:pPr>
        <w:pStyle w:val="Caption"/>
        <w:keepNext/>
        <w:spacing w:after="60"/>
        <w:rPr>
          <w:rFonts w:ascii="Arial Narrow" w:hAnsi="Arial Narrow"/>
          <w:color w:val="auto"/>
          <w:sz w:val="20"/>
          <w:szCs w:val="20"/>
        </w:rPr>
      </w:pPr>
      <w:r w:rsidRPr="000B49C6">
        <w:rPr>
          <w:rFonts w:ascii="Arial Narrow" w:hAnsi="Arial Narrow"/>
          <w:color w:val="auto"/>
          <w:sz w:val="20"/>
          <w:szCs w:val="20"/>
        </w:rPr>
        <w:lastRenderedPageBreak/>
        <w:t xml:space="preserve">Table </w:t>
      </w:r>
      <w:r w:rsidR="00E82A52">
        <w:rPr>
          <w:rFonts w:ascii="Arial Narrow" w:hAnsi="Arial Narrow"/>
          <w:color w:val="auto"/>
          <w:sz w:val="20"/>
          <w:szCs w:val="20"/>
        </w:rPr>
        <w:t>4</w:t>
      </w:r>
      <w:r w:rsidRPr="000B49C6">
        <w:rPr>
          <w:rFonts w:ascii="Arial Narrow" w:hAnsi="Arial Narrow"/>
          <w:color w:val="auto"/>
          <w:sz w:val="20"/>
          <w:szCs w:val="20"/>
        </w:rPr>
        <w:t xml:space="preserve">: CDI Recurrence and Global cure rates at 12 weeks in the high risk^ subpopulation (MODIFY </w:t>
      </w:r>
      <w:r w:rsidR="00F014C7" w:rsidRPr="000B49C6">
        <w:rPr>
          <w:rFonts w:ascii="Arial Narrow" w:hAnsi="Arial Narrow"/>
          <w:color w:val="auto"/>
          <w:sz w:val="20"/>
          <w:szCs w:val="20"/>
        </w:rPr>
        <w:t>I</w:t>
      </w:r>
      <w:r w:rsidRPr="000B49C6">
        <w:rPr>
          <w:rFonts w:ascii="Arial Narrow" w:hAnsi="Arial Narrow"/>
          <w:color w:val="auto"/>
          <w:sz w:val="20"/>
          <w:szCs w:val="20"/>
        </w:rPr>
        <w:t xml:space="preserve"> and MODIFY II integrated)</w:t>
      </w:r>
    </w:p>
    <w:tbl>
      <w:tblPr>
        <w:tblStyle w:val="TableGrid"/>
        <w:tblW w:w="0" w:type="auto"/>
        <w:tblCellMar>
          <w:left w:w="28" w:type="dxa"/>
          <w:right w:w="28" w:type="dxa"/>
        </w:tblCellMar>
        <w:tblLook w:val="04A0" w:firstRow="1" w:lastRow="0" w:firstColumn="1" w:lastColumn="0" w:noHBand="0" w:noVBand="1"/>
        <w:tblCaption w:val="Table 2: CDI Recurrence and Global cure rates at 12 weeks in the high risk^ subpopulation (MODIFY I and MODIFY II integrated)"/>
      </w:tblPr>
      <w:tblGrid>
        <w:gridCol w:w="2830"/>
        <w:gridCol w:w="1418"/>
        <w:gridCol w:w="1417"/>
        <w:gridCol w:w="1843"/>
        <w:gridCol w:w="1508"/>
      </w:tblGrid>
      <w:tr w:rsidR="00B8785C" w:rsidRPr="000B49C6" w:rsidTr="000114C4">
        <w:trPr>
          <w:tblHeader/>
        </w:trPr>
        <w:tc>
          <w:tcPr>
            <w:tcW w:w="2830" w:type="dxa"/>
            <w:shd w:val="clear" w:color="auto" w:fill="auto"/>
          </w:tcPr>
          <w:p w:rsidR="00B8785C" w:rsidRPr="000B49C6" w:rsidRDefault="00B8785C" w:rsidP="00D370B3">
            <w:pPr>
              <w:rPr>
                <w:rFonts w:ascii="Arial Narrow" w:hAnsi="Arial Narrow"/>
                <w:b/>
                <w:sz w:val="20"/>
                <w:szCs w:val="20"/>
              </w:rPr>
            </w:pPr>
            <w:r w:rsidRPr="000B49C6">
              <w:rPr>
                <w:rFonts w:ascii="Arial Narrow" w:hAnsi="Arial Narrow"/>
                <w:b/>
                <w:sz w:val="20"/>
                <w:szCs w:val="20"/>
              </w:rPr>
              <w:t>Population</w:t>
            </w:r>
          </w:p>
        </w:tc>
        <w:tc>
          <w:tcPr>
            <w:tcW w:w="1418" w:type="dxa"/>
            <w:tcBorders>
              <w:bottom w:val="single" w:sz="4" w:space="0" w:color="auto"/>
            </w:tcBorders>
            <w:shd w:val="clear" w:color="auto" w:fill="auto"/>
            <w:vAlign w:val="center"/>
          </w:tcPr>
          <w:p w:rsidR="00B8785C" w:rsidRPr="000B49C6" w:rsidRDefault="00B8785C" w:rsidP="00D370B3">
            <w:pPr>
              <w:jc w:val="center"/>
              <w:rPr>
                <w:rFonts w:ascii="Arial Narrow" w:hAnsi="Arial Narrow"/>
                <w:b/>
                <w:sz w:val="20"/>
                <w:szCs w:val="20"/>
              </w:rPr>
            </w:pPr>
            <w:proofErr w:type="spellStart"/>
            <w:r w:rsidRPr="000B49C6">
              <w:rPr>
                <w:rFonts w:ascii="Arial Narrow" w:hAnsi="Arial Narrow"/>
                <w:b/>
                <w:sz w:val="20"/>
                <w:szCs w:val="20"/>
              </w:rPr>
              <w:t>Bezlotoxumab</w:t>
            </w:r>
            <w:proofErr w:type="spellEnd"/>
          </w:p>
          <w:p w:rsidR="00B8785C" w:rsidRPr="000B49C6" w:rsidRDefault="00B8785C" w:rsidP="00D370B3">
            <w:pPr>
              <w:jc w:val="center"/>
              <w:rPr>
                <w:rFonts w:ascii="Arial Narrow" w:hAnsi="Arial Narrow"/>
                <w:b/>
                <w:sz w:val="20"/>
                <w:szCs w:val="20"/>
              </w:rPr>
            </w:pPr>
            <w:proofErr w:type="gramStart"/>
            <w:r w:rsidRPr="000B49C6">
              <w:rPr>
                <w:rFonts w:ascii="Arial Narrow" w:hAnsi="Arial Narrow"/>
                <w:b/>
                <w:sz w:val="20"/>
                <w:szCs w:val="20"/>
              </w:rPr>
              <w:t>n/N</w:t>
            </w:r>
            <w:proofErr w:type="gramEnd"/>
            <w:r w:rsidRPr="000B49C6">
              <w:rPr>
                <w:rFonts w:ascii="Arial Narrow" w:hAnsi="Arial Narrow"/>
                <w:b/>
                <w:sz w:val="20"/>
                <w:szCs w:val="20"/>
              </w:rPr>
              <w:t xml:space="preserve"> (%)</w:t>
            </w:r>
          </w:p>
        </w:tc>
        <w:tc>
          <w:tcPr>
            <w:tcW w:w="1417" w:type="dxa"/>
            <w:tcBorders>
              <w:bottom w:val="single" w:sz="4" w:space="0" w:color="auto"/>
            </w:tcBorders>
            <w:shd w:val="clear" w:color="auto" w:fill="auto"/>
            <w:vAlign w:val="center"/>
          </w:tcPr>
          <w:p w:rsidR="00B8785C" w:rsidRPr="000B49C6" w:rsidRDefault="00B8785C" w:rsidP="00D370B3">
            <w:pPr>
              <w:jc w:val="center"/>
              <w:rPr>
                <w:rFonts w:ascii="Arial Narrow" w:hAnsi="Arial Narrow"/>
                <w:b/>
                <w:sz w:val="20"/>
                <w:szCs w:val="20"/>
              </w:rPr>
            </w:pPr>
            <w:r w:rsidRPr="000B49C6">
              <w:rPr>
                <w:rFonts w:ascii="Arial Narrow" w:hAnsi="Arial Narrow"/>
                <w:b/>
                <w:sz w:val="20"/>
                <w:szCs w:val="20"/>
              </w:rPr>
              <w:t>Placebo</w:t>
            </w:r>
          </w:p>
          <w:p w:rsidR="00B8785C" w:rsidRPr="000B49C6" w:rsidRDefault="00B8785C" w:rsidP="00D370B3">
            <w:pPr>
              <w:jc w:val="center"/>
              <w:rPr>
                <w:rFonts w:ascii="Arial Narrow" w:hAnsi="Arial Narrow"/>
                <w:b/>
                <w:sz w:val="20"/>
                <w:szCs w:val="20"/>
              </w:rPr>
            </w:pPr>
            <w:proofErr w:type="gramStart"/>
            <w:r w:rsidRPr="000B49C6">
              <w:rPr>
                <w:rFonts w:ascii="Arial Narrow" w:hAnsi="Arial Narrow"/>
                <w:b/>
                <w:sz w:val="20"/>
                <w:szCs w:val="20"/>
              </w:rPr>
              <w:t>n/N</w:t>
            </w:r>
            <w:proofErr w:type="gramEnd"/>
            <w:r w:rsidRPr="000B49C6">
              <w:rPr>
                <w:rFonts w:ascii="Arial Narrow" w:hAnsi="Arial Narrow"/>
                <w:b/>
                <w:sz w:val="20"/>
                <w:szCs w:val="20"/>
              </w:rPr>
              <w:t xml:space="preserve"> (%)</w:t>
            </w:r>
          </w:p>
        </w:tc>
        <w:tc>
          <w:tcPr>
            <w:tcW w:w="1843" w:type="dxa"/>
            <w:tcBorders>
              <w:bottom w:val="single" w:sz="4" w:space="0" w:color="auto"/>
            </w:tcBorders>
            <w:shd w:val="clear" w:color="auto" w:fill="auto"/>
            <w:vAlign w:val="center"/>
          </w:tcPr>
          <w:p w:rsidR="00B8785C" w:rsidRPr="000B49C6" w:rsidRDefault="00B8785C" w:rsidP="00D370B3">
            <w:pPr>
              <w:jc w:val="center"/>
              <w:rPr>
                <w:rFonts w:ascii="Arial Narrow" w:hAnsi="Arial Narrow"/>
                <w:b/>
                <w:sz w:val="20"/>
                <w:szCs w:val="20"/>
              </w:rPr>
            </w:pPr>
            <w:r w:rsidRPr="000B49C6">
              <w:rPr>
                <w:rFonts w:ascii="Arial Narrow" w:hAnsi="Arial Narrow"/>
                <w:b/>
                <w:sz w:val="20"/>
                <w:szCs w:val="20"/>
              </w:rPr>
              <w:t>Risk difference %</w:t>
            </w:r>
          </w:p>
          <w:p w:rsidR="00B8785C" w:rsidRPr="000B49C6" w:rsidRDefault="00B8785C" w:rsidP="00D370B3">
            <w:pPr>
              <w:jc w:val="center"/>
              <w:rPr>
                <w:rFonts w:ascii="Arial Narrow" w:hAnsi="Arial Narrow"/>
                <w:b/>
                <w:sz w:val="20"/>
                <w:szCs w:val="20"/>
                <w:vertAlign w:val="superscript"/>
              </w:rPr>
            </w:pPr>
            <w:r w:rsidRPr="000B49C6">
              <w:rPr>
                <w:rFonts w:ascii="Arial Narrow" w:hAnsi="Arial Narrow"/>
                <w:b/>
                <w:sz w:val="20"/>
                <w:szCs w:val="20"/>
              </w:rPr>
              <w:t>(95% CI)</w:t>
            </w:r>
            <w:r w:rsidR="00C95CD3" w:rsidRPr="000B49C6">
              <w:rPr>
                <w:rFonts w:ascii="Arial Narrow" w:hAnsi="Arial Narrow"/>
                <w:b/>
                <w:sz w:val="20"/>
                <w:szCs w:val="20"/>
                <w:vertAlign w:val="superscript"/>
              </w:rPr>
              <w:t>a</w:t>
            </w:r>
          </w:p>
        </w:tc>
        <w:tc>
          <w:tcPr>
            <w:tcW w:w="1508" w:type="dxa"/>
            <w:tcBorders>
              <w:bottom w:val="single" w:sz="4" w:space="0" w:color="auto"/>
            </w:tcBorders>
            <w:shd w:val="clear" w:color="auto" w:fill="auto"/>
            <w:vAlign w:val="center"/>
          </w:tcPr>
          <w:p w:rsidR="00B8785C" w:rsidRPr="000B49C6" w:rsidRDefault="00B8785C" w:rsidP="00D370B3">
            <w:pPr>
              <w:jc w:val="center"/>
              <w:rPr>
                <w:rFonts w:ascii="Arial Narrow" w:hAnsi="Arial Narrow"/>
                <w:b/>
                <w:sz w:val="20"/>
                <w:szCs w:val="20"/>
              </w:rPr>
            </w:pPr>
            <w:r w:rsidRPr="000B49C6">
              <w:rPr>
                <w:rFonts w:ascii="Arial Narrow" w:hAnsi="Arial Narrow"/>
                <w:b/>
                <w:sz w:val="20"/>
                <w:szCs w:val="20"/>
              </w:rPr>
              <w:t>Relative Risk</w:t>
            </w:r>
          </w:p>
          <w:p w:rsidR="00B8785C" w:rsidRPr="000B49C6" w:rsidRDefault="00B8785C" w:rsidP="00D370B3">
            <w:pPr>
              <w:jc w:val="center"/>
              <w:rPr>
                <w:rFonts w:ascii="Arial Narrow" w:hAnsi="Arial Narrow"/>
                <w:b/>
                <w:sz w:val="20"/>
                <w:szCs w:val="20"/>
              </w:rPr>
            </w:pPr>
            <w:r w:rsidRPr="000B49C6">
              <w:rPr>
                <w:rFonts w:ascii="Arial Narrow" w:hAnsi="Arial Narrow"/>
                <w:b/>
                <w:sz w:val="20"/>
                <w:szCs w:val="20"/>
              </w:rPr>
              <w:t>(95% CI)</w:t>
            </w:r>
          </w:p>
        </w:tc>
      </w:tr>
      <w:tr w:rsidR="00B8785C" w:rsidRPr="000B49C6" w:rsidTr="00D370B3">
        <w:tc>
          <w:tcPr>
            <w:tcW w:w="9016" w:type="dxa"/>
            <w:gridSpan w:val="5"/>
            <w:shd w:val="clear" w:color="auto" w:fill="auto"/>
            <w:vAlign w:val="center"/>
          </w:tcPr>
          <w:p w:rsidR="00B8785C" w:rsidRPr="000B49C6" w:rsidRDefault="00B8785C" w:rsidP="00D370B3">
            <w:pPr>
              <w:rPr>
                <w:rFonts w:ascii="Arial Narrow" w:hAnsi="Arial Narrow"/>
                <w:b/>
                <w:bCs/>
                <w:sz w:val="20"/>
                <w:szCs w:val="20"/>
              </w:rPr>
            </w:pPr>
            <w:r w:rsidRPr="000B49C6">
              <w:rPr>
                <w:rFonts w:ascii="Arial Narrow" w:hAnsi="Arial Narrow"/>
                <w:b/>
                <w:bCs/>
                <w:sz w:val="20"/>
                <w:szCs w:val="20"/>
              </w:rPr>
              <w:t>CDI recurrence at 12 weeks, stratified by risk factors</w:t>
            </w:r>
          </w:p>
        </w:tc>
      </w:tr>
      <w:tr w:rsidR="00B8785C" w:rsidRPr="000B49C6" w:rsidTr="00D370B3">
        <w:tc>
          <w:tcPr>
            <w:tcW w:w="2830" w:type="dxa"/>
            <w:shd w:val="clear" w:color="auto" w:fill="auto"/>
          </w:tcPr>
          <w:p w:rsidR="00B8785C" w:rsidRPr="000B49C6" w:rsidRDefault="00B8785C" w:rsidP="00D370B3">
            <w:pPr>
              <w:rPr>
                <w:rFonts w:ascii="Arial Narrow" w:hAnsi="Arial Narrow"/>
                <w:sz w:val="20"/>
                <w:szCs w:val="20"/>
              </w:rPr>
            </w:pPr>
            <w:r w:rsidRPr="000B49C6">
              <w:rPr>
                <w:rFonts w:ascii="Arial Narrow" w:hAnsi="Arial Narrow"/>
                <w:sz w:val="20"/>
                <w:szCs w:val="20"/>
              </w:rPr>
              <w:t>All participant</w:t>
            </w:r>
          </w:p>
        </w:tc>
        <w:tc>
          <w:tcPr>
            <w:tcW w:w="1418" w:type="dxa"/>
            <w:shd w:val="clear" w:color="auto" w:fill="D9D9D9" w:themeFill="background1" w:themeFillShade="D9"/>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129/781 (16.5)</w:t>
            </w:r>
          </w:p>
        </w:tc>
        <w:tc>
          <w:tcPr>
            <w:tcW w:w="1417" w:type="dxa"/>
            <w:shd w:val="clear" w:color="auto" w:fill="D9D9D9" w:themeFill="background1" w:themeFillShade="D9"/>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206/773 (26.6)</w:t>
            </w:r>
          </w:p>
        </w:tc>
        <w:tc>
          <w:tcPr>
            <w:tcW w:w="1843" w:type="dxa"/>
            <w:shd w:val="clear" w:color="auto" w:fill="D9D9D9" w:themeFill="background1" w:themeFillShade="D9"/>
            <w:vAlign w:val="center"/>
          </w:tcPr>
          <w:p w:rsidR="00B8785C" w:rsidRPr="000B49C6" w:rsidRDefault="00B8785C" w:rsidP="00D370B3">
            <w:pPr>
              <w:jc w:val="center"/>
              <w:rPr>
                <w:rFonts w:ascii="Arial Narrow" w:hAnsi="Arial Narrow"/>
                <w:b/>
                <w:bCs/>
                <w:iCs/>
                <w:sz w:val="20"/>
                <w:szCs w:val="20"/>
              </w:rPr>
            </w:pPr>
            <w:r w:rsidRPr="000B49C6">
              <w:rPr>
                <w:rFonts w:ascii="Arial Narrow" w:hAnsi="Arial Narrow"/>
                <w:b/>
                <w:bCs/>
                <w:sz w:val="20"/>
                <w:szCs w:val="20"/>
              </w:rPr>
              <w:t>-10.0 (-14.0, -6.0)^</w:t>
            </w:r>
          </w:p>
        </w:tc>
        <w:tc>
          <w:tcPr>
            <w:tcW w:w="1508" w:type="dxa"/>
            <w:shd w:val="clear" w:color="auto" w:fill="D9D9D9" w:themeFill="background1" w:themeFillShade="D9"/>
            <w:vAlign w:val="center"/>
          </w:tcPr>
          <w:p w:rsidR="00B8785C" w:rsidRPr="000B49C6" w:rsidRDefault="00B8785C" w:rsidP="00D370B3">
            <w:pPr>
              <w:jc w:val="center"/>
              <w:rPr>
                <w:rFonts w:ascii="Arial Narrow" w:hAnsi="Arial Narrow"/>
                <w:b/>
                <w:bCs/>
                <w:iCs/>
                <w:sz w:val="20"/>
                <w:szCs w:val="20"/>
              </w:rPr>
            </w:pPr>
            <w:r w:rsidRPr="000B49C6">
              <w:rPr>
                <w:rFonts w:ascii="Arial Narrow" w:hAnsi="Arial Narrow"/>
                <w:b/>
                <w:bCs/>
                <w:iCs/>
                <w:sz w:val="20"/>
                <w:szCs w:val="20"/>
              </w:rPr>
              <w:t>0.62 (0.51,0.75)</w:t>
            </w:r>
          </w:p>
        </w:tc>
      </w:tr>
      <w:tr w:rsidR="00B8785C" w:rsidRPr="000B49C6" w:rsidTr="00D370B3">
        <w:tc>
          <w:tcPr>
            <w:tcW w:w="2830" w:type="dxa"/>
            <w:shd w:val="clear" w:color="auto" w:fill="auto"/>
          </w:tcPr>
          <w:p w:rsidR="00B8785C" w:rsidRPr="000B49C6" w:rsidRDefault="00B8785C" w:rsidP="00D370B3">
            <w:pPr>
              <w:ind w:left="109"/>
              <w:rPr>
                <w:rFonts w:ascii="Arial Narrow" w:hAnsi="Arial Narrow"/>
                <w:sz w:val="20"/>
                <w:szCs w:val="20"/>
              </w:rPr>
            </w:pPr>
            <w:r w:rsidRPr="000B49C6">
              <w:rPr>
                <w:rFonts w:ascii="Arial Narrow" w:hAnsi="Arial Narrow"/>
                <w:sz w:val="20"/>
                <w:szCs w:val="20"/>
              </w:rPr>
              <w:t xml:space="preserve">Overall (≥1 of below risk </w:t>
            </w:r>
            <w:proofErr w:type="spellStart"/>
            <w:r w:rsidRPr="000B49C6">
              <w:rPr>
                <w:rFonts w:ascii="Arial Narrow" w:hAnsi="Arial Narrow"/>
                <w:sz w:val="20"/>
                <w:szCs w:val="20"/>
              </w:rPr>
              <w:t>factor</w:t>
            </w:r>
            <w:r w:rsidR="00C95CD3" w:rsidRPr="000B49C6">
              <w:rPr>
                <w:rFonts w:ascii="Arial Narrow" w:hAnsi="Arial Narrow"/>
                <w:sz w:val="20"/>
                <w:szCs w:val="20"/>
                <w:vertAlign w:val="superscript"/>
              </w:rPr>
              <w:t>c</w:t>
            </w:r>
            <w:proofErr w:type="spellEnd"/>
            <w:r w:rsidRPr="000B49C6">
              <w:rPr>
                <w:rFonts w:ascii="Arial Narrow" w:hAnsi="Arial Narrow"/>
                <w:sz w:val="20"/>
                <w:szCs w:val="20"/>
              </w:rPr>
              <w:t>)</w:t>
            </w:r>
          </w:p>
        </w:tc>
        <w:tc>
          <w:tcPr>
            <w:tcW w:w="1418" w:type="dxa"/>
            <w:shd w:val="clear" w:color="auto" w:fill="D9D9D9" w:themeFill="background1" w:themeFillShade="D9"/>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100/592 (16.9)</w:t>
            </w:r>
          </w:p>
        </w:tc>
        <w:tc>
          <w:tcPr>
            <w:tcW w:w="1417" w:type="dxa"/>
            <w:shd w:val="clear" w:color="auto" w:fill="D9D9D9" w:themeFill="background1" w:themeFillShade="D9"/>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174</w:t>
            </w:r>
            <w:r w:rsidR="00C95CD3" w:rsidRPr="000B49C6">
              <w:rPr>
                <w:rFonts w:ascii="Arial Narrow" w:hAnsi="Arial Narrow"/>
                <w:sz w:val="20"/>
                <w:szCs w:val="20"/>
                <w:vertAlign w:val="superscript"/>
              </w:rPr>
              <w:t>d</w:t>
            </w:r>
            <w:r w:rsidRPr="000B49C6">
              <w:rPr>
                <w:rFonts w:ascii="Arial Narrow" w:hAnsi="Arial Narrow"/>
                <w:sz w:val="20"/>
                <w:szCs w:val="20"/>
              </w:rPr>
              <w:t>/583 (29.8)</w:t>
            </w:r>
          </w:p>
        </w:tc>
        <w:tc>
          <w:tcPr>
            <w:tcW w:w="1843" w:type="dxa"/>
            <w:shd w:val="clear" w:color="auto" w:fill="D9D9D9" w:themeFill="background1" w:themeFillShade="D9"/>
            <w:vAlign w:val="center"/>
          </w:tcPr>
          <w:p w:rsidR="00B8785C" w:rsidRPr="000B49C6" w:rsidRDefault="00B8785C" w:rsidP="00D370B3">
            <w:pPr>
              <w:jc w:val="center"/>
              <w:rPr>
                <w:rFonts w:ascii="Arial Narrow" w:hAnsi="Arial Narrow"/>
                <w:b/>
                <w:bCs/>
                <w:iCs/>
                <w:sz w:val="20"/>
                <w:szCs w:val="20"/>
              </w:rPr>
            </w:pPr>
            <w:r w:rsidRPr="000B49C6">
              <w:rPr>
                <w:rFonts w:ascii="Arial Narrow" w:hAnsi="Arial Narrow"/>
                <w:b/>
                <w:bCs/>
                <w:iCs/>
                <w:color w:val="000000"/>
                <w:sz w:val="20"/>
                <w:szCs w:val="20"/>
              </w:rPr>
              <w:t>-12.8 (-17.6, -8.0)</w:t>
            </w:r>
          </w:p>
        </w:tc>
        <w:tc>
          <w:tcPr>
            <w:tcW w:w="1508" w:type="dxa"/>
            <w:shd w:val="clear" w:color="auto" w:fill="D9D9D9" w:themeFill="background1" w:themeFillShade="D9"/>
            <w:vAlign w:val="center"/>
          </w:tcPr>
          <w:p w:rsidR="00B8785C" w:rsidRPr="000B49C6" w:rsidRDefault="00B8785C" w:rsidP="00D370B3">
            <w:pPr>
              <w:jc w:val="center"/>
              <w:rPr>
                <w:rFonts w:ascii="Arial Narrow" w:hAnsi="Arial Narrow"/>
                <w:b/>
                <w:bCs/>
                <w:iCs/>
                <w:sz w:val="20"/>
                <w:szCs w:val="20"/>
              </w:rPr>
            </w:pPr>
            <w:r w:rsidRPr="000B49C6">
              <w:rPr>
                <w:rFonts w:ascii="Arial Narrow" w:hAnsi="Arial Narrow"/>
                <w:b/>
                <w:bCs/>
                <w:iCs/>
                <w:sz w:val="20"/>
                <w:szCs w:val="20"/>
              </w:rPr>
              <w:t>0.57 (0.46, 0.71)</w:t>
            </w:r>
          </w:p>
        </w:tc>
      </w:tr>
      <w:tr w:rsidR="00B8785C" w:rsidRPr="000B49C6" w:rsidTr="00D370B3">
        <w:tc>
          <w:tcPr>
            <w:tcW w:w="2830" w:type="dxa"/>
            <w:shd w:val="clear" w:color="auto" w:fill="auto"/>
          </w:tcPr>
          <w:p w:rsidR="00B8785C" w:rsidRPr="000B49C6" w:rsidRDefault="00B8785C" w:rsidP="00D370B3">
            <w:pPr>
              <w:ind w:left="254"/>
              <w:rPr>
                <w:rFonts w:ascii="Arial Narrow" w:hAnsi="Arial Narrow"/>
                <w:sz w:val="20"/>
                <w:szCs w:val="20"/>
              </w:rPr>
            </w:pPr>
            <w:r w:rsidRPr="000B49C6">
              <w:rPr>
                <w:rFonts w:ascii="Arial Narrow" w:hAnsi="Arial Narrow"/>
                <w:sz w:val="20"/>
                <w:szCs w:val="20"/>
              </w:rPr>
              <w:t xml:space="preserve">- Age ≥65 years </w:t>
            </w:r>
          </w:p>
        </w:tc>
        <w:tc>
          <w:tcPr>
            <w:tcW w:w="1418" w:type="dxa"/>
            <w:shd w:val="clear" w:color="auto" w:fill="D9D9D9" w:themeFill="background1" w:themeFillShade="D9"/>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60/390 (15.4)</w:t>
            </w:r>
          </w:p>
        </w:tc>
        <w:tc>
          <w:tcPr>
            <w:tcW w:w="1417" w:type="dxa"/>
            <w:shd w:val="clear" w:color="auto" w:fill="D9D9D9" w:themeFill="background1" w:themeFillShade="D9"/>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127/405 (31.4)</w:t>
            </w:r>
          </w:p>
        </w:tc>
        <w:tc>
          <w:tcPr>
            <w:tcW w:w="1843" w:type="dxa"/>
            <w:shd w:val="clear" w:color="auto" w:fill="D9D9D9" w:themeFill="background1" w:themeFillShade="D9"/>
            <w:vAlign w:val="center"/>
          </w:tcPr>
          <w:p w:rsidR="00B8785C" w:rsidRPr="000B49C6" w:rsidRDefault="00B8785C" w:rsidP="00D370B3">
            <w:pPr>
              <w:jc w:val="center"/>
              <w:rPr>
                <w:rFonts w:ascii="Arial Narrow" w:hAnsi="Arial Narrow"/>
                <w:b/>
                <w:bCs/>
                <w:iCs/>
                <w:sz w:val="20"/>
                <w:szCs w:val="20"/>
              </w:rPr>
            </w:pPr>
            <w:r w:rsidRPr="000B49C6">
              <w:rPr>
                <w:rFonts w:ascii="Arial Narrow" w:hAnsi="Arial Narrow"/>
                <w:b/>
                <w:bCs/>
                <w:iCs/>
                <w:sz w:val="20"/>
                <w:szCs w:val="20"/>
              </w:rPr>
              <w:t>-16.0 (-21.7, -10.2)</w:t>
            </w:r>
          </w:p>
        </w:tc>
        <w:tc>
          <w:tcPr>
            <w:tcW w:w="1508" w:type="dxa"/>
            <w:shd w:val="clear" w:color="auto" w:fill="D9D9D9" w:themeFill="background1" w:themeFillShade="D9"/>
            <w:vAlign w:val="center"/>
          </w:tcPr>
          <w:p w:rsidR="00B8785C" w:rsidRPr="000B49C6" w:rsidRDefault="00B8785C" w:rsidP="00D370B3">
            <w:pPr>
              <w:jc w:val="center"/>
              <w:rPr>
                <w:rFonts w:ascii="Arial Narrow" w:hAnsi="Arial Narrow"/>
                <w:b/>
                <w:bCs/>
                <w:iCs/>
                <w:sz w:val="20"/>
                <w:szCs w:val="20"/>
              </w:rPr>
            </w:pPr>
            <w:r w:rsidRPr="000B49C6">
              <w:rPr>
                <w:rFonts w:ascii="Arial Narrow" w:hAnsi="Arial Narrow"/>
                <w:b/>
                <w:bCs/>
                <w:iCs/>
                <w:sz w:val="20"/>
                <w:szCs w:val="20"/>
              </w:rPr>
              <w:t>0.49 (0.37,0.64)</w:t>
            </w:r>
          </w:p>
        </w:tc>
      </w:tr>
      <w:tr w:rsidR="00B8785C" w:rsidRPr="000B49C6" w:rsidTr="00D370B3">
        <w:tc>
          <w:tcPr>
            <w:tcW w:w="2830" w:type="dxa"/>
            <w:shd w:val="clear" w:color="auto" w:fill="auto"/>
          </w:tcPr>
          <w:p w:rsidR="00B8785C" w:rsidRPr="000B49C6" w:rsidRDefault="00B8785C" w:rsidP="00D370B3">
            <w:pPr>
              <w:ind w:left="254"/>
              <w:rPr>
                <w:rFonts w:ascii="Arial Narrow" w:hAnsi="Arial Narrow"/>
                <w:sz w:val="20"/>
                <w:szCs w:val="20"/>
              </w:rPr>
            </w:pPr>
            <w:r w:rsidRPr="000B49C6">
              <w:rPr>
                <w:rFonts w:ascii="Arial Narrow" w:hAnsi="Arial Narrow"/>
                <w:sz w:val="20"/>
                <w:szCs w:val="20"/>
              </w:rPr>
              <w:t>- ≥1 CDI episode in past 6 months</w:t>
            </w:r>
          </w:p>
        </w:tc>
        <w:tc>
          <w:tcPr>
            <w:tcW w:w="1418" w:type="dxa"/>
            <w:shd w:val="clear" w:color="auto" w:fill="D9D9D9" w:themeFill="background1" w:themeFillShade="D9"/>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54/216 (25.0)</w:t>
            </w:r>
          </w:p>
        </w:tc>
        <w:tc>
          <w:tcPr>
            <w:tcW w:w="1417" w:type="dxa"/>
            <w:shd w:val="clear" w:color="auto" w:fill="D9D9D9" w:themeFill="background1" w:themeFillShade="D9"/>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90/219 (41.1)</w:t>
            </w:r>
          </w:p>
        </w:tc>
        <w:tc>
          <w:tcPr>
            <w:tcW w:w="1843" w:type="dxa"/>
            <w:shd w:val="clear" w:color="auto" w:fill="D9D9D9" w:themeFill="background1" w:themeFillShade="D9"/>
            <w:vAlign w:val="center"/>
          </w:tcPr>
          <w:p w:rsidR="00B8785C" w:rsidRPr="000B49C6" w:rsidRDefault="00B8785C" w:rsidP="00D370B3">
            <w:pPr>
              <w:jc w:val="center"/>
              <w:rPr>
                <w:rFonts w:ascii="Arial Narrow" w:hAnsi="Arial Narrow"/>
                <w:b/>
                <w:bCs/>
                <w:iCs/>
                <w:sz w:val="20"/>
                <w:szCs w:val="20"/>
              </w:rPr>
            </w:pPr>
            <w:r w:rsidRPr="000B49C6">
              <w:rPr>
                <w:rFonts w:ascii="Arial Narrow" w:hAnsi="Arial Narrow"/>
                <w:b/>
                <w:bCs/>
                <w:iCs/>
                <w:sz w:val="20"/>
                <w:szCs w:val="20"/>
              </w:rPr>
              <w:t>-16.1 (-24.7,-7.3)</w:t>
            </w:r>
          </w:p>
        </w:tc>
        <w:tc>
          <w:tcPr>
            <w:tcW w:w="1508" w:type="dxa"/>
            <w:shd w:val="clear" w:color="auto" w:fill="D9D9D9" w:themeFill="background1" w:themeFillShade="D9"/>
            <w:vAlign w:val="center"/>
          </w:tcPr>
          <w:p w:rsidR="00B8785C" w:rsidRPr="000B49C6" w:rsidRDefault="00B8785C" w:rsidP="00D370B3">
            <w:pPr>
              <w:jc w:val="center"/>
              <w:rPr>
                <w:rFonts w:ascii="Arial Narrow" w:hAnsi="Arial Narrow"/>
                <w:b/>
                <w:bCs/>
                <w:iCs/>
                <w:sz w:val="20"/>
                <w:szCs w:val="20"/>
              </w:rPr>
            </w:pPr>
            <w:r w:rsidRPr="000B49C6">
              <w:rPr>
                <w:rFonts w:ascii="Arial Narrow" w:hAnsi="Arial Narrow"/>
                <w:b/>
                <w:bCs/>
                <w:iCs/>
                <w:sz w:val="20"/>
                <w:szCs w:val="20"/>
              </w:rPr>
              <w:t>0.61 (0.46, 0.80)</w:t>
            </w:r>
          </w:p>
        </w:tc>
      </w:tr>
      <w:tr w:rsidR="00B8785C" w:rsidRPr="000B49C6" w:rsidTr="00D370B3">
        <w:tc>
          <w:tcPr>
            <w:tcW w:w="2830" w:type="dxa"/>
            <w:shd w:val="clear" w:color="auto" w:fill="auto"/>
          </w:tcPr>
          <w:p w:rsidR="00B8785C" w:rsidRPr="000B49C6" w:rsidRDefault="00B8785C" w:rsidP="00D370B3">
            <w:pPr>
              <w:ind w:left="254"/>
              <w:rPr>
                <w:rFonts w:ascii="Arial Narrow" w:hAnsi="Arial Narrow"/>
                <w:sz w:val="20"/>
                <w:szCs w:val="20"/>
              </w:rPr>
            </w:pPr>
            <w:r w:rsidRPr="000B49C6">
              <w:rPr>
                <w:rFonts w:ascii="Arial Narrow" w:hAnsi="Arial Narrow"/>
                <w:sz w:val="20"/>
                <w:szCs w:val="20"/>
              </w:rPr>
              <w:t>- Immunocompromised</w:t>
            </w:r>
          </w:p>
        </w:tc>
        <w:tc>
          <w:tcPr>
            <w:tcW w:w="1418" w:type="dxa"/>
            <w:shd w:val="clear" w:color="auto" w:fill="D9D9D9" w:themeFill="background1" w:themeFillShade="D9"/>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26/169 (15.4)</w:t>
            </w:r>
          </w:p>
        </w:tc>
        <w:tc>
          <w:tcPr>
            <w:tcW w:w="1417" w:type="dxa"/>
            <w:shd w:val="clear" w:color="auto" w:fill="D9D9D9" w:themeFill="background1" w:themeFillShade="D9"/>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41/145 (28.3)</w:t>
            </w:r>
          </w:p>
        </w:tc>
        <w:tc>
          <w:tcPr>
            <w:tcW w:w="1843" w:type="dxa"/>
            <w:shd w:val="clear" w:color="auto" w:fill="D9D9D9" w:themeFill="background1" w:themeFillShade="D9"/>
            <w:vAlign w:val="center"/>
          </w:tcPr>
          <w:p w:rsidR="00B8785C" w:rsidRPr="000B49C6" w:rsidRDefault="00B8785C" w:rsidP="00D370B3">
            <w:pPr>
              <w:jc w:val="center"/>
              <w:rPr>
                <w:rFonts w:ascii="Arial Narrow" w:hAnsi="Arial Narrow"/>
                <w:b/>
                <w:bCs/>
                <w:iCs/>
                <w:color w:val="000000"/>
                <w:sz w:val="20"/>
                <w:szCs w:val="20"/>
              </w:rPr>
            </w:pPr>
            <w:r w:rsidRPr="000B49C6">
              <w:rPr>
                <w:rFonts w:ascii="Arial Narrow" w:hAnsi="Arial Narrow"/>
                <w:b/>
                <w:bCs/>
                <w:iCs/>
                <w:color w:val="000000"/>
                <w:sz w:val="20"/>
                <w:szCs w:val="20"/>
              </w:rPr>
              <w:t>-12.9 (-22.1, -3.8)</w:t>
            </w:r>
          </w:p>
        </w:tc>
        <w:tc>
          <w:tcPr>
            <w:tcW w:w="1508" w:type="dxa"/>
            <w:shd w:val="clear" w:color="auto" w:fill="D9D9D9" w:themeFill="background1" w:themeFillShade="D9"/>
            <w:vAlign w:val="center"/>
          </w:tcPr>
          <w:p w:rsidR="00B8785C" w:rsidRPr="000B49C6" w:rsidRDefault="00B8785C" w:rsidP="00D370B3">
            <w:pPr>
              <w:jc w:val="center"/>
              <w:rPr>
                <w:rFonts w:ascii="Arial Narrow" w:hAnsi="Arial Narrow"/>
                <w:b/>
                <w:bCs/>
                <w:iCs/>
                <w:sz w:val="20"/>
                <w:szCs w:val="20"/>
              </w:rPr>
            </w:pPr>
            <w:r w:rsidRPr="000B49C6">
              <w:rPr>
                <w:rFonts w:ascii="Arial Narrow" w:hAnsi="Arial Narrow"/>
                <w:b/>
                <w:bCs/>
                <w:iCs/>
                <w:sz w:val="20"/>
                <w:szCs w:val="20"/>
              </w:rPr>
              <w:t>0.54 (0.35, 0.84)</w:t>
            </w:r>
          </w:p>
        </w:tc>
      </w:tr>
      <w:tr w:rsidR="00B8785C" w:rsidRPr="000B49C6" w:rsidTr="00D370B3">
        <w:tc>
          <w:tcPr>
            <w:tcW w:w="2830" w:type="dxa"/>
            <w:shd w:val="clear" w:color="auto" w:fill="auto"/>
          </w:tcPr>
          <w:p w:rsidR="00B8785C" w:rsidRPr="000B49C6" w:rsidRDefault="00B8785C" w:rsidP="00D370B3">
            <w:pPr>
              <w:ind w:left="254"/>
              <w:rPr>
                <w:rFonts w:ascii="Arial Narrow" w:hAnsi="Arial Narrow"/>
                <w:sz w:val="20"/>
                <w:szCs w:val="20"/>
              </w:rPr>
            </w:pPr>
            <w:r w:rsidRPr="000B49C6">
              <w:rPr>
                <w:rFonts w:ascii="Arial Narrow" w:hAnsi="Arial Narrow"/>
                <w:sz w:val="20"/>
                <w:szCs w:val="20"/>
              </w:rPr>
              <w:t xml:space="preserve">- Severe CDI; </w:t>
            </w:r>
            <w:proofErr w:type="spellStart"/>
            <w:r w:rsidRPr="000B49C6">
              <w:rPr>
                <w:rFonts w:ascii="Arial Narrow" w:hAnsi="Arial Narrow"/>
                <w:sz w:val="20"/>
                <w:szCs w:val="20"/>
              </w:rPr>
              <w:t>Zar</w:t>
            </w:r>
            <w:proofErr w:type="spellEnd"/>
            <w:r w:rsidRPr="000B49C6">
              <w:rPr>
                <w:rFonts w:ascii="Arial Narrow" w:hAnsi="Arial Narrow"/>
                <w:sz w:val="20"/>
                <w:szCs w:val="20"/>
              </w:rPr>
              <w:t xml:space="preserve"> score ≥2</w:t>
            </w:r>
          </w:p>
        </w:tc>
        <w:tc>
          <w:tcPr>
            <w:tcW w:w="1418" w:type="dxa"/>
            <w:shd w:val="clear" w:color="auto" w:fill="D9D9D9" w:themeFill="background1" w:themeFillShade="D9"/>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13/122 (10.7)</w:t>
            </w:r>
          </w:p>
        </w:tc>
        <w:tc>
          <w:tcPr>
            <w:tcW w:w="1417" w:type="dxa"/>
            <w:shd w:val="clear" w:color="auto" w:fill="D9D9D9" w:themeFill="background1" w:themeFillShade="D9"/>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28/125 (22.4)</w:t>
            </w:r>
          </w:p>
        </w:tc>
        <w:tc>
          <w:tcPr>
            <w:tcW w:w="1843" w:type="dxa"/>
            <w:shd w:val="clear" w:color="auto" w:fill="D9D9D9" w:themeFill="background1" w:themeFillShade="D9"/>
            <w:vAlign w:val="center"/>
          </w:tcPr>
          <w:p w:rsidR="00B8785C" w:rsidRPr="000B49C6" w:rsidRDefault="00B8785C" w:rsidP="00D370B3">
            <w:pPr>
              <w:jc w:val="center"/>
              <w:rPr>
                <w:rFonts w:ascii="Arial Narrow" w:hAnsi="Arial Narrow"/>
                <w:b/>
                <w:bCs/>
                <w:iCs/>
                <w:color w:val="000000"/>
                <w:sz w:val="20"/>
                <w:szCs w:val="20"/>
              </w:rPr>
            </w:pPr>
            <w:r w:rsidRPr="000B49C6">
              <w:rPr>
                <w:rFonts w:ascii="Arial Narrow" w:hAnsi="Arial Narrow"/>
                <w:b/>
                <w:bCs/>
                <w:iCs/>
                <w:color w:val="000000"/>
                <w:sz w:val="20"/>
                <w:szCs w:val="20"/>
              </w:rPr>
              <w:t>-11.7 (-21.1,-2.5)</w:t>
            </w:r>
          </w:p>
        </w:tc>
        <w:tc>
          <w:tcPr>
            <w:tcW w:w="1508" w:type="dxa"/>
            <w:shd w:val="clear" w:color="auto" w:fill="D9D9D9" w:themeFill="background1" w:themeFillShade="D9"/>
            <w:vAlign w:val="center"/>
          </w:tcPr>
          <w:p w:rsidR="00B8785C" w:rsidRPr="000B49C6" w:rsidRDefault="00B8785C" w:rsidP="00D370B3">
            <w:pPr>
              <w:jc w:val="center"/>
              <w:rPr>
                <w:rFonts w:ascii="Arial Narrow" w:hAnsi="Arial Narrow"/>
                <w:b/>
                <w:bCs/>
                <w:iCs/>
                <w:sz w:val="20"/>
                <w:szCs w:val="20"/>
              </w:rPr>
            </w:pPr>
            <w:r w:rsidRPr="000B49C6">
              <w:rPr>
                <w:rFonts w:ascii="Arial Narrow" w:hAnsi="Arial Narrow"/>
                <w:b/>
                <w:bCs/>
                <w:iCs/>
                <w:sz w:val="20"/>
                <w:szCs w:val="20"/>
              </w:rPr>
              <w:t>0.48 (0.26, 0.86)</w:t>
            </w:r>
          </w:p>
        </w:tc>
      </w:tr>
      <w:tr w:rsidR="00B8785C" w:rsidRPr="000B49C6" w:rsidTr="00D370B3">
        <w:tc>
          <w:tcPr>
            <w:tcW w:w="2830" w:type="dxa"/>
            <w:shd w:val="clear" w:color="auto" w:fill="auto"/>
          </w:tcPr>
          <w:p w:rsidR="00B8785C" w:rsidRPr="000B49C6" w:rsidRDefault="00B8785C" w:rsidP="00D370B3">
            <w:pPr>
              <w:ind w:left="254"/>
              <w:rPr>
                <w:rFonts w:ascii="Arial Narrow" w:hAnsi="Arial Narrow"/>
                <w:sz w:val="20"/>
                <w:szCs w:val="20"/>
              </w:rPr>
            </w:pPr>
            <w:r w:rsidRPr="000B49C6">
              <w:rPr>
                <w:rFonts w:ascii="Arial Narrow" w:hAnsi="Arial Narrow"/>
                <w:sz w:val="20"/>
                <w:szCs w:val="20"/>
              </w:rPr>
              <w:t>- 027, 078 or 244 strain</w:t>
            </w:r>
          </w:p>
        </w:tc>
        <w:tc>
          <w:tcPr>
            <w:tcW w:w="1418" w:type="dxa"/>
            <w:shd w:val="clear" w:color="auto" w:fill="D9D9D9" w:themeFill="background1" w:themeFillShade="D9"/>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22/102 (21.6)</w:t>
            </w:r>
          </w:p>
        </w:tc>
        <w:tc>
          <w:tcPr>
            <w:tcW w:w="1417" w:type="dxa"/>
            <w:shd w:val="clear" w:color="auto" w:fill="D9D9D9" w:themeFill="background1" w:themeFillShade="D9"/>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37/115 (32.2)</w:t>
            </w:r>
          </w:p>
        </w:tc>
        <w:tc>
          <w:tcPr>
            <w:tcW w:w="1843" w:type="dxa"/>
            <w:shd w:val="clear" w:color="auto" w:fill="D9D9D9" w:themeFill="background1" w:themeFillShade="D9"/>
            <w:vAlign w:val="center"/>
          </w:tcPr>
          <w:p w:rsidR="00B8785C" w:rsidRPr="000B49C6" w:rsidRDefault="00B8785C" w:rsidP="00D370B3">
            <w:pPr>
              <w:jc w:val="center"/>
              <w:rPr>
                <w:rFonts w:ascii="Arial Narrow" w:hAnsi="Arial Narrow"/>
                <w:iCs/>
                <w:color w:val="000000"/>
                <w:sz w:val="20"/>
                <w:szCs w:val="20"/>
              </w:rPr>
            </w:pPr>
            <w:r w:rsidRPr="000B49C6">
              <w:rPr>
                <w:rFonts w:ascii="Arial Narrow" w:hAnsi="Arial Narrow"/>
                <w:iCs/>
                <w:color w:val="000000"/>
                <w:sz w:val="20"/>
                <w:szCs w:val="20"/>
              </w:rPr>
              <w:t>-10.6 (-22.1, 1.3)</w:t>
            </w:r>
          </w:p>
        </w:tc>
        <w:tc>
          <w:tcPr>
            <w:tcW w:w="1508" w:type="dxa"/>
            <w:shd w:val="clear" w:color="auto" w:fill="D9D9D9" w:themeFill="background1" w:themeFillShade="D9"/>
            <w:vAlign w:val="center"/>
          </w:tcPr>
          <w:p w:rsidR="00B8785C" w:rsidRPr="000B49C6" w:rsidRDefault="00B8785C" w:rsidP="00D370B3">
            <w:pPr>
              <w:jc w:val="center"/>
              <w:rPr>
                <w:rFonts w:ascii="Arial Narrow" w:hAnsi="Arial Narrow"/>
                <w:iCs/>
                <w:sz w:val="20"/>
                <w:szCs w:val="20"/>
              </w:rPr>
            </w:pPr>
            <w:r w:rsidRPr="000B49C6">
              <w:rPr>
                <w:rFonts w:ascii="Arial Narrow" w:hAnsi="Arial Narrow"/>
                <w:iCs/>
                <w:sz w:val="20"/>
                <w:szCs w:val="20"/>
              </w:rPr>
              <w:t>0.67 (0.42, 1.05)</w:t>
            </w:r>
          </w:p>
        </w:tc>
      </w:tr>
      <w:tr w:rsidR="00B8785C" w:rsidRPr="000B49C6" w:rsidTr="00D370B3">
        <w:trPr>
          <w:trHeight w:val="105"/>
        </w:trPr>
        <w:tc>
          <w:tcPr>
            <w:tcW w:w="2830" w:type="dxa"/>
            <w:shd w:val="clear" w:color="auto" w:fill="auto"/>
          </w:tcPr>
          <w:p w:rsidR="00B8785C" w:rsidRPr="000B49C6" w:rsidRDefault="00B8785C" w:rsidP="00D370B3">
            <w:pPr>
              <w:ind w:left="109"/>
              <w:rPr>
                <w:rFonts w:ascii="Arial Narrow" w:hAnsi="Arial Narrow"/>
                <w:sz w:val="20"/>
                <w:szCs w:val="20"/>
              </w:rPr>
            </w:pPr>
            <w:r w:rsidRPr="000B49C6">
              <w:rPr>
                <w:rFonts w:ascii="Arial Narrow" w:hAnsi="Arial Narrow"/>
                <w:sz w:val="20"/>
                <w:szCs w:val="20"/>
              </w:rPr>
              <w:t>027 strain</w:t>
            </w:r>
          </w:p>
        </w:tc>
        <w:tc>
          <w:tcPr>
            <w:tcW w:w="1418" w:type="dxa"/>
            <w:shd w:val="clear" w:color="auto" w:fill="D9D9D9" w:themeFill="background1" w:themeFillShade="D9"/>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21/89 (23.6)</w:t>
            </w:r>
          </w:p>
        </w:tc>
        <w:tc>
          <w:tcPr>
            <w:tcW w:w="1417" w:type="dxa"/>
            <w:shd w:val="clear" w:color="auto" w:fill="D9D9D9" w:themeFill="background1" w:themeFillShade="D9"/>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34/100 (34.0)</w:t>
            </w:r>
          </w:p>
        </w:tc>
        <w:tc>
          <w:tcPr>
            <w:tcW w:w="1843" w:type="dxa"/>
            <w:shd w:val="clear" w:color="auto" w:fill="D9D9D9" w:themeFill="background1" w:themeFillShade="D9"/>
            <w:vAlign w:val="center"/>
          </w:tcPr>
          <w:p w:rsidR="00B8785C" w:rsidRPr="000B49C6" w:rsidRDefault="00B8785C" w:rsidP="00D370B3">
            <w:pPr>
              <w:jc w:val="center"/>
              <w:rPr>
                <w:rFonts w:ascii="Arial Narrow" w:hAnsi="Arial Narrow"/>
                <w:iCs/>
                <w:color w:val="000000"/>
                <w:sz w:val="20"/>
                <w:szCs w:val="20"/>
              </w:rPr>
            </w:pPr>
            <w:r w:rsidRPr="000B49C6">
              <w:rPr>
                <w:rFonts w:ascii="Arial Narrow" w:hAnsi="Arial Narrow"/>
                <w:iCs/>
                <w:color w:val="000000"/>
                <w:sz w:val="20"/>
                <w:szCs w:val="20"/>
              </w:rPr>
              <w:t>-10.4 (-23.0,2.6)</w:t>
            </w:r>
          </w:p>
        </w:tc>
        <w:tc>
          <w:tcPr>
            <w:tcW w:w="1508" w:type="dxa"/>
            <w:shd w:val="clear" w:color="auto" w:fill="D9D9D9" w:themeFill="background1" w:themeFillShade="D9"/>
            <w:vAlign w:val="center"/>
          </w:tcPr>
          <w:p w:rsidR="00B8785C" w:rsidRPr="000B49C6" w:rsidRDefault="00B8785C" w:rsidP="00D370B3">
            <w:pPr>
              <w:jc w:val="center"/>
              <w:rPr>
                <w:rFonts w:ascii="Arial Narrow" w:hAnsi="Arial Narrow"/>
                <w:iCs/>
                <w:sz w:val="20"/>
                <w:szCs w:val="20"/>
              </w:rPr>
            </w:pPr>
            <w:r w:rsidRPr="000B49C6">
              <w:rPr>
                <w:rFonts w:ascii="Arial Narrow" w:hAnsi="Arial Narrow"/>
                <w:iCs/>
                <w:sz w:val="20"/>
                <w:szCs w:val="20"/>
              </w:rPr>
              <w:t>0.69 (0.44, 1.09)</w:t>
            </w:r>
          </w:p>
        </w:tc>
      </w:tr>
      <w:tr w:rsidR="00B8785C" w:rsidRPr="000B49C6" w:rsidTr="00D370B3">
        <w:tc>
          <w:tcPr>
            <w:tcW w:w="2830" w:type="dxa"/>
            <w:shd w:val="clear" w:color="auto" w:fill="auto"/>
          </w:tcPr>
          <w:p w:rsidR="00B8785C" w:rsidRPr="000B49C6" w:rsidRDefault="00B8785C" w:rsidP="00D370B3">
            <w:pPr>
              <w:ind w:left="109"/>
              <w:rPr>
                <w:rFonts w:ascii="Arial Narrow" w:hAnsi="Arial Narrow"/>
                <w:sz w:val="20"/>
                <w:szCs w:val="20"/>
              </w:rPr>
            </w:pPr>
            <w:r w:rsidRPr="000B49C6">
              <w:rPr>
                <w:rFonts w:ascii="Arial Narrow" w:hAnsi="Arial Narrow"/>
                <w:sz w:val="20"/>
                <w:szCs w:val="20"/>
              </w:rPr>
              <w:t>≥2 previous CDI episodes ever</w:t>
            </w:r>
          </w:p>
        </w:tc>
        <w:tc>
          <w:tcPr>
            <w:tcW w:w="1418" w:type="dxa"/>
            <w:shd w:val="clear" w:color="auto" w:fill="D9D9D9" w:themeFill="background1" w:themeFillShade="D9"/>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29/100 (29.0)</w:t>
            </w:r>
          </w:p>
        </w:tc>
        <w:tc>
          <w:tcPr>
            <w:tcW w:w="1417" w:type="dxa"/>
            <w:shd w:val="clear" w:color="auto" w:fill="D9D9D9" w:themeFill="background1" w:themeFillShade="D9"/>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53/126 (42.1)</w:t>
            </w:r>
          </w:p>
        </w:tc>
        <w:tc>
          <w:tcPr>
            <w:tcW w:w="1843" w:type="dxa"/>
            <w:shd w:val="clear" w:color="auto" w:fill="D9D9D9" w:themeFill="background1" w:themeFillShade="D9"/>
            <w:vAlign w:val="center"/>
          </w:tcPr>
          <w:p w:rsidR="00B8785C" w:rsidRPr="000B49C6" w:rsidRDefault="00B8785C" w:rsidP="00D370B3">
            <w:pPr>
              <w:jc w:val="center"/>
              <w:rPr>
                <w:rFonts w:ascii="Arial Narrow" w:hAnsi="Arial Narrow"/>
                <w:b/>
                <w:bCs/>
                <w:iCs/>
                <w:sz w:val="20"/>
                <w:szCs w:val="20"/>
              </w:rPr>
            </w:pPr>
            <w:r w:rsidRPr="000B49C6">
              <w:rPr>
                <w:rFonts w:ascii="Arial Narrow" w:hAnsi="Arial Narrow"/>
                <w:b/>
                <w:bCs/>
                <w:iCs/>
                <w:sz w:val="20"/>
                <w:szCs w:val="20"/>
              </w:rPr>
              <w:t>-13.1 (-25.1,-0.4)</w:t>
            </w:r>
          </w:p>
        </w:tc>
        <w:tc>
          <w:tcPr>
            <w:tcW w:w="1508" w:type="dxa"/>
            <w:shd w:val="clear" w:color="auto" w:fill="D9D9D9" w:themeFill="background1" w:themeFillShade="D9"/>
            <w:vAlign w:val="center"/>
          </w:tcPr>
          <w:p w:rsidR="00B8785C" w:rsidRPr="000B49C6" w:rsidRDefault="00B8785C" w:rsidP="00D370B3">
            <w:pPr>
              <w:jc w:val="center"/>
              <w:rPr>
                <w:rFonts w:ascii="Arial Narrow" w:hAnsi="Arial Narrow"/>
                <w:b/>
                <w:bCs/>
                <w:iCs/>
                <w:sz w:val="20"/>
                <w:szCs w:val="20"/>
              </w:rPr>
            </w:pPr>
            <w:r w:rsidRPr="000B49C6">
              <w:rPr>
                <w:rFonts w:ascii="Arial Narrow" w:hAnsi="Arial Narrow"/>
                <w:b/>
                <w:bCs/>
                <w:iCs/>
                <w:sz w:val="20"/>
                <w:szCs w:val="20"/>
              </w:rPr>
              <w:t>0.69 (0.47, 0.99)</w:t>
            </w:r>
          </w:p>
        </w:tc>
      </w:tr>
      <w:tr w:rsidR="00B8785C" w:rsidRPr="000B49C6" w:rsidTr="00D370B3">
        <w:trPr>
          <w:trHeight w:val="105"/>
        </w:trPr>
        <w:tc>
          <w:tcPr>
            <w:tcW w:w="2830" w:type="dxa"/>
            <w:shd w:val="clear" w:color="auto" w:fill="auto"/>
          </w:tcPr>
          <w:p w:rsidR="00B8785C" w:rsidRPr="000B49C6" w:rsidRDefault="00B8785C" w:rsidP="00D370B3">
            <w:pPr>
              <w:ind w:left="109"/>
              <w:rPr>
                <w:rFonts w:ascii="Arial Narrow" w:hAnsi="Arial Narrow"/>
                <w:iCs/>
                <w:sz w:val="20"/>
                <w:szCs w:val="20"/>
              </w:rPr>
            </w:pPr>
            <w:r w:rsidRPr="000B49C6">
              <w:rPr>
                <w:rFonts w:ascii="Arial Narrow" w:hAnsi="Arial Narrow"/>
                <w:iCs/>
                <w:sz w:val="20"/>
                <w:szCs w:val="20"/>
              </w:rPr>
              <w:t>No risk factor</w:t>
            </w:r>
          </w:p>
        </w:tc>
        <w:tc>
          <w:tcPr>
            <w:tcW w:w="1418" w:type="dxa"/>
            <w:shd w:val="clear" w:color="auto" w:fill="auto"/>
            <w:vAlign w:val="center"/>
          </w:tcPr>
          <w:p w:rsidR="00B8785C" w:rsidRPr="000B49C6" w:rsidRDefault="00B8785C" w:rsidP="00D370B3">
            <w:pPr>
              <w:jc w:val="center"/>
              <w:rPr>
                <w:rFonts w:ascii="Arial Narrow" w:hAnsi="Arial Narrow"/>
                <w:iCs/>
                <w:sz w:val="20"/>
                <w:szCs w:val="20"/>
              </w:rPr>
            </w:pPr>
            <w:r w:rsidRPr="000B49C6">
              <w:rPr>
                <w:rFonts w:ascii="Arial Narrow" w:hAnsi="Arial Narrow"/>
                <w:iCs/>
                <w:sz w:val="20"/>
                <w:szCs w:val="20"/>
              </w:rPr>
              <w:t>29/189 (15.3)</w:t>
            </w:r>
          </w:p>
        </w:tc>
        <w:tc>
          <w:tcPr>
            <w:tcW w:w="1417" w:type="dxa"/>
            <w:shd w:val="clear" w:color="auto" w:fill="auto"/>
            <w:vAlign w:val="center"/>
          </w:tcPr>
          <w:p w:rsidR="00B8785C" w:rsidRPr="000B49C6" w:rsidRDefault="00B8785C" w:rsidP="00D370B3">
            <w:pPr>
              <w:jc w:val="center"/>
              <w:rPr>
                <w:rFonts w:ascii="Arial Narrow" w:hAnsi="Arial Narrow"/>
                <w:iCs/>
                <w:sz w:val="20"/>
                <w:szCs w:val="20"/>
              </w:rPr>
            </w:pPr>
            <w:r w:rsidRPr="000B49C6">
              <w:rPr>
                <w:rFonts w:ascii="Arial Narrow" w:hAnsi="Arial Narrow"/>
                <w:iCs/>
                <w:sz w:val="20"/>
                <w:szCs w:val="20"/>
              </w:rPr>
              <w:t>32/190 (16.8)</w:t>
            </w:r>
          </w:p>
        </w:tc>
        <w:tc>
          <w:tcPr>
            <w:tcW w:w="1843" w:type="dxa"/>
            <w:shd w:val="clear" w:color="auto" w:fill="auto"/>
            <w:vAlign w:val="center"/>
          </w:tcPr>
          <w:p w:rsidR="00B8785C" w:rsidRPr="000B49C6" w:rsidRDefault="00B8785C" w:rsidP="00D370B3">
            <w:pPr>
              <w:jc w:val="center"/>
              <w:rPr>
                <w:rFonts w:ascii="Arial Narrow" w:hAnsi="Arial Narrow"/>
                <w:iCs/>
                <w:color w:val="000000"/>
                <w:sz w:val="20"/>
                <w:szCs w:val="20"/>
              </w:rPr>
            </w:pPr>
            <w:r w:rsidRPr="000B49C6">
              <w:rPr>
                <w:rFonts w:ascii="Arial Narrow" w:hAnsi="Arial Narrow"/>
                <w:iCs/>
                <w:color w:val="000000"/>
                <w:sz w:val="20"/>
                <w:szCs w:val="20"/>
              </w:rPr>
              <w:t>-1.5 (-9.0, 6.0)</w:t>
            </w:r>
          </w:p>
        </w:tc>
        <w:tc>
          <w:tcPr>
            <w:tcW w:w="1508" w:type="dxa"/>
            <w:shd w:val="clear" w:color="auto" w:fill="auto"/>
            <w:vAlign w:val="center"/>
          </w:tcPr>
          <w:p w:rsidR="00B8785C" w:rsidRPr="000B49C6" w:rsidRDefault="00B8785C" w:rsidP="00D370B3">
            <w:pPr>
              <w:jc w:val="center"/>
              <w:rPr>
                <w:rFonts w:ascii="Arial Narrow" w:hAnsi="Arial Narrow"/>
                <w:iCs/>
                <w:sz w:val="20"/>
                <w:szCs w:val="20"/>
              </w:rPr>
            </w:pPr>
            <w:r w:rsidRPr="000B49C6">
              <w:rPr>
                <w:rFonts w:ascii="Arial Narrow" w:hAnsi="Arial Narrow"/>
                <w:iCs/>
                <w:sz w:val="20"/>
                <w:szCs w:val="20"/>
              </w:rPr>
              <w:t>0.91 (0.58, 1.44)</w:t>
            </w:r>
          </w:p>
        </w:tc>
      </w:tr>
      <w:tr w:rsidR="00B8785C" w:rsidRPr="000B49C6" w:rsidTr="00D370B3">
        <w:trPr>
          <w:trHeight w:val="105"/>
        </w:trPr>
        <w:tc>
          <w:tcPr>
            <w:tcW w:w="2830" w:type="dxa"/>
            <w:shd w:val="clear" w:color="auto" w:fill="auto"/>
          </w:tcPr>
          <w:p w:rsidR="00B8785C" w:rsidRPr="000B49C6" w:rsidRDefault="00B8785C" w:rsidP="00D370B3">
            <w:pPr>
              <w:ind w:left="112"/>
              <w:rPr>
                <w:rFonts w:ascii="Arial Narrow" w:hAnsi="Arial Narrow"/>
                <w:sz w:val="20"/>
                <w:szCs w:val="20"/>
                <w:vertAlign w:val="superscript"/>
              </w:rPr>
            </w:pPr>
            <w:r w:rsidRPr="000B49C6">
              <w:rPr>
                <w:rFonts w:ascii="Arial Narrow" w:hAnsi="Arial Narrow"/>
                <w:b/>
                <w:sz w:val="18"/>
                <w:szCs w:val="20"/>
              </w:rPr>
              <w:t>Used in model:</w:t>
            </w:r>
            <w:r w:rsidRPr="000B49C6">
              <w:rPr>
                <w:rFonts w:ascii="Arial Narrow" w:hAnsi="Arial Narrow"/>
                <w:sz w:val="18"/>
                <w:szCs w:val="20"/>
              </w:rPr>
              <w:t xml:space="preserve"> Age ≥65 years or CDI history in the past 6 months or immunocompromised or severe CDI (</w:t>
            </w:r>
            <w:proofErr w:type="spellStart"/>
            <w:r w:rsidRPr="000B49C6">
              <w:rPr>
                <w:rFonts w:ascii="Arial Narrow" w:hAnsi="Arial Narrow"/>
                <w:sz w:val="18"/>
                <w:szCs w:val="20"/>
              </w:rPr>
              <w:t>Zar</w:t>
            </w:r>
            <w:proofErr w:type="spellEnd"/>
            <w:r w:rsidRPr="000B49C6">
              <w:rPr>
                <w:rFonts w:ascii="Arial Narrow" w:hAnsi="Arial Narrow"/>
                <w:sz w:val="18"/>
                <w:szCs w:val="20"/>
              </w:rPr>
              <w:t xml:space="preserve"> score≥2)</w:t>
            </w:r>
            <w:r w:rsidR="00C95CD3" w:rsidRPr="000B49C6">
              <w:rPr>
                <w:rFonts w:ascii="Arial Narrow" w:hAnsi="Arial Narrow"/>
                <w:sz w:val="18"/>
                <w:szCs w:val="20"/>
                <w:vertAlign w:val="superscript"/>
              </w:rPr>
              <w:t>b</w:t>
            </w:r>
          </w:p>
        </w:tc>
        <w:tc>
          <w:tcPr>
            <w:tcW w:w="1418" w:type="dxa"/>
            <w:shd w:val="clear" w:color="auto" w:fill="auto"/>
            <w:vAlign w:val="center"/>
          </w:tcPr>
          <w:p w:rsidR="00B8785C" w:rsidRPr="000B49C6" w:rsidRDefault="00410A2A" w:rsidP="00D370B3">
            <w:pPr>
              <w:jc w:val="center"/>
              <w:rPr>
                <w:rFonts w:ascii="Arial Narrow" w:hAnsi="Arial Narrow"/>
                <w:iCs/>
                <w:sz w:val="20"/>
                <w:szCs w:val="20"/>
              </w:rPr>
            </w:pPr>
            <w:r>
              <w:rPr>
                <w:rFonts w:ascii="Arial Narrow" w:hAnsi="Arial Narrow"/>
                <w:iCs/>
                <w:noProof/>
                <w:color w:val="000000"/>
                <w:sz w:val="20"/>
                <w:szCs w:val="20"/>
                <w:highlight w:val="black"/>
              </w:rPr>
              <w:t>'''''</w:t>
            </w:r>
            <w:r w:rsidR="00B8785C" w:rsidRPr="000B49C6">
              <w:rPr>
                <w:rFonts w:ascii="Arial Narrow" w:hAnsi="Arial Narrow"/>
                <w:iCs/>
                <w:sz w:val="20"/>
                <w:szCs w:val="20"/>
              </w:rPr>
              <w:t>/</w:t>
            </w:r>
            <w:r>
              <w:rPr>
                <w:rFonts w:ascii="Arial Narrow" w:hAnsi="Arial Narrow"/>
                <w:iCs/>
                <w:noProof/>
                <w:color w:val="000000"/>
                <w:sz w:val="20"/>
                <w:szCs w:val="20"/>
                <w:highlight w:val="black"/>
              </w:rPr>
              <w:t>''''''''''</w:t>
            </w:r>
            <w:r w:rsidR="00B8785C" w:rsidRPr="000B49C6">
              <w:rPr>
                <w:rFonts w:ascii="Arial Narrow" w:hAnsi="Arial Narrow"/>
                <w:iCs/>
                <w:sz w:val="20"/>
                <w:szCs w:val="20"/>
              </w:rPr>
              <w:t xml:space="preserve"> (</w:t>
            </w:r>
            <w:r>
              <w:rPr>
                <w:rFonts w:ascii="Arial Narrow" w:hAnsi="Arial Narrow"/>
                <w:iCs/>
                <w:noProof/>
                <w:color w:val="000000"/>
                <w:sz w:val="20"/>
                <w:szCs w:val="20"/>
                <w:highlight w:val="black"/>
              </w:rPr>
              <w:t>''''''''''</w:t>
            </w:r>
            <w:r w:rsidR="00B8785C" w:rsidRPr="000B49C6">
              <w:rPr>
                <w:rFonts w:ascii="Arial Narrow" w:hAnsi="Arial Narrow"/>
                <w:iCs/>
                <w:sz w:val="20"/>
                <w:szCs w:val="20"/>
              </w:rPr>
              <w:t>)</w:t>
            </w:r>
          </w:p>
        </w:tc>
        <w:tc>
          <w:tcPr>
            <w:tcW w:w="1417" w:type="dxa"/>
            <w:shd w:val="clear" w:color="auto" w:fill="auto"/>
            <w:vAlign w:val="center"/>
          </w:tcPr>
          <w:p w:rsidR="00B8785C" w:rsidRPr="000B49C6" w:rsidRDefault="00410A2A" w:rsidP="00D370B3">
            <w:pPr>
              <w:jc w:val="center"/>
              <w:rPr>
                <w:rFonts w:ascii="Arial Narrow" w:hAnsi="Arial Narrow"/>
                <w:iCs/>
                <w:sz w:val="20"/>
                <w:szCs w:val="20"/>
              </w:rPr>
            </w:pPr>
            <w:r>
              <w:rPr>
                <w:rFonts w:ascii="Arial Narrow" w:hAnsi="Arial Narrow"/>
                <w:iCs/>
                <w:noProof/>
                <w:color w:val="000000"/>
                <w:sz w:val="20"/>
                <w:szCs w:val="20"/>
                <w:highlight w:val="black"/>
              </w:rPr>
              <w:t>'''''''''</w:t>
            </w:r>
            <w:r w:rsidR="00B8785C" w:rsidRPr="000B49C6">
              <w:rPr>
                <w:rFonts w:ascii="Arial Narrow" w:hAnsi="Arial Narrow"/>
                <w:iCs/>
                <w:sz w:val="20"/>
                <w:szCs w:val="20"/>
              </w:rPr>
              <w:t>/</w:t>
            </w:r>
            <w:r>
              <w:rPr>
                <w:rFonts w:ascii="Arial Narrow" w:hAnsi="Arial Narrow"/>
                <w:iCs/>
                <w:noProof/>
                <w:color w:val="000000"/>
                <w:sz w:val="20"/>
                <w:szCs w:val="20"/>
                <w:highlight w:val="black"/>
              </w:rPr>
              <w:t>'''''''''</w:t>
            </w:r>
            <w:r w:rsidR="00B8785C" w:rsidRPr="000B49C6">
              <w:rPr>
                <w:rFonts w:ascii="Arial Narrow" w:hAnsi="Arial Narrow"/>
                <w:iCs/>
                <w:sz w:val="20"/>
                <w:szCs w:val="20"/>
              </w:rPr>
              <w:t xml:space="preserve"> (</w:t>
            </w:r>
            <w:r>
              <w:rPr>
                <w:rFonts w:ascii="Arial Narrow" w:hAnsi="Arial Narrow"/>
                <w:iCs/>
                <w:noProof/>
                <w:color w:val="000000"/>
                <w:sz w:val="20"/>
                <w:szCs w:val="20"/>
                <w:highlight w:val="black"/>
              </w:rPr>
              <w:t>''''''''''</w:t>
            </w:r>
            <w:r w:rsidR="00B8785C" w:rsidRPr="000B49C6">
              <w:rPr>
                <w:rFonts w:ascii="Arial Narrow" w:hAnsi="Arial Narrow"/>
                <w:iCs/>
                <w:sz w:val="20"/>
                <w:szCs w:val="20"/>
              </w:rPr>
              <w:t>)</w:t>
            </w:r>
          </w:p>
        </w:tc>
        <w:tc>
          <w:tcPr>
            <w:tcW w:w="1843" w:type="dxa"/>
            <w:shd w:val="clear" w:color="auto" w:fill="auto"/>
            <w:vAlign w:val="center"/>
          </w:tcPr>
          <w:p w:rsidR="00B8785C" w:rsidRPr="000B49C6" w:rsidRDefault="00410A2A" w:rsidP="00D370B3">
            <w:pPr>
              <w:jc w:val="center"/>
              <w:rPr>
                <w:rFonts w:ascii="Arial Narrow" w:hAnsi="Arial Narrow"/>
                <w:b/>
                <w:iCs/>
                <w:color w:val="000000"/>
                <w:sz w:val="20"/>
                <w:szCs w:val="20"/>
              </w:rPr>
            </w:pPr>
            <w:r>
              <w:rPr>
                <w:rFonts w:ascii="Arial Narrow" w:hAnsi="Arial Narrow"/>
                <w:b/>
                <w:iCs/>
                <w:noProof/>
                <w:color w:val="000000"/>
                <w:sz w:val="20"/>
                <w:szCs w:val="20"/>
                <w:highlight w:val="black"/>
              </w:rPr>
              <w:t>''''''''''</w:t>
            </w:r>
            <w:r w:rsidR="00B8785C" w:rsidRPr="000B49C6">
              <w:rPr>
                <w:rFonts w:ascii="Arial Narrow" w:hAnsi="Arial Narrow"/>
                <w:b/>
                <w:iCs/>
                <w:color w:val="000000"/>
                <w:sz w:val="20"/>
                <w:szCs w:val="20"/>
              </w:rPr>
              <w:t xml:space="preserve"> (</w:t>
            </w:r>
            <w:r>
              <w:rPr>
                <w:rFonts w:ascii="Arial Narrow" w:hAnsi="Arial Narrow"/>
                <w:b/>
                <w:iCs/>
                <w:noProof/>
                <w:color w:val="000000"/>
                <w:sz w:val="20"/>
                <w:szCs w:val="20"/>
                <w:highlight w:val="black"/>
              </w:rPr>
              <w:t>''''''''''</w:t>
            </w:r>
            <w:r w:rsidR="00B8785C" w:rsidRPr="000B49C6">
              <w:rPr>
                <w:rFonts w:ascii="Arial Narrow" w:hAnsi="Arial Narrow"/>
                <w:b/>
                <w:iCs/>
                <w:color w:val="000000"/>
                <w:sz w:val="20"/>
                <w:szCs w:val="20"/>
              </w:rPr>
              <w:t xml:space="preserve">, </w:t>
            </w:r>
            <w:r>
              <w:rPr>
                <w:rFonts w:ascii="Arial Narrow" w:hAnsi="Arial Narrow"/>
                <w:b/>
                <w:iCs/>
                <w:noProof/>
                <w:color w:val="000000"/>
                <w:sz w:val="20"/>
                <w:szCs w:val="20"/>
                <w:highlight w:val="black"/>
              </w:rPr>
              <w:t>'''''''</w:t>
            </w:r>
            <w:r w:rsidR="00B8785C" w:rsidRPr="000B49C6">
              <w:rPr>
                <w:rFonts w:ascii="Arial Narrow" w:hAnsi="Arial Narrow"/>
                <w:b/>
                <w:iCs/>
                <w:color w:val="000000"/>
                <w:sz w:val="20"/>
                <w:szCs w:val="20"/>
              </w:rPr>
              <w:t>)</w:t>
            </w:r>
          </w:p>
        </w:tc>
        <w:tc>
          <w:tcPr>
            <w:tcW w:w="1508" w:type="dxa"/>
            <w:shd w:val="clear" w:color="auto" w:fill="auto"/>
            <w:vAlign w:val="center"/>
          </w:tcPr>
          <w:p w:rsidR="00B8785C" w:rsidRPr="000B49C6" w:rsidRDefault="00410A2A" w:rsidP="00D370B3">
            <w:pPr>
              <w:jc w:val="center"/>
              <w:rPr>
                <w:rFonts w:ascii="Arial Narrow" w:hAnsi="Arial Narrow"/>
                <w:b/>
                <w:iCs/>
                <w:sz w:val="20"/>
                <w:szCs w:val="20"/>
              </w:rPr>
            </w:pPr>
            <w:r>
              <w:rPr>
                <w:rFonts w:ascii="Arial Narrow" w:hAnsi="Arial Narrow"/>
                <w:b/>
                <w:iCs/>
                <w:noProof/>
                <w:color w:val="000000"/>
                <w:sz w:val="20"/>
                <w:szCs w:val="20"/>
                <w:highlight w:val="black"/>
              </w:rPr>
              <w:t>''''''''</w:t>
            </w:r>
            <w:r w:rsidR="00B8785C" w:rsidRPr="000B49C6">
              <w:rPr>
                <w:rFonts w:ascii="Arial Narrow" w:hAnsi="Arial Narrow"/>
                <w:b/>
                <w:iCs/>
                <w:sz w:val="20"/>
                <w:szCs w:val="20"/>
              </w:rPr>
              <w:t xml:space="preserve"> (</w:t>
            </w:r>
            <w:r>
              <w:rPr>
                <w:rFonts w:ascii="Arial Narrow" w:hAnsi="Arial Narrow"/>
                <w:b/>
                <w:iCs/>
                <w:noProof/>
                <w:color w:val="000000"/>
                <w:sz w:val="20"/>
                <w:szCs w:val="20"/>
                <w:highlight w:val="black"/>
              </w:rPr>
              <w:t>''''''''</w:t>
            </w:r>
            <w:r w:rsidR="00B8785C" w:rsidRPr="000B49C6">
              <w:rPr>
                <w:rFonts w:ascii="Arial Narrow" w:hAnsi="Arial Narrow"/>
                <w:b/>
                <w:iCs/>
                <w:sz w:val="20"/>
                <w:szCs w:val="20"/>
              </w:rPr>
              <w:t xml:space="preserve">, </w:t>
            </w:r>
            <w:r>
              <w:rPr>
                <w:rFonts w:ascii="Arial Narrow" w:hAnsi="Arial Narrow"/>
                <w:b/>
                <w:iCs/>
                <w:noProof/>
                <w:color w:val="000000"/>
                <w:sz w:val="20"/>
                <w:szCs w:val="20"/>
                <w:highlight w:val="black"/>
              </w:rPr>
              <w:t>'''''''''</w:t>
            </w:r>
            <w:r w:rsidR="00B8785C" w:rsidRPr="000B49C6">
              <w:rPr>
                <w:rFonts w:ascii="Arial Narrow" w:hAnsi="Arial Narrow"/>
                <w:b/>
                <w:iCs/>
                <w:sz w:val="20"/>
                <w:szCs w:val="20"/>
              </w:rPr>
              <w:t>)</w:t>
            </w:r>
          </w:p>
        </w:tc>
      </w:tr>
      <w:tr w:rsidR="00B8785C" w:rsidRPr="000B49C6" w:rsidTr="00D370B3">
        <w:tc>
          <w:tcPr>
            <w:tcW w:w="9016" w:type="dxa"/>
            <w:gridSpan w:val="5"/>
            <w:shd w:val="clear" w:color="auto" w:fill="auto"/>
            <w:vAlign w:val="center"/>
          </w:tcPr>
          <w:p w:rsidR="00B8785C" w:rsidRPr="000B49C6" w:rsidRDefault="00B8785C" w:rsidP="00D370B3">
            <w:pPr>
              <w:rPr>
                <w:rFonts w:ascii="Arial Narrow" w:hAnsi="Arial Narrow"/>
                <w:b/>
                <w:bCs/>
                <w:sz w:val="20"/>
                <w:szCs w:val="20"/>
              </w:rPr>
            </w:pPr>
            <w:r w:rsidRPr="000B49C6">
              <w:rPr>
                <w:rFonts w:ascii="Arial Narrow" w:hAnsi="Arial Narrow"/>
                <w:b/>
                <w:bCs/>
                <w:sz w:val="20"/>
                <w:szCs w:val="20"/>
              </w:rPr>
              <w:t>CDI recurrence in patients who attained clinical cure of initial episode at 12 weeks, stratified by risk factors</w:t>
            </w:r>
          </w:p>
        </w:tc>
      </w:tr>
      <w:tr w:rsidR="00B8785C" w:rsidRPr="000B49C6" w:rsidTr="00D370B3">
        <w:tc>
          <w:tcPr>
            <w:tcW w:w="2830" w:type="dxa"/>
            <w:shd w:val="clear" w:color="auto" w:fill="auto"/>
          </w:tcPr>
          <w:p w:rsidR="00B8785C" w:rsidRPr="000B49C6" w:rsidRDefault="00B8785C" w:rsidP="00D370B3">
            <w:pPr>
              <w:rPr>
                <w:rFonts w:ascii="Arial Narrow" w:hAnsi="Arial Narrow"/>
                <w:sz w:val="20"/>
                <w:szCs w:val="20"/>
              </w:rPr>
            </w:pPr>
            <w:r w:rsidRPr="000B49C6">
              <w:rPr>
                <w:rFonts w:ascii="Arial Narrow" w:hAnsi="Arial Narrow"/>
                <w:sz w:val="20"/>
                <w:szCs w:val="20"/>
              </w:rPr>
              <w:t>All participant</w:t>
            </w:r>
          </w:p>
        </w:tc>
        <w:tc>
          <w:tcPr>
            <w:tcW w:w="1418" w:type="dxa"/>
            <w:shd w:val="clear" w:color="auto" w:fill="D9D9D9" w:themeFill="background1" w:themeFillShade="D9"/>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129/625 (20.6)</w:t>
            </w:r>
          </w:p>
        </w:tc>
        <w:tc>
          <w:tcPr>
            <w:tcW w:w="1417" w:type="dxa"/>
            <w:shd w:val="clear" w:color="auto" w:fill="D9D9D9" w:themeFill="background1" w:themeFillShade="D9"/>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206/621 (33.2)</w:t>
            </w:r>
          </w:p>
        </w:tc>
        <w:tc>
          <w:tcPr>
            <w:tcW w:w="1843" w:type="dxa"/>
            <w:shd w:val="clear" w:color="auto" w:fill="D9D9D9" w:themeFill="background1" w:themeFillShade="D9"/>
            <w:vAlign w:val="center"/>
          </w:tcPr>
          <w:p w:rsidR="00B8785C" w:rsidRPr="000B49C6" w:rsidRDefault="00B8785C" w:rsidP="00D370B3">
            <w:pPr>
              <w:jc w:val="center"/>
              <w:rPr>
                <w:rFonts w:ascii="Arial Narrow" w:hAnsi="Arial Narrow"/>
                <w:b/>
                <w:bCs/>
                <w:color w:val="000000"/>
                <w:sz w:val="20"/>
                <w:szCs w:val="20"/>
              </w:rPr>
            </w:pPr>
            <w:r w:rsidRPr="000B49C6">
              <w:rPr>
                <w:rFonts w:ascii="Arial Narrow" w:hAnsi="Arial Narrow"/>
                <w:b/>
                <w:bCs/>
                <w:color w:val="000000"/>
                <w:sz w:val="20"/>
                <w:szCs w:val="20"/>
              </w:rPr>
              <w:t>-12.2 (-17.1, -7.4)^</w:t>
            </w:r>
          </w:p>
        </w:tc>
        <w:tc>
          <w:tcPr>
            <w:tcW w:w="1508" w:type="dxa"/>
            <w:shd w:val="clear" w:color="auto" w:fill="D9D9D9" w:themeFill="background1" w:themeFillShade="D9"/>
            <w:vAlign w:val="center"/>
          </w:tcPr>
          <w:p w:rsidR="00B8785C" w:rsidRPr="000B49C6" w:rsidRDefault="00B8785C" w:rsidP="00D370B3">
            <w:pPr>
              <w:jc w:val="center"/>
              <w:rPr>
                <w:rFonts w:ascii="Arial Narrow" w:hAnsi="Arial Narrow"/>
                <w:b/>
                <w:bCs/>
                <w:iCs/>
                <w:sz w:val="20"/>
                <w:szCs w:val="20"/>
              </w:rPr>
            </w:pPr>
            <w:r w:rsidRPr="000B49C6">
              <w:rPr>
                <w:rFonts w:ascii="Arial Narrow" w:hAnsi="Arial Narrow"/>
                <w:b/>
                <w:bCs/>
                <w:iCs/>
                <w:sz w:val="20"/>
                <w:szCs w:val="20"/>
              </w:rPr>
              <w:t>0.62 (0.51, 0.75)</w:t>
            </w:r>
          </w:p>
        </w:tc>
      </w:tr>
      <w:tr w:rsidR="00B8785C" w:rsidRPr="000B49C6" w:rsidTr="00D370B3">
        <w:tc>
          <w:tcPr>
            <w:tcW w:w="2830" w:type="dxa"/>
            <w:shd w:val="clear" w:color="auto" w:fill="auto"/>
          </w:tcPr>
          <w:p w:rsidR="00B8785C" w:rsidRPr="000B49C6" w:rsidRDefault="00B8785C" w:rsidP="00D370B3">
            <w:pPr>
              <w:ind w:left="109"/>
              <w:rPr>
                <w:rFonts w:ascii="Arial Narrow" w:hAnsi="Arial Narrow"/>
                <w:sz w:val="20"/>
                <w:szCs w:val="20"/>
              </w:rPr>
            </w:pPr>
            <w:r w:rsidRPr="000B49C6">
              <w:rPr>
                <w:rFonts w:ascii="Arial Narrow" w:hAnsi="Arial Narrow"/>
                <w:sz w:val="20"/>
                <w:szCs w:val="20"/>
              </w:rPr>
              <w:t xml:space="preserve">Overall (≥1 of below risk </w:t>
            </w:r>
            <w:proofErr w:type="spellStart"/>
            <w:r w:rsidRPr="000B49C6">
              <w:rPr>
                <w:rFonts w:ascii="Arial Narrow" w:hAnsi="Arial Narrow"/>
                <w:sz w:val="20"/>
                <w:szCs w:val="20"/>
              </w:rPr>
              <w:t>factor</w:t>
            </w:r>
            <w:r w:rsidR="00C95CD3" w:rsidRPr="000B49C6">
              <w:rPr>
                <w:rFonts w:ascii="Arial Narrow" w:hAnsi="Arial Narrow"/>
                <w:sz w:val="20"/>
                <w:szCs w:val="20"/>
                <w:vertAlign w:val="superscript"/>
              </w:rPr>
              <w:t>c</w:t>
            </w:r>
            <w:proofErr w:type="spellEnd"/>
            <w:r w:rsidRPr="000B49C6">
              <w:rPr>
                <w:rFonts w:ascii="Arial Narrow" w:hAnsi="Arial Narrow"/>
                <w:sz w:val="20"/>
                <w:szCs w:val="20"/>
              </w:rPr>
              <w:t>)</w:t>
            </w:r>
          </w:p>
        </w:tc>
        <w:tc>
          <w:tcPr>
            <w:tcW w:w="1418" w:type="dxa"/>
            <w:shd w:val="clear" w:color="auto" w:fill="auto"/>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100/471 (21.2)</w:t>
            </w:r>
          </w:p>
        </w:tc>
        <w:tc>
          <w:tcPr>
            <w:tcW w:w="1417" w:type="dxa"/>
            <w:shd w:val="clear" w:color="auto" w:fill="auto"/>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174/468 (37.2)</w:t>
            </w:r>
          </w:p>
        </w:tc>
        <w:tc>
          <w:tcPr>
            <w:tcW w:w="1843" w:type="dxa"/>
            <w:shd w:val="clear" w:color="auto" w:fill="auto"/>
            <w:vAlign w:val="center"/>
          </w:tcPr>
          <w:p w:rsidR="00B8785C" w:rsidRPr="000B49C6" w:rsidRDefault="00B8785C" w:rsidP="00D370B3">
            <w:pPr>
              <w:jc w:val="center"/>
              <w:rPr>
                <w:rFonts w:ascii="Arial Narrow" w:hAnsi="Arial Narrow"/>
                <w:b/>
                <w:bCs/>
                <w:iCs/>
                <w:color w:val="000000"/>
                <w:sz w:val="20"/>
                <w:szCs w:val="20"/>
              </w:rPr>
            </w:pPr>
            <w:r w:rsidRPr="000B49C6">
              <w:rPr>
                <w:rFonts w:ascii="Arial Narrow" w:hAnsi="Arial Narrow"/>
                <w:b/>
                <w:bCs/>
                <w:iCs/>
                <w:color w:val="000000"/>
                <w:sz w:val="20"/>
                <w:szCs w:val="20"/>
              </w:rPr>
              <w:t>-15.9 (-21.6, -10.2)</w:t>
            </w:r>
          </w:p>
        </w:tc>
        <w:tc>
          <w:tcPr>
            <w:tcW w:w="1508" w:type="dxa"/>
            <w:shd w:val="clear" w:color="auto" w:fill="auto"/>
            <w:vAlign w:val="center"/>
          </w:tcPr>
          <w:p w:rsidR="00B8785C" w:rsidRPr="000B49C6" w:rsidRDefault="00B8785C" w:rsidP="00D370B3">
            <w:pPr>
              <w:jc w:val="center"/>
              <w:rPr>
                <w:rFonts w:ascii="Arial Narrow" w:hAnsi="Arial Narrow"/>
                <w:b/>
                <w:bCs/>
                <w:iCs/>
                <w:sz w:val="20"/>
                <w:szCs w:val="20"/>
              </w:rPr>
            </w:pPr>
            <w:r w:rsidRPr="000B49C6">
              <w:rPr>
                <w:rFonts w:ascii="Arial Narrow" w:hAnsi="Arial Narrow"/>
                <w:b/>
                <w:bCs/>
                <w:iCs/>
                <w:sz w:val="20"/>
                <w:szCs w:val="20"/>
              </w:rPr>
              <w:t>0.57 (0.46, 0.70)</w:t>
            </w:r>
          </w:p>
        </w:tc>
      </w:tr>
      <w:tr w:rsidR="00B8785C" w:rsidRPr="000B49C6" w:rsidTr="00D370B3">
        <w:tc>
          <w:tcPr>
            <w:tcW w:w="2830" w:type="dxa"/>
            <w:shd w:val="clear" w:color="auto" w:fill="auto"/>
          </w:tcPr>
          <w:p w:rsidR="00B8785C" w:rsidRPr="000B49C6" w:rsidRDefault="00B8785C" w:rsidP="00D370B3">
            <w:pPr>
              <w:ind w:left="254"/>
              <w:rPr>
                <w:rFonts w:ascii="Arial Narrow" w:hAnsi="Arial Narrow"/>
                <w:sz w:val="20"/>
                <w:szCs w:val="20"/>
              </w:rPr>
            </w:pPr>
            <w:r w:rsidRPr="000B49C6">
              <w:rPr>
                <w:rFonts w:ascii="Arial Narrow" w:hAnsi="Arial Narrow"/>
                <w:sz w:val="20"/>
                <w:szCs w:val="20"/>
              </w:rPr>
              <w:t>- Age ≥65 years</w:t>
            </w:r>
          </w:p>
        </w:tc>
        <w:tc>
          <w:tcPr>
            <w:tcW w:w="1418" w:type="dxa"/>
            <w:shd w:val="clear" w:color="auto" w:fill="auto"/>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60/311 (19.3)</w:t>
            </w:r>
          </w:p>
        </w:tc>
        <w:tc>
          <w:tcPr>
            <w:tcW w:w="1417" w:type="dxa"/>
            <w:shd w:val="clear" w:color="auto" w:fill="auto"/>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127/322 (39.4)</w:t>
            </w:r>
          </w:p>
        </w:tc>
        <w:tc>
          <w:tcPr>
            <w:tcW w:w="1843" w:type="dxa"/>
            <w:shd w:val="clear" w:color="auto" w:fill="auto"/>
            <w:vAlign w:val="center"/>
          </w:tcPr>
          <w:p w:rsidR="00B8785C" w:rsidRPr="000B49C6" w:rsidRDefault="00B8785C" w:rsidP="00D370B3">
            <w:pPr>
              <w:jc w:val="center"/>
              <w:rPr>
                <w:rFonts w:ascii="Arial Narrow" w:hAnsi="Arial Narrow"/>
                <w:b/>
                <w:bCs/>
                <w:iCs/>
                <w:color w:val="000000"/>
                <w:sz w:val="20"/>
                <w:szCs w:val="20"/>
              </w:rPr>
            </w:pPr>
            <w:r w:rsidRPr="000B49C6">
              <w:rPr>
                <w:rFonts w:ascii="Arial Narrow" w:hAnsi="Arial Narrow"/>
                <w:b/>
                <w:bCs/>
                <w:iCs/>
                <w:color w:val="000000"/>
                <w:sz w:val="20"/>
                <w:szCs w:val="20"/>
              </w:rPr>
              <w:t>-20.1 (-27.0, -13.2)</w:t>
            </w:r>
          </w:p>
        </w:tc>
        <w:tc>
          <w:tcPr>
            <w:tcW w:w="1508" w:type="dxa"/>
            <w:shd w:val="clear" w:color="auto" w:fill="auto"/>
            <w:vAlign w:val="center"/>
          </w:tcPr>
          <w:p w:rsidR="00B8785C" w:rsidRPr="000B49C6" w:rsidRDefault="00B8785C" w:rsidP="00D370B3">
            <w:pPr>
              <w:jc w:val="center"/>
              <w:rPr>
                <w:rFonts w:ascii="Arial Narrow" w:hAnsi="Arial Narrow"/>
                <w:b/>
                <w:bCs/>
                <w:iCs/>
                <w:sz w:val="20"/>
                <w:szCs w:val="20"/>
              </w:rPr>
            </w:pPr>
            <w:r w:rsidRPr="000B49C6">
              <w:rPr>
                <w:rFonts w:ascii="Arial Narrow" w:hAnsi="Arial Narrow"/>
                <w:b/>
                <w:bCs/>
                <w:iCs/>
                <w:sz w:val="20"/>
                <w:szCs w:val="20"/>
              </w:rPr>
              <w:t>0.49 (0.37, 0.63)</w:t>
            </w:r>
          </w:p>
        </w:tc>
      </w:tr>
      <w:tr w:rsidR="00B8785C" w:rsidRPr="000B49C6" w:rsidTr="00D370B3">
        <w:tc>
          <w:tcPr>
            <w:tcW w:w="2830" w:type="dxa"/>
            <w:shd w:val="clear" w:color="auto" w:fill="auto"/>
          </w:tcPr>
          <w:p w:rsidR="00B8785C" w:rsidRPr="000B49C6" w:rsidRDefault="00B8785C" w:rsidP="00D370B3">
            <w:pPr>
              <w:ind w:left="254"/>
              <w:rPr>
                <w:rFonts w:ascii="Arial Narrow" w:hAnsi="Arial Narrow"/>
                <w:sz w:val="20"/>
                <w:szCs w:val="20"/>
              </w:rPr>
            </w:pPr>
            <w:r w:rsidRPr="000B49C6">
              <w:rPr>
                <w:rFonts w:ascii="Arial Narrow" w:hAnsi="Arial Narrow"/>
                <w:sz w:val="20"/>
                <w:szCs w:val="20"/>
              </w:rPr>
              <w:t>- ≥1 CDI episode in past 6 months</w:t>
            </w:r>
          </w:p>
        </w:tc>
        <w:tc>
          <w:tcPr>
            <w:tcW w:w="1418" w:type="dxa"/>
            <w:shd w:val="clear" w:color="auto" w:fill="auto"/>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54/171 (31.6)</w:t>
            </w:r>
          </w:p>
        </w:tc>
        <w:tc>
          <w:tcPr>
            <w:tcW w:w="1417" w:type="dxa"/>
            <w:shd w:val="clear" w:color="auto" w:fill="auto"/>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90/182 (49.5)</w:t>
            </w:r>
          </w:p>
        </w:tc>
        <w:tc>
          <w:tcPr>
            <w:tcW w:w="1843" w:type="dxa"/>
            <w:shd w:val="clear" w:color="auto" w:fill="auto"/>
            <w:vAlign w:val="center"/>
          </w:tcPr>
          <w:p w:rsidR="00B8785C" w:rsidRPr="000B49C6" w:rsidRDefault="00B8785C" w:rsidP="00D370B3">
            <w:pPr>
              <w:jc w:val="center"/>
              <w:rPr>
                <w:rFonts w:ascii="Arial Narrow" w:hAnsi="Arial Narrow"/>
                <w:b/>
                <w:bCs/>
                <w:iCs/>
                <w:color w:val="000000"/>
                <w:sz w:val="20"/>
                <w:szCs w:val="20"/>
              </w:rPr>
            </w:pPr>
            <w:r w:rsidRPr="000B49C6">
              <w:rPr>
                <w:rFonts w:ascii="Arial Narrow" w:hAnsi="Arial Narrow"/>
                <w:b/>
                <w:bCs/>
                <w:iCs/>
                <w:color w:val="000000"/>
                <w:sz w:val="20"/>
                <w:szCs w:val="20"/>
              </w:rPr>
              <w:t>-17.9 (-27.7, -7.6)</w:t>
            </w:r>
          </w:p>
        </w:tc>
        <w:tc>
          <w:tcPr>
            <w:tcW w:w="1508" w:type="dxa"/>
            <w:shd w:val="clear" w:color="auto" w:fill="auto"/>
            <w:vAlign w:val="center"/>
          </w:tcPr>
          <w:p w:rsidR="00B8785C" w:rsidRPr="000B49C6" w:rsidRDefault="00B8785C" w:rsidP="00D370B3">
            <w:pPr>
              <w:jc w:val="center"/>
              <w:rPr>
                <w:rFonts w:ascii="Arial Narrow" w:hAnsi="Arial Narrow"/>
                <w:b/>
                <w:bCs/>
                <w:iCs/>
                <w:sz w:val="20"/>
                <w:szCs w:val="20"/>
              </w:rPr>
            </w:pPr>
            <w:r w:rsidRPr="000B49C6">
              <w:rPr>
                <w:rFonts w:ascii="Arial Narrow" w:hAnsi="Arial Narrow"/>
                <w:b/>
                <w:bCs/>
                <w:iCs/>
                <w:sz w:val="20"/>
                <w:szCs w:val="20"/>
              </w:rPr>
              <w:t>0.64 (0.49, 0.83)</w:t>
            </w:r>
          </w:p>
        </w:tc>
      </w:tr>
      <w:tr w:rsidR="00B8785C" w:rsidRPr="000B49C6" w:rsidTr="00D370B3">
        <w:tc>
          <w:tcPr>
            <w:tcW w:w="2830" w:type="dxa"/>
            <w:shd w:val="clear" w:color="auto" w:fill="auto"/>
          </w:tcPr>
          <w:p w:rsidR="00B8785C" w:rsidRPr="000B49C6" w:rsidRDefault="00B8785C" w:rsidP="00D370B3">
            <w:pPr>
              <w:ind w:left="254"/>
              <w:rPr>
                <w:rFonts w:ascii="Arial Narrow" w:hAnsi="Arial Narrow"/>
                <w:sz w:val="20"/>
                <w:szCs w:val="20"/>
              </w:rPr>
            </w:pPr>
            <w:r w:rsidRPr="000B49C6">
              <w:rPr>
                <w:rFonts w:ascii="Arial Narrow" w:hAnsi="Arial Narrow"/>
                <w:sz w:val="20"/>
                <w:szCs w:val="20"/>
              </w:rPr>
              <w:t>- Immunocompromised</w:t>
            </w:r>
          </w:p>
        </w:tc>
        <w:tc>
          <w:tcPr>
            <w:tcW w:w="1418" w:type="dxa"/>
            <w:shd w:val="clear" w:color="auto" w:fill="auto"/>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26/137 (19.0)</w:t>
            </w:r>
          </w:p>
        </w:tc>
        <w:tc>
          <w:tcPr>
            <w:tcW w:w="1417" w:type="dxa"/>
            <w:shd w:val="clear" w:color="auto" w:fill="auto"/>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41/114 (36.0)</w:t>
            </w:r>
          </w:p>
        </w:tc>
        <w:tc>
          <w:tcPr>
            <w:tcW w:w="1843" w:type="dxa"/>
            <w:shd w:val="clear" w:color="auto" w:fill="auto"/>
            <w:vAlign w:val="center"/>
          </w:tcPr>
          <w:p w:rsidR="00B8785C" w:rsidRPr="000B49C6" w:rsidRDefault="00B8785C" w:rsidP="00D370B3">
            <w:pPr>
              <w:jc w:val="center"/>
              <w:rPr>
                <w:rFonts w:ascii="Arial Narrow" w:hAnsi="Arial Narrow"/>
                <w:b/>
                <w:bCs/>
                <w:iCs/>
                <w:color w:val="000000"/>
                <w:sz w:val="20"/>
                <w:szCs w:val="20"/>
              </w:rPr>
            </w:pPr>
            <w:r w:rsidRPr="000B49C6">
              <w:rPr>
                <w:rFonts w:ascii="Arial Narrow" w:hAnsi="Arial Narrow"/>
                <w:b/>
                <w:bCs/>
                <w:iCs/>
                <w:color w:val="000000"/>
                <w:sz w:val="20"/>
                <w:szCs w:val="20"/>
              </w:rPr>
              <w:t>-17.0 (-28.0, -6.0)</w:t>
            </w:r>
          </w:p>
        </w:tc>
        <w:tc>
          <w:tcPr>
            <w:tcW w:w="1508" w:type="dxa"/>
            <w:shd w:val="clear" w:color="auto" w:fill="auto"/>
            <w:vAlign w:val="center"/>
          </w:tcPr>
          <w:p w:rsidR="00B8785C" w:rsidRPr="000B49C6" w:rsidRDefault="00B8785C" w:rsidP="00D370B3">
            <w:pPr>
              <w:jc w:val="center"/>
              <w:rPr>
                <w:rFonts w:ascii="Arial Narrow" w:hAnsi="Arial Narrow"/>
                <w:b/>
                <w:bCs/>
                <w:iCs/>
                <w:sz w:val="20"/>
                <w:szCs w:val="20"/>
              </w:rPr>
            </w:pPr>
            <w:r w:rsidRPr="000B49C6">
              <w:rPr>
                <w:rFonts w:ascii="Arial Narrow" w:hAnsi="Arial Narrow"/>
                <w:b/>
                <w:bCs/>
                <w:iCs/>
                <w:sz w:val="20"/>
                <w:szCs w:val="20"/>
              </w:rPr>
              <w:t>0.53 (0.35, 0.80)</w:t>
            </w:r>
          </w:p>
        </w:tc>
      </w:tr>
      <w:tr w:rsidR="00B8785C" w:rsidRPr="000B49C6" w:rsidTr="00D370B3">
        <w:tc>
          <w:tcPr>
            <w:tcW w:w="2830" w:type="dxa"/>
            <w:shd w:val="clear" w:color="auto" w:fill="auto"/>
          </w:tcPr>
          <w:p w:rsidR="00B8785C" w:rsidRPr="000B49C6" w:rsidRDefault="00B8785C" w:rsidP="00D370B3">
            <w:pPr>
              <w:ind w:left="254"/>
              <w:rPr>
                <w:rFonts w:ascii="Arial Narrow" w:hAnsi="Arial Narrow"/>
                <w:sz w:val="20"/>
                <w:szCs w:val="20"/>
              </w:rPr>
            </w:pPr>
            <w:r w:rsidRPr="000B49C6">
              <w:rPr>
                <w:rFonts w:ascii="Arial Narrow" w:hAnsi="Arial Narrow"/>
                <w:sz w:val="20"/>
                <w:szCs w:val="20"/>
              </w:rPr>
              <w:t xml:space="preserve">- Severe CDI; </w:t>
            </w:r>
            <w:proofErr w:type="spellStart"/>
            <w:r w:rsidRPr="000B49C6">
              <w:rPr>
                <w:rFonts w:ascii="Arial Narrow" w:hAnsi="Arial Narrow"/>
                <w:sz w:val="20"/>
                <w:szCs w:val="20"/>
              </w:rPr>
              <w:t>Zar</w:t>
            </w:r>
            <w:proofErr w:type="spellEnd"/>
            <w:r w:rsidRPr="000B49C6">
              <w:rPr>
                <w:rFonts w:ascii="Arial Narrow" w:hAnsi="Arial Narrow"/>
                <w:sz w:val="20"/>
                <w:szCs w:val="20"/>
              </w:rPr>
              <w:t xml:space="preserve"> score ≥2</w:t>
            </w:r>
          </w:p>
        </w:tc>
        <w:tc>
          <w:tcPr>
            <w:tcW w:w="1418" w:type="dxa"/>
            <w:shd w:val="clear" w:color="auto" w:fill="auto"/>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13/82 (15.9)</w:t>
            </w:r>
          </w:p>
        </w:tc>
        <w:tc>
          <w:tcPr>
            <w:tcW w:w="1417" w:type="dxa"/>
            <w:shd w:val="clear" w:color="auto" w:fill="auto"/>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28/89 (31.5)</w:t>
            </w:r>
          </w:p>
        </w:tc>
        <w:tc>
          <w:tcPr>
            <w:tcW w:w="1843" w:type="dxa"/>
            <w:shd w:val="clear" w:color="auto" w:fill="auto"/>
            <w:vAlign w:val="center"/>
          </w:tcPr>
          <w:p w:rsidR="00B8785C" w:rsidRPr="000B49C6" w:rsidRDefault="00B8785C" w:rsidP="00D370B3">
            <w:pPr>
              <w:jc w:val="center"/>
              <w:rPr>
                <w:rFonts w:ascii="Arial Narrow" w:hAnsi="Arial Narrow"/>
                <w:b/>
                <w:bCs/>
                <w:iCs/>
                <w:color w:val="000000"/>
                <w:sz w:val="20"/>
                <w:szCs w:val="20"/>
              </w:rPr>
            </w:pPr>
            <w:r w:rsidRPr="000B49C6">
              <w:rPr>
                <w:rFonts w:ascii="Arial Narrow" w:hAnsi="Arial Narrow"/>
                <w:b/>
                <w:bCs/>
                <w:iCs/>
                <w:color w:val="000000"/>
                <w:sz w:val="20"/>
                <w:szCs w:val="20"/>
              </w:rPr>
              <w:t>-15.6 (-28.0, -2.8)</w:t>
            </w:r>
          </w:p>
        </w:tc>
        <w:tc>
          <w:tcPr>
            <w:tcW w:w="1508" w:type="dxa"/>
            <w:shd w:val="clear" w:color="auto" w:fill="auto"/>
            <w:vAlign w:val="center"/>
          </w:tcPr>
          <w:p w:rsidR="00B8785C" w:rsidRPr="000B49C6" w:rsidRDefault="00B8785C" w:rsidP="00D370B3">
            <w:pPr>
              <w:jc w:val="center"/>
              <w:rPr>
                <w:rFonts w:ascii="Arial Narrow" w:hAnsi="Arial Narrow"/>
                <w:b/>
                <w:bCs/>
                <w:iCs/>
                <w:sz w:val="20"/>
                <w:szCs w:val="20"/>
              </w:rPr>
            </w:pPr>
            <w:r w:rsidRPr="000B49C6">
              <w:rPr>
                <w:rFonts w:ascii="Arial Narrow" w:hAnsi="Arial Narrow"/>
                <w:b/>
                <w:bCs/>
                <w:iCs/>
                <w:sz w:val="20"/>
                <w:szCs w:val="20"/>
              </w:rPr>
              <w:t>0.50 (0.28, 0.89)</w:t>
            </w:r>
          </w:p>
        </w:tc>
      </w:tr>
      <w:tr w:rsidR="00B8785C" w:rsidRPr="000B49C6" w:rsidTr="00D370B3">
        <w:tc>
          <w:tcPr>
            <w:tcW w:w="2830" w:type="dxa"/>
            <w:shd w:val="clear" w:color="auto" w:fill="auto"/>
          </w:tcPr>
          <w:p w:rsidR="00B8785C" w:rsidRPr="000B49C6" w:rsidRDefault="00B8785C" w:rsidP="00D370B3">
            <w:pPr>
              <w:ind w:left="254"/>
              <w:rPr>
                <w:rFonts w:ascii="Arial Narrow" w:hAnsi="Arial Narrow"/>
                <w:sz w:val="20"/>
                <w:szCs w:val="20"/>
              </w:rPr>
            </w:pPr>
            <w:r w:rsidRPr="000B49C6">
              <w:rPr>
                <w:rFonts w:ascii="Arial Narrow" w:hAnsi="Arial Narrow"/>
                <w:sz w:val="20"/>
                <w:szCs w:val="20"/>
              </w:rPr>
              <w:t>- 027, 078 or 244 strain</w:t>
            </w:r>
          </w:p>
        </w:tc>
        <w:tc>
          <w:tcPr>
            <w:tcW w:w="1418" w:type="dxa"/>
            <w:shd w:val="clear" w:color="auto" w:fill="auto"/>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22/78 (28.2)</w:t>
            </w:r>
          </w:p>
        </w:tc>
        <w:tc>
          <w:tcPr>
            <w:tcW w:w="1417" w:type="dxa"/>
            <w:shd w:val="clear" w:color="auto" w:fill="auto"/>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37/90 (41.1)</w:t>
            </w:r>
          </w:p>
        </w:tc>
        <w:tc>
          <w:tcPr>
            <w:tcW w:w="1843" w:type="dxa"/>
            <w:shd w:val="clear" w:color="auto" w:fill="auto"/>
            <w:vAlign w:val="center"/>
          </w:tcPr>
          <w:p w:rsidR="00B8785C" w:rsidRPr="000B49C6" w:rsidRDefault="00B8785C" w:rsidP="00D370B3">
            <w:pPr>
              <w:jc w:val="center"/>
              <w:rPr>
                <w:rFonts w:ascii="Arial Narrow" w:hAnsi="Arial Narrow"/>
                <w:iCs/>
                <w:color w:val="000000"/>
                <w:sz w:val="20"/>
                <w:szCs w:val="20"/>
              </w:rPr>
            </w:pPr>
            <w:r w:rsidRPr="000B49C6">
              <w:rPr>
                <w:rFonts w:ascii="Arial Narrow" w:hAnsi="Arial Narrow"/>
                <w:iCs/>
                <w:color w:val="000000"/>
                <w:sz w:val="20"/>
                <w:szCs w:val="20"/>
              </w:rPr>
              <w:t>-12.9 (-26.8, 1.6)</w:t>
            </w:r>
          </w:p>
        </w:tc>
        <w:tc>
          <w:tcPr>
            <w:tcW w:w="1508" w:type="dxa"/>
            <w:shd w:val="clear" w:color="auto" w:fill="auto"/>
            <w:vAlign w:val="center"/>
          </w:tcPr>
          <w:p w:rsidR="00B8785C" w:rsidRPr="000B49C6" w:rsidRDefault="00B8785C" w:rsidP="00D370B3">
            <w:pPr>
              <w:jc w:val="center"/>
              <w:rPr>
                <w:rFonts w:ascii="Arial Narrow" w:hAnsi="Arial Narrow"/>
                <w:iCs/>
                <w:sz w:val="20"/>
                <w:szCs w:val="20"/>
              </w:rPr>
            </w:pPr>
            <w:r w:rsidRPr="000B49C6">
              <w:rPr>
                <w:rFonts w:ascii="Arial Narrow" w:hAnsi="Arial Narrow"/>
                <w:iCs/>
                <w:sz w:val="20"/>
                <w:szCs w:val="20"/>
              </w:rPr>
              <w:t>0.69 (0.44, 1.05)</w:t>
            </w:r>
          </w:p>
        </w:tc>
      </w:tr>
      <w:tr w:rsidR="00B8785C" w:rsidRPr="000B49C6" w:rsidTr="00D370B3">
        <w:tc>
          <w:tcPr>
            <w:tcW w:w="2830" w:type="dxa"/>
            <w:shd w:val="clear" w:color="auto" w:fill="auto"/>
          </w:tcPr>
          <w:p w:rsidR="00B8785C" w:rsidRPr="000B49C6" w:rsidRDefault="00B8785C" w:rsidP="00D370B3">
            <w:pPr>
              <w:ind w:left="109"/>
              <w:rPr>
                <w:rFonts w:ascii="Arial Narrow" w:hAnsi="Arial Narrow"/>
                <w:iCs/>
                <w:sz w:val="20"/>
                <w:szCs w:val="20"/>
              </w:rPr>
            </w:pPr>
            <w:r w:rsidRPr="000B49C6">
              <w:rPr>
                <w:rFonts w:ascii="Arial Narrow" w:hAnsi="Arial Narrow"/>
                <w:iCs/>
                <w:sz w:val="20"/>
                <w:szCs w:val="20"/>
              </w:rPr>
              <w:t>No risk factors*</w:t>
            </w:r>
          </w:p>
        </w:tc>
        <w:tc>
          <w:tcPr>
            <w:tcW w:w="1418" w:type="dxa"/>
            <w:shd w:val="clear" w:color="auto" w:fill="auto"/>
            <w:vAlign w:val="center"/>
          </w:tcPr>
          <w:p w:rsidR="00B8785C" w:rsidRPr="000B49C6" w:rsidRDefault="00B8785C" w:rsidP="00D370B3">
            <w:pPr>
              <w:jc w:val="center"/>
              <w:rPr>
                <w:rFonts w:ascii="Arial Narrow" w:hAnsi="Arial Narrow"/>
                <w:iCs/>
                <w:sz w:val="20"/>
                <w:szCs w:val="20"/>
              </w:rPr>
            </w:pPr>
            <w:r w:rsidRPr="000B49C6">
              <w:rPr>
                <w:rFonts w:ascii="Arial Narrow" w:hAnsi="Arial Narrow"/>
                <w:iCs/>
                <w:sz w:val="20"/>
                <w:szCs w:val="20"/>
              </w:rPr>
              <w:t>29/154 (18.8)</w:t>
            </w:r>
          </w:p>
        </w:tc>
        <w:tc>
          <w:tcPr>
            <w:tcW w:w="1417" w:type="dxa"/>
            <w:shd w:val="clear" w:color="auto" w:fill="auto"/>
            <w:vAlign w:val="center"/>
          </w:tcPr>
          <w:p w:rsidR="00B8785C" w:rsidRPr="000B49C6" w:rsidRDefault="00B8785C" w:rsidP="00D370B3">
            <w:pPr>
              <w:jc w:val="center"/>
              <w:rPr>
                <w:rFonts w:ascii="Arial Narrow" w:hAnsi="Arial Narrow"/>
                <w:iCs/>
                <w:sz w:val="20"/>
                <w:szCs w:val="20"/>
              </w:rPr>
            </w:pPr>
            <w:r w:rsidRPr="000B49C6">
              <w:rPr>
                <w:rFonts w:ascii="Arial Narrow" w:hAnsi="Arial Narrow"/>
                <w:iCs/>
                <w:sz w:val="20"/>
                <w:szCs w:val="20"/>
              </w:rPr>
              <w:t>32/153 (20.9)</w:t>
            </w:r>
          </w:p>
        </w:tc>
        <w:tc>
          <w:tcPr>
            <w:tcW w:w="1843" w:type="dxa"/>
            <w:shd w:val="clear" w:color="auto" w:fill="auto"/>
            <w:vAlign w:val="center"/>
          </w:tcPr>
          <w:p w:rsidR="00B8785C" w:rsidRPr="000B49C6" w:rsidRDefault="00B8785C" w:rsidP="00D370B3">
            <w:pPr>
              <w:jc w:val="center"/>
              <w:rPr>
                <w:rFonts w:ascii="Arial Narrow" w:hAnsi="Arial Narrow"/>
                <w:iCs/>
                <w:color w:val="000000"/>
                <w:sz w:val="20"/>
                <w:szCs w:val="20"/>
              </w:rPr>
            </w:pPr>
            <w:r w:rsidRPr="000B49C6">
              <w:rPr>
                <w:rFonts w:ascii="Arial Narrow" w:hAnsi="Arial Narrow"/>
                <w:iCs/>
                <w:color w:val="000000"/>
                <w:sz w:val="20"/>
                <w:szCs w:val="20"/>
              </w:rPr>
              <w:t>-2.1 (-11.1, 6.9)</w:t>
            </w:r>
          </w:p>
        </w:tc>
        <w:tc>
          <w:tcPr>
            <w:tcW w:w="1508" w:type="dxa"/>
            <w:shd w:val="clear" w:color="auto" w:fill="auto"/>
            <w:vAlign w:val="center"/>
          </w:tcPr>
          <w:p w:rsidR="00B8785C" w:rsidRPr="000B49C6" w:rsidRDefault="00B8785C" w:rsidP="00D370B3">
            <w:pPr>
              <w:jc w:val="center"/>
              <w:rPr>
                <w:rFonts w:ascii="Arial Narrow" w:hAnsi="Arial Narrow"/>
                <w:iCs/>
                <w:sz w:val="20"/>
                <w:szCs w:val="20"/>
              </w:rPr>
            </w:pPr>
            <w:r w:rsidRPr="000B49C6">
              <w:rPr>
                <w:rFonts w:ascii="Arial Narrow" w:hAnsi="Arial Narrow"/>
                <w:iCs/>
                <w:sz w:val="20"/>
                <w:szCs w:val="20"/>
              </w:rPr>
              <w:t>0.90 (0.58, 1.41)</w:t>
            </w:r>
          </w:p>
        </w:tc>
      </w:tr>
      <w:tr w:rsidR="00B8785C" w:rsidRPr="000B49C6" w:rsidTr="00D370B3">
        <w:tc>
          <w:tcPr>
            <w:tcW w:w="2830" w:type="dxa"/>
            <w:shd w:val="clear" w:color="auto" w:fill="auto"/>
          </w:tcPr>
          <w:p w:rsidR="00B8785C" w:rsidRPr="000B49C6" w:rsidRDefault="00B8785C" w:rsidP="00D370B3">
            <w:pPr>
              <w:ind w:left="109"/>
              <w:rPr>
                <w:rFonts w:ascii="Arial Narrow" w:hAnsi="Arial Narrow"/>
                <w:iCs/>
                <w:sz w:val="20"/>
                <w:szCs w:val="20"/>
              </w:rPr>
            </w:pPr>
            <w:r w:rsidRPr="000B49C6">
              <w:rPr>
                <w:rFonts w:ascii="Arial Narrow" w:hAnsi="Arial Narrow"/>
                <w:iCs/>
                <w:sz w:val="20"/>
                <w:szCs w:val="20"/>
              </w:rPr>
              <w:t>1 risk factor*</w:t>
            </w:r>
          </w:p>
        </w:tc>
        <w:tc>
          <w:tcPr>
            <w:tcW w:w="1418" w:type="dxa"/>
            <w:shd w:val="clear" w:color="auto" w:fill="auto"/>
            <w:vAlign w:val="center"/>
          </w:tcPr>
          <w:p w:rsidR="00B8785C" w:rsidRPr="000B49C6" w:rsidRDefault="00B8785C" w:rsidP="00D370B3">
            <w:pPr>
              <w:jc w:val="center"/>
              <w:rPr>
                <w:rFonts w:ascii="Arial Narrow" w:hAnsi="Arial Narrow"/>
                <w:iCs/>
                <w:sz w:val="20"/>
                <w:szCs w:val="20"/>
              </w:rPr>
            </w:pPr>
            <w:r w:rsidRPr="000B49C6">
              <w:rPr>
                <w:rFonts w:ascii="Arial Narrow" w:hAnsi="Arial Narrow"/>
                <w:iCs/>
                <w:sz w:val="20"/>
                <w:szCs w:val="20"/>
              </w:rPr>
              <w:t>40/234 (17.1)</w:t>
            </w:r>
          </w:p>
        </w:tc>
        <w:tc>
          <w:tcPr>
            <w:tcW w:w="1417" w:type="dxa"/>
            <w:shd w:val="clear" w:color="auto" w:fill="auto"/>
            <w:vAlign w:val="center"/>
          </w:tcPr>
          <w:p w:rsidR="00B8785C" w:rsidRPr="000B49C6" w:rsidRDefault="00B8785C" w:rsidP="00D370B3">
            <w:pPr>
              <w:jc w:val="center"/>
              <w:rPr>
                <w:rFonts w:ascii="Arial Narrow" w:hAnsi="Arial Narrow"/>
                <w:iCs/>
                <w:sz w:val="20"/>
                <w:szCs w:val="20"/>
              </w:rPr>
            </w:pPr>
            <w:r w:rsidRPr="000B49C6">
              <w:rPr>
                <w:rFonts w:ascii="Arial Narrow" w:hAnsi="Arial Narrow"/>
                <w:iCs/>
                <w:sz w:val="20"/>
                <w:szCs w:val="20"/>
              </w:rPr>
              <w:t>70/224 (31.3)</w:t>
            </w:r>
          </w:p>
        </w:tc>
        <w:tc>
          <w:tcPr>
            <w:tcW w:w="1843" w:type="dxa"/>
            <w:shd w:val="clear" w:color="auto" w:fill="auto"/>
            <w:vAlign w:val="center"/>
          </w:tcPr>
          <w:p w:rsidR="00B8785C" w:rsidRPr="000B49C6" w:rsidRDefault="00B8785C" w:rsidP="00D370B3">
            <w:pPr>
              <w:jc w:val="center"/>
              <w:rPr>
                <w:rFonts w:ascii="Arial Narrow" w:hAnsi="Arial Narrow"/>
                <w:b/>
                <w:bCs/>
                <w:iCs/>
                <w:color w:val="000000"/>
                <w:sz w:val="20"/>
                <w:szCs w:val="20"/>
              </w:rPr>
            </w:pPr>
            <w:r w:rsidRPr="000B49C6">
              <w:rPr>
                <w:rFonts w:ascii="Arial Narrow" w:hAnsi="Arial Narrow"/>
                <w:b/>
                <w:bCs/>
                <w:iCs/>
                <w:color w:val="000000"/>
                <w:sz w:val="20"/>
                <w:szCs w:val="20"/>
              </w:rPr>
              <w:t>-14.2 (-21.9, -6.4)</w:t>
            </w:r>
          </w:p>
        </w:tc>
        <w:tc>
          <w:tcPr>
            <w:tcW w:w="1508" w:type="dxa"/>
            <w:shd w:val="clear" w:color="auto" w:fill="auto"/>
            <w:vAlign w:val="center"/>
          </w:tcPr>
          <w:p w:rsidR="00B8785C" w:rsidRPr="000B49C6" w:rsidRDefault="00B8785C" w:rsidP="00D370B3">
            <w:pPr>
              <w:jc w:val="center"/>
              <w:rPr>
                <w:rFonts w:ascii="Arial Narrow" w:hAnsi="Arial Narrow"/>
                <w:b/>
                <w:bCs/>
                <w:iCs/>
                <w:sz w:val="20"/>
                <w:szCs w:val="20"/>
              </w:rPr>
            </w:pPr>
            <w:r w:rsidRPr="000B49C6">
              <w:rPr>
                <w:rFonts w:ascii="Arial Narrow" w:hAnsi="Arial Narrow"/>
                <w:b/>
                <w:bCs/>
                <w:iCs/>
                <w:sz w:val="20"/>
                <w:szCs w:val="20"/>
              </w:rPr>
              <w:t>0.55 (0.39, 0.77)</w:t>
            </w:r>
          </w:p>
        </w:tc>
      </w:tr>
      <w:tr w:rsidR="00B8785C" w:rsidRPr="000B49C6" w:rsidTr="00D370B3">
        <w:tc>
          <w:tcPr>
            <w:tcW w:w="2830" w:type="dxa"/>
            <w:shd w:val="clear" w:color="auto" w:fill="auto"/>
          </w:tcPr>
          <w:p w:rsidR="00B8785C" w:rsidRPr="000B49C6" w:rsidRDefault="00B8785C" w:rsidP="00D370B3">
            <w:pPr>
              <w:ind w:left="109"/>
              <w:rPr>
                <w:rFonts w:ascii="Arial Narrow" w:hAnsi="Arial Narrow"/>
                <w:iCs/>
                <w:sz w:val="20"/>
                <w:szCs w:val="20"/>
              </w:rPr>
            </w:pPr>
            <w:r w:rsidRPr="000B49C6">
              <w:rPr>
                <w:rFonts w:ascii="Arial Narrow" w:hAnsi="Arial Narrow"/>
                <w:iCs/>
                <w:sz w:val="20"/>
                <w:szCs w:val="20"/>
              </w:rPr>
              <w:t>2 risk factors*</w:t>
            </w:r>
          </w:p>
        </w:tc>
        <w:tc>
          <w:tcPr>
            <w:tcW w:w="1418" w:type="dxa"/>
            <w:shd w:val="clear" w:color="auto" w:fill="auto"/>
            <w:vAlign w:val="center"/>
          </w:tcPr>
          <w:p w:rsidR="00B8785C" w:rsidRPr="000B49C6" w:rsidRDefault="00B8785C" w:rsidP="00D370B3">
            <w:pPr>
              <w:jc w:val="center"/>
              <w:rPr>
                <w:rFonts w:ascii="Arial Narrow" w:hAnsi="Arial Narrow"/>
                <w:iCs/>
                <w:sz w:val="20"/>
                <w:szCs w:val="20"/>
              </w:rPr>
            </w:pPr>
            <w:r w:rsidRPr="000B49C6">
              <w:rPr>
                <w:rFonts w:ascii="Arial Narrow" w:hAnsi="Arial Narrow"/>
                <w:iCs/>
                <w:sz w:val="20"/>
                <w:szCs w:val="20"/>
              </w:rPr>
              <w:t>46/171 (26.9)</w:t>
            </w:r>
          </w:p>
        </w:tc>
        <w:tc>
          <w:tcPr>
            <w:tcW w:w="1417" w:type="dxa"/>
            <w:shd w:val="clear" w:color="auto" w:fill="auto"/>
            <w:vAlign w:val="center"/>
          </w:tcPr>
          <w:p w:rsidR="00B8785C" w:rsidRPr="000B49C6" w:rsidRDefault="00B8785C" w:rsidP="00D370B3">
            <w:pPr>
              <w:jc w:val="center"/>
              <w:rPr>
                <w:rFonts w:ascii="Arial Narrow" w:hAnsi="Arial Narrow"/>
                <w:iCs/>
                <w:sz w:val="20"/>
                <w:szCs w:val="20"/>
              </w:rPr>
            </w:pPr>
            <w:r w:rsidRPr="000B49C6">
              <w:rPr>
                <w:rFonts w:ascii="Arial Narrow" w:hAnsi="Arial Narrow"/>
                <w:iCs/>
                <w:sz w:val="20"/>
                <w:szCs w:val="20"/>
              </w:rPr>
              <w:t>69/168 (41.1)</w:t>
            </w:r>
          </w:p>
        </w:tc>
        <w:tc>
          <w:tcPr>
            <w:tcW w:w="1843" w:type="dxa"/>
            <w:shd w:val="clear" w:color="auto" w:fill="auto"/>
            <w:vAlign w:val="center"/>
          </w:tcPr>
          <w:p w:rsidR="00B8785C" w:rsidRPr="000B49C6" w:rsidRDefault="00B8785C" w:rsidP="00D370B3">
            <w:pPr>
              <w:jc w:val="center"/>
              <w:rPr>
                <w:rFonts w:ascii="Arial Narrow" w:hAnsi="Arial Narrow"/>
                <w:b/>
                <w:bCs/>
                <w:iCs/>
                <w:color w:val="000000"/>
                <w:sz w:val="20"/>
                <w:szCs w:val="20"/>
              </w:rPr>
            </w:pPr>
            <w:r w:rsidRPr="000B49C6">
              <w:rPr>
                <w:rFonts w:ascii="Arial Narrow" w:hAnsi="Arial Narrow"/>
                <w:b/>
                <w:bCs/>
                <w:iCs/>
                <w:color w:val="000000"/>
                <w:sz w:val="20"/>
                <w:szCs w:val="20"/>
              </w:rPr>
              <w:t>-14.2 (-24.0, -4.1)</w:t>
            </w:r>
          </w:p>
        </w:tc>
        <w:tc>
          <w:tcPr>
            <w:tcW w:w="1508" w:type="dxa"/>
            <w:shd w:val="clear" w:color="auto" w:fill="auto"/>
            <w:vAlign w:val="center"/>
          </w:tcPr>
          <w:p w:rsidR="00B8785C" w:rsidRPr="000B49C6" w:rsidRDefault="00B8785C" w:rsidP="00D370B3">
            <w:pPr>
              <w:jc w:val="center"/>
              <w:rPr>
                <w:rFonts w:ascii="Arial Narrow" w:hAnsi="Arial Narrow"/>
                <w:b/>
                <w:bCs/>
                <w:iCs/>
                <w:sz w:val="20"/>
                <w:szCs w:val="20"/>
              </w:rPr>
            </w:pPr>
            <w:r w:rsidRPr="000B49C6">
              <w:rPr>
                <w:rFonts w:ascii="Arial Narrow" w:hAnsi="Arial Narrow"/>
                <w:b/>
                <w:bCs/>
                <w:iCs/>
                <w:sz w:val="20"/>
                <w:szCs w:val="20"/>
              </w:rPr>
              <w:t>0.65 (0.48, 0.89)</w:t>
            </w:r>
          </w:p>
        </w:tc>
      </w:tr>
      <w:tr w:rsidR="00B8785C" w:rsidRPr="000B49C6" w:rsidTr="00D370B3">
        <w:tc>
          <w:tcPr>
            <w:tcW w:w="2830" w:type="dxa"/>
            <w:shd w:val="clear" w:color="auto" w:fill="auto"/>
          </w:tcPr>
          <w:p w:rsidR="00B8785C" w:rsidRPr="000B49C6" w:rsidRDefault="00B8785C" w:rsidP="00D370B3">
            <w:pPr>
              <w:ind w:left="109"/>
              <w:rPr>
                <w:rFonts w:ascii="Arial Narrow" w:hAnsi="Arial Narrow"/>
                <w:iCs/>
                <w:sz w:val="20"/>
                <w:szCs w:val="20"/>
              </w:rPr>
            </w:pPr>
            <w:r w:rsidRPr="000B49C6">
              <w:rPr>
                <w:rFonts w:ascii="Arial Narrow" w:hAnsi="Arial Narrow"/>
                <w:iCs/>
                <w:sz w:val="20"/>
                <w:szCs w:val="20"/>
              </w:rPr>
              <w:t>≥3 risk factors*</w:t>
            </w:r>
          </w:p>
        </w:tc>
        <w:tc>
          <w:tcPr>
            <w:tcW w:w="1418" w:type="dxa"/>
            <w:shd w:val="clear" w:color="auto" w:fill="auto"/>
            <w:vAlign w:val="center"/>
          </w:tcPr>
          <w:p w:rsidR="00B8785C" w:rsidRPr="000B49C6" w:rsidRDefault="00B8785C" w:rsidP="00D370B3">
            <w:pPr>
              <w:jc w:val="center"/>
              <w:rPr>
                <w:rFonts w:ascii="Arial Narrow" w:hAnsi="Arial Narrow"/>
                <w:iCs/>
                <w:sz w:val="20"/>
                <w:szCs w:val="20"/>
              </w:rPr>
            </w:pPr>
            <w:r w:rsidRPr="000B49C6">
              <w:rPr>
                <w:rFonts w:ascii="Arial Narrow" w:hAnsi="Arial Narrow"/>
                <w:iCs/>
                <w:sz w:val="20"/>
                <w:szCs w:val="20"/>
              </w:rPr>
              <w:t>14/66 (21.2)</w:t>
            </w:r>
          </w:p>
        </w:tc>
        <w:tc>
          <w:tcPr>
            <w:tcW w:w="1417" w:type="dxa"/>
            <w:shd w:val="clear" w:color="auto" w:fill="auto"/>
            <w:vAlign w:val="center"/>
          </w:tcPr>
          <w:p w:rsidR="00B8785C" w:rsidRPr="000B49C6" w:rsidRDefault="00B8785C" w:rsidP="00D370B3">
            <w:pPr>
              <w:jc w:val="center"/>
              <w:rPr>
                <w:rFonts w:ascii="Arial Narrow" w:hAnsi="Arial Narrow"/>
                <w:iCs/>
                <w:sz w:val="20"/>
                <w:szCs w:val="20"/>
              </w:rPr>
            </w:pPr>
            <w:r w:rsidRPr="000B49C6">
              <w:rPr>
                <w:rFonts w:ascii="Arial Narrow" w:hAnsi="Arial Narrow"/>
                <w:iCs/>
                <w:sz w:val="20"/>
                <w:szCs w:val="20"/>
              </w:rPr>
              <w:t>35/76 (46.1)</w:t>
            </w:r>
          </w:p>
        </w:tc>
        <w:tc>
          <w:tcPr>
            <w:tcW w:w="1843" w:type="dxa"/>
            <w:shd w:val="clear" w:color="auto" w:fill="auto"/>
            <w:vAlign w:val="center"/>
          </w:tcPr>
          <w:p w:rsidR="00B8785C" w:rsidRPr="000B49C6" w:rsidRDefault="00B8785C" w:rsidP="00D370B3">
            <w:pPr>
              <w:jc w:val="center"/>
              <w:rPr>
                <w:rFonts w:ascii="Arial Narrow" w:hAnsi="Arial Narrow"/>
                <w:b/>
                <w:bCs/>
                <w:iCs/>
                <w:color w:val="000000"/>
                <w:sz w:val="20"/>
                <w:szCs w:val="20"/>
              </w:rPr>
            </w:pPr>
            <w:r w:rsidRPr="000B49C6">
              <w:rPr>
                <w:rFonts w:ascii="Arial Narrow" w:hAnsi="Arial Narrow"/>
                <w:b/>
                <w:bCs/>
                <w:iCs/>
                <w:color w:val="000000"/>
                <w:sz w:val="20"/>
                <w:szCs w:val="20"/>
              </w:rPr>
              <w:t>-24.8 (-39.1, -9.3)</w:t>
            </w:r>
          </w:p>
        </w:tc>
        <w:tc>
          <w:tcPr>
            <w:tcW w:w="1508" w:type="dxa"/>
            <w:shd w:val="clear" w:color="auto" w:fill="auto"/>
            <w:vAlign w:val="center"/>
          </w:tcPr>
          <w:p w:rsidR="00B8785C" w:rsidRPr="000B49C6" w:rsidRDefault="00B8785C" w:rsidP="00D370B3">
            <w:pPr>
              <w:jc w:val="center"/>
              <w:rPr>
                <w:rFonts w:ascii="Arial Narrow" w:hAnsi="Arial Narrow"/>
                <w:b/>
                <w:bCs/>
                <w:iCs/>
                <w:sz w:val="20"/>
                <w:szCs w:val="20"/>
              </w:rPr>
            </w:pPr>
            <w:r w:rsidRPr="000B49C6">
              <w:rPr>
                <w:rFonts w:ascii="Arial Narrow" w:hAnsi="Arial Narrow"/>
                <w:b/>
                <w:bCs/>
                <w:iCs/>
                <w:sz w:val="20"/>
                <w:szCs w:val="20"/>
              </w:rPr>
              <w:t>0.46 (0.27, 0.76)</w:t>
            </w:r>
          </w:p>
        </w:tc>
      </w:tr>
      <w:tr w:rsidR="00B8785C" w:rsidRPr="000B49C6" w:rsidTr="00D370B3">
        <w:tc>
          <w:tcPr>
            <w:tcW w:w="9016" w:type="dxa"/>
            <w:gridSpan w:val="5"/>
            <w:shd w:val="clear" w:color="auto" w:fill="auto"/>
            <w:vAlign w:val="center"/>
          </w:tcPr>
          <w:p w:rsidR="00B8785C" w:rsidRPr="000B49C6" w:rsidRDefault="00B8785C" w:rsidP="00D370B3">
            <w:pPr>
              <w:rPr>
                <w:rFonts w:ascii="Arial Narrow" w:hAnsi="Arial Narrow"/>
                <w:b/>
                <w:bCs/>
                <w:sz w:val="20"/>
                <w:szCs w:val="20"/>
              </w:rPr>
            </w:pPr>
            <w:r w:rsidRPr="000B49C6">
              <w:rPr>
                <w:rFonts w:ascii="Arial Narrow" w:hAnsi="Arial Narrow"/>
                <w:b/>
                <w:bCs/>
                <w:sz w:val="20"/>
                <w:szCs w:val="20"/>
              </w:rPr>
              <w:t>Global cure at 12 weeks (clinical cure of initial episode and no CDI recurrence), stratified by risk factors</w:t>
            </w:r>
          </w:p>
        </w:tc>
      </w:tr>
      <w:tr w:rsidR="00B8785C" w:rsidRPr="000B49C6" w:rsidTr="00D370B3">
        <w:tc>
          <w:tcPr>
            <w:tcW w:w="2830" w:type="dxa"/>
            <w:shd w:val="clear" w:color="auto" w:fill="auto"/>
          </w:tcPr>
          <w:p w:rsidR="00B8785C" w:rsidRPr="000B49C6" w:rsidRDefault="00B8785C" w:rsidP="00D370B3">
            <w:pPr>
              <w:rPr>
                <w:rFonts w:ascii="Arial Narrow" w:hAnsi="Arial Narrow"/>
                <w:sz w:val="20"/>
                <w:szCs w:val="20"/>
              </w:rPr>
            </w:pPr>
            <w:r w:rsidRPr="000B49C6">
              <w:rPr>
                <w:rFonts w:ascii="Arial Narrow" w:hAnsi="Arial Narrow"/>
                <w:sz w:val="20"/>
                <w:szCs w:val="20"/>
              </w:rPr>
              <w:t>All participant</w:t>
            </w:r>
          </w:p>
        </w:tc>
        <w:tc>
          <w:tcPr>
            <w:tcW w:w="1418" w:type="dxa"/>
            <w:shd w:val="clear" w:color="auto" w:fill="D9D9D9" w:themeFill="background1" w:themeFillShade="D9"/>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496/781 (63.5)</w:t>
            </w:r>
          </w:p>
        </w:tc>
        <w:tc>
          <w:tcPr>
            <w:tcW w:w="1417" w:type="dxa"/>
            <w:shd w:val="clear" w:color="auto" w:fill="D9D9D9" w:themeFill="background1" w:themeFillShade="D9"/>
            <w:vAlign w:val="center"/>
          </w:tcPr>
          <w:p w:rsidR="00B8785C" w:rsidRPr="000B49C6" w:rsidRDefault="00B8785C" w:rsidP="00D370B3">
            <w:pPr>
              <w:jc w:val="center"/>
              <w:rPr>
                <w:rFonts w:ascii="Arial Narrow" w:hAnsi="Arial Narrow"/>
                <w:sz w:val="20"/>
                <w:szCs w:val="20"/>
              </w:rPr>
            </w:pPr>
            <w:r w:rsidRPr="000B49C6">
              <w:rPr>
                <w:rFonts w:ascii="Arial Narrow" w:hAnsi="Arial Narrow"/>
                <w:sz w:val="20"/>
                <w:szCs w:val="20"/>
              </w:rPr>
              <w:t>415/773 (53.7)</w:t>
            </w:r>
          </w:p>
        </w:tc>
        <w:tc>
          <w:tcPr>
            <w:tcW w:w="1843" w:type="dxa"/>
            <w:shd w:val="clear" w:color="auto" w:fill="D9D9D9" w:themeFill="background1" w:themeFillShade="D9"/>
            <w:vAlign w:val="center"/>
          </w:tcPr>
          <w:p w:rsidR="00B8785C" w:rsidRPr="000B49C6" w:rsidRDefault="00B8785C" w:rsidP="00D370B3">
            <w:pPr>
              <w:jc w:val="center"/>
              <w:rPr>
                <w:rFonts w:ascii="Arial Narrow" w:hAnsi="Arial Narrow"/>
                <w:b/>
                <w:bCs/>
                <w:color w:val="000000"/>
                <w:sz w:val="20"/>
                <w:szCs w:val="20"/>
              </w:rPr>
            </w:pPr>
            <w:r w:rsidRPr="000B49C6">
              <w:rPr>
                <w:rFonts w:ascii="Arial Narrow" w:hAnsi="Arial Narrow"/>
                <w:b/>
                <w:bCs/>
                <w:color w:val="000000"/>
                <w:sz w:val="20"/>
                <w:szCs w:val="20"/>
              </w:rPr>
              <w:t>9.7 (4.8, 14.5)^</w:t>
            </w:r>
          </w:p>
        </w:tc>
        <w:tc>
          <w:tcPr>
            <w:tcW w:w="1508" w:type="dxa"/>
            <w:shd w:val="clear" w:color="auto" w:fill="D9D9D9" w:themeFill="background1" w:themeFillShade="D9"/>
            <w:vAlign w:val="center"/>
          </w:tcPr>
          <w:p w:rsidR="00B8785C" w:rsidRPr="000B49C6" w:rsidRDefault="00B8785C" w:rsidP="00D370B3">
            <w:pPr>
              <w:jc w:val="center"/>
              <w:rPr>
                <w:rFonts w:ascii="Arial Narrow" w:hAnsi="Arial Narrow"/>
                <w:b/>
                <w:bCs/>
                <w:iCs/>
                <w:sz w:val="20"/>
                <w:szCs w:val="20"/>
              </w:rPr>
            </w:pPr>
            <w:r w:rsidRPr="000B49C6">
              <w:rPr>
                <w:rFonts w:ascii="Arial Narrow" w:hAnsi="Arial Narrow"/>
                <w:b/>
                <w:bCs/>
                <w:iCs/>
                <w:sz w:val="20"/>
                <w:szCs w:val="20"/>
              </w:rPr>
              <w:t>1.18 (1.09, 1.29)</w:t>
            </w:r>
          </w:p>
        </w:tc>
      </w:tr>
      <w:tr w:rsidR="00B8785C" w:rsidRPr="000B49C6" w:rsidTr="00D370B3">
        <w:tc>
          <w:tcPr>
            <w:tcW w:w="2830" w:type="dxa"/>
            <w:shd w:val="clear" w:color="auto" w:fill="auto"/>
          </w:tcPr>
          <w:p w:rsidR="00B8785C" w:rsidRPr="000B49C6" w:rsidRDefault="00B8785C" w:rsidP="00D370B3">
            <w:pPr>
              <w:ind w:left="109"/>
              <w:rPr>
                <w:rFonts w:ascii="Arial Narrow" w:hAnsi="Arial Narrow"/>
                <w:sz w:val="20"/>
                <w:szCs w:val="20"/>
              </w:rPr>
            </w:pPr>
            <w:r w:rsidRPr="000B49C6">
              <w:rPr>
                <w:rFonts w:ascii="Arial Narrow" w:hAnsi="Arial Narrow"/>
                <w:sz w:val="20"/>
                <w:szCs w:val="20"/>
              </w:rPr>
              <w:t xml:space="preserve">Overall (≥1 of below risk </w:t>
            </w:r>
            <w:proofErr w:type="spellStart"/>
            <w:r w:rsidRPr="000B49C6">
              <w:rPr>
                <w:rFonts w:ascii="Arial Narrow" w:hAnsi="Arial Narrow"/>
                <w:sz w:val="20"/>
                <w:szCs w:val="20"/>
              </w:rPr>
              <w:t>factor</w:t>
            </w:r>
            <w:r w:rsidR="00C95CD3" w:rsidRPr="000B49C6">
              <w:rPr>
                <w:rFonts w:ascii="Arial Narrow" w:hAnsi="Arial Narrow"/>
                <w:sz w:val="20"/>
                <w:szCs w:val="20"/>
                <w:vertAlign w:val="superscript"/>
              </w:rPr>
              <w:t>c</w:t>
            </w:r>
            <w:proofErr w:type="spellEnd"/>
            <w:r w:rsidRPr="000B49C6">
              <w:rPr>
                <w:rFonts w:ascii="Arial Narrow" w:hAnsi="Arial Narrow"/>
                <w:sz w:val="20"/>
                <w:szCs w:val="20"/>
              </w:rPr>
              <w:t>)</w:t>
            </w:r>
          </w:p>
        </w:tc>
        <w:tc>
          <w:tcPr>
            <w:tcW w:w="1418" w:type="dxa"/>
            <w:shd w:val="clear" w:color="auto" w:fill="auto"/>
          </w:tcPr>
          <w:p w:rsidR="00B8785C" w:rsidRPr="00410A2A" w:rsidRDefault="00410A2A" w:rsidP="00D370B3">
            <w:pPr>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417" w:type="dxa"/>
            <w:shd w:val="clear" w:color="auto" w:fill="auto"/>
          </w:tcPr>
          <w:p w:rsidR="00B8785C" w:rsidRPr="00410A2A" w:rsidRDefault="00410A2A" w:rsidP="00D370B3">
            <w:pPr>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843" w:type="dxa"/>
            <w:shd w:val="clear" w:color="auto" w:fill="auto"/>
            <w:vAlign w:val="bottom"/>
          </w:tcPr>
          <w:p w:rsidR="00B8785C" w:rsidRPr="00410A2A" w:rsidRDefault="00410A2A" w:rsidP="00D370B3">
            <w:pPr>
              <w:jc w:val="center"/>
              <w:rPr>
                <w:rFonts w:ascii="Arial Narrow" w:hAnsi="Arial Narrow"/>
                <w:b/>
                <w:bCs/>
                <w:iCs/>
                <w:color w:val="000000"/>
                <w:sz w:val="20"/>
                <w:szCs w:val="20"/>
                <w:highlight w:val="black"/>
              </w:rPr>
            </w:pPr>
            <w:r>
              <w:rPr>
                <w:rFonts w:ascii="Arial Narrow" w:hAnsi="Arial Narrow"/>
                <w:b/>
                <w:bCs/>
                <w:iCs/>
                <w:noProof/>
                <w:color w:val="000000"/>
                <w:sz w:val="20"/>
                <w:szCs w:val="20"/>
                <w:highlight w:val="black"/>
              </w:rPr>
              <w:t>''''''''' '''''''''' ''''''''''</w:t>
            </w:r>
          </w:p>
        </w:tc>
        <w:tc>
          <w:tcPr>
            <w:tcW w:w="1508" w:type="dxa"/>
            <w:shd w:val="clear" w:color="auto" w:fill="auto"/>
          </w:tcPr>
          <w:p w:rsidR="00B8785C" w:rsidRPr="00410A2A" w:rsidRDefault="00410A2A" w:rsidP="00D370B3">
            <w:pPr>
              <w:jc w:val="center"/>
              <w:rPr>
                <w:rFonts w:ascii="Arial Narrow" w:hAnsi="Arial Narrow"/>
                <w:b/>
                <w:bCs/>
                <w:iCs/>
                <w:sz w:val="20"/>
                <w:szCs w:val="20"/>
                <w:highlight w:val="black"/>
              </w:rPr>
            </w:pPr>
            <w:r>
              <w:rPr>
                <w:rFonts w:ascii="Arial Narrow" w:hAnsi="Arial Narrow"/>
                <w:b/>
                <w:bCs/>
                <w:iCs/>
                <w:noProof/>
                <w:color w:val="000000"/>
                <w:sz w:val="20"/>
                <w:szCs w:val="20"/>
                <w:highlight w:val="black"/>
              </w:rPr>
              <w:t>'''''''' ''''''''''' '''''''''''</w:t>
            </w:r>
          </w:p>
        </w:tc>
      </w:tr>
      <w:tr w:rsidR="00B8785C" w:rsidRPr="000B49C6" w:rsidTr="00D370B3">
        <w:trPr>
          <w:trHeight w:val="119"/>
        </w:trPr>
        <w:tc>
          <w:tcPr>
            <w:tcW w:w="2830" w:type="dxa"/>
            <w:shd w:val="clear" w:color="auto" w:fill="auto"/>
          </w:tcPr>
          <w:p w:rsidR="00B8785C" w:rsidRPr="000B49C6" w:rsidRDefault="00B8785C" w:rsidP="00D370B3">
            <w:pPr>
              <w:ind w:left="254"/>
              <w:rPr>
                <w:rFonts w:ascii="Arial Narrow" w:hAnsi="Arial Narrow"/>
                <w:sz w:val="20"/>
                <w:szCs w:val="20"/>
              </w:rPr>
            </w:pPr>
            <w:r w:rsidRPr="000B49C6">
              <w:rPr>
                <w:rFonts w:ascii="Arial Narrow" w:hAnsi="Arial Narrow"/>
                <w:sz w:val="20"/>
                <w:szCs w:val="20"/>
              </w:rPr>
              <w:t>- Age ≥65 years</w:t>
            </w:r>
          </w:p>
        </w:tc>
        <w:tc>
          <w:tcPr>
            <w:tcW w:w="1418" w:type="dxa"/>
            <w:shd w:val="clear" w:color="auto" w:fill="auto"/>
            <w:vAlign w:val="center"/>
          </w:tcPr>
          <w:p w:rsidR="00B8785C" w:rsidRPr="00410A2A" w:rsidRDefault="00410A2A" w:rsidP="00D370B3">
            <w:pPr>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417" w:type="dxa"/>
            <w:shd w:val="clear" w:color="auto" w:fill="auto"/>
            <w:vAlign w:val="center"/>
          </w:tcPr>
          <w:p w:rsidR="00B8785C" w:rsidRPr="00410A2A" w:rsidRDefault="00410A2A" w:rsidP="00D370B3">
            <w:pPr>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843" w:type="dxa"/>
            <w:shd w:val="clear" w:color="auto" w:fill="auto"/>
            <w:vAlign w:val="center"/>
          </w:tcPr>
          <w:p w:rsidR="00B8785C" w:rsidRPr="00410A2A" w:rsidRDefault="00410A2A" w:rsidP="00D370B3">
            <w:pPr>
              <w:jc w:val="center"/>
              <w:rPr>
                <w:rFonts w:ascii="Arial Narrow" w:hAnsi="Arial Narrow"/>
                <w:b/>
                <w:bCs/>
                <w:iCs/>
                <w:color w:val="000000"/>
                <w:sz w:val="20"/>
                <w:szCs w:val="20"/>
                <w:highlight w:val="black"/>
              </w:rPr>
            </w:pPr>
            <w:r>
              <w:rPr>
                <w:rFonts w:ascii="Arial Narrow" w:hAnsi="Arial Narrow"/>
                <w:b/>
                <w:bCs/>
                <w:iCs/>
                <w:noProof/>
                <w:color w:val="000000"/>
                <w:sz w:val="20"/>
                <w:szCs w:val="20"/>
                <w:highlight w:val="black"/>
              </w:rPr>
              <w:t>'''''''''' ''''''''' '''''''''</w:t>
            </w:r>
          </w:p>
        </w:tc>
        <w:tc>
          <w:tcPr>
            <w:tcW w:w="1508" w:type="dxa"/>
            <w:shd w:val="clear" w:color="auto" w:fill="auto"/>
            <w:vAlign w:val="center"/>
          </w:tcPr>
          <w:p w:rsidR="00B8785C" w:rsidRPr="00410A2A" w:rsidRDefault="00410A2A" w:rsidP="00D370B3">
            <w:pPr>
              <w:jc w:val="center"/>
              <w:rPr>
                <w:rFonts w:ascii="Arial Narrow" w:hAnsi="Arial Narrow"/>
                <w:b/>
                <w:bCs/>
                <w:iCs/>
                <w:sz w:val="20"/>
                <w:szCs w:val="20"/>
                <w:highlight w:val="black"/>
              </w:rPr>
            </w:pPr>
            <w:r>
              <w:rPr>
                <w:rFonts w:ascii="Arial Narrow" w:hAnsi="Arial Narrow"/>
                <w:b/>
                <w:bCs/>
                <w:iCs/>
                <w:noProof/>
                <w:color w:val="000000"/>
                <w:sz w:val="20"/>
                <w:szCs w:val="20"/>
                <w:highlight w:val="black"/>
              </w:rPr>
              <w:t>''''''''' '''''''''''' ''''''''''</w:t>
            </w:r>
          </w:p>
        </w:tc>
      </w:tr>
      <w:tr w:rsidR="00B8785C" w:rsidRPr="000B49C6" w:rsidTr="00D370B3">
        <w:tc>
          <w:tcPr>
            <w:tcW w:w="2830" w:type="dxa"/>
            <w:shd w:val="clear" w:color="auto" w:fill="auto"/>
          </w:tcPr>
          <w:p w:rsidR="00B8785C" w:rsidRPr="000B49C6" w:rsidRDefault="00B8785C" w:rsidP="00D370B3">
            <w:pPr>
              <w:ind w:left="254"/>
              <w:rPr>
                <w:rFonts w:ascii="Arial Narrow" w:hAnsi="Arial Narrow"/>
                <w:sz w:val="20"/>
                <w:szCs w:val="20"/>
              </w:rPr>
            </w:pPr>
            <w:r w:rsidRPr="000B49C6">
              <w:rPr>
                <w:rFonts w:ascii="Arial Narrow" w:hAnsi="Arial Narrow"/>
                <w:sz w:val="20"/>
                <w:szCs w:val="20"/>
              </w:rPr>
              <w:t>- ≥1 CDI episode in past 6 months</w:t>
            </w:r>
          </w:p>
        </w:tc>
        <w:tc>
          <w:tcPr>
            <w:tcW w:w="1418" w:type="dxa"/>
            <w:shd w:val="clear" w:color="auto" w:fill="auto"/>
            <w:vAlign w:val="center"/>
          </w:tcPr>
          <w:p w:rsidR="00B8785C" w:rsidRPr="00410A2A" w:rsidRDefault="00410A2A" w:rsidP="00D370B3">
            <w:pPr>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417" w:type="dxa"/>
            <w:shd w:val="clear" w:color="auto" w:fill="auto"/>
            <w:vAlign w:val="center"/>
          </w:tcPr>
          <w:p w:rsidR="00B8785C" w:rsidRPr="00410A2A" w:rsidRDefault="00410A2A" w:rsidP="00D370B3">
            <w:pPr>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843" w:type="dxa"/>
            <w:shd w:val="clear" w:color="auto" w:fill="auto"/>
            <w:vAlign w:val="center"/>
          </w:tcPr>
          <w:p w:rsidR="00B8785C" w:rsidRPr="00410A2A" w:rsidRDefault="00410A2A" w:rsidP="00D370B3">
            <w:pPr>
              <w:jc w:val="center"/>
              <w:rPr>
                <w:rFonts w:ascii="Arial Narrow" w:hAnsi="Arial Narrow"/>
                <w:b/>
                <w:bCs/>
                <w:iCs/>
                <w:color w:val="000000"/>
                <w:sz w:val="20"/>
                <w:szCs w:val="20"/>
                <w:highlight w:val="black"/>
              </w:rPr>
            </w:pPr>
            <w:r>
              <w:rPr>
                <w:rFonts w:ascii="Arial Narrow" w:hAnsi="Arial Narrow"/>
                <w:b/>
                <w:bCs/>
                <w:iCs/>
                <w:noProof/>
                <w:color w:val="000000"/>
                <w:sz w:val="20"/>
                <w:szCs w:val="20"/>
                <w:highlight w:val="black"/>
              </w:rPr>
              <w:t>'''''''' '''''''' '''''''''</w:t>
            </w:r>
          </w:p>
        </w:tc>
        <w:tc>
          <w:tcPr>
            <w:tcW w:w="1508" w:type="dxa"/>
            <w:shd w:val="clear" w:color="auto" w:fill="auto"/>
            <w:vAlign w:val="center"/>
          </w:tcPr>
          <w:p w:rsidR="00B8785C" w:rsidRPr="00410A2A" w:rsidRDefault="00410A2A" w:rsidP="00D370B3">
            <w:pPr>
              <w:jc w:val="center"/>
              <w:rPr>
                <w:rFonts w:ascii="Arial Narrow" w:hAnsi="Arial Narrow"/>
                <w:b/>
                <w:bCs/>
                <w:iCs/>
                <w:sz w:val="20"/>
                <w:szCs w:val="20"/>
                <w:highlight w:val="black"/>
              </w:rPr>
            </w:pPr>
            <w:r>
              <w:rPr>
                <w:rFonts w:ascii="Arial Narrow" w:hAnsi="Arial Narrow"/>
                <w:b/>
                <w:bCs/>
                <w:iCs/>
                <w:noProof/>
                <w:color w:val="000000"/>
                <w:sz w:val="20"/>
                <w:szCs w:val="20"/>
                <w:highlight w:val="black"/>
              </w:rPr>
              <w:t>'''''''' '''''''''''' '''''''''''</w:t>
            </w:r>
          </w:p>
        </w:tc>
      </w:tr>
      <w:tr w:rsidR="00B8785C" w:rsidRPr="000B49C6" w:rsidTr="00D370B3">
        <w:tc>
          <w:tcPr>
            <w:tcW w:w="2830" w:type="dxa"/>
            <w:shd w:val="clear" w:color="auto" w:fill="auto"/>
          </w:tcPr>
          <w:p w:rsidR="00B8785C" w:rsidRPr="000B49C6" w:rsidRDefault="00B8785C" w:rsidP="00D370B3">
            <w:pPr>
              <w:ind w:left="254"/>
              <w:rPr>
                <w:rFonts w:ascii="Arial Narrow" w:hAnsi="Arial Narrow"/>
                <w:sz w:val="20"/>
                <w:szCs w:val="20"/>
              </w:rPr>
            </w:pPr>
            <w:r w:rsidRPr="000B49C6">
              <w:rPr>
                <w:rFonts w:ascii="Arial Narrow" w:hAnsi="Arial Narrow"/>
                <w:sz w:val="20"/>
                <w:szCs w:val="20"/>
              </w:rPr>
              <w:t>- Immunocompromised</w:t>
            </w:r>
          </w:p>
        </w:tc>
        <w:tc>
          <w:tcPr>
            <w:tcW w:w="1418" w:type="dxa"/>
            <w:shd w:val="clear" w:color="auto" w:fill="auto"/>
            <w:vAlign w:val="center"/>
          </w:tcPr>
          <w:p w:rsidR="00B8785C" w:rsidRPr="00410A2A" w:rsidRDefault="00410A2A" w:rsidP="00D370B3">
            <w:pPr>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417" w:type="dxa"/>
            <w:shd w:val="clear" w:color="auto" w:fill="auto"/>
            <w:vAlign w:val="center"/>
          </w:tcPr>
          <w:p w:rsidR="00B8785C" w:rsidRPr="00410A2A" w:rsidRDefault="00410A2A" w:rsidP="00D370B3">
            <w:pPr>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843" w:type="dxa"/>
            <w:shd w:val="clear" w:color="auto" w:fill="auto"/>
            <w:vAlign w:val="center"/>
          </w:tcPr>
          <w:p w:rsidR="00B8785C" w:rsidRPr="00410A2A" w:rsidRDefault="00410A2A" w:rsidP="00D370B3">
            <w:pPr>
              <w:jc w:val="center"/>
              <w:rPr>
                <w:rFonts w:ascii="Arial Narrow" w:hAnsi="Arial Narrow"/>
                <w:b/>
                <w:bCs/>
                <w:iCs/>
                <w:color w:val="000000"/>
                <w:sz w:val="20"/>
                <w:szCs w:val="20"/>
                <w:highlight w:val="black"/>
              </w:rPr>
            </w:pPr>
            <w:r>
              <w:rPr>
                <w:rFonts w:ascii="Arial Narrow" w:hAnsi="Arial Narrow"/>
                <w:b/>
                <w:bCs/>
                <w:iCs/>
                <w:noProof/>
                <w:color w:val="000000"/>
                <w:sz w:val="20"/>
                <w:szCs w:val="20"/>
                <w:highlight w:val="black"/>
              </w:rPr>
              <w:t>'''''''' '''''''' ''''''''''</w:t>
            </w:r>
          </w:p>
        </w:tc>
        <w:tc>
          <w:tcPr>
            <w:tcW w:w="1508" w:type="dxa"/>
            <w:shd w:val="clear" w:color="auto" w:fill="auto"/>
            <w:vAlign w:val="center"/>
          </w:tcPr>
          <w:p w:rsidR="00B8785C" w:rsidRPr="00410A2A" w:rsidRDefault="00410A2A" w:rsidP="00D370B3">
            <w:pPr>
              <w:jc w:val="center"/>
              <w:rPr>
                <w:rFonts w:ascii="Arial Narrow" w:hAnsi="Arial Narrow"/>
                <w:b/>
                <w:bCs/>
                <w:iCs/>
                <w:sz w:val="20"/>
                <w:szCs w:val="20"/>
                <w:highlight w:val="black"/>
              </w:rPr>
            </w:pPr>
            <w:r>
              <w:rPr>
                <w:rFonts w:ascii="Arial Narrow" w:hAnsi="Arial Narrow"/>
                <w:b/>
                <w:bCs/>
                <w:iCs/>
                <w:noProof/>
                <w:color w:val="000000"/>
                <w:sz w:val="20"/>
                <w:szCs w:val="20"/>
                <w:highlight w:val="black"/>
              </w:rPr>
              <w:t>''''''''' ''''''''''' '''''''''''</w:t>
            </w:r>
          </w:p>
        </w:tc>
      </w:tr>
      <w:tr w:rsidR="00B8785C" w:rsidRPr="000B49C6" w:rsidTr="00D370B3">
        <w:tc>
          <w:tcPr>
            <w:tcW w:w="2830" w:type="dxa"/>
            <w:shd w:val="clear" w:color="auto" w:fill="auto"/>
          </w:tcPr>
          <w:p w:rsidR="00B8785C" w:rsidRPr="000B49C6" w:rsidRDefault="00B8785C" w:rsidP="00D370B3">
            <w:pPr>
              <w:ind w:left="254"/>
              <w:rPr>
                <w:rFonts w:ascii="Arial Narrow" w:hAnsi="Arial Narrow"/>
                <w:sz w:val="20"/>
                <w:szCs w:val="20"/>
              </w:rPr>
            </w:pPr>
            <w:r w:rsidRPr="000B49C6">
              <w:rPr>
                <w:rFonts w:ascii="Arial Narrow" w:hAnsi="Arial Narrow"/>
                <w:sz w:val="20"/>
                <w:szCs w:val="20"/>
              </w:rPr>
              <w:t xml:space="preserve">- Severe CDI; </w:t>
            </w:r>
            <w:proofErr w:type="spellStart"/>
            <w:r w:rsidRPr="000B49C6">
              <w:rPr>
                <w:rFonts w:ascii="Arial Narrow" w:hAnsi="Arial Narrow"/>
                <w:sz w:val="20"/>
                <w:szCs w:val="20"/>
              </w:rPr>
              <w:t>Zar</w:t>
            </w:r>
            <w:proofErr w:type="spellEnd"/>
            <w:r w:rsidRPr="000B49C6">
              <w:rPr>
                <w:rFonts w:ascii="Arial Narrow" w:hAnsi="Arial Narrow"/>
                <w:sz w:val="20"/>
                <w:szCs w:val="20"/>
              </w:rPr>
              <w:t xml:space="preserve"> score ≥2</w:t>
            </w:r>
          </w:p>
        </w:tc>
        <w:tc>
          <w:tcPr>
            <w:tcW w:w="1418" w:type="dxa"/>
            <w:shd w:val="clear" w:color="auto" w:fill="auto"/>
            <w:vAlign w:val="center"/>
          </w:tcPr>
          <w:p w:rsidR="00B8785C" w:rsidRPr="00410A2A" w:rsidRDefault="00410A2A" w:rsidP="00D370B3">
            <w:pPr>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417" w:type="dxa"/>
            <w:shd w:val="clear" w:color="auto" w:fill="auto"/>
            <w:vAlign w:val="center"/>
          </w:tcPr>
          <w:p w:rsidR="00B8785C" w:rsidRPr="00410A2A" w:rsidRDefault="00410A2A" w:rsidP="00D370B3">
            <w:pPr>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843" w:type="dxa"/>
            <w:shd w:val="clear" w:color="auto" w:fill="auto"/>
            <w:vAlign w:val="center"/>
          </w:tcPr>
          <w:p w:rsidR="00B8785C" w:rsidRPr="00410A2A" w:rsidRDefault="00410A2A" w:rsidP="00D370B3">
            <w:pPr>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 ''''''''''''' ''''''''''''''</w:t>
            </w:r>
          </w:p>
        </w:tc>
        <w:tc>
          <w:tcPr>
            <w:tcW w:w="1508" w:type="dxa"/>
            <w:shd w:val="clear" w:color="auto" w:fill="auto"/>
            <w:vAlign w:val="center"/>
          </w:tcPr>
          <w:p w:rsidR="00B8785C" w:rsidRPr="00410A2A" w:rsidRDefault="00410A2A" w:rsidP="00D370B3">
            <w:pPr>
              <w:jc w:val="center"/>
              <w:rPr>
                <w:rFonts w:ascii="Arial Narrow" w:hAnsi="Arial Narrow"/>
                <w:iCs/>
                <w:sz w:val="20"/>
                <w:szCs w:val="20"/>
                <w:highlight w:val="black"/>
              </w:rPr>
            </w:pPr>
            <w:r>
              <w:rPr>
                <w:rFonts w:ascii="Arial Narrow" w:hAnsi="Arial Narrow"/>
                <w:iCs/>
                <w:noProof/>
                <w:color w:val="000000"/>
                <w:sz w:val="20"/>
                <w:szCs w:val="20"/>
                <w:highlight w:val="black"/>
              </w:rPr>
              <w:t>''''''''''' ''''''''''''''' ''''''''''''''</w:t>
            </w:r>
          </w:p>
        </w:tc>
      </w:tr>
      <w:tr w:rsidR="00B8785C" w:rsidRPr="000B49C6" w:rsidTr="00D370B3">
        <w:tc>
          <w:tcPr>
            <w:tcW w:w="2830" w:type="dxa"/>
            <w:shd w:val="clear" w:color="auto" w:fill="auto"/>
          </w:tcPr>
          <w:p w:rsidR="00B8785C" w:rsidRPr="000B49C6" w:rsidRDefault="00B8785C" w:rsidP="00D370B3">
            <w:pPr>
              <w:ind w:left="254"/>
              <w:rPr>
                <w:rFonts w:ascii="Arial Narrow" w:hAnsi="Arial Narrow"/>
                <w:sz w:val="20"/>
                <w:szCs w:val="20"/>
              </w:rPr>
            </w:pPr>
            <w:r w:rsidRPr="000B49C6">
              <w:rPr>
                <w:rFonts w:ascii="Arial Narrow" w:hAnsi="Arial Narrow"/>
                <w:sz w:val="20"/>
                <w:szCs w:val="20"/>
              </w:rPr>
              <w:t>- 027, 078 or 244 strain</w:t>
            </w:r>
          </w:p>
        </w:tc>
        <w:tc>
          <w:tcPr>
            <w:tcW w:w="1418" w:type="dxa"/>
            <w:shd w:val="clear" w:color="auto" w:fill="auto"/>
            <w:vAlign w:val="center"/>
          </w:tcPr>
          <w:p w:rsidR="00B8785C" w:rsidRPr="00410A2A" w:rsidRDefault="00410A2A" w:rsidP="00D370B3">
            <w:pPr>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417" w:type="dxa"/>
            <w:shd w:val="clear" w:color="auto" w:fill="auto"/>
            <w:vAlign w:val="center"/>
          </w:tcPr>
          <w:p w:rsidR="00B8785C" w:rsidRPr="00410A2A" w:rsidRDefault="00410A2A" w:rsidP="00D370B3">
            <w:pPr>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843" w:type="dxa"/>
            <w:shd w:val="clear" w:color="auto" w:fill="auto"/>
            <w:vAlign w:val="center"/>
          </w:tcPr>
          <w:p w:rsidR="00B8785C" w:rsidRPr="00410A2A" w:rsidRDefault="00410A2A" w:rsidP="00D370B3">
            <w:pPr>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 ''''''''''' ''''''''''''</w:t>
            </w:r>
          </w:p>
        </w:tc>
        <w:tc>
          <w:tcPr>
            <w:tcW w:w="1508" w:type="dxa"/>
            <w:shd w:val="clear" w:color="auto" w:fill="auto"/>
            <w:vAlign w:val="center"/>
          </w:tcPr>
          <w:p w:rsidR="00B8785C" w:rsidRPr="00410A2A" w:rsidRDefault="00410A2A" w:rsidP="00D370B3">
            <w:pPr>
              <w:jc w:val="center"/>
              <w:rPr>
                <w:rFonts w:ascii="Arial Narrow" w:hAnsi="Arial Narrow"/>
                <w:iCs/>
                <w:sz w:val="20"/>
                <w:szCs w:val="20"/>
                <w:highlight w:val="black"/>
              </w:rPr>
            </w:pPr>
            <w:r>
              <w:rPr>
                <w:rFonts w:ascii="Arial Narrow" w:hAnsi="Arial Narrow"/>
                <w:iCs/>
                <w:noProof/>
                <w:color w:val="000000"/>
                <w:sz w:val="20"/>
                <w:szCs w:val="20"/>
                <w:highlight w:val="black"/>
              </w:rPr>
              <w:t>''''''''''' ''''''''''''''' '''''''''''''</w:t>
            </w:r>
          </w:p>
        </w:tc>
      </w:tr>
      <w:tr w:rsidR="00B8785C" w:rsidRPr="000B49C6" w:rsidTr="00D370B3">
        <w:tc>
          <w:tcPr>
            <w:tcW w:w="2830" w:type="dxa"/>
            <w:shd w:val="clear" w:color="auto" w:fill="auto"/>
          </w:tcPr>
          <w:p w:rsidR="00B8785C" w:rsidRPr="000B49C6" w:rsidRDefault="00B8785C" w:rsidP="00D370B3">
            <w:pPr>
              <w:ind w:left="109"/>
              <w:rPr>
                <w:rFonts w:ascii="Arial Narrow" w:hAnsi="Arial Narrow"/>
                <w:sz w:val="20"/>
                <w:szCs w:val="20"/>
              </w:rPr>
            </w:pPr>
            <w:r w:rsidRPr="000B49C6">
              <w:rPr>
                <w:rFonts w:ascii="Arial Narrow" w:hAnsi="Arial Narrow"/>
                <w:sz w:val="20"/>
                <w:szCs w:val="20"/>
              </w:rPr>
              <w:t>027 strain</w:t>
            </w:r>
          </w:p>
        </w:tc>
        <w:tc>
          <w:tcPr>
            <w:tcW w:w="1418" w:type="dxa"/>
            <w:shd w:val="clear" w:color="auto" w:fill="auto"/>
            <w:vAlign w:val="center"/>
          </w:tcPr>
          <w:p w:rsidR="00B8785C" w:rsidRPr="00410A2A" w:rsidRDefault="00410A2A" w:rsidP="00D370B3">
            <w:pPr>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417" w:type="dxa"/>
            <w:shd w:val="clear" w:color="auto" w:fill="auto"/>
            <w:vAlign w:val="center"/>
          </w:tcPr>
          <w:p w:rsidR="00B8785C" w:rsidRPr="00410A2A" w:rsidRDefault="00410A2A" w:rsidP="00D370B3">
            <w:pPr>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843" w:type="dxa"/>
            <w:shd w:val="clear" w:color="auto" w:fill="auto"/>
            <w:vAlign w:val="center"/>
          </w:tcPr>
          <w:p w:rsidR="00B8785C" w:rsidRPr="00410A2A" w:rsidRDefault="00410A2A" w:rsidP="00D370B3">
            <w:pPr>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 ''''''''''''' '''''''''''</w:t>
            </w:r>
          </w:p>
        </w:tc>
        <w:tc>
          <w:tcPr>
            <w:tcW w:w="1508" w:type="dxa"/>
            <w:shd w:val="clear" w:color="auto" w:fill="auto"/>
            <w:vAlign w:val="center"/>
          </w:tcPr>
          <w:p w:rsidR="00B8785C" w:rsidRPr="00410A2A" w:rsidRDefault="00410A2A" w:rsidP="00D370B3">
            <w:pPr>
              <w:jc w:val="center"/>
              <w:rPr>
                <w:rFonts w:ascii="Arial Narrow" w:hAnsi="Arial Narrow"/>
                <w:iCs/>
                <w:sz w:val="20"/>
                <w:szCs w:val="20"/>
                <w:highlight w:val="black"/>
              </w:rPr>
            </w:pPr>
            <w:r>
              <w:rPr>
                <w:rFonts w:ascii="Arial Narrow" w:hAnsi="Arial Narrow"/>
                <w:iCs/>
                <w:noProof/>
                <w:color w:val="000000"/>
                <w:sz w:val="20"/>
                <w:szCs w:val="20"/>
                <w:highlight w:val="black"/>
              </w:rPr>
              <w:t>'''''''''' '''''''''''''''' '''''''''''''</w:t>
            </w:r>
          </w:p>
        </w:tc>
      </w:tr>
      <w:tr w:rsidR="00B8785C" w:rsidRPr="000B49C6" w:rsidTr="00D370B3">
        <w:tc>
          <w:tcPr>
            <w:tcW w:w="2830" w:type="dxa"/>
            <w:shd w:val="clear" w:color="auto" w:fill="auto"/>
          </w:tcPr>
          <w:p w:rsidR="00B8785C" w:rsidRPr="000B49C6" w:rsidRDefault="00B8785C" w:rsidP="00D370B3">
            <w:pPr>
              <w:ind w:left="109"/>
              <w:rPr>
                <w:rFonts w:ascii="Arial Narrow" w:hAnsi="Arial Narrow"/>
                <w:sz w:val="20"/>
                <w:szCs w:val="20"/>
              </w:rPr>
            </w:pPr>
            <w:r w:rsidRPr="000B49C6">
              <w:rPr>
                <w:rFonts w:ascii="Arial Narrow" w:hAnsi="Arial Narrow"/>
                <w:sz w:val="20"/>
                <w:szCs w:val="20"/>
              </w:rPr>
              <w:t>≥2 previous CDI episodes ever</w:t>
            </w:r>
          </w:p>
        </w:tc>
        <w:tc>
          <w:tcPr>
            <w:tcW w:w="1418" w:type="dxa"/>
            <w:shd w:val="clear" w:color="auto" w:fill="auto"/>
            <w:vAlign w:val="center"/>
          </w:tcPr>
          <w:p w:rsidR="00B8785C" w:rsidRPr="00410A2A" w:rsidRDefault="00410A2A" w:rsidP="00D370B3">
            <w:pPr>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417" w:type="dxa"/>
            <w:shd w:val="clear" w:color="auto" w:fill="auto"/>
            <w:vAlign w:val="center"/>
          </w:tcPr>
          <w:p w:rsidR="00B8785C" w:rsidRPr="00410A2A" w:rsidRDefault="00410A2A" w:rsidP="00D370B3">
            <w:pPr>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843" w:type="dxa"/>
            <w:shd w:val="clear" w:color="auto" w:fill="auto"/>
            <w:vAlign w:val="center"/>
          </w:tcPr>
          <w:p w:rsidR="00B8785C" w:rsidRPr="00410A2A" w:rsidRDefault="00410A2A" w:rsidP="00D370B3">
            <w:pPr>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 xml:space="preserve">'''''''''' ''''''''''''' ''''''''''' </w:t>
            </w:r>
          </w:p>
        </w:tc>
        <w:tc>
          <w:tcPr>
            <w:tcW w:w="1508" w:type="dxa"/>
            <w:shd w:val="clear" w:color="auto" w:fill="auto"/>
            <w:vAlign w:val="center"/>
          </w:tcPr>
          <w:p w:rsidR="00B8785C" w:rsidRPr="00410A2A" w:rsidRDefault="00410A2A" w:rsidP="00D370B3">
            <w:pPr>
              <w:jc w:val="center"/>
              <w:rPr>
                <w:rFonts w:ascii="Arial Narrow" w:hAnsi="Arial Narrow"/>
                <w:iCs/>
                <w:sz w:val="20"/>
                <w:szCs w:val="20"/>
                <w:highlight w:val="black"/>
              </w:rPr>
            </w:pPr>
            <w:r>
              <w:rPr>
                <w:rFonts w:ascii="Arial Narrow" w:hAnsi="Arial Narrow"/>
                <w:iCs/>
                <w:noProof/>
                <w:color w:val="000000"/>
                <w:sz w:val="20"/>
                <w:szCs w:val="20"/>
                <w:highlight w:val="black"/>
              </w:rPr>
              <w:t xml:space="preserve">''''''''''' '''''''''''' ''''''''''''' </w:t>
            </w:r>
          </w:p>
        </w:tc>
      </w:tr>
      <w:tr w:rsidR="00B8785C" w:rsidRPr="000B49C6" w:rsidTr="00D370B3">
        <w:tc>
          <w:tcPr>
            <w:tcW w:w="2830" w:type="dxa"/>
            <w:shd w:val="clear" w:color="auto" w:fill="auto"/>
          </w:tcPr>
          <w:p w:rsidR="00B8785C" w:rsidRPr="000B49C6" w:rsidRDefault="00B8785C" w:rsidP="00D370B3">
            <w:pPr>
              <w:ind w:left="109"/>
              <w:rPr>
                <w:rFonts w:ascii="Arial Narrow" w:hAnsi="Arial Narrow"/>
                <w:iCs/>
                <w:sz w:val="20"/>
                <w:szCs w:val="20"/>
              </w:rPr>
            </w:pPr>
            <w:r w:rsidRPr="000B49C6">
              <w:rPr>
                <w:rFonts w:ascii="Arial Narrow" w:hAnsi="Arial Narrow"/>
                <w:iCs/>
                <w:sz w:val="20"/>
                <w:szCs w:val="20"/>
              </w:rPr>
              <w:t>No risk factor</w:t>
            </w:r>
          </w:p>
        </w:tc>
        <w:tc>
          <w:tcPr>
            <w:tcW w:w="1418" w:type="dxa"/>
            <w:shd w:val="clear" w:color="auto" w:fill="auto"/>
          </w:tcPr>
          <w:p w:rsidR="00B8785C" w:rsidRPr="00410A2A" w:rsidRDefault="00410A2A" w:rsidP="00D370B3">
            <w:pPr>
              <w:jc w:val="center"/>
              <w:rPr>
                <w:rFonts w:ascii="Arial Narrow" w:hAnsi="Arial Narrow"/>
                <w:iCs/>
                <w:sz w:val="20"/>
                <w:szCs w:val="20"/>
                <w:highlight w:val="black"/>
              </w:rPr>
            </w:pPr>
            <w:r>
              <w:rPr>
                <w:rFonts w:ascii="Arial Narrow" w:hAnsi="Arial Narrow"/>
                <w:iCs/>
                <w:noProof/>
                <w:color w:val="000000"/>
                <w:sz w:val="20"/>
                <w:szCs w:val="20"/>
                <w:highlight w:val="black"/>
              </w:rPr>
              <w:t>''''''''''''''''''''' ''''''''''''''''</w:t>
            </w:r>
          </w:p>
        </w:tc>
        <w:tc>
          <w:tcPr>
            <w:tcW w:w="1417" w:type="dxa"/>
            <w:shd w:val="clear" w:color="auto" w:fill="auto"/>
          </w:tcPr>
          <w:p w:rsidR="00B8785C" w:rsidRPr="00410A2A" w:rsidRDefault="00410A2A" w:rsidP="00D370B3">
            <w:pPr>
              <w:jc w:val="center"/>
              <w:rPr>
                <w:rFonts w:ascii="Arial Narrow" w:hAnsi="Arial Narrow"/>
                <w:iCs/>
                <w:sz w:val="20"/>
                <w:szCs w:val="20"/>
                <w:highlight w:val="black"/>
              </w:rPr>
            </w:pPr>
            <w:r>
              <w:rPr>
                <w:rFonts w:ascii="Arial Narrow" w:hAnsi="Arial Narrow"/>
                <w:iCs/>
                <w:noProof/>
                <w:color w:val="000000"/>
                <w:sz w:val="20"/>
                <w:szCs w:val="20"/>
                <w:highlight w:val="black"/>
              </w:rPr>
              <w:t>'''''''''''''''''''' '''''''''''''''</w:t>
            </w:r>
          </w:p>
        </w:tc>
        <w:tc>
          <w:tcPr>
            <w:tcW w:w="1843" w:type="dxa"/>
            <w:shd w:val="clear" w:color="auto" w:fill="auto"/>
            <w:vAlign w:val="bottom"/>
          </w:tcPr>
          <w:p w:rsidR="00B8785C" w:rsidRPr="00410A2A" w:rsidRDefault="00410A2A" w:rsidP="00D370B3">
            <w:pPr>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 ''''''''''''</w:t>
            </w:r>
          </w:p>
        </w:tc>
        <w:tc>
          <w:tcPr>
            <w:tcW w:w="1508" w:type="dxa"/>
            <w:shd w:val="clear" w:color="auto" w:fill="auto"/>
          </w:tcPr>
          <w:p w:rsidR="00B8785C" w:rsidRPr="00410A2A" w:rsidRDefault="00410A2A" w:rsidP="00D370B3">
            <w:pPr>
              <w:jc w:val="center"/>
              <w:rPr>
                <w:rFonts w:ascii="Arial Narrow" w:hAnsi="Arial Narrow"/>
                <w:iCs/>
                <w:sz w:val="20"/>
                <w:szCs w:val="20"/>
                <w:highlight w:val="black"/>
              </w:rPr>
            </w:pPr>
            <w:r>
              <w:rPr>
                <w:rFonts w:ascii="Arial Narrow" w:hAnsi="Arial Narrow"/>
                <w:iCs/>
                <w:noProof/>
                <w:color w:val="000000"/>
                <w:sz w:val="20"/>
                <w:szCs w:val="20"/>
                <w:highlight w:val="black"/>
              </w:rPr>
              <w:t>'''''''''' '''''''''' ''''''''''''</w:t>
            </w:r>
          </w:p>
        </w:tc>
      </w:tr>
    </w:tbl>
    <w:p w:rsidR="00B8785C" w:rsidRPr="000B49C6" w:rsidRDefault="00B8785C" w:rsidP="00B8785C">
      <w:pPr>
        <w:pStyle w:val="TableFooter"/>
      </w:pPr>
      <w:r w:rsidRPr="000B49C6">
        <w:t>Shaded areas indicate data previously seen by the PBAC</w:t>
      </w:r>
      <w:r w:rsidR="00991401">
        <w:t xml:space="preserve">. </w:t>
      </w:r>
      <w:r w:rsidRPr="000B49C6">
        <w:t xml:space="preserve">Text in bold indicate statistical significance. </w:t>
      </w:r>
    </w:p>
    <w:p w:rsidR="00B8785C" w:rsidRPr="000B49C6" w:rsidRDefault="00B8785C" w:rsidP="00B8785C">
      <w:pPr>
        <w:ind w:left="170" w:hanging="170"/>
        <w:rPr>
          <w:rFonts w:ascii="Arial Narrow" w:hAnsi="Arial Narrow"/>
          <w:sz w:val="18"/>
          <w:szCs w:val="20"/>
        </w:rPr>
      </w:pPr>
      <w:r w:rsidRPr="000B49C6">
        <w:rPr>
          <w:rFonts w:ascii="Arial Narrow" w:hAnsi="Arial Narrow"/>
          <w:sz w:val="18"/>
          <w:szCs w:val="20"/>
        </w:rPr>
        <w:t>^</w:t>
      </w:r>
      <w:r w:rsidRPr="000B49C6">
        <w:rPr>
          <w:rFonts w:ascii="Arial Narrow" w:hAnsi="Arial Narrow"/>
          <w:sz w:val="18"/>
          <w:szCs w:val="20"/>
        </w:rPr>
        <w:tab/>
        <w:t>Adjusted for stratification factors of hospitalisation status and standard of care therapy.</w:t>
      </w:r>
    </w:p>
    <w:p w:rsidR="00B8785C" w:rsidRPr="000B49C6" w:rsidRDefault="00B8785C" w:rsidP="00B8785C">
      <w:pPr>
        <w:ind w:left="170" w:hanging="170"/>
        <w:rPr>
          <w:rFonts w:ascii="Arial Narrow" w:hAnsi="Arial Narrow"/>
          <w:sz w:val="18"/>
          <w:szCs w:val="20"/>
        </w:rPr>
      </w:pPr>
      <w:r w:rsidRPr="000B49C6">
        <w:rPr>
          <w:rFonts w:ascii="Arial Narrow" w:hAnsi="Arial Narrow"/>
          <w:sz w:val="18"/>
          <w:szCs w:val="20"/>
        </w:rPr>
        <w:t>*</w:t>
      </w:r>
      <w:r w:rsidRPr="000B49C6">
        <w:rPr>
          <w:rFonts w:ascii="Arial Narrow" w:hAnsi="Arial Narrow"/>
          <w:sz w:val="18"/>
          <w:szCs w:val="20"/>
        </w:rPr>
        <w:tab/>
      </w:r>
      <w:proofErr w:type="gramStart"/>
      <w:r w:rsidRPr="000B49C6">
        <w:rPr>
          <w:rFonts w:ascii="Arial Narrow" w:hAnsi="Arial Narrow"/>
          <w:sz w:val="18"/>
          <w:szCs w:val="20"/>
        </w:rPr>
        <w:t>from</w:t>
      </w:r>
      <w:proofErr w:type="gramEnd"/>
      <w:r w:rsidRPr="000B49C6">
        <w:rPr>
          <w:rFonts w:ascii="Arial Narrow" w:hAnsi="Arial Narrow"/>
          <w:sz w:val="18"/>
          <w:szCs w:val="20"/>
        </w:rPr>
        <w:t xml:space="preserve"> </w:t>
      </w:r>
      <w:proofErr w:type="spellStart"/>
      <w:r w:rsidRPr="000B49C6">
        <w:rPr>
          <w:rFonts w:ascii="Arial Narrow" w:hAnsi="Arial Narrow"/>
          <w:sz w:val="18"/>
          <w:szCs w:val="20"/>
        </w:rPr>
        <w:t>Gerding</w:t>
      </w:r>
      <w:proofErr w:type="spellEnd"/>
      <w:r w:rsidRPr="000B49C6">
        <w:rPr>
          <w:rFonts w:ascii="Arial Narrow" w:hAnsi="Arial Narrow"/>
          <w:sz w:val="18"/>
          <w:szCs w:val="20"/>
        </w:rPr>
        <w:t xml:space="preserve"> </w:t>
      </w:r>
      <w:r w:rsidR="00CC5D6C" w:rsidRPr="00CC5D6C">
        <w:rPr>
          <w:rFonts w:ascii="Arial Narrow" w:hAnsi="Arial Narrow"/>
          <w:i/>
          <w:sz w:val="18"/>
          <w:szCs w:val="20"/>
        </w:rPr>
        <w:t>et. al.</w:t>
      </w:r>
      <w:r w:rsidRPr="000B49C6">
        <w:rPr>
          <w:rFonts w:ascii="Arial Narrow" w:hAnsi="Arial Narrow"/>
          <w:sz w:val="18"/>
          <w:szCs w:val="20"/>
        </w:rPr>
        <w:t xml:space="preserve"> 2018, breakdown only available for the outcome of CDI recurrence in patients who attained clinical cure of initial episode at 12 weeks</w:t>
      </w:r>
    </w:p>
    <w:p w:rsidR="00B8785C" w:rsidRPr="000B49C6" w:rsidRDefault="00C95CD3" w:rsidP="00B8785C">
      <w:pPr>
        <w:ind w:left="170" w:hanging="170"/>
        <w:rPr>
          <w:rFonts w:ascii="Arial Narrow" w:hAnsi="Arial Narrow"/>
          <w:sz w:val="18"/>
          <w:szCs w:val="20"/>
        </w:rPr>
      </w:pPr>
      <w:proofErr w:type="gramStart"/>
      <w:r w:rsidRPr="000B49C6">
        <w:rPr>
          <w:rFonts w:ascii="Arial Narrow" w:hAnsi="Arial Narrow"/>
          <w:sz w:val="18"/>
          <w:szCs w:val="20"/>
          <w:vertAlign w:val="superscript"/>
        </w:rPr>
        <w:t>a</w:t>
      </w:r>
      <w:proofErr w:type="gramEnd"/>
      <w:r w:rsidR="00B8785C" w:rsidRPr="000B49C6">
        <w:rPr>
          <w:rFonts w:ascii="Arial Narrow" w:hAnsi="Arial Narrow"/>
          <w:sz w:val="18"/>
          <w:szCs w:val="20"/>
        </w:rPr>
        <w:tab/>
        <w:t xml:space="preserve">Based on the Miettinen and </w:t>
      </w:r>
      <w:proofErr w:type="spellStart"/>
      <w:r w:rsidR="00B8785C" w:rsidRPr="000B49C6">
        <w:rPr>
          <w:rFonts w:ascii="Arial Narrow" w:hAnsi="Arial Narrow"/>
          <w:sz w:val="18"/>
          <w:szCs w:val="20"/>
        </w:rPr>
        <w:t>Nurminen</w:t>
      </w:r>
      <w:proofErr w:type="spellEnd"/>
      <w:r w:rsidR="00B8785C" w:rsidRPr="000B49C6">
        <w:rPr>
          <w:rFonts w:ascii="Arial Narrow" w:hAnsi="Arial Narrow"/>
          <w:sz w:val="18"/>
          <w:szCs w:val="20"/>
        </w:rPr>
        <w:t xml:space="preserve"> method without stratification unless otherwise stated</w:t>
      </w:r>
    </w:p>
    <w:p w:rsidR="00B8785C" w:rsidRPr="000B49C6" w:rsidRDefault="00C95CD3" w:rsidP="00B8785C">
      <w:pPr>
        <w:ind w:left="170" w:hanging="170"/>
        <w:rPr>
          <w:rFonts w:ascii="Arial Narrow" w:hAnsi="Arial Narrow"/>
          <w:sz w:val="18"/>
          <w:szCs w:val="20"/>
        </w:rPr>
      </w:pPr>
      <w:r w:rsidRPr="000B49C6">
        <w:rPr>
          <w:rFonts w:ascii="Arial Narrow" w:hAnsi="Arial Narrow"/>
          <w:sz w:val="18"/>
          <w:szCs w:val="20"/>
          <w:vertAlign w:val="superscript"/>
        </w:rPr>
        <w:t>b</w:t>
      </w:r>
      <w:r w:rsidR="00B8785C" w:rsidRPr="000B49C6">
        <w:rPr>
          <w:rFonts w:ascii="Arial Narrow" w:hAnsi="Arial Narrow"/>
          <w:sz w:val="18"/>
          <w:szCs w:val="20"/>
        </w:rPr>
        <w:tab/>
        <w:t xml:space="preserve">Although </w:t>
      </w:r>
      <w:proofErr w:type="spellStart"/>
      <w:r w:rsidR="00B8785C" w:rsidRPr="000B49C6">
        <w:rPr>
          <w:rFonts w:ascii="Arial Narrow" w:hAnsi="Arial Narrow"/>
          <w:sz w:val="18"/>
          <w:szCs w:val="20"/>
        </w:rPr>
        <w:t>hypervirulent</w:t>
      </w:r>
      <w:proofErr w:type="spellEnd"/>
      <w:r w:rsidR="00B8785C" w:rsidRPr="000B49C6">
        <w:rPr>
          <w:rFonts w:ascii="Arial Narrow" w:hAnsi="Arial Narrow"/>
          <w:sz w:val="18"/>
          <w:szCs w:val="20"/>
        </w:rPr>
        <w:t xml:space="preserve"> strains was a risk factor for CDI recurrence in the MODIFY trials, it was not included as a risk factor to define patients at high risk of recurrence in the economic evaluation due to low prevalence of </w:t>
      </w:r>
      <w:proofErr w:type="spellStart"/>
      <w:r w:rsidR="00B8785C" w:rsidRPr="000B49C6">
        <w:rPr>
          <w:rFonts w:ascii="Arial Narrow" w:hAnsi="Arial Narrow"/>
          <w:sz w:val="18"/>
          <w:szCs w:val="20"/>
        </w:rPr>
        <w:t>ribotype</w:t>
      </w:r>
      <w:proofErr w:type="spellEnd"/>
      <w:r w:rsidR="00B8785C" w:rsidRPr="000B49C6">
        <w:rPr>
          <w:rFonts w:ascii="Arial Narrow" w:hAnsi="Arial Narrow"/>
          <w:sz w:val="18"/>
          <w:szCs w:val="20"/>
        </w:rPr>
        <w:t xml:space="preserve"> 027 strain in Australia.</w:t>
      </w:r>
    </w:p>
    <w:p w:rsidR="00B8785C" w:rsidRPr="000B49C6" w:rsidRDefault="00C95CD3" w:rsidP="00B8785C">
      <w:pPr>
        <w:ind w:left="170" w:hanging="170"/>
        <w:rPr>
          <w:rFonts w:ascii="Arial Narrow" w:hAnsi="Arial Narrow"/>
          <w:sz w:val="18"/>
          <w:szCs w:val="20"/>
        </w:rPr>
      </w:pPr>
      <w:proofErr w:type="gramStart"/>
      <w:r w:rsidRPr="000B49C6">
        <w:rPr>
          <w:rFonts w:ascii="Arial Narrow" w:hAnsi="Arial Narrow"/>
          <w:sz w:val="18"/>
          <w:szCs w:val="20"/>
          <w:vertAlign w:val="superscript"/>
        </w:rPr>
        <w:t>c</w:t>
      </w:r>
      <w:proofErr w:type="gramEnd"/>
      <w:r w:rsidR="00B8785C" w:rsidRPr="000B49C6">
        <w:rPr>
          <w:rFonts w:ascii="Arial Narrow" w:hAnsi="Arial Narrow"/>
          <w:sz w:val="18"/>
          <w:szCs w:val="20"/>
          <w:vertAlign w:val="superscript"/>
        </w:rPr>
        <w:tab/>
      </w:r>
      <w:r w:rsidR="00B8785C" w:rsidRPr="000B49C6">
        <w:rPr>
          <w:rFonts w:ascii="Arial Narrow" w:hAnsi="Arial Narrow"/>
          <w:sz w:val="18"/>
          <w:szCs w:val="20"/>
        </w:rPr>
        <w:t>Including: Age ≥65 years ,  ≥1 CDI episode in past 6 months, Immunocompromised,</w:t>
      </w:r>
      <w:r w:rsidR="00747BF9" w:rsidRPr="000B49C6">
        <w:rPr>
          <w:rFonts w:ascii="Arial Narrow" w:hAnsi="Arial Narrow"/>
          <w:sz w:val="18"/>
          <w:szCs w:val="20"/>
        </w:rPr>
        <w:t xml:space="preserve"> </w:t>
      </w:r>
      <w:r w:rsidR="00B8785C" w:rsidRPr="000B49C6">
        <w:rPr>
          <w:rFonts w:ascii="Arial Narrow" w:hAnsi="Arial Narrow"/>
          <w:sz w:val="18"/>
          <w:szCs w:val="20"/>
        </w:rPr>
        <w:t xml:space="preserve">Severe CDI; </w:t>
      </w:r>
      <w:proofErr w:type="spellStart"/>
      <w:r w:rsidR="00B8785C" w:rsidRPr="000B49C6">
        <w:rPr>
          <w:rFonts w:ascii="Arial Narrow" w:hAnsi="Arial Narrow"/>
          <w:sz w:val="18"/>
          <w:szCs w:val="20"/>
        </w:rPr>
        <w:t>Zar</w:t>
      </w:r>
      <w:proofErr w:type="spellEnd"/>
      <w:r w:rsidR="00B8785C" w:rsidRPr="000B49C6">
        <w:rPr>
          <w:rFonts w:ascii="Arial Narrow" w:hAnsi="Arial Narrow"/>
          <w:sz w:val="18"/>
          <w:szCs w:val="20"/>
        </w:rPr>
        <w:t xml:space="preserve"> score ≥2, 027, 078 or 244 strain</w:t>
      </w:r>
    </w:p>
    <w:p w:rsidR="00B8785C" w:rsidRPr="000B49C6" w:rsidRDefault="00C95CD3" w:rsidP="00B8785C">
      <w:pPr>
        <w:ind w:left="170" w:hanging="170"/>
        <w:rPr>
          <w:rFonts w:ascii="Arial Narrow" w:hAnsi="Arial Narrow"/>
          <w:sz w:val="18"/>
          <w:szCs w:val="20"/>
        </w:rPr>
      </w:pPr>
      <w:proofErr w:type="gramStart"/>
      <w:r w:rsidRPr="000B49C6">
        <w:rPr>
          <w:rFonts w:ascii="Arial Narrow" w:hAnsi="Arial Narrow"/>
          <w:sz w:val="18"/>
          <w:szCs w:val="20"/>
          <w:vertAlign w:val="superscript"/>
        </w:rPr>
        <w:t>d</w:t>
      </w:r>
      <w:proofErr w:type="gramEnd"/>
      <w:r w:rsidR="00B8785C" w:rsidRPr="000B49C6">
        <w:rPr>
          <w:rFonts w:ascii="Arial Narrow" w:hAnsi="Arial Narrow"/>
          <w:sz w:val="18"/>
          <w:szCs w:val="20"/>
          <w:vertAlign w:val="superscript"/>
        </w:rPr>
        <w:tab/>
      </w:r>
      <w:r w:rsidR="00B8785C" w:rsidRPr="000B49C6">
        <w:rPr>
          <w:rFonts w:ascii="Arial Narrow" w:hAnsi="Arial Narrow"/>
          <w:sz w:val="18"/>
          <w:szCs w:val="20"/>
        </w:rPr>
        <w:t xml:space="preserve">based on the publication </w:t>
      </w:r>
      <w:proofErr w:type="spellStart"/>
      <w:r w:rsidR="00B8785C" w:rsidRPr="000B49C6">
        <w:rPr>
          <w:rFonts w:ascii="Arial Narrow" w:hAnsi="Arial Narrow"/>
          <w:sz w:val="18"/>
          <w:szCs w:val="20"/>
        </w:rPr>
        <w:t>Gerding</w:t>
      </w:r>
      <w:proofErr w:type="spellEnd"/>
      <w:r w:rsidR="00B8785C" w:rsidRPr="000B49C6">
        <w:rPr>
          <w:rFonts w:ascii="Arial Narrow" w:hAnsi="Arial Narrow"/>
          <w:sz w:val="18"/>
          <w:szCs w:val="20"/>
        </w:rPr>
        <w:t xml:space="preserve"> </w:t>
      </w:r>
      <w:r w:rsidR="00CC5D6C" w:rsidRPr="00CC5D6C">
        <w:rPr>
          <w:rFonts w:ascii="Arial Narrow" w:hAnsi="Arial Narrow"/>
          <w:i/>
          <w:sz w:val="18"/>
          <w:szCs w:val="20"/>
        </w:rPr>
        <w:t>et. al.</w:t>
      </w:r>
      <w:r w:rsidR="00B8785C" w:rsidRPr="000B49C6">
        <w:rPr>
          <w:rFonts w:ascii="Arial Narrow" w:hAnsi="Arial Narrow"/>
          <w:sz w:val="18"/>
          <w:szCs w:val="20"/>
        </w:rPr>
        <w:t xml:space="preserve"> 2018, Figure 2.</w:t>
      </w:r>
    </w:p>
    <w:p w:rsidR="00B8785C" w:rsidRPr="000B49C6" w:rsidRDefault="00B8785C" w:rsidP="00B8785C">
      <w:pPr>
        <w:ind w:left="170" w:hanging="170"/>
        <w:rPr>
          <w:rFonts w:ascii="Arial Narrow" w:hAnsi="Arial Narrow"/>
          <w:sz w:val="18"/>
          <w:szCs w:val="20"/>
        </w:rPr>
      </w:pPr>
      <w:r w:rsidRPr="000B49C6">
        <w:rPr>
          <w:rFonts w:ascii="Arial Narrow" w:hAnsi="Arial Narrow"/>
          <w:sz w:val="18"/>
          <w:szCs w:val="20"/>
        </w:rPr>
        <w:t>Source:  Constructed during the evaluation from Tables 2-32-34, pp74-77 of the resubmission</w:t>
      </w:r>
      <w:r w:rsidR="00991401">
        <w:rPr>
          <w:rFonts w:ascii="Arial Narrow" w:hAnsi="Arial Narrow"/>
          <w:sz w:val="18"/>
          <w:szCs w:val="20"/>
        </w:rPr>
        <w:t xml:space="preserve">. </w:t>
      </w:r>
      <w:r w:rsidRPr="000B49C6">
        <w:rPr>
          <w:rFonts w:ascii="Arial Narrow" w:hAnsi="Arial Narrow"/>
          <w:sz w:val="18"/>
          <w:szCs w:val="20"/>
        </w:rPr>
        <w:t xml:space="preserve">Table 2.2-1, p7 of Appendix 7 of the resubmission and </w:t>
      </w:r>
      <w:proofErr w:type="spellStart"/>
      <w:r w:rsidRPr="000B49C6">
        <w:rPr>
          <w:rFonts w:ascii="Arial Narrow" w:hAnsi="Arial Narrow"/>
          <w:sz w:val="18"/>
          <w:szCs w:val="20"/>
        </w:rPr>
        <w:t>Gerding</w:t>
      </w:r>
      <w:proofErr w:type="spellEnd"/>
      <w:r w:rsidRPr="000B49C6">
        <w:rPr>
          <w:rFonts w:ascii="Arial Narrow" w:hAnsi="Arial Narrow"/>
          <w:sz w:val="18"/>
          <w:szCs w:val="20"/>
        </w:rPr>
        <w:t xml:space="preserve"> </w:t>
      </w:r>
      <w:proofErr w:type="gramStart"/>
      <w:r w:rsidR="00CC5D6C" w:rsidRPr="00CC5D6C">
        <w:rPr>
          <w:rFonts w:ascii="Arial Narrow" w:hAnsi="Arial Narrow"/>
          <w:i/>
          <w:sz w:val="18"/>
          <w:szCs w:val="20"/>
        </w:rPr>
        <w:t>et</w:t>
      </w:r>
      <w:proofErr w:type="gramEnd"/>
      <w:r w:rsidR="00CC5D6C" w:rsidRPr="00CC5D6C">
        <w:rPr>
          <w:rFonts w:ascii="Arial Narrow" w:hAnsi="Arial Narrow"/>
          <w:i/>
          <w:sz w:val="18"/>
          <w:szCs w:val="20"/>
        </w:rPr>
        <w:t xml:space="preserve">. </w:t>
      </w:r>
      <w:proofErr w:type="gramStart"/>
      <w:r w:rsidR="00CC5D6C" w:rsidRPr="00CC5D6C">
        <w:rPr>
          <w:rFonts w:ascii="Arial Narrow" w:hAnsi="Arial Narrow"/>
          <w:i/>
          <w:sz w:val="18"/>
          <w:szCs w:val="20"/>
        </w:rPr>
        <w:t>al.</w:t>
      </w:r>
      <w:r w:rsidRPr="000B49C6">
        <w:rPr>
          <w:rFonts w:ascii="Arial Narrow" w:hAnsi="Arial Narrow"/>
          <w:sz w:val="18"/>
          <w:szCs w:val="20"/>
        </w:rPr>
        <w:t xml:space="preserve"> 2018 (for the high risk group).</w:t>
      </w:r>
      <w:proofErr w:type="gramEnd"/>
    </w:p>
    <w:p w:rsidR="00C95CD3" w:rsidRPr="000B49C6" w:rsidRDefault="00C95CD3" w:rsidP="00B8785C">
      <w:pPr>
        <w:ind w:left="170" w:hanging="170"/>
        <w:rPr>
          <w:rFonts w:ascii="Arial Narrow" w:hAnsi="Arial Narrow"/>
          <w:sz w:val="18"/>
          <w:szCs w:val="20"/>
        </w:rPr>
      </w:pPr>
    </w:p>
    <w:p w:rsidR="000212D7" w:rsidRPr="000B49C6" w:rsidRDefault="000212D7" w:rsidP="000212D7">
      <w:pPr>
        <w:pStyle w:val="Caption"/>
        <w:keepNext/>
        <w:spacing w:after="60"/>
        <w:rPr>
          <w:rFonts w:ascii="Arial Narrow" w:hAnsi="Arial Narrow"/>
          <w:color w:val="auto"/>
          <w:sz w:val="20"/>
          <w:szCs w:val="20"/>
        </w:rPr>
      </w:pPr>
      <w:r w:rsidRPr="000B49C6">
        <w:rPr>
          <w:rFonts w:ascii="Arial Narrow" w:hAnsi="Arial Narrow"/>
          <w:color w:val="auto"/>
          <w:sz w:val="20"/>
          <w:szCs w:val="20"/>
        </w:rPr>
        <w:lastRenderedPageBreak/>
        <w:t xml:space="preserve">Figure </w:t>
      </w:r>
      <w:r w:rsidRPr="000B49C6">
        <w:rPr>
          <w:rFonts w:ascii="Arial Narrow" w:hAnsi="Arial Narrow"/>
          <w:noProof/>
          <w:color w:val="auto"/>
          <w:sz w:val="20"/>
          <w:szCs w:val="20"/>
        </w:rPr>
        <w:t>1</w:t>
      </w:r>
      <w:r w:rsidRPr="000B49C6">
        <w:rPr>
          <w:rFonts w:ascii="Arial Narrow" w:hAnsi="Arial Narrow"/>
          <w:color w:val="auto"/>
          <w:sz w:val="20"/>
          <w:szCs w:val="20"/>
        </w:rPr>
        <w:t>: CDI recurrence in patients who attained clinical cure, by risk factors</w:t>
      </w:r>
    </w:p>
    <w:p w:rsidR="00363F50" w:rsidRPr="000B49C6" w:rsidRDefault="00363F50" w:rsidP="00C95CD3">
      <w:pPr>
        <w:keepNext/>
        <w:rPr>
          <w:rFonts w:ascii="Arial Narrow" w:eastAsiaTheme="minorHAnsi" w:hAnsi="Arial Narrow" w:cstheme="minorBidi"/>
          <w:b/>
          <w:bCs/>
          <w:snapToGrid/>
          <w:sz w:val="20"/>
          <w:szCs w:val="20"/>
        </w:rPr>
      </w:pPr>
      <w:r w:rsidRPr="000B49C6">
        <w:rPr>
          <w:noProof/>
          <w:snapToGrid/>
          <w:lang w:eastAsia="en-AU"/>
        </w:rPr>
        <w:drawing>
          <wp:inline distT="0" distB="0" distL="0" distR="0" wp14:anchorId="43975E6B" wp14:editId="71F2486A">
            <wp:extent cx="5764378" cy="4171816"/>
            <wp:effectExtent l="0" t="0" r="8255" b="635"/>
            <wp:docPr id="1" name="Picture 1" title="Figure 1: CDI recurrence in patients who attained clinical cure, by risk fa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2015" t="29024" r="25510" b="16327"/>
                    <a:stretch/>
                  </pic:blipFill>
                  <pic:spPr bwMode="auto">
                    <a:xfrm>
                      <a:off x="0" y="0"/>
                      <a:ext cx="5761390" cy="4169653"/>
                    </a:xfrm>
                    <a:prstGeom prst="rect">
                      <a:avLst/>
                    </a:prstGeom>
                    <a:ln>
                      <a:noFill/>
                    </a:ln>
                    <a:extLst>
                      <a:ext uri="{53640926-AAD7-44D8-BBD7-CCE9431645EC}">
                        <a14:shadowObscured xmlns:a14="http://schemas.microsoft.com/office/drawing/2010/main"/>
                      </a:ext>
                    </a:extLst>
                  </pic:spPr>
                </pic:pic>
              </a:graphicData>
            </a:graphic>
          </wp:inline>
        </w:drawing>
      </w:r>
    </w:p>
    <w:p w:rsidR="00C95CD3" w:rsidRPr="000B49C6" w:rsidRDefault="005B2CC8" w:rsidP="000212D7">
      <w:pPr>
        <w:rPr>
          <w:rFonts w:ascii="Arial Narrow" w:hAnsi="Arial Narrow"/>
          <w:sz w:val="18"/>
          <w:szCs w:val="20"/>
        </w:rPr>
      </w:pPr>
      <w:r>
        <w:rPr>
          <w:rFonts w:ascii="Arial Narrow" w:hAnsi="Arial Narrow"/>
          <w:sz w:val="18"/>
          <w:szCs w:val="20"/>
        </w:rPr>
        <w:t xml:space="preserve">Source: </w:t>
      </w:r>
      <w:r w:rsidR="00C95CD3" w:rsidRPr="000B49C6">
        <w:rPr>
          <w:rFonts w:ascii="Arial Narrow" w:hAnsi="Arial Narrow"/>
          <w:sz w:val="18"/>
          <w:szCs w:val="20"/>
        </w:rPr>
        <w:t xml:space="preserve">Figure 2, </w:t>
      </w:r>
      <w:proofErr w:type="spellStart"/>
      <w:r w:rsidR="00C95CD3" w:rsidRPr="000B49C6">
        <w:rPr>
          <w:rFonts w:ascii="Arial Narrow" w:hAnsi="Arial Narrow"/>
          <w:sz w:val="18"/>
          <w:szCs w:val="20"/>
        </w:rPr>
        <w:t>Gerding</w:t>
      </w:r>
      <w:proofErr w:type="spellEnd"/>
      <w:r w:rsidR="00C95CD3" w:rsidRPr="000B49C6">
        <w:rPr>
          <w:rFonts w:ascii="Arial Narrow" w:hAnsi="Arial Narrow"/>
          <w:sz w:val="18"/>
          <w:szCs w:val="20"/>
        </w:rPr>
        <w:t xml:space="preserve"> </w:t>
      </w:r>
      <w:proofErr w:type="gramStart"/>
      <w:r w:rsidR="00CC5D6C" w:rsidRPr="00CC5D6C">
        <w:rPr>
          <w:rFonts w:ascii="Arial Narrow" w:hAnsi="Arial Narrow"/>
          <w:i/>
          <w:sz w:val="18"/>
          <w:szCs w:val="20"/>
        </w:rPr>
        <w:t>et</w:t>
      </w:r>
      <w:proofErr w:type="gramEnd"/>
      <w:r w:rsidR="00CC5D6C" w:rsidRPr="00CC5D6C">
        <w:rPr>
          <w:rFonts w:ascii="Arial Narrow" w:hAnsi="Arial Narrow"/>
          <w:i/>
          <w:sz w:val="18"/>
          <w:szCs w:val="20"/>
        </w:rPr>
        <w:t>. al.</w:t>
      </w:r>
      <w:r w:rsidR="00C95CD3" w:rsidRPr="000B49C6">
        <w:rPr>
          <w:rFonts w:ascii="Arial Narrow" w:hAnsi="Arial Narrow"/>
          <w:sz w:val="18"/>
          <w:szCs w:val="20"/>
        </w:rPr>
        <w:t xml:space="preserve"> 2018</w:t>
      </w:r>
    </w:p>
    <w:p w:rsidR="000212D7" w:rsidRPr="000B49C6" w:rsidRDefault="000212D7" w:rsidP="00C95CD3">
      <w:pPr>
        <w:ind w:left="170" w:hanging="170"/>
        <w:rPr>
          <w:rFonts w:ascii="Arial Narrow" w:hAnsi="Arial Narrow"/>
          <w:sz w:val="18"/>
          <w:szCs w:val="20"/>
        </w:rPr>
      </w:pPr>
    </w:p>
    <w:p w:rsidR="001F3946" w:rsidRPr="000B49C6" w:rsidRDefault="001F3946" w:rsidP="001F3946">
      <w:pPr>
        <w:pStyle w:val="ListParagraph"/>
        <w:numPr>
          <w:ilvl w:val="1"/>
          <w:numId w:val="3"/>
        </w:numPr>
      </w:pPr>
      <w:r w:rsidRPr="000B49C6">
        <w:t xml:space="preserve">There were fewer CDI recurrences at Week 12 in patients treated with </w:t>
      </w:r>
      <w:proofErr w:type="spellStart"/>
      <w:r w:rsidRPr="000B49C6">
        <w:t>bezlotoxumab</w:t>
      </w:r>
      <w:proofErr w:type="spellEnd"/>
      <w:r w:rsidRPr="000B49C6">
        <w:t xml:space="preserve"> versus placebo in the high risk population (RD (95%CI): -12.8% (95%CI: -17.6 to -8.0)), slightly larger than the observed difference in the overall trial population (RD (95%CI): -10.0% (-14.0, -6.0))</w:t>
      </w:r>
      <w:r w:rsidR="00991401">
        <w:t xml:space="preserve">. </w:t>
      </w:r>
      <w:r w:rsidRPr="000B49C6">
        <w:t>Although the upper 95%CI (-8%) passed the lower limit of the nominated MCID of 8-9% reduction in recurrence, it would fail the larger MCID of -9%.</w:t>
      </w:r>
    </w:p>
    <w:p w:rsidR="001F3946" w:rsidRPr="000B49C6" w:rsidRDefault="001F3946" w:rsidP="001F3946">
      <w:pPr>
        <w:pStyle w:val="ListParagraph"/>
        <w:numPr>
          <w:ilvl w:val="1"/>
          <w:numId w:val="3"/>
        </w:numPr>
      </w:pPr>
      <w:r w:rsidRPr="000B49C6">
        <w:t xml:space="preserve">When considering the outcome of CDI recurrence in the subgroup of patients who attained clinical cure of initial episode, the risk difference for </w:t>
      </w:r>
      <w:proofErr w:type="spellStart"/>
      <w:r w:rsidRPr="000B49C6">
        <w:t>bezlotoxumab</w:t>
      </w:r>
      <w:proofErr w:type="spellEnd"/>
      <w:r w:rsidRPr="000B49C6">
        <w:t xml:space="preserve"> and placebo was also larger in the high risk population (RD (95%CI): -15.9% (-21.6, -10.2)) compared to the overall trial population including patients with no risk factors (RD (95%CI): -12.2% (-17.1, -7.4))</w:t>
      </w:r>
      <w:r w:rsidR="00991401">
        <w:t xml:space="preserve">. </w:t>
      </w:r>
      <w:r w:rsidRPr="000B49C6">
        <w:t xml:space="preserve">This was also observed for the outcome of global cure where a larger benefit was estimated for </w:t>
      </w:r>
      <w:proofErr w:type="spellStart"/>
      <w:r w:rsidRPr="000B49C6">
        <w:t>bezlotoxumab</w:t>
      </w:r>
      <w:proofErr w:type="spellEnd"/>
      <w:r w:rsidRPr="000B49C6">
        <w:t xml:space="preserve"> in the high risk population versus the overall trial population (RD (95%CI): </w:t>
      </w:r>
      <w:r w:rsidR="00410A2A">
        <w:rPr>
          <w:noProof/>
          <w:color w:val="000000"/>
          <w:highlight w:val="black"/>
        </w:rPr>
        <w:t>'''''''''</w:t>
      </w:r>
      <w:r w:rsidRPr="000B49C6">
        <w:t>% (</w:t>
      </w:r>
      <w:r w:rsidR="00410A2A">
        <w:rPr>
          <w:noProof/>
          <w:color w:val="000000"/>
          <w:highlight w:val="black"/>
        </w:rPr>
        <w:t>''''''</w:t>
      </w:r>
      <w:r w:rsidRPr="000B49C6">
        <w:t xml:space="preserve">, </w:t>
      </w:r>
      <w:r w:rsidR="00410A2A">
        <w:rPr>
          <w:noProof/>
          <w:color w:val="000000"/>
          <w:highlight w:val="black"/>
        </w:rPr>
        <w:t>''''''''</w:t>
      </w:r>
      <w:r w:rsidRPr="000B49C6">
        <w:t>) versus 9.7% (4.8, 14.5)).</w:t>
      </w:r>
    </w:p>
    <w:p w:rsidR="001F3946" w:rsidRPr="000B49C6" w:rsidRDefault="00CC5D6C" w:rsidP="00624300">
      <w:pPr>
        <w:pStyle w:val="ListParagraph"/>
        <w:numPr>
          <w:ilvl w:val="1"/>
          <w:numId w:val="3"/>
        </w:numPr>
      </w:pPr>
      <w:r>
        <w:t>A</w:t>
      </w:r>
      <w:r w:rsidR="001F3946" w:rsidRPr="000B49C6">
        <w:t xml:space="preserve">mong patients with </w:t>
      </w:r>
      <w:r w:rsidR="00624300" w:rsidRPr="000B49C6">
        <w:t>no</w:t>
      </w:r>
      <w:r w:rsidR="001F3946" w:rsidRPr="000B49C6">
        <w:t xml:space="preserve"> pre-defined risk factors for CDI recurrence, recurrence rate did not differ between those treated with </w:t>
      </w:r>
      <w:proofErr w:type="spellStart"/>
      <w:r w:rsidR="001F3946" w:rsidRPr="000B49C6">
        <w:t>bezlotoxumab</w:t>
      </w:r>
      <w:proofErr w:type="spellEnd"/>
      <w:r w:rsidR="001F3946" w:rsidRPr="000B49C6">
        <w:t xml:space="preserve"> and placebo</w:t>
      </w:r>
      <w:r w:rsidR="00991401">
        <w:t xml:space="preserve">. </w:t>
      </w:r>
      <w:r w:rsidR="001F3946" w:rsidRPr="000B49C6">
        <w:t xml:space="preserve">The magnitude of treatment effect also varied depending on both the number and type </w:t>
      </w:r>
      <w:r w:rsidR="001F3946" w:rsidRPr="000B49C6">
        <w:lastRenderedPageBreak/>
        <w:t xml:space="preserve">of risk factors that patients </w:t>
      </w:r>
      <w:r w:rsidRPr="000B49C6">
        <w:t>ha</w:t>
      </w:r>
      <w:r>
        <w:t>d</w:t>
      </w:r>
      <w:r w:rsidR="00991401">
        <w:t xml:space="preserve">. </w:t>
      </w:r>
      <w:r w:rsidR="001F3946" w:rsidRPr="000B49C6">
        <w:t xml:space="preserve">In the manuscript by </w:t>
      </w:r>
      <w:proofErr w:type="spellStart"/>
      <w:r w:rsidR="001F3946" w:rsidRPr="000B49C6">
        <w:t>Gerding</w:t>
      </w:r>
      <w:proofErr w:type="spellEnd"/>
      <w:r w:rsidR="001F3946" w:rsidRPr="000B49C6">
        <w:t xml:space="preserve"> </w:t>
      </w:r>
      <w:proofErr w:type="gramStart"/>
      <w:r w:rsidRPr="00CC5D6C">
        <w:rPr>
          <w:i/>
        </w:rPr>
        <w:t>et</w:t>
      </w:r>
      <w:proofErr w:type="gramEnd"/>
      <w:r w:rsidRPr="00CC5D6C">
        <w:rPr>
          <w:i/>
        </w:rPr>
        <w:t>. al.</w:t>
      </w:r>
      <w:r w:rsidR="001F3946" w:rsidRPr="000B49C6">
        <w:t xml:space="preserve"> (2018), the difference in recurrence </w:t>
      </w:r>
      <w:r>
        <w:t xml:space="preserve">rates </w:t>
      </w:r>
      <w:r w:rsidR="001F3946" w:rsidRPr="000B49C6">
        <w:t xml:space="preserve">between </w:t>
      </w:r>
      <w:proofErr w:type="spellStart"/>
      <w:r w:rsidR="001F3946" w:rsidRPr="000B49C6">
        <w:t>bezlotoxumab</w:t>
      </w:r>
      <w:proofErr w:type="spellEnd"/>
      <w:r w:rsidR="001F3946" w:rsidRPr="000B49C6">
        <w:t xml:space="preserve"> and placebo in those who attained clinical cure of initial episode was </w:t>
      </w:r>
      <w:r w:rsidR="00957A32">
        <w:t>larger</w:t>
      </w:r>
      <w:r w:rsidR="001F3946" w:rsidRPr="000B49C6">
        <w:t xml:space="preserve"> in patients with prior history of CDI and severe CDI (RD (95</w:t>
      </w:r>
      <w:r>
        <w:t>%</w:t>
      </w:r>
      <w:r w:rsidR="001F3946" w:rsidRPr="000B49C6">
        <w:t>CI): -35.7% (</w:t>
      </w:r>
      <w:r w:rsidR="00805883" w:rsidRPr="000B49C6">
        <w:noBreakHyphen/>
      </w:r>
      <w:r w:rsidR="001F3946" w:rsidRPr="000B49C6">
        <w:t xml:space="preserve">60.5, -2.8)) compared to the overall high risk </w:t>
      </w:r>
      <w:r w:rsidRPr="000B49C6">
        <w:t>(≥1 risk factor)</w:t>
      </w:r>
      <w:r>
        <w:t xml:space="preserve"> </w:t>
      </w:r>
      <w:r w:rsidR="001F3946" w:rsidRPr="000B49C6">
        <w:t>population  (RD (95%CI): -15.9% (-21.6, -10.2))</w:t>
      </w:r>
      <w:r w:rsidR="00991401">
        <w:t xml:space="preserve">. </w:t>
      </w:r>
      <w:r w:rsidR="001F3946" w:rsidRPr="000B49C6">
        <w:t xml:space="preserve">Patients with ≥3 risk factors (RD (95%CI): -24.8 (-39.1, -9.3)) were also more likely to benefit from </w:t>
      </w:r>
      <w:proofErr w:type="spellStart"/>
      <w:r w:rsidR="001F3946" w:rsidRPr="000B49C6">
        <w:t>bezlotoxumab</w:t>
      </w:r>
      <w:proofErr w:type="spellEnd"/>
      <w:r w:rsidR="001F3946" w:rsidRPr="000B49C6">
        <w:t xml:space="preserve"> compared to those with only one or two risk factors (RD (95%CI): -14.2% (-21.9, -6.4) and -14.2% (-24.0, -4.1) respectively)</w:t>
      </w:r>
      <w:r w:rsidR="00991401">
        <w:t xml:space="preserve">. </w:t>
      </w:r>
    </w:p>
    <w:p w:rsidR="00A429F3" w:rsidRPr="000B49C6" w:rsidRDefault="00A429F3" w:rsidP="00DB12F1">
      <w:pPr>
        <w:pStyle w:val="ListParagraph"/>
        <w:widowControl/>
        <w:numPr>
          <w:ilvl w:val="1"/>
          <w:numId w:val="3"/>
        </w:numPr>
        <w:rPr>
          <w:iCs/>
        </w:rPr>
      </w:pPr>
      <w:r w:rsidRPr="000B49C6">
        <w:rPr>
          <w:iCs/>
        </w:rPr>
        <w:t xml:space="preserve">In November 2017, the PBAC </w:t>
      </w:r>
      <w:r w:rsidR="00CC5D6C">
        <w:rPr>
          <w:iCs/>
        </w:rPr>
        <w:t>noted</w:t>
      </w:r>
      <w:r w:rsidR="00CC5D6C" w:rsidRPr="000B49C6">
        <w:rPr>
          <w:iCs/>
        </w:rPr>
        <w:t xml:space="preserve"> </w:t>
      </w:r>
      <w:r w:rsidRPr="000B49C6">
        <w:rPr>
          <w:iCs/>
        </w:rPr>
        <w:t xml:space="preserve">that </w:t>
      </w:r>
      <w:r w:rsidR="00033060">
        <w:rPr>
          <w:iCs/>
        </w:rPr>
        <w:t>subgroup analyses based on</w:t>
      </w:r>
      <w:r w:rsidRPr="000B49C6">
        <w:rPr>
          <w:iCs/>
        </w:rPr>
        <w:t xml:space="preserve"> risk factor </w:t>
      </w:r>
      <w:r w:rsidR="00033060">
        <w:rPr>
          <w:iCs/>
        </w:rPr>
        <w:t>resulted in risk of recurrence with</w:t>
      </w:r>
      <w:r w:rsidR="00033060" w:rsidRPr="000B49C6">
        <w:rPr>
          <w:iCs/>
        </w:rPr>
        <w:t xml:space="preserve"> </w:t>
      </w:r>
      <w:r w:rsidRPr="000B49C6">
        <w:rPr>
          <w:iCs/>
        </w:rPr>
        <w:t>upper 95%CIs that crossed over the pre-specified MCID (history of CDI in the past 6 months, immunocompromised or severe CDI) or were not statistically significant (</w:t>
      </w:r>
      <w:proofErr w:type="spellStart"/>
      <w:r w:rsidRPr="000B49C6">
        <w:rPr>
          <w:iCs/>
        </w:rPr>
        <w:t>hypervirulent</w:t>
      </w:r>
      <w:proofErr w:type="spellEnd"/>
      <w:r w:rsidRPr="000B49C6">
        <w:rPr>
          <w:iCs/>
        </w:rPr>
        <w:t xml:space="preserve"> </w:t>
      </w:r>
      <w:proofErr w:type="spellStart"/>
      <w:r w:rsidRPr="000B49C6">
        <w:rPr>
          <w:iCs/>
        </w:rPr>
        <w:t>ribotype</w:t>
      </w:r>
      <w:proofErr w:type="spellEnd"/>
      <w:r w:rsidRPr="000B49C6">
        <w:rPr>
          <w:iCs/>
        </w:rPr>
        <w:t>)</w:t>
      </w:r>
      <w:r w:rsidR="00991401">
        <w:rPr>
          <w:iCs/>
        </w:rPr>
        <w:t xml:space="preserve">. </w:t>
      </w:r>
      <w:r w:rsidRPr="000B49C6">
        <w:rPr>
          <w:iCs/>
        </w:rPr>
        <w:t xml:space="preserve">The PBAC considered that “there was little evidence that the variation in absolute risk difference observed across the patient subgroups were beyond that expected by chance” (paragraph 6.14, </w:t>
      </w:r>
      <w:proofErr w:type="spellStart"/>
      <w:r w:rsidRPr="000B49C6">
        <w:rPr>
          <w:iCs/>
        </w:rPr>
        <w:t>Bezlotoxumab</w:t>
      </w:r>
      <w:proofErr w:type="spellEnd"/>
      <w:r w:rsidRPr="000B49C6">
        <w:rPr>
          <w:iCs/>
        </w:rPr>
        <w:t xml:space="preserve"> November 2017 PSD)</w:t>
      </w:r>
      <w:r w:rsidR="00991401">
        <w:rPr>
          <w:iCs/>
        </w:rPr>
        <w:t xml:space="preserve">. </w:t>
      </w:r>
      <w:r w:rsidRPr="000B49C6">
        <w:rPr>
          <w:iCs/>
        </w:rPr>
        <w:t>This remained unchanged in this resubmission</w:t>
      </w:r>
      <w:r w:rsidR="00991401">
        <w:rPr>
          <w:iCs/>
        </w:rPr>
        <w:t xml:space="preserve">. </w:t>
      </w:r>
    </w:p>
    <w:p w:rsidR="00A429F3" w:rsidRPr="000B49C6" w:rsidRDefault="00CC5D6C" w:rsidP="00A429F3">
      <w:pPr>
        <w:pStyle w:val="ListParagraph"/>
        <w:widowControl/>
        <w:numPr>
          <w:ilvl w:val="1"/>
          <w:numId w:val="3"/>
        </w:numPr>
        <w:rPr>
          <w:iCs/>
        </w:rPr>
      </w:pPr>
      <w:r>
        <w:rPr>
          <w:iCs/>
        </w:rPr>
        <w:t>T</w:t>
      </w:r>
      <w:r w:rsidR="00A429F3" w:rsidRPr="000B49C6">
        <w:rPr>
          <w:iCs/>
        </w:rPr>
        <w:t>rue CDI recurrence was also likely underestimated since those who did not achieve clinical cure were considered “successes”</w:t>
      </w:r>
      <w:r w:rsidR="00991401">
        <w:rPr>
          <w:iCs/>
        </w:rPr>
        <w:t xml:space="preserve">. </w:t>
      </w:r>
      <w:r w:rsidR="00A429F3" w:rsidRPr="000B49C6">
        <w:rPr>
          <w:iCs/>
        </w:rPr>
        <w:t>This was evidenced in the higher CDI recurrence rates for the subgroup of patients who attained clinical cure (i.e. approximately 80% of the patients with ≥1 risk factor achieved clinical cure; the denominator was reduced by 20% while the numerator remained the same)</w:t>
      </w:r>
      <w:r w:rsidR="00991401">
        <w:rPr>
          <w:iCs/>
        </w:rPr>
        <w:t xml:space="preserve">. </w:t>
      </w:r>
      <w:r w:rsidR="00A429F3" w:rsidRPr="000B49C6">
        <w:rPr>
          <w:iCs/>
        </w:rPr>
        <w:t xml:space="preserve">Nonetheless, as clinical cure rates across the trial arms were similar, the results comparing </w:t>
      </w:r>
      <w:proofErr w:type="spellStart"/>
      <w:r w:rsidR="00A429F3" w:rsidRPr="000B49C6">
        <w:rPr>
          <w:iCs/>
        </w:rPr>
        <w:t>bezlotoxumab</w:t>
      </w:r>
      <w:proofErr w:type="spellEnd"/>
      <w:r w:rsidR="00A429F3" w:rsidRPr="000B49C6">
        <w:rPr>
          <w:iCs/>
        </w:rPr>
        <w:t xml:space="preserve"> and placebo in terms CDI recurrence and global cure were similar</w:t>
      </w:r>
      <w:r w:rsidR="00991401">
        <w:rPr>
          <w:iCs/>
        </w:rPr>
        <w:t xml:space="preserve">. </w:t>
      </w:r>
    </w:p>
    <w:p w:rsidR="00B8785C" w:rsidRPr="000B49C6" w:rsidRDefault="00CC5D6C" w:rsidP="00A429F3">
      <w:pPr>
        <w:pStyle w:val="ListParagraph"/>
        <w:widowControl/>
        <w:numPr>
          <w:ilvl w:val="1"/>
          <w:numId w:val="3"/>
        </w:numPr>
        <w:rPr>
          <w:iCs/>
        </w:rPr>
      </w:pPr>
      <w:r>
        <w:rPr>
          <w:iCs/>
        </w:rPr>
        <w:t>T</w:t>
      </w:r>
      <w:r w:rsidR="00A429F3" w:rsidRPr="000B49C6">
        <w:rPr>
          <w:iCs/>
        </w:rPr>
        <w:t>he variation in risk difference by risk factors directly impact</w:t>
      </w:r>
      <w:r>
        <w:rPr>
          <w:iCs/>
        </w:rPr>
        <w:t>s</w:t>
      </w:r>
      <w:r w:rsidR="00A429F3" w:rsidRPr="000B49C6">
        <w:rPr>
          <w:iCs/>
        </w:rPr>
        <w:t xml:space="preserve"> the applicability of the MODIFY I and II trials to the PBS population</w:t>
      </w:r>
      <w:r w:rsidR="00991401">
        <w:rPr>
          <w:iCs/>
        </w:rPr>
        <w:t xml:space="preserve">. </w:t>
      </w:r>
      <w:r w:rsidR="00A429F3" w:rsidRPr="000B49C6">
        <w:rPr>
          <w:iCs/>
        </w:rPr>
        <w:t>If the breakdown of risk profiles (number and type) should differ on the PBS compared to those observed in the MODIFY I and II high risk populations then the likely benefits will also differ.</w:t>
      </w:r>
    </w:p>
    <w:p w:rsidR="00B36EEF" w:rsidRPr="005B2CC8" w:rsidRDefault="00A429F3" w:rsidP="00B36EEF">
      <w:pPr>
        <w:pStyle w:val="ListParagraph"/>
        <w:widowControl/>
        <w:numPr>
          <w:ilvl w:val="1"/>
          <w:numId w:val="3"/>
        </w:numPr>
        <w:rPr>
          <w:color w:val="3366FF"/>
        </w:rPr>
      </w:pPr>
      <w:r w:rsidRPr="005B2CC8">
        <w:rPr>
          <w:iCs/>
        </w:rPr>
        <w:t>No results for</w:t>
      </w:r>
      <w:r w:rsidR="00DB12F1" w:rsidRPr="005B2CC8">
        <w:rPr>
          <w:iCs/>
        </w:rPr>
        <w:t xml:space="preserve"> the</w:t>
      </w:r>
      <w:r w:rsidRPr="005B2CC8">
        <w:rPr>
          <w:iCs/>
        </w:rPr>
        <w:t xml:space="preserve"> high risk patient</w:t>
      </w:r>
      <w:r w:rsidR="00DB12F1" w:rsidRPr="005B2CC8">
        <w:rPr>
          <w:iCs/>
        </w:rPr>
        <w:t>s</w:t>
      </w:r>
      <w:r w:rsidRPr="005B2CC8">
        <w:rPr>
          <w:iCs/>
        </w:rPr>
        <w:t xml:space="preserve"> were reported in the resubmission beyond 12 weeks</w:t>
      </w:r>
      <w:r w:rsidR="00991401" w:rsidRPr="005B2CC8">
        <w:rPr>
          <w:iCs/>
        </w:rPr>
        <w:t xml:space="preserve">. </w:t>
      </w:r>
      <w:r w:rsidRPr="005B2CC8">
        <w:rPr>
          <w:iCs/>
        </w:rPr>
        <w:t xml:space="preserve">As with the previous submission, efficacy beyond 12 weeks for the overall trial population was informed by results of the MODIFY II extension study, which reported results for a further </w:t>
      </w:r>
      <w:r w:rsidRPr="000B49C6">
        <w:t xml:space="preserve">9 months for a </w:t>
      </w:r>
      <w:r w:rsidRPr="005B2CC8">
        <w:rPr>
          <w:rFonts w:asciiTheme="minorHAnsi" w:eastAsiaTheme="minorHAnsi" w:hAnsiTheme="minorHAnsi" w:cstheme="minorBidi"/>
          <w:iCs/>
          <w:snapToGrid/>
        </w:rPr>
        <w:t xml:space="preserve">total of 293 patients, with </w:t>
      </w:r>
      <w:r w:rsidR="00FE1B59" w:rsidRPr="005B2CC8">
        <w:rPr>
          <w:rFonts w:asciiTheme="minorHAnsi" w:eastAsiaTheme="minorHAnsi" w:hAnsiTheme="minorHAnsi" w:cstheme="minorBidi"/>
          <w:iCs/>
          <w:snapToGrid/>
        </w:rPr>
        <w:t>99</w:t>
      </w:r>
      <w:r w:rsidRPr="005B2CC8">
        <w:rPr>
          <w:rFonts w:asciiTheme="minorHAnsi" w:eastAsiaTheme="minorHAnsi" w:hAnsiTheme="minorHAnsi" w:cstheme="minorBidi"/>
          <w:iCs/>
          <w:snapToGrid/>
        </w:rPr>
        <w:t xml:space="preserve"> patients treated with </w:t>
      </w:r>
      <w:proofErr w:type="spellStart"/>
      <w:r w:rsidRPr="005B2CC8">
        <w:rPr>
          <w:rFonts w:asciiTheme="minorHAnsi" w:eastAsiaTheme="minorHAnsi" w:hAnsiTheme="minorHAnsi" w:cstheme="minorBidi"/>
          <w:iCs/>
          <w:snapToGrid/>
        </w:rPr>
        <w:t>bezlotoxumab</w:t>
      </w:r>
      <w:proofErr w:type="spellEnd"/>
      <w:r w:rsidRPr="005B2CC8">
        <w:rPr>
          <w:rFonts w:asciiTheme="minorHAnsi" w:eastAsiaTheme="minorHAnsi" w:hAnsiTheme="minorHAnsi" w:cstheme="minorBidi"/>
          <w:iCs/>
          <w:snapToGrid/>
        </w:rPr>
        <w:t xml:space="preserve"> and 83 patients treated with placebo</w:t>
      </w:r>
      <w:r w:rsidR="00FE1B59" w:rsidRPr="005B2CC8">
        <w:rPr>
          <w:rFonts w:asciiTheme="minorHAnsi" w:eastAsiaTheme="minorHAnsi" w:hAnsiTheme="minorHAnsi" w:cstheme="minorBidi"/>
          <w:iCs/>
          <w:snapToGrid/>
        </w:rPr>
        <w:t xml:space="preserve"> (112 patients were treated with a combination of </w:t>
      </w:r>
      <w:proofErr w:type="spellStart"/>
      <w:r w:rsidR="00FE1B59" w:rsidRPr="005B2CC8">
        <w:rPr>
          <w:rFonts w:asciiTheme="minorHAnsi" w:eastAsiaTheme="minorHAnsi" w:hAnsiTheme="minorHAnsi" w:cstheme="minorBidi"/>
          <w:iCs/>
          <w:snapToGrid/>
        </w:rPr>
        <w:t>bezlotoxumab</w:t>
      </w:r>
      <w:proofErr w:type="spellEnd"/>
      <w:r w:rsidR="00FE1B59" w:rsidRPr="005B2CC8">
        <w:rPr>
          <w:rFonts w:asciiTheme="minorHAnsi" w:eastAsiaTheme="minorHAnsi" w:hAnsiTheme="minorHAnsi" w:cstheme="minorBidi"/>
          <w:iCs/>
          <w:snapToGrid/>
        </w:rPr>
        <w:t xml:space="preserve"> and </w:t>
      </w:r>
      <w:proofErr w:type="spellStart"/>
      <w:r w:rsidR="00FE1B59" w:rsidRPr="005B2CC8">
        <w:rPr>
          <w:rFonts w:asciiTheme="minorHAnsi" w:eastAsiaTheme="minorHAnsi" w:hAnsiTheme="minorHAnsi" w:cstheme="minorBidi"/>
          <w:iCs/>
          <w:snapToGrid/>
        </w:rPr>
        <w:t>actoxumab</w:t>
      </w:r>
      <w:proofErr w:type="spellEnd"/>
      <w:r w:rsidR="00FE1B59" w:rsidRPr="005B2CC8">
        <w:rPr>
          <w:rFonts w:asciiTheme="minorHAnsi" w:eastAsiaTheme="minorHAnsi" w:hAnsiTheme="minorHAnsi" w:cstheme="minorBidi"/>
          <w:iCs/>
          <w:snapToGrid/>
        </w:rPr>
        <w:t>; these results have not been included below)</w:t>
      </w:r>
      <w:r w:rsidRPr="005B2CC8">
        <w:rPr>
          <w:rFonts w:asciiTheme="minorHAnsi" w:eastAsiaTheme="minorHAnsi" w:hAnsiTheme="minorHAnsi" w:cstheme="minorBidi"/>
          <w:iCs/>
          <w:snapToGrid/>
        </w:rPr>
        <w:t>.</w:t>
      </w:r>
    </w:p>
    <w:p w:rsidR="00B60939" w:rsidRPr="005B2CC8" w:rsidRDefault="00B60939" w:rsidP="00E03435">
      <w:pPr>
        <w:pStyle w:val="Heading2"/>
        <w:spacing w:before="240" w:after="120"/>
      </w:pPr>
      <w:bookmarkStart w:id="9" w:name="_Toc514248035"/>
      <w:r w:rsidRPr="005B2CC8">
        <w:t>Comparative harms</w:t>
      </w:r>
      <w:bookmarkEnd w:id="9"/>
    </w:p>
    <w:p w:rsidR="00A429F3" w:rsidRPr="000B49C6" w:rsidRDefault="00A429F3" w:rsidP="00A429F3">
      <w:pPr>
        <w:pStyle w:val="ListParagraph"/>
        <w:widowControl/>
        <w:numPr>
          <w:ilvl w:val="1"/>
          <w:numId w:val="3"/>
        </w:numPr>
      </w:pPr>
      <w:r w:rsidRPr="000B49C6">
        <w:t>Safety outcome</w:t>
      </w:r>
      <w:r w:rsidR="00CC5D6C">
        <w:t xml:space="preserve"> data</w:t>
      </w:r>
      <w:r w:rsidRPr="000B49C6">
        <w:t xml:space="preserve"> </w:t>
      </w:r>
      <w:r w:rsidR="007507AC">
        <w:t>presented in the resubmission</w:t>
      </w:r>
      <w:r w:rsidRPr="000B49C6">
        <w:t xml:space="preserve"> were </w:t>
      </w:r>
      <w:r w:rsidR="00CC5D6C">
        <w:t xml:space="preserve">the same as </w:t>
      </w:r>
      <w:r w:rsidRPr="000B49C6">
        <w:t>presented</w:t>
      </w:r>
      <w:r w:rsidR="00FA197D" w:rsidRPr="000B49C6">
        <w:t xml:space="preserve"> in the November 2017 submission</w:t>
      </w:r>
      <w:r w:rsidR="00991401">
        <w:t xml:space="preserve">. </w:t>
      </w:r>
      <w:r w:rsidRPr="000B49C6">
        <w:t xml:space="preserve">No </w:t>
      </w:r>
      <w:r w:rsidR="001F3946" w:rsidRPr="000B49C6">
        <w:t xml:space="preserve">new </w:t>
      </w:r>
      <w:r w:rsidRPr="000B49C6">
        <w:t>safety data specific to the high risk population w</w:t>
      </w:r>
      <w:r w:rsidR="00CC5D6C">
        <w:t>ere</w:t>
      </w:r>
      <w:r w:rsidRPr="000B49C6">
        <w:t xml:space="preserve"> presented in the resubmission</w:t>
      </w:r>
      <w:r w:rsidR="00CC5D6C">
        <w:t xml:space="preserve">. </w:t>
      </w:r>
      <w:r w:rsidR="00991401">
        <w:t xml:space="preserve"> </w:t>
      </w:r>
      <w:r w:rsidRPr="000B49C6">
        <w:rPr>
          <w:iCs/>
        </w:rPr>
        <w:t>During the evaluation</w:t>
      </w:r>
      <w:r w:rsidR="007507AC">
        <w:rPr>
          <w:iCs/>
        </w:rPr>
        <w:t>,</w:t>
      </w:r>
      <w:r w:rsidRPr="000B49C6">
        <w:rPr>
          <w:iCs/>
        </w:rPr>
        <w:t xml:space="preserve"> limited safety data on 30-day and 90-day mortality were extracted from </w:t>
      </w:r>
      <w:proofErr w:type="spellStart"/>
      <w:r w:rsidRPr="000B49C6">
        <w:rPr>
          <w:iCs/>
        </w:rPr>
        <w:t>Gerding</w:t>
      </w:r>
      <w:proofErr w:type="spellEnd"/>
      <w:r w:rsidRPr="000B49C6">
        <w:rPr>
          <w:iCs/>
        </w:rPr>
        <w:t xml:space="preserve"> </w:t>
      </w:r>
      <w:proofErr w:type="gramStart"/>
      <w:r w:rsidR="00CC5D6C" w:rsidRPr="00CC5D6C">
        <w:rPr>
          <w:i/>
          <w:iCs/>
        </w:rPr>
        <w:t>et</w:t>
      </w:r>
      <w:proofErr w:type="gramEnd"/>
      <w:r w:rsidR="00CC5D6C" w:rsidRPr="00CC5D6C">
        <w:rPr>
          <w:i/>
          <w:iCs/>
        </w:rPr>
        <w:t>. al.</w:t>
      </w:r>
      <w:r w:rsidRPr="000B49C6">
        <w:rPr>
          <w:iCs/>
        </w:rPr>
        <w:t xml:space="preserve"> 2018</w:t>
      </w:r>
      <w:r w:rsidR="00991401">
        <w:rPr>
          <w:iCs/>
        </w:rPr>
        <w:t xml:space="preserve">. </w:t>
      </w:r>
      <w:r w:rsidRPr="000B49C6">
        <w:rPr>
          <w:iCs/>
        </w:rPr>
        <w:lastRenderedPageBreak/>
        <w:t xml:space="preserve">Consistent with the overall trial population, there were no statistically significant differences in mortality between high risk patients treated with </w:t>
      </w:r>
      <w:proofErr w:type="spellStart"/>
      <w:r w:rsidRPr="000B49C6">
        <w:rPr>
          <w:iCs/>
        </w:rPr>
        <w:t>bezlotoxumab</w:t>
      </w:r>
      <w:proofErr w:type="spellEnd"/>
      <w:r w:rsidRPr="000B49C6">
        <w:rPr>
          <w:iCs/>
        </w:rPr>
        <w:t xml:space="preserve"> and placebo.</w:t>
      </w:r>
    </w:p>
    <w:p w:rsidR="00B36EEF" w:rsidRPr="000B49C6" w:rsidRDefault="00CC5D6C" w:rsidP="00A429F3">
      <w:pPr>
        <w:pStyle w:val="ListParagraph"/>
        <w:widowControl/>
        <w:numPr>
          <w:ilvl w:val="1"/>
          <w:numId w:val="3"/>
        </w:numPr>
      </w:pPr>
      <w:r>
        <w:t>T</w:t>
      </w:r>
      <w:r w:rsidRPr="000B49C6">
        <w:t xml:space="preserve">he ESC </w:t>
      </w:r>
      <w:r>
        <w:t>considered</w:t>
      </w:r>
      <w:r w:rsidRPr="000B49C6">
        <w:t xml:space="preserve"> that th</w:t>
      </w:r>
      <w:r>
        <w:t xml:space="preserve">e safety of </w:t>
      </w:r>
      <w:proofErr w:type="spellStart"/>
      <w:r>
        <w:t>bezlotoxumab</w:t>
      </w:r>
      <w:proofErr w:type="spellEnd"/>
      <w:r>
        <w:t xml:space="preserve"> in the high risk group of patients</w:t>
      </w:r>
      <w:r w:rsidRPr="000B49C6">
        <w:t xml:space="preserve"> may differ from the total population</w:t>
      </w:r>
      <w:r>
        <w:t xml:space="preserve">. </w:t>
      </w:r>
      <w:r w:rsidR="00B36EEF" w:rsidRPr="000B49C6">
        <w:t xml:space="preserve">The ESC </w:t>
      </w:r>
      <w:r>
        <w:t xml:space="preserve">also </w:t>
      </w:r>
      <w:r w:rsidR="00B36EEF" w:rsidRPr="000B49C6">
        <w:t xml:space="preserve">noted that there was a higher incidence of heart failure in </w:t>
      </w:r>
      <w:proofErr w:type="spellStart"/>
      <w:r w:rsidR="00B36EEF" w:rsidRPr="000B49C6">
        <w:t>bezlotoxumab</w:t>
      </w:r>
      <w:proofErr w:type="spellEnd"/>
      <w:r w:rsidR="00B36EEF" w:rsidRPr="000B49C6">
        <w:t xml:space="preserve"> treated patients compared to placebo treated patients in MODIFY I and II and amongst those with a history of heart failure, there was a higher incidence of acute heart failure and of mortality in participants treated with </w:t>
      </w:r>
      <w:proofErr w:type="spellStart"/>
      <w:r w:rsidR="00B36EEF" w:rsidRPr="000B49C6">
        <w:t>bezlotoxumab</w:t>
      </w:r>
      <w:proofErr w:type="spellEnd"/>
      <w:r w:rsidR="00B36EEF" w:rsidRPr="000B49C6">
        <w:t xml:space="preserve"> than those treated with placebo.</w:t>
      </w:r>
      <w:r w:rsidRPr="00CC5D6C">
        <w:t xml:space="preserve"> </w:t>
      </w:r>
      <w:r>
        <w:t>The PBAC noted that the pre-PBAC response presented a summary of adverse event data for high risk patients, which showed similar event rates between the treatment and placebo group.</w:t>
      </w:r>
    </w:p>
    <w:p w:rsidR="00CC5D6C" w:rsidRPr="000B49C6" w:rsidRDefault="00A429F3" w:rsidP="00CC5D6C">
      <w:pPr>
        <w:pStyle w:val="ListParagraph"/>
        <w:widowControl/>
        <w:numPr>
          <w:ilvl w:val="1"/>
          <w:numId w:val="3"/>
        </w:numPr>
      </w:pPr>
      <w:r w:rsidRPr="000B49C6">
        <w:t>As previously reported</w:t>
      </w:r>
      <w:r w:rsidR="00CC5D6C">
        <w:t>,</w:t>
      </w:r>
      <w:r w:rsidRPr="000B49C6">
        <w:t xml:space="preserve"> 10% (81 out of 786) of patient in the </w:t>
      </w:r>
      <w:proofErr w:type="spellStart"/>
      <w:r w:rsidRPr="000B49C6">
        <w:t>bezlotoxumab</w:t>
      </w:r>
      <w:proofErr w:type="spellEnd"/>
      <w:r w:rsidRPr="000B49C6">
        <w:t xml:space="preserve"> </w:t>
      </w:r>
      <w:r w:rsidR="00CF0D84" w:rsidRPr="000B49C6">
        <w:t>arm had experienced an infusion specific</w:t>
      </w:r>
      <w:r w:rsidRPr="000B49C6">
        <w:t xml:space="preserve"> </w:t>
      </w:r>
      <w:r w:rsidR="00620550" w:rsidRPr="000B49C6">
        <w:t>adverse event (AE)</w:t>
      </w:r>
      <w:r w:rsidR="00991401">
        <w:t xml:space="preserve">. </w:t>
      </w:r>
      <w:r w:rsidRPr="000B49C6">
        <w:t>In addition the resubmission reported (p66) that in the total trial population (n=2579</w:t>
      </w:r>
      <w:r w:rsidRPr="000B49C6">
        <w:rPr>
          <w:rStyle w:val="FootnoteReference"/>
        </w:rPr>
        <w:footnoteReference w:id="3"/>
      </w:r>
      <w:r w:rsidRPr="000B49C6">
        <w:t>), of the patients who experienc</w:t>
      </w:r>
      <w:r w:rsidR="00CF0D84" w:rsidRPr="000B49C6">
        <w:t xml:space="preserve">ed an infusion related </w:t>
      </w:r>
      <w:r w:rsidR="00620550" w:rsidRPr="000B49C6">
        <w:t>AE (</w:t>
      </w:r>
      <w:r w:rsidRPr="000B49C6">
        <w:t>n=228) most of the reactions were mild (76%) or moderate (22%) in nature and the majority of reactions resolved within 24 hours of onset</w:t>
      </w:r>
      <w:r w:rsidR="00991401">
        <w:t xml:space="preserve">. </w:t>
      </w:r>
      <w:r w:rsidRPr="000B49C6">
        <w:t>Data was not presented in the resubmission to verify the claim that most reactions resolved within 24 hours</w:t>
      </w:r>
      <w:r w:rsidR="00991401">
        <w:t xml:space="preserve">. </w:t>
      </w:r>
      <w:r w:rsidRPr="000B49C6">
        <w:t>A search of the clinical trial reports indicated while there were fewer AEs (including fewer general disorders and administration site conditions) reported within 24 hours of infusion compared to AEs reported during infusion, no further data was available to permit verification that the reduction in event reporting was due to resolution of AEs.</w:t>
      </w:r>
      <w:r w:rsidR="00CC5D6C">
        <w:t xml:space="preserve"> </w:t>
      </w:r>
      <w:r w:rsidR="00CC5D6C">
        <w:rPr>
          <w:iCs/>
        </w:rPr>
        <w:t>The PBAC</w:t>
      </w:r>
      <w:r w:rsidR="00990F87">
        <w:rPr>
          <w:iCs/>
        </w:rPr>
        <w:t xml:space="preserve"> recalled that it</w:t>
      </w:r>
      <w:r w:rsidR="00CC5D6C">
        <w:rPr>
          <w:iCs/>
        </w:rPr>
        <w:t xml:space="preserve"> previously considered that because </w:t>
      </w:r>
      <w:proofErr w:type="spellStart"/>
      <w:r w:rsidR="00CC5D6C">
        <w:rPr>
          <w:iCs/>
        </w:rPr>
        <w:t>SoC</w:t>
      </w:r>
      <w:proofErr w:type="spellEnd"/>
      <w:r w:rsidR="00CC5D6C">
        <w:rPr>
          <w:iCs/>
        </w:rPr>
        <w:t xml:space="preserve"> does not </w:t>
      </w:r>
      <w:r w:rsidR="00990F87">
        <w:rPr>
          <w:iCs/>
        </w:rPr>
        <w:t>require</w:t>
      </w:r>
      <w:r w:rsidR="00CC5D6C">
        <w:rPr>
          <w:iCs/>
        </w:rPr>
        <w:t xml:space="preserve"> an infusion, </w:t>
      </w:r>
      <w:r w:rsidR="00CC5D6C" w:rsidRPr="000B49C6">
        <w:rPr>
          <w:iCs/>
        </w:rPr>
        <w:t xml:space="preserve">patients treated with </w:t>
      </w:r>
      <w:proofErr w:type="spellStart"/>
      <w:r w:rsidR="00CC5D6C" w:rsidRPr="000B49C6">
        <w:rPr>
          <w:iCs/>
        </w:rPr>
        <w:t>bezlotoxumab</w:t>
      </w:r>
      <w:proofErr w:type="spellEnd"/>
      <w:r w:rsidR="00CC5D6C" w:rsidRPr="000B49C6">
        <w:rPr>
          <w:iCs/>
        </w:rPr>
        <w:t xml:space="preserve"> may suffer additional infusion related a</w:t>
      </w:r>
      <w:r w:rsidR="007507AC">
        <w:rPr>
          <w:iCs/>
        </w:rPr>
        <w:t xml:space="preserve">dverse events (paragraph 6.30; </w:t>
      </w:r>
      <w:proofErr w:type="spellStart"/>
      <w:r w:rsidR="007507AC">
        <w:rPr>
          <w:iCs/>
        </w:rPr>
        <w:t>b</w:t>
      </w:r>
      <w:r w:rsidR="00CC5D6C" w:rsidRPr="000B49C6">
        <w:rPr>
          <w:iCs/>
        </w:rPr>
        <w:t>ezlotoxumab</w:t>
      </w:r>
      <w:proofErr w:type="spellEnd"/>
      <w:r w:rsidR="00CC5D6C" w:rsidRPr="000B49C6">
        <w:rPr>
          <w:iCs/>
        </w:rPr>
        <w:t xml:space="preserve"> November 2017 PSD).</w:t>
      </w:r>
      <w:r w:rsidR="00CC5D6C" w:rsidRPr="000B49C6">
        <w:t xml:space="preserve"> </w:t>
      </w:r>
    </w:p>
    <w:p w:rsidR="004151CF" w:rsidRPr="000B49C6" w:rsidRDefault="007F1017" w:rsidP="00E03435">
      <w:pPr>
        <w:pStyle w:val="Heading2"/>
        <w:spacing w:before="240" w:after="120"/>
      </w:pPr>
      <w:bookmarkStart w:id="10" w:name="_Toc514248036"/>
      <w:r w:rsidRPr="005B2CC8">
        <w:t>Benefits/harms</w:t>
      </w:r>
      <w:bookmarkEnd w:id="10"/>
    </w:p>
    <w:p w:rsidR="00A429F3" w:rsidRPr="000B49C6" w:rsidRDefault="00A429F3" w:rsidP="00A429F3">
      <w:pPr>
        <w:pStyle w:val="ListParagraph"/>
        <w:widowControl/>
        <w:numPr>
          <w:ilvl w:val="1"/>
          <w:numId w:val="3"/>
        </w:numPr>
      </w:pPr>
      <w:r w:rsidRPr="000B49C6">
        <w:t xml:space="preserve">A summary of the comparative benefits and harms for </w:t>
      </w:r>
      <w:proofErr w:type="spellStart"/>
      <w:r w:rsidRPr="000B49C6">
        <w:t>bezlotoxumab</w:t>
      </w:r>
      <w:proofErr w:type="spellEnd"/>
      <w:r w:rsidRPr="000B49C6">
        <w:t xml:space="preserve"> plus </w:t>
      </w:r>
      <w:proofErr w:type="spellStart"/>
      <w:r w:rsidRPr="000B49C6">
        <w:t>SoC</w:t>
      </w:r>
      <w:proofErr w:type="spellEnd"/>
      <w:r w:rsidRPr="000B49C6">
        <w:t xml:space="preserve"> versus </w:t>
      </w:r>
      <w:proofErr w:type="spellStart"/>
      <w:r w:rsidRPr="000B49C6">
        <w:t>S</w:t>
      </w:r>
      <w:r w:rsidR="00F014C7" w:rsidRPr="000B49C6">
        <w:t>oC</w:t>
      </w:r>
      <w:proofErr w:type="spellEnd"/>
      <w:r w:rsidR="00F014C7" w:rsidRPr="000B49C6">
        <w:t xml:space="preserve"> alone is presented in Table </w:t>
      </w:r>
      <w:r w:rsidR="00E82A52">
        <w:t>5</w:t>
      </w:r>
      <w:r w:rsidRPr="000B49C6">
        <w:t xml:space="preserve"> below.</w:t>
      </w:r>
      <w:r w:rsidRPr="000B49C6">
        <w:rPr>
          <w:rFonts w:cs="Calibri"/>
          <w:snapToGrid/>
          <w:color w:val="3366FF"/>
          <w:szCs w:val="24"/>
          <w:lang w:eastAsia="en-AU"/>
        </w:rPr>
        <w:t xml:space="preserve"> </w:t>
      </w:r>
    </w:p>
    <w:p w:rsidR="00F014C7" w:rsidRPr="000B49C6" w:rsidRDefault="00F014C7" w:rsidP="00F014C7">
      <w:pPr>
        <w:pStyle w:val="Caption"/>
        <w:keepNext/>
        <w:spacing w:after="60"/>
        <w:rPr>
          <w:rFonts w:ascii="Arial Narrow" w:hAnsi="Arial Narrow"/>
          <w:color w:val="auto"/>
          <w:sz w:val="20"/>
          <w:szCs w:val="20"/>
        </w:rPr>
      </w:pPr>
      <w:r w:rsidRPr="000B49C6">
        <w:rPr>
          <w:rFonts w:ascii="Arial Narrow" w:hAnsi="Arial Narrow"/>
          <w:color w:val="auto"/>
          <w:sz w:val="20"/>
          <w:szCs w:val="20"/>
        </w:rPr>
        <w:lastRenderedPageBreak/>
        <w:t xml:space="preserve">Table </w:t>
      </w:r>
      <w:r w:rsidR="00E82A52">
        <w:rPr>
          <w:rFonts w:ascii="Arial Narrow" w:hAnsi="Arial Narrow"/>
          <w:color w:val="auto"/>
          <w:sz w:val="20"/>
          <w:szCs w:val="20"/>
        </w:rPr>
        <w:t>5</w:t>
      </w:r>
      <w:r w:rsidRPr="000B49C6">
        <w:rPr>
          <w:rFonts w:ascii="Arial Narrow" w:hAnsi="Arial Narrow"/>
          <w:color w:val="auto"/>
          <w:sz w:val="20"/>
          <w:szCs w:val="20"/>
        </w:rPr>
        <w:t xml:space="preserve">: Summary of comparative benefits and harms for </w:t>
      </w:r>
      <w:proofErr w:type="spellStart"/>
      <w:r w:rsidRPr="000B49C6">
        <w:rPr>
          <w:rFonts w:ascii="Arial Narrow" w:hAnsi="Arial Narrow"/>
          <w:color w:val="auto"/>
          <w:sz w:val="20"/>
          <w:szCs w:val="20"/>
        </w:rPr>
        <w:t>bezlotoxumab</w:t>
      </w:r>
      <w:proofErr w:type="spellEnd"/>
      <w:r w:rsidRPr="000B49C6">
        <w:rPr>
          <w:rFonts w:ascii="Arial Narrow" w:hAnsi="Arial Narrow"/>
          <w:color w:val="auto"/>
          <w:sz w:val="20"/>
          <w:szCs w:val="20"/>
        </w:rPr>
        <w:t xml:space="preserve"> and </w:t>
      </w:r>
      <w:proofErr w:type="spellStart"/>
      <w:r w:rsidRPr="000B49C6">
        <w:rPr>
          <w:rFonts w:ascii="Arial Narrow" w:hAnsi="Arial Narrow"/>
          <w:color w:val="auto"/>
          <w:sz w:val="20"/>
          <w:szCs w:val="20"/>
        </w:rPr>
        <w:t>SoC</w:t>
      </w:r>
      <w:proofErr w:type="spellEnd"/>
      <w:r w:rsidRPr="000B49C6">
        <w:rPr>
          <w:rFonts w:ascii="Arial Narrow" w:hAnsi="Arial Narrow"/>
          <w:color w:val="auto"/>
          <w:sz w:val="20"/>
          <w:szCs w:val="20"/>
        </w:rPr>
        <w:t xml:space="preserve"> in the trials (total trial populations and subgroup with at least one risk factor^ for CDI recurrence)</w:t>
      </w:r>
    </w:p>
    <w:tbl>
      <w:tblPr>
        <w:tblStyle w:val="TableGrid"/>
        <w:tblW w:w="4934" w:type="pct"/>
        <w:tblInd w:w="28" w:type="dxa"/>
        <w:tblLayout w:type="fixed"/>
        <w:tblCellMar>
          <w:left w:w="28" w:type="dxa"/>
          <w:right w:w="28" w:type="dxa"/>
        </w:tblCellMar>
        <w:tblLook w:val="04A0" w:firstRow="1" w:lastRow="0" w:firstColumn="1" w:lastColumn="0" w:noHBand="0" w:noVBand="1"/>
        <w:tblCaption w:val="Table 3: Summary of compartive benefits and harms for bexlotoxumab and SoC in the trials (total trial populations and subgroup with at least one risk factor^ for CDI recurrence)"/>
      </w:tblPr>
      <w:tblGrid>
        <w:gridCol w:w="2237"/>
        <w:gridCol w:w="995"/>
        <w:gridCol w:w="848"/>
        <w:gridCol w:w="1420"/>
        <w:gridCol w:w="1027"/>
        <w:gridCol w:w="891"/>
        <w:gridCol w:w="1545"/>
      </w:tblGrid>
      <w:tr w:rsidR="00A429F3" w:rsidRPr="000B49C6" w:rsidTr="00763E99">
        <w:trPr>
          <w:trHeight w:val="150"/>
          <w:tblHeader/>
        </w:trPr>
        <w:tc>
          <w:tcPr>
            <w:tcW w:w="5000" w:type="pct"/>
            <w:gridSpan w:val="7"/>
            <w:shd w:val="clear" w:color="auto" w:fill="auto"/>
            <w:vAlign w:val="center"/>
          </w:tcPr>
          <w:p w:rsidR="00A429F3" w:rsidRPr="000B49C6" w:rsidRDefault="00A429F3" w:rsidP="00D370B3">
            <w:pPr>
              <w:pStyle w:val="TableText0"/>
              <w:spacing w:before="0" w:after="0"/>
              <w:rPr>
                <w:b/>
                <w:bCs/>
                <w:szCs w:val="20"/>
                <w:u w:val="single"/>
              </w:rPr>
            </w:pPr>
            <w:r w:rsidRPr="000B49C6">
              <w:rPr>
                <w:b/>
                <w:bCs/>
                <w:szCs w:val="20"/>
                <w:u w:val="single"/>
              </w:rPr>
              <w:t>Benefits</w:t>
            </w:r>
          </w:p>
        </w:tc>
      </w:tr>
      <w:tr w:rsidR="00A429F3" w:rsidRPr="000B49C6" w:rsidTr="00AF78C0">
        <w:trPr>
          <w:trHeight w:val="150"/>
        </w:trPr>
        <w:tc>
          <w:tcPr>
            <w:tcW w:w="5000" w:type="pct"/>
            <w:gridSpan w:val="7"/>
            <w:shd w:val="clear" w:color="auto" w:fill="auto"/>
            <w:vAlign w:val="center"/>
          </w:tcPr>
          <w:p w:rsidR="00A429F3" w:rsidRPr="000B49C6" w:rsidRDefault="00A429F3" w:rsidP="00D370B3">
            <w:pPr>
              <w:pStyle w:val="TableText0"/>
              <w:spacing w:before="0" w:after="0"/>
              <w:rPr>
                <w:szCs w:val="20"/>
              </w:rPr>
            </w:pPr>
            <w:r w:rsidRPr="000B49C6">
              <w:rPr>
                <w:b/>
                <w:szCs w:val="20"/>
              </w:rPr>
              <w:t xml:space="preserve">CDI recurrence at 12 weeks </w:t>
            </w:r>
          </w:p>
        </w:tc>
      </w:tr>
      <w:tr w:rsidR="00AF78C0" w:rsidRPr="000B49C6" w:rsidTr="00F014C7">
        <w:trPr>
          <w:trHeight w:val="175"/>
        </w:trPr>
        <w:tc>
          <w:tcPr>
            <w:tcW w:w="1248" w:type="pct"/>
            <w:vMerge w:val="restart"/>
            <w:shd w:val="clear" w:color="auto" w:fill="auto"/>
            <w:vAlign w:val="center"/>
          </w:tcPr>
          <w:p w:rsidR="00A429F3" w:rsidRPr="000B49C6" w:rsidRDefault="00A429F3" w:rsidP="00D370B3">
            <w:pPr>
              <w:pStyle w:val="TableText0"/>
              <w:spacing w:before="0" w:after="0"/>
              <w:jc w:val="center"/>
              <w:rPr>
                <w:b/>
                <w:szCs w:val="20"/>
              </w:rPr>
            </w:pPr>
            <w:r w:rsidRPr="000B49C6">
              <w:rPr>
                <w:b/>
                <w:szCs w:val="20"/>
              </w:rPr>
              <w:t>Trial</w:t>
            </w:r>
          </w:p>
        </w:tc>
        <w:tc>
          <w:tcPr>
            <w:tcW w:w="555" w:type="pct"/>
            <w:vMerge w:val="restart"/>
            <w:shd w:val="clear" w:color="auto" w:fill="auto"/>
            <w:vAlign w:val="center"/>
          </w:tcPr>
          <w:p w:rsidR="00A429F3" w:rsidRPr="000B49C6" w:rsidRDefault="00A429F3" w:rsidP="00D370B3">
            <w:pPr>
              <w:pStyle w:val="TableText0"/>
              <w:spacing w:before="0" w:after="0"/>
              <w:jc w:val="center"/>
              <w:rPr>
                <w:b/>
                <w:szCs w:val="20"/>
              </w:rPr>
            </w:pPr>
            <w:r w:rsidRPr="000B49C6">
              <w:rPr>
                <w:b/>
                <w:szCs w:val="20"/>
              </w:rPr>
              <w:t xml:space="preserve">Bez + </w:t>
            </w:r>
            <w:proofErr w:type="spellStart"/>
            <w:r w:rsidR="0039084C" w:rsidRPr="000B49C6">
              <w:rPr>
                <w:b/>
                <w:szCs w:val="20"/>
              </w:rPr>
              <w:t>SoC</w:t>
            </w:r>
            <w:proofErr w:type="spellEnd"/>
          </w:p>
        </w:tc>
        <w:tc>
          <w:tcPr>
            <w:tcW w:w="473" w:type="pct"/>
            <w:vMerge w:val="restart"/>
            <w:shd w:val="clear" w:color="auto" w:fill="auto"/>
            <w:vAlign w:val="center"/>
          </w:tcPr>
          <w:p w:rsidR="00A429F3" w:rsidRPr="000B49C6" w:rsidRDefault="0039084C" w:rsidP="00D370B3">
            <w:pPr>
              <w:pStyle w:val="TableText0"/>
              <w:spacing w:before="0" w:after="0"/>
              <w:jc w:val="center"/>
              <w:rPr>
                <w:b/>
                <w:szCs w:val="20"/>
              </w:rPr>
            </w:pPr>
            <w:proofErr w:type="spellStart"/>
            <w:r w:rsidRPr="000B49C6">
              <w:rPr>
                <w:b/>
                <w:szCs w:val="20"/>
              </w:rPr>
              <w:t>SoC</w:t>
            </w:r>
            <w:proofErr w:type="spellEnd"/>
          </w:p>
        </w:tc>
        <w:tc>
          <w:tcPr>
            <w:tcW w:w="792" w:type="pct"/>
            <w:vMerge w:val="restart"/>
            <w:shd w:val="clear" w:color="auto" w:fill="auto"/>
            <w:vAlign w:val="center"/>
          </w:tcPr>
          <w:p w:rsidR="00A429F3" w:rsidRPr="000B49C6" w:rsidRDefault="00A429F3" w:rsidP="00D370B3">
            <w:pPr>
              <w:pStyle w:val="TableText0"/>
              <w:spacing w:before="0" w:after="0"/>
              <w:jc w:val="center"/>
              <w:rPr>
                <w:b/>
                <w:szCs w:val="20"/>
              </w:rPr>
            </w:pPr>
            <w:r w:rsidRPr="000B49C6">
              <w:rPr>
                <w:b/>
                <w:szCs w:val="20"/>
              </w:rPr>
              <w:t>RR</w:t>
            </w:r>
          </w:p>
          <w:p w:rsidR="00A429F3" w:rsidRPr="000B49C6" w:rsidRDefault="00A429F3" w:rsidP="00D370B3">
            <w:pPr>
              <w:pStyle w:val="TableText0"/>
              <w:spacing w:before="0" w:after="0"/>
              <w:jc w:val="center"/>
              <w:rPr>
                <w:b/>
                <w:szCs w:val="20"/>
              </w:rPr>
            </w:pPr>
            <w:r w:rsidRPr="000B49C6">
              <w:rPr>
                <w:b/>
                <w:szCs w:val="20"/>
              </w:rPr>
              <w:t>(95% CI)</w:t>
            </w:r>
          </w:p>
        </w:tc>
        <w:tc>
          <w:tcPr>
            <w:tcW w:w="1070" w:type="pct"/>
            <w:gridSpan w:val="2"/>
            <w:shd w:val="clear" w:color="auto" w:fill="auto"/>
            <w:vAlign w:val="center"/>
          </w:tcPr>
          <w:p w:rsidR="00A429F3" w:rsidRPr="000B49C6" w:rsidRDefault="00A429F3" w:rsidP="00D370B3">
            <w:pPr>
              <w:pStyle w:val="TableText0"/>
              <w:spacing w:before="0" w:after="0"/>
              <w:jc w:val="center"/>
              <w:rPr>
                <w:b/>
                <w:szCs w:val="20"/>
              </w:rPr>
            </w:pPr>
            <w:r w:rsidRPr="000B49C6">
              <w:rPr>
                <w:b/>
                <w:szCs w:val="20"/>
              </w:rPr>
              <w:t xml:space="preserve">Events/100 </w:t>
            </w:r>
            <w:proofErr w:type="spellStart"/>
            <w:r w:rsidRPr="000B49C6">
              <w:rPr>
                <w:b/>
                <w:szCs w:val="20"/>
              </w:rPr>
              <w:t>patients</w:t>
            </w:r>
            <w:r w:rsidRPr="000B49C6">
              <w:rPr>
                <w:b/>
                <w:szCs w:val="20"/>
                <w:vertAlign w:val="superscript"/>
              </w:rPr>
              <w:t>a</w:t>
            </w:r>
            <w:proofErr w:type="spellEnd"/>
          </w:p>
        </w:tc>
        <w:tc>
          <w:tcPr>
            <w:tcW w:w="862" w:type="pct"/>
            <w:vMerge w:val="restart"/>
            <w:shd w:val="clear" w:color="auto" w:fill="auto"/>
            <w:vAlign w:val="center"/>
          </w:tcPr>
          <w:p w:rsidR="00A429F3" w:rsidRPr="000B49C6" w:rsidRDefault="00A429F3" w:rsidP="00D370B3">
            <w:pPr>
              <w:pStyle w:val="TableText0"/>
              <w:spacing w:before="0" w:after="0"/>
              <w:jc w:val="center"/>
              <w:rPr>
                <w:b/>
                <w:szCs w:val="20"/>
              </w:rPr>
            </w:pPr>
            <w:r w:rsidRPr="000B49C6">
              <w:rPr>
                <w:b/>
                <w:szCs w:val="20"/>
              </w:rPr>
              <w:t>RD</w:t>
            </w:r>
          </w:p>
          <w:p w:rsidR="00A429F3" w:rsidRPr="000B49C6" w:rsidRDefault="00A429F3" w:rsidP="00D370B3">
            <w:pPr>
              <w:pStyle w:val="TableText0"/>
              <w:spacing w:before="0" w:after="0"/>
              <w:jc w:val="center"/>
              <w:rPr>
                <w:b/>
                <w:szCs w:val="20"/>
              </w:rPr>
            </w:pPr>
            <w:r w:rsidRPr="000B49C6">
              <w:rPr>
                <w:b/>
                <w:szCs w:val="20"/>
              </w:rPr>
              <w:t>(95% CI)</w:t>
            </w:r>
          </w:p>
        </w:tc>
      </w:tr>
      <w:tr w:rsidR="00AF78C0" w:rsidRPr="000B49C6" w:rsidTr="00F014C7">
        <w:trPr>
          <w:trHeight w:val="80"/>
        </w:trPr>
        <w:tc>
          <w:tcPr>
            <w:tcW w:w="1248" w:type="pct"/>
            <w:vMerge/>
            <w:shd w:val="clear" w:color="auto" w:fill="auto"/>
            <w:vAlign w:val="center"/>
          </w:tcPr>
          <w:p w:rsidR="00A429F3" w:rsidRPr="000B49C6" w:rsidRDefault="00A429F3" w:rsidP="00D370B3">
            <w:pPr>
              <w:pStyle w:val="TableText0"/>
              <w:spacing w:before="0" w:after="0"/>
              <w:rPr>
                <w:szCs w:val="20"/>
              </w:rPr>
            </w:pPr>
          </w:p>
        </w:tc>
        <w:tc>
          <w:tcPr>
            <w:tcW w:w="555" w:type="pct"/>
            <w:vMerge/>
            <w:shd w:val="clear" w:color="auto" w:fill="auto"/>
            <w:vAlign w:val="center"/>
          </w:tcPr>
          <w:p w:rsidR="00A429F3" w:rsidRPr="000B49C6" w:rsidRDefault="00A429F3" w:rsidP="00D370B3">
            <w:pPr>
              <w:pStyle w:val="TableText0"/>
              <w:spacing w:before="0" w:after="0"/>
              <w:jc w:val="center"/>
              <w:rPr>
                <w:szCs w:val="20"/>
              </w:rPr>
            </w:pPr>
          </w:p>
        </w:tc>
        <w:tc>
          <w:tcPr>
            <w:tcW w:w="473" w:type="pct"/>
            <w:vMerge/>
            <w:shd w:val="clear" w:color="auto" w:fill="auto"/>
            <w:vAlign w:val="center"/>
          </w:tcPr>
          <w:p w:rsidR="00A429F3" w:rsidRPr="000B49C6" w:rsidRDefault="00A429F3" w:rsidP="00D370B3">
            <w:pPr>
              <w:pStyle w:val="TableText0"/>
              <w:spacing w:before="0" w:after="0"/>
              <w:jc w:val="center"/>
              <w:rPr>
                <w:szCs w:val="20"/>
              </w:rPr>
            </w:pPr>
          </w:p>
        </w:tc>
        <w:tc>
          <w:tcPr>
            <w:tcW w:w="792" w:type="pct"/>
            <w:vMerge/>
            <w:shd w:val="clear" w:color="auto" w:fill="auto"/>
            <w:vAlign w:val="center"/>
          </w:tcPr>
          <w:p w:rsidR="00A429F3" w:rsidRPr="000B49C6" w:rsidRDefault="00A429F3" w:rsidP="00D370B3">
            <w:pPr>
              <w:pStyle w:val="TableText0"/>
              <w:spacing w:before="0" w:after="0"/>
              <w:jc w:val="center"/>
              <w:rPr>
                <w:szCs w:val="20"/>
              </w:rPr>
            </w:pPr>
          </w:p>
        </w:tc>
        <w:tc>
          <w:tcPr>
            <w:tcW w:w="573" w:type="pct"/>
            <w:shd w:val="clear" w:color="auto" w:fill="auto"/>
          </w:tcPr>
          <w:p w:rsidR="00A429F3" w:rsidRPr="000B49C6" w:rsidRDefault="00A429F3" w:rsidP="00D370B3">
            <w:pPr>
              <w:pStyle w:val="TableText0"/>
              <w:spacing w:before="0" w:after="0"/>
              <w:jc w:val="center"/>
              <w:rPr>
                <w:b/>
                <w:szCs w:val="20"/>
              </w:rPr>
            </w:pPr>
            <w:r w:rsidRPr="000B49C6">
              <w:rPr>
                <w:b/>
                <w:szCs w:val="20"/>
              </w:rPr>
              <w:t xml:space="preserve">Bez + </w:t>
            </w:r>
            <w:proofErr w:type="spellStart"/>
            <w:r w:rsidR="0039084C" w:rsidRPr="000B49C6">
              <w:rPr>
                <w:b/>
                <w:szCs w:val="20"/>
              </w:rPr>
              <w:t>SoC</w:t>
            </w:r>
            <w:proofErr w:type="spellEnd"/>
          </w:p>
        </w:tc>
        <w:tc>
          <w:tcPr>
            <w:tcW w:w="497" w:type="pct"/>
            <w:shd w:val="clear" w:color="auto" w:fill="auto"/>
          </w:tcPr>
          <w:p w:rsidR="00A429F3" w:rsidRPr="000B49C6" w:rsidRDefault="0039084C" w:rsidP="00D370B3">
            <w:pPr>
              <w:pStyle w:val="TableText0"/>
              <w:spacing w:before="0" w:after="0"/>
              <w:jc w:val="center"/>
              <w:rPr>
                <w:b/>
                <w:szCs w:val="20"/>
              </w:rPr>
            </w:pPr>
            <w:proofErr w:type="spellStart"/>
            <w:r w:rsidRPr="000B49C6">
              <w:rPr>
                <w:b/>
                <w:szCs w:val="20"/>
              </w:rPr>
              <w:t>SoC</w:t>
            </w:r>
            <w:proofErr w:type="spellEnd"/>
            <w:r w:rsidR="00A429F3" w:rsidRPr="000B49C6">
              <w:rPr>
                <w:b/>
                <w:szCs w:val="20"/>
              </w:rPr>
              <w:t xml:space="preserve"> </w:t>
            </w:r>
          </w:p>
        </w:tc>
        <w:tc>
          <w:tcPr>
            <w:tcW w:w="862" w:type="pct"/>
            <w:vMerge/>
            <w:shd w:val="clear" w:color="auto" w:fill="auto"/>
            <w:vAlign w:val="center"/>
          </w:tcPr>
          <w:p w:rsidR="00A429F3" w:rsidRPr="000B49C6" w:rsidRDefault="00A429F3" w:rsidP="00D370B3">
            <w:pPr>
              <w:pStyle w:val="TableText0"/>
              <w:spacing w:before="0" w:after="0"/>
              <w:jc w:val="center"/>
              <w:rPr>
                <w:szCs w:val="20"/>
              </w:rPr>
            </w:pPr>
          </w:p>
        </w:tc>
      </w:tr>
      <w:tr w:rsidR="00AF78C0" w:rsidRPr="000B49C6" w:rsidTr="00F014C7">
        <w:tc>
          <w:tcPr>
            <w:tcW w:w="1248" w:type="pct"/>
            <w:shd w:val="clear" w:color="auto" w:fill="auto"/>
            <w:vAlign w:val="center"/>
          </w:tcPr>
          <w:p w:rsidR="00A429F3" w:rsidRPr="000B49C6" w:rsidRDefault="00A429F3" w:rsidP="00D370B3">
            <w:pPr>
              <w:pStyle w:val="TableText0"/>
              <w:spacing w:before="0" w:after="0"/>
              <w:ind w:left="81"/>
              <w:rPr>
                <w:szCs w:val="20"/>
              </w:rPr>
            </w:pPr>
            <w:r w:rsidRPr="000B49C6">
              <w:rPr>
                <w:szCs w:val="20"/>
              </w:rPr>
              <w:t>MODIFY I</w:t>
            </w:r>
            <w:r w:rsidR="00AF78C0" w:rsidRPr="000B49C6">
              <w:rPr>
                <w:szCs w:val="20"/>
              </w:rPr>
              <w:t xml:space="preserve"> (total population)</w:t>
            </w:r>
          </w:p>
        </w:tc>
        <w:tc>
          <w:tcPr>
            <w:tcW w:w="555" w:type="pct"/>
            <w:shd w:val="clear" w:color="auto" w:fill="D9D9D9" w:themeFill="background1" w:themeFillShade="D9"/>
            <w:vAlign w:val="center"/>
          </w:tcPr>
          <w:p w:rsidR="00A429F3" w:rsidRPr="000B49C6" w:rsidRDefault="00A429F3" w:rsidP="00D370B3">
            <w:pPr>
              <w:pStyle w:val="TableText0"/>
              <w:spacing w:before="0" w:after="0"/>
              <w:jc w:val="center"/>
              <w:rPr>
                <w:szCs w:val="20"/>
              </w:rPr>
            </w:pPr>
            <w:r w:rsidRPr="000B49C6">
              <w:rPr>
                <w:szCs w:val="20"/>
              </w:rPr>
              <w:t>67/386</w:t>
            </w:r>
          </w:p>
        </w:tc>
        <w:tc>
          <w:tcPr>
            <w:tcW w:w="473" w:type="pct"/>
            <w:shd w:val="clear" w:color="auto" w:fill="D9D9D9" w:themeFill="background1" w:themeFillShade="D9"/>
            <w:vAlign w:val="center"/>
          </w:tcPr>
          <w:p w:rsidR="00A429F3" w:rsidRPr="000B49C6" w:rsidRDefault="00A429F3" w:rsidP="00D370B3">
            <w:pPr>
              <w:pStyle w:val="TableText0"/>
              <w:spacing w:before="0" w:after="0"/>
              <w:jc w:val="center"/>
              <w:rPr>
                <w:szCs w:val="20"/>
              </w:rPr>
            </w:pPr>
            <w:r w:rsidRPr="000B49C6">
              <w:rPr>
                <w:szCs w:val="20"/>
              </w:rPr>
              <w:t>109/395</w:t>
            </w:r>
          </w:p>
        </w:tc>
        <w:tc>
          <w:tcPr>
            <w:tcW w:w="792" w:type="pct"/>
            <w:shd w:val="clear" w:color="auto" w:fill="D9D9D9" w:themeFill="background1" w:themeFillShade="D9"/>
            <w:vAlign w:val="center"/>
          </w:tcPr>
          <w:p w:rsidR="00A429F3" w:rsidRPr="000B49C6" w:rsidRDefault="00A429F3" w:rsidP="00D370B3">
            <w:pPr>
              <w:pStyle w:val="TableText0"/>
              <w:spacing w:before="0" w:after="0"/>
              <w:jc w:val="center"/>
              <w:rPr>
                <w:b/>
                <w:bCs/>
                <w:szCs w:val="20"/>
              </w:rPr>
            </w:pPr>
            <w:r w:rsidRPr="000B49C6">
              <w:rPr>
                <w:b/>
                <w:bCs/>
                <w:szCs w:val="20"/>
              </w:rPr>
              <w:t>0.63 (0.48,0.82)</w:t>
            </w:r>
          </w:p>
        </w:tc>
        <w:tc>
          <w:tcPr>
            <w:tcW w:w="573" w:type="pct"/>
            <w:shd w:val="clear" w:color="auto" w:fill="D9D9D9" w:themeFill="background1" w:themeFillShade="D9"/>
            <w:vAlign w:val="center"/>
          </w:tcPr>
          <w:p w:rsidR="00A429F3" w:rsidRPr="000B49C6" w:rsidRDefault="00A429F3" w:rsidP="00D370B3">
            <w:pPr>
              <w:pStyle w:val="TableText0"/>
              <w:spacing w:before="0" w:after="0"/>
              <w:jc w:val="center"/>
              <w:rPr>
                <w:szCs w:val="20"/>
              </w:rPr>
            </w:pPr>
            <w:r w:rsidRPr="000B49C6">
              <w:rPr>
                <w:szCs w:val="20"/>
              </w:rPr>
              <w:t>17.4</w:t>
            </w:r>
          </w:p>
        </w:tc>
        <w:tc>
          <w:tcPr>
            <w:tcW w:w="497" w:type="pct"/>
            <w:shd w:val="clear" w:color="auto" w:fill="D9D9D9" w:themeFill="background1" w:themeFillShade="D9"/>
            <w:vAlign w:val="center"/>
          </w:tcPr>
          <w:p w:rsidR="00A429F3" w:rsidRPr="000B49C6" w:rsidRDefault="00A429F3" w:rsidP="00D370B3">
            <w:pPr>
              <w:pStyle w:val="TableText0"/>
              <w:spacing w:before="0" w:after="0"/>
              <w:jc w:val="center"/>
              <w:rPr>
                <w:szCs w:val="20"/>
              </w:rPr>
            </w:pPr>
            <w:r w:rsidRPr="000B49C6">
              <w:rPr>
                <w:szCs w:val="20"/>
              </w:rPr>
              <w:t>27.6</w:t>
            </w:r>
          </w:p>
        </w:tc>
        <w:tc>
          <w:tcPr>
            <w:tcW w:w="862" w:type="pct"/>
            <w:shd w:val="clear" w:color="auto" w:fill="D9D9D9" w:themeFill="background1" w:themeFillShade="D9"/>
            <w:vAlign w:val="center"/>
          </w:tcPr>
          <w:p w:rsidR="00A429F3" w:rsidRPr="000B49C6" w:rsidRDefault="00A429F3" w:rsidP="00D370B3">
            <w:pPr>
              <w:pStyle w:val="TableText0"/>
              <w:spacing w:before="0" w:after="0"/>
              <w:jc w:val="center"/>
              <w:rPr>
                <w:b/>
                <w:bCs/>
                <w:szCs w:val="20"/>
              </w:rPr>
            </w:pPr>
            <w:r w:rsidRPr="000B49C6">
              <w:rPr>
                <w:b/>
                <w:bCs/>
                <w:szCs w:val="20"/>
              </w:rPr>
              <w:t>-10.1</w:t>
            </w:r>
            <w:r w:rsidR="00AF78C0" w:rsidRPr="000B49C6">
              <w:rPr>
                <w:b/>
                <w:bCs/>
                <w:szCs w:val="20"/>
              </w:rPr>
              <w:t xml:space="preserve"> </w:t>
            </w:r>
            <w:r w:rsidRPr="000B49C6">
              <w:rPr>
                <w:b/>
                <w:bCs/>
                <w:szCs w:val="20"/>
              </w:rPr>
              <w:t>(-15.9,-4.3)</w:t>
            </w:r>
          </w:p>
        </w:tc>
      </w:tr>
      <w:tr w:rsidR="00AF78C0" w:rsidRPr="000B49C6" w:rsidTr="00F014C7">
        <w:tc>
          <w:tcPr>
            <w:tcW w:w="1248" w:type="pct"/>
            <w:shd w:val="clear" w:color="auto" w:fill="auto"/>
            <w:vAlign w:val="center"/>
          </w:tcPr>
          <w:p w:rsidR="00A429F3" w:rsidRPr="000B49C6" w:rsidRDefault="00A429F3" w:rsidP="00D370B3">
            <w:pPr>
              <w:pStyle w:val="TableText0"/>
              <w:spacing w:before="0" w:after="0"/>
              <w:ind w:left="81"/>
              <w:rPr>
                <w:szCs w:val="20"/>
              </w:rPr>
            </w:pPr>
            <w:r w:rsidRPr="000B49C6">
              <w:rPr>
                <w:szCs w:val="20"/>
              </w:rPr>
              <w:t>MODIFY II</w:t>
            </w:r>
            <w:r w:rsidR="00AF78C0" w:rsidRPr="000B49C6">
              <w:rPr>
                <w:szCs w:val="20"/>
              </w:rPr>
              <w:t xml:space="preserve"> (total population)</w:t>
            </w:r>
          </w:p>
        </w:tc>
        <w:tc>
          <w:tcPr>
            <w:tcW w:w="555" w:type="pct"/>
            <w:shd w:val="clear" w:color="auto" w:fill="D9D9D9" w:themeFill="background1" w:themeFillShade="D9"/>
            <w:vAlign w:val="center"/>
          </w:tcPr>
          <w:p w:rsidR="00A429F3" w:rsidRPr="000B49C6" w:rsidRDefault="00A429F3" w:rsidP="00D370B3">
            <w:pPr>
              <w:pStyle w:val="TableText0"/>
              <w:spacing w:before="0" w:after="0"/>
              <w:jc w:val="center"/>
              <w:rPr>
                <w:szCs w:val="20"/>
              </w:rPr>
            </w:pPr>
            <w:r w:rsidRPr="000B49C6">
              <w:rPr>
                <w:szCs w:val="20"/>
              </w:rPr>
              <w:t>62/395</w:t>
            </w:r>
          </w:p>
        </w:tc>
        <w:tc>
          <w:tcPr>
            <w:tcW w:w="473" w:type="pct"/>
            <w:shd w:val="clear" w:color="auto" w:fill="D9D9D9" w:themeFill="background1" w:themeFillShade="D9"/>
            <w:vAlign w:val="center"/>
          </w:tcPr>
          <w:p w:rsidR="00A429F3" w:rsidRPr="000B49C6" w:rsidRDefault="00A429F3" w:rsidP="00D370B3">
            <w:pPr>
              <w:pStyle w:val="TableText0"/>
              <w:spacing w:before="0" w:after="0"/>
              <w:jc w:val="center"/>
              <w:rPr>
                <w:szCs w:val="20"/>
              </w:rPr>
            </w:pPr>
            <w:r w:rsidRPr="000B49C6">
              <w:rPr>
                <w:szCs w:val="20"/>
              </w:rPr>
              <w:t>97/378</w:t>
            </w:r>
          </w:p>
        </w:tc>
        <w:tc>
          <w:tcPr>
            <w:tcW w:w="792" w:type="pct"/>
            <w:shd w:val="clear" w:color="auto" w:fill="D9D9D9" w:themeFill="background1" w:themeFillShade="D9"/>
            <w:vAlign w:val="center"/>
          </w:tcPr>
          <w:p w:rsidR="00A429F3" w:rsidRPr="000B49C6" w:rsidRDefault="00A429F3" w:rsidP="00D370B3">
            <w:pPr>
              <w:pStyle w:val="TableText0"/>
              <w:spacing w:before="0" w:after="0"/>
              <w:jc w:val="center"/>
              <w:rPr>
                <w:b/>
                <w:bCs/>
                <w:szCs w:val="20"/>
              </w:rPr>
            </w:pPr>
            <w:r w:rsidRPr="000B49C6">
              <w:rPr>
                <w:b/>
                <w:bCs/>
                <w:szCs w:val="20"/>
              </w:rPr>
              <w:t>0.61 (0.46,0.81)</w:t>
            </w:r>
          </w:p>
        </w:tc>
        <w:tc>
          <w:tcPr>
            <w:tcW w:w="573" w:type="pct"/>
            <w:shd w:val="clear" w:color="auto" w:fill="D9D9D9" w:themeFill="background1" w:themeFillShade="D9"/>
            <w:vAlign w:val="center"/>
          </w:tcPr>
          <w:p w:rsidR="00A429F3" w:rsidRPr="000B49C6" w:rsidRDefault="00A429F3" w:rsidP="00D370B3">
            <w:pPr>
              <w:pStyle w:val="TableText0"/>
              <w:spacing w:before="0" w:after="0"/>
              <w:jc w:val="center"/>
              <w:rPr>
                <w:szCs w:val="20"/>
              </w:rPr>
            </w:pPr>
            <w:r w:rsidRPr="000B49C6">
              <w:rPr>
                <w:szCs w:val="20"/>
              </w:rPr>
              <w:t>15.7</w:t>
            </w:r>
          </w:p>
        </w:tc>
        <w:tc>
          <w:tcPr>
            <w:tcW w:w="497" w:type="pct"/>
            <w:shd w:val="clear" w:color="auto" w:fill="D9D9D9" w:themeFill="background1" w:themeFillShade="D9"/>
            <w:vAlign w:val="center"/>
          </w:tcPr>
          <w:p w:rsidR="00A429F3" w:rsidRPr="000B49C6" w:rsidRDefault="00A429F3" w:rsidP="00D370B3">
            <w:pPr>
              <w:pStyle w:val="TableText0"/>
              <w:spacing w:before="0" w:after="0"/>
              <w:jc w:val="center"/>
              <w:rPr>
                <w:szCs w:val="20"/>
              </w:rPr>
            </w:pPr>
            <w:r w:rsidRPr="000B49C6">
              <w:rPr>
                <w:szCs w:val="20"/>
              </w:rPr>
              <w:t>25.7</w:t>
            </w:r>
          </w:p>
        </w:tc>
        <w:tc>
          <w:tcPr>
            <w:tcW w:w="862" w:type="pct"/>
            <w:shd w:val="clear" w:color="auto" w:fill="D9D9D9" w:themeFill="background1" w:themeFillShade="D9"/>
            <w:vAlign w:val="center"/>
          </w:tcPr>
          <w:p w:rsidR="00A429F3" w:rsidRPr="000B49C6" w:rsidRDefault="00A429F3" w:rsidP="00D370B3">
            <w:pPr>
              <w:pStyle w:val="TableText0"/>
              <w:spacing w:before="0" w:after="0"/>
              <w:jc w:val="center"/>
              <w:rPr>
                <w:b/>
                <w:bCs/>
                <w:szCs w:val="20"/>
              </w:rPr>
            </w:pPr>
            <w:r w:rsidRPr="000B49C6">
              <w:rPr>
                <w:b/>
                <w:bCs/>
                <w:szCs w:val="20"/>
              </w:rPr>
              <w:t>-9.9</w:t>
            </w:r>
            <w:r w:rsidR="00AF78C0" w:rsidRPr="000B49C6">
              <w:rPr>
                <w:b/>
                <w:bCs/>
                <w:szCs w:val="20"/>
              </w:rPr>
              <w:t xml:space="preserve"> </w:t>
            </w:r>
            <w:r w:rsidRPr="000B49C6">
              <w:rPr>
                <w:b/>
                <w:bCs/>
                <w:szCs w:val="20"/>
              </w:rPr>
              <w:t>(-15.5,-4.3)</w:t>
            </w:r>
          </w:p>
        </w:tc>
      </w:tr>
      <w:tr w:rsidR="00AF78C0" w:rsidRPr="000B49C6" w:rsidTr="00F014C7">
        <w:tc>
          <w:tcPr>
            <w:tcW w:w="1248" w:type="pct"/>
            <w:shd w:val="clear" w:color="auto" w:fill="auto"/>
            <w:vAlign w:val="center"/>
          </w:tcPr>
          <w:p w:rsidR="00A429F3" w:rsidRPr="000B49C6" w:rsidRDefault="00A429F3" w:rsidP="00D370B3">
            <w:pPr>
              <w:pStyle w:val="TableText0"/>
              <w:spacing w:before="0" w:after="0"/>
              <w:ind w:left="81"/>
              <w:rPr>
                <w:szCs w:val="20"/>
              </w:rPr>
            </w:pPr>
            <w:r w:rsidRPr="000B49C6">
              <w:rPr>
                <w:szCs w:val="20"/>
              </w:rPr>
              <w:t>Pooled</w:t>
            </w:r>
            <w:r w:rsidR="00AF78C0" w:rsidRPr="000B49C6">
              <w:rPr>
                <w:szCs w:val="20"/>
              </w:rPr>
              <w:t xml:space="preserve"> (total population)</w:t>
            </w:r>
          </w:p>
        </w:tc>
        <w:tc>
          <w:tcPr>
            <w:tcW w:w="555" w:type="pct"/>
            <w:shd w:val="clear" w:color="auto" w:fill="D9D9D9" w:themeFill="background1" w:themeFillShade="D9"/>
            <w:vAlign w:val="center"/>
          </w:tcPr>
          <w:p w:rsidR="00A429F3" w:rsidRPr="000B49C6" w:rsidRDefault="00A429F3" w:rsidP="00D370B3">
            <w:pPr>
              <w:pStyle w:val="TableText0"/>
              <w:spacing w:before="0" w:after="0"/>
              <w:jc w:val="center"/>
              <w:rPr>
                <w:szCs w:val="20"/>
              </w:rPr>
            </w:pPr>
            <w:r w:rsidRPr="000B49C6">
              <w:rPr>
                <w:szCs w:val="20"/>
              </w:rPr>
              <w:t>129/781</w:t>
            </w:r>
          </w:p>
        </w:tc>
        <w:tc>
          <w:tcPr>
            <w:tcW w:w="473" w:type="pct"/>
            <w:shd w:val="clear" w:color="auto" w:fill="D9D9D9" w:themeFill="background1" w:themeFillShade="D9"/>
            <w:vAlign w:val="center"/>
          </w:tcPr>
          <w:p w:rsidR="00A429F3" w:rsidRPr="000B49C6" w:rsidRDefault="00A429F3" w:rsidP="00D370B3">
            <w:pPr>
              <w:pStyle w:val="TableText0"/>
              <w:spacing w:before="0" w:after="0"/>
              <w:jc w:val="center"/>
              <w:rPr>
                <w:szCs w:val="20"/>
              </w:rPr>
            </w:pPr>
            <w:r w:rsidRPr="000B49C6">
              <w:rPr>
                <w:szCs w:val="20"/>
              </w:rPr>
              <w:t>206/773</w:t>
            </w:r>
          </w:p>
        </w:tc>
        <w:tc>
          <w:tcPr>
            <w:tcW w:w="792" w:type="pct"/>
            <w:shd w:val="clear" w:color="auto" w:fill="D9D9D9" w:themeFill="background1" w:themeFillShade="D9"/>
            <w:vAlign w:val="center"/>
          </w:tcPr>
          <w:p w:rsidR="00A429F3" w:rsidRPr="000B49C6" w:rsidRDefault="00A429F3" w:rsidP="00D370B3">
            <w:pPr>
              <w:pStyle w:val="TableText0"/>
              <w:spacing w:before="0" w:after="0"/>
              <w:jc w:val="center"/>
              <w:rPr>
                <w:b/>
                <w:bCs/>
                <w:szCs w:val="20"/>
              </w:rPr>
            </w:pPr>
            <w:r w:rsidRPr="000B49C6">
              <w:rPr>
                <w:b/>
                <w:bCs/>
                <w:szCs w:val="20"/>
              </w:rPr>
              <w:t>0.62 (0.51,0.75)</w:t>
            </w:r>
          </w:p>
        </w:tc>
        <w:tc>
          <w:tcPr>
            <w:tcW w:w="573" w:type="pct"/>
            <w:shd w:val="clear" w:color="auto" w:fill="D9D9D9" w:themeFill="background1" w:themeFillShade="D9"/>
            <w:vAlign w:val="center"/>
          </w:tcPr>
          <w:p w:rsidR="00A429F3" w:rsidRPr="000B49C6" w:rsidRDefault="00A429F3" w:rsidP="00D370B3">
            <w:pPr>
              <w:pStyle w:val="TableText0"/>
              <w:spacing w:before="0" w:after="0"/>
              <w:jc w:val="center"/>
              <w:rPr>
                <w:szCs w:val="20"/>
              </w:rPr>
            </w:pPr>
            <w:r w:rsidRPr="000B49C6">
              <w:rPr>
                <w:szCs w:val="20"/>
              </w:rPr>
              <w:t>16.5</w:t>
            </w:r>
          </w:p>
        </w:tc>
        <w:tc>
          <w:tcPr>
            <w:tcW w:w="497" w:type="pct"/>
            <w:shd w:val="clear" w:color="auto" w:fill="D9D9D9" w:themeFill="background1" w:themeFillShade="D9"/>
            <w:vAlign w:val="center"/>
          </w:tcPr>
          <w:p w:rsidR="00A429F3" w:rsidRPr="000B49C6" w:rsidRDefault="00A429F3" w:rsidP="00D370B3">
            <w:pPr>
              <w:pStyle w:val="TableText0"/>
              <w:spacing w:before="0" w:after="0"/>
              <w:jc w:val="center"/>
              <w:rPr>
                <w:szCs w:val="20"/>
              </w:rPr>
            </w:pPr>
            <w:r w:rsidRPr="000B49C6">
              <w:rPr>
                <w:szCs w:val="20"/>
              </w:rPr>
              <w:t>26.6</w:t>
            </w:r>
          </w:p>
        </w:tc>
        <w:tc>
          <w:tcPr>
            <w:tcW w:w="862" w:type="pct"/>
            <w:shd w:val="clear" w:color="auto" w:fill="D9D9D9" w:themeFill="background1" w:themeFillShade="D9"/>
            <w:vAlign w:val="center"/>
          </w:tcPr>
          <w:p w:rsidR="00A429F3" w:rsidRPr="000B49C6" w:rsidRDefault="00A429F3" w:rsidP="00D370B3">
            <w:pPr>
              <w:pStyle w:val="TableText0"/>
              <w:spacing w:before="0" w:after="0"/>
              <w:jc w:val="center"/>
              <w:rPr>
                <w:b/>
                <w:bCs/>
                <w:szCs w:val="20"/>
              </w:rPr>
            </w:pPr>
            <w:r w:rsidRPr="000B49C6">
              <w:rPr>
                <w:b/>
                <w:bCs/>
                <w:szCs w:val="20"/>
              </w:rPr>
              <w:t>-10.0</w:t>
            </w:r>
            <w:r w:rsidR="00624300" w:rsidRPr="000B49C6">
              <w:rPr>
                <w:b/>
                <w:bCs/>
                <w:szCs w:val="20"/>
              </w:rPr>
              <w:t xml:space="preserve"> </w:t>
            </w:r>
            <w:r w:rsidRPr="000B49C6">
              <w:rPr>
                <w:b/>
                <w:bCs/>
                <w:szCs w:val="20"/>
              </w:rPr>
              <w:t>(-14.0,-6.0)</w:t>
            </w:r>
          </w:p>
        </w:tc>
      </w:tr>
      <w:tr w:rsidR="00AF78C0" w:rsidRPr="000B49C6" w:rsidTr="00F014C7">
        <w:tc>
          <w:tcPr>
            <w:tcW w:w="1248" w:type="pct"/>
            <w:shd w:val="clear" w:color="auto" w:fill="auto"/>
            <w:vAlign w:val="center"/>
          </w:tcPr>
          <w:p w:rsidR="00A429F3" w:rsidRPr="000B49C6" w:rsidRDefault="00A429F3" w:rsidP="00D370B3">
            <w:pPr>
              <w:pStyle w:val="TableText0"/>
              <w:spacing w:before="0" w:after="0"/>
              <w:ind w:left="81"/>
              <w:rPr>
                <w:szCs w:val="20"/>
              </w:rPr>
            </w:pPr>
            <w:r w:rsidRPr="000B49C6">
              <w:rPr>
                <w:szCs w:val="20"/>
              </w:rPr>
              <w:t>Pooled (≥1 risk factors)</w:t>
            </w:r>
          </w:p>
        </w:tc>
        <w:tc>
          <w:tcPr>
            <w:tcW w:w="555" w:type="pct"/>
            <w:shd w:val="clear" w:color="auto" w:fill="auto"/>
            <w:vAlign w:val="center"/>
          </w:tcPr>
          <w:p w:rsidR="00A429F3" w:rsidRPr="000B49C6" w:rsidRDefault="00A429F3" w:rsidP="00D370B3">
            <w:pPr>
              <w:pStyle w:val="TableText0"/>
              <w:spacing w:before="0" w:after="0"/>
              <w:jc w:val="center"/>
              <w:rPr>
                <w:szCs w:val="20"/>
              </w:rPr>
            </w:pPr>
            <w:r w:rsidRPr="000B49C6">
              <w:rPr>
                <w:szCs w:val="20"/>
              </w:rPr>
              <w:t>100/592</w:t>
            </w:r>
          </w:p>
        </w:tc>
        <w:tc>
          <w:tcPr>
            <w:tcW w:w="473" w:type="pct"/>
            <w:shd w:val="clear" w:color="auto" w:fill="auto"/>
            <w:vAlign w:val="center"/>
          </w:tcPr>
          <w:p w:rsidR="00A429F3" w:rsidRPr="000B49C6" w:rsidRDefault="00A429F3" w:rsidP="00D370B3">
            <w:pPr>
              <w:pStyle w:val="TableText0"/>
              <w:spacing w:before="0" w:after="0"/>
              <w:jc w:val="center"/>
              <w:rPr>
                <w:szCs w:val="20"/>
              </w:rPr>
            </w:pPr>
            <w:r w:rsidRPr="000B49C6">
              <w:rPr>
                <w:szCs w:val="20"/>
              </w:rPr>
              <w:t>174/583</w:t>
            </w:r>
          </w:p>
        </w:tc>
        <w:tc>
          <w:tcPr>
            <w:tcW w:w="792" w:type="pct"/>
            <w:shd w:val="clear" w:color="auto" w:fill="auto"/>
            <w:vAlign w:val="center"/>
          </w:tcPr>
          <w:p w:rsidR="00A429F3" w:rsidRPr="000B49C6" w:rsidRDefault="00A429F3" w:rsidP="00D370B3">
            <w:pPr>
              <w:pStyle w:val="TableText0"/>
              <w:spacing w:before="0" w:after="0"/>
              <w:jc w:val="center"/>
              <w:rPr>
                <w:b/>
                <w:bCs/>
                <w:szCs w:val="20"/>
              </w:rPr>
            </w:pPr>
            <w:r w:rsidRPr="000B49C6">
              <w:rPr>
                <w:b/>
                <w:bCs/>
                <w:iCs/>
                <w:szCs w:val="20"/>
              </w:rPr>
              <w:t>0.57 (0.46, 0.71)</w:t>
            </w:r>
            <w:r w:rsidR="007507AC">
              <w:rPr>
                <w:b/>
                <w:bCs/>
                <w:iCs/>
                <w:szCs w:val="20"/>
              </w:rPr>
              <w:t>*</w:t>
            </w:r>
          </w:p>
        </w:tc>
        <w:tc>
          <w:tcPr>
            <w:tcW w:w="573" w:type="pct"/>
            <w:shd w:val="clear" w:color="auto" w:fill="auto"/>
            <w:vAlign w:val="center"/>
          </w:tcPr>
          <w:p w:rsidR="00A429F3" w:rsidRPr="000B49C6" w:rsidRDefault="00A429F3" w:rsidP="00D370B3">
            <w:pPr>
              <w:pStyle w:val="TableText0"/>
              <w:spacing w:before="0" w:after="0"/>
              <w:jc w:val="center"/>
              <w:rPr>
                <w:szCs w:val="20"/>
              </w:rPr>
            </w:pPr>
            <w:r w:rsidRPr="000B49C6">
              <w:rPr>
                <w:szCs w:val="20"/>
              </w:rPr>
              <w:t>16.9</w:t>
            </w:r>
          </w:p>
        </w:tc>
        <w:tc>
          <w:tcPr>
            <w:tcW w:w="497" w:type="pct"/>
            <w:shd w:val="clear" w:color="auto" w:fill="auto"/>
            <w:vAlign w:val="center"/>
          </w:tcPr>
          <w:p w:rsidR="00A429F3" w:rsidRPr="000B49C6" w:rsidRDefault="00A429F3" w:rsidP="00D370B3">
            <w:pPr>
              <w:pStyle w:val="TableText0"/>
              <w:spacing w:before="0" w:after="0"/>
              <w:jc w:val="center"/>
              <w:rPr>
                <w:szCs w:val="20"/>
              </w:rPr>
            </w:pPr>
            <w:r w:rsidRPr="000B49C6">
              <w:rPr>
                <w:szCs w:val="20"/>
              </w:rPr>
              <w:t>29.8</w:t>
            </w:r>
          </w:p>
        </w:tc>
        <w:tc>
          <w:tcPr>
            <w:tcW w:w="862" w:type="pct"/>
            <w:shd w:val="clear" w:color="auto" w:fill="auto"/>
            <w:vAlign w:val="center"/>
          </w:tcPr>
          <w:p w:rsidR="00A429F3" w:rsidRPr="000B49C6" w:rsidRDefault="00A429F3" w:rsidP="00D370B3">
            <w:pPr>
              <w:pStyle w:val="TableText0"/>
              <w:spacing w:before="0" w:after="0"/>
              <w:jc w:val="center"/>
              <w:rPr>
                <w:b/>
                <w:bCs/>
                <w:szCs w:val="20"/>
              </w:rPr>
            </w:pPr>
            <w:r w:rsidRPr="000B49C6">
              <w:rPr>
                <w:b/>
                <w:bCs/>
                <w:iCs/>
                <w:color w:val="000000"/>
                <w:szCs w:val="20"/>
              </w:rPr>
              <w:t>-12.8 (-17.6, -8.0)</w:t>
            </w:r>
            <w:r w:rsidR="007507AC">
              <w:rPr>
                <w:b/>
                <w:bCs/>
                <w:iCs/>
                <w:color w:val="000000"/>
                <w:szCs w:val="20"/>
              </w:rPr>
              <w:t>*</w:t>
            </w:r>
          </w:p>
        </w:tc>
      </w:tr>
      <w:tr w:rsidR="00A429F3" w:rsidRPr="000B49C6" w:rsidTr="00AF78C0">
        <w:tc>
          <w:tcPr>
            <w:tcW w:w="5000" w:type="pct"/>
            <w:gridSpan w:val="7"/>
            <w:shd w:val="clear" w:color="auto" w:fill="auto"/>
            <w:vAlign w:val="center"/>
          </w:tcPr>
          <w:p w:rsidR="00A429F3" w:rsidRPr="000B49C6" w:rsidRDefault="00A429F3" w:rsidP="00D370B3">
            <w:pPr>
              <w:pStyle w:val="TableText0"/>
              <w:spacing w:before="0" w:after="0"/>
              <w:rPr>
                <w:b/>
                <w:bCs/>
                <w:szCs w:val="20"/>
              </w:rPr>
            </w:pPr>
            <w:r w:rsidRPr="000B49C6">
              <w:rPr>
                <w:b/>
                <w:bCs/>
                <w:szCs w:val="20"/>
              </w:rPr>
              <w:t xml:space="preserve">Global cure at 12 weeks </w:t>
            </w:r>
          </w:p>
        </w:tc>
      </w:tr>
      <w:tr w:rsidR="00AF78C0" w:rsidRPr="000B49C6" w:rsidTr="00F014C7">
        <w:tc>
          <w:tcPr>
            <w:tcW w:w="1248" w:type="pct"/>
            <w:shd w:val="clear" w:color="auto" w:fill="auto"/>
            <w:vAlign w:val="center"/>
          </w:tcPr>
          <w:p w:rsidR="00AF78C0" w:rsidRPr="000B49C6" w:rsidRDefault="00AF78C0" w:rsidP="00AF78C0">
            <w:pPr>
              <w:pStyle w:val="TableText0"/>
              <w:spacing w:before="0" w:after="0"/>
              <w:ind w:left="81"/>
              <w:rPr>
                <w:szCs w:val="20"/>
              </w:rPr>
            </w:pPr>
            <w:r w:rsidRPr="000B49C6">
              <w:rPr>
                <w:szCs w:val="20"/>
              </w:rPr>
              <w:t>MODIFY I (total population)</w:t>
            </w:r>
          </w:p>
        </w:tc>
        <w:tc>
          <w:tcPr>
            <w:tcW w:w="555" w:type="pct"/>
            <w:shd w:val="clear" w:color="auto" w:fill="D9D9D9" w:themeFill="background1" w:themeFillShade="D9"/>
            <w:vAlign w:val="center"/>
          </w:tcPr>
          <w:p w:rsidR="00AF78C0" w:rsidRPr="000B49C6" w:rsidRDefault="00AF78C0" w:rsidP="00AF78C0">
            <w:pPr>
              <w:pStyle w:val="TableText0"/>
              <w:spacing w:before="0" w:after="0"/>
              <w:jc w:val="center"/>
              <w:rPr>
                <w:szCs w:val="20"/>
              </w:rPr>
            </w:pPr>
            <w:r w:rsidRPr="000B49C6">
              <w:rPr>
                <w:szCs w:val="20"/>
              </w:rPr>
              <w:t>232/386</w:t>
            </w:r>
          </w:p>
        </w:tc>
        <w:tc>
          <w:tcPr>
            <w:tcW w:w="473" w:type="pct"/>
            <w:shd w:val="clear" w:color="auto" w:fill="D9D9D9" w:themeFill="background1" w:themeFillShade="D9"/>
            <w:vAlign w:val="center"/>
          </w:tcPr>
          <w:p w:rsidR="00AF78C0" w:rsidRPr="000B49C6" w:rsidRDefault="00AF78C0" w:rsidP="00AF78C0">
            <w:pPr>
              <w:pStyle w:val="TableText0"/>
              <w:spacing w:before="0" w:after="0"/>
              <w:jc w:val="center"/>
              <w:rPr>
                <w:szCs w:val="20"/>
              </w:rPr>
            </w:pPr>
            <w:r w:rsidRPr="000B49C6">
              <w:rPr>
                <w:szCs w:val="20"/>
              </w:rPr>
              <w:t>218/395</w:t>
            </w:r>
          </w:p>
        </w:tc>
        <w:tc>
          <w:tcPr>
            <w:tcW w:w="792" w:type="pct"/>
            <w:shd w:val="clear" w:color="auto" w:fill="D9D9D9" w:themeFill="background1" w:themeFillShade="D9"/>
            <w:vAlign w:val="center"/>
          </w:tcPr>
          <w:p w:rsidR="00AF78C0" w:rsidRPr="000B49C6" w:rsidRDefault="00AF78C0" w:rsidP="00AF78C0">
            <w:pPr>
              <w:pStyle w:val="TableText0"/>
              <w:spacing w:before="0" w:after="0"/>
              <w:jc w:val="center"/>
              <w:rPr>
                <w:szCs w:val="20"/>
              </w:rPr>
            </w:pPr>
            <w:r w:rsidRPr="000B49C6">
              <w:rPr>
                <w:szCs w:val="20"/>
              </w:rPr>
              <w:t>1.09 (0.97,1.23)</w:t>
            </w:r>
          </w:p>
        </w:tc>
        <w:tc>
          <w:tcPr>
            <w:tcW w:w="573" w:type="pct"/>
            <w:shd w:val="clear" w:color="auto" w:fill="D9D9D9" w:themeFill="background1" w:themeFillShade="D9"/>
            <w:vAlign w:val="center"/>
          </w:tcPr>
          <w:p w:rsidR="00AF78C0" w:rsidRPr="000B49C6" w:rsidRDefault="00AF78C0" w:rsidP="00AF78C0">
            <w:pPr>
              <w:pStyle w:val="TableText0"/>
              <w:spacing w:before="0" w:after="0"/>
              <w:jc w:val="center"/>
              <w:rPr>
                <w:szCs w:val="20"/>
              </w:rPr>
            </w:pPr>
            <w:r w:rsidRPr="000B49C6">
              <w:rPr>
                <w:szCs w:val="20"/>
              </w:rPr>
              <w:t>60.1</w:t>
            </w:r>
          </w:p>
        </w:tc>
        <w:tc>
          <w:tcPr>
            <w:tcW w:w="497" w:type="pct"/>
            <w:shd w:val="clear" w:color="auto" w:fill="D9D9D9" w:themeFill="background1" w:themeFillShade="D9"/>
            <w:vAlign w:val="center"/>
          </w:tcPr>
          <w:p w:rsidR="00AF78C0" w:rsidRPr="000B49C6" w:rsidRDefault="00AF78C0" w:rsidP="00AF78C0">
            <w:pPr>
              <w:pStyle w:val="TableText0"/>
              <w:spacing w:before="0" w:after="0"/>
              <w:jc w:val="center"/>
              <w:rPr>
                <w:szCs w:val="20"/>
              </w:rPr>
            </w:pPr>
            <w:r w:rsidRPr="000B49C6">
              <w:rPr>
                <w:szCs w:val="20"/>
              </w:rPr>
              <w:t>55.2</w:t>
            </w:r>
          </w:p>
        </w:tc>
        <w:tc>
          <w:tcPr>
            <w:tcW w:w="862" w:type="pct"/>
            <w:shd w:val="clear" w:color="auto" w:fill="D9D9D9" w:themeFill="background1" w:themeFillShade="D9"/>
            <w:vAlign w:val="center"/>
          </w:tcPr>
          <w:p w:rsidR="00AF78C0" w:rsidRPr="000B49C6" w:rsidRDefault="00AF78C0" w:rsidP="00AF78C0">
            <w:pPr>
              <w:pStyle w:val="TableText0"/>
              <w:spacing w:before="0" w:after="0"/>
              <w:jc w:val="center"/>
              <w:rPr>
                <w:szCs w:val="20"/>
              </w:rPr>
            </w:pPr>
            <w:r w:rsidRPr="000B49C6">
              <w:rPr>
                <w:szCs w:val="20"/>
              </w:rPr>
              <w:t>4.9 (-2.1,11.7)</w:t>
            </w:r>
          </w:p>
        </w:tc>
      </w:tr>
      <w:tr w:rsidR="00AF78C0" w:rsidRPr="000B49C6" w:rsidTr="00F014C7">
        <w:tc>
          <w:tcPr>
            <w:tcW w:w="1248" w:type="pct"/>
            <w:shd w:val="clear" w:color="auto" w:fill="auto"/>
            <w:vAlign w:val="center"/>
          </w:tcPr>
          <w:p w:rsidR="00AF78C0" w:rsidRPr="000B49C6" w:rsidRDefault="00AF78C0" w:rsidP="00AF78C0">
            <w:pPr>
              <w:pStyle w:val="TableText0"/>
              <w:spacing w:before="0" w:after="0"/>
              <w:ind w:left="81"/>
              <w:rPr>
                <w:szCs w:val="20"/>
              </w:rPr>
            </w:pPr>
            <w:r w:rsidRPr="000B49C6">
              <w:rPr>
                <w:szCs w:val="20"/>
              </w:rPr>
              <w:t>MODIFY II (total population)</w:t>
            </w:r>
          </w:p>
        </w:tc>
        <w:tc>
          <w:tcPr>
            <w:tcW w:w="555" w:type="pct"/>
            <w:shd w:val="clear" w:color="auto" w:fill="D9D9D9" w:themeFill="background1" w:themeFillShade="D9"/>
            <w:vAlign w:val="center"/>
          </w:tcPr>
          <w:p w:rsidR="00AF78C0" w:rsidRPr="000B49C6" w:rsidRDefault="00AF78C0" w:rsidP="00AF78C0">
            <w:pPr>
              <w:pStyle w:val="TableText0"/>
              <w:spacing w:before="0" w:after="0"/>
              <w:jc w:val="center"/>
              <w:rPr>
                <w:szCs w:val="20"/>
              </w:rPr>
            </w:pPr>
            <w:r w:rsidRPr="000B49C6">
              <w:rPr>
                <w:szCs w:val="20"/>
              </w:rPr>
              <w:t>264/395</w:t>
            </w:r>
          </w:p>
        </w:tc>
        <w:tc>
          <w:tcPr>
            <w:tcW w:w="473" w:type="pct"/>
            <w:shd w:val="clear" w:color="auto" w:fill="D9D9D9" w:themeFill="background1" w:themeFillShade="D9"/>
            <w:vAlign w:val="center"/>
          </w:tcPr>
          <w:p w:rsidR="00AF78C0" w:rsidRPr="000B49C6" w:rsidRDefault="00AF78C0" w:rsidP="00AF78C0">
            <w:pPr>
              <w:pStyle w:val="TableText0"/>
              <w:spacing w:before="0" w:after="0"/>
              <w:jc w:val="center"/>
              <w:rPr>
                <w:szCs w:val="20"/>
              </w:rPr>
            </w:pPr>
            <w:r w:rsidRPr="000B49C6">
              <w:rPr>
                <w:szCs w:val="20"/>
              </w:rPr>
              <w:t>197/378</w:t>
            </w:r>
          </w:p>
        </w:tc>
        <w:tc>
          <w:tcPr>
            <w:tcW w:w="792" w:type="pct"/>
            <w:shd w:val="clear" w:color="auto" w:fill="D9D9D9" w:themeFill="background1" w:themeFillShade="D9"/>
            <w:vAlign w:val="center"/>
          </w:tcPr>
          <w:p w:rsidR="00AF78C0" w:rsidRPr="000B49C6" w:rsidRDefault="00AF78C0" w:rsidP="00AF78C0">
            <w:pPr>
              <w:pStyle w:val="TableText0"/>
              <w:spacing w:before="0" w:after="0"/>
              <w:jc w:val="center"/>
              <w:rPr>
                <w:b/>
                <w:bCs/>
                <w:szCs w:val="20"/>
              </w:rPr>
            </w:pPr>
            <w:r w:rsidRPr="000B49C6">
              <w:rPr>
                <w:b/>
                <w:bCs/>
                <w:szCs w:val="20"/>
              </w:rPr>
              <w:t>1.28 (1.14,1.45)</w:t>
            </w:r>
          </w:p>
        </w:tc>
        <w:tc>
          <w:tcPr>
            <w:tcW w:w="573" w:type="pct"/>
            <w:shd w:val="clear" w:color="auto" w:fill="D9D9D9" w:themeFill="background1" w:themeFillShade="D9"/>
            <w:vAlign w:val="center"/>
          </w:tcPr>
          <w:p w:rsidR="00AF78C0" w:rsidRPr="000B49C6" w:rsidRDefault="00AF78C0" w:rsidP="00AF78C0">
            <w:pPr>
              <w:pStyle w:val="TableText0"/>
              <w:spacing w:before="0" w:after="0"/>
              <w:jc w:val="center"/>
              <w:rPr>
                <w:szCs w:val="20"/>
              </w:rPr>
            </w:pPr>
            <w:r w:rsidRPr="000B49C6">
              <w:rPr>
                <w:szCs w:val="20"/>
              </w:rPr>
              <w:t>66.8</w:t>
            </w:r>
          </w:p>
        </w:tc>
        <w:tc>
          <w:tcPr>
            <w:tcW w:w="497" w:type="pct"/>
            <w:shd w:val="clear" w:color="auto" w:fill="D9D9D9" w:themeFill="background1" w:themeFillShade="D9"/>
            <w:vAlign w:val="center"/>
          </w:tcPr>
          <w:p w:rsidR="00AF78C0" w:rsidRPr="000B49C6" w:rsidRDefault="00AF78C0" w:rsidP="00AF78C0">
            <w:pPr>
              <w:pStyle w:val="TableText0"/>
              <w:spacing w:before="0" w:after="0"/>
              <w:jc w:val="center"/>
              <w:rPr>
                <w:szCs w:val="20"/>
              </w:rPr>
            </w:pPr>
            <w:r w:rsidRPr="000B49C6">
              <w:rPr>
                <w:szCs w:val="20"/>
              </w:rPr>
              <w:t>52.1</w:t>
            </w:r>
          </w:p>
        </w:tc>
        <w:tc>
          <w:tcPr>
            <w:tcW w:w="862" w:type="pct"/>
            <w:shd w:val="clear" w:color="auto" w:fill="D9D9D9" w:themeFill="background1" w:themeFillShade="D9"/>
            <w:vAlign w:val="center"/>
          </w:tcPr>
          <w:p w:rsidR="00AF78C0" w:rsidRPr="000B49C6" w:rsidRDefault="00AF78C0" w:rsidP="00AF78C0">
            <w:pPr>
              <w:pStyle w:val="TableText0"/>
              <w:spacing w:before="0" w:after="0"/>
              <w:jc w:val="center"/>
              <w:rPr>
                <w:b/>
                <w:bCs/>
                <w:szCs w:val="20"/>
              </w:rPr>
            </w:pPr>
            <w:r w:rsidRPr="000B49C6">
              <w:rPr>
                <w:b/>
                <w:bCs/>
                <w:szCs w:val="20"/>
              </w:rPr>
              <w:t>14.6 (7.7,21.4)</w:t>
            </w:r>
          </w:p>
        </w:tc>
      </w:tr>
      <w:tr w:rsidR="00AF78C0" w:rsidRPr="000B49C6" w:rsidTr="00F014C7">
        <w:tc>
          <w:tcPr>
            <w:tcW w:w="1248" w:type="pct"/>
            <w:shd w:val="clear" w:color="auto" w:fill="auto"/>
            <w:vAlign w:val="center"/>
          </w:tcPr>
          <w:p w:rsidR="00AF78C0" w:rsidRPr="000B49C6" w:rsidRDefault="00AF78C0" w:rsidP="00AF78C0">
            <w:pPr>
              <w:pStyle w:val="TableText0"/>
              <w:spacing w:before="0" w:after="0"/>
              <w:ind w:left="81"/>
              <w:rPr>
                <w:szCs w:val="20"/>
              </w:rPr>
            </w:pPr>
            <w:r w:rsidRPr="000B49C6">
              <w:rPr>
                <w:szCs w:val="20"/>
              </w:rPr>
              <w:t>Pooled (total population)</w:t>
            </w:r>
          </w:p>
        </w:tc>
        <w:tc>
          <w:tcPr>
            <w:tcW w:w="555" w:type="pct"/>
            <w:shd w:val="clear" w:color="auto" w:fill="D9D9D9" w:themeFill="background1" w:themeFillShade="D9"/>
            <w:vAlign w:val="center"/>
          </w:tcPr>
          <w:p w:rsidR="00AF78C0" w:rsidRPr="000B49C6" w:rsidRDefault="00AF78C0" w:rsidP="00AF78C0">
            <w:pPr>
              <w:pStyle w:val="TableText0"/>
              <w:spacing w:before="0" w:after="0"/>
              <w:jc w:val="center"/>
              <w:rPr>
                <w:szCs w:val="20"/>
              </w:rPr>
            </w:pPr>
            <w:r w:rsidRPr="000B49C6">
              <w:rPr>
                <w:szCs w:val="20"/>
              </w:rPr>
              <w:t>496/781</w:t>
            </w:r>
          </w:p>
        </w:tc>
        <w:tc>
          <w:tcPr>
            <w:tcW w:w="473" w:type="pct"/>
            <w:shd w:val="clear" w:color="auto" w:fill="D9D9D9" w:themeFill="background1" w:themeFillShade="D9"/>
            <w:vAlign w:val="center"/>
          </w:tcPr>
          <w:p w:rsidR="00AF78C0" w:rsidRPr="000B49C6" w:rsidRDefault="00AF78C0" w:rsidP="00AF78C0">
            <w:pPr>
              <w:pStyle w:val="TableText0"/>
              <w:spacing w:before="0" w:after="0"/>
              <w:jc w:val="center"/>
              <w:rPr>
                <w:szCs w:val="20"/>
              </w:rPr>
            </w:pPr>
            <w:r w:rsidRPr="000B49C6">
              <w:rPr>
                <w:szCs w:val="20"/>
              </w:rPr>
              <w:t>415/773</w:t>
            </w:r>
          </w:p>
        </w:tc>
        <w:tc>
          <w:tcPr>
            <w:tcW w:w="792" w:type="pct"/>
            <w:shd w:val="clear" w:color="auto" w:fill="D9D9D9" w:themeFill="background1" w:themeFillShade="D9"/>
            <w:vAlign w:val="center"/>
          </w:tcPr>
          <w:p w:rsidR="00AF78C0" w:rsidRPr="000B49C6" w:rsidRDefault="00AF78C0" w:rsidP="00AF78C0">
            <w:pPr>
              <w:pStyle w:val="TableText0"/>
              <w:spacing w:before="0" w:after="0"/>
              <w:jc w:val="center"/>
              <w:rPr>
                <w:b/>
                <w:bCs/>
                <w:szCs w:val="20"/>
              </w:rPr>
            </w:pPr>
            <w:r w:rsidRPr="000B49C6">
              <w:rPr>
                <w:b/>
                <w:bCs/>
                <w:szCs w:val="20"/>
              </w:rPr>
              <w:t>1.18 (1.09,1.29)</w:t>
            </w:r>
          </w:p>
        </w:tc>
        <w:tc>
          <w:tcPr>
            <w:tcW w:w="573" w:type="pct"/>
            <w:shd w:val="clear" w:color="auto" w:fill="D9D9D9" w:themeFill="background1" w:themeFillShade="D9"/>
            <w:vAlign w:val="center"/>
          </w:tcPr>
          <w:p w:rsidR="00AF78C0" w:rsidRPr="000B49C6" w:rsidRDefault="00AF78C0" w:rsidP="00AF78C0">
            <w:pPr>
              <w:pStyle w:val="TableText0"/>
              <w:spacing w:before="0" w:after="0"/>
              <w:jc w:val="center"/>
              <w:rPr>
                <w:szCs w:val="20"/>
              </w:rPr>
            </w:pPr>
            <w:r w:rsidRPr="000B49C6">
              <w:rPr>
                <w:szCs w:val="20"/>
              </w:rPr>
              <w:t>63.5</w:t>
            </w:r>
          </w:p>
        </w:tc>
        <w:tc>
          <w:tcPr>
            <w:tcW w:w="497" w:type="pct"/>
            <w:shd w:val="clear" w:color="auto" w:fill="D9D9D9" w:themeFill="background1" w:themeFillShade="D9"/>
            <w:vAlign w:val="center"/>
          </w:tcPr>
          <w:p w:rsidR="00AF78C0" w:rsidRPr="000B49C6" w:rsidRDefault="00AF78C0" w:rsidP="00AF78C0">
            <w:pPr>
              <w:pStyle w:val="TableText0"/>
              <w:spacing w:before="0" w:after="0"/>
              <w:jc w:val="center"/>
              <w:rPr>
                <w:szCs w:val="20"/>
              </w:rPr>
            </w:pPr>
            <w:r w:rsidRPr="000B49C6">
              <w:rPr>
                <w:szCs w:val="20"/>
              </w:rPr>
              <w:t>53.7</w:t>
            </w:r>
          </w:p>
        </w:tc>
        <w:tc>
          <w:tcPr>
            <w:tcW w:w="862" w:type="pct"/>
            <w:shd w:val="clear" w:color="auto" w:fill="D9D9D9" w:themeFill="background1" w:themeFillShade="D9"/>
            <w:vAlign w:val="center"/>
          </w:tcPr>
          <w:p w:rsidR="00AF78C0" w:rsidRPr="000B49C6" w:rsidRDefault="00AF78C0" w:rsidP="00AF78C0">
            <w:pPr>
              <w:pStyle w:val="TableText0"/>
              <w:spacing w:before="0" w:after="0"/>
              <w:jc w:val="center"/>
              <w:rPr>
                <w:b/>
                <w:bCs/>
                <w:szCs w:val="20"/>
              </w:rPr>
            </w:pPr>
            <w:r w:rsidRPr="000B49C6">
              <w:rPr>
                <w:b/>
                <w:bCs/>
                <w:szCs w:val="20"/>
              </w:rPr>
              <w:t>9.7 (4.8,14.5)</w:t>
            </w:r>
          </w:p>
        </w:tc>
      </w:tr>
      <w:tr w:rsidR="00AF78C0" w:rsidRPr="000B49C6" w:rsidTr="00F014C7">
        <w:tc>
          <w:tcPr>
            <w:tcW w:w="1248" w:type="pct"/>
            <w:shd w:val="clear" w:color="auto" w:fill="auto"/>
            <w:vAlign w:val="center"/>
          </w:tcPr>
          <w:p w:rsidR="00A429F3" w:rsidRPr="000B49C6" w:rsidRDefault="00A429F3" w:rsidP="00D370B3">
            <w:pPr>
              <w:pStyle w:val="TableText0"/>
              <w:spacing w:before="0" w:after="0"/>
              <w:ind w:left="81"/>
              <w:rPr>
                <w:szCs w:val="20"/>
              </w:rPr>
            </w:pPr>
            <w:r w:rsidRPr="000B49C6">
              <w:rPr>
                <w:szCs w:val="20"/>
              </w:rPr>
              <w:t>Pooled (≥1 risk factors)</w:t>
            </w:r>
          </w:p>
        </w:tc>
        <w:tc>
          <w:tcPr>
            <w:tcW w:w="555" w:type="pct"/>
            <w:shd w:val="clear" w:color="auto" w:fill="auto"/>
            <w:vAlign w:val="center"/>
          </w:tcPr>
          <w:p w:rsidR="00A429F3" w:rsidRPr="000B49C6" w:rsidRDefault="00410A2A" w:rsidP="00D370B3">
            <w:pPr>
              <w:pStyle w:val="TableText0"/>
              <w:spacing w:before="0" w:after="0"/>
              <w:jc w:val="center"/>
              <w:rPr>
                <w:szCs w:val="20"/>
              </w:rPr>
            </w:pPr>
            <w:r>
              <w:rPr>
                <w:noProof/>
                <w:color w:val="000000"/>
                <w:szCs w:val="20"/>
                <w:highlight w:val="black"/>
              </w:rPr>
              <w:t>''''''''''</w:t>
            </w:r>
            <w:r w:rsidR="00A429F3" w:rsidRPr="000B49C6">
              <w:rPr>
                <w:szCs w:val="20"/>
              </w:rPr>
              <w:t>/</w:t>
            </w:r>
            <w:r>
              <w:rPr>
                <w:noProof/>
                <w:color w:val="000000"/>
                <w:szCs w:val="20"/>
                <w:highlight w:val="black"/>
              </w:rPr>
              <w:t>'''''''''</w:t>
            </w:r>
          </w:p>
        </w:tc>
        <w:tc>
          <w:tcPr>
            <w:tcW w:w="473" w:type="pct"/>
            <w:shd w:val="clear" w:color="auto" w:fill="auto"/>
            <w:vAlign w:val="center"/>
          </w:tcPr>
          <w:p w:rsidR="00A429F3" w:rsidRPr="000B49C6" w:rsidRDefault="00410A2A" w:rsidP="00D370B3">
            <w:pPr>
              <w:pStyle w:val="TableText0"/>
              <w:spacing w:before="0" w:after="0"/>
              <w:jc w:val="center"/>
              <w:rPr>
                <w:szCs w:val="20"/>
              </w:rPr>
            </w:pPr>
            <w:r>
              <w:rPr>
                <w:noProof/>
                <w:color w:val="000000"/>
                <w:szCs w:val="20"/>
                <w:highlight w:val="black"/>
              </w:rPr>
              <w:t>'''''''''</w:t>
            </w:r>
            <w:r w:rsidR="00A429F3" w:rsidRPr="000B49C6">
              <w:rPr>
                <w:szCs w:val="20"/>
              </w:rPr>
              <w:t>/</w:t>
            </w:r>
            <w:r>
              <w:rPr>
                <w:noProof/>
                <w:color w:val="000000"/>
                <w:szCs w:val="20"/>
                <w:highlight w:val="black"/>
              </w:rPr>
              <w:t>''''''''''</w:t>
            </w:r>
          </w:p>
        </w:tc>
        <w:tc>
          <w:tcPr>
            <w:tcW w:w="792" w:type="pct"/>
            <w:shd w:val="clear" w:color="auto" w:fill="auto"/>
            <w:vAlign w:val="center"/>
          </w:tcPr>
          <w:p w:rsidR="00A429F3" w:rsidRPr="000B49C6" w:rsidRDefault="00410A2A" w:rsidP="00D370B3">
            <w:pPr>
              <w:pStyle w:val="TableText0"/>
              <w:spacing w:before="0" w:after="0"/>
              <w:jc w:val="center"/>
              <w:rPr>
                <w:b/>
                <w:bCs/>
                <w:szCs w:val="20"/>
              </w:rPr>
            </w:pPr>
            <w:r>
              <w:rPr>
                <w:b/>
                <w:bCs/>
                <w:noProof/>
                <w:color w:val="000000"/>
                <w:szCs w:val="20"/>
                <w:highlight w:val="black"/>
              </w:rPr>
              <w:t>'''''''''</w:t>
            </w:r>
            <w:r w:rsidR="00A429F3" w:rsidRPr="000B49C6">
              <w:rPr>
                <w:b/>
                <w:bCs/>
                <w:szCs w:val="20"/>
              </w:rPr>
              <w:t xml:space="preserve"> (</w:t>
            </w:r>
            <w:r>
              <w:rPr>
                <w:b/>
                <w:bCs/>
                <w:noProof/>
                <w:color w:val="000000"/>
                <w:szCs w:val="20"/>
                <w:highlight w:val="black"/>
              </w:rPr>
              <w:t>'''''''''</w:t>
            </w:r>
            <w:r w:rsidR="00A429F3" w:rsidRPr="000B49C6">
              <w:rPr>
                <w:b/>
                <w:bCs/>
                <w:szCs w:val="20"/>
              </w:rPr>
              <w:t xml:space="preserve">, </w:t>
            </w:r>
            <w:r>
              <w:rPr>
                <w:b/>
                <w:bCs/>
                <w:noProof/>
                <w:color w:val="000000"/>
                <w:szCs w:val="20"/>
                <w:highlight w:val="black"/>
              </w:rPr>
              <w:t>'''''''''</w:t>
            </w:r>
            <w:r w:rsidR="00A429F3" w:rsidRPr="000B49C6">
              <w:rPr>
                <w:b/>
                <w:bCs/>
                <w:szCs w:val="20"/>
              </w:rPr>
              <w:t>)</w:t>
            </w:r>
          </w:p>
        </w:tc>
        <w:tc>
          <w:tcPr>
            <w:tcW w:w="573" w:type="pct"/>
            <w:shd w:val="clear" w:color="auto" w:fill="auto"/>
            <w:vAlign w:val="center"/>
          </w:tcPr>
          <w:p w:rsidR="00A429F3" w:rsidRPr="00410A2A" w:rsidRDefault="00410A2A" w:rsidP="00D370B3">
            <w:pPr>
              <w:pStyle w:val="TableText0"/>
              <w:spacing w:before="0" w:after="0"/>
              <w:jc w:val="center"/>
              <w:rPr>
                <w:szCs w:val="20"/>
                <w:highlight w:val="black"/>
              </w:rPr>
            </w:pPr>
            <w:r>
              <w:rPr>
                <w:noProof/>
                <w:color w:val="000000"/>
                <w:szCs w:val="20"/>
                <w:highlight w:val="black"/>
              </w:rPr>
              <w:t>'''''''''''</w:t>
            </w:r>
          </w:p>
        </w:tc>
        <w:tc>
          <w:tcPr>
            <w:tcW w:w="497" w:type="pct"/>
            <w:shd w:val="clear" w:color="auto" w:fill="auto"/>
            <w:vAlign w:val="center"/>
          </w:tcPr>
          <w:p w:rsidR="00A429F3" w:rsidRPr="00410A2A" w:rsidRDefault="00410A2A" w:rsidP="00D370B3">
            <w:pPr>
              <w:pStyle w:val="TableText0"/>
              <w:spacing w:before="0" w:after="0"/>
              <w:jc w:val="center"/>
              <w:rPr>
                <w:szCs w:val="20"/>
                <w:highlight w:val="black"/>
              </w:rPr>
            </w:pPr>
            <w:r>
              <w:rPr>
                <w:noProof/>
                <w:color w:val="000000"/>
                <w:szCs w:val="20"/>
                <w:highlight w:val="black"/>
              </w:rPr>
              <w:t>'''''''''''</w:t>
            </w:r>
          </w:p>
        </w:tc>
        <w:tc>
          <w:tcPr>
            <w:tcW w:w="862" w:type="pct"/>
            <w:shd w:val="clear" w:color="auto" w:fill="auto"/>
            <w:vAlign w:val="center"/>
          </w:tcPr>
          <w:p w:rsidR="00A429F3" w:rsidRPr="000B49C6" w:rsidRDefault="00410A2A" w:rsidP="00D370B3">
            <w:pPr>
              <w:pStyle w:val="TableText0"/>
              <w:spacing w:before="0" w:after="0"/>
              <w:jc w:val="center"/>
              <w:rPr>
                <w:b/>
                <w:bCs/>
                <w:szCs w:val="20"/>
              </w:rPr>
            </w:pPr>
            <w:r>
              <w:rPr>
                <w:b/>
                <w:bCs/>
                <w:noProof/>
                <w:color w:val="000000"/>
                <w:szCs w:val="20"/>
                <w:highlight w:val="black"/>
              </w:rPr>
              <w:t>'''''''''</w:t>
            </w:r>
            <w:r w:rsidR="00A429F3" w:rsidRPr="000B49C6">
              <w:rPr>
                <w:b/>
                <w:bCs/>
                <w:szCs w:val="20"/>
              </w:rPr>
              <w:t xml:space="preserve"> (</w:t>
            </w:r>
            <w:r>
              <w:rPr>
                <w:b/>
                <w:bCs/>
                <w:noProof/>
                <w:color w:val="000000"/>
                <w:szCs w:val="20"/>
                <w:highlight w:val="black"/>
              </w:rPr>
              <w:t>''''''</w:t>
            </w:r>
            <w:r w:rsidR="00A429F3" w:rsidRPr="000B49C6">
              <w:rPr>
                <w:b/>
                <w:bCs/>
                <w:szCs w:val="20"/>
              </w:rPr>
              <w:t xml:space="preserve">, </w:t>
            </w:r>
            <w:r>
              <w:rPr>
                <w:b/>
                <w:bCs/>
                <w:noProof/>
                <w:color w:val="000000"/>
                <w:szCs w:val="20"/>
                <w:highlight w:val="black"/>
              </w:rPr>
              <w:t>'''''''''</w:t>
            </w:r>
            <w:r w:rsidR="00A429F3" w:rsidRPr="000B49C6">
              <w:rPr>
                <w:b/>
                <w:bCs/>
                <w:szCs w:val="20"/>
              </w:rPr>
              <w:t>)</w:t>
            </w:r>
          </w:p>
        </w:tc>
      </w:tr>
      <w:tr w:rsidR="00A429F3" w:rsidRPr="000B49C6" w:rsidTr="00AF78C0">
        <w:tc>
          <w:tcPr>
            <w:tcW w:w="5000" w:type="pct"/>
            <w:gridSpan w:val="7"/>
            <w:tcBorders>
              <w:top w:val="double" w:sz="4" w:space="0" w:color="auto"/>
            </w:tcBorders>
            <w:shd w:val="clear" w:color="auto" w:fill="auto"/>
            <w:vAlign w:val="center"/>
          </w:tcPr>
          <w:p w:rsidR="00A429F3" w:rsidRPr="000B49C6" w:rsidRDefault="00A429F3" w:rsidP="00D370B3">
            <w:pPr>
              <w:pStyle w:val="TableText0"/>
              <w:spacing w:before="0" w:after="0"/>
              <w:rPr>
                <w:b/>
                <w:szCs w:val="20"/>
                <w:u w:val="single"/>
              </w:rPr>
            </w:pPr>
            <w:r w:rsidRPr="000B49C6">
              <w:rPr>
                <w:b/>
                <w:szCs w:val="20"/>
                <w:u w:val="single"/>
              </w:rPr>
              <w:t>Harms</w:t>
            </w:r>
          </w:p>
        </w:tc>
      </w:tr>
      <w:tr w:rsidR="00AF78C0" w:rsidRPr="000B49C6" w:rsidTr="00F014C7">
        <w:trPr>
          <w:trHeight w:val="70"/>
        </w:trPr>
        <w:tc>
          <w:tcPr>
            <w:tcW w:w="1248" w:type="pct"/>
            <w:vMerge w:val="restart"/>
            <w:shd w:val="clear" w:color="auto" w:fill="auto"/>
            <w:vAlign w:val="center"/>
          </w:tcPr>
          <w:p w:rsidR="00A429F3" w:rsidRPr="000B49C6" w:rsidRDefault="00A429F3" w:rsidP="00D370B3">
            <w:pPr>
              <w:pStyle w:val="TableText0"/>
              <w:spacing w:before="0" w:after="0"/>
              <w:jc w:val="center"/>
              <w:rPr>
                <w:szCs w:val="20"/>
              </w:rPr>
            </w:pPr>
          </w:p>
        </w:tc>
        <w:tc>
          <w:tcPr>
            <w:tcW w:w="555" w:type="pct"/>
            <w:vMerge w:val="restart"/>
            <w:shd w:val="clear" w:color="auto" w:fill="auto"/>
            <w:vAlign w:val="center"/>
          </w:tcPr>
          <w:p w:rsidR="00A429F3" w:rsidRPr="000B49C6" w:rsidRDefault="00A429F3" w:rsidP="00D370B3">
            <w:pPr>
              <w:pStyle w:val="TableText0"/>
              <w:spacing w:before="0" w:after="0"/>
              <w:jc w:val="center"/>
              <w:rPr>
                <w:b/>
                <w:szCs w:val="20"/>
              </w:rPr>
            </w:pPr>
            <w:r w:rsidRPr="000B49C6">
              <w:rPr>
                <w:b/>
                <w:szCs w:val="20"/>
              </w:rPr>
              <w:t xml:space="preserve">Bez + </w:t>
            </w:r>
            <w:proofErr w:type="spellStart"/>
            <w:r w:rsidR="0039084C" w:rsidRPr="000B49C6">
              <w:rPr>
                <w:b/>
                <w:szCs w:val="20"/>
              </w:rPr>
              <w:t>SoC</w:t>
            </w:r>
            <w:proofErr w:type="spellEnd"/>
          </w:p>
        </w:tc>
        <w:tc>
          <w:tcPr>
            <w:tcW w:w="473" w:type="pct"/>
            <w:vMerge w:val="restart"/>
            <w:shd w:val="clear" w:color="auto" w:fill="auto"/>
            <w:vAlign w:val="center"/>
          </w:tcPr>
          <w:p w:rsidR="00A429F3" w:rsidRPr="000B49C6" w:rsidRDefault="0039084C" w:rsidP="00D370B3">
            <w:pPr>
              <w:pStyle w:val="TableText0"/>
              <w:spacing w:before="0" w:after="0"/>
              <w:jc w:val="center"/>
              <w:rPr>
                <w:b/>
                <w:szCs w:val="20"/>
              </w:rPr>
            </w:pPr>
            <w:proofErr w:type="spellStart"/>
            <w:r w:rsidRPr="000B49C6">
              <w:rPr>
                <w:b/>
                <w:szCs w:val="20"/>
              </w:rPr>
              <w:t>SoC</w:t>
            </w:r>
            <w:proofErr w:type="spellEnd"/>
          </w:p>
        </w:tc>
        <w:tc>
          <w:tcPr>
            <w:tcW w:w="792" w:type="pct"/>
            <w:vMerge w:val="restart"/>
            <w:shd w:val="clear" w:color="auto" w:fill="auto"/>
            <w:vAlign w:val="center"/>
          </w:tcPr>
          <w:p w:rsidR="00A429F3" w:rsidRPr="000B49C6" w:rsidRDefault="00A429F3" w:rsidP="00D370B3">
            <w:pPr>
              <w:pStyle w:val="TableText0"/>
              <w:spacing w:before="0" w:after="0"/>
              <w:jc w:val="center"/>
              <w:rPr>
                <w:b/>
                <w:szCs w:val="20"/>
              </w:rPr>
            </w:pPr>
            <w:r w:rsidRPr="000B49C6">
              <w:rPr>
                <w:b/>
                <w:szCs w:val="20"/>
              </w:rPr>
              <w:t>RR</w:t>
            </w:r>
          </w:p>
          <w:p w:rsidR="00A429F3" w:rsidRPr="000B49C6" w:rsidRDefault="00A429F3" w:rsidP="00D370B3">
            <w:pPr>
              <w:pStyle w:val="TableText0"/>
              <w:spacing w:before="0" w:after="0"/>
              <w:jc w:val="center"/>
              <w:rPr>
                <w:b/>
                <w:szCs w:val="20"/>
              </w:rPr>
            </w:pPr>
            <w:r w:rsidRPr="000B49C6">
              <w:rPr>
                <w:b/>
                <w:szCs w:val="20"/>
              </w:rPr>
              <w:t>(95% CI)</w:t>
            </w:r>
          </w:p>
        </w:tc>
        <w:tc>
          <w:tcPr>
            <w:tcW w:w="1070" w:type="pct"/>
            <w:gridSpan w:val="2"/>
            <w:shd w:val="clear" w:color="auto" w:fill="auto"/>
            <w:vAlign w:val="center"/>
          </w:tcPr>
          <w:p w:rsidR="00A429F3" w:rsidRPr="000B49C6" w:rsidRDefault="00A429F3" w:rsidP="00D370B3">
            <w:pPr>
              <w:pStyle w:val="TableText0"/>
              <w:spacing w:before="0" w:after="0"/>
              <w:jc w:val="center"/>
              <w:rPr>
                <w:b/>
                <w:szCs w:val="20"/>
              </w:rPr>
            </w:pPr>
            <w:r w:rsidRPr="000B49C6">
              <w:rPr>
                <w:b/>
                <w:szCs w:val="20"/>
              </w:rPr>
              <w:t xml:space="preserve">Events/100 </w:t>
            </w:r>
            <w:proofErr w:type="spellStart"/>
            <w:r w:rsidRPr="000B49C6">
              <w:rPr>
                <w:b/>
                <w:szCs w:val="20"/>
              </w:rPr>
              <w:t>patients</w:t>
            </w:r>
            <w:r w:rsidR="00CF0D84" w:rsidRPr="000B49C6">
              <w:rPr>
                <w:b/>
                <w:szCs w:val="20"/>
                <w:vertAlign w:val="superscript"/>
              </w:rPr>
              <w:t>a</w:t>
            </w:r>
            <w:proofErr w:type="spellEnd"/>
          </w:p>
        </w:tc>
        <w:tc>
          <w:tcPr>
            <w:tcW w:w="862" w:type="pct"/>
            <w:vMerge w:val="restart"/>
            <w:shd w:val="clear" w:color="auto" w:fill="auto"/>
            <w:vAlign w:val="center"/>
          </w:tcPr>
          <w:p w:rsidR="00A429F3" w:rsidRPr="000B49C6" w:rsidRDefault="00A429F3" w:rsidP="00D370B3">
            <w:pPr>
              <w:pStyle w:val="TableText0"/>
              <w:spacing w:before="0" w:after="0"/>
              <w:jc w:val="center"/>
              <w:rPr>
                <w:b/>
                <w:szCs w:val="20"/>
              </w:rPr>
            </w:pPr>
            <w:r w:rsidRPr="000B49C6">
              <w:rPr>
                <w:b/>
                <w:szCs w:val="20"/>
              </w:rPr>
              <w:t>RD</w:t>
            </w:r>
          </w:p>
          <w:p w:rsidR="00A429F3" w:rsidRPr="000B49C6" w:rsidRDefault="00A429F3" w:rsidP="00D370B3">
            <w:pPr>
              <w:pStyle w:val="TableText0"/>
              <w:spacing w:before="0" w:after="0"/>
              <w:jc w:val="center"/>
              <w:rPr>
                <w:b/>
                <w:szCs w:val="20"/>
              </w:rPr>
            </w:pPr>
            <w:r w:rsidRPr="000B49C6">
              <w:rPr>
                <w:b/>
                <w:szCs w:val="20"/>
              </w:rPr>
              <w:t>(95% CI)</w:t>
            </w:r>
          </w:p>
        </w:tc>
      </w:tr>
      <w:tr w:rsidR="00AF78C0" w:rsidRPr="000B49C6" w:rsidTr="00F014C7">
        <w:trPr>
          <w:trHeight w:val="129"/>
        </w:trPr>
        <w:tc>
          <w:tcPr>
            <w:tcW w:w="1248" w:type="pct"/>
            <w:vMerge/>
            <w:shd w:val="clear" w:color="auto" w:fill="auto"/>
            <w:vAlign w:val="center"/>
          </w:tcPr>
          <w:p w:rsidR="00A429F3" w:rsidRPr="000B49C6" w:rsidRDefault="00A429F3" w:rsidP="00D370B3">
            <w:pPr>
              <w:pStyle w:val="TableText0"/>
              <w:spacing w:before="0" w:after="0"/>
              <w:rPr>
                <w:szCs w:val="20"/>
              </w:rPr>
            </w:pPr>
          </w:p>
        </w:tc>
        <w:tc>
          <w:tcPr>
            <w:tcW w:w="555" w:type="pct"/>
            <w:vMerge/>
            <w:shd w:val="clear" w:color="auto" w:fill="auto"/>
            <w:vAlign w:val="center"/>
          </w:tcPr>
          <w:p w:rsidR="00A429F3" w:rsidRPr="000B49C6" w:rsidRDefault="00A429F3" w:rsidP="00D370B3">
            <w:pPr>
              <w:pStyle w:val="TableText0"/>
              <w:spacing w:before="0" w:after="0"/>
              <w:rPr>
                <w:szCs w:val="20"/>
              </w:rPr>
            </w:pPr>
          </w:p>
        </w:tc>
        <w:tc>
          <w:tcPr>
            <w:tcW w:w="473" w:type="pct"/>
            <w:vMerge/>
            <w:shd w:val="clear" w:color="auto" w:fill="auto"/>
            <w:vAlign w:val="center"/>
          </w:tcPr>
          <w:p w:rsidR="00A429F3" w:rsidRPr="000B49C6" w:rsidRDefault="00A429F3" w:rsidP="00D370B3">
            <w:pPr>
              <w:pStyle w:val="TableText0"/>
              <w:spacing w:before="0" w:after="0"/>
              <w:rPr>
                <w:szCs w:val="20"/>
              </w:rPr>
            </w:pPr>
          </w:p>
        </w:tc>
        <w:tc>
          <w:tcPr>
            <w:tcW w:w="792" w:type="pct"/>
            <w:vMerge/>
            <w:shd w:val="clear" w:color="auto" w:fill="auto"/>
            <w:vAlign w:val="center"/>
          </w:tcPr>
          <w:p w:rsidR="00A429F3" w:rsidRPr="000B49C6" w:rsidRDefault="00A429F3" w:rsidP="00D370B3">
            <w:pPr>
              <w:pStyle w:val="TableText0"/>
              <w:spacing w:before="0" w:after="0"/>
              <w:rPr>
                <w:szCs w:val="20"/>
              </w:rPr>
            </w:pPr>
          </w:p>
        </w:tc>
        <w:tc>
          <w:tcPr>
            <w:tcW w:w="573" w:type="pct"/>
            <w:shd w:val="clear" w:color="auto" w:fill="auto"/>
            <w:vAlign w:val="center"/>
          </w:tcPr>
          <w:p w:rsidR="00A429F3" w:rsidRPr="000B49C6" w:rsidRDefault="00A429F3" w:rsidP="00D370B3">
            <w:pPr>
              <w:pStyle w:val="TableText0"/>
              <w:spacing w:before="0" w:after="0"/>
              <w:jc w:val="center"/>
              <w:rPr>
                <w:b/>
                <w:szCs w:val="20"/>
              </w:rPr>
            </w:pPr>
            <w:r w:rsidRPr="000B49C6">
              <w:rPr>
                <w:b/>
                <w:szCs w:val="20"/>
              </w:rPr>
              <w:t xml:space="preserve">Bez + </w:t>
            </w:r>
            <w:proofErr w:type="spellStart"/>
            <w:r w:rsidR="0039084C" w:rsidRPr="000B49C6">
              <w:rPr>
                <w:b/>
                <w:szCs w:val="20"/>
              </w:rPr>
              <w:t>SoC</w:t>
            </w:r>
            <w:proofErr w:type="spellEnd"/>
          </w:p>
        </w:tc>
        <w:tc>
          <w:tcPr>
            <w:tcW w:w="497" w:type="pct"/>
            <w:shd w:val="clear" w:color="auto" w:fill="auto"/>
            <w:vAlign w:val="center"/>
          </w:tcPr>
          <w:p w:rsidR="00A429F3" w:rsidRPr="000B49C6" w:rsidRDefault="0039084C" w:rsidP="00D370B3">
            <w:pPr>
              <w:pStyle w:val="TableText0"/>
              <w:spacing w:before="0" w:after="0"/>
              <w:jc w:val="center"/>
              <w:rPr>
                <w:b/>
                <w:szCs w:val="20"/>
              </w:rPr>
            </w:pPr>
            <w:proofErr w:type="spellStart"/>
            <w:r w:rsidRPr="000B49C6">
              <w:rPr>
                <w:b/>
                <w:szCs w:val="20"/>
              </w:rPr>
              <w:t>SoC</w:t>
            </w:r>
            <w:proofErr w:type="spellEnd"/>
          </w:p>
        </w:tc>
        <w:tc>
          <w:tcPr>
            <w:tcW w:w="862" w:type="pct"/>
            <w:vMerge/>
            <w:shd w:val="clear" w:color="auto" w:fill="auto"/>
            <w:vAlign w:val="center"/>
          </w:tcPr>
          <w:p w:rsidR="00A429F3" w:rsidRPr="000B49C6" w:rsidRDefault="00A429F3" w:rsidP="00D370B3">
            <w:pPr>
              <w:pStyle w:val="TableText0"/>
              <w:spacing w:before="0" w:after="0"/>
              <w:rPr>
                <w:szCs w:val="20"/>
              </w:rPr>
            </w:pPr>
          </w:p>
        </w:tc>
      </w:tr>
      <w:tr w:rsidR="00A429F3" w:rsidRPr="000B49C6" w:rsidTr="00AF78C0">
        <w:tc>
          <w:tcPr>
            <w:tcW w:w="5000" w:type="pct"/>
            <w:gridSpan w:val="7"/>
            <w:shd w:val="clear" w:color="auto" w:fill="auto"/>
            <w:vAlign w:val="center"/>
          </w:tcPr>
          <w:p w:rsidR="00A429F3" w:rsidRPr="000B49C6" w:rsidRDefault="00A429F3" w:rsidP="00D370B3">
            <w:pPr>
              <w:pStyle w:val="TableText0"/>
              <w:spacing w:before="0" w:after="0"/>
              <w:rPr>
                <w:b/>
                <w:szCs w:val="20"/>
              </w:rPr>
            </w:pPr>
            <w:r w:rsidRPr="000B49C6">
              <w:rPr>
                <w:b/>
                <w:szCs w:val="20"/>
              </w:rPr>
              <w:t>Infusion specific adverse events (e.g. nausea, dizziness, headache, fatigue and pyrexia)</w:t>
            </w:r>
          </w:p>
        </w:tc>
      </w:tr>
      <w:tr w:rsidR="00AF78C0" w:rsidRPr="000B49C6" w:rsidTr="00F014C7">
        <w:tc>
          <w:tcPr>
            <w:tcW w:w="1248" w:type="pct"/>
            <w:shd w:val="clear" w:color="auto" w:fill="auto"/>
            <w:vAlign w:val="center"/>
          </w:tcPr>
          <w:p w:rsidR="00AF78C0" w:rsidRPr="000B49C6" w:rsidRDefault="00A429F3" w:rsidP="00AF78C0">
            <w:pPr>
              <w:pStyle w:val="TableText0"/>
              <w:spacing w:before="0" w:after="0"/>
              <w:rPr>
                <w:szCs w:val="20"/>
              </w:rPr>
            </w:pPr>
            <w:r w:rsidRPr="000B49C6">
              <w:rPr>
                <w:szCs w:val="20"/>
              </w:rPr>
              <w:t xml:space="preserve">MODIFY I and II </w:t>
            </w:r>
          </w:p>
          <w:p w:rsidR="00A429F3" w:rsidRPr="000B49C6" w:rsidRDefault="00AF78C0" w:rsidP="00AF78C0">
            <w:pPr>
              <w:pStyle w:val="TableText0"/>
              <w:spacing w:before="0" w:after="0"/>
              <w:rPr>
                <w:szCs w:val="20"/>
              </w:rPr>
            </w:pPr>
            <w:r w:rsidRPr="000B49C6">
              <w:rPr>
                <w:szCs w:val="20"/>
              </w:rPr>
              <w:t xml:space="preserve">total population </w:t>
            </w:r>
            <w:r w:rsidR="00A429F3" w:rsidRPr="000B49C6">
              <w:rPr>
                <w:szCs w:val="20"/>
              </w:rPr>
              <w:t>(pooled)</w:t>
            </w:r>
          </w:p>
        </w:tc>
        <w:tc>
          <w:tcPr>
            <w:tcW w:w="555" w:type="pct"/>
            <w:shd w:val="clear" w:color="auto" w:fill="D9D9D9" w:themeFill="background1" w:themeFillShade="D9"/>
            <w:vAlign w:val="center"/>
          </w:tcPr>
          <w:p w:rsidR="00A429F3" w:rsidRPr="000B49C6" w:rsidRDefault="00A429F3" w:rsidP="00D370B3">
            <w:pPr>
              <w:pStyle w:val="TableText0"/>
              <w:spacing w:before="0" w:after="0"/>
              <w:jc w:val="center"/>
              <w:rPr>
                <w:szCs w:val="20"/>
              </w:rPr>
            </w:pPr>
            <w:r w:rsidRPr="000B49C6">
              <w:rPr>
                <w:szCs w:val="20"/>
              </w:rPr>
              <w:t>81/786 (10)</w:t>
            </w:r>
          </w:p>
        </w:tc>
        <w:tc>
          <w:tcPr>
            <w:tcW w:w="473" w:type="pct"/>
            <w:shd w:val="clear" w:color="auto" w:fill="D9D9D9" w:themeFill="background1" w:themeFillShade="D9"/>
            <w:vAlign w:val="center"/>
          </w:tcPr>
          <w:p w:rsidR="00A429F3" w:rsidRPr="000B49C6" w:rsidRDefault="00A429F3" w:rsidP="00D370B3">
            <w:pPr>
              <w:pStyle w:val="TableText0"/>
              <w:spacing w:before="0" w:after="0"/>
              <w:jc w:val="center"/>
              <w:rPr>
                <w:szCs w:val="20"/>
                <w:vertAlign w:val="superscript"/>
              </w:rPr>
            </w:pPr>
            <w:r w:rsidRPr="000B49C6">
              <w:rPr>
                <w:szCs w:val="20"/>
              </w:rPr>
              <w:t>0/781</w:t>
            </w:r>
            <w:r w:rsidRPr="000B49C6">
              <w:rPr>
                <w:szCs w:val="20"/>
                <w:vertAlign w:val="superscript"/>
              </w:rPr>
              <w:t>b</w:t>
            </w:r>
          </w:p>
        </w:tc>
        <w:tc>
          <w:tcPr>
            <w:tcW w:w="792" w:type="pct"/>
            <w:shd w:val="clear" w:color="auto" w:fill="D9D9D9" w:themeFill="background1" w:themeFillShade="D9"/>
            <w:vAlign w:val="center"/>
          </w:tcPr>
          <w:p w:rsidR="00A429F3" w:rsidRPr="000B49C6" w:rsidRDefault="00A429F3" w:rsidP="00D370B3">
            <w:pPr>
              <w:pStyle w:val="TableText0"/>
              <w:spacing w:before="0" w:after="0"/>
              <w:jc w:val="center"/>
              <w:rPr>
                <w:b/>
                <w:bCs/>
                <w:iCs/>
                <w:szCs w:val="20"/>
              </w:rPr>
            </w:pPr>
            <w:r w:rsidRPr="000B49C6">
              <w:rPr>
                <w:b/>
                <w:bCs/>
                <w:iCs/>
                <w:szCs w:val="20"/>
              </w:rPr>
              <w:t>162.0 (21,NA)</w:t>
            </w:r>
            <w:r w:rsidR="007507AC">
              <w:rPr>
                <w:b/>
                <w:bCs/>
                <w:iCs/>
                <w:szCs w:val="20"/>
              </w:rPr>
              <w:t>*</w:t>
            </w:r>
          </w:p>
        </w:tc>
        <w:tc>
          <w:tcPr>
            <w:tcW w:w="573" w:type="pct"/>
            <w:shd w:val="clear" w:color="auto" w:fill="D9D9D9" w:themeFill="background1" w:themeFillShade="D9"/>
            <w:vAlign w:val="center"/>
          </w:tcPr>
          <w:p w:rsidR="00A429F3" w:rsidRPr="000B49C6" w:rsidRDefault="00A429F3" w:rsidP="00D370B3">
            <w:pPr>
              <w:pStyle w:val="TableText0"/>
              <w:spacing w:before="0" w:after="0"/>
              <w:jc w:val="center"/>
              <w:rPr>
                <w:szCs w:val="20"/>
              </w:rPr>
            </w:pPr>
            <w:r w:rsidRPr="000B49C6">
              <w:rPr>
                <w:szCs w:val="20"/>
              </w:rPr>
              <w:t>10.3</w:t>
            </w:r>
          </w:p>
        </w:tc>
        <w:tc>
          <w:tcPr>
            <w:tcW w:w="497" w:type="pct"/>
            <w:shd w:val="clear" w:color="auto" w:fill="D9D9D9" w:themeFill="background1" w:themeFillShade="D9"/>
            <w:vAlign w:val="center"/>
          </w:tcPr>
          <w:p w:rsidR="00A429F3" w:rsidRPr="000B49C6" w:rsidRDefault="00A429F3" w:rsidP="00D370B3">
            <w:pPr>
              <w:pStyle w:val="TableText0"/>
              <w:spacing w:before="0" w:after="0"/>
              <w:jc w:val="center"/>
              <w:rPr>
                <w:szCs w:val="20"/>
              </w:rPr>
            </w:pPr>
            <w:r w:rsidRPr="000B49C6">
              <w:rPr>
                <w:szCs w:val="20"/>
              </w:rPr>
              <w:t>0</w:t>
            </w:r>
          </w:p>
        </w:tc>
        <w:tc>
          <w:tcPr>
            <w:tcW w:w="862" w:type="pct"/>
            <w:shd w:val="clear" w:color="auto" w:fill="D9D9D9" w:themeFill="background1" w:themeFillShade="D9"/>
            <w:vAlign w:val="center"/>
          </w:tcPr>
          <w:p w:rsidR="00A429F3" w:rsidRPr="000B49C6" w:rsidRDefault="00A429F3" w:rsidP="00D370B3">
            <w:pPr>
              <w:pStyle w:val="TableText0"/>
              <w:spacing w:before="0" w:after="0"/>
              <w:jc w:val="center"/>
              <w:rPr>
                <w:b/>
                <w:bCs/>
                <w:iCs/>
                <w:szCs w:val="20"/>
              </w:rPr>
            </w:pPr>
            <w:r w:rsidRPr="000B49C6">
              <w:rPr>
                <w:b/>
                <w:bCs/>
                <w:iCs/>
                <w:szCs w:val="20"/>
              </w:rPr>
              <w:t>10</w:t>
            </w:r>
            <w:r w:rsidR="00624300" w:rsidRPr="000B49C6">
              <w:rPr>
                <w:b/>
                <w:bCs/>
                <w:iCs/>
                <w:szCs w:val="20"/>
              </w:rPr>
              <w:t>.0</w:t>
            </w:r>
            <w:r w:rsidRPr="000B49C6">
              <w:rPr>
                <w:b/>
                <w:bCs/>
                <w:iCs/>
                <w:szCs w:val="20"/>
              </w:rPr>
              <w:t xml:space="preserve"> (8.3,12.6)</w:t>
            </w:r>
            <w:r w:rsidR="007507AC">
              <w:rPr>
                <w:b/>
                <w:bCs/>
                <w:iCs/>
                <w:szCs w:val="20"/>
              </w:rPr>
              <w:t>*</w:t>
            </w:r>
          </w:p>
        </w:tc>
      </w:tr>
    </w:tbl>
    <w:p w:rsidR="00A429F3" w:rsidRPr="000B49C6" w:rsidRDefault="00A429F3" w:rsidP="00A429F3">
      <w:pPr>
        <w:pStyle w:val="TableFooter"/>
        <w:rPr>
          <w:szCs w:val="18"/>
        </w:rPr>
      </w:pPr>
      <w:r w:rsidRPr="000B49C6">
        <w:rPr>
          <w:szCs w:val="18"/>
        </w:rPr>
        <w:t>Abbreviations: Bez=</w:t>
      </w:r>
      <w:proofErr w:type="spellStart"/>
      <w:r w:rsidRPr="000B49C6">
        <w:rPr>
          <w:szCs w:val="18"/>
        </w:rPr>
        <w:t>bezlotoxumab</w:t>
      </w:r>
      <w:proofErr w:type="spellEnd"/>
      <w:r w:rsidRPr="000B49C6">
        <w:rPr>
          <w:szCs w:val="18"/>
        </w:rPr>
        <w:t xml:space="preserve">; </w:t>
      </w:r>
      <w:proofErr w:type="spellStart"/>
      <w:r w:rsidR="0039084C" w:rsidRPr="000B49C6">
        <w:rPr>
          <w:szCs w:val="18"/>
        </w:rPr>
        <w:t>SoC</w:t>
      </w:r>
      <w:proofErr w:type="spellEnd"/>
      <w:r w:rsidRPr="000B49C6">
        <w:rPr>
          <w:szCs w:val="18"/>
        </w:rPr>
        <w:t>=standard of care antibiotics; RD=risk difference; RR=risk ratio; NA=not applicable</w:t>
      </w:r>
    </w:p>
    <w:p w:rsidR="00AF78C0" w:rsidRPr="000B49C6" w:rsidRDefault="00AF78C0" w:rsidP="00A429F3">
      <w:pPr>
        <w:pStyle w:val="TableFooter"/>
        <w:rPr>
          <w:szCs w:val="18"/>
        </w:rPr>
      </w:pPr>
      <w:r w:rsidRPr="000B49C6">
        <w:rPr>
          <w:szCs w:val="18"/>
        </w:rPr>
        <w:t>^</w:t>
      </w:r>
      <w:r w:rsidRPr="000B49C6">
        <w:t xml:space="preserve"> </w:t>
      </w:r>
      <w:r w:rsidRPr="000B49C6">
        <w:rPr>
          <w:szCs w:val="18"/>
        </w:rPr>
        <w:t>Including: Age ≥65 years</w:t>
      </w:r>
      <w:proofErr w:type="gramStart"/>
      <w:r w:rsidRPr="000B49C6">
        <w:rPr>
          <w:szCs w:val="18"/>
        </w:rPr>
        <w:t>,  ≥</w:t>
      </w:r>
      <w:proofErr w:type="gramEnd"/>
      <w:r w:rsidRPr="000B49C6">
        <w:rPr>
          <w:szCs w:val="18"/>
        </w:rPr>
        <w:t>1 CDI episode in past 6 months, Immunocompromised,</w:t>
      </w:r>
      <w:r w:rsidR="00383142" w:rsidRPr="000B49C6">
        <w:rPr>
          <w:szCs w:val="18"/>
        </w:rPr>
        <w:t xml:space="preserve"> </w:t>
      </w:r>
      <w:r w:rsidRPr="000B49C6">
        <w:rPr>
          <w:szCs w:val="18"/>
        </w:rPr>
        <w:t xml:space="preserve">Severe CDI; </w:t>
      </w:r>
      <w:proofErr w:type="spellStart"/>
      <w:r w:rsidRPr="000B49C6">
        <w:rPr>
          <w:szCs w:val="18"/>
        </w:rPr>
        <w:t>Zar</w:t>
      </w:r>
      <w:proofErr w:type="spellEnd"/>
      <w:r w:rsidRPr="000B49C6">
        <w:rPr>
          <w:szCs w:val="18"/>
        </w:rPr>
        <w:t xml:space="preserve"> score ≥2, 027, 078 or 244 strain</w:t>
      </w:r>
    </w:p>
    <w:p w:rsidR="00A429F3" w:rsidRPr="000B49C6" w:rsidRDefault="00A429F3" w:rsidP="00A429F3">
      <w:pPr>
        <w:pStyle w:val="TableFooter"/>
        <w:rPr>
          <w:szCs w:val="18"/>
        </w:rPr>
      </w:pPr>
      <w:proofErr w:type="spellStart"/>
      <w:proofErr w:type="gramStart"/>
      <w:r w:rsidRPr="000B49C6">
        <w:rPr>
          <w:szCs w:val="18"/>
          <w:vertAlign w:val="superscript"/>
        </w:rPr>
        <w:t>a</w:t>
      </w:r>
      <w:proofErr w:type="spellEnd"/>
      <w:proofErr w:type="gramEnd"/>
      <w:r w:rsidRPr="000B49C6">
        <w:rPr>
          <w:szCs w:val="18"/>
          <w:vertAlign w:val="superscript"/>
        </w:rPr>
        <w:tab/>
      </w:r>
      <w:r w:rsidRPr="000B49C6">
        <w:rPr>
          <w:szCs w:val="18"/>
        </w:rPr>
        <w:t>At 12 weeks of follow-up for all trials</w:t>
      </w:r>
    </w:p>
    <w:p w:rsidR="00A429F3" w:rsidRPr="000B49C6" w:rsidRDefault="00A429F3" w:rsidP="00A429F3">
      <w:pPr>
        <w:pStyle w:val="TableFooter"/>
        <w:rPr>
          <w:szCs w:val="18"/>
        </w:rPr>
      </w:pPr>
      <w:proofErr w:type="gramStart"/>
      <w:r w:rsidRPr="000B49C6">
        <w:rPr>
          <w:szCs w:val="18"/>
          <w:vertAlign w:val="superscript"/>
        </w:rPr>
        <w:t>b</w:t>
      </w:r>
      <w:proofErr w:type="gramEnd"/>
      <w:r w:rsidRPr="000B49C6">
        <w:rPr>
          <w:szCs w:val="18"/>
          <w:vertAlign w:val="superscript"/>
        </w:rPr>
        <w:tab/>
      </w:r>
      <w:r w:rsidRPr="000B49C6">
        <w:rPr>
          <w:szCs w:val="18"/>
        </w:rPr>
        <w:t>Comparator in practice is no treatment therefore do not expect any infusion related adverse events</w:t>
      </w:r>
    </w:p>
    <w:p w:rsidR="00A429F3" w:rsidRPr="000B49C6" w:rsidRDefault="007507AC" w:rsidP="00A429F3">
      <w:pPr>
        <w:pStyle w:val="TableFooter"/>
        <w:rPr>
          <w:szCs w:val="18"/>
        </w:rPr>
      </w:pPr>
      <w:r w:rsidRPr="007507AC">
        <w:rPr>
          <w:szCs w:val="18"/>
        </w:rPr>
        <w:t>*</w:t>
      </w:r>
      <w:r w:rsidR="00A429F3" w:rsidRPr="007507AC">
        <w:rPr>
          <w:szCs w:val="18"/>
        </w:rPr>
        <w:t xml:space="preserve"> </w:t>
      </w:r>
      <w:proofErr w:type="gramStart"/>
      <w:r w:rsidR="00A429F3" w:rsidRPr="007507AC">
        <w:rPr>
          <w:szCs w:val="18"/>
        </w:rPr>
        <w:t>values</w:t>
      </w:r>
      <w:proofErr w:type="gramEnd"/>
      <w:r w:rsidR="00A429F3" w:rsidRPr="007507AC">
        <w:rPr>
          <w:szCs w:val="18"/>
        </w:rPr>
        <w:t xml:space="preserve"> calculated during evaluation</w:t>
      </w:r>
      <w:r w:rsidR="00A429F3" w:rsidRPr="000B49C6">
        <w:rPr>
          <w:szCs w:val="18"/>
        </w:rPr>
        <w:t xml:space="preserve"> </w:t>
      </w:r>
    </w:p>
    <w:p w:rsidR="00A429F3" w:rsidRPr="000B49C6" w:rsidRDefault="00A429F3" w:rsidP="00A429F3">
      <w:pPr>
        <w:pStyle w:val="TableFooter"/>
        <w:rPr>
          <w:sz w:val="16"/>
        </w:rPr>
      </w:pPr>
      <w:r w:rsidRPr="000B49C6">
        <w:rPr>
          <w:szCs w:val="18"/>
        </w:rPr>
        <w:t xml:space="preserve">Source: Compiled during the evaluation using data from Table 11-1, p206 MODIFY I CSR, Table 11-1, p211 MODIFY II CSR, Table 2.7.3-rcdi: 19, p87 and table 2.7.3-rcdi: 23, p97 CSR RCDI, Tables S5 to S8 of the supplementary Appendix to the published report (Wilcox </w:t>
      </w:r>
      <w:r w:rsidR="00CC5D6C" w:rsidRPr="00CC5D6C">
        <w:rPr>
          <w:i/>
          <w:szCs w:val="18"/>
        </w:rPr>
        <w:t>et. al.</w:t>
      </w:r>
      <w:r w:rsidRPr="000B49C6">
        <w:rPr>
          <w:szCs w:val="18"/>
        </w:rPr>
        <w:t xml:space="preserve"> 2017) and Tables 2-32-34, pp74-77 of the resubmission</w:t>
      </w:r>
      <w:r w:rsidR="00991401">
        <w:rPr>
          <w:szCs w:val="18"/>
        </w:rPr>
        <w:t xml:space="preserve">. </w:t>
      </w:r>
      <w:r w:rsidRPr="000B49C6">
        <w:rPr>
          <w:szCs w:val="18"/>
        </w:rPr>
        <w:t xml:space="preserve">Table 2.2-1, p7 of Appendix 7 of the resubmission and </w:t>
      </w:r>
      <w:proofErr w:type="spellStart"/>
      <w:r w:rsidRPr="000B49C6">
        <w:rPr>
          <w:szCs w:val="18"/>
        </w:rPr>
        <w:t>Gerding</w:t>
      </w:r>
      <w:proofErr w:type="spellEnd"/>
      <w:r w:rsidRPr="000B49C6">
        <w:rPr>
          <w:szCs w:val="18"/>
        </w:rPr>
        <w:t xml:space="preserve"> </w:t>
      </w:r>
      <w:proofErr w:type="gramStart"/>
      <w:r w:rsidR="00CC5D6C" w:rsidRPr="00CC5D6C">
        <w:rPr>
          <w:i/>
          <w:szCs w:val="18"/>
        </w:rPr>
        <w:t>et</w:t>
      </w:r>
      <w:proofErr w:type="gramEnd"/>
      <w:r w:rsidR="00CC5D6C" w:rsidRPr="00CC5D6C">
        <w:rPr>
          <w:i/>
          <w:szCs w:val="18"/>
        </w:rPr>
        <w:t xml:space="preserve">. </w:t>
      </w:r>
      <w:proofErr w:type="gramStart"/>
      <w:r w:rsidR="00CC5D6C" w:rsidRPr="00CC5D6C">
        <w:rPr>
          <w:i/>
          <w:szCs w:val="18"/>
        </w:rPr>
        <w:t>al.</w:t>
      </w:r>
      <w:r w:rsidRPr="000B49C6">
        <w:rPr>
          <w:szCs w:val="18"/>
        </w:rPr>
        <w:t xml:space="preserve"> 2018 (for the high risk group).</w:t>
      </w:r>
      <w:proofErr w:type="gramEnd"/>
    </w:p>
    <w:p w:rsidR="00A429F3" w:rsidRPr="000B49C6" w:rsidRDefault="00A429F3" w:rsidP="00A429F3">
      <w:pPr>
        <w:widowControl/>
      </w:pPr>
    </w:p>
    <w:p w:rsidR="00E6721E" w:rsidRPr="000B49C6" w:rsidRDefault="00A429F3" w:rsidP="00E6721E">
      <w:pPr>
        <w:pStyle w:val="ListParagraph"/>
        <w:widowControl/>
        <w:numPr>
          <w:ilvl w:val="1"/>
          <w:numId w:val="3"/>
        </w:numPr>
      </w:pPr>
      <w:r w:rsidRPr="000B49C6">
        <w:t xml:space="preserve">On the basis of direct evidence presented by the resubmission, for every 100 </w:t>
      </w:r>
      <w:r w:rsidR="00E6721E" w:rsidRPr="000B49C6">
        <w:t xml:space="preserve">high risk </w:t>
      </w:r>
      <w:r w:rsidRPr="000B49C6">
        <w:t xml:space="preserve">patients </w:t>
      </w:r>
      <w:r w:rsidR="00E6721E" w:rsidRPr="000B49C6">
        <w:t xml:space="preserve">treated </w:t>
      </w:r>
      <w:proofErr w:type="spellStart"/>
      <w:r w:rsidR="00E6721E" w:rsidRPr="000B49C6">
        <w:t>bezlotoxumab</w:t>
      </w:r>
      <w:proofErr w:type="spellEnd"/>
      <w:r w:rsidR="00E6721E" w:rsidRPr="000B49C6">
        <w:t xml:space="preserve"> plus </w:t>
      </w:r>
      <w:proofErr w:type="spellStart"/>
      <w:r w:rsidR="0039084C" w:rsidRPr="000B49C6">
        <w:t>SoC</w:t>
      </w:r>
      <w:proofErr w:type="spellEnd"/>
      <w:r w:rsidR="00E6721E" w:rsidRPr="000B49C6">
        <w:t xml:space="preserve"> versus </w:t>
      </w:r>
      <w:proofErr w:type="spellStart"/>
      <w:r w:rsidR="0039084C" w:rsidRPr="000B49C6">
        <w:t>SoC</w:t>
      </w:r>
      <w:proofErr w:type="spellEnd"/>
      <w:r w:rsidR="00E6721E" w:rsidRPr="000B49C6">
        <w:t xml:space="preserve"> alone:</w:t>
      </w:r>
    </w:p>
    <w:p w:rsidR="00A429F3" w:rsidRPr="000B49C6" w:rsidRDefault="00A429F3" w:rsidP="00E6721E">
      <w:pPr>
        <w:pStyle w:val="ListParagraph"/>
        <w:widowControl/>
        <w:numPr>
          <w:ilvl w:val="0"/>
          <w:numId w:val="2"/>
        </w:numPr>
        <w:spacing w:after="0"/>
        <w:ind w:left="993" w:hanging="284"/>
      </w:pPr>
      <w:r w:rsidRPr="000B49C6">
        <w:t>Approximately 13 fewer patients would have CDI recurrence</w:t>
      </w:r>
      <w:r w:rsidR="0055462C" w:rsidRPr="000B49C6">
        <w:t xml:space="preserve"> (17 vs 30)</w:t>
      </w:r>
      <w:r w:rsidRPr="000B49C6">
        <w:t>;</w:t>
      </w:r>
    </w:p>
    <w:p w:rsidR="0055462C" w:rsidRPr="000B49C6" w:rsidRDefault="00A429F3" w:rsidP="00E6721E">
      <w:pPr>
        <w:pStyle w:val="ListParagraph"/>
        <w:widowControl/>
        <w:numPr>
          <w:ilvl w:val="0"/>
          <w:numId w:val="2"/>
        </w:numPr>
        <w:spacing w:after="0"/>
        <w:ind w:left="993" w:hanging="284"/>
      </w:pPr>
      <w:r w:rsidRPr="000B49C6">
        <w:t>Approximately 12 more patients would achieve global cure (clinical cure of initial CDI episode plus no CDI recurrence)</w:t>
      </w:r>
      <w:r w:rsidR="0055462C" w:rsidRPr="000B49C6">
        <w:t xml:space="preserve"> (62 vs 50) </w:t>
      </w:r>
    </w:p>
    <w:p w:rsidR="0055462C" w:rsidRPr="000B49C6" w:rsidRDefault="0055462C" w:rsidP="0055462C">
      <w:pPr>
        <w:pStyle w:val="ListParagraph"/>
        <w:widowControl/>
        <w:spacing w:after="0"/>
        <w:ind w:left="993"/>
      </w:pPr>
    </w:p>
    <w:p w:rsidR="00A429F3" w:rsidRPr="000B49C6" w:rsidRDefault="0055462C" w:rsidP="0055462C">
      <w:pPr>
        <w:pStyle w:val="ListParagraph"/>
        <w:widowControl/>
        <w:spacing w:after="0"/>
        <w:ind w:left="709"/>
      </w:pPr>
      <w:r w:rsidRPr="000B49C6">
        <w:t>On the basis of direct evidence presented by the resubmission, for every 100 patients treated</w:t>
      </w:r>
      <w:r w:rsidR="00B36EEF" w:rsidRPr="000B49C6">
        <w:t xml:space="preserve"> with</w:t>
      </w:r>
      <w:r w:rsidRPr="000B49C6">
        <w:t xml:space="preserve"> </w:t>
      </w:r>
      <w:proofErr w:type="spellStart"/>
      <w:r w:rsidRPr="000B49C6">
        <w:t>bezlotoxumab</w:t>
      </w:r>
      <w:proofErr w:type="spellEnd"/>
      <w:r w:rsidRPr="000B49C6">
        <w:t xml:space="preserve"> plus </w:t>
      </w:r>
      <w:proofErr w:type="spellStart"/>
      <w:r w:rsidRPr="000B49C6">
        <w:t>SoC</w:t>
      </w:r>
      <w:proofErr w:type="spellEnd"/>
      <w:r w:rsidRPr="000B49C6">
        <w:t xml:space="preserve"> versus </w:t>
      </w:r>
      <w:proofErr w:type="spellStart"/>
      <w:r w:rsidRPr="000B49C6">
        <w:t>SoC</w:t>
      </w:r>
      <w:proofErr w:type="spellEnd"/>
      <w:r w:rsidRPr="000B49C6">
        <w:t xml:space="preserve"> alone:</w:t>
      </w:r>
    </w:p>
    <w:p w:rsidR="0055462C" w:rsidRPr="000B49C6" w:rsidRDefault="0055462C" w:rsidP="0055462C">
      <w:pPr>
        <w:pStyle w:val="ListParagraph"/>
        <w:widowControl/>
        <w:spacing w:after="0"/>
        <w:ind w:left="993"/>
      </w:pPr>
    </w:p>
    <w:p w:rsidR="00257A40" w:rsidRPr="000B49C6" w:rsidRDefault="00A429F3" w:rsidP="00257A40">
      <w:pPr>
        <w:pStyle w:val="ListParagraph"/>
        <w:widowControl/>
        <w:numPr>
          <w:ilvl w:val="0"/>
          <w:numId w:val="2"/>
        </w:numPr>
        <w:spacing w:after="0"/>
        <w:ind w:left="993" w:hanging="284"/>
      </w:pPr>
      <w:r w:rsidRPr="000B49C6">
        <w:t>Approximately 10 more patients would experience an infusion specific adverse event.</w:t>
      </w:r>
    </w:p>
    <w:p w:rsidR="00B60939" w:rsidRPr="000B49C6" w:rsidRDefault="00257A40" w:rsidP="00E03435">
      <w:pPr>
        <w:pStyle w:val="Heading2"/>
        <w:spacing w:before="240" w:after="120"/>
      </w:pPr>
      <w:bookmarkStart w:id="11" w:name="_Toc514248037"/>
      <w:r w:rsidRPr="005B2CC8">
        <w:t>Interpretation of clinical evidence</w:t>
      </w:r>
      <w:bookmarkEnd w:id="11"/>
    </w:p>
    <w:p w:rsidR="00257A40" w:rsidRPr="000B49C6" w:rsidRDefault="00257A40" w:rsidP="00597BF9">
      <w:pPr>
        <w:pStyle w:val="ListParagraph"/>
        <w:widowControl/>
        <w:numPr>
          <w:ilvl w:val="1"/>
          <w:numId w:val="3"/>
        </w:numPr>
      </w:pPr>
      <w:r w:rsidRPr="000B49C6">
        <w:t xml:space="preserve">The resubmission described </w:t>
      </w:r>
      <w:proofErr w:type="spellStart"/>
      <w:r w:rsidRPr="000B49C6">
        <w:t>bezlotoxumab</w:t>
      </w:r>
      <w:proofErr w:type="spellEnd"/>
      <w:r w:rsidRPr="000B49C6">
        <w:t xml:space="preserve"> plus </w:t>
      </w:r>
      <w:proofErr w:type="spellStart"/>
      <w:r w:rsidRPr="000B49C6">
        <w:t>SoC</w:t>
      </w:r>
      <w:proofErr w:type="spellEnd"/>
      <w:r w:rsidRPr="000B49C6">
        <w:t xml:space="preserve"> antibiotic treatment in patients with CDI as superior in efficacy for prevention of recurrence and non</w:t>
      </w:r>
      <w:r w:rsidR="00CC5D6C">
        <w:noBreakHyphen/>
      </w:r>
      <w:r w:rsidRPr="000B49C6">
        <w:t xml:space="preserve">inferior in safety compared to </w:t>
      </w:r>
      <w:proofErr w:type="spellStart"/>
      <w:r w:rsidRPr="000B49C6">
        <w:t>SoC</w:t>
      </w:r>
      <w:proofErr w:type="spellEnd"/>
      <w:r w:rsidRPr="000B49C6">
        <w:t xml:space="preserve"> antibiotics alone</w:t>
      </w:r>
      <w:r w:rsidR="00991401">
        <w:t xml:space="preserve">. </w:t>
      </w:r>
      <w:r w:rsidRPr="000B49C6">
        <w:rPr>
          <w:iCs/>
        </w:rPr>
        <w:t>This claim was unchanged from the November 2017 submission.</w:t>
      </w:r>
      <w:r w:rsidRPr="000B49C6">
        <w:rPr>
          <w:color w:val="3366FF"/>
        </w:rPr>
        <w:t xml:space="preserve"> </w:t>
      </w:r>
    </w:p>
    <w:p w:rsidR="00383142" w:rsidRPr="000B49C6" w:rsidRDefault="00257A40" w:rsidP="00620550">
      <w:pPr>
        <w:pStyle w:val="ListParagraph"/>
        <w:widowControl/>
        <w:numPr>
          <w:ilvl w:val="1"/>
          <w:numId w:val="3"/>
        </w:numPr>
      </w:pPr>
      <w:r w:rsidRPr="000B49C6">
        <w:rPr>
          <w:iCs/>
        </w:rPr>
        <w:lastRenderedPageBreak/>
        <w:t>The PBAC had previously considered that the claim of superior comparative effectiveness was supported by data</w:t>
      </w:r>
      <w:r w:rsidR="00805883" w:rsidRPr="000B49C6">
        <w:rPr>
          <w:iCs/>
        </w:rPr>
        <w:t>,</w:t>
      </w:r>
      <w:r w:rsidRPr="000B49C6">
        <w:rPr>
          <w:iCs/>
        </w:rPr>
        <w:t xml:space="preserve"> however, the overall benefit </w:t>
      </w:r>
      <w:r w:rsidR="00383142" w:rsidRPr="000B49C6">
        <w:rPr>
          <w:iCs/>
        </w:rPr>
        <w:t xml:space="preserve">remained </w:t>
      </w:r>
      <w:r w:rsidRPr="000B49C6">
        <w:rPr>
          <w:iCs/>
        </w:rPr>
        <w:t>modest and the clinical significance was unclear</w:t>
      </w:r>
      <w:r w:rsidR="00BA3D28">
        <w:rPr>
          <w:iCs/>
        </w:rPr>
        <w:t>,</w:t>
      </w:r>
      <w:r w:rsidR="00991401">
        <w:rPr>
          <w:iCs/>
        </w:rPr>
        <w:t xml:space="preserve"> </w:t>
      </w:r>
      <w:r w:rsidR="00CC5D6C">
        <w:rPr>
          <w:iCs/>
        </w:rPr>
        <w:t>despite limiting</w:t>
      </w:r>
      <w:r w:rsidR="00CC5D6C" w:rsidRPr="000B49C6">
        <w:rPr>
          <w:iCs/>
        </w:rPr>
        <w:t xml:space="preserve"> the indication to the group at high risk of </w:t>
      </w:r>
      <w:proofErr w:type="gramStart"/>
      <w:r w:rsidR="00CC5D6C" w:rsidRPr="000B49C6">
        <w:rPr>
          <w:iCs/>
        </w:rPr>
        <w:t xml:space="preserve">recurrence </w:t>
      </w:r>
      <w:r w:rsidR="0055462C" w:rsidRPr="000B49C6">
        <w:rPr>
          <w:iCs/>
        </w:rPr>
        <w:t>.</w:t>
      </w:r>
      <w:proofErr w:type="gramEnd"/>
      <w:r w:rsidR="0055462C" w:rsidRPr="000B49C6">
        <w:rPr>
          <w:iCs/>
        </w:rPr>
        <w:t xml:space="preserve"> </w:t>
      </w:r>
    </w:p>
    <w:p w:rsidR="00257A40" w:rsidRPr="003943AF" w:rsidRDefault="00257A40" w:rsidP="00620550">
      <w:pPr>
        <w:pStyle w:val="ListParagraph"/>
        <w:widowControl/>
        <w:numPr>
          <w:ilvl w:val="1"/>
          <w:numId w:val="3"/>
        </w:numPr>
      </w:pPr>
      <w:r w:rsidRPr="000B49C6">
        <w:rPr>
          <w:iCs/>
        </w:rPr>
        <w:t xml:space="preserve">The PBAC </w:t>
      </w:r>
      <w:r w:rsidR="00BA3D28">
        <w:rPr>
          <w:iCs/>
        </w:rPr>
        <w:t xml:space="preserve">recalled that it previously </w:t>
      </w:r>
      <w:r w:rsidRPr="000B49C6">
        <w:rPr>
          <w:iCs/>
        </w:rPr>
        <w:t xml:space="preserve">considered that the claim of non-inferior comparative safety was not supported by the data when compared to </w:t>
      </w:r>
      <w:proofErr w:type="spellStart"/>
      <w:r w:rsidRPr="000B49C6">
        <w:rPr>
          <w:iCs/>
        </w:rPr>
        <w:t>SoC</w:t>
      </w:r>
      <w:proofErr w:type="spellEnd"/>
      <w:r w:rsidRPr="000B49C6">
        <w:rPr>
          <w:iCs/>
        </w:rPr>
        <w:t xml:space="preserve"> oral antibiotics alone since patients treated with </w:t>
      </w:r>
      <w:proofErr w:type="spellStart"/>
      <w:r w:rsidRPr="000B49C6">
        <w:rPr>
          <w:iCs/>
        </w:rPr>
        <w:t>bezlotoxumab</w:t>
      </w:r>
      <w:proofErr w:type="spellEnd"/>
      <w:r w:rsidRPr="000B49C6">
        <w:rPr>
          <w:iCs/>
        </w:rPr>
        <w:t xml:space="preserve"> infusion will be exposed to infusion </w:t>
      </w:r>
      <w:r w:rsidR="00620550" w:rsidRPr="000B49C6">
        <w:rPr>
          <w:iCs/>
        </w:rPr>
        <w:t>AE</w:t>
      </w:r>
      <w:r w:rsidRPr="000B49C6">
        <w:rPr>
          <w:iCs/>
        </w:rPr>
        <w:t xml:space="preserve">s (p21, </w:t>
      </w:r>
      <w:proofErr w:type="spellStart"/>
      <w:r w:rsidR="007507AC">
        <w:rPr>
          <w:iCs/>
        </w:rPr>
        <w:t>b</w:t>
      </w:r>
      <w:r w:rsidRPr="000B49C6">
        <w:rPr>
          <w:iCs/>
        </w:rPr>
        <w:t>ezlotoxumab</w:t>
      </w:r>
      <w:proofErr w:type="spellEnd"/>
      <w:r w:rsidRPr="000B49C6">
        <w:rPr>
          <w:iCs/>
        </w:rPr>
        <w:t xml:space="preserve"> November 2017 PSD)</w:t>
      </w:r>
      <w:r w:rsidR="00D3304A" w:rsidRPr="000B49C6">
        <w:rPr>
          <w:iCs/>
        </w:rPr>
        <w:t xml:space="preserve"> and because of the risk of heart failure</w:t>
      </w:r>
      <w:r w:rsidR="00991401">
        <w:rPr>
          <w:iCs/>
        </w:rPr>
        <w:t xml:space="preserve">. </w:t>
      </w:r>
      <w:r w:rsidR="00BA3D28">
        <w:rPr>
          <w:iCs/>
        </w:rPr>
        <w:t>The PBAC noted that</w:t>
      </w:r>
      <w:r w:rsidR="00BA3D28" w:rsidRPr="000B49C6">
        <w:rPr>
          <w:iCs/>
        </w:rPr>
        <w:t xml:space="preserve"> </w:t>
      </w:r>
      <w:r w:rsidR="00406C92" w:rsidRPr="000B49C6">
        <w:rPr>
          <w:iCs/>
        </w:rPr>
        <w:t xml:space="preserve">the resubmission </w:t>
      </w:r>
      <w:r w:rsidR="00BA3D28" w:rsidRPr="000B49C6">
        <w:rPr>
          <w:iCs/>
        </w:rPr>
        <w:t>clarif</w:t>
      </w:r>
      <w:r w:rsidR="00BA3D28">
        <w:rPr>
          <w:iCs/>
        </w:rPr>
        <w:t>ied</w:t>
      </w:r>
      <w:r w:rsidR="00BA3D28" w:rsidRPr="000B49C6">
        <w:rPr>
          <w:iCs/>
        </w:rPr>
        <w:t xml:space="preserve"> </w:t>
      </w:r>
      <w:r w:rsidR="00406C92" w:rsidRPr="000B49C6">
        <w:rPr>
          <w:iCs/>
        </w:rPr>
        <w:t>that the infusion</w:t>
      </w:r>
      <w:r w:rsidR="00BA3D28">
        <w:rPr>
          <w:iCs/>
        </w:rPr>
        <w:t>-related</w:t>
      </w:r>
      <w:r w:rsidR="00406C92" w:rsidRPr="000B49C6">
        <w:rPr>
          <w:iCs/>
        </w:rPr>
        <w:t xml:space="preserve"> AEs, which occurred in 10% of patients treated with </w:t>
      </w:r>
      <w:proofErr w:type="spellStart"/>
      <w:r w:rsidR="00406C92" w:rsidRPr="000B49C6">
        <w:rPr>
          <w:iCs/>
        </w:rPr>
        <w:t>bezlotoxumab</w:t>
      </w:r>
      <w:proofErr w:type="spellEnd"/>
      <w:r w:rsidR="00BA3D28">
        <w:rPr>
          <w:iCs/>
        </w:rPr>
        <w:t>,</w:t>
      </w:r>
      <w:r w:rsidR="00406C92" w:rsidRPr="000B49C6">
        <w:rPr>
          <w:iCs/>
        </w:rPr>
        <w:t xml:space="preserve"> were mostly mild (76%) or moderate (22%) in nature</w:t>
      </w:r>
      <w:r w:rsidR="00BA3D28">
        <w:rPr>
          <w:iCs/>
        </w:rPr>
        <w:t>.</w:t>
      </w:r>
      <w:r w:rsidR="00406C92" w:rsidRPr="000B49C6">
        <w:rPr>
          <w:iCs/>
        </w:rPr>
        <w:t xml:space="preserve"> </w:t>
      </w:r>
      <w:r w:rsidR="00BA3D28">
        <w:rPr>
          <w:iCs/>
        </w:rPr>
        <w:t>N</w:t>
      </w:r>
      <w:r w:rsidR="00406C92" w:rsidRPr="000B49C6">
        <w:rPr>
          <w:iCs/>
        </w:rPr>
        <w:t>onetheless</w:t>
      </w:r>
      <w:r w:rsidR="00BA3D28">
        <w:rPr>
          <w:iCs/>
        </w:rPr>
        <w:t>, the PBAC considered that</w:t>
      </w:r>
      <w:r w:rsidR="00406C92" w:rsidRPr="000B49C6">
        <w:rPr>
          <w:iCs/>
        </w:rPr>
        <w:t xml:space="preserve"> the</w:t>
      </w:r>
      <w:r w:rsidR="00BA3D28">
        <w:rPr>
          <w:iCs/>
        </w:rPr>
        <w:t>se</w:t>
      </w:r>
      <w:r w:rsidR="00406C92" w:rsidRPr="000B49C6">
        <w:rPr>
          <w:iCs/>
        </w:rPr>
        <w:t xml:space="preserve"> are additional adverse events that would be experienced by patients treated with </w:t>
      </w:r>
      <w:proofErr w:type="spellStart"/>
      <w:r w:rsidR="00406C92" w:rsidRPr="000B49C6">
        <w:rPr>
          <w:iCs/>
        </w:rPr>
        <w:t>bezlotoxumab</w:t>
      </w:r>
      <w:proofErr w:type="spellEnd"/>
      <w:r w:rsidR="00406C92" w:rsidRPr="000B49C6">
        <w:rPr>
          <w:iCs/>
        </w:rPr>
        <w:t xml:space="preserve"> </w:t>
      </w:r>
      <w:r w:rsidR="00BA3D28">
        <w:rPr>
          <w:iCs/>
        </w:rPr>
        <w:t>and not with</w:t>
      </w:r>
      <w:r w:rsidR="00BA3D28" w:rsidRPr="000B49C6">
        <w:rPr>
          <w:iCs/>
        </w:rPr>
        <w:t xml:space="preserve"> </w:t>
      </w:r>
      <w:proofErr w:type="spellStart"/>
      <w:r w:rsidR="00406C92" w:rsidRPr="000B49C6">
        <w:rPr>
          <w:iCs/>
        </w:rPr>
        <w:t>SoC</w:t>
      </w:r>
      <w:proofErr w:type="spellEnd"/>
      <w:r w:rsidR="00406C92" w:rsidRPr="000B49C6">
        <w:rPr>
          <w:iCs/>
        </w:rPr>
        <w:t xml:space="preserve"> oral antibiotics.</w:t>
      </w:r>
      <w:r w:rsidR="0055462C" w:rsidRPr="000B49C6">
        <w:rPr>
          <w:iCs/>
        </w:rPr>
        <w:t xml:space="preserve"> </w:t>
      </w:r>
      <w:r w:rsidR="00BA3D28">
        <w:rPr>
          <w:iCs/>
        </w:rPr>
        <w:t>Furthermore, the PBAC noted t</w:t>
      </w:r>
      <w:r w:rsidR="0055462C" w:rsidRPr="000B49C6">
        <w:rPr>
          <w:iCs/>
        </w:rPr>
        <w:t>he ESC</w:t>
      </w:r>
      <w:r w:rsidR="007507AC">
        <w:rPr>
          <w:iCs/>
        </w:rPr>
        <w:t>’</w:t>
      </w:r>
      <w:r w:rsidR="00BA3D28">
        <w:rPr>
          <w:iCs/>
        </w:rPr>
        <w:t xml:space="preserve">s advice </w:t>
      </w:r>
      <w:r w:rsidR="0055462C" w:rsidRPr="000B49C6">
        <w:rPr>
          <w:iCs/>
        </w:rPr>
        <w:t>that while infusion related AEs were mostly mild, all AEs had not been separately analysed for the ‘high risk group’ and that the prevalence and severity may differ in this group</w:t>
      </w:r>
      <w:r w:rsidR="00BA3D28">
        <w:rPr>
          <w:iCs/>
        </w:rPr>
        <w:t>, particularly given</w:t>
      </w:r>
      <w:r w:rsidR="00D3304A" w:rsidRPr="000B49C6">
        <w:rPr>
          <w:iCs/>
        </w:rPr>
        <w:t xml:space="preserve"> the subgroups with a history of heart failure in MODIFY I and II had a higher incidence of acute heart failure and higher mortality when treated with </w:t>
      </w:r>
      <w:proofErr w:type="spellStart"/>
      <w:r w:rsidR="00D3304A" w:rsidRPr="000B49C6">
        <w:rPr>
          <w:iCs/>
        </w:rPr>
        <w:t>bezlotoxumab</w:t>
      </w:r>
      <w:proofErr w:type="spellEnd"/>
      <w:r w:rsidR="00D3304A" w:rsidRPr="000B49C6">
        <w:rPr>
          <w:iCs/>
        </w:rPr>
        <w:t xml:space="preserve"> than with placebo, and that heart failure increases with age</w:t>
      </w:r>
      <w:r w:rsidR="00BA3D28">
        <w:rPr>
          <w:iCs/>
        </w:rPr>
        <w:t xml:space="preserve">, which is </w:t>
      </w:r>
      <w:r w:rsidR="007507AC">
        <w:rPr>
          <w:iCs/>
        </w:rPr>
        <w:t>one of the nominated</w:t>
      </w:r>
      <w:r w:rsidR="00BA3D28">
        <w:rPr>
          <w:iCs/>
        </w:rPr>
        <w:t xml:space="preserve"> factor</w:t>
      </w:r>
      <w:r w:rsidR="007507AC">
        <w:rPr>
          <w:iCs/>
        </w:rPr>
        <w:t>s</w:t>
      </w:r>
      <w:r w:rsidR="00BA3D28">
        <w:rPr>
          <w:iCs/>
        </w:rPr>
        <w:t xml:space="preserve"> for </w:t>
      </w:r>
      <w:r w:rsidR="007507AC">
        <w:rPr>
          <w:iCs/>
        </w:rPr>
        <w:t xml:space="preserve">high risk of </w:t>
      </w:r>
      <w:r w:rsidR="00BA3D28">
        <w:rPr>
          <w:iCs/>
        </w:rPr>
        <w:t>CDI</w:t>
      </w:r>
      <w:r w:rsidR="007507AC">
        <w:rPr>
          <w:iCs/>
        </w:rPr>
        <w:t xml:space="preserve"> recurrence</w:t>
      </w:r>
      <w:r w:rsidR="00D3304A" w:rsidRPr="000B49C6">
        <w:rPr>
          <w:iCs/>
        </w:rPr>
        <w:t>.</w:t>
      </w:r>
    </w:p>
    <w:p w:rsidR="003943AF" w:rsidRPr="00525B39" w:rsidRDefault="003943AF" w:rsidP="003943AF">
      <w:pPr>
        <w:pStyle w:val="ListParagraph"/>
        <w:widowControl/>
        <w:numPr>
          <w:ilvl w:val="1"/>
          <w:numId w:val="3"/>
        </w:numPr>
        <w:spacing w:after="120"/>
        <w:ind w:left="810" w:hanging="810"/>
        <w:rPr>
          <w:rFonts w:asciiTheme="minorHAnsi" w:hAnsiTheme="minorHAnsi"/>
          <w:szCs w:val="20"/>
        </w:rPr>
      </w:pPr>
      <w:r w:rsidRPr="00525B39">
        <w:rPr>
          <w:rFonts w:asciiTheme="minorHAnsi" w:hAnsiTheme="minorHAnsi"/>
          <w:szCs w:val="20"/>
        </w:rPr>
        <w:t>The PBAC considered that the claim of superior comparative effectiveness was reasonable.</w:t>
      </w:r>
    </w:p>
    <w:p w:rsidR="003943AF" w:rsidRPr="003943AF" w:rsidRDefault="003943AF" w:rsidP="003943AF">
      <w:pPr>
        <w:pStyle w:val="ListParagraph"/>
        <w:widowControl/>
        <w:numPr>
          <w:ilvl w:val="1"/>
          <w:numId w:val="3"/>
        </w:numPr>
        <w:spacing w:after="120"/>
        <w:ind w:left="810" w:hanging="810"/>
        <w:rPr>
          <w:rFonts w:asciiTheme="minorHAnsi" w:hAnsiTheme="minorHAnsi"/>
          <w:szCs w:val="20"/>
        </w:rPr>
      </w:pPr>
      <w:r w:rsidRPr="00525B39">
        <w:rPr>
          <w:rFonts w:asciiTheme="minorHAnsi" w:hAnsiTheme="minorHAnsi"/>
          <w:szCs w:val="20"/>
        </w:rPr>
        <w:t>The PBAC considered that the claim of non-inferior comparative safety was not adequately supported by the data</w:t>
      </w:r>
      <w:r w:rsidR="00BA3D28">
        <w:rPr>
          <w:rFonts w:asciiTheme="minorHAnsi" w:hAnsiTheme="minorHAnsi"/>
          <w:szCs w:val="20"/>
        </w:rPr>
        <w:t xml:space="preserve"> and that a claim of inferior safety would be more appropriate</w:t>
      </w:r>
      <w:r w:rsidRPr="00525B39">
        <w:rPr>
          <w:rFonts w:asciiTheme="minorHAnsi" w:hAnsiTheme="minorHAnsi"/>
          <w:szCs w:val="20"/>
        </w:rPr>
        <w:t>.</w:t>
      </w:r>
    </w:p>
    <w:p w:rsidR="00F4358C" w:rsidRPr="00F4358C" w:rsidRDefault="00B60939" w:rsidP="00E03435">
      <w:pPr>
        <w:pStyle w:val="Heading2"/>
        <w:spacing w:before="240" w:after="120"/>
      </w:pPr>
      <w:bookmarkStart w:id="12" w:name="_Toc514248038"/>
      <w:r w:rsidRPr="005B2CC8">
        <w:t>Economic analysis</w:t>
      </w:r>
      <w:bookmarkEnd w:id="12"/>
      <w:r w:rsidR="00491B3A" w:rsidRPr="005B2CC8">
        <w:t xml:space="preserve"> </w:t>
      </w:r>
    </w:p>
    <w:p w:rsidR="00D370B3" w:rsidRDefault="00D370B3" w:rsidP="00D370B3">
      <w:pPr>
        <w:pStyle w:val="ListParagraph"/>
        <w:widowControl/>
        <w:numPr>
          <w:ilvl w:val="1"/>
          <w:numId w:val="3"/>
        </w:numPr>
      </w:pPr>
      <w:r w:rsidRPr="000B49C6">
        <w:t>The structure of the modelled economic evaluation remained largely unchanged from the November 2017 submission, however</w:t>
      </w:r>
      <w:r w:rsidR="00805883" w:rsidRPr="000B49C6">
        <w:t>;</w:t>
      </w:r>
      <w:r w:rsidRPr="000B49C6">
        <w:t xml:space="preserve"> a number of adjustments were made in this resubmission to address issues raised by the PBAC</w:t>
      </w:r>
      <w:r w:rsidR="00991401">
        <w:t xml:space="preserve">. </w:t>
      </w:r>
      <w:r w:rsidRPr="000B49C6">
        <w:t xml:space="preserve">Table </w:t>
      </w:r>
      <w:r w:rsidR="00E82A52">
        <w:t>6</w:t>
      </w:r>
      <w:r w:rsidR="00E82A52" w:rsidRPr="000B49C6">
        <w:t xml:space="preserve"> </w:t>
      </w:r>
      <w:r w:rsidRPr="000B49C6">
        <w:t>summarises the key model components in the previous submission and this resubmission</w:t>
      </w:r>
      <w:r w:rsidR="001F3946" w:rsidRPr="000B49C6">
        <w:t>.</w:t>
      </w:r>
    </w:p>
    <w:p w:rsidR="005B2CC8" w:rsidRDefault="005B2CC8">
      <w:pPr>
        <w:widowControl/>
        <w:jc w:val="left"/>
        <w:rPr>
          <w:rFonts w:ascii="Arial Narrow" w:hAnsi="Arial Narrow"/>
          <w:b/>
          <w:bCs/>
          <w:sz w:val="20"/>
          <w:szCs w:val="20"/>
        </w:rPr>
      </w:pPr>
      <w:r>
        <w:rPr>
          <w:rFonts w:ascii="Arial Narrow" w:hAnsi="Arial Narrow"/>
          <w:sz w:val="20"/>
          <w:szCs w:val="20"/>
        </w:rPr>
        <w:br w:type="page"/>
      </w:r>
    </w:p>
    <w:p w:rsidR="00F014C7" w:rsidRPr="000B49C6" w:rsidRDefault="00F014C7" w:rsidP="00F4358C">
      <w:pPr>
        <w:pStyle w:val="Caption"/>
        <w:spacing w:after="60"/>
        <w:rPr>
          <w:rFonts w:ascii="Arial Narrow" w:hAnsi="Arial Narrow"/>
          <w:color w:val="auto"/>
          <w:sz w:val="20"/>
          <w:szCs w:val="20"/>
        </w:rPr>
      </w:pPr>
      <w:r w:rsidRPr="000B49C6">
        <w:rPr>
          <w:rFonts w:ascii="Arial Narrow" w:hAnsi="Arial Narrow"/>
          <w:color w:val="auto"/>
          <w:sz w:val="20"/>
          <w:szCs w:val="20"/>
        </w:rPr>
        <w:lastRenderedPageBreak/>
        <w:t xml:space="preserve">Table </w:t>
      </w:r>
      <w:r w:rsidR="00E82A52">
        <w:rPr>
          <w:rFonts w:ascii="Arial Narrow" w:hAnsi="Arial Narrow"/>
          <w:color w:val="auto"/>
          <w:sz w:val="20"/>
          <w:szCs w:val="20"/>
        </w:rPr>
        <w:t>6</w:t>
      </w:r>
      <w:r w:rsidRPr="000B49C6">
        <w:rPr>
          <w:rFonts w:ascii="Arial Narrow" w:hAnsi="Arial Narrow"/>
          <w:color w:val="auto"/>
          <w:sz w:val="20"/>
          <w:szCs w:val="20"/>
        </w:rPr>
        <w:t>: Key components of the economic evaluation including comparison with November 2017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4: Key components of the economic evaluation including comparison with November 2017 submission"/>
      </w:tblPr>
      <w:tblGrid>
        <w:gridCol w:w="1425"/>
        <w:gridCol w:w="3711"/>
        <w:gridCol w:w="3947"/>
      </w:tblGrid>
      <w:tr w:rsidR="00D370B3" w:rsidRPr="000B49C6" w:rsidTr="00363F50">
        <w:trPr>
          <w:cantSplit/>
          <w:tblHeader/>
        </w:trPr>
        <w:tc>
          <w:tcPr>
            <w:tcW w:w="784" w:type="pct"/>
            <w:vAlign w:val="center"/>
          </w:tcPr>
          <w:p w:rsidR="00D370B3" w:rsidRPr="000B49C6" w:rsidRDefault="00D370B3" w:rsidP="00F4358C">
            <w:pPr>
              <w:pStyle w:val="Tabletext"/>
              <w:rPr>
                <w:b/>
              </w:rPr>
            </w:pPr>
            <w:r w:rsidRPr="000B49C6">
              <w:rPr>
                <w:b/>
              </w:rPr>
              <w:t>Component</w:t>
            </w:r>
          </w:p>
        </w:tc>
        <w:tc>
          <w:tcPr>
            <w:tcW w:w="2043" w:type="pct"/>
            <w:tcBorders>
              <w:bottom w:val="single" w:sz="4" w:space="0" w:color="auto"/>
            </w:tcBorders>
          </w:tcPr>
          <w:p w:rsidR="00D370B3" w:rsidRPr="000B49C6" w:rsidRDefault="00D370B3" w:rsidP="00F4358C">
            <w:pPr>
              <w:pStyle w:val="Tabletext"/>
              <w:jc w:val="center"/>
              <w:rPr>
                <w:b/>
              </w:rPr>
            </w:pPr>
            <w:r w:rsidRPr="000B49C6">
              <w:rPr>
                <w:b/>
              </w:rPr>
              <w:t>November 2017</w:t>
            </w:r>
          </w:p>
        </w:tc>
        <w:tc>
          <w:tcPr>
            <w:tcW w:w="2173" w:type="pct"/>
            <w:vAlign w:val="center"/>
          </w:tcPr>
          <w:p w:rsidR="00D370B3" w:rsidRPr="000B49C6" w:rsidRDefault="00D370B3" w:rsidP="00F4358C">
            <w:pPr>
              <w:pStyle w:val="Tabletext"/>
              <w:jc w:val="center"/>
              <w:rPr>
                <w:b/>
              </w:rPr>
            </w:pPr>
            <w:r w:rsidRPr="000B49C6">
              <w:rPr>
                <w:b/>
              </w:rPr>
              <w:t>Current submission</w:t>
            </w:r>
          </w:p>
        </w:tc>
      </w:tr>
      <w:tr w:rsidR="00D370B3" w:rsidRPr="000B49C6" w:rsidTr="00363F50">
        <w:trPr>
          <w:cantSplit/>
        </w:trPr>
        <w:tc>
          <w:tcPr>
            <w:tcW w:w="784" w:type="pct"/>
            <w:vAlign w:val="center"/>
          </w:tcPr>
          <w:p w:rsidR="00D370B3" w:rsidRPr="000B49C6" w:rsidRDefault="00D370B3" w:rsidP="00F4358C">
            <w:pPr>
              <w:pStyle w:val="Tabletext"/>
            </w:pPr>
            <w:r w:rsidRPr="000B49C6">
              <w:t>Type of analysis</w:t>
            </w:r>
          </w:p>
        </w:tc>
        <w:tc>
          <w:tcPr>
            <w:tcW w:w="2043" w:type="pct"/>
            <w:shd w:val="clear" w:color="auto" w:fill="D9D9D9" w:themeFill="background1" w:themeFillShade="D9"/>
            <w:vAlign w:val="center"/>
          </w:tcPr>
          <w:p w:rsidR="00D370B3" w:rsidRPr="000B49C6" w:rsidRDefault="00D370B3" w:rsidP="00F4358C">
            <w:pPr>
              <w:pStyle w:val="Tabletext"/>
            </w:pPr>
            <w:r w:rsidRPr="000B49C6">
              <w:t>Stepped cost-utility analysis</w:t>
            </w:r>
          </w:p>
        </w:tc>
        <w:tc>
          <w:tcPr>
            <w:tcW w:w="2173" w:type="pct"/>
            <w:vAlign w:val="center"/>
          </w:tcPr>
          <w:p w:rsidR="00D370B3" w:rsidRPr="000B49C6" w:rsidRDefault="00D370B3" w:rsidP="00F4358C">
            <w:pPr>
              <w:pStyle w:val="Tabletext"/>
            </w:pPr>
            <w:r w:rsidRPr="000B49C6">
              <w:t>Stepped cost-utility analysis</w:t>
            </w:r>
          </w:p>
        </w:tc>
      </w:tr>
      <w:tr w:rsidR="00D370B3" w:rsidRPr="000B49C6" w:rsidTr="00363F50">
        <w:trPr>
          <w:cantSplit/>
        </w:trPr>
        <w:tc>
          <w:tcPr>
            <w:tcW w:w="784" w:type="pct"/>
            <w:vAlign w:val="center"/>
          </w:tcPr>
          <w:p w:rsidR="00D370B3" w:rsidRPr="000B49C6" w:rsidRDefault="00D370B3" w:rsidP="00F4358C">
            <w:pPr>
              <w:pStyle w:val="Tabletext"/>
            </w:pPr>
            <w:r w:rsidRPr="000B49C6">
              <w:t>Patient population</w:t>
            </w:r>
          </w:p>
        </w:tc>
        <w:tc>
          <w:tcPr>
            <w:tcW w:w="2043" w:type="pct"/>
            <w:shd w:val="clear" w:color="auto" w:fill="D9D9D9" w:themeFill="background1" w:themeFillShade="D9"/>
            <w:vAlign w:val="center"/>
          </w:tcPr>
          <w:p w:rsidR="00D370B3" w:rsidRPr="000B49C6" w:rsidRDefault="00D370B3" w:rsidP="00F4358C">
            <w:pPr>
              <w:pStyle w:val="Tabletext"/>
            </w:pPr>
            <w:r w:rsidRPr="000B49C6">
              <w:t>Outpatient population (based on MODIFY I and II trials)</w:t>
            </w:r>
          </w:p>
          <w:p w:rsidR="00D370B3" w:rsidRPr="000B49C6" w:rsidRDefault="00D370B3" w:rsidP="00F4358C">
            <w:pPr>
              <w:pStyle w:val="Tabletext"/>
            </w:pPr>
          </w:p>
          <w:p w:rsidR="00D370B3" w:rsidRPr="000B49C6" w:rsidRDefault="00D370B3" w:rsidP="00F4358C">
            <w:pPr>
              <w:pStyle w:val="ListParagraph"/>
              <w:widowControl/>
              <w:numPr>
                <w:ilvl w:val="0"/>
                <w:numId w:val="7"/>
              </w:numPr>
              <w:spacing w:after="0"/>
              <w:ind w:left="259" w:hanging="259"/>
              <w:jc w:val="left"/>
              <w:rPr>
                <w:rFonts w:ascii="Arial Narrow" w:hAnsi="Arial Narrow"/>
                <w:sz w:val="20"/>
                <w:szCs w:val="20"/>
              </w:rPr>
            </w:pPr>
            <w:r w:rsidRPr="000B49C6">
              <w:rPr>
                <w:rFonts w:ascii="Arial Narrow" w:hAnsi="Arial Narrow"/>
                <w:sz w:val="20"/>
                <w:szCs w:val="20"/>
              </w:rPr>
              <w:t>Age at model entry: 56.7</w:t>
            </w:r>
          </w:p>
          <w:p w:rsidR="00D370B3" w:rsidRPr="000B49C6" w:rsidRDefault="00D370B3" w:rsidP="00F4358C">
            <w:pPr>
              <w:pStyle w:val="ListParagraph"/>
              <w:widowControl/>
              <w:numPr>
                <w:ilvl w:val="0"/>
                <w:numId w:val="7"/>
              </w:numPr>
              <w:spacing w:after="0"/>
              <w:ind w:left="259" w:hanging="259"/>
              <w:jc w:val="left"/>
              <w:rPr>
                <w:rFonts w:ascii="Arial Narrow" w:hAnsi="Arial Narrow"/>
                <w:sz w:val="20"/>
                <w:szCs w:val="20"/>
              </w:rPr>
            </w:pPr>
            <w:r w:rsidRPr="000B49C6">
              <w:rPr>
                <w:rFonts w:ascii="Arial Narrow" w:hAnsi="Arial Narrow"/>
                <w:sz w:val="20"/>
                <w:szCs w:val="20"/>
              </w:rPr>
              <w:t>Proportion of females: 63.3</w:t>
            </w:r>
          </w:p>
          <w:p w:rsidR="00D370B3" w:rsidRPr="000B49C6" w:rsidRDefault="00D370B3" w:rsidP="00F4358C">
            <w:pPr>
              <w:pStyle w:val="ListParagraph"/>
              <w:widowControl/>
              <w:numPr>
                <w:ilvl w:val="0"/>
                <w:numId w:val="7"/>
              </w:numPr>
              <w:spacing w:after="0"/>
              <w:ind w:left="259" w:hanging="259"/>
              <w:jc w:val="left"/>
            </w:pPr>
            <w:r w:rsidRPr="000B49C6">
              <w:rPr>
                <w:rFonts w:ascii="Arial Narrow" w:hAnsi="Arial Narrow"/>
                <w:sz w:val="20"/>
                <w:szCs w:val="20"/>
              </w:rPr>
              <w:t>Entering with severe CDI: 3.6</w:t>
            </w:r>
          </w:p>
        </w:tc>
        <w:tc>
          <w:tcPr>
            <w:tcW w:w="2173" w:type="pct"/>
            <w:vAlign w:val="center"/>
          </w:tcPr>
          <w:p w:rsidR="00D370B3" w:rsidRPr="000B49C6" w:rsidRDefault="00D370B3" w:rsidP="00F4358C">
            <w:pPr>
              <w:pStyle w:val="Tabletext"/>
              <w:rPr>
                <w:rFonts w:eastAsia="Calibri" w:cs="Arial"/>
              </w:rPr>
            </w:pPr>
            <w:r w:rsidRPr="000B49C6">
              <w:rPr>
                <w:rFonts w:eastAsia="Calibri" w:cs="Arial"/>
              </w:rPr>
              <w:t>High risk population based on MODIFY I and II trial subgroups</w:t>
            </w:r>
            <w:r w:rsidR="00991401">
              <w:rPr>
                <w:rFonts w:eastAsia="Calibri" w:cs="Arial"/>
              </w:rPr>
              <w:t xml:space="preserve">. </w:t>
            </w:r>
            <w:r w:rsidRPr="000B49C6">
              <w:rPr>
                <w:rFonts w:eastAsia="Calibri" w:cs="Arial"/>
              </w:rPr>
              <w:t>High risk was defined by the resubmission as having at least one of the following risk factors:  age ≥ 65 or history of CDI in the past 6 months, immunocompromised or severe CDI</w:t>
            </w:r>
            <w:proofErr w:type="gramStart"/>
            <w:r w:rsidRPr="000B49C6">
              <w:rPr>
                <w:rFonts w:eastAsia="Calibri" w:cs="Arial"/>
              </w:rPr>
              <w:t>)^</w:t>
            </w:r>
            <w:proofErr w:type="gramEnd"/>
            <w:r w:rsidRPr="000B49C6">
              <w:rPr>
                <w:rFonts w:eastAsia="Calibri" w:cs="Arial"/>
              </w:rPr>
              <w:t xml:space="preserve">. </w:t>
            </w:r>
          </w:p>
          <w:p w:rsidR="00D370B3" w:rsidRPr="000B49C6" w:rsidRDefault="00D370B3" w:rsidP="00F4358C">
            <w:pPr>
              <w:pStyle w:val="Tabletext"/>
              <w:rPr>
                <w:rFonts w:eastAsia="Calibri" w:cs="Arial"/>
              </w:rPr>
            </w:pPr>
          </w:p>
          <w:p w:rsidR="00D370B3" w:rsidRPr="000B49C6" w:rsidRDefault="00D370B3" w:rsidP="00F4358C">
            <w:pPr>
              <w:pStyle w:val="ListParagraph"/>
              <w:widowControl/>
              <w:numPr>
                <w:ilvl w:val="0"/>
                <w:numId w:val="7"/>
              </w:numPr>
              <w:spacing w:after="0"/>
              <w:ind w:left="259" w:hanging="259"/>
              <w:jc w:val="left"/>
              <w:rPr>
                <w:rFonts w:ascii="Arial Narrow" w:hAnsi="Arial Narrow"/>
                <w:sz w:val="20"/>
                <w:szCs w:val="20"/>
              </w:rPr>
            </w:pPr>
            <w:r w:rsidRPr="000B49C6">
              <w:rPr>
                <w:rFonts w:ascii="Arial Narrow" w:hAnsi="Arial Narrow"/>
                <w:sz w:val="20"/>
                <w:szCs w:val="20"/>
              </w:rPr>
              <w:t xml:space="preserve">Age at model entry: </w:t>
            </w:r>
            <w:r w:rsidRPr="000B49C6">
              <w:rPr>
                <w:rFonts w:ascii="Arial Narrow" w:hAnsi="Arial Narrow"/>
                <w:b/>
                <w:sz w:val="20"/>
                <w:szCs w:val="20"/>
              </w:rPr>
              <w:t>68.1</w:t>
            </w:r>
          </w:p>
          <w:p w:rsidR="00D370B3" w:rsidRPr="000B49C6" w:rsidRDefault="00D370B3" w:rsidP="00F4358C">
            <w:pPr>
              <w:pStyle w:val="ListParagraph"/>
              <w:widowControl/>
              <w:numPr>
                <w:ilvl w:val="0"/>
                <w:numId w:val="7"/>
              </w:numPr>
              <w:spacing w:after="0"/>
              <w:ind w:left="259" w:hanging="259"/>
              <w:jc w:val="left"/>
              <w:rPr>
                <w:rFonts w:ascii="Arial Narrow" w:hAnsi="Arial Narrow"/>
                <w:sz w:val="20"/>
                <w:szCs w:val="20"/>
              </w:rPr>
            </w:pPr>
            <w:r w:rsidRPr="000B49C6">
              <w:rPr>
                <w:rFonts w:ascii="Arial Narrow" w:hAnsi="Arial Narrow"/>
                <w:sz w:val="20"/>
                <w:szCs w:val="20"/>
              </w:rPr>
              <w:t>Proportion of females: 55.8%</w:t>
            </w:r>
          </w:p>
          <w:p w:rsidR="00D370B3" w:rsidRPr="000B49C6" w:rsidRDefault="00D370B3" w:rsidP="00F4358C">
            <w:pPr>
              <w:pStyle w:val="ListParagraph"/>
              <w:widowControl/>
              <w:numPr>
                <w:ilvl w:val="0"/>
                <w:numId w:val="7"/>
              </w:numPr>
              <w:spacing w:after="0"/>
              <w:ind w:left="259" w:hanging="259"/>
              <w:jc w:val="left"/>
              <w:rPr>
                <w:rFonts w:eastAsia="Calibri"/>
              </w:rPr>
            </w:pPr>
            <w:r w:rsidRPr="000B49C6">
              <w:rPr>
                <w:rFonts w:ascii="Arial Narrow" w:hAnsi="Arial Narrow"/>
                <w:sz w:val="20"/>
                <w:szCs w:val="20"/>
              </w:rPr>
              <w:t>Entering with severe CDI: 22.7%</w:t>
            </w:r>
            <w:r w:rsidRPr="000B49C6">
              <w:rPr>
                <w:rFonts w:eastAsia="Calibri"/>
                <w:b/>
              </w:rPr>
              <w:t xml:space="preserve"> </w:t>
            </w:r>
          </w:p>
        </w:tc>
      </w:tr>
      <w:tr w:rsidR="00D370B3" w:rsidRPr="000B49C6" w:rsidTr="00363F50">
        <w:trPr>
          <w:cantSplit/>
        </w:trPr>
        <w:tc>
          <w:tcPr>
            <w:tcW w:w="784" w:type="pct"/>
            <w:vAlign w:val="center"/>
          </w:tcPr>
          <w:p w:rsidR="00D370B3" w:rsidRPr="000B49C6" w:rsidRDefault="00D370B3" w:rsidP="00F4358C">
            <w:pPr>
              <w:pStyle w:val="Tabletext"/>
            </w:pPr>
            <w:r w:rsidRPr="000B49C6">
              <w:t>Outcomes</w:t>
            </w:r>
          </w:p>
        </w:tc>
        <w:tc>
          <w:tcPr>
            <w:tcW w:w="2043" w:type="pct"/>
            <w:shd w:val="clear" w:color="auto" w:fill="D9D9D9" w:themeFill="background1" w:themeFillShade="D9"/>
            <w:vAlign w:val="center"/>
          </w:tcPr>
          <w:p w:rsidR="00D370B3" w:rsidRPr="000B49C6" w:rsidRDefault="00D370B3" w:rsidP="00F4358C">
            <w:pPr>
              <w:pStyle w:val="Tabletext"/>
            </w:pPr>
            <w:r w:rsidRPr="000B49C6">
              <w:t>Cost per CDI recurrence avoided; cost per life year (LYG) gained; cost per quality adjusted life year (QALY) gained.</w:t>
            </w:r>
          </w:p>
        </w:tc>
        <w:tc>
          <w:tcPr>
            <w:tcW w:w="2173" w:type="pct"/>
            <w:vAlign w:val="center"/>
          </w:tcPr>
          <w:p w:rsidR="00D370B3" w:rsidRPr="000B49C6" w:rsidRDefault="00D370B3" w:rsidP="00F4358C">
            <w:pPr>
              <w:pStyle w:val="Tabletext"/>
            </w:pPr>
            <w:r w:rsidRPr="000B49C6">
              <w:t>Cost per CDI recurrence avoided; cost per life year (LYG) gained; cost per quality adjusted life year (QALY) gained; and number of hospital bed days avoided.</w:t>
            </w:r>
          </w:p>
        </w:tc>
      </w:tr>
      <w:tr w:rsidR="00D370B3" w:rsidRPr="000B49C6" w:rsidTr="00363F50">
        <w:trPr>
          <w:cantSplit/>
        </w:trPr>
        <w:tc>
          <w:tcPr>
            <w:tcW w:w="784" w:type="pct"/>
            <w:vAlign w:val="center"/>
          </w:tcPr>
          <w:p w:rsidR="00D370B3" w:rsidRPr="000B49C6" w:rsidRDefault="00D370B3" w:rsidP="00F4358C">
            <w:pPr>
              <w:pStyle w:val="Tabletext"/>
            </w:pPr>
            <w:r w:rsidRPr="000B49C6">
              <w:t>Treatment setting</w:t>
            </w:r>
          </w:p>
        </w:tc>
        <w:tc>
          <w:tcPr>
            <w:tcW w:w="2043" w:type="pct"/>
            <w:shd w:val="clear" w:color="auto" w:fill="D9D9D9" w:themeFill="background1" w:themeFillShade="D9"/>
            <w:vAlign w:val="center"/>
          </w:tcPr>
          <w:p w:rsidR="00D370B3" w:rsidRPr="000B49C6" w:rsidRDefault="00D370B3" w:rsidP="00F4358C">
            <w:pPr>
              <w:pStyle w:val="Tabletext"/>
            </w:pPr>
            <w:r w:rsidRPr="000B49C6">
              <w:t>Outpatients in base case</w:t>
            </w:r>
          </w:p>
        </w:tc>
        <w:tc>
          <w:tcPr>
            <w:tcW w:w="2173" w:type="pct"/>
            <w:vAlign w:val="center"/>
          </w:tcPr>
          <w:p w:rsidR="00D370B3" w:rsidRPr="000B49C6" w:rsidRDefault="00CB525E" w:rsidP="00F4358C">
            <w:pPr>
              <w:pStyle w:val="Tabletext"/>
            </w:pPr>
            <w:r w:rsidRPr="000B49C6">
              <w:t>No longer restricted to outpatients.</w:t>
            </w:r>
          </w:p>
        </w:tc>
      </w:tr>
      <w:tr w:rsidR="00D370B3" w:rsidRPr="000B49C6" w:rsidTr="00363F50">
        <w:trPr>
          <w:cantSplit/>
        </w:trPr>
        <w:tc>
          <w:tcPr>
            <w:tcW w:w="784" w:type="pct"/>
            <w:vAlign w:val="center"/>
          </w:tcPr>
          <w:p w:rsidR="00D370B3" w:rsidRPr="000B49C6" w:rsidRDefault="00D370B3" w:rsidP="00F4358C">
            <w:pPr>
              <w:pStyle w:val="Tabletext"/>
            </w:pPr>
            <w:r w:rsidRPr="000B49C6">
              <w:t>Time horizon</w:t>
            </w:r>
          </w:p>
        </w:tc>
        <w:tc>
          <w:tcPr>
            <w:tcW w:w="2043" w:type="pct"/>
            <w:shd w:val="clear" w:color="auto" w:fill="D9D9D9" w:themeFill="background1" w:themeFillShade="D9"/>
            <w:vAlign w:val="center"/>
          </w:tcPr>
          <w:p w:rsidR="00D370B3" w:rsidRPr="000B49C6" w:rsidRDefault="00D370B3" w:rsidP="00F4358C">
            <w:pPr>
              <w:pStyle w:val="Tabletext"/>
            </w:pPr>
            <w:r w:rsidRPr="000B49C6">
              <w:t>10-year time horizon as base case</w:t>
            </w:r>
            <w:r w:rsidR="00991401">
              <w:t xml:space="preserve">. </w:t>
            </w:r>
            <w:r w:rsidRPr="000B49C6">
              <w:t>5 years and lifetime were tested in sensitivity analysis.</w:t>
            </w:r>
          </w:p>
        </w:tc>
        <w:tc>
          <w:tcPr>
            <w:tcW w:w="2173" w:type="pct"/>
            <w:vAlign w:val="center"/>
          </w:tcPr>
          <w:p w:rsidR="00D370B3" w:rsidRPr="000B49C6" w:rsidRDefault="00D370B3" w:rsidP="00F4358C">
            <w:pPr>
              <w:pStyle w:val="Tabletext"/>
            </w:pPr>
            <w:r w:rsidRPr="000B49C6">
              <w:t>10-year time horizon as base case.</w:t>
            </w:r>
          </w:p>
        </w:tc>
      </w:tr>
      <w:tr w:rsidR="00D370B3" w:rsidRPr="000B49C6" w:rsidTr="00363F50">
        <w:trPr>
          <w:cantSplit/>
        </w:trPr>
        <w:tc>
          <w:tcPr>
            <w:tcW w:w="784" w:type="pct"/>
            <w:vAlign w:val="center"/>
          </w:tcPr>
          <w:p w:rsidR="00D370B3" w:rsidRPr="000B49C6" w:rsidRDefault="00D370B3" w:rsidP="00F4358C">
            <w:pPr>
              <w:pStyle w:val="Tabletext"/>
            </w:pPr>
            <w:r w:rsidRPr="000B49C6">
              <w:t>Methods used to generate results</w:t>
            </w:r>
          </w:p>
        </w:tc>
        <w:tc>
          <w:tcPr>
            <w:tcW w:w="2043" w:type="pct"/>
            <w:shd w:val="clear" w:color="auto" w:fill="D9D9D9" w:themeFill="background1" w:themeFillShade="D9"/>
            <w:vAlign w:val="center"/>
          </w:tcPr>
          <w:p w:rsidR="00D370B3" w:rsidRPr="000B49C6" w:rsidRDefault="00D370B3" w:rsidP="00F4358C">
            <w:pPr>
              <w:pStyle w:val="Tabletext"/>
            </w:pPr>
            <w:r w:rsidRPr="000B49C6">
              <w:t>Markov cohort analysis</w:t>
            </w:r>
          </w:p>
        </w:tc>
        <w:tc>
          <w:tcPr>
            <w:tcW w:w="2173" w:type="pct"/>
            <w:vAlign w:val="center"/>
          </w:tcPr>
          <w:p w:rsidR="00D370B3" w:rsidRPr="000B49C6" w:rsidRDefault="00D370B3" w:rsidP="00F4358C">
            <w:pPr>
              <w:pStyle w:val="Tabletext"/>
            </w:pPr>
            <w:r w:rsidRPr="000B49C6">
              <w:t>Markov cohort analysis</w:t>
            </w:r>
          </w:p>
        </w:tc>
      </w:tr>
      <w:tr w:rsidR="00D370B3" w:rsidRPr="000B49C6" w:rsidTr="00363F50">
        <w:trPr>
          <w:cantSplit/>
        </w:trPr>
        <w:tc>
          <w:tcPr>
            <w:tcW w:w="784" w:type="pct"/>
            <w:vAlign w:val="center"/>
          </w:tcPr>
          <w:p w:rsidR="00D370B3" w:rsidRPr="000B49C6" w:rsidRDefault="00D370B3" w:rsidP="00F4358C">
            <w:pPr>
              <w:pStyle w:val="Tabletext"/>
            </w:pPr>
            <w:r w:rsidRPr="000B49C6">
              <w:t>Health states</w:t>
            </w:r>
          </w:p>
        </w:tc>
        <w:tc>
          <w:tcPr>
            <w:tcW w:w="2043" w:type="pct"/>
            <w:shd w:val="clear" w:color="auto" w:fill="D9D9D9" w:themeFill="background1" w:themeFillShade="D9"/>
            <w:vAlign w:val="center"/>
          </w:tcPr>
          <w:p w:rsidR="00D370B3" w:rsidRPr="000B49C6" w:rsidRDefault="00D370B3" w:rsidP="00F4358C">
            <w:pPr>
              <w:pStyle w:val="Tabletext"/>
              <w:rPr>
                <w:rFonts w:cs="Arial"/>
                <w:snapToGrid w:val="0"/>
                <w:szCs w:val="20"/>
              </w:rPr>
            </w:pPr>
            <w:r w:rsidRPr="000B49C6">
              <w:rPr>
                <w:rFonts w:cs="Arial"/>
                <w:snapToGrid w:val="0"/>
                <w:szCs w:val="20"/>
              </w:rPr>
              <w:t>8 main health states:</w:t>
            </w:r>
          </w:p>
          <w:p w:rsidR="00D370B3" w:rsidRPr="000B49C6" w:rsidRDefault="00D370B3" w:rsidP="00F4358C">
            <w:pPr>
              <w:pStyle w:val="ListParagraph"/>
              <w:widowControl/>
              <w:numPr>
                <w:ilvl w:val="0"/>
                <w:numId w:val="7"/>
              </w:numPr>
              <w:spacing w:after="0"/>
              <w:ind w:left="259" w:hanging="259"/>
              <w:jc w:val="left"/>
              <w:rPr>
                <w:rFonts w:ascii="Arial Narrow" w:hAnsi="Arial Narrow"/>
                <w:sz w:val="20"/>
                <w:szCs w:val="20"/>
              </w:rPr>
            </w:pPr>
            <w:r w:rsidRPr="000B49C6">
              <w:rPr>
                <w:rFonts w:ascii="Arial Narrow" w:hAnsi="Arial Narrow"/>
                <w:sz w:val="20"/>
                <w:szCs w:val="20"/>
              </w:rPr>
              <w:t>mild/moderate CDI;</w:t>
            </w:r>
          </w:p>
          <w:p w:rsidR="00D370B3" w:rsidRPr="000B49C6" w:rsidRDefault="00D370B3" w:rsidP="00F4358C">
            <w:pPr>
              <w:pStyle w:val="ListParagraph"/>
              <w:widowControl/>
              <w:numPr>
                <w:ilvl w:val="0"/>
                <w:numId w:val="7"/>
              </w:numPr>
              <w:spacing w:after="0"/>
              <w:ind w:left="259" w:hanging="259"/>
              <w:jc w:val="left"/>
              <w:rPr>
                <w:rFonts w:ascii="Arial Narrow" w:hAnsi="Arial Narrow"/>
                <w:sz w:val="20"/>
                <w:szCs w:val="20"/>
              </w:rPr>
            </w:pPr>
            <w:r w:rsidRPr="000B49C6">
              <w:rPr>
                <w:rFonts w:ascii="Arial Narrow" w:hAnsi="Arial Narrow"/>
                <w:sz w:val="20"/>
                <w:szCs w:val="20"/>
              </w:rPr>
              <w:t>severe CDI;</w:t>
            </w:r>
          </w:p>
          <w:p w:rsidR="00D370B3" w:rsidRPr="000B49C6" w:rsidRDefault="00D370B3" w:rsidP="00F4358C">
            <w:pPr>
              <w:pStyle w:val="ListParagraph"/>
              <w:widowControl/>
              <w:numPr>
                <w:ilvl w:val="0"/>
                <w:numId w:val="7"/>
              </w:numPr>
              <w:spacing w:after="0"/>
              <w:ind w:left="259" w:hanging="259"/>
              <w:jc w:val="left"/>
              <w:rPr>
                <w:rFonts w:ascii="Arial Narrow" w:hAnsi="Arial Narrow"/>
                <w:sz w:val="20"/>
                <w:szCs w:val="20"/>
              </w:rPr>
            </w:pPr>
            <w:r w:rsidRPr="000B49C6">
              <w:rPr>
                <w:rFonts w:ascii="Arial Narrow" w:hAnsi="Arial Narrow"/>
                <w:sz w:val="20"/>
                <w:szCs w:val="20"/>
              </w:rPr>
              <w:t>clinical cure;</w:t>
            </w:r>
          </w:p>
          <w:p w:rsidR="00D370B3" w:rsidRPr="000B49C6" w:rsidRDefault="00D370B3" w:rsidP="00F4358C">
            <w:pPr>
              <w:pStyle w:val="ListParagraph"/>
              <w:widowControl/>
              <w:numPr>
                <w:ilvl w:val="0"/>
                <w:numId w:val="7"/>
              </w:numPr>
              <w:spacing w:after="0"/>
              <w:ind w:left="259" w:hanging="259"/>
              <w:jc w:val="left"/>
              <w:rPr>
                <w:rFonts w:ascii="Arial Narrow" w:hAnsi="Arial Narrow"/>
                <w:sz w:val="20"/>
                <w:szCs w:val="20"/>
              </w:rPr>
            </w:pPr>
            <w:r w:rsidRPr="000B49C6">
              <w:rPr>
                <w:rFonts w:ascii="Arial Narrow" w:hAnsi="Arial Narrow"/>
                <w:sz w:val="20"/>
                <w:szCs w:val="20"/>
              </w:rPr>
              <w:t>clinical failure;</w:t>
            </w:r>
          </w:p>
          <w:p w:rsidR="00D370B3" w:rsidRPr="000B49C6" w:rsidRDefault="00D370B3" w:rsidP="00F4358C">
            <w:pPr>
              <w:pStyle w:val="ListParagraph"/>
              <w:widowControl/>
              <w:numPr>
                <w:ilvl w:val="0"/>
                <w:numId w:val="7"/>
              </w:numPr>
              <w:spacing w:after="0"/>
              <w:ind w:left="259" w:hanging="259"/>
              <w:jc w:val="left"/>
              <w:rPr>
                <w:rFonts w:ascii="Arial Narrow" w:hAnsi="Arial Narrow"/>
                <w:sz w:val="20"/>
                <w:szCs w:val="20"/>
              </w:rPr>
            </w:pPr>
            <w:r w:rsidRPr="000B49C6">
              <w:rPr>
                <w:rFonts w:ascii="Arial Narrow" w:hAnsi="Arial Narrow"/>
                <w:sz w:val="20"/>
                <w:szCs w:val="20"/>
              </w:rPr>
              <w:t>colectomy;</w:t>
            </w:r>
          </w:p>
          <w:p w:rsidR="00D370B3" w:rsidRPr="000B49C6" w:rsidRDefault="00D370B3" w:rsidP="00F4358C">
            <w:pPr>
              <w:pStyle w:val="ListParagraph"/>
              <w:widowControl/>
              <w:numPr>
                <w:ilvl w:val="0"/>
                <w:numId w:val="7"/>
              </w:numPr>
              <w:spacing w:after="0"/>
              <w:ind w:left="259" w:hanging="259"/>
              <w:jc w:val="left"/>
              <w:rPr>
                <w:rFonts w:ascii="Arial Narrow" w:hAnsi="Arial Narrow"/>
                <w:sz w:val="20"/>
                <w:szCs w:val="20"/>
              </w:rPr>
            </w:pPr>
            <w:r w:rsidRPr="000B49C6">
              <w:rPr>
                <w:rFonts w:ascii="Arial Narrow" w:hAnsi="Arial Narrow"/>
                <w:sz w:val="20"/>
                <w:szCs w:val="20"/>
              </w:rPr>
              <w:t xml:space="preserve">recurrent mild/moderate CDI; </w:t>
            </w:r>
          </w:p>
          <w:p w:rsidR="00D370B3" w:rsidRPr="000B49C6" w:rsidRDefault="00D370B3" w:rsidP="00F4358C">
            <w:pPr>
              <w:pStyle w:val="ListParagraph"/>
              <w:widowControl/>
              <w:numPr>
                <w:ilvl w:val="0"/>
                <w:numId w:val="7"/>
              </w:numPr>
              <w:spacing w:after="0"/>
              <w:ind w:left="259" w:hanging="259"/>
              <w:jc w:val="left"/>
              <w:rPr>
                <w:rFonts w:ascii="Arial Narrow" w:hAnsi="Arial Narrow"/>
                <w:sz w:val="20"/>
                <w:szCs w:val="20"/>
              </w:rPr>
            </w:pPr>
            <w:r w:rsidRPr="000B49C6">
              <w:rPr>
                <w:rFonts w:ascii="Arial Narrow" w:hAnsi="Arial Narrow"/>
                <w:sz w:val="20"/>
                <w:szCs w:val="20"/>
              </w:rPr>
              <w:t xml:space="preserve">Recurrent severe CDI; and </w:t>
            </w:r>
          </w:p>
          <w:p w:rsidR="00D370B3" w:rsidRPr="000B49C6" w:rsidRDefault="00D370B3" w:rsidP="00F4358C">
            <w:pPr>
              <w:pStyle w:val="ListParagraph"/>
              <w:widowControl/>
              <w:numPr>
                <w:ilvl w:val="0"/>
                <w:numId w:val="7"/>
              </w:numPr>
              <w:spacing w:after="0"/>
              <w:ind w:left="259" w:hanging="259"/>
              <w:jc w:val="left"/>
              <w:rPr>
                <w:rFonts w:ascii="Arial Narrow" w:hAnsi="Arial Narrow"/>
                <w:sz w:val="20"/>
                <w:szCs w:val="20"/>
              </w:rPr>
            </w:pPr>
            <w:r w:rsidRPr="000B49C6">
              <w:rPr>
                <w:rFonts w:ascii="Arial Narrow" w:hAnsi="Arial Narrow"/>
                <w:sz w:val="20"/>
                <w:szCs w:val="20"/>
              </w:rPr>
              <w:t>Death.</w:t>
            </w:r>
          </w:p>
        </w:tc>
        <w:tc>
          <w:tcPr>
            <w:tcW w:w="2173" w:type="pct"/>
            <w:vAlign w:val="center"/>
          </w:tcPr>
          <w:p w:rsidR="00D370B3" w:rsidRPr="000B49C6" w:rsidRDefault="00D370B3" w:rsidP="00F4358C">
            <w:pPr>
              <w:pStyle w:val="Tabletext"/>
            </w:pPr>
            <w:r w:rsidRPr="000B49C6">
              <w:t>7 main health states (removing the colectomy health state)</w:t>
            </w:r>
          </w:p>
          <w:p w:rsidR="00D370B3" w:rsidRPr="000B49C6" w:rsidRDefault="00D370B3" w:rsidP="00F4358C">
            <w:pPr>
              <w:pStyle w:val="ListParagraph"/>
              <w:widowControl/>
              <w:numPr>
                <w:ilvl w:val="0"/>
                <w:numId w:val="7"/>
              </w:numPr>
              <w:spacing w:after="0"/>
              <w:ind w:left="259" w:hanging="259"/>
              <w:jc w:val="left"/>
              <w:rPr>
                <w:rFonts w:ascii="Arial Narrow" w:hAnsi="Arial Narrow"/>
                <w:sz w:val="20"/>
                <w:szCs w:val="20"/>
              </w:rPr>
            </w:pPr>
            <w:r w:rsidRPr="000B49C6">
              <w:rPr>
                <w:rFonts w:ascii="Arial Narrow" w:hAnsi="Arial Narrow"/>
                <w:sz w:val="20"/>
                <w:szCs w:val="20"/>
              </w:rPr>
              <w:t>mild/moderate CDI;</w:t>
            </w:r>
          </w:p>
          <w:p w:rsidR="00D370B3" w:rsidRPr="000B49C6" w:rsidRDefault="00D370B3" w:rsidP="00F4358C">
            <w:pPr>
              <w:pStyle w:val="ListParagraph"/>
              <w:widowControl/>
              <w:numPr>
                <w:ilvl w:val="0"/>
                <w:numId w:val="7"/>
              </w:numPr>
              <w:spacing w:after="0"/>
              <w:ind w:left="259" w:hanging="259"/>
              <w:jc w:val="left"/>
              <w:rPr>
                <w:rFonts w:ascii="Arial Narrow" w:hAnsi="Arial Narrow"/>
                <w:sz w:val="20"/>
                <w:szCs w:val="20"/>
              </w:rPr>
            </w:pPr>
            <w:r w:rsidRPr="000B49C6">
              <w:rPr>
                <w:rFonts w:ascii="Arial Narrow" w:hAnsi="Arial Narrow"/>
                <w:sz w:val="20"/>
                <w:szCs w:val="20"/>
              </w:rPr>
              <w:t>severe CDI;</w:t>
            </w:r>
          </w:p>
          <w:p w:rsidR="00D370B3" w:rsidRPr="000B49C6" w:rsidRDefault="00D370B3" w:rsidP="00F4358C">
            <w:pPr>
              <w:pStyle w:val="ListParagraph"/>
              <w:widowControl/>
              <w:numPr>
                <w:ilvl w:val="0"/>
                <w:numId w:val="7"/>
              </w:numPr>
              <w:spacing w:after="0"/>
              <w:ind w:left="259" w:hanging="259"/>
              <w:jc w:val="left"/>
              <w:rPr>
                <w:rFonts w:ascii="Arial Narrow" w:hAnsi="Arial Narrow"/>
                <w:sz w:val="20"/>
                <w:szCs w:val="20"/>
              </w:rPr>
            </w:pPr>
            <w:r w:rsidRPr="000B49C6">
              <w:rPr>
                <w:rFonts w:ascii="Arial Narrow" w:hAnsi="Arial Narrow"/>
                <w:sz w:val="20"/>
                <w:szCs w:val="20"/>
              </w:rPr>
              <w:t>clinical cure;</w:t>
            </w:r>
          </w:p>
          <w:p w:rsidR="00D370B3" w:rsidRPr="000B49C6" w:rsidRDefault="00D370B3" w:rsidP="00F4358C">
            <w:pPr>
              <w:pStyle w:val="ListParagraph"/>
              <w:widowControl/>
              <w:numPr>
                <w:ilvl w:val="0"/>
                <w:numId w:val="7"/>
              </w:numPr>
              <w:spacing w:after="0"/>
              <w:ind w:left="259" w:hanging="259"/>
              <w:jc w:val="left"/>
              <w:rPr>
                <w:rFonts w:ascii="Arial Narrow" w:hAnsi="Arial Narrow"/>
                <w:sz w:val="20"/>
                <w:szCs w:val="20"/>
              </w:rPr>
            </w:pPr>
            <w:r w:rsidRPr="000B49C6">
              <w:rPr>
                <w:rFonts w:ascii="Arial Narrow" w:hAnsi="Arial Narrow"/>
                <w:sz w:val="20"/>
                <w:szCs w:val="20"/>
              </w:rPr>
              <w:t>clinical failure;</w:t>
            </w:r>
          </w:p>
          <w:p w:rsidR="00D370B3" w:rsidRPr="000B49C6" w:rsidRDefault="00D370B3" w:rsidP="00F4358C">
            <w:pPr>
              <w:pStyle w:val="ListParagraph"/>
              <w:widowControl/>
              <w:numPr>
                <w:ilvl w:val="0"/>
                <w:numId w:val="7"/>
              </w:numPr>
              <w:spacing w:after="0"/>
              <w:ind w:left="259" w:hanging="259"/>
              <w:jc w:val="left"/>
              <w:rPr>
                <w:rFonts w:ascii="Arial Narrow" w:hAnsi="Arial Narrow"/>
                <w:sz w:val="20"/>
                <w:szCs w:val="20"/>
              </w:rPr>
            </w:pPr>
            <w:r w:rsidRPr="000B49C6">
              <w:rPr>
                <w:rFonts w:ascii="Arial Narrow" w:hAnsi="Arial Narrow"/>
                <w:sz w:val="20"/>
                <w:szCs w:val="20"/>
              </w:rPr>
              <w:t>Recurrent CDI mild/moderate</w:t>
            </w:r>
          </w:p>
          <w:p w:rsidR="00D370B3" w:rsidRPr="000B49C6" w:rsidRDefault="00D370B3" w:rsidP="00F4358C">
            <w:pPr>
              <w:pStyle w:val="ListParagraph"/>
              <w:widowControl/>
              <w:numPr>
                <w:ilvl w:val="0"/>
                <w:numId w:val="7"/>
              </w:numPr>
              <w:spacing w:after="0"/>
              <w:ind w:left="259" w:hanging="259"/>
              <w:jc w:val="left"/>
              <w:rPr>
                <w:rFonts w:ascii="Arial Narrow" w:hAnsi="Arial Narrow"/>
                <w:sz w:val="20"/>
                <w:szCs w:val="20"/>
              </w:rPr>
            </w:pPr>
            <w:r w:rsidRPr="000B49C6">
              <w:rPr>
                <w:rFonts w:ascii="Arial Narrow" w:hAnsi="Arial Narrow"/>
                <w:sz w:val="20"/>
                <w:szCs w:val="20"/>
              </w:rPr>
              <w:t xml:space="preserve">Recurrent severe CDI; and </w:t>
            </w:r>
          </w:p>
          <w:p w:rsidR="00D370B3" w:rsidRPr="000B49C6" w:rsidRDefault="00D370B3" w:rsidP="00F4358C">
            <w:pPr>
              <w:pStyle w:val="ListParagraph"/>
              <w:widowControl/>
              <w:numPr>
                <w:ilvl w:val="0"/>
                <w:numId w:val="7"/>
              </w:numPr>
              <w:spacing w:after="0"/>
              <w:ind w:left="259" w:hanging="259"/>
              <w:jc w:val="left"/>
              <w:rPr>
                <w:rFonts w:ascii="Arial Narrow" w:hAnsi="Arial Narrow"/>
                <w:sz w:val="20"/>
                <w:szCs w:val="20"/>
              </w:rPr>
            </w:pPr>
            <w:r w:rsidRPr="000B49C6">
              <w:rPr>
                <w:rFonts w:ascii="Arial Narrow" w:hAnsi="Arial Narrow"/>
                <w:sz w:val="20"/>
                <w:szCs w:val="20"/>
              </w:rPr>
              <w:t>Death.</w:t>
            </w:r>
          </w:p>
        </w:tc>
      </w:tr>
      <w:tr w:rsidR="00D370B3" w:rsidRPr="000B49C6" w:rsidTr="00363F50">
        <w:trPr>
          <w:cantSplit/>
        </w:trPr>
        <w:tc>
          <w:tcPr>
            <w:tcW w:w="784" w:type="pct"/>
            <w:vAlign w:val="center"/>
          </w:tcPr>
          <w:p w:rsidR="00D370B3" w:rsidRPr="000B49C6" w:rsidRDefault="00D370B3" w:rsidP="00F4358C">
            <w:pPr>
              <w:pStyle w:val="Tabletext"/>
            </w:pPr>
            <w:r w:rsidRPr="000B49C6">
              <w:t>Cycle length</w:t>
            </w:r>
          </w:p>
        </w:tc>
        <w:tc>
          <w:tcPr>
            <w:tcW w:w="2043" w:type="pct"/>
            <w:shd w:val="clear" w:color="auto" w:fill="D9D9D9" w:themeFill="background1" w:themeFillShade="D9"/>
            <w:vAlign w:val="center"/>
          </w:tcPr>
          <w:p w:rsidR="00D370B3" w:rsidRPr="000B49C6" w:rsidRDefault="00D370B3" w:rsidP="00F4358C">
            <w:pPr>
              <w:pStyle w:val="Tabletext"/>
            </w:pPr>
            <w:r w:rsidRPr="000B49C6">
              <w:t>15 days in the first year, annual cycle length thereafter; with half cycle corrections to costs and benefits.</w:t>
            </w:r>
          </w:p>
        </w:tc>
        <w:tc>
          <w:tcPr>
            <w:tcW w:w="2173" w:type="pct"/>
            <w:vAlign w:val="center"/>
          </w:tcPr>
          <w:p w:rsidR="00D370B3" w:rsidRPr="000B49C6" w:rsidRDefault="00D370B3" w:rsidP="00F4358C">
            <w:pPr>
              <w:pStyle w:val="Tabletext"/>
            </w:pPr>
            <w:r w:rsidRPr="000B49C6">
              <w:t>30 days in the first year, annual cycle length thereafter; with half cycle corrections to costs and benefits.</w:t>
            </w:r>
          </w:p>
        </w:tc>
      </w:tr>
      <w:tr w:rsidR="00D370B3" w:rsidRPr="000B49C6" w:rsidTr="00363F50">
        <w:trPr>
          <w:cantSplit/>
        </w:trPr>
        <w:tc>
          <w:tcPr>
            <w:tcW w:w="784" w:type="pct"/>
            <w:vAlign w:val="center"/>
          </w:tcPr>
          <w:p w:rsidR="00D370B3" w:rsidRPr="000B49C6" w:rsidRDefault="00D370B3" w:rsidP="00363F50">
            <w:pPr>
              <w:pStyle w:val="Tabletext"/>
              <w:keepNext/>
            </w:pPr>
            <w:r w:rsidRPr="000B49C6">
              <w:lastRenderedPageBreak/>
              <w:t>Transition probabilities</w:t>
            </w:r>
          </w:p>
        </w:tc>
        <w:tc>
          <w:tcPr>
            <w:tcW w:w="2043" w:type="pct"/>
            <w:shd w:val="clear" w:color="auto" w:fill="D9D9D9" w:themeFill="background1" w:themeFillShade="D9"/>
            <w:vAlign w:val="center"/>
          </w:tcPr>
          <w:p w:rsidR="00D370B3" w:rsidRPr="000B49C6" w:rsidRDefault="00D370B3" w:rsidP="00363F50">
            <w:pPr>
              <w:pStyle w:val="Tabletext"/>
              <w:keepNext/>
              <w:rPr>
                <w:szCs w:val="20"/>
              </w:rPr>
            </w:pPr>
            <w:r w:rsidRPr="000B49C6">
              <w:rPr>
                <w:szCs w:val="20"/>
              </w:rPr>
              <w:t>Efficacy estimates regarding the probability of CDI recurrence were derived from the MODIFY I and MODIFY II outpatient population adjusted to the 15 day cycle length in the first year of the model.</w:t>
            </w:r>
          </w:p>
          <w:p w:rsidR="00D370B3" w:rsidRPr="000B49C6" w:rsidRDefault="00D370B3" w:rsidP="00363F50">
            <w:pPr>
              <w:pStyle w:val="Tabletext"/>
              <w:keepNext/>
              <w:rPr>
                <w:szCs w:val="20"/>
              </w:rPr>
            </w:pPr>
          </w:p>
          <w:p w:rsidR="00D370B3" w:rsidRPr="000B49C6" w:rsidRDefault="00D370B3" w:rsidP="00363F50">
            <w:pPr>
              <w:pStyle w:val="Tabletext"/>
              <w:keepNext/>
              <w:rPr>
                <w:szCs w:val="20"/>
              </w:rPr>
            </w:pPr>
            <w:r w:rsidRPr="000B49C6">
              <w:rPr>
                <w:szCs w:val="20"/>
              </w:rPr>
              <w:t>Mortality (up to 180 days) were informed by Olsen (2015):</w:t>
            </w:r>
          </w:p>
          <w:p w:rsidR="00D370B3" w:rsidRPr="000B49C6" w:rsidRDefault="00D370B3" w:rsidP="00363F50">
            <w:pPr>
              <w:pStyle w:val="Tabletext"/>
              <w:keepNext/>
              <w:numPr>
                <w:ilvl w:val="0"/>
                <w:numId w:val="9"/>
              </w:numPr>
              <w:ind w:left="249" w:hanging="141"/>
              <w:rPr>
                <w:rFonts w:eastAsia="Calibri" w:cs="Arial"/>
              </w:rPr>
            </w:pPr>
            <w:r w:rsidRPr="000B49C6">
              <w:rPr>
                <w:rFonts w:eastAsia="Calibri" w:cs="Arial"/>
              </w:rPr>
              <w:t xml:space="preserve">180-day </w:t>
            </w:r>
            <w:r w:rsidR="00710672" w:rsidRPr="000B49C6">
              <w:rPr>
                <w:rFonts w:eastAsia="Calibri" w:cs="Arial"/>
              </w:rPr>
              <w:t>all-cause</w:t>
            </w:r>
            <w:r w:rsidRPr="000B49C6">
              <w:rPr>
                <w:rFonts w:eastAsia="Calibri" w:cs="Arial"/>
              </w:rPr>
              <w:t xml:space="preserve"> mortality (no recurrences): 25.7% (adjusted to 15-day mortality 0.0245)</w:t>
            </w:r>
          </w:p>
          <w:p w:rsidR="00D370B3" w:rsidRPr="000B49C6" w:rsidRDefault="00D370B3" w:rsidP="00363F50">
            <w:pPr>
              <w:pStyle w:val="Tabletext"/>
              <w:keepNext/>
              <w:numPr>
                <w:ilvl w:val="0"/>
                <w:numId w:val="9"/>
              </w:numPr>
              <w:ind w:left="249" w:hanging="141"/>
              <w:rPr>
                <w:rFonts w:eastAsia="Calibri" w:cs="Arial"/>
              </w:rPr>
            </w:pPr>
            <w:r w:rsidRPr="000B49C6">
              <w:rPr>
                <w:rFonts w:eastAsia="Calibri" w:cs="Arial"/>
              </w:rPr>
              <w:t xml:space="preserve">180-day </w:t>
            </w:r>
            <w:r w:rsidR="00710672" w:rsidRPr="000B49C6">
              <w:rPr>
                <w:rFonts w:eastAsia="Calibri" w:cs="Arial"/>
              </w:rPr>
              <w:t>all-cause</w:t>
            </w:r>
            <w:r w:rsidRPr="000B49C6">
              <w:rPr>
                <w:rFonts w:eastAsia="Calibri" w:cs="Arial"/>
              </w:rPr>
              <w:t xml:space="preserve"> mortality (recurrences): 36.3%  (adjusted to 15-day mortality 0.0391)</w:t>
            </w:r>
          </w:p>
          <w:p w:rsidR="00D370B3" w:rsidRPr="000B49C6" w:rsidRDefault="00D370B3" w:rsidP="00363F50">
            <w:pPr>
              <w:pStyle w:val="Tabletext"/>
              <w:keepNext/>
              <w:numPr>
                <w:ilvl w:val="0"/>
                <w:numId w:val="9"/>
              </w:numPr>
              <w:ind w:left="249" w:hanging="141"/>
              <w:rPr>
                <w:rFonts w:eastAsia="Calibri" w:cs="Arial"/>
              </w:rPr>
            </w:pPr>
            <w:r w:rsidRPr="000B49C6">
              <w:rPr>
                <w:rFonts w:eastAsia="Calibri" w:cs="Arial"/>
              </w:rPr>
              <w:t>Hazard ratio mortality (calibrated): 1.6</w:t>
            </w:r>
          </w:p>
          <w:p w:rsidR="00D370B3" w:rsidRPr="000B49C6" w:rsidRDefault="00D370B3" w:rsidP="00363F50">
            <w:pPr>
              <w:pStyle w:val="Tabletext"/>
              <w:keepNext/>
              <w:rPr>
                <w:szCs w:val="20"/>
              </w:rPr>
            </w:pPr>
          </w:p>
          <w:p w:rsidR="00D370B3" w:rsidRPr="000B49C6" w:rsidRDefault="00D370B3" w:rsidP="00363F50">
            <w:pPr>
              <w:pStyle w:val="Tabletext"/>
              <w:keepNext/>
            </w:pPr>
            <w:r w:rsidRPr="000B49C6">
              <w:rPr>
                <w:szCs w:val="20"/>
              </w:rPr>
              <w:t>Background deaths (after 180 days) were informed by Australian Bureau of Statistics life tables.</w:t>
            </w:r>
          </w:p>
        </w:tc>
        <w:tc>
          <w:tcPr>
            <w:tcW w:w="2173" w:type="pct"/>
            <w:vAlign w:val="center"/>
          </w:tcPr>
          <w:p w:rsidR="00D370B3" w:rsidRPr="000B49C6" w:rsidRDefault="00D370B3" w:rsidP="00363F50">
            <w:pPr>
              <w:pStyle w:val="Tabletext"/>
              <w:keepNext/>
            </w:pPr>
            <w:r w:rsidRPr="000B49C6">
              <w:rPr>
                <w:szCs w:val="20"/>
              </w:rPr>
              <w:t xml:space="preserve">Efficacy estimates regarding the probability of CDI recurrence were derived from the MODIFY I and MODIFY II </w:t>
            </w:r>
            <w:r w:rsidRPr="000B49C6">
              <w:t>high risk population in an “Ad hoc analysis of MODIFY I and MODIFY II trials. Merck &amp; Co., Inc. data on file”</w:t>
            </w:r>
            <w:r w:rsidR="00991401">
              <w:t xml:space="preserve">. </w:t>
            </w:r>
            <w:r w:rsidRPr="000B49C6">
              <w:t xml:space="preserve">This was an augmented “high risk” group compared to the trial, removing patients whose only risk factor was having a </w:t>
            </w:r>
            <w:proofErr w:type="spellStart"/>
            <w:r w:rsidRPr="000B49C6">
              <w:t>hypervirulent</w:t>
            </w:r>
            <w:proofErr w:type="spellEnd"/>
            <w:r w:rsidRPr="000B49C6">
              <w:t xml:space="preserve"> strain of CDI</w:t>
            </w:r>
            <w:r w:rsidR="00991401">
              <w:t xml:space="preserve">. </w:t>
            </w:r>
            <w:r w:rsidRPr="000B49C6">
              <w:t xml:space="preserve">No data were provided in the resubmission to permit verification of the estimated treatment effect for </w:t>
            </w:r>
            <w:proofErr w:type="spellStart"/>
            <w:r w:rsidRPr="000B49C6">
              <w:t>bezlotoxumab</w:t>
            </w:r>
            <w:proofErr w:type="spellEnd"/>
            <w:r w:rsidRPr="000B49C6">
              <w:t xml:space="preserve"> versus placebo.</w:t>
            </w:r>
          </w:p>
          <w:p w:rsidR="00D370B3" w:rsidRPr="000B49C6" w:rsidRDefault="00D370B3" w:rsidP="00363F50">
            <w:pPr>
              <w:pStyle w:val="Tabletext"/>
              <w:keepNext/>
            </w:pPr>
          </w:p>
          <w:p w:rsidR="00D370B3" w:rsidRPr="000B49C6" w:rsidRDefault="00D370B3" w:rsidP="00363F50">
            <w:pPr>
              <w:pStyle w:val="Tabletext"/>
              <w:keepNext/>
            </w:pPr>
            <w:r w:rsidRPr="000B49C6">
              <w:t xml:space="preserve">Mortality remained a key driver of cost effectiveness, despite no difference in mortality between </w:t>
            </w:r>
            <w:proofErr w:type="spellStart"/>
            <w:r w:rsidRPr="000B49C6">
              <w:t>bezlotoxumab</w:t>
            </w:r>
            <w:proofErr w:type="spellEnd"/>
            <w:r w:rsidRPr="000B49C6">
              <w:t xml:space="preserve"> and placebo treated patients in the MODIFY trials</w:t>
            </w:r>
            <w:r w:rsidR="00991401">
              <w:t xml:space="preserve">. </w:t>
            </w:r>
            <w:r w:rsidRPr="000B49C6">
              <w:rPr>
                <w:szCs w:val="20"/>
              </w:rPr>
              <w:t>Mortality (up to 180 days) were informed by the literature</w:t>
            </w:r>
            <w:r w:rsidR="00CB525E" w:rsidRPr="000B49C6">
              <w:rPr>
                <w:szCs w:val="20"/>
              </w:rPr>
              <w:t xml:space="preserve"> (with </w:t>
            </w:r>
            <w:r w:rsidR="00710672" w:rsidRPr="000B49C6">
              <w:rPr>
                <w:szCs w:val="20"/>
              </w:rPr>
              <w:t>calibration</w:t>
            </w:r>
            <w:r w:rsidR="00CB525E" w:rsidRPr="000B49C6">
              <w:rPr>
                <w:szCs w:val="20"/>
              </w:rPr>
              <w:t xml:space="preserve"> step removed)</w:t>
            </w:r>
            <w:r w:rsidRPr="000B49C6">
              <w:rPr>
                <w:szCs w:val="20"/>
              </w:rPr>
              <w:t>:</w:t>
            </w:r>
          </w:p>
          <w:p w:rsidR="00D370B3" w:rsidRPr="000B49C6" w:rsidRDefault="00D370B3" w:rsidP="00363F50">
            <w:pPr>
              <w:pStyle w:val="Tabletext"/>
              <w:keepNext/>
              <w:numPr>
                <w:ilvl w:val="0"/>
                <w:numId w:val="9"/>
              </w:numPr>
              <w:ind w:left="249" w:hanging="141"/>
              <w:rPr>
                <w:rFonts w:eastAsia="Calibri" w:cs="Arial"/>
              </w:rPr>
            </w:pPr>
            <w:r w:rsidRPr="000B49C6">
              <w:rPr>
                <w:rFonts w:eastAsia="Calibri" w:cs="Arial"/>
              </w:rPr>
              <w:t xml:space="preserve">30-day all-cause mortality (no recurrences) </w:t>
            </w:r>
            <w:proofErr w:type="gramStart"/>
            <w:r w:rsidRPr="000B49C6">
              <w:rPr>
                <w:rFonts w:eastAsia="Calibri" w:cs="Arial"/>
              </w:rPr>
              <w:t>were</w:t>
            </w:r>
            <w:proofErr w:type="gramEnd"/>
            <w:r w:rsidRPr="000B49C6">
              <w:rPr>
                <w:rFonts w:eastAsia="Calibri" w:cs="Arial"/>
              </w:rPr>
              <w:t xml:space="preserve"> informed by </w:t>
            </w:r>
            <w:r w:rsidRPr="000B49C6">
              <w:rPr>
                <w:szCs w:val="20"/>
              </w:rPr>
              <w:t xml:space="preserve">Huber </w:t>
            </w:r>
            <w:r w:rsidR="00CC5D6C" w:rsidRPr="00CC5D6C">
              <w:rPr>
                <w:i/>
                <w:szCs w:val="20"/>
              </w:rPr>
              <w:t>et. al.</w:t>
            </w:r>
            <w:r w:rsidRPr="000B49C6">
              <w:rPr>
                <w:szCs w:val="20"/>
              </w:rPr>
              <w:t xml:space="preserve"> </w:t>
            </w:r>
            <w:r w:rsidRPr="000B49C6">
              <w:rPr>
                <w:rFonts w:eastAsia="Calibri" w:cs="Arial"/>
              </w:rPr>
              <w:t>2014</w:t>
            </w:r>
            <w:r w:rsidRPr="000B49C6">
              <w:rPr>
                <w:szCs w:val="20"/>
              </w:rPr>
              <w:t>, an Australian publication:</w:t>
            </w:r>
            <w:r w:rsidRPr="000B49C6">
              <w:rPr>
                <w:rFonts w:eastAsia="Calibri" w:cs="Arial"/>
              </w:rPr>
              <w:t xml:space="preserve"> 3.6% </w:t>
            </w:r>
          </w:p>
          <w:p w:rsidR="00D370B3" w:rsidRPr="000B49C6" w:rsidRDefault="00D370B3" w:rsidP="00363F50">
            <w:pPr>
              <w:pStyle w:val="Tabletext"/>
              <w:keepNext/>
              <w:numPr>
                <w:ilvl w:val="0"/>
                <w:numId w:val="9"/>
              </w:numPr>
              <w:ind w:left="249" w:hanging="141"/>
              <w:rPr>
                <w:rFonts w:eastAsia="Calibri" w:cs="Arial"/>
              </w:rPr>
            </w:pPr>
            <w:r w:rsidRPr="000B49C6">
              <w:rPr>
                <w:rFonts w:eastAsia="Calibri" w:cs="Arial"/>
              </w:rPr>
              <w:t>30-day all-cause mortality (recurrences) was estimated using the hazard ratio for mortality of 1.33 (from Olsen 2015) to be 4.79%.</w:t>
            </w:r>
          </w:p>
          <w:p w:rsidR="00D370B3" w:rsidRPr="000B49C6" w:rsidRDefault="00D370B3" w:rsidP="00363F50">
            <w:pPr>
              <w:pStyle w:val="Tabletext"/>
              <w:keepNext/>
              <w:rPr>
                <w:szCs w:val="20"/>
              </w:rPr>
            </w:pPr>
          </w:p>
          <w:p w:rsidR="00D370B3" w:rsidRPr="000B49C6" w:rsidRDefault="00D370B3" w:rsidP="00363F50">
            <w:pPr>
              <w:pStyle w:val="Tabletext"/>
              <w:keepNext/>
              <w:rPr>
                <w:rFonts w:eastAsia="Calibri" w:cs="Arial"/>
              </w:rPr>
            </w:pPr>
            <w:r w:rsidRPr="000B49C6">
              <w:rPr>
                <w:szCs w:val="20"/>
              </w:rPr>
              <w:t>Background deaths (after 180 days) were informed by Australian Bureau of Statistics life tables.</w:t>
            </w:r>
          </w:p>
        </w:tc>
      </w:tr>
      <w:tr w:rsidR="00D370B3" w:rsidRPr="000B49C6" w:rsidTr="00363F50">
        <w:trPr>
          <w:cantSplit/>
        </w:trPr>
        <w:tc>
          <w:tcPr>
            <w:tcW w:w="784" w:type="pct"/>
            <w:vAlign w:val="center"/>
          </w:tcPr>
          <w:p w:rsidR="00D370B3" w:rsidRPr="000B49C6" w:rsidRDefault="00D370B3" w:rsidP="00363F50">
            <w:pPr>
              <w:pStyle w:val="Tabletext"/>
              <w:keepNext/>
            </w:pPr>
            <w:r w:rsidRPr="000B49C6">
              <w:t xml:space="preserve">Costs associated with </w:t>
            </w:r>
            <w:proofErr w:type="spellStart"/>
            <w:r w:rsidRPr="000B49C6">
              <w:t>bezlotoxumab</w:t>
            </w:r>
            <w:proofErr w:type="spellEnd"/>
          </w:p>
        </w:tc>
        <w:tc>
          <w:tcPr>
            <w:tcW w:w="2043" w:type="pct"/>
            <w:shd w:val="clear" w:color="auto" w:fill="D9D9D9" w:themeFill="background1" w:themeFillShade="D9"/>
            <w:vAlign w:val="center"/>
          </w:tcPr>
          <w:p w:rsidR="00D370B3" w:rsidRPr="000B49C6" w:rsidRDefault="00D370B3" w:rsidP="00363F50">
            <w:pPr>
              <w:pStyle w:val="Tabletext"/>
              <w:keepNext/>
              <w:numPr>
                <w:ilvl w:val="0"/>
                <w:numId w:val="13"/>
              </w:numPr>
              <w:ind w:left="108" w:hanging="108"/>
              <w:rPr>
                <w:rFonts w:eastAsia="Calibri" w:cs="Arial"/>
              </w:rPr>
            </w:pPr>
            <w:r w:rsidRPr="000B49C6">
              <w:rPr>
                <w:rFonts w:eastAsia="Calibri" w:cs="Arial"/>
              </w:rPr>
              <w:t xml:space="preserve">Only one dose of </w:t>
            </w:r>
            <w:proofErr w:type="spellStart"/>
            <w:r w:rsidRPr="000B49C6">
              <w:rPr>
                <w:rFonts w:eastAsia="Calibri" w:cs="Arial"/>
              </w:rPr>
              <w:t>bezlotoxumab</w:t>
            </w:r>
            <w:proofErr w:type="spellEnd"/>
            <w:r w:rsidRPr="000B49C6">
              <w:rPr>
                <w:rFonts w:eastAsia="Calibri" w:cs="Arial"/>
              </w:rPr>
              <w:t xml:space="preserve"> was permitted in the model.</w:t>
            </w:r>
          </w:p>
          <w:p w:rsidR="00D370B3" w:rsidRPr="000B49C6" w:rsidRDefault="00D370B3" w:rsidP="00363F50">
            <w:pPr>
              <w:pStyle w:val="Tabletext"/>
              <w:keepNext/>
              <w:numPr>
                <w:ilvl w:val="0"/>
                <w:numId w:val="13"/>
              </w:numPr>
              <w:ind w:left="108" w:hanging="108"/>
              <w:rPr>
                <w:rFonts w:eastAsia="Calibri" w:cs="Arial"/>
              </w:rPr>
            </w:pPr>
            <w:proofErr w:type="spellStart"/>
            <w:r w:rsidRPr="000B49C6">
              <w:t>Bezlotoxumab</w:t>
            </w:r>
            <w:proofErr w:type="spellEnd"/>
            <w:r w:rsidRPr="000B49C6">
              <w:rPr>
                <w:rFonts w:eastAsia="Calibri" w:cs="Arial"/>
              </w:rPr>
              <w:t xml:space="preserve"> + administration: $</w:t>
            </w:r>
            <w:r w:rsidR="00410A2A">
              <w:rPr>
                <w:rFonts w:eastAsia="Calibri" w:cs="Arial"/>
                <w:noProof/>
                <w:color w:val="000000"/>
                <w:highlight w:val="black"/>
              </w:rPr>
              <w:t>'''''''''''''''''''</w:t>
            </w:r>
          </w:p>
          <w:p w:rsidR="00D370B3" w:rsidRPr="000B49C6" w:rsidRDefault="00D370B3" w:rsidP="00363F50">
            <w:pPr>
              <w:pStyle w:val="Tabletext"/>
              <w:keepNext/>
              <w:numPr>
                <w:ilvl w:val="0"/>
                <w:numId w:val="13"/>
              </w:numPr>
              <w:ind w:left="108" w:hanging="108"/>
              <w:rPr>
                <w:szCs w:val="20"/>
              </w:rPr>
            </w:pPr>
            <w:r w:rsidRPr="000B49C6">
              <w:t>Assumed</w:t>
            </w:r>
            <w:r w:rsidRPr="000B49C6">
              <w:rPr>
                <w:rFonts w:eastAsia="Calibri" w:cs="Arial"/>
              </w:rPr>
              <w:t xml:space="preserve"> 10% of patients (weight&gt;100kg) will need 2 vials</w:t>
            </w:r>
          </w:p>
        </w:tc>
        <w:tc>
          <w:tcPr>
            <w:tcW w:w="2173" w:type="pct"/>
            <w:vAlign w:val="center"/>
          </w:tcPr>
          <w:p w:rsidR="00D370B3" w:rsidRPr="000B49C6" w:rsidRDefault="00D370B3" w:rsidP="00363F50">
            <w:pPr>
              <w:pStyle w:val="Tabletext"/>
              <w:keepNext/>
              <w:numPr>
                <w:ilvl w:val="0"/>
                <w:numId w:val="13"/>
              </w:numPr>
              <w:ind w:left="108" w:hanging="108"/>
              <w:rPr>
                <w:rFonts w:eastAsia="Calibri" w:cs="Arial"/>
              </w:rPr>
            </w:pPr>
            <w:r w:rsidRPr="000B49C6">
              <w:rPr>
                <w:rFonts w:eastAsia="Calibri" w:cs="Arial"/>
              </w:rPr>
              <w:t xml:space="preserve">Despite the requested restrictions permitting re-dosing after 90 days, patients in the model were only permitted </w:t>
            </w:r>
            <w:r w:rsidRPr="000B49C6">
              <w:rPr>
                <w:rFonts w:eastAsia="Calibri" w:cs="Arial"/>
                <w:u w:val="single"/>
              </w:rPr>
              <w:t>one dose</w:t>
            </w:r>
            <w:r w:rsidRPr="000B49C6">
              <w:rPr>
                <w:rFonts w:eastAsia="Calibri" w:cs="Arial"/>
              </w:rPr>
              <w:t xml:space="preserve"> of </w:t>
            </w:r>
            <w:proofErr w:type="spellStart"/>
            <w:r w:rsidRPr="000B49C6">
              <w:rPr>
                <w:rFonts w:eastAsia="Calibri" w:cs="Arial"/>
              </w:rPr>
              <w:t>bezlotoxumab</w:t>
            </w:r>
            <w:proofErr w:type="spellEnd"/>
            <w:r w:rsidRPr="000B49C6">
              <w:rPr>
                <w:rFonts w:eastAsia="Calibri" w:cs="Arial"/>
              </w:rPr>
              <w:t>.</w:t>
            </w:r>
          </w:p>
          <w:p w:rsidR="00D370B3" w:rsidRPr="000B49C6" w:rsidRDefault="00D370B3" w:rsidP="00363F50">
            <w:pPr>
              <w:pStyle w:val="Tabletext"/>
              <w:keepNext/>
              <w:numPr>
                <w:ilvl w:val="0"/>
                <w:numId w:val="13"/>
              </w:numPr>
              <w:ind w:left="108" w:hanging="108"/>
              <w:rPr>
                <w:rFonts w:eastAsia="Calibri" w:cs="Arial"/>
              </w:rPr>
            </w:pPr>
            <w:proofErr w:type="spellStart"/>
            <w:r w:rsidRPr="000B49C6">
              <w:t>Bezlotoxumab</w:t>
            </w:r>
            <w:proofErr w:type="spellEnd"/>
            <w:r w:rsidRPr="000B49C6">
              <w:rPr>
                <w:rFonts w:eastAsia="Calibri" w:cs="Arial"/>
              </w:rPr>
              <w:t xml:space="preserve"> + administration: $</w:t>
            </w:r>
            <w:r w:rsidR="00410A2A">
              <w:rPr>
                <w:rFonts w:eastAsia="Calibri" w:cs="Arial"/>
                <w:noProof/>
                <w:color w:val="000000"/>
                <w:highlight w:val="black"/>
              </w:rPr>
              <w:t>'''''''''''''''''''''''</w:t>
            </w:r>
            <w:r w:rsidRPr="000B49C6">
              <w:rPr>
                <w:rFonts w:eastAsia="Calibri" w:cs="Arial"/>
              </w:rPr>
              <w:t xml:space="preserve"> (reflecting a </w:t>
            </w:r>
            <w:r w:rsidR="00410A2A">
              <w:rPr>
                <w:rFonts w:eastAsia="Calibri" w:cs="Arial"/>
                <w:noProof/>
                <w:color w:val="000000"/>
                <w:highlight w:val="black"/>
              </w:rPr>
              <w:t>''''''</w:t>
            </w:r>
            <w:r w:rsidRPr="000B49C6">
              <w:rPr>
                <w:rFonts w:eastAsia="Calibri" w:cs="Arial"/>
              </w:rPr>
              <w:t xml:space="preserve">% price reduction plus specialist visit for infusion </w:t>
            </w:r>
            <w:r w:rsidR="00620550" w:rsidRPr="000B49C6">
              <w:rPr>
                <w:rFonts w:eastAsia="Calibri" w:cs="Arial"/>
              </w:rPr>
              <w:t>specific</w:t>
            </w:r>
            <w:r w:rsidRPr="000B49C6">
              <w:rPr>
                <w:rFonts w:eastAsia="Calibri" w:cs="Arial"/>
              </w:rPr>
              <w:t xml:space="preserve"> </w:t>
            </w:r>
            <w:r w:rsidR="00620550" w:rsidRPr="000B49C6">
              <w:rPr>
                <w:rFonts w:eastAsia="Calibri" w:cs="Arial"/>
              </w:rPr>
              <w:t>AE</w:t>
            </w:r>
            <w:r w:rsidRPr="000B49C6">
              <w:rPr>
                <w:rFonts w:eastAsia="Calibri" w:cs="Arial"/>
              </w:rPr>
              <w:t>s in 10% of the patients).</w:t>
            </w:r>
          </w:p>
          <w:p w:rsidR="00D370B3" w:rsidRPr="000B49C6" w:rsidRDefault="00D370B3" w:rsidP="00363F50">
            <w:pPr>
              <w:pStyle w:val="Tabletext"/>
              <w:keepNext/>
              <w:numPr>
                <w:ilvl w:val="0"/>
                <w:numId w:val="13"/>
              </w:numPr>
              <w:ind w:left="108" w:hanging="108"/>
              <w:rPr>
                <w:rFonts w:eastAsia="Calibri" w:cs="Arial"/>
              </w:rPr>
            </w:pPr>
            <w:r w:rsidRPr="000B49C6">
              <w:t>Assumed</w:t>
            </w:r>
            <w:r w:rsidRPr="000B49C6">
              <w:rPr>
                <w:rFonts w:eastAsia="Calibri" w:cs="Arial"/>
              </w:rPr>
              <w:t xml:space="preserve"> 7.3% of patients (weight&gt;100kg) will need 2 vials.</w:t>
            </w:r>
          </w:p>
        </w:tc>
      </w:tr>
      <w:tr w:rsidR="00D370B3" w:rsidRPr="000B49C6" w:rsidTr="00363F50">
        <w:trPr>
          <w:cantSplit/>
        </w:trPr>
        <w:tc>
          <w:tcPr>
            <w:tcW w:w="784" w:type="pct"/>
            <w:vAlign w:val="center"/>
          </w:tcPr>
          <w:p w:rsidR="00D370B3" w:rsidRPr="000B49C6" w:rsidRDefault="00D370B3" w:rsidP="00363F50">
            <w:pPr>
              <w:pStyle w:val="Tabletext"/>
              <w:keepNext/>
            </w:pPr>
            <w:r w:rsidRPr="000B49C6">
              <w:t>Resource costs</w:t>
            </w:r>
          </w:p>
        </w:tc>
        <w:tc>
          <w:tcPr>
            <w:tcW w:w="2043" w:type="pct"/>
            <w:shd w:val="clear" w:color="auto" w:fill="D9D9D9" w:themeFill="background1" w:themeFillShade="D9"/>
            <w:vAlign w:val="center"/>
          </w:tcPr>
          <w:p w:rsidR="00D370B3" w:rsidRPr="000B49C6" w:rsidRDefault="00D370B3" w:rsidP="00363F50">
            <w:pPr>
              <w:pStyle w:val="Tabletext"/>
              <w:keepNext/>
              <w:numPr>
                <w:ilvl w:val="0"/>
                <w:numId w:val="13"/>
              </w:numPr>
              <w:ind w:left="108" w:hanging="108"/>
            </w:pPr>
            <w:r w:rsidRPr="000B49C6">
              <w:rPr>
                <w:rFonts w:eastAsia="Calibri" w:cs="Arial"/>
              </w:rPr>
              <w:t xml:space="preserve">Cost per </w:t>
            </w:r>
            <w:r w:rsidRPr="000B49C6">
              <w:t>mild/moderate CDI recurrence: $4443.69</w:t>
            </w:r>
            <w:r w:rsidR="004074B5" w:rsidRPr="000B49C6">
              <w:rPr>
                <w:vertAlign w:val="superscript"/>
              </w:rPr>
              <w:t>#</w:t>
            </w:r>
            <w:r w:rsidRPr="000B49C6">
              <w:t>, this included cost of vancomycin, GP and Specialist visits and two pathology tests for CDI and 32%</w:t>
            </w:r>
            <w:r w:rsidR="004074B5" w:rsidRPr="000B49C6">
              <w:rPr>
                <w:vertAlign w:val="superscript"/>
              </w:rPr>
              <w:t>#</w:t>
            </w:r>
            <w:r w:rsidRPr="000B49C6">
              <w:t xml:space="preserve"> of recurrences were assumed to require hospital admissions at $12,563 per episode.</w:t>
            </w:r>
          </w:p>
          <w:p w:rsidR="00D370B3" w:rsidRPr="000B49C6" w:rsidRDefault="00D370B3" w:rsidP="00363F50">
            <w:pPr>
              <w:pStyle w:val="Tabletext"/>
              <w:keepNext/>
              <w:numPr>
                <w:ilvl w:val="0"/>
                <w:numId w:val="13"/>
              </w:numPr>
              <w:ind w:left="108" w:hanging="108"/>
              <w:rPr>
                <w:rFonts w:eastAsia="Calibri" w:cs="Arial"/>
              </w:rPr>
            </w:pPr>
            <w:r w:rsidRPr="000B49C6">
              <w:t>Cos</w:t>
            </w:r>
            <w:r w:rsidRPr="000B49C6">
              <w:rPr>
                <w:rFonts w:eastAsia="Calibri" w:cs="Arial"/>
              </w:rPr>
              <w:t>t per severe CDI recurrence: $30,890.70 (assumed 100% of patients will be hospitalised and that 0.7% of those with severe CDI will require colectomy at cost of $6,539 per episode).</w:t>
            </w:r>
          </w:p>
        </w:tc>
        <w:tc>
          <w:tcPr>
            <w:tcW w:w="2173" w:type="pct"/>
            <w:vAlign w:val="center"/>
          </w:tcPr>
          <w:p w:rsidR="00D370B3" w:rsidRPr="000B49C6" w:rsidRDefault="00D370B3" w:rsidP="00363F50">
            <w:pPr>
              <w:pStyle w:val="Tabletext"/>
              <w:keepNext/>
              <w:numPr>
                <w:ilvl w:val="0"/>
                <w:numId w:val="13"/>
              </w:numPr>
              <w:ind w:left="108" w:hanging="108"/>
            </w:pPr>
            <w:r w:rsidRPr="000B49C6">
              <w:rPr>
                <w:rFonts w:eastAsia="Calibri" w:cs="Arial"/>
              </w:rPr>
              <w:t xml:space="preserve">Cost per mild/moderate CDI recurrence: $8556.13 </w:t>
            </w:r>
            <w:r w:rsidRPr="000B49C6">
              <w:t xml:space="preserve">this included cost of vancomycin, GP and </w:t>
            </w:r>
            <w:r w:rsidR="00CB525E" w:rsidRPr="000B49C6">
              <w:t>s</w:t>
            </w:r>
            <w:r w:rsidRPr="000B49C6">
              <w:t>pecialist visits and two pathology tests for CDI and 32% of recurrences were assumed to require hospital admissions at $25,470.23 per episode</w:t>
            </w:r>
            <w:r w:rsidR="00CB525E" w:rsidRPr="000B49C6">
              <w:t xml:space="preserve"> (inflating the NHCDC AR-DRG cost weight for </w:t>
            </w:r>
            <w:r w:rsidR="00CB525E" w:rsidRPr="000B49C6">
              <w:rPr>
                <w:rFonts w:eastAsia="Calibri" w:cs="Arial"/>
              </w:rPr>
              <w:t>T64B by a factor of 2.03)</w:t>
            </w:r>
            <w:r w:rsidRPr="000B49C6">
              <w:t>.</w:t>
            </w:r>
          </w:p>
          <w:p w:rsidR="00D370B3" w:rsidRPr="000B49C6" w:rsidRDefault="00D370B3" w:rsidP="00363F50">
            <w:pPr>
              <w:pStyle w:val="Tabletext"/>
              <w:keepNext/>
              <w:numPr>
                <w:ilvl w:val="0"/>
                <w:numId w:val="13"/>
              </w:numPr>
              <w:ind w:left="108" w:hanging="108"/>
            </w:pPr>
            <w:r w:rsidRPr="000B49C6">
              <w:t xml:space="preserve">Cost per severe CDI recurrence: $41,810.36 </w:t>
            </w:r>
            <w:r w:rsidRPr="000B49C6">
              <w:rPr>
                <w:rFonts w:eastAsia="Calibri" w:cs="Arial"/>
              </w:rPr>
              <w:t xml:space="preserve">(assumed 100% of patients will be hospitalised, inflating the </w:t>
            </w:r>
            <w:r w:rsidR="00CB525E" w:rsidRPr="000B49C6">
              <w:rPr>
                <w:rFonts w:eastAsia="Calibri" w:cs="Arial"/>
              </w:rPr>
              <w:t>AR-</w:t>
            </w:r>
            <w:r w:rsidRPr="000B49C6">
              <w:rPr>
                <w:rFonts w:eastAsia="Calibri" w:cs="Arial"/>
              </w:rPr>
              <w:t>DRG T64A costs by a factor of 1.35).</w:t>
            </w:r>
          </w:p>
          <w:p w:rsidR="00D370B3" w:rsidRPr="000B49C6" w:rsidRDefault="00D370B3" w:rsidP="00363F50">
            <w:pPr>
              <w:pStyle w:val="Tabletext"/>
              <w:keepNext/>
              <w:numPr>
                <w:ilvl w:val="0"/>
                <w:numId w:val="13"/>
              </w:numPr>
              <w:ind w:left="108" w:hanging="108"/>
            </w:pPr>
            <w:r w:rsidRPr="000B49C6">
              <w:t>Mean hospital LOS mild/moderate CDI: 16.4 days</w:t>
            </w:r>
          </w:p>
          <w:p w:rsidR="00D370B3" w:rsidRPr="000B49C6" w:rsidRDefault="00D370B3" w:rsidP="00363F50">
            <w:pPr>
              <w:pStyle w:val="Tabletext"/>
              <w:keepNext/>
              <w:numPr>
                <w:ilvl w:val="0"/>
                <w:numId w:val="13"/>
              </w:numPr>
              <w:ind w:left="108" w:hanging="108"/>
              <w:rPr>
                <w:rFonts w:eastAsia="Calibri" w:cs="Arial"/>
              </w:rPr>
            </w:pPr>
            <w:r w:rsidRPr="000B49C6">
              <w:t>Mean</w:t>
            </w:r>
            <w:r w:rsidRPr="000B49C6">
              <w:rPr>
                <w:rFonts w:eastAsia="Calibri" w:cs="Arial"/>
              </w:rPr>
              <w:t xml:space="preserve"> hospital LOS severe CDI: 22 days</w:t>
            </w:r>
          </w:p>
        </w:tc>
      </w:tr>
      <w:tr w:rsidR="00D370B3" w:rsidRPr="000B49C6" w:rsidTr="00363F50">
        <w:trPr>
          <w:cantSplit/>
        </w:trPr>
        <w:tc>
          <w:tcPr>
            <w:tcW w:w="784" w:type="pct"/>
            <w:vAlign w:val="center"/>
          </w:tcPr>
          <w:p w:rsidR="00D370B3" w:rsidRPr="000B49C6" w:rsidRDefault="00D370B3" w:rsidP="00363F50">
            <w:pPr>
              <w:pStyle w:val="Tabletext"/>
              <w:keepNext/>
            </w:pPr>
            <w:r w:rsidRPr="000B49C6">
              <w:t>Software package</w:t>
            </w:r>
          </w:p>
        </w:tc>
        <w:tc>
          <w:tcPr>
            <w:tcW w:w="2043" w:type="pct"/>
            <w:shd w:val="clear" w:color="auto" w:fill="D9D9D9" w:themeFill="background1" w:themeFillShade="D9"/>
            <w:vAlign w:val="center"/>
          </w:tcPr>
          <w:p w:rsidR="00D370B3" w:rsidRPr="000B49C6" w:rsidRDefault="00D370B3" w:rsidP="00363F50">
            <w:pPr>
              <w:pStyle w:val="Tabletext"/>
              <w:keepNext/>
            </w:pPr>
            <w:r w:rsidRPr="000B49C6">
              <w:t>Microsoft® Excel 2010</w:t>
            </w:r>
          </w:p>
        </w:tc>
        <w:tc>
          <w:tcPr>
            <w:tcW w:w="2173" w:type="pct"/>
            <w:vAlign w:val="center"/>
          </w:tcPr>
          <w:p w:rsidR="00D370B3" w:rsidRPr="000B49C6" w:rsidRDefault="00D370B3" w:rsidP="00363F50">
            <w:pPr>
              <w:pStyle w:val="Tabletext"/>
              <w:keepNext/>
            </w:pPr>
            <w:r w:rsidRPr="000B49C6">
              <w:t>Microsoft® Excel 2010</w:t>
            </w:r>
          </w:p>
        </w:tc>
      </w:tr>
    </w:tbl>
    <w:p w:rsidR="00D370B3" w:rsidRPr="000B49C6" w:rsidRDefault="00D370B3" w:rsidP="00D370B3">
      <w:pPr>
        <w:pStyle w:val="TableFooter"/>
      </w:pPr>
      <w:r w:rsidRPr="000B49C6">
        <w:t>Abbreviations: CDI=</w:t>
      </w:r>
      <w:r w:rsidR="000B49C6" w:rsidRPr="000B49C6">
        <w:rPr>
          <w:i/>
        </w:rPr>
        <w:t>clostridium difficile</w:t>
      </w:r>
      <w:r w:rsidRPr="000B49C6">
        <w:t xml:space="preserve"> infection; </w:t>
      </w:r>
      <w:r w:rsidR="00620550" w:rsidRPr="000B49C6">
        <w:t xml:space="preserve">AE=adverse event; </w:t>
      </w:r>
      <w:proofErr w:type="spellStart"/>
      <w:r w:rsidRPr="000B49C6">
        <w:t>SoC</w:t>
      </w:r>
      <w:proofErr w:type="spellEnd"/>
      <w:r w:rsidRPr="000B49C6">
        <w:t>=standard of care; LOS=length of stay</w:t>
      </w:r>
    </w:p>
    <w:p w:rsidR="00D370B3" w:rsidRPr="000B49C6" w:rsidRDefault="00D370B3" w:rsidP="00D370B3">
      <w:pPr>
        <w:pStyle w:val="TableFooter"/>
      </w:pPr>
      <w:r w:rsidRPr="000B49C6">
        <w:t xml:space="preserve">Shaded areas indicate data previously seen by the PBAC. </w:t>
      </w:r>
    </w:p>
    <w:p w:rsidR="00D370B3" w:rsidRPr="000B49C6" w:rsidRDefault="00D370B3" w:rsidP="00D370B3">
      <w:pPr>
        <w:pStyle w:val="TableFooter"/>
      </w:pPr>
      <w:r w:rsidRPr="000B49C6">
        <w:t>^</w:t>
      </w:r>
      <w:r w:rsidRPr="000B49C6">
        <w:tab/>
        <w:t xml:space="preserve">Redefined high risk group removing patients with </w:t>
      </w:r>
      <w:proofErr w:type="spellStart"/>
      <w:r w:rsidRPr="000B49C6">
        <w:t>hypervirulent</w:t>
      </w:r>
      <w:proofErr w:type="spellEnd"/>
      <w:r w:rsidRPr="000B49C6">
        <w:t xml:space="preserve"> strain (0.27, 0.78, 244 </w:t>
      </w:r>
      <w:proofErr w:type="spellStart"/>
      <w:r w:rsidRPr="000B49C6">
        <w:t>ribotypes</w:t>
      </w:r>
      <w:proofErr w:type="spellEnd"/>
      <w:r w:rsidRPr="000B49C6">
        <w:t>).</w:t>
      </w:r>
    </w:p>
    <w:p w:rsidR="004074B5" w:rsidRPr="000B49C6" w:rsidRDefault="004074B5" w:rsidP="004074B5">
      <w:pPr>
        <w:pStyle w:val="TableFooter"/>
        <w:ind w:left="165" w:hanging="165"/>
      </w:pPr>
      <w:r w:rsidRPr="000B49C6">
        <w:rPr>
          <w:vertAlign w:val="superscript"/>
        </w:rPr>
        <w:t>#</w:t>
      </w:r>
      <w:r w:rsidRPr="000B49C6">
        <w:rPr>
          <w:vertAlign w:val="superscript"/>
        </w:rPr>
        <w:tab/>
      </w:r>
      <w:r w:rsidRPr="000B49C6">
        <w:t>Note a transcription error was detected in the November 2017 model, the proportion of mild/moderate CDI patients requiring hospitalisation was incorrectly calculated to be 41.7%, once transcription error was corrected the proportion of mild/moderate CDI patients requiring hospitalisation was 32%, with an associated cost of $4443.69 (the submission’s cost was: $5,667.72).</w:t>
      </w:r>
    </w:p>
    <w:p w:rsidR="00D370B3" w:rsidRPr="000B49C6" w:rsidRDefault="00D370B3" w:rsidP="00D370B3">
      <w:pPr>
        <w:pStyle w:val="TableFooter"/>
        <w:rPr>
          <w:sz w:val="20"/>
        </w:rPr>
      </w:pPr>
      <w:r w:rsidRPr="000B49C6">
        <w:t>Source: Table 3-2, p87 of the resubmission.</w:t>
      </w:r>
    </w:p>
    <w:p w:rsidR="0050509A" w:rsidRDefault="00BA3D28" w:rsidP="00CC5D6C">
      <w:pPr>
        <w:pStyle w:val="ListParagraph"/>
        <w:widowControl/>
        <w:numPr>
          <w:ilvl w:val="1"/>
          <w:numId w:val="3"/>
        </w:numPr>
      </w:pPr>
      <w:r>
        <w:lastRenderedPageBreak/>
        <w:t xml:space="preserve">The </w:t>
      </w:r>
      <w:r w:rsidR="00CC5D6C" w:rsidRPr="000B49C6">
        <w:t xml:space="preserve">data </w:t>
      </w:r>
      <w:r>
        <w:t>used to inform</w:t>
      </w:r>
      <w:r w:rsidR="00CC5D6C" w:rsidRPr="000B49C6">
        <w:t xml:space="preserve"> the modelled economic evaluation was based on an </w:t>
      </w:r>
      <w:r w:rsidR="00CC5D6C" w:rsidRPr="00BA3D28">
        <w:rPr>
          <w:i/>
        </w:rPr>
        <w:t>ad hoc</w:t>
      </w:r>
      <w:r w:rsidR="00CC5D6C" w:rsidRPr="000B49C6">
        <w:t xml:space="preserve"> analysis conducted by the </w:t>
      </w:r>
      <w:r>
        <w:t>s</w:t>
      </w:r>
      <w:r w:rsidR="00CC5D6C" w:rsidRPr="000B49C6">
        <w:t>ponsor</w:t>
      </w:r>
      <w:r>
        <w:t xml:space="preserve">, which removed patients </w:t>
      </w:r>
      <w:r w:rsidRPr="000B49C6">
        <w:t xml:space="preserve">whose only risk factor for recurrence was being infected with a </w:t>
      </w:r>
      <w:proofErr w:type="spellStart"/>
      <w:r w:rsidRPr="000B49C6">
        <w:t>hypervirulent</w:t>
      </w:r>
      <w:proofErr w:type="spellEnd"/>
      <w:r w:rsidRPr="000B49C6">
        <w:t xml:space="preserve"> strain of CDI (</w:t>
      </w:r>
      <w:proofErr w:type="spellStart"/>
      <w:r w:rsidRPr="000B49C6">
        <w:t>ribotypes</w:t>
      </w:r>
      <w:proofErr w:type="spellEnd"/>
      <w:r w:rsidRPr="000B49C6">
        <w:t xml:space="preserve"> 0.27, 078 or 244)</w:t>
      </w:r>
      <w:r>
        <w:t>,</w:t>
      </w:r>
      <w:r w:rsidR="00CC5D6C">
        <w:t xml:space="preserve"> </w:t>
      </w:r>
      <w:r>
        <w:t>o</w:t>
      </w:r>
      <w:r w:rsidR="00CC5D6C" w:rsidRPr="000B49C6">
        <w:t xml:space="preserve">n the basis that the 027 </w:t>
      </w:r>
      <w:proofErr w:type="spellStart"/>
      <w:r w:rsidR="00CC5D6C" w:rsidRPr="000B49C6">
        <w:t>ribotype</w:t>
      </w:r>
      <w:proofErr w:type="spellEnd"/>
      <w:r w:rsidR="00CC5D6C" w:rsidRPr="000B49C6">
        <w:t xml:space="preserve"> has low prevalence in Australia</w:t>
      </w:r>
      <w:r w:rsidR="00CC5D6C">
        <w:t xml:space="preserve">. </w:t>
      </w:r>
      <w:r>
        <w:t xml:space="preserve">. However, </w:t>
      </w:r>
      <w:proofErr w:type="spellStart"/>
      <w:r w:rsidRPr="000B49C6">
        <w:t>ribotype</w:t>
      </w:r>
      <w:proofErr w:type="spellEnd"/>
      <w:r w:rsidRPr="000B49C6">
        <w:t xml:space="preserve"> 244 is reasonably common in Australia</w:t>
      </w:r>
      <w:r>
        <w:t>. The</w:t>
      </w:r>
      <w:r w:rsidR="00CC5D6C" w:rsidRPr="000B49C6">
        <w:t xml:space="preserve"> data </w:t>
      </w:r>
      <w:r>
        <w:t>and</w:t>
      </w:r>
      <w:r w:rsidR="00CC5D6C" w:rsidRPr="000B49C6">
        <w:t xml:space="preserve"> results from the </w:t>
      </w:r>
      <w:r w:rsidR="00CC5D6C" w:rsidRPr="00BA3D28">
        <w:rPr>
          <w:i/>
        </w:rPr>
        <w:t>ad</w:t>
      </w:r>
      <w:r w:rsidRPr="00BA3D28">
        <w:rPr>
          <w:i/>
        </w:rPr>
        <w:t xml:space="preserve"> </w:t>
      </w:r>
      <w:r w:rsidR="00CC5D6C" w:rsidRPr="00BA3D28">
        <w:rPr>
          <w:i/>
        </w:rPr>
        <w:t>hoc</w:t>
      </w:r>
      <w:r w:rsidR="00CC5D6C" w:rsidRPr="000B49C6">
        <w:t xml:space="preserve"> analysis were not provided with the resubmission for verification Despite these shortcomings, as the number of patients excluded from the </w:t>
      </w:r>
      <w:r w:rsidR="00CC5D6C" w:rsidRPr="00C60D25">
        <w:rPr>
          <w:i/>
        </w:rPr>
        <w:t>ad</w:t>
      </w:r>
      <w:r w:rsidR="00C60D25" w:rsidRPr="00C60D25">
        <w:rPr>
          <w:i/>
        </w:rPr>
        <w:t xml:space="preserve"> </w:t>
      </w:r>
      <w:r w:rsidR="00CC5D6C" w:rsidRPr="00C60D25">
        <w:rPr>
          <w:i/>
        </w:rPr>
        <w:t>hoc</w:t>
      </w:r>
      <w:r w:rsidR="00CC5D6C" w:rsidRPr="000B49C6">
        <w:t xml:space="preserve"> analysis was small (n=</w:t>
      </w:r>
      <w:r w:rsidR="00410A2A">
        <w:rPr>
          <w:noProof/>
          <w:color w:val="000000"/>
          <w:highlight w:val="black"/>
        </w:rPr>
        <w:t>'''''</w:t>
      </w:r>
      <w:r w:rsidR="00C60D25">
        <w:t>;</w:t>
      </w:r>
      <w:r w:rsidR="00CC5D6C" w:rsidRPr="000B49C6">
        <w:t xml:space="preserve"> </w:t>
      </w:r>
      <w:r w:rsidR="00410A2A">
        <w:rPr>
          <w:noProof/>
          <w:color w:val="000000"/>
          <w:highlight w:val="black"/>
        </w:rPr>
        <w:t>'''</w:t>
      </w:r>
      <w:r w:rsidR="00CC5D6C" w:rsidRPr="000B49C6">
        <w:t xml:space="preserve">% of total high risk population) </w:t>
      </w:r>
      <w:r w:rsidR="00C60D25">
        <w:t xml:space="preserve">and </w:t>
      </w:r>
      <w:r w:rsidR="00CC5D6C" w:rsidRPr="000B49C6">
        <w:t xml:space="preserve">the results for the two subgroup populations were similar, this was unlikely to </w:t>
      </w:r>
      <w:r w:rsidR="00C60D25">
        <w:t xml:space="preserve">considerably </w:t>
      </w:r>
      <w:r w:rsidR="00CC5D6C" w:rsidRPr="000B49C6">
        <w:t>affect clinical conclusions or model results.</w:t>
      </w:r>
    </w:p>
    <w:p w:rsidR="0027401D" w:rsidRPr="000B49C6" w:rsidRDefault="0027401D" w:rsidP="0027401D">
      <w:pPr>
        <w:pStyle w:val="ListParagraph"/>
        <w:widowControl/>
        <w:numPr>
          <w:ilvl w:val="1"/>
          <w:numId w:val="3"/>
        </w:numPr>
        <w:rPr>
          <w:iCs/>
        </w:rPr>
      </w:pPr>
      <w:r w:rsidRPr="000B49C6">
        <w:t>All patients enter the model with a current CDI, either mild/moderate or severe (based on the MODIFY I and II trial proportions)</w:t>
      </w:r>
      <w:r w:rsidR="00991401">
        <w:t xml:space="preserve">. </w:t>
      </w:r>
      <w:r w:rsidRPr="000B49C6">
        <w:t>The model assumed a 30-day cycle length for the first year and annual cycles thereafter</w:t>
      </w:r>
      <w:r w:rsidR="00991401">
        <w:t xml:space="preserve">. </w:t>
      </w:r>
      <w:r w:rsidRPr="000B49C6">
        <w:t>In the first cycle (Days 0-30), patients with mild/moderate or severe CDI can transition into one of the following health states: clinical cure, clinical failure or death.</w:t>
      </w:r>
    </w:p>
    <w:p w:rsidR="0027401D" w:rsidRPr="000B49C6" w:rsidRDefault="0027401D" w:rsidP="0027401D">
      <w:pPr>
        <w:pStyle w:val="ListParagraph"/>
        <w:widowControl/>
        <w:numPr>
          <w:ilvl w:val="1"/>
          <w:numId w:val="3"/>
        </w:numPr>
      </w:pPr>
      <w:r w:rsidRPr="000B49C6">
        <w:t>Patients who transitioned to clinical cure can experience recurrent CDI in the next cycle based on the 30-day probabilities (estimated from MODIFY I and MODIFY II data)</w:t>
      </w:r>
      <w:r w:rsidR="00991401">
        <w:t xml:space="preserve">. </w:t>
      </w:r>
      <w:r w:rsidRPr="000B49C6">
        <w:t>Only patients in clinical cure can experience CDI recurrence within 30 days (1 cycle)</w:t>
      </w:r>
      <w:r w:rsidR="00991401">
        <w:t xml:space="preserve">. </w:t>
      </w:r>
      <w:r w:rsidRPr="000B49C6">
        <w:t>Those who do not have a CDI recurrence 1 cycle post attaining clinical cure were assumed to not have any CDI recurrence for the rest of the model</w:t>
      </w:r>
      <w:r w:rsidR="00C60D25">
        <w:t xml:space="preserve"> </w:t>
      </w:r>
      <w:r w:rsidR="00C60D25" w:rsidRPr="000B49C6">
        <w:rPr>
          <w:iCs/>
        </w:rPr>
        <w:t>(base case time horizon 10 years)</w:t>
      </w:r>
      <w:r w:rsidRPr="000B49C6">
        <w:t>.</w:t>
      </w:r>
      <w:r w:rsidR="00C60D25" w:rsidRPr="002206BD">
        <w:rPr>
          <w:rFonts w:cs="Calibri"/>
          <w:snapToGrid/>
          <w:szCs w:val="24"/>
          <w:lang w:eastAsia="en-AU"/>
        </w:rPr>
        <w:t xml:space="preserve"> The MODIFY II extension study provided follow-up data for only 12 months.</w:t>
      </w:r>
    </w:p>
    <w:p w:rsidR="0027401D" w:rsidRPr="000B49C6" w:rsidRDefault="0027401D" w:rsidP="0027401D">
      <w:pPr>
        <w:pStyle w:val="ListParagraph"/>
        <w:widowControl/>
        <w:numPr>
          <w:ilvl w:val="1"/>
          <w:numId w:val="3"/>
        </w:numPr>
      </w:pPr>
      <w:r w:rsidRPr="000B49C6">
        <w:t>A mortality difference was assumed between those with and those without</w:t>
      </w:r>
      <w:r w:rsidR="00C60D25" w:rsidRPr="00C60D25">
        <w:t xml:space="preserve"> </w:t>
      </w:r>
      <w:r w:rsidR="00C60D25">
        <w:t xml:space="preserve">CDI </w:t>
      </w:r>
      <w:r w:rsidR="00C60D25" w:rsidRPr="000B49C6">
        <w:t>recurrence</w:t>
      </w:r>
      <w:r w:rsidR="00991401">
        <w:t xml:space="preserve">. </w:t>
      </w:r>
      <w:r w:rsidRPr="000B49C6">
        <w:t xml:space="preserve">The 30-day mortality without CDI recurrence (3.6%) was sourced from Huber </w:t>
      </w:r>
      <w:r w:rsidR="00CC5D6C" w:rsidRPr="00CC5D6C">
        <w:rPr>
          <w:i/>
        </w:rPr>
        <w:t>et. al.</w:t>
      </w:r>
      <w:r w:rsidRPr="000B49C6">
        <w:t xml:space="preserve"> 2014 then</w:t>
      </w:r>
      <w:r w:rsidR="00C60D25">
        <w:t xml:space="preserve"> the</w:t>
      </w:r>
      <w:r w:rsidRPr="000B49C6">
        <w:t xml:space="preserve"> mortality rate for patient</w:t>
      </w:r>
      <w:r w:rsidR="00C60D25">
        <w:t>s</w:t>
      </w:r>
      <w:r w:rsidRPr="000B49C6">
        <w:t xml:space="preserve"> with recurrence were estimated by multiplying </w:t>
      </w:r>
      <w:r w:rsidR="00C60D25">
        <w:t xml:space="preserve">this value by </w:t>
      </w:r>
      <w:r w:rsidRPr="000B49C6">
        <w:t xml:space="preserve">the </w:t>
      </w:r>
      <w:r w:rsidR="00C60D25">
        <w:t xml:space="preserve">mortality </w:t>
      </w:r>
      <w:r w:rsidRPr="000B49C6">
        <w:t xml:space="preserve">hazard ratio (HR) reported by Olsen </w:t>
      </w:r>
      <w:r w:rsidR="00CC5D6C" w:rsidRPr="00CC5D6C">
        <w:rPr>
          <w:i/>
        </w:rPr>
        <w:t>et. al.</w:t>
      </w:r>
      <w:r w:rsidRPr="000B49C6">
        <w:t xml:space="preserve"> 2015 (1.33)</w:t>
      </w:r>
      <w:r w:rsidR="00991401">
        <w:t xml:space="preserve">. </w:t>
      </w:r>
      <w:r w:rsidRPr="000B49C6">
        <w:t xml:space="preserve">These </w:t>
      </w:r>
      <w:r w:rsidR="007507AC">
        <w:t>mortality rates</w:t>
      </w:r>
      <w:r w:rsidR="007507AC" w:rsidRPr="000B49C6">
        <w:t xml:space="preserve"> </w:t>
      </w:r>
      <w:r w:rsidRPr="000B49C6">
        <w:t xml:space="preserve">were applied for the first 180 days </w:t>
      </w:r>
      <w:r w:rsidR="00C60D25">
        <w:t>(</w:t>
      </w:r>
      <w:r w:rsidRPr="000B49C6">
        <w:t>6 cycles</w:t>
      </w:r>
      <w:r w:rsidR="00C60D25">
        <w:t>)</w:t>
      </w:r>
      <w:r w:rsidRPr="000B49C6">
        <w:t xml:space="preserve"> </w:t>
      </w:r>
      <w:r w:rsidR="00C60D25">
        <w:t>of</w:t>
      </w:r>
      <w:r w:rsidRPr="000B49C6">
        <w:t xml:space="preserve"> the model</w:t>
      </w:r>
      <w:r w:rsidR="00991401">
        <w:t xml:space="preserve">. </w:t>
      </w:r>
      <w:r w:rsidRPr="000B49C6">
        <w:t>Mortality after 180 days was based on the Australian Bureau of Statistics life tables</w:t>
      </w:r>
      <w:r w:rsidR="00991401">
        <w:t xml:space="preserve">. </w:t>
      </w:r>
    </w:p>
    <w:p w:rsidR="0027401D" w:rsidRPr="000B49C6" w:rsidRDefault="0027401D" w:rsidP="0027401D">
      <w:pPr>
        <w:pStyle w:val="ListParagraph"/>
        <w:widowControl/>
        <w:numPr>
          <w:ilvl w:val="1"/>
          <w:numId w:val="3"/>
        </w:numPr>
        <w:rPr>
          <w:iCs/>
        </w:rPr>
      </w:pPr>
      <w:r w:rsidRPr="000B49C6">
        <w:t>All patients who do not die or transition to clinical cure after 1 cycle transition to clinical failure health state</w:t>
      </w:r>
      <w:r w:rsidR="00991401">
        <w:t xml:space="preserve">. </w:t>
      </w:r>
      <w:r w:rsidRPr="000B49C6">
        <w:t xml:space="preserve">Patients in clinical failure </w:t>
      </w:r>
      <w:r w:rsidR="00C60D25" w:rsidRPr="000B49C6">
        <w:t>w</w:t>
      </w:r>
      <w:r w:rsidR="00C60D25">
        <w:t>ere</w:t>
      </w:r>
      <w:r w:rsidR="00C60D25" w:rsidRPr="000B49C6">
        <w:t xml:space="preserve"> </w:t>
      </w:r>
      <w:r w:rsidRPr="000B49C6">
        <w:t xml:space="preserve">assumed to have a health state utility </w:t>
      </w:r>
      <w:r w:rsidR="00E82A52">
        <w:t xml:space="preserve">the same as for mild/moderate CDI </w:t>
      </w:r>
      <w:r w:rsidRPr="000B49C6">
        <w:t>(0.880) for the cycle irrespective of whether their initial CDI was mild/moderate or severe</w:t>
      </w:r>
      <w:r w:rsidR="00991401">
        <w:t xml:space="preserve">. </w:t>
      </w:r>
      <w:r w:rsidRPr="000B49C6">
        <w:t xml:space="preserve">Due to a lack of data to inform inputs, patients in clinical failure </w:t>
      </w:r>
      <w:r w:rsidR="00BA747C" w:rsidRPr="000B49C6">
        <w:t xml:space="preserve">were </w:t>
      </w:r>
      <w:r w:rsidRPr="000B49C6">
        <w:t xml:space="preserve">assumed to have the same risk of death as patients in clinical cure, and transition </w:t>
      </w:r>
      <w:r w:rsidR="00C60D25" w:rsidRPr="000B49C6">
        <w:t xml:space="preserve">after 1 cycle </w:t>
      </w:r>
      <w:r w:rsidRPr="000B49C6">
        <w:t xml:space="preserve">to a post clinical failure state where the patient </w:t>
      </w:r>
      <w:r w:rsidR="00C60D25" w:rsidRPr="000B49C6">
        <w:t>c</w:t>
      </w:r>
      <w:r w:rsidR="00C60D25">
        <w:t>ould not</w:t>
      </w:r>
      <w:r w:rsidR="00C60D25" w:rsidRPr="000B49C6">
        <w:t xml:space="preserve"> </w:t>
      </w:r>
      <w:r w:rsidRPr="000B49C6">
        <w:t xml:space="preserve">experience CDI recurrence and was assumed to have </w:t>
      </w:r>
      <w:r w:rsidR="00C60D25">
        <w:t>a</w:t>
      </w:r>
      <w:r w:rsidR="00C60D25" w:rsidRPr="000B49C6">
        <w:t xml:space="preserve"> </w:t>
      </w:r>
      <w:r w:rsidRPr="000B49C6">
        <w:t>health state utility of 1.</w:t>
      </w:r>
    </w:p>
    <w:p w:rsidR="0027401D" w:rsidRPr="000B49C6" w:rsidRDefault="0027401D" w:rsidP="0027401D">
      <w:pPr>
        <w:pStyle w:val="ListParagraph"/>
        <w:widowControl/>
        <w:numPr>
          <w:ilvl w:val="1"/>
          <w:numId w:val="3"/>
        </w:numPr>
      </w:pPr>
      <w:r w:rsidRPr="000B49C6">
        <w:t xml:space="preserve">Health state utilities were calculated based on the patient’s health state multiplied by the corresponding quality of life based on the patient’s age and gender, which were based on a population self-reported health using the EQ-5D </w:t>
      </w:r>
      <w:r w:rsidR="002206BD" w:rsidRPr="000B49C6">
        <w:t>instru</w:t>
      </w:r>
      <w:r w:rsidR="002206BD">
        <w:t>ment</w:t>
      </w:r>
      <w:r w:rsidRPr="000B49C6">
        <w:t>(</w:t>
      </w:r>
      <w:proofErr w:type="spellStart"/>
      <w:r w:rsidRPr="000B49C6">
        <w:t>Szende</w:t>
      </w:r>
      <w:proofErr w:type="spellEnd"/>
      <w:r w:rsidRPr="000B49C6">
        <w:t xml:space="preserve"> 2014).</w:t>
      </w:r>
    </w:p>
    <w:p w:rsidR="0027401D" w:rsidRPr="000B49C6" w:rsidRDefault="0027401D" w:rsidP="0027401D">
      <w:pPr>
        <w:pStyle w:val="ListParagraph"/>
        <w:widowControl/>
        <w:numPr>
          <w:ilvl w:val="1"/>
          <w:numId w:val="3"/>
        </w:numPr>
      </w:pPr>
      <w:r w:rsidRPr="000B49C6">
        <w:lastRenderedPageBreak/>
        <w:t>Patients with CDI recurrence can have either mild/moderate or severe CDI</w:t>
      </w:r>
      <w:r w:rsidR="00991401">
        <w:t xml:space="preserve">. </w:t>
      </w:r>
      <w:r w:rsidRPr="000B49C6">
        <w:t>Similar to initial CDI episodes, patients may then transition to clinical cure, clinical failure or death</w:t>
      </w:r>
      <w:r w:rsidR="00991401">
        <w:t xml:space="preserve">. </w:t>
      </w:r>
      <w:r w:rsidRPr="000B49C6">
        <w:t>Patients who achieved clinical cure from the first CDI recurrence may experience further CDI recurrence within 30 days (1 cycle) of the recurrent episode</w:t>
      </w:r>
      <w:r w:rsidR="00252BB3">
        <w:t>. The recurrence rate for the first 30 days of the</w:t>
      </w:r>
      <w:r w:rsidR="007507AC">
        <w:t xml:space="preserve"> model was based on the 84</w:t>
      </w:r>
      <w:r w:rsidR="007507AC">
        <w:noBreakHyphen/>
      </w:r>
      <w:r w:rsidR="00252BB3">
        <w:t>day probability of recurrence from t</w:t>
      </w:r>
      <w:r w:rsidR="007507AC">
        <w:t xml:space="preserve">he MODIFY trials (which favours </w:t>
      </w:r>
      <w:proofErr w:type="spellStart"/>
      <w:r w:rsidR="007507AC">
        <w:t>bezlotoxumab</w:t>
      </w:r>
      <w:proofErr w:type="spellEnd"/>
      <w:r w:rsidR="007507AC">
        <w:t xml:space="preserve"> as be</w:t>
      </w:r>
      <w:r w:rsidR="00252BB3">
        <w:t>n</w:t>
      </w:r>
      <w:r w:rsidR="007507AC">
        <w:t>e</w:t>
      </w:r>
      <w:r w:rsidR="00252BB3">
        <w:t xml:space="preserve">fits </w:t>
      </w:r>
      <w:r w:rsidR="007507AC">
        <w:t>are accrued</w:t>
      </w:r>
      <w:r w:rsidR="00252BB3">
        <w:t xml:space="preserve"> earlier). The recurrence rate for 2</w:t>
      </w:r>
      <w:r w:rsidR="00252BB3" w:rsidRPr="00252BB3">
        <w:rPr>
          <w:vertAlign w:val="superscript"/>
        </w:rPr>
        <w:t>nd</w:t>
      </w:r>
      <w:r w:rsidR="00252BB3">
        <w:t xml:space="preserve"> and 3</w:t>
      </w:r>
      <w:r w:rsidR="00252BB3" w:rsidRPr="00252BB3">
        <w:rPr>
          <w:vertAlign w:val="superscript"/>
        </w:rPr>
        <w:t>rd</w:t>
      </w:r>
      <w:r w:rsidR="00252BB3">
        <w:t xml:space="preserve"> CDI recurrence was the same for both treatment arms and was assumed to occur </w:t>
      </w:r>
      <w:r w:rsidRPr="000B49C6">
        <w:t xml:space="preserve">at a greater </w:t>
      </w:r>
      <w:r w:rsidR="00710672" w:rsidRPr="000B49C6">
        <w:t>rate than</w:t>
      </w:r>
      <w:r w:rsidRPr="000B49C6">
        <w:t xml:space="preserve"> </w:t>
      </w:r>
      <w:r w:rsidR="00252BB3">
        <w:t xml:space="preserve">observed </w:t>
      </w:r>
      <w:r w:rsidRPr="000B49C6">
        <w:t>in</w:t>
      </w:r>
      <w:r w:rsidR="00252BB3">
        <w:t xml:space="preserve"> the</w:t>
      </w:r>
      <w:r w:rsidRPr="000B49C6">
        <w:t xml:space="preserve"> MODIFY I and MODIFY II</w:t>
      </w:r>
      <w:r w:rsidR="00252BB3">
        <w:t xml:space="preserve"> of 45%</w:t>
      </w:r>
      <w:r w:rsidRPr="000B49C6">
        <w:t>.</w:t>
      </w:r>
    </w:p>
    <w:p w:rsidR="0027401D" w:rsidRPr="000B49C6" w:rsidRDefault="0027401D" w:rsidP="0027401D">
      <w:pPr>
        <w:pStyle w:val="ListParagraph"/>
        <w:widowControl/>
        <w:numPr>
          <w:ilvl w:val="1"/>
          <w:numId w:val="3"/>
        </w:numPr>
        <w:rPr>
          <w:iCs/>
        </w:rPr>
      </w:pPr>
      <w:r w:rsidRPr="000B49C6">
        <w:t>A total of three CDI recurrences were permitted in the model, after which patients cannot experience any more CDI recurrences</w:t>
      </w:r>
      <w:r w:rsidR="00991401">
        <w:t xml:space="preserve">. </w:t>
      </w:r>
      <w:r w:rsidRPr="000B49C6">
        <w:t>Due to model set up, all recurrences occurred within the first 150 days in the model</w:t>
      </w:r>
      <w:r w:rsidR="00991401">
        <w:t xml:space="preserve">. </w:t>
      </w:r>
      <w:r w:rsidRPr="000B49C6">
        <w:t xml:space="preserve">The remainder of the model time horizon (3496 days) </w:t>
      </w:r>
      <w:r w:rsidR="00BA747C" w:rsidRPr="000B49C6">
        <w:t xml:space="preserve">was </w:t>
      </w:r>
      <w:r w:rsidRPr="000B49C6">
        <w:t>not informed by outcomes from the MODIFY I and MODIFY II trials.</w:t>
      </w:r>
    </w:p>
    <w:p w:rsidR="0027401D" w:rsidRPr="000B49C6" w:rsidRDefault="0027401D" w:rsidP="0027401D">
      <w:pPr>
        <w:pStyle w:val="ListParagraph"/>
        <w:widowControl/>
        <w:numPr>
          <w:ilvl w:val="1"/>
          <w:numId w:val="3"/>
        </w:numPr>
      </w:pPr>
      <w:r w:rsidRPr="000B49C6">
        <w:t xml:space="preserve">Based on PBAC feedback from the November 2017 submission, the updated modelled economic evaluation appropriately assumed that 10% of patients receiving </w:t>
      </w:r>
      <w:proofErr w:type="spellStart"/>
      <w:r w:rsidRPr="000B49C6">
        <w:t>bezlotoxumab</w:t>
      </w:r>
      <w:proofErr w:type="spellEnd"/>
      <w:r w:rsidRPr="000B49C6">
        <w:t xml:space="preserve"> (as per trial results) will experience an infusion related event with an associated cost of one specialist visit.</w:t>
      </w:r>
    </w:p>
    <w:p w:rsidR="003D0BBD" w:rsidRPr="000B49C6" w:rsidRDefault="00D370B3" w:rsidP="00D370B3">
      <w:pPr>
        <w:pStyle w:val="ListParagraph"/>
        <w:widowControl/>
        <w:numPr>
          <w:ilvl w:val="1"/>
          <w:numId w:val="3"/>
        </w:numPr>
      </w:pPr>
      <w:r w:rsidRPr="000B49C6">
        <w:t>Key drivers of the economic evaluation</w:t>
      </w:r>
      <w:r w:rsidR="00363F50" w:rsidRPr="000B49C6">
        <w:t xml:space="preserve"> are summarised in Table </w:t>
      </w:r>
      <w:r w:rsidR="00E82A52">
        <w:t>7</w:t>
      </w:r>
      <w:r w:rsidRPr="000B49C6">
        <w:t>.</w:t>
      </w:r>
    </w:p>
    <w:p w:rsidR="00D370B3" w:rsidRPr="000B49C6" w:rsidRDefault="003D0BBD" w:rsidP="00363F50">
      <w:pPr>
        <w:widowControl/>
        <w:jc w:val="left"/>
      </w:pPr>
      <w:r w:rsidRPr="000B49C6">
        <w:br w:type="page"/>
      </w:r>
    </w:p>
    <w:p w:rsidR="00363F50" w:rsidRPr="000B49C6" w:rsidRDefault="00363F50" w:rsidP="00363F50">
      <w:pPr>
        <w:pStyle w:val="Caption"/>
        <w:keepNext/>
        <w:spacing w:after="60"/>
        <w:rPr>
          <w:rFonts w:ascii="Arial Narrow" w:hAnsi="Arial Narrow"/>
          <w:color w:val="auto"/>
          <w:sz w:val="20"/>
          <w:szCs w:val="20"/>
        </w:rPr>
      </w:pPr>
      <w:r w:rsidRPr="000B49C6">
        <w:rPr>
          <w:rFonts w:ascii="Arial Narrow" w:hAnsi="Arial Narrow"/>
          <w:color w:val="auto"/>
          <w:sz w:val="20"/>
          <w:szCs w:val="20"/>
        </w:rPr>
        <w:lastRenderedPageBreak/>
        <w:t xml:space="preserve">Table </w:t>
      </w:r>
      <w:r w:rsidR="00E82A52">
        <w:rPr>
          <w:rFonts w:ascii="Arial Narrow" w:hAnsi="Arial Narrow"/>
          <w:color w:val="auto"/>
          <w:sz w:val="20"/>
          <w:szCs w:val="20"/>
        </w:rPr>
        <w:t>7</w:t>
      </w:r>
      <w:r w:rsidRPr="000B49C6">
        <w:rPr>
          <w:rFonts w:ascii="Arial Narrow" w:hAnsi="Arial Narrow"/>
          <w:color w:val="auto"/>
          <w:sz w:val="20"/>
          <w:szCs w:val="20"/>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Key drivers of the model"/>
      </w:tblPr>
      <w:tblGrid>
        <w:gridCol w:w="1123"/>
        <w:gridCol w:w="6882"/>
        <w:gridCol w:w="1078"/>
      </w:tblGrid>
      <w:tr w:rsidR="00D370B3" w:rsidRPr="000B49C6" w:rsidTr="00363F50">
        <w:trPr>
          <w:tblHeader/>
        </w:trPr>
        <w:tc>
          <w:tcPr>
            <w:tcW w:w="618" w:type="pct"/>
            <w:shd w:val="clear" w:color="auto" w:fill="auto"/>
            <w:vAlign w:val="center"/>
          </w:tcPr>
          <w:p w:rsidR="00D370B3" w:rsidRPr="000B49C6" w:rsidRDefault="00D370B3" w:rsidP="00D370B3">
            <w:pPr>
              <w:pStyle w:val="Tabletext"/>
              <w:rPr>
                <w:b/>
              </w:rPr>
            </w:pPr>
            <w:r w:rsidRPr="000B49C6">
              <w:rPr>
                <w:b/>
              </w:rPr>
              <w:t>Description</w:t>
            </w:r>
          </w:p>
        </w:tc>
        <w:tc>
          <w:tcPr>
            <w:tcW w:w="3788" w:type="pct"/>
            <w:shd w:val="clear" w:color="auto" w:fill="auto"/>
            <w:vAlign w:val="center"/>
          </w:tcPr>
          <w:p w:rsidR="00D370B3" w:rsidRPr="000B49C6" w:rsidRDefault="00D370B3" w:rsidP="00D370B3">
            <w:pPr>
              <w:pStyle w:val="Tabletext"/>
              <w:jc w:val="center"/>
              <w:rPr>
                <w:b/>
              </w:rPr>
            </w:pPr>
            <w:r w:rsidRPr="000B49C6">
              <w:rPr>
                <w:b/>
              </w:rPr>
              <w:t>Method/Value</w:t>
            </w:r>
          </w:p>
        </w:tc>
        <w:tc>
          <w:tcPr>
            <w:tcW w:w="593" w:type="pct"/>
            <w:shd w:val="clear" w:color="auto" w:fill="auto"/>
            <w:vAlign w:val="center"/>
          </w:tcPr>
          <w:p w:rsidR="00D370B3" w:rsidRPr="000B49C6" w:rsidRDefault="00D370B3" w:rsidP="00A23EA8">
            <w:pPr>
              <w:pStyle w:val="Tabletext"/>
              <w:jc w:val="center"/>
              <w:rPr>
                <w:b/>
              </w:rPr>
            </w:pPr>
            <w:r w:rsidRPr="000B49C6">
              <w:rPr>
                <w:b/>
              </w:rPr>
              <w:t>Impact</w:t>
            </w:r>
            <w:r w:rsidR="00444166" w:rsidRPr="000B49C6">
              <w:rPr>
                <w:b/>
              </w:rPr>
              <w:t xml:space="preserve"> on ICER</w:t>
            </w:r>
          </w:p>
        </w:tc>
      </w:tr>
      <w:tr w:rsidR="00A31CCB" w:rsidRPr="000B49C6" w:rsidTr="00363F50">
        <w:trPr>
          <w:trHeight w:val="2524"/>
        </w:trPr>
        <w:tc>
          <w:tcPr>
            <w:tcW w:w="618" w:type="pct"/>
            <w:shd w:val="clear" w:color="auto" w:fill="auto"/>
            <w:vAlign w:val="center"/>
          </w:tcPr>
          <w:p w:rsidR="00A31CCB" w:rsidRPr="000B49C6" w:rsidDel="00E1518D" w:rsidRDefault="00A31CCB" w:rsidP="00BC4FE9">
            <w:pPr>
              <w:pStyle w:val="Tabletext"/>
            </w:pPr>
            <w:r w:rsidRPr="000B49C6">
              <w:t xml:space="preserve">CDI recurrence rate for </w:t>
            </w:r>
            <w:proofErr w:type="spellStart"/>
            <w:r w:rsidRPr="000B49C6">
              <w:t>SoC</w:t>
            </w:r>
            <w:proofErr w:type="spellEnd"/>
          </w:p>
        </w:tc>
        <w:tc>
          <w:tcPr>
            <w:tcW w:w="3788" w:type="pct"/>
            <w:shd w:val="clear" w:color="auto" w:fill="auto"/>
            <w:vAlign w:val="center"/>
          </w:tcPr>
          <w:p w:rsidR="00A31CCB" w:rsidRPr="000B49C6" w:rsidRDefault="00A31CCB" w:rsidP="00CB525E">
            <w:pPr>
              <w:pStyle w:val="Tabletext"/>
            </w:pPr>
            <w:r w:rsidRPr="000B49C6">
              <w:t xml:space="preserve">The 30-day first CDI recurrence rate for </w:t>
            </w:r>
            <w:proofErr w:type="spellStart"/>
            <w:r w:rsidRPr="000B49C6">
              <w:t>SoC</w:t>
            </w:r>
            <w:proofErr w:type="spellEnd"/>
            <w:r w:rsidRPr="000B49C6">
              <w:t xml:space="preserve"> and </w:t>
            </w:r>
            <w:proofErr w:type="spellStart"/>
            <w:r w:rsidRPr="000B49C6">
              <w:t>bezlotoxumab</w:t>
            </w:r>
            <w:proofErr w:type="spellEnd"/>
            <w:r w:rsidRPr="000B49C6">
              <w:t xml:space="preserve"> were informed by results of the MODIFY trials (resubmission</w:t>
            </w:r>
            <w:r w:rsidR="00D3304A" w:rsidRPr="000B49C6">
              <w:t xml:space="preserve"> augmented high risk population</w:t>
            </w:r>
            <w:r w:rsidR="00991401">
              <w:t xml:space="preserve">. </w:t>
            </w:r>
            <w:r w:rsidRPr="000B49C6">
              <w:t xml:space="preserve">There is potential for recurrence rate for </w:t>
            </w:r>
            <w:proofErr w:type="spellStart"/>
            <w:r w:rsidRPr="000B49C6">
              <w:t>SoC</w:t>
            </w:r>
            <w:proofErr w:type="spellEnd"/>
            <w:r w:rsidRPr="000B49C6">
              <w:t xml:space="preserve"> in Australia to be lower than reported in the trials (29.8%)</w:t>
            </w:r>
            <w:r w:rsidR="00991401">
              <w:t xml:space="preserve">. </w:t>
            </w:r>
            <w:r w:rsidRPr="000B49C6">
              <w:rPr>
                <w:iCs/>
              </w:rPr>
              <w:t>The model was very sensitive to this assumption</w:t>
            </w:r>
            <w:r w:rsidR="00991401">
              <w:rPr>
                <w:iCs/>
              </w:rPr>
              <w:t xml:space="preserve">. </w:t>
            </w:r>
            <w:r w:rsidRPr="000B49C6">
              <w:t xml:space="preserve">Assuming 30-day first CDI recurrence rate for </w:t>
            </w:r>
            <w:proofErr w:type="spellStart"/>
            <w:r w:rsidRPr="000B49C6">
              <w:t>SoC</w:t>
            </w:r>
            <w:proofErr w:type="spellEnd"/>
            <w:r w:rsidRPr="000B49C6">
              <w:t xml:space="preserve"> to be 17.5% (based on Foster </w:t>
            </w:r>
            <w:r w:rsidR="00CC5D6C" w:rsidRPr="00CC5D6C">
              <w:rPr>
                <w:i/>
              </w:rPr>
              <w:t>et. al.</w:t>
            </w:r>
            <w:r w:rsidRPr="000B49C6">
              <w:t xml:space="preserve"> 2017 and </w:t>
            </w:r>
            <w:r w:rsidRPr="000B49C6">
              <w:rPr>
                <w:iCs/>
              </w:rPr>
              <w:t xml:space="preserve">assuming constant CDI over time) and </w:t>
            </w:r>
            <w:r w:rsidRPr="000B49C6">
              <w:t xml:space="preserve">RR of 0.56 for </w:t>
            </w:r>
            <w:proofErr w:type="spellStart"/>
            <w:r w:rsidRPr="000B49C6">
              <w:t>bezlotoxumab</w:t>
            </w:r>
            <w:proofErr w:type="spellEnd"/>
            <w:r w:rsidRPr="000B49C6">
              <w:t xml:space="preserve"> versus </w:t>
            </w:r>
            <w:proofErr w:type="spellStart"/>
            <w:r w:rsidRPr="000B49C6">
              <w:t>SoC</w:t>
            </w:r>
            <w:proofErr w:type="spellEnd"/>
            <w:r w:rsidRPr="000B49C6">
              <w:t xml:space="preserve"> (from the trials) estimating a first CDI recurrence rate for </w:t>
            </w:r>
            <w:proofErr w:type="spellStart"/>
            <w:r w:rsidRPr="000B49C6">
              <w:t>bezlotoxumab</w:t>
            </w:r>
            <w:proofErr w:type="spellEnd"/>
            <w:r w:rsidRPr="000B49C6">
              <w:t xml:space="preserve"> of 9.8% the ICER increased to over $200K/QALY.</w:t>
            </w:r>
          </w:p>
        </w:tc>
        <w:tc>
          <w:tcPr>
            <w:tcW w:w="593" w:type="pct"/>
            <w:shd w:val="clear" w:color="auto" w:fill="auto"/>
            <w:vAlign w:val="center"/>
          </w:tcPr>
          <w:p w:rsidR="00A31CCB" w:rsidRPr="000B49C6" w:rsidRDefault="00A31CCB" w:rsidP="00E43359">
            <w:pPr>
              <w:pStyle w:val="Tabletext"/>
              <w:jc w:val="center"/>
            </w:pPr>
            <w:r w:rsidRPr="000B49C6">
              <w:t>Very High</w:t>
            </w:r>
          </w:p>
          <w:p w:rsidR="00A31CCB" w:rsidRPr="000B49C6" w:rsidRDefault="00A31CCB" w:rsidP="00A31CCB">
            <w:pPr>
              <w:pStyle w:val="Tabletext"/>
              <w:jc w:val="center"/>
            </w:pPr>
            <w:r w:rsidRPr="000B49C6">
              <w:t xml:space="preserve">Favoured </w:t>
            </w:r>
            <w:proofErr w:type="spellStart"/>
            <w:r w:rsidRPr="000B49C6">
              <w:t>bezlotoxumab</w:t>
            </w:r>
            <w:proofErr w:type="spellEnd"/>
          </w:p>
        </w:tc>
      </w:tr>
      <w:tr w:rsidR="00A31CCB" w:rsidRPr="000B49C6" w:rsidTr="00363F50">
        <w:trPr>
          <w:trHeight w:val="2524"/>
        </w:trPr>
        <w:tc>
          <w:tcPr>
            <w:tcW w:w="618" w:type="pct"/>
            <w:shd w:val="clear" w:color="auto" w:fill="auto"/>
            <w:vAlign w:val="center"/>
          </w:tcPr>
          <w:p w:rsidR="00A31CCB" w:rsidRPr="000B49C6" w:rsidRDefault="00A31CCB" w:rsidP="00BC4FE9">
            <w:pPr>
              <w:pStyle w:val="Tabletext"/>
            </w:pPr>
            <w:r w:rsidRPr="000B49C6">
              <w:t xml:space="preserve">Baseline Mortality </w:t>
            </w:r>
          </w:p>
        </w:tc>
        <w:tc>
          <w:tcPr>
            <w:tcW w:w="3788" w:type="pct"/>
            <w:shd w:val="clear" w:color="auto" w:fill="auto"/>
            <w:vAlign w:val="center"/>
          </w:tcPr>
          <w:p w:rsidR="00A31CCB" w:rsidRPr="000B49C6" w:rsidRDefault="00A31CCB" w:rsidP="00CB525E">
            <w:pPr>
              <w:pStyle w:val="Tabletext"/>
            </w:pPr>
            <w:r w:rsidRPr="000B49C6">
              <w:t>The model was very sensitive to the assumed all-cause mortality for those with CDI recurrence and without</w:t>
            </w:r>
            <w:r w:rsidR="00991401">
              <w:t xml:space="preserve">. </w:t>
            </w:r>
            <w:r w:rsidRPr="000B49C6">
              <w:t>These were informed by the literature as the trials did not find any difference in death rates</w:t>
            </w:r>
            <w:r w:rsidR="00991401">
              <w:t xml:space="preserve">. </w:t>
            </w:r>
          </w:p>
          <w:p w:rsidR="00A31CCB" w:rsidRPr="000B49C6" w:rsidRDefault="00A31CCB" w:rsidP="00CB525E">
            <w:pPr>
              <w:pStyle w:val="Tabletext"/>
            </w:pPr>
          </w:p>
          <w:p w:rsidR="00A31CCB" w:rsidRPr="000B49C6" w:rsidRDefault="00A31CCB" w:rsidP="00A31CCB">
            <w:pPr>
              <w:pStyle w:val="Tabletext"/>
            </w:pPr>
            <w:r w:rsidRPr="000B49C6">
              <w:t>180-day mortality following non-recurrent CDI was based on 30-day mortality in an aggregate CDI population (i.e. including patients w/ and w/o recurrence).</w:t>
            </w:r>
          </w:p>
          <w:p w:rsidR="00A31CCB" w:rsidRPr="000B49C6" w:rsidRDefault="00A31CCB" w:rsidP="00CB525E">
            <w:pPr>
              <w:pStyle w:val="Tabletext"/>
            </w:pPr>
          </w:p>
          <w:p w:rsidR="00A31CCB" w:rsidRPr="000B49C6" w:rsidRDefault="00A31CCB" w:rsidP="00CB525E">
            <w:pPr>
              <w:pStyle w:val="Tabletext"/>
            </w:pPr>
            <w:r w:rsidRPr="000B49C6">
              <w:t>Despite only being applied for a very short time in the model (180 days), mortality was critical to the ICER</w:t>
            </w:r>
            <w:r w:rsidR="00991401">
              <w:t xml:space="preserve">. </w:t>
            </w:r>
            <w:r w:rsidRPr="000B49C6">
              <w:t xml:space="preserve">Assuming lower mortality values, </w:t>
            </w:r>
            <w:r w:rsidR="00E44830" w:rsidRPr="000B49C6">
              <w:t>e.g.</w:t>
            </w:r>
            <w:r w:rsidRPr="000B49C6">
              <w:t xml:space="preserve"> a lower hazard ratio for mortality of recurrent CDI versus no recurrence (i.e. using the lower 95%CI reported in Olsen </w:t>
            </w:r>
            <w:r w:rsidR="00CC5D6C" w:rsidRPr="00CC5D6C">
              <w:rPr>
                <w:i/>
              </w:rPr>
              <w:t>et. al.</w:t>
            </w:r>
            <w:r w:rsidRPr="000B49C6">
              <w:t xml:space="preserve"> 2015 of 1.12 rather than the 1.33 assumed in the base case) and assuming a lower 30-day mortality rate for non-recurrent CDI (2.5% based on the alternate Australian value from Foster </w:t>
            </w:r>
            <w:r w:rsidR="00CC5D6C" w:rsidRPr="00CC5D6C">
              <w:rPr>
                <w:i/>
              </w:rPr>
              <w:t>et. al.</w:t>
            </w:r>
            <w:r w:rsidRPr="000B49C6">
              <w:t xml:space="preserve"> 2014 instead of the 3.6% assumed in the base case) independently and jointly lead to ICER in excess of $10</w:t>
            </w:r>
            <w:r w:rsidR="003A5700">
              <w:t>5</w:t>
            </w:r>
            <w:r w:rsidRPr="000B49C6">
              <w:t>K/QALY</w:t>
            </w:r>
            <w:r w:rsidR="003A5700">
              <w:t xml:space="preserve"> – 200K/QALY</w:t>
            </w:r>
            <w:r w:rsidRPr="000B49C6">
              <w:t>.</w:t>
            </w:r>
          </w:p>
        </w:tc>
        <w:tc>
          <w:tcPr>
            <w:tcW w:w="593" w:type="pct"/>
            <w:shd w:val="clear" w:color="auto" w:fill="auto"/>
            <w:vAlign w:val="center"/>
          </w:tcPr>
          <w:p w:rsidR="00A31CCB" w:rsidRPr="000B49C6" w:rsidRDefault="00A31CCB" w:rsidP="00E43359">
            <w:pPr>
              <w:pStyle w:val="Tabletext"/>
              <w:jc w:val="center"/>
            </w:pPr>
            <w:r w:rsidRPr="000B49C6">
              <w:t xml:space="preserve">High </w:t>
            </w:r>
          </w:p>
          <w:p w:rsidR="00A31CCB" w:rsidRPr="000B49C6" w:rsidRDefault="00A31CCB" w:rsidP="00A23EA8">
            <w:pPr>
              <w:pStyle w:val="Tabletext"/>
              <w:jc w:val="center"/>
            </w:pPr>
            <w:r w:rsidRPr="000B49C6">
              <w:t xml:space="preserve">Favoured </w:t>
            </w:r>
            <w:proofErr w:type="spellStart"/>
            <w:r w:rsidRPr="000B49C6">
              <w:t>bezlotoxumab</w:t>
            </w:r>
            <w:proofErr w:type="spellEnd"/>
          </w:p>
        </w:tc>
      </w:tr>
      <w:tr w:rsidR="00D370B3" w:rsidRPr="000B49C6" w:rsidTr="00363F50">
        <w:trPr>
          <w:trHeight w:val="688"/>
        </w:trPr>
        <w:tc>
          <w:tcPr>
            <w:tcW w:w="618" w:type="pct"/>
            <w:shd w:val="clear" w:color="auto" w:fill="auto"/>
            <w:vAlign w:val="center"/>
          </w:tcPr>
          <w:p w:rsidR="00D370B3" w:rsidRPr="000B49C6" w:rsidRDefault="00D370B3" w:rsidP="00D370B3">
            <w:pPr>
              <w:pStyle w:val="Tabletext"/>
            </w:pPr>
            <w:r w:rsidRPr="000B49C6">
              <w:t>CDI recurrence rate</w:t>
            </w:r>
            <w:r w:rsidR="00BC4FE9" w:rsidRPr="000B49C6">
              <w:t xml:space="preserve"> for </w:t>
            </w:r>
            <w:proofErr w:type="spellStart"/>
            <w:r w:rsidR="00BC4FE9" w:rsidRPr="000B49C6">
              <w:t>SoC</w:t>
            </w:r>
            <w:proofErr w:type="spellEnd"/>
          </w:p>
        </w:tc>
        <w:tc>
          <w:tcPr>
            <w:tcW w:w="3788" w:type="pct"/>
            <w:shd w:val="clear" w:color="auto" w:fill="auto"/>
            <w:vAlign w:val="center"/>
          </w:tcPr>
          <w:p w:rsidR="00D370B3" w:rsidRPr="000B49C6" w:rsidRDefault="00E30A9B" w:rsidP="00D3304A">
            <w:pPr>
              <w:pStyle w:val="Tabletext"/>
            </w:pPr>
            <w:r w:rsidRPr="000B49C6">
              <w:t>The 30</w:t>
            </w:r>
            <w:r w:rsidR="00853E46" w:rsidRPr="000B49C6">
              <w:t>-</w:t>
            </w:r>
            <w:r w:rsidRPr="000B49C6">
              <w:t xml:space="preserve">day first </w:t>
            </w:r>
            <w:r w:rsidR="00595E41" w:rsidRPr="000B49C6">
              <w:t xml:space="preserve">CDI </w:t>
            </w:r>
            <w:r w:rsidRPr="000B49C6">
              <w:t xml:space="preserve">recurrence rate </w:t>
            </w:r>
            <w:r w:rsidR="00853E46" w:rsidRPr="000B49C6">
              <w:t xml:space="preserve">for </w:t>
            </w:r>
            <w:proofErr w:type="spellStart"/>
            <w:r w:rsidR="00853E46" w:rsidRPr="000B49C6">
              <w:t>SoC</w:t>
            </w:r>
            <w:proofErr w:type="spellEnd"/>
            <w:r w:rsidR="00853E46" w:rsidRPr="000B49C6">
              <w:t xml:space="preserve"> and </w:t>
            </w:r>
            <w:proofErr w:type="spellStart"/>
            <w:r w:rsidR="00853E46" w:rsidRPr="000B49C6">
              <w:t>b</w:t>
            </w:r>
            <w:r w:rsidRPr="000B49C6">
              <w:t>ezlotoxumab</w:t>
            </w:r>
            <w:proofErr w:type="spellEnd"/>
            <w:r w:rsidRPr="000B49C6">
              <w:t xml:space="preserve"> were informed by results </w:t>
            </w:r>
            <w:r w:rsidR="00595E41" w:rsidRPr="000B49C6">
              <w:t>of the</w:t>
            </w:r>
            <w:r w:rsidRPr="000B49C6">
              <w:t xml:space="preserve"> MODIFY trials</w:t>
            </w:r>
            <w:r w:rsidR="00595E41" w:rsidRPr="000B49C6">
              <w:t xml:space="preserve"> (resubmission</w:t>
            </w:r>
            <w:r w:rsidR="00D3304A" w:rsidRPr="000B49C6">
              <w:t xml:space="preserve"> augmented high risk population</w:t>
            </w:r>
            <w:r w:rsidR="00991401">
              <w:t xml:space="preserve">. </w:t>
            </w:r>
            <w:r w:rsidR="00595E41" w:rsidRPr="000B49C6">
              <w:t xml:space="preserve">There is potential for </w:t>
            </w:r>
            <w:r w:rsidR="00D370B3" w:rsidRPr="000B49C6">
              <w:t xml:space="preserve">recurrence rate for </w:t>
            </w:r>
            <w:proofErr w:type="spellStart"/>
            <w:r w:rsidR="00D370B3" w:rsidRPr="000B49C6">
              <w:t>SoC</w:t>
            </w:r>
            <w:proofErr w:type="spellEnd"/>
            <w:r w:rsidR="00D370B3" w:rsidRPr="000B49C6">
              <w:t xml:space="preserve"> </w:t>
            </w:r>
            <w:r w:rsidRPr="000B49C6">
              <w:t xml:space="preserve">in Australia to be lower than </w:t>
            </w:r>
            <w:r w:rsidR="00D55211" w:rsidRPr="000B49C6">
              <w:t xml:space="preserve">reported </w:t>
            </w:r>
            <w:r w:rsidRPr="000B49C6">
              <w:t>in the trials (29.</w:t>
            </w:r>
            <w:r w:rsidR="00853E46" w:rsidRPr="000B49C6">
              <w:t>8</w:t>
            </w:r>
            <w:r w:rsidRPr="000B49C6">
              <w:t>%)</w:t>
            </w:r>
            <w:r w:rsidR="00991401">
              <w:t xml:space="preserve">. </w:t>
            </w:r>
            <w:r w:rsidR="00D55211" w:rsidRPr="000B49C6">
              <w:rPr>
                <w:iCs/>
              </w:rPr>
              <w:t>The model was very sensitive to this assumption</w:t>
            </w:r>
            <w:r w:rsidR="00991401">
              <w:rPr>
                <w:iCs/>
              </w:rPr>
              <w:t xml:space="preserve">. </w:t>
            </w:r>
            <w:r w:rsidR="00595E41" w:rsidRPr="000B49C6">
              <w:t>A</w:t>
            </w:r>
            <w:r w:rsidR="00D55211" w:rsidRPr="000B49C6">
              <w:t>ssuming 30</w:t>
            </w:r>
            <w:r w:rsidR="00853E46" w:rsidRPr="000B49C6">
              <w:t>-</w:t>
            </w:r>
            <w:r w:rsidR="00D55211" w:rsidRPr="000B49C6">
              <w:t xml:space="preserve">day first </w:t>
            </w:r>
            <w:r w:rsidR="00595E41" w:rsidRPr="000B49C6">
              <w:t xml:space="preserve">CDI </w:t>
            </w:r>
            <w:r w:rsidR="00D55211" w:rsidRPr="000B49C6">
              <w:t xml:space="preserve">recurrence rate </w:t>
            </w:r>
            <w:r w:rsidR="00595E41" w:rsidRPr="000B49C6">
              <w:t xml:space="preserve">for </w:t>
            </w:r>
            <w:proofErr w:type="spellStart"/>
            <w:r w:rsidR="00595E41" w:rsidRPr="000B49C6">
              <w:t>SoC</w:t>
            </w:r>
            <w:proofErr w:type="spellEnd"/>
            <w:r w:rsidR="00595E41" w:rsidRPr="000B49C6">
              <w:t xml:space="preserve"> </w:t>
            </w:r>
            <w:r w:rsidR="00D55211" w:rsidRPr="000B49C6">
              <w:t>to be 17.5%</w:t>
            </w:r>
            <w:r w:rsidR="00595E41" w:rsidRPr="000B49C6">
              <w:t xml:space="preserve"> (</w:t>
            </w:r>
            <w:r w:rsidR="00D55211" w:rsidRPr="000B49C6">
              <w:t xml:space="preserve">based on Foster </w:t>
            </w:r>
            <w:r w:rsidR="00CC5D6C" w:rsidRPr="00CC5D6C">
              <w:rPr>
                <w:i/>
              </w:rPr>
              <w:t>et. al.</w:t>
            </w:r>
            <w:r w:rsidR="00D55211" w:rsidRPr="000B49C6">
              <w:t xml:space="preserve"> 2017 </w:t>
            </w:r>
            <w:r w:rsidR="00595E41" w:rsidRPr="000B49C6">
              <w:t xml:space="preserve">and </w:t>
            </w:r>
            <w:r w:rsidR="00D55211" w:rsidRPr="000B49C6">
              <w:rPr>
                <w:iCs/>
              </w:rPr>
              <w:t xml:space="preserve">assuming constant CDI over time) and </w:t>
            </w:r>
            <w:r w:rsidR="00D370B3" w:rsidRPr="000B49C6">
              <w:t>RR of 0.56</w:t>
            </w:r>
            <w:r w:rsidR="00444166" w:rsidRPr="000B49C6">
              <w:t xml:space="preserve"> </w:t>
            </w:r>
            <w:r w:rsidR="00595E41" w:rsidRPr="000B49C6">
              <w:t xml:space="preserve">for </w:t>
            </w:r>
            <w:proofErr w:type="spellStart"/>
            <w:r w:rsidR="00595E41" w:rsidRPr="000B49C6">
              <w:t>bezlotoxumab</w:t>
            </w:r>
            <w:proofErr w:type="spellEnd"/>
            <w:r w:rsidR="00595E41" w:rsidRPr="000B49C6">
              <w:t xml:space="preserve"> versus </w:t>
            </w:r>
            <w:proofErr w:type="spellStart"/>
            <w:r w:rsidR="00595E41" w:rsidRPr="000B49C6">
              <w:t>SoC</w:t>
            </w:r>
            <w:proofErr w:type="spellEnd"/>
            <w:r w:rsidR="00595E41" w:rsidRPr="000B49C6">
              <w:t xml:space="preserve"> </w:t>
            </w:r>
            <w:r w:rsidR="00444166" w:rsidRPr="000B49C6">
              <w:t xml:space="preserve">(from the trials) </w:t>
            </w:r>
            <w:r w:rsidR="00595E41" w:rsidRPr="000B49C6">
              <w:t xml:space="preserve">estimating a first CDI recurrence </w:t>
            </w:r>
            <w:r w:rsidR="00D370B3" w:rsidRPr="000B49C6">
              <w:t xml:space="preserve">rate for </w:t>
            </w:r>
            <w:proofErr w:type="spellStart"/>
            <w:r w:rsidR="00D370B3" w:rsidRPr="000B49C6">
              <w:t>bezlotoxumab</w:t>
            </w:r>
            <w:proofErr w:type="spellEnd"/>
            <w:r w:rsidR="00D370B3" w:rsidRPr="000B49C6">
              <w:t xml:space="preserve"> </w:t>
            </w:r>
            <w:r w:rsidR="00444166" w:rsidRPr="000B49C6">
              <w:t>of</w:t>
            </w:r>
            <w:r w:rsidR="00D55211" w:rsidRPr="000B49C6">
              <w:t xml:space="preserve"> 9.8%</w:t>
            </w:r>
            <w:r w:rsidR="00C90B96" w:rsidRPr="000B49C6">
              <w:t xml:space="preserve"> the</w:t>
            </w:r>
            <w:r w:rsidR="00D55211" w:rsidRPr="000B49C6">
              <w:t xml:space="preserve"> ICER increased to over $200K/QALY.</w:t>
            </w:r>
          </w:p>
        </w:tc>
        <w:tc>
          <w:tcPr>
            <w:tcW w:w="593" w:type="pct"/>
            <w:shd w:val="clear" w:color="auto" w:fill="auto"/>
            <w:vAlign w:val="center"/>
          </w:tcPr>
          <w:p w:rsidR="00444166" w:rsidRPr="000B49C6" w:rsidRDefault="00444166" w:rsidP="00444166">
            <w:pPr>
              <w:pStyle w:val="Tabletext"/>
              <w:jc w:val="center"/>
            </w:pPr>
            <w:r w:rsidRPr="000B49C6">
              <w:t>Very High</w:t>
            </w:r>
          </w:p>
          <w:p w:rsidR="00D370B3" w:rsidRPr="000B49C6" w:rsidRDefault="00444166" w:rsidP="00444166">
            <w:pPr>
              <w:pStyle w:val="Tabletext"/>
              <w:jc w:val="center"/>
            </w:pPr>
            <w:r w:rsidRPr="000B49C6">
              <w:t>F</w:t>
            </w:r>
            <w:r w:rsidR="00D370B3" w:rsidRPr="000B49C6">
              <w:t xml:space="preserve">avoured </w:t>
            </w:r>
            <w:proofErr w:type="spellStart"/>
            <w:r w:rsidRPr="000B49C6">
              <w:t>bezlotoxumab</w:t>
            </w:r>
            <w:proofErr w:type="spellEnd"/>
          </w:p>
        </w:tc>
      </w:tr>
      <w:tr w:rsidR="00A31CCB" w:rsidRPr="000B49C6" w:rsidTr="00363F50">
        <w:tc>
          <w:tcPr>
            <w:tcW w:w="618" w:type="pct"/>
            <w:shd w:val="clear" w:color="auto" w:fill="auto"/>
            <w:vAlign w:val="center"/>
          </w:tcPr>
          <w:p w:rsidR="00A31CCB" w:rsidRPr="000B49C6" w:rsidRDefault="00A31CCB" w:rsidP="00D370B3">
            <w:pPr>
              <w:pStyle w:val="Tabletext"/>
            </w:pPr>
            <w:r w:rsidRPr="000B49C6">
              <w:t>Mortality hazard ratio</w:t>
            </w:r>
          </w:p>
        </w:tc>
        <w:tc>
          <w:tcPr>
            <w:tcW w:w="3788" w:type="pct"/>
            <w:shd w:val="clear" w:color="auto" w:fill="auto"/>
            <w:vAlign w:val="center"/>
          </w:tcPr>
          <w:p w:rsidR="00A31CCB" w:rsidRPr="000B49C6" w:rsidRDefault="00A31CCB" w:rsidP="00595E41">
            <w:pPr>
              <w:pStyle w:val="Tabletext"/>
            </w:pPr>
            <w:r w:rsidRPr="000B49C6">
              <w:t xml:space="preserve">A hazard ratio was applied to the (high) baseline mortality rates, which was taken from an observational study, in which the authors acknowledged two key sources of bias that likely resulted in the overestimation of the true hazard ratio. </w:t>
            </w:r>
          </w:p>
        </w:tc>
        <w:tc>
          <w:tcPr>
            <w:tcW w:w="593" w:type="pct"/>
            <w:shd w:val="clear" w:color="auto" w:fill="auto"/>
            <w:vAlign w:val="center"/>
          </w:tcPr>
          <w:p w:rsidR="00A31CCB" w:rsidRPr="000B49C6" w:rsidRDefault="00A31CCB" w:rsidP="00E43359">
            <w:pPr>
              <w:pStyle w:val="Tabletext"/>
              <w:jc w:val="center"/>
            </w:pPr>
            <w:r w:rsidRPr="000B49C6">
              <w:t xml:space="preserve">High </w:t>
            </w:r>
          </w:p>
          <w:p w:rsidR="00A31CCB" w:rsidRPr="000B49C6" w:rsidRDefault="00A31CCB" w:rsidP="00444166">
            <w:pPr>
              <w:pStyle w:val="Tabletext"/>
              <w:jc w:val="center"/>
            </w:pPr>
            <w:r w:rsidRPr="000B49C6">
              <w:t xml:space="preserve">Favoured </w:t>
            </w:r>
            <w:proofErr w:type="spellStart"/>
            <w:r w:rsidRPr="000B49C6">
              <w:t>bezlotoxumab</w:t>
            </w:r>
            <w:proofErr w:type="spellEnd"/>
          </w:p>
        </w:tc>
      </w:tr>
      <w:tr w:rsidR="00A31CCB" w:rsidRPr="000B49C6" w:rsidTr="00363F50">
        <w:tc>
          <w:tcPr>
            <w:tcW w:w="618" w:type="pct"/>
            <w:shd w:val="clear" w:color="auto" w:fill="auto"/>
            <w:vAlign w:val="center"/>
          </w:tcPr>
          <w:p w:rsidR="00A31CCB" w:rsidRPr="000B49C6" w:rsidRDefault="00A31CCB" w:rsidP="00D370B3">
            <w:pPr>
              <w:pStyle w:val="Tabletext"/>
            </w:pPr>
            <w:r w:rsidRPr="000B49C6">
              <w:t>Repeat recurrences</w:t>
            </w:r>
          </w:p>
        </w:tc>
        <w:tc>
          <w:tcPr>
            <w:tcW w:w="3788" w:type="pct"/>
            <w:shd w:val="clear" w:color="auto" w:fill="auto"/>
            <w:vAlign w:val="center"/>
          </w:tcPr>
          <w:p w:rsidR="00A31CCB" w:rsidRPr="000B49C6" w:rsidRDefault="00A31CCB" w:rsidP="00595E41">
            <w:pPr>
              <w:pStyle w:val="Tabletext"/>
            </w:pPr>
            <w:r w:rsidRPr="000B49C6">
              <w:t>The model structure allows for up to 3 recurrences, with high probabilities of recurrence (45% experience a 2</w:t>
            </w:r>
            <w:r w:rsidRPr="000B49C6">
              <w:rPr>
                <w:vertAlign w:val="superscript"/>
              </w:rPr>
              <w:t>nd</w:t>
            </w:r>
            <w:r w:rsidRPr="000B49C6">
              <w:t xml:space="preserve"> recurrence and 45% of those experiencing a 3</w:t>
            </w:r>
            <w:r w:rsidRPr="000B49C6">
              <w:rPr>
                <w:vertAlign w:val="superscript"/>
              </w:rPr>
              <w:t>rd</w:t>
            </w:r>
            <w:r w:rsidRPr="000B49C6">
              <w:t xml:space="preserve"> recurrence experience a third recurrence)</w:t>
            </w:r>
          </w:p>
        </w:tc>
        <w:tc>
          <w:tcPr>
            <w:tcW w:w="593" w:type="pct"/>
            <w:shd w:val="clear" w:color="auto" w:fill="auto"/>
            <w:vAlign w:val="center"/>
          </w:tcPr>
          <w:p w:rsidR="00A31CCB" w:rsidRPr="000B49C6" w:rsidRDefault="00A31CCB" w:rsidP="00444166">
            <w:pPr>
              <w:pStyle w:val="Tabletext"/>
              <w:jc w:val="center"/>
            </w:pPr>
            <w:r w:rsidRPr="000B49C6">
              <w:t xml:space="preserve">High Favoured </w:t>
            </w:r>
            <w:proofErr w:type="spellStart"/>
            <w:r w:rsidRPr="000B49C6">
              <w:t>bezlotoxumab</w:t>
            </w:r>
            <w:proofErr w:type="spellEnd"/>
          </w:p>
        </w:tc>
      </w:tr>
      <w:tr w:rsidR="00D370B3" w:rsidRPr="000B49C6" w:rsidTr="00363F50">
        <w:tc>
          <w:tcPr>
            <w:tcW w:w="618" w:type="pct"/>
            <w:shd w:val="clear" w:color="auto" w:fill="auto"/>
            <w:vAlign w:val="center"/>
          </w:tcPr>
          <w:p w:rsidR="00D370B3" w:rsidRPr="000B49C6" w:rsidRDefault="00D370B3" w:rsidP="00D370B3">
            <w:pPr>
              <w:pStyle w:val="Tabletext"/>
            </w:pPr>
            <w:r w:rsidRPr="000B49C6">
              <w:t>Hospital</w:t>
            </w:r>
            <w:r w:rsidR="00BC4FE9" w:rsidRPr="000B49C6">
              <w:t>isation</w:t>
            </w:r>
            <w:r w:rsidRPr="000B49C6">
              <w:t xml:space="preserve"> cost</w:t>
            </w:r>
            <w:r w:rsidR="00BC4FE9" w:rsidRPr="000B49C6">
              <w:t xml:space="preserve"> for CDI</w:t>
            </w:r>
          </w:p>
        </w:tc>
        <w:tc>
          <w:tcPr>
            <w:tcW w:w="3788" w:type="pct"/>
            <w:shd w:val="clear" w:color="auto" w:fill="auto"/>
            <w:vAlign w:val="center"/>
          </w:tcPr>
          <w:p w:rsidR="00D370B3" w:rsidRPr="000B49C6" w:rsidRDefault="00D370B3" w:rsidP="001A0937">
            <w:pPr>
              <w:pStyle w:val="Tabletext"/>
            </w:pPr>
            <w:r w:rsidRPr="000B49C6">
              <w:t>Hospitali</w:t>
            </w:r>
            <w:r w:rsidR="00444166" w:rsidRPr="000B49C6">
              <w:t>s</w:t>
            </w:r>
            <w:r w:rsidRPr="000B49C6">
              <w:t xml:space="preserve">ation cost for severe and mild/moderate CDI </w:t>
            </w:r>
            <w:r w:rsidR="00595E41" w:rsidRPr="000B49C6">
              <w:t xml:space="preserve">in the model </w:t>
            </w:r>
            <w:r w:rsidR="00D55211" w:rsidRPr="000B49C6">
              <w:t xml:space="preserve">were inflated above NHCDC National cost weights for </w:t>
            </w:r>
            <w:r w:rsidR="001F023B" w:rsidRPr="000B49C6">
              <w:t>AR-DRG</w:t>
            </w:r>
            <w:r w:rsidR="00595E41" w:rsidRPr="000B49C6">
              <w:t>s</w:t>
            </w:r>
            <w:r w:rsidR="001F023B" w:rsidRPr="000B49C6">
              <w:t xml:space="preserve"> T64A and T64B (respectively) using the reported longer </w:t>
            </w:r>
            <w:r w:rsidR="00D55211" w:rsidRPr="000B49C6">
              <w:t xml:space="preserve">hospital </w:t>
            </w:r>
            <w:r w:rsidR="00C90B96" w:rsidRPr="000B49C6">
              <w:t>LOS</w:t>
            </w:r>
            <w:r w:rsidR="00D55211" w:rsidRPr="000B49C6">
              <w:t xml:space="preserve"> reported </w:t>
            </w:r>
            <w:r w:rsidR="001F023B" w:rsidRPr="000B49C6">
              <w:t xml:space="preserve">in </w:t>
            </w:r>
            <w:r w:rsidR="00D55211" w:rsidRPr="000B49C6">
              <w:rPr>
                <w:iCs/>
                <w:szCs w:val="20"/>
              </w:rPr>
              <w:t xml:space="preserve">a UK based study (Wilcox </w:t>
            </w:r>
            <w:r w:rsidR="00CC5D6C" w:rsidRPr="00CC5D6C">
              <w:rPr>
                <w:i/>
                <w:iCs/>
                <w:szCs w:val="20"/>
              </w:rPr>
              <w:t>et. al.</w:t>
            </w:r>
            <w:r w:rsidR="00D55211" w:rsidRPr="000B49C6">
              <w:rPr>
                <w:iCs/>
                <w:szCs w:val="20"/>
              </w:rPr>
              <w:t xml:space="preserve"> 2017b)</w:t>
            </w:r>
            <w:r w:rsidR="00991401">
              <w:rPr>
                <w:iCs/>
                <w:szCs w:val="20"/>
              </w:rPr>
              <w:t xml:space="preserve">. </w:t>
            </w:r>
            <w:r w:rsidR="00D55211" w:rsidRPr="000B49C6">
              <w:rPr>
                <w:iCs/>
                <w:szCs w:val="20"/>
              </w:rPr>
              <w:t xml:space="preserve">This was </w:t>
            </w:r>
            <w:r w:rsidR="001F023B" w:rsidRPr="000B49C6">
              <w:rPr>
                <w:iCs/>
                <w:szCs w:val="20"/>
              </w:rPr>
              <w:t>in</w:t>
            </w:r>
            <w:r w:rsidR="00D55211" w:rsidRPr="000B49C6">
              <w:rPr>
                <w:iCs/>
                <w:szCs w:val="20"/>
              </w:rPr>
              <w:t xml:space="preserve">appropriate as average </w:t>
            </w:r>
            <w:r w:rsidR="00C90B96" w:rsidRPr="000B49C6">
              <w:rPr>
                <w:iCs/>
                <w:szCs w:val="20"/>
              </w:rPr>
              <w:t>LOS</w:t>
            </w:r>
            <w:r w:rsidR="00D55211" w:rsidRPr="000B49C6">
              <w:rPr>
                <w:iCs/>
                <w:szCs w:val="20"/>
              </w:rPr>
              <w:t xml:space="preserve"> </w:t>
            </w:r>
            <w:r w:rsidR="001F023B" w:rsidRPr="000B49C6">
              <w:t>reported in NHCDC National cost weights</w:t>
            </w:r>
            <w:r w:rsidR="001F023B" w:rsidRPr="000B49C6">
              <w:rPr>
                <w:iCs/>
                <w:szCs w:val="20"/>
              </w:rPr>
              <w:t xml:space="preserve"> were already generous in length, particularly for mild/moderate CDI</w:t>
            </w:r>
            <w:r w:rsidR="00991401">
              <w:rPr>
                <w:iCs/>
                <w:szCs w:val="20"/>
              </w:rPr>
              <w:t xml:space="preserve">. </w:t>
            </w:r>
            <w:r w:rsidR="001F023B" w:rsidRPr="000B49C6">
              <w:rPr>
                <w:iCs/>
                <w:szCs w:val="20"/>
              </w:rPr>
              <w:t xml:space="preserve">The </w:t>
            </w:r>
            <w:r w:rsidR="00C90B96" w:rsidRPr="000B49C6">
              <w:rPr>
                <w:iCs/>
                <w:szCs w:val="20"/>
              </w:rPr>
              <w:t xml:space="preserve">LOS </w:t>
            </w:r>
            <w:r w:rsidR="001F023B" w:rsidRPr="000B49C6">
              <w:rPr>
                <w:iCs/>
                <w:szCs w:val="20"/>
              </w:rPr>
              <w:t xml:space="preserve">for AR-DRG T64B from the </w:t>
            </w:r>
            <w:r w:rsidR="001F023B" w:rsidRPr="000B49C6">
              <w:t>NHCDC National cost weights</w:t>
            </w:r>
            <w:r w:rsidR="001F023B" w:rsidRPr="000B49C6">
              <w:rPr>
                <w:iCs/>
                <w:szCs w:val="20"/>
              </w:rPr>
              <w:t xml:space="preserve"> included an average </w:t>
            </w:r>
            <w:r w:rsidR="00C90B96" w:rsidRPr="000B49C6">
              <w:rPr>
                <w:iCs/>
                <w:szCs w:val="20"/>
              </w:rPr>
              <w:t>LOS</w:t>
            </w:r>
            <w:r w:rsidR="001F023B" w:rsidRPr="000B49C6">
              <w:rPr>
                <w:iCs/>
                <w:szCs w:val="20"/>
              </w:rPr>
              <w:t xml:space="preserve"> of 8.09 days, which was likely an overestimate for patients with mild/moderate CDI (sources suggest diarrhoea resolution was common by Day 6 and CDI clearance within 6-10 days from onset), therefore a further upward adjustment by a factor of 2.03 to 16.4 days was likely to overestimate cost of admissions for mild/moderate CDI</w:t>
            </w:r>
            <w:r w:rsidR="00991401">
              <w:rPr>
                <w:iCs/>
                <w:szCs w:val="20"/>
              </w:rPr>
              <w:t xml:space="preserve">. </w:t>
            </w:r>
            <w:r w:rsidR="00595E41" w:rsidRPr="000B49C6">
              <w:rPr>
                <w:iCs/>
                <w:szCs w:val="20"/>
              </w:rPr>
              <w:t>Removing the inflation factors, the ICER increased to $</w:t>
            </w:r>
            <w:r w:rsidR="001A0937">
              <w:rPr>
                <w:iCs/>
                <w:szCs w:val="20"/>
              </w:rPr>
              <w:t>45,000/QALY - $75,000/QALY</w:t>
            </w:r>
            <w:r w:rsidR="00595E41" w:rsidRPr="000B49C6">
              <w:rPr>
                <w:iCs/>
                <w:szCs w:val="20"/>
              </w:rPr>
              <w:t xml:space="preserve"> (a 75% increase from base case).</w:t>
            </w:r>
          </w:p>
        </w:tc>
        <w:tc>
          <w:tcPr>
            <w:tcW w:w="593" w:type="pct"/>
            <w:shd w:val="clear" w:color="auto" w:fill="auto"/>
            <w:vAlign w:val="center"/>
          </w:tcPr>
          <w:p w:rsidR="00444166" w:rsidRPr="000B49C6" w:rsidRDefault="00444166" w:rsidP="00444166">
            <w:pPr>
              <w:pStyle w:val="Tabletext"/>
              <w:jc w:val="center"/>
            </w:pPr>
            <w:r w:rsidRPr="000B49C6">
              <w:t xml:space="preserve">High </w:t>
            </w:r>
          </w:p>
          <w:p w:rsidR="00D370B3" w:rsidRPr="000B49C6" w:rsidRDefault="00444166" w:rsidP="00444166">
            <w:pPr>
              <w:pStyle w:val="Tabletext"/>
              <w:jc w:val="center"/>
            </w:pPr>
            <w:r w:rsidRPr="000B49C6">
              <w:t>F</w:t>
            </w:r>
            <w:r w:rsidR="00D370B3" w:rsidRPr="000B49C6">
              <w:t>avoured</w:t>
            </w:r>
            <w:r w:rsidRPr="000B49C6">
              <w:t xml:space="preserve"> </w:t>
            </w:r>
            <w:proofErr w:type="spellStart"/>
            <w:r w:rsidRPr="000B49C6">
              <w:t>bezlotoxumab</w:t>
            </w:r>
            <w:proofErr w:type="spellEnd"/>
          </w:p>
        </w:tc>
      </w:tr>
    </w:tbl>
    <w:p w:rsidR="00D370B3" w:rsidRPr="000B49C6" w:rsidRDefault="00D370B3" w:rsidP="00D370B3">
      <w:pPr>
        <w:pStyle w:val="TableFooter"/>
      </w:pPr>
      <w:r w:rsidRPr="000B49C6">
        <w:t>Abbreviations: CDI=</w:t>
      </w:r>
      <w:r w:rsidR="000B49C6" w:rsidRPr="000B49C6">
        <w:rPr>
          <w:i/>
        </w:rPr>
        <w:t>clostridium difficile</w:t>
      </w:r>
      <w:r w:rsidRPr="000B49C6">
        <w:t xml:space="preserve"> infection; </w:t>
      </w:r>
      <w:proofErr w:type="spellStart"/>
      <w:r w:rsidR="0039084C" w:rsidRPr="000B49C6">
        <w:t>SoC</w:t>
      </w:r>
      <w:proofErr w:type="spellEnd"/>
      <w:r w:rsidRPr="000B49C6">
        <w:t>=standard of care antibiotics;</w:t>
      </w:r>
      <w:r w:rsidR="00C90B96" w:rsidRPr="000B49C6">
        <w:t xml:space="preserve"> QALY=quality adjusted life years; LOS=length of stay</w:t>
      </w:r>
    </w:p>
    <w:p w:rsidR="00D370B3" w:rsidRPr="000B49C6" w:rsidRDefault="00D370B3" w:rsidP="00D370B3">
      <w:pPr>
        <w:pStyle w:val="TableFooter"/>
      </w:pPr>
      <w:r w:rsidRPr="000B49C6">
        <w:t>Source: Constructed during the evaluation using values presented in Table 3-21, p121 of the resubmission</w:t>
      </w:r>
    </w:p>
    <w:p w:rsidR="00D370B3" w:rsidRPr="000B49C6" w:rsidRDefault="00D370B3" w:rsidP="00D370B3">
      <w:pPr>
        <w:pStyle w:val="TableFooter"/>
      </w:pPr>
    </w:p>
    <w:p w:rsidR="00D370B3" w:rsidRPr="000B49C6" w:rsidRDefault="00363F50" w:rsidP="00363F50">
      <w:pPr>
        <w:pStyle w:val="ListParagraph"/>
        <w:widowControl/>
        <w:numPr>
          <w:ilvl w:val="1"/>
          <w:numId w:val="3"/>
        </w:numPr>
        <w:jc w:val="left"/>
      </w:pPr>
      <w:r w:rsidRPr="000B49C6">
        <w:lastRenderedPageBreak/>
        <w:t xml:space="preserve">Table </w:t>
      </w:r>
      <w:r w:rsidR="00E82A52">
        <w:t>8</w:t>
      </w:r>
      <w:r w:rsidR="00E82A52" w:rsidRPr="000B49C6">
        <w:t xml:space="preserve"> </w:t>
      </w:r>
      <w:r w:rsidR="00D370B3" w:rsidRPr="000B49C6">
        <w:t xml:space="preserve">summarises the results of the stepped economic </w:t>
      </w:r>
      <w:r w:rsidR="00595E41" w:rsidRPr="000B49C6">
        <w:t xml:space="preserve">evaluation for </w:t>
      </w:r>
      <w:r w:rsidR="00D370B3" w:rsidRPr="000B49C6">
        <w:t>the</w:t>
      </w:r>
      <w:r w:rsidR="00C84F0E" w:rsidRPr="000B49C6">
        <w:t xml:space="preserve"> high risk patient population.</w:t>
      </w:r>
    </w:p>
    <w:p w:rsidR="00363F50" w:rsidRPr="000B49C6" w:rsidRDefault="00363F50" w:rsidP="00363F50">
      <w:pPr>
        <w:pStyle w:val="Caption"/>
        <w:keepNext/>
        <w:spacing w:after="60"/>
        <w:rPr>
          <w:rFonts w:ascii="Arial Narrow" w:hAnsi="Arial Narrow"/>
          <w:color w:val="auto"/>
          <w:sz w:val="20"/>
          <w:szCs w:val="20"/>
        </w:rPr>
      </w:pPr>
      <w:r w:rsidRPr="000B49C6">
        <w:rPr>
          <w:rFonts w:ascii="Arial Narrow" w:hAnsi="Arial Narrow"/>
          <w:color w:val="auto"/>
          <w:sz w:val="20"/>
          <w:szCs w:val="20"/>
        </w:rPr>
        <w:t xml:space="preserve">Table </w:t>
      </w:r>
      <w:r w:rsidR="00E82A52">
        <w:rPr>
          <w:rFonts w:ascii="Arial Narrow" w:hAnsi="Arial Narrow"/>
          <w:color w:val="auto"/>
          <w:sz w:val="20"/>
          <w:szCs w:val="20"/>
        </w:rPr>
        <w:t>8</w:t>
      </w:r>
      <w:r w:rsidRPr="000B49C6">
        <w:rPr>
          <w:rFonts w:ascii="Arial Narrow" w:hAnsi="Arial Narrow"/>
          <w:color w:val="auto"/>
          <w:sz w:val="20"/>
          <w:szCs w:val="20"/>
        </w:rPr>
        <w:t>: Results of the stepped economic evaluation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6: Results of the stepped economic evaluation in the resubmission"/>
      </w:tblPr>
      <w:tblGrid>
        <w:gridCol w:w="2778"/>
        <w:gridCol w:w="2469"/>
        <w:gridCol w:w="2314"/>
        <w:gridCol w:w="1522"/>
      </w:tblGrid>
      <w:tr w:rsidR="00D370B3" w:rsidRPr="000B49C6" w:rsidTr="00D370B3">
        <w:trPr>
          <w:tblHeader/>
        </w:trPr>
        <w:tc>
          <w:tcPr>
            <w:tcW w:w="1529" w:type="pct"/>
            <w:vAlign w:val="center"/>
          </w:tcPr>
          <w:p w:rsidR="00D370B3" w:rsidRPr="000B49C6" w:rsidRDefault="00D370B3" w:rsidP="00D370B3">
            <w:pPr>
              <w:pStyle w:val="Tabletext"/>
              <w:rPr>
                <w:b/>
              </w:rPr>
            </w:pPr>
            <w:r w:rsidRPr="000B49C6">
              <w:rPr>
                <w:b/>
              </w:rPr>
              <w:t>Step and component</w:t>
            </w:r>
          </w:p>
        </w:tc>
        <w:tc>
          <w:tcPr>
            <w:tcW w:w="1359" w:type="pct"/>
            <w:vAlign w:val="center"/>
          </w:tcPr>
          <w:p w:rsidR="00D370B3" w:rsidRPr="000B49C6" w:rsidRDefault="00D370B3" w:rsidP="00D370B3">
            <w:pPr>
              <w:pStyle w:val="Tabletext"/>
              <w:jc w:val="center"/>
              <w:rPr>
                <w:b/>
              </w:rPr>
            </w:pPr>
            <w:proofErr w:type="spellStart"/>
            <w:r w:rsidRPr="000B49C6">
              <w:rPr>
                <w:b/>
              </w:rPr>
              <w:t>Bezlotoxumab</w:t>
            </w:r>
            <w:proofErr w:type="spellEnd"/>
            <w:r w:rsidRPr="000B49C6">
              <w:rPr>
                <w:b/>
              </w:rPr>
              <w:t xml:space="preserve"> + </w:t>
            </w:r>
            <w:proofErr w:type="spellStart"/>
            <w:r w:rsidRPr="000B49C6">
              <w:rPr>
                <w:b/>
              </w:rPr>
              <w:t>SoC</w:t>
            </w:r>
            <w:proofErr w:type="spellEnd"/>
          </w:p>
        </w:tc>
        <w:tc>
          <w:tcPr>
            <w:tcW w:w="1274" w:type="pct"/>
            <w:vAlign w:val="center"/>
          </w:tcPr>
          <w:p w:rsidR="00D370B3" w:rsidRPr="000B49C6" w:rsidRDefault="00D370B3" w:rsidP="00D370B3">
            <w:pPr>
              <w:pStyle w:val="Tabletext"/>
              <w:jc w:val="center"/>
              <w:rPr>
                <w:b/>
              </w:rPr>
            </w:pPr>
            <w:proofErr w:type="spellStart"/>
            <w:r w:rsidRPr="000B49C6">
              <w:rPr>
                <w:b/>
              </w:rPr>
              <w:t>SoC</w:t>
            </w:r>
            <w:proofErr w:type="spellEnd"/>
            <w:r w:rsidRPr="000B49C6">
              <w:rPr>
                <w:b/>
              </w:rPr>
              <w:t xml:space="preserve"> only</w:t>
            </w:r>
          </w:p>
        </w:tc>
        <w:tc>
          <w:tcPr>
            <w:tcW w:w="838" w:type="pct"/>
            <w:vAlign w:val="center"/>
          </w:tcPr>
          <w:p w:rsidR="00D370B3" w:rsidRPr="000B49C6" w:rsidRDefault="00D370B3" w:rsidP="00D370B3">
            <w:pPr>
              <w:pStyle w:val="Tabletext"/>
              <w:jc w:val="center"/>
              <w:rPr>
                <w:b/>
              </w:rPr>
            </w:pPr>
            <w:r w:rsidRPr="000B49C6">
              <w:rPr>
                <w:b/>
              </w:rPr>
              <w:t>Increment</w:t>
            </w:r>
          </w:p>
        </w:tc>
      </w:tr>
      <w:tr w:rsidR="00D370B3" w:rsidRPr="000B49C6" w:rsidTr="00D370B3">
        <w:tc>
          <w:tcPr>
            <w:tcW w:w="5000" w:type="pct"/>
            <w:gridSpan w:val="4"/>
            <w:vAlign w:val="center"/>
          </w:tcPr>
          <w:p w:rsidR="00D370B3" w:rsidRPr="000B49C6" w:rsidRDefault="00D370B3" w:rsidP="00D370B3">
            <w:pPr>
              <w:pStyle w:val="Tabletext"/>
              <w:rPr>
                <w:b/>
                <w:snapToGrid w:val="0"/>
              </w:rPr>
            </w:pPr>
            <w:r w:rsidRPr="000B49C6">
              <w:rPr>
                <w:b/>
                <w:snapToGrid w:val="0"/>
              </w:rPr>
              <w:t>Step 1: Used high risk subpopulation from MODIFY I and MODIFY II</w:t>
            </w:r>
          </w:p>
        </w:tc>
      </w:tr>
      <w:tr w:rsidR="00D370B3" w:rsidRPr="000B49C6" w:rsidTr="00D370B3">
        <w:tc>
          <w:tcPr>
            <w:tcW w:w="1529" w:type="pct"/>
            <w:vAlign w:val="center"/>
          </w:tcPr>
          <w:p w:rsidR="00D370B3" w:rsidRPr="000B49C6" w:rsidRDefault="00D370B3" w:rsidP="00D370B3">
            <w:pPr>
              <w:pStyle w:val="Tabletext"/>
              <w:rPr>
                <w:rFonts w:ascii="Times" w:hAnsi="Times"/>
              </w:rPr>
            </w:pPr>
            <w:r w:rsidRPr="000B49C6">
              <w:t>Costs</w:t>
            </w:r>
          </w:p>
        </w:tc>
        <w:tc>
          <w:tcPr>
            <w:tcW w:w="1359" w:type="pct"/>
            <w:vAlign w:val="center"/>
          </w:tcPr>
          <w:p w:rsidR="00D370B3" w:rsidRPr="000B49C6" w:rsidRDefault="00D370B3" w:rsidP="00D370B3">
            <w:pPr>
              <w:pStyle w:val="Tabletext"/>
              <w:jc w:val="center"/>
              <w:rPr>
                <w:rFonts w:ascii="Times" w:hAnsi="Times"/>
              </w:rPr>
            </w:pPr>
            <w:r w:rsidRPr="000B49C6">
              <w:t>$</w:t>
            </w:r>
            <w:r w:rsidR="00410A2A">
              <w:rPr>
                <w:noProof/>
                <w:color w:val="000000"/>
                <w:highlight w:val="black"/>
              </w:rPr>
              <w:t>'''''''''''''''''''</w:t>
            </w:r>
          </w:p>
        </w:tc>
        <w:tc>
          <w:tcPr>
            <w:tcW w:w="1274" w:type="pct"/>
            <w:vAlign w:val="center"/>
          </w:tcPr>
          <w:p w:rsidR="00D370B3" w:rsidRPr="000B49C6" w:rsidRDefault="00D370B3" w:rsidP="00D370B3">
            <w:pPr>
              <w:pStyle w:val="Tabletext"/>
              <w:jc w:val="center"/>
              <w:rPr>
                <w:rFonts w:ascii="Times" w:hAnsi="Times"/>
              </w:rPr>
            </w:pPr>
            <w:r w:rsidRPr="000B49C6">
              <w:t>$0</w:t>
            </w:r>
          </w:p>
        </w:tc>
        <w:tc>
          <w:tcPr>
            <w:tcW w:w="838" w:type="pct"/>
            <w:vAlign w:val="center"/>
          </w:tcPr>
          <w:p w:rsidR="00D370B3" w:rsidRPr="000B49C6" w:rsidRDefault="00D370B3" w:rsidP="00D370B3">
            <w:pPr>
              <w:pStyle w:val="Tabletext"/>
              <w:jc w:val="center"/>
              <w:rPr>
                <w:rFonts w:ascii="Times" w:hAnsi="Times"/>
              </w:rPr>
            </w:pPr>
            <w:r w:rsidRPr="000B49C6">
              <w:t>$</w:t>
            </w:r>
            <w:r w:rsidR="00410A2A">
              <w:rPr>
                <w:noProof/>
                <w:color w:val="000000"/>
                <w:highlight w:val="black"/>
              </w:rPr>
              <w:t>'''''''''''''''''''''''</w:t>
            </w:r>
          </w:p>
        </w:tc>
      </w:tr>
      <w:tr w:rsidR="00D370B3" w:rsidRPr="000B49C6" w:rsidTr="00D370B3">
        <w:tc>
          <w:tcPr>
            <w:tcW w:w="1529" w:type="pct"/>
            <w:vAlign w:val="center"/>
          </w:tcPr>
          <w:p w:rsidR="00D370B3" w:rsidRPr="000B49C6" w:rsidRDefault="00D370B3" w:rsidP="00D370B3">
            <w:pPr>
              <w:pStyle w:val="Tabletext"/>
              <w:rPr>
                <w:rFonts w:ascii="Times" w:hAnsi="Times"/>
              </w:rPr>
            </w:pPr>
            <w:r w:rsidRPr="000B49C6">
              <w:t>Outcomes (CDI recurrence rate)</w:t>
            </w:r>
          </w:p>
        </w:tc>
        <w:tc>
          <w:tcPr>
            <w:tcW w:w="1359" w:type="pct"/>
            <w:vAlign w:val="center"/>
          </w:tcPr>
          <w:p w:rsidR="00D370B3" w:rsidRPr="000B49C6" w:rsidRDefault="00D370B3" w:rsidP="00D370B3">
            <w:pPr>
              <w:pStyle w:val="Tabletext"/>
              <w:jc w:val="center"/>
              <w:rPr>
                <w:rFonts w:ascii="Times" w:hAnsi="Times"/>
              </w:rPr>
            </w:pPr>
            <w:r w:rsidRPr="000B49C6">
              <w:t>16.7%</w:t>
            </w:r>
          </w:p>
        </w:tc>
        <w:tc>
          <w:tcPr>
            <w:tcW w:w="1274" w:type="pct"/>
            <w:vAlign w:val="center"/>
          </w:tcPr>
          <w:p w:rsidR="00D370B3" w:rsidRPr="000B49C6" w:rsidRDefault="00D370B3" w:rsidP="00D370B3">
            <w:pPr>
              <w:pStyle w:val="Tabletext"/>
              <w:jc w:val="center"/>
              <w:rPr>
                <w:rFonts w:ascii="Times" w:hAnsi="Times"/>
              </w:rPr>
            </w:pPr>
            <w:r w:rsidRPr="000B49C6">
              <w:t>29.7%</w:t>
            </w:r>
          </w:p>
        </w:tc>
        <w:tc>
          <w:tcPr>
            <w:tcW w:w="838" w:type="pct"/>
            <w:vAlign w:val="center"/>
          </w:tcPr>
          <w:p w:rsidR="00D370B3" w:rsidRPr="000B49C6" w:rsidRDefault="00D370B3" w:rsidP="00D370B3">
            <w:pPr>
              <w:pStyle w:val="Tabletext"/>
              <w:jc w:val="center"/>
            </w:pPr>
            <w:r w:rsidRPr="000B49C6">
              <w:t>13%</w:t>
            </w:r>
          </w:p>
        </w:tc>
      </w:tr>
      <w:tr w:rsidR="00D370B3" w:rsidRPr="000B49C6" w:rsidTr="00D370B3">
        <w:tc>
          <w:tcPr>
            <w:tcW w:w="4162" w:type="pct"/>
            <w:gridSpan w:val="3"/>
            <w:vAlign w:val="center"/>
          </w:tcPr>
          <w:p w:rsidR="00D370B3" w:rsidRPr="000B49C6" w:rsidRDefault="00D370B3" w:rsidP="00D370B3">
            <w:pPr>
              <w:pStyle w:val="Tabletext"/>
              <w:rPr>
                <w:rFonts w:ascii="Times" w:hAnsi="Times"/>
                <w:snapToGrid w:val="0"/>
              </w:rPr>
            </w:pPr>
            <w:r w:rsidRPr="000B49C6">
              <w:t>Cost per CDI recurrence avoided</w:t>
            </w:r>
          </w:p>
        </w:tc>
        <w:tc>
          <w:tcPr>
            <w:tcW w:w="838" w:type="pct"/>
            <w:vAlign w:val="center"/>
          </w:tcPr>
          <w:p w:rsidR="00D370B3" w:rsidRPr="000B49C6" w:rsidRDefault="00D370B3" w:rsidP="00D370B3">
            <w:pPr>
              <w:pStyle w:val="Tabletext"/>
              <w:jc w:val="center"/>
              <w:rPr>
                <w:rFonts w:ascii="Times" w:hAnsi="Times"/>
              </w:rPr>
            </w:pPr>
            <w:r w:rsidRPr="000B49C6">
              <w:t>$</w:t>
            </w:r>
            <w:r w:rsidR="00410A2A">
              <w:rPr>
                <w:noProof/>
                <w:color w:val="000000"/>
                <w:highlight w:val="black"/>
              </w:rPr>
              <w:t>''''''''''''''''''''''''</w:t>
            </w:r>
          </w:p>
        </w:tc>
      </w:tr>
      <w:tr w:rsidR="00D370B3" w:rsidRPr="000B49C6" w:rsidTr="00D370B3">
        <w:tc>
          <w:tcPr>
            <w:tcW w:w="5000" w:type="pct"/>
            <w:gridSpan w:val="4"/>
            <w:vAlign w:val="center"/>
          </w:tcPr>
          <w:p w:rsidR="00D370B3" w:rsidRPr="000B49C6" w:rsidRDefault="00D370B3" w:rsidP="00D370B3">
            <w:pPr>
              <w:pStyle w:val="Tabletext"/>
              <w:rPr>
                <w:b/>
                <w:snapToGrid w:val="0"/>
              </w:rPr>
            </w:pPr>
            <w:r w:rsidRPr="000B49C6">
              <w:rPr>
                <w:b/>
                <w:snapToGrid w:val="0"/>
              </w:rPr>
              <w:t xml:space="preserve">Step 2: </w:t>
            </w:r>
            <w:r w:rsidRPr="000B49C6">
              <w:rPr>
                <w:b/>
              </w:rPr>
              <w:t>Used Markov model to determine life years</w:t>
            </w:r>
          </w:p>
        </w:tc>
      </w:tr>
      <w:tr w:rsidR="00D370B3" w:rsidRPr="000B49C6" w:rsidTr="00D370B3">
        <w:tc>
          <w:tcPr>
            <w:tcW w:w="1529" w:type="pct"/>
            <w:vAlign w:val="center"/>
          </w:tcPr>
          <w:p w:rsidR="00D370B3" w:rsidRPr="000B49C6" w:rsidRDefault="00D370B3" w:rsidP="00D370B3">
            <w:pPr>
              <w:pStyle w:val="Tabletext"/>
              <w:rPr>
                <w:rFonts w:ascii="Times" w:hAnsi="Times"/>
              </w:rPr>
            </w:pPr>
            <w:r w:rsidRPr="000B49C6">
              <w:t>Costs</w:t>
            </w:r>
          </w:p>
        </w:tc>
        <w:tc>
          <w:tcPr>
            <w:tcW w:w="1359" w:type="pct"/>
            <w:vAlign w:val="center"/>
          </w:tcPr>
          <w:p w:rsidR="00D370B3" w:rsidRPr="000B49C6" w:rsidRDefault="00D370B3" w:rsidP="00D370B3">
            <w:pPr>
              <w:pStyle w:val="Tabletext"/>
              <w:jc w:val="center"/>
              <w:rPr>
                <w:rFonts w:ascii="Times" w:hAnsi="Times"/>
              </w:rPr>
            </w:pPr>
            <w:r w:rsidRPr="000B49C6">
              <w:t>$</w:t>
            </w:r>
            <w:r w:rsidR="00410A2A">
              <w:rPr>
                <w:noProof/>
                <w:color w:val="000000"/>
                <w:highlight w:val="black"/>
              </w:rPr>
              <w:t>''''''''''''''''''''</w:t>
            </w:r>
          </w:p>
        </w:tc>
        <w:tc>
          <w:tcPr>
            <w:tcW w:w="1274" w:type="pct"/>
            <w:vAlign w:val="center"/>
          </w:tcPr>
          <w:p w:rsidR="00D370B3" w:rsidRPr="000B49C6" w:rsidRDefault="00D370B3" w:rsidP="00D370B3">
            <w:pPr>
              <w:pStyle w:val="Tabletext"/>
              <w:jc w:val="center"/>
              <w:rPr>
                <w:rFonts w:ascii="Times" w:hAnsi="Times"/>
              </w:rPr>
            </w:pPr>
            <w:r w:rsidRPr="000B49C6">
              <w:t>$</w:t>
            </w:r>
            <w:r w:rsidR="00410A2A">
              <w:rPr>
                <w:noProof/>
                <w:color w:val="000000"/>
                <w:highlight w:val="black"/>
              </w:rPr>
              <w:t>''''''''''''''''''''''</w:t>
            </w:r>
          </w:p>
        </w:tc>
        <w:tc>
          <w:tcPr>
            <w:tcW w:w="838" w:type="pct"/>
            <w:vAlign w:val="center"/>
          </w:tcPr>
          <w:p w:rsidR="00D370B3" w:rsidRPr="000B49C6" w:rsidRDefault="00D370B3" w:rsidP="00D370B3">
            <w:pPr>
              <w:pStyle w:val="Tabletext"/>
              <w:jc w:val="center"/>
              <w:rPr>
                <w:rFonts w:ascii="Times" w:hAnsi="Times"/>
              </w:rPr>
            </w:pPr>
            <w:r w:rsidRPr="000B49C6">
              <w:t>$</w:t>
            </w:r>
            <w:r w:rsidR="00410A2A">
              <w:rPr>
                <w:noProof/>
                <w:color w:val="000000"/>
                <w:highlight w:val="black"/>
              </w:rPr>
              <w:t>''''''''''''''''''''</w:t>
            </w:r>
          </w:p>
        </w:tc>
      </w:tr>
      <w:tr w:rsidR="00D370B3" w:rsidRPr="000B49C6" w:rsidTr="00D370B3">
        <w:tc>
          <w:tcPr>
            <w:tcW w:w="1529" w:type="pct"/>
            <w:vAlign w:val="center"/>
          </w:tcPr>
          <w:p w:rsidR="00D370B3" w:rsidRPr="000B49C6" w:rsidRDefault="00D370B3" w:rsidP="00D370B3">
            <w:pPr>
              <w:pStyle w:val="Tabletext"/>
              <w:rPr>
                <w:rFonts w:ascii="Times" w:hAnsi="Times"/>
              </w:rPr>
            </w:pPr>
            <w:r w:rsidRPr="000B49C6">
              <w:t>Outcomes (life years)</w:t>
            </w:r>
          </w:p>
        </w:tc>
        <w:tc>
          <w:tcPr>
            <w:tcW w:w="1359" w:type="pct"/>
            <w:vAlign w:val="center"/>
          </w:tcPr>
          <w:p w:rsidR="00D370B3" w:rsidRPr="000B49C6" w:rsidRDefault="00D370B3" w:rsidP="00D370B3">
            <w:pPr>
              <w:pStyle w:val="Tabletext"/>
              <w:jc w:val="center"/>
              <w:rPr>
                <w:rFonts w:ascii="Times" w:hAnsi="Times"/>
              </w:rPr>
            </w:pPr>
            <w:r w:rsidRPr="000B49C6">
              <w:t>5.7306</w:t>
            </w:r>
          </w:p>
        </w:tc>
        <w:tc>
          <w:tcPr>
            <w:tcW w:w="1274" w:type="pct"/>
            <w:vAlign w:val="center"/>
          </w:tcPr>
          <w:p w:rsidR="00D370B3" w:rsidRPr="000B49C6" w:rsidRDefault="00D370B3" w:rsidP="00D370B3">
            <w:pPr>
              <w:pStyle w:val="Tabletext"/>
              <w:jc w:val="center"/>
              <w:rPr>
                <w:rFonts w:ascii="Times" w:hAnsi="Times"/>
              </w:rPr>
            </w:pPr>
            <w:r w:rsidRPr="000B49C6">
              <w:t>5.6935</w:t>
            </w:r>
          </w:p>
        </w:tc>
        <w:tc>
          <w:tcPr>
            <w:tcW w:w="838" w:type="pct"/>
            <w:vAlign w:val="center"/>
          </w:tcPr>
          <w:p w:rsidR="00D370B3" w:rsidRPr="000B49C6" w:rsidRDefault="00D370B3" w:rsidP="00D370B3">
            <w:pPr>
              <w:pStyle w:val="Tabletext"/>
              <w:jc w:val="center"/>
            </w:pPr>
            <w:r w:rsidRPr="000B49C6">
              <w:t>0.0371</w:t>
            </w:r>
          </w:p>
        </w:tc>
      </w:tr>
      <w:tr w:rsidR="00D370B3" w:rsidRPr="000B49C6" w:rsidTr="00D370B3">
        <w:tc>
          <w:tcPr>
            <w:tcW w:w="4162" w:type="pct"/>
            <w:gridSpan w:val="3"/>
            <w:vAlign w:val="center"/>
          </w:tcPr>
          <w:p w:rsidR="00D370B3" w:rsidRPr="000B49C6" w:rsidRDefault="00D370B3" w:rsidP="00D370B3">
            <w:pPr>
              <w:pStyle w:val="Tabletext"/>
              <w:rPr>
                <w:rFonts w:ascii="Times" w:hAnsi="Times"/>
                <w:snapToGrid w:val="0"/>
              </w:rPr>
            </w:pPr>
            <w:r w:rsidRPr="000B49C6">
              <w:t>Cost per life year gained</w:t>
            </w:r>
          </w:p>
        </w:tc>
        <w:tc>
          <w:tcPr>
            <w:tcW w:w="838" w:type="pct"/>
            <w:vAlign w:val="center"/>
          </w:tcPr>
          <w:p w:rsidR="00D370B3" w:rsidRPr="000B49C6" w:rsidRDefault="00D370B3" w:rsidP="00D370B3">
            <w:pPr>
              <w:pStyle w:val="Tabletext"/>
              <w:jc w:val="center"/>
              <w:rPr>
                <w:rFonts w:ascii="Times" w:hAnsi="Times"/>
              </w:rPr>
            </w:pPr>
            <w:r w:rsidRPr="000B49C6">
              <w:t>$</w:t>
            </w:r>
            <w:r w:rsidR="00410A2A">
              <w:rPr>
                <w:noProof/>
                <w:color w:val="000000"/>
                <w:highlight w:val="black"/>
              </w:rPr>
              <w:t>''''''''''''''''''''''</w:t>
            </w:r>
            <w:r w:rsidRPr="000B49C6">
              <w:t>^</w:t>
            </w:r>
          </w:p>
        </w:tc>
      </w:tr>
      <w:tr w:rsidR="00D370B3" w:rsidRPr="000B49C6" w:rsidTr="00D370B3">
        <w:tc>
          <w:tcPr>
            <w:tcW w:w="5000" w:type="pct"/>
            <w:gridSpan w:val="4"/>
            <w:vAlign w:val="center"/>
          </w:tcPr>
          <w:p w:rsidR="00D370B3" w:rsidRPr="000B49C6" w:rsidRDefault="00D370B3" w:rsidP="00D370B3">
            <w:pPr>
              <w:pStyle w:val="Tabletext"/>
              <w:rPr>
                <w:b/>
                <w:snapToGrid w:val="0"/>
              </w:rPr>
            </w:pPr>
            <w:r w:rsidRPr="000B49C6">
              <w:rPr>
                <w:b/>
                <w:snapToGrid w:val="0"/>
              </w:rPr>
              <w:t>Step 3: Applied utility weights to Markov model to determine QALYs</w:t>
            </w:r>
          </w:p>
        </w:tc>
      </w:tr>
      <w:tr w:rsidR="00D370B3" w:rsidRPr="000B49C6" w:rsidTr="00D370B3">
        <w:tc>
          <w:tcPr>
            <w:tcW w:w="1529" w:type="pct"/>
            <w:vAlign w:val="center"/>
          </w:tcPr>
          <w:p w:rsidR="00D370B3" w:rsidRPr="000B49C6" w:rsidRDefault="00D370B3" w:rsidP="00D370B3">
            <w:pPr>
              <w:pStyle w:val="Tabletext"/>
              <w:rPr>
                <w:rFonts w:ascii="Times" w:hAnsi="Times"/>
              </w:rPr>
            </w:pPr>
            <w:r w:rsidRPr="000B49C6">
              <w:t>Costs</w:t>
            </w:r>
          </w:p>
        </w:tc>
        <w:tc>
          <w:tcPr>
            <w:tcW w:w="1359" w:type="pct"/>
            <w:vAlign w:val="center"/>
          </w:tcPr>
          <w:p w:rsidR="00D370B3" w:rsidRPr="000B49C6" w:rsidRDefault="00D370B3" w:rsidP="00D370B3">
            <w:pPr>
              <w:pStyle w:val="Tabletext"/>
              <w:jc w:val="center"/>
              <w:rPr>
                <w:rFonts w:ascii="Times" w:hAnsi="Times"/>
              </w:rPr>
            </w:pPr>
            <w:r w:rsidRPr="000B49C6">
              <w:t>$</w:t>
            </w:r>
            <w:r w:rsidR="00410A2A">
              <w:rPr>
                <w:noProof/>
                <w:color w:val="000000"/>
                <w:highlight w:val="black"/>
              </w:rPr>
              <w:t>''''''''''''''''''''</w:t>
            </w:r>
          </w:p>
        </w:tc>
        <w:tc>
          <w:tcPr>
            <w:tcW w:w="1274" w:type="pct"/>
            <w:vAlign w:val="center"/>
          </w:tcPr>
          <w:p w:rsidR="00D370B3" w:rsidRPr="000B49C6" w:rsidRDefault="00D370B3" w:rsidP="00D370B3">
            <w:pPr>
              <w:pStyle w:val="Tabletext"/>
              <w:jc w:val="center"/>
              <w:rPr>
                <w:rFonts w:ascii="Times" w:hAnsi="Times"/>
              </w:rPr>
            </w:pPr>
            <w:r w:rsidRPr="000B49C6">
              <w:t>$</w:t>
            </w:r>
            <w:r w:rsidR="00410A2A">
              <w:rPr>
                <w:noProof/>
                <w:color w:val="000000"/>
                <w:highlight w:val="black"/>
              </w:rPr>
              <w:t>''''''''''''''''''''</w:t>
            </w:r>
          </w:p>
        </w:tc>
        <w:tc>
          <w:tcPr>
            <w:tcW w:w="838" w:type="pct"/>
            <w:vAlign w:val="center"/>
          </w:tcPr>
          <w:p w:rsidR="00D370B3" w:rsidRPr="000B49C6" w:rsidRDefault="00D370B3" w:rsidP="00D370B3">
            <w:pPr>
              <w:pStyle w:val="Tabletext"/>
              <w:jc w:val="center"/>
              <w:rPr>
                <w:rFonts w:ascii="Times" w:hAnsi="Times"/>
              </w:rPr>
            </w:pPr>
            <w:r w:rsidRPr="000B49C6">
              <w:t>$</w:t>
            </w:r>
            <w:r w:rsidR="00410A2A">
              <w:rPr>
                <w:noProof/>
                <w:color w:val="000000"/>
                <w:highlight w:val="black"/>
              </w:rPr>
              <w:t>''''''''''''''''''''</w:t>
            </w:r>
          </w:p>
        </w:tc>
      </w:tr>
      <w:tr w:rsidR="00D370B3" w:rsidRPr="000B49C6" w:rsidTr="00D370B3">
        <w:tc>
          <w:tcPr>
            <w:tcW w:w="1529" w:type="pct"/>
            <w:vAlign w:val="center"/>
          </w:tcPr>
          <w:p w:rsidR="00D370B3" w:rsidRPr="000B49C6" w:rsidRDefault="00D370B3" w:rsidP="00D370B3">
            <w:pPr>
              <w:pStyle w:val="Tabletext"/>
              <w:rPr>
                <w:rFonts w:ascii="Times" w:hAnsi="Times"/>
              </w:rPr>
            </w:pPr>
            <w:r w:rsidRPr="000B49C6">
              <w:t>QALYs</w:t>
            </w:r>
          </w:p>
        </w:tc>
        <w:tc>
          <w:tcPr>
            <w:tcW w:w="1359" w:type="pct"/>
            <w:vAlign w:val="center"/>
          </w:tcPr>
          <w:p w:rsidR="00D370B3" w:rsidRPr="000B49C6" w:rsidRDefault="00D370B3" w:rsidP="00D370B3">
            <w:pPr>
              <w:pStyle w:val="Tabletext"/>
              <w:jc w:val="center"/>
              <w:rPr>
                <w:rFonts w:ascii="Times" w:hAnsi="Times"/>
              </w:rPr>
            </w:pPr>
            <w:r w:rsidRPr="000B49C6">
              <w:t>4.6961</w:t>
            </w:r>
          </w:p>
        </w:tc>
        <w:tc>
          <w:tcPr>
            <w:tcW w:w="1274" w:type="pct"/>
            <w:vAlign w:val="center"/>
          </w:tcPr>
          <w:p w:rsidR="00D370B3" w:rsidRPr="000B49C6" w:rsidRDefault="00D370B3" w:rsidP="00D370B3">
            <w:pPr>
              <w:pStyle w:val="Tabletext"/>
              <w:jc w:val="center"/>
              <w:rPr>
                <w:rFonts w:ascii="Times" w:hAnsi="Times"/>
              </w:rPr>
            </w:pPr>
            <w:r w:rsidRPr="000B49C6">
              <w:t>4.6637</w:t>
            </w:r>
          </w:p>
        </w:tc>
        <w:tc>
          <w:tcPr>
            <w:tcW w:w="838" w:type="pct"/>
            <w:vAlign w:val="center"/>
          </w:tcPr>
          <w:p w:rsidR="00D370B3" w:rsidRPr="000B49C6" w:rsidRDefault="00D370B3" w:rsidP="00D370B3">
            <w:pPr>
              <w:pStyle w:val="Tabletext"/>
              <w:jc w:val="center"/>
            </w:pPr>
            <w:r w:rsidRPr="000B49C6">
              <w:t>0.0324</w:t>
            </w:r>
          </w:p>
        </w:tc>
      </w:tr>
      <w:tr w:rsidR="00D370B3" w:rsidRPr="000B49C6" w:rsidTr="00D370B3">
        <w:tc>
          <w:tcPr>
            <w:tcW w:w="4162" w:type="pct"/>
            <w:gridSpan w:val="3"/>
            <w:vAlign w:val="center"/>
          </w:tcPr>
          <w:p w:rsidR="00D370B3" w:rsidRPr="000B49C6" w:rsidRDefault="00D370B3" w:rsidP="00D370B3">
            <w:pPr>
              <w:pStyle w:val="Tabletext"/>
              <w:rPr>
                <w:rFonts w:ascii="Times" w:hAnsi="Times"/>
              </w:rPr>
            </w:pPr>
            <w:r w:rsidRPr="000B49C6">
              <w:rPr>
                <w:b/>
              </w:rPr>
              <w:t>Cost per QALY gained (base case)</w:t>
            </w:r>
          </w:p>
        </w:tc>
        <w:tc>
          <w:tcPr>
            <w:tcW w:w="838" w:type="pct"/>
            <w:vAlign w:val="center"/>
          </w:tcPr>
          <w:p w:rsidR="00D370B3" w:rsidRPr="000B49C6" w:rsidRDefault="00D370B3" w:rsidP="00D370B3">
            <w:pPr>
              <w:pStyle w:val="Tabletext"/>
              <w:jc w:val="center"/>
              <w:rPr>
                <w:rFonts w:ascii="Times" w:hAnsi="Times"/>
              </w:rPr>
            </w:pPr>
            <w:r w:rsidRPr="000B49C6">
              <w:rPr>
                <w:b/>
              </w:rPr>
              <w:t>$</w:t>
            </w:r>
            <w:r w:rsidR="00410A2A">
              <w:rPr>
                <w:b/>
                <w:noProof/>
                <w:color w:val="000000"/>
                <w:highlight w:val="black"/>
              </w:rPr>
              <w:t>'''''''''''''''''</w:t>
            </w:r>
          </w:p>
        </w:tc>
      </w:tr>
    </w:tbl>
    <w:p w:rsidR="00D370B3" w:rsidRPr="000B49C6" w:rsidRDefault="00D370B3" w:rsidP="00D370B3">
      <w:pPr>
        <w:pStyle w:val="TableFooter"/>
      </w:pPr>
      <w:r w:rsidRPr="000B49C6">
        <w:t xml:space="preserve">Abbreviations: </w:t>
      </w:r>
      <w:proofErr w:type="spellStart"/>
      <w:r w:rsidRPr="000B49C6">
        <w:t>SoC</w:t>
      </w:r>
      <w:proofErr w:type="spellEnd"/>
      <w:r w:rsidRPr="000B49C6">
        <w:t>=standard of care; QALY=quality adjusted life years</w:t>
      </w:r>
    </w:p>
    <w:p w:rsidR="00D370B3" w:rsidRPr="000B49C6" w:rsidRDefault="00D370B3" w:rsidP="00D370B3">
      <w:pPr>
        <w:ind w:left="170" w:hanging="170"/>
        <w:rPr>
          <w:rFonts w:ascii="Arial Narrow" w:hAnsi="Arial Narrow"/>
          <w:iCs/>
          <w:sz w:val="18"/>
          <w:szCs w:val="20"/>
        </w:rPr>
      </w:pPr>
      <w:r w:rsidRPr="000B49C6">
        <w:rPr>
          <w:rFonts w:ascii="Arial Narrow" w:hAnsi="Arial Narrow"/>
          <w:sz w:val="18"/>
          <w:szCs w:val="20"/>
          <w:vertAlign w:val="superscript"/>
        </w:rPr>
        <w:t>^</w:t>
      </w:r>
      <w:r w:rsidRPr="000B49C6">
        <w:rPr>
          <w:rFonts w:ascii="Arial Narrow" w:hAnsi="Arial Narrow"/>
          <w:sz w:val="18"/>
          <w:szCs w:val="20"/>
          <w:vertAlign w:val="superscript"/>
        </w:rPr>
        <w:tab/>
      </w:r>
      <w:r w:rsidRPr="000B49C6">
        <w:rPr>
          <w:rFonts w:ascii="Arial Narrow" w:hAnsi="Arial Narrow"/>
          <w:iCs/>
          <w:sz w:val="18"/>
          <w:szCs w:val="20"/>
        </w:rPr>
        <w:t>The half-cycle adjustment was not properly applied across the different cycle lengths between the last 30-day cycle in year 1 and year 2 (annual cycle length) resulting in a missing 0.47 life-year</w:t>
      </w:r>
      <w:r w:rsidR="00991401">
        <w:rPr>
          <w:rFonts w:ascii="Arial Narrow" w:hAnsi="Arial Narrow"/>
          <w:iCs/>
          <w:sz w:val="18"/>
          <w:szCs w:val="20"/>
        </w:rPr>
        <w:t xml:space="preserve">. </w:t>
      </w:r>
      <w:r w:rsidRPr="000B49C6">
        <w:rPr>
          <w:rFonts w:ascii="Arial Narrow" w:hAnsi="Arial Narrow"/>
          <w:iCs/>
          <w:sz w:val="18"/>
          <w:szCs w:val="20"/>
        </w:rPr>
        <w:t>Correcting for the half-cycle adjustment resulted in incremental cost per life year $</w:t>
      </w:r>
      <w:r w:rsidR="003A5700">
        <w:rPr>
          <w:rFonts w:ascii="Arial Narrow" w:hAnsi="Arial Narrow"/>
          <w:iCs/>
          <w:sz w:val="18"/>
          <w:szCs w:val="20"/>
        </w:rPr>
        <w:t>15,000 – $45,000</w:t>
      </w:r>
      <w:r w:rsidRPr="000B49C6">
        <w:rPr>
          <w:rFonts w:ascii="Arial Narrow" w:hAnsi="Arial Narrow"/>
          <w:iCs/>
          <w:sz w:val="18"/>
          <w:szCs w:val="20"/>
        </w:rPr>
        <w:t xml:space="preserve"> and ICER of $</w:t>
      </w:r>
      <w:r w:rsidR="003A5700">
        <w:rPr>
          <w:rFonts w:ascii="Arial Narrow" w:hAnsi="Arial Narrow"/>
          <w:iCs/>
          <w:sz w:val="18"/>
          <w:szCs w:val="20"/>
        </w:rPr>
        <w:t>15,000/QALY – $45,000</w:t>
      </w:r>
      <w:r w:rsidRPr="000B49C6">
        <w:rPr>
          <w:rFonts w:ascii="Arial Narrow" w:hAnsi="Arial Narrow"/>
          <w:iCs/>
          <w:sz w:val="18"/>
          <w:szCs w:val="20"/>
        </w:rPr>
        <w:t>/QALY.</w:t>
      </w:r>
    </w:p>
    <w:p w:rsidR="00D370B3" w:rsidRPr="000B49C6" w:rsidRDefault="00D370B3" w:rsidP="00D370B3">
      <w:pPr>
        <w:pStyle w:val="TableFooter"/>
        <w:rPr>
          <w:sz w:val="20"/>
        </w:rPr>
      </w:pPr>
      <w:r w:rsidRPr="000B49C6">
        <w:t>Source: Table 3-17, p115 and</w:t>
      </w:r>
      <w:r w:rsidRPr="000B49C6">
        <w:rPr>
          <w:szCs w:val="18"/>
        </w:rPr>
        <w:t xml:space="preserve"> </w:t>
      </w:r>
      <w:proofErr w:type="spellStart"/>
      <w:r w:rsidRPr="000B49C6">
        <w:rPr>
          <w:szCs w:val="18"/>
        </w:rPr>
        <w:t>Bezlotoxumab</w:t>
      </w:r>
      <w:proofErr w:type="spellEnd"/>
      <w:r w:rsidRPr="000B49C6">
        <w:rPr>
          <w:szCs w:val="18"/>
        </w:rPr>
        <w:t xml:space="preserve"> Sec 3 Workbook of the resubmission</w:t>
      </w:r>
    </w:p>
    <w:p w:rsidR="00D370B3" w:rsidRDefault="00D370B3" w:rsidP="00D370B3">
      <w:pPr>
        <w:widowControl/>
      </w:pPr>
    </w:p>
    <w:p w:rsidR="007D6DE5" w:rsidRDefault="00011B9F" w:rsidP="00D370B3">
      <w:pPr>
        <w:widowControl/>
      </w:pPr>
      <w:r>
        <w:t xml:space="preserve">The redacted table shows the base case ICER in the range of $15,000/QALY - $45,000/QALY. </w:t>
      </w:r>
    </w:p>
    <w:p w:rsidR="007D6DE5" w:rsidRPr="000B49C6" w:rsidRDefault="007D6DE5" w:rsidP="00D370B3">
      <w:pPr>
        <w:widowControl/>
      </w:pPr>
    </w:p>
    <w:p w:rsidR="008D4B36" w:rsidRPr="000B49C6" w:rsidRDefault="008D4B36" w:rsidP="00DD147B">
      <w:pPr>
        <w:pStyle w:val="ListParagraph"/>
        <w:widowControl/>
        <w:numPr>
          <w:ilvl w:val="1"/>
          <w:numId w:val="3"/>
        </w:numPr>
        <w:rPr>
          <w:iCs/>
        </w:rPr>
      </w:pPr>
      <w:r w:rsidRPr="000B49C6">
        <w:rPr>
          <w:iCs/>
        </w:rPr>
        <w:t>The main drivers of the modelled economic evaluation were mortality, CDI recurrence</w:t>
      </w:r>
      <w:r w:rsidR="00BC4FE9" w:rsidRPr="000B49C6">
        <w:rPr>
          <w:iCs/>
        </w:rPr>
        <w:t xml:space="preserve"> and hospitalisation costs</w:t>
      </w:r>
      <w:r w:rsidR="00991401">
        <w:rPr>
          <w:iCs/>
        </w:rPr>
        <w:t xml:space="preserve">. </w:t>
      </w:r>
      <w:r w:rsidR="00DD147B" w:rsidRPr="000B49C6">
        <w:rPr>
          <w:iCs/>
        </w:rPr>
        <w:t>C</w:t>
      </w:r>
      <w:r w:rsidRPr="000B49C6">
        <w:rPr>
          <w:iCs/>
        </w:rPr>
        <w:t xml:space="preserve">oncerns with inputs used in the resubmission </w:t>
      </w:r>
      <w:r w:rsidR="00BC4FE9" w:rsidRPr="000B49C6">
        <w:rPr>
          <w:iCs/>
        </w:rPr>
        <w:t>included</w:t>
      </w:r>
      <w:r w:rsidRPr="000B49C6">
        <w:rPr>
          <w:iCs/>
        </w:rPr>
        <w:t>:</w:t>
      </w:r>
    </w:p>
    <w:p w:rsidR="008D4B36" w:rsidRPr="000B49C6" w:rsidRDefault="008D4B36" w:rsidP="008D4B36">
      <w:pPr>
        <w:pStyle w:val="ListParagraph"/>
        <w:numPr>
          <w:ilvl w:val="0"/>
          <w:numId w:val="17"/>
        </w:numPr>
        <w:ind w:left="993" w:hanging="284"/>
        <w:rPr>
          <w:iCs/>
        </w:rPr>
      </w:pPr>
      <w:r w:rsidRPr="000B49C6">
        <w:rPr>
          <w:iCs/>
        </w:rPr>
        <w:t>Although the assumed mortality rates in the model were reduced compared to</w:t>
      </w:r>
      <w:r w:rsidR="00BC4FE9" w:rsidRPr="000B49C6">
        <w:rPr>
          <w:iCs/>
        </w:rPr>
        <w:t xml:space="preserve"> the November 2017 submission, </w:t>
      </w:r>
      <w:r w:rsidR="00A31CCB" w:rsidRPr="000B49C6">
        <w:rPr>
          <w:iCs/>
        </w:rPr>
        <w:t>t</w:t>
      </w:r>
      <w:r w:rsidRPr="000B49C6">
        <w:rPr>
          <w:iCs/>
        </w:rPr>
        <w:t>he mortality rate for patients with recurrent CDI may also be lower than assumed in the model, with one reference suggesting mortality was 2.5% in hospitalised patients with CDI</w:t>
      </w:r>
      <w:r w:rsidR="00A31CCB" w:rsidRPr="000B49C6">
        <w:rPr>
          <w:iCs/>
        </w:rPr>
        <w:t xml:space="preserve"> (compared to the 3.6% used in the submission).</w:t>
      </w:r>
      <w:r w:rsidRPr="000B49C6">
        <w:rPr>
          <w:iCs/>
        </w:rPr>
        <w:t xml:space="preserve"> </w:t>
      </w:r>
      <w:r w:rsidR="00A31CCB" w:rsidRPr="000B49C6">
        <w:rPr>
          <w:iCs/>
        </w:rPr>
        <w:t>A</w:t>
      </w:r>
      <w:r w:rsidRPr="000B49C6">
        <w:rPr>
          <w:iCs/>
        </w:rPr>
        <w:t>ssuming more severe patients are hospitalised, then mortality rate in the community could be even lower (particularly for patients with mild/moderate CDI).</w:t>
      </w:r>
      <w:r w:rsidR="00FE1B59" w:rsidRPr="00FE1B59">
        <w:rPr>
          <w:iCs/>
        </w:rPr>
        <w:t xml:space="preserve"> </w:t>
      </w:r>
    </w:p>
    <w:p w:rsidR="00A31CCB" w:rsidRPr="000B49C6" w:rsidRDefault="00A31CCB" w:rsidP="00681C96">
      <w:pPr>
        <w:pStyle w:val="ListParagraph"/>
        <w:numPr>
          <w:ilvl w:val="1"/>
          <w:numId w:val="17"/>
        </w:numPr>
        <w:rPr>
          <w:iCs/>
        </w:rPr>
      </w:pPr>
      <w:r w:rsidRPr="000B49C6">
        <w:rPr>
          <w:iCs/>
        </w:rPr>
        <w:t xml:space="preserve">The </w:t>
      </w:r>
      <w:r w:rsidR="004E4936" w:rsidRPr="000B49C6">
        <w:rPr>
          <w:iCs/>
        </w:rPr>
        <w:t xml:space="preserve">Huber paper reporting the 3.6% </w:t>
      </w:r>
      <w:r w:rsidR="00681C96" w:rsidRPr="000B49C6">
        <w:rPr>
          <w:iCs/>
        </w:rPr>
        <w:t xml:space="preserve">mortality </w:t>
      </w:r>
      <w:r w:rsidR="004E4936" w:rsidRPr="000B49C6">
        <w:rPr>
          <w:iCs/>
        </w:rPr>
        <w:t xml:space="preserve">rate was not provided with the submission. ESC noted that it appears that the reported 3.6% reflects </w:t>
      </w:r>
      <w:r w:rsidR="004E4936" w:rsidRPr="000B49C6">
        <w:t>aggregate mortality (i.e. with and without recurrence), implying mortality in non-recurrent cases would be lower, somewhere between 0.032 and 0.035, depending on assumptions on proportion of first CDI cases and the mortality HR for recurrent vs. first CDIs.</w:t>
      </w:r>
    </w:p>
    <w:p w:rsidR="00D246F6" w:rsidRDefault="004E4936" w:rsidP="00681C96">
      <w:pPr>
        <w:pStyle w:val="ListParagraph"/>
        <w:numPr>
          <w:ilvl w:val="1"/>
          <w:numId w:val="17"/>
        </w:numPr>
        <w:rPr>
          <w:iCs/>
        </w:rPr>
      </w:pPr>
      <w:r w:rsidRPr="000B49C6">
        <w:t xml:space="preserve">The PSCR noted that </w:t>
      </w:r>
      <w:r w:rsidRPr="000B49C6">
        <w:rPr>
          <w:iCs/>
        </w:rPr>
        <w:t xml:space="preserve">the Foster (2014) paper reporting a mortality rate of 2.5% was calculated from two hospitals in Western Australia, where 2 patients died out of a total of 80 patients in the trial and that 90-day mortality was 16.3% (equivalent to 5.8% 30-day probability). </w:t>
      </w:r>
      <w:r w:rsidRPr="000B49C6">
        <w:rPr>
          <w:rFonts w:asciiTheme="minorHAnsi" w:hAnsiTheme="minorHAnsi"/>
          <w:iCs/>
          <w:szCs w:val="24"/>
        </w:rPr>
        <w:t xml:space="preserve">The PSCR also cited other studies reporting higher 30-day mortality rates, including a </w:t>
      </w:r>
      <w:r w:rsidRPr="000B49C6">
        <w:rPr>
          <w:rFonts w:asciiTheme="minorHAnsi" w:hAnsiTheme="minorHAnsi"/>
          <w:szCs w:val="24"/>
        </w:rPr>
        <w:lastRenderedPageBreak/>
        <w:t>systematic review of the evidence regarding mortality and CDI by Mitchell (2012), which found the 30-day mortality rates to range between 9% and 38%. This PSCR argued that this study, which included over 20,000 patients, should be considered a higher level of evidence than the paper by Foster (2014).</w:t>
      </w:r>
      <w:r w:rsidR="00D246F6" w:rsidRPr="000B49C6">
        <w:rPr>
          <w:rFonts w:asciiTheme="minorHAnsi" w:hAnsiTheme="minorHAnsi"/>
          <w:szCs w:val="24"/>
        </w:rPr>
        <w:t xml:space="preserve"> The </w:t>
      </w:r>
      <w:r w:rsidR="00D246F6" w:rsidRPr="000B49C6">
        <w:rPr>
          <w:iCs/>
        </w:rPr>
        <w:t xml:space="preserve">ESC noted that a slightly reduced baseline mortality probability of 0.34 may be reasonable, but considered that mortality rates in Australia were uncertain and that the reported 2.5% in hospitalised patients was relevant to the submission. </w:t>
      </w:r>
    </w:p>
    <w:p w:rsidR="00FE1B59" w:rsidRDefault="00D44C7A" w:rsidP="00681C96">
      <w:pPr>
        <w:pStyle w:val="ListParagraph"/>
        <w:numPr>
          <w:ilvl w:val="1"/>
          <w:numId w:val="17"/>
        </w:numPr>
        <w:rPr>
          <w:iCs/>
        </w:rPr>
      </w:pPr>
      <w:r>
        <w:rPr>
          <w:iCs/>
        </w:rPr>
        <w:t xml:space="preserve">The PBAC noted that the pre-PBAC response referred to a study by Chen </w:t>
      </w:r>
      <w:proofErr w:type="gramStart"/>
      <w:r w:rsidR="00710672">
        <w:rPr>
          <w:i/>
          <w:iCs/>
        </w:rPr>
        <w:t>et</w:t>
      </w:r>
      <w:proofErr w:type="gramEnd"/>
      <w:r w:rsidR="00710672">
        <w:rPr>
          <w:i/>
          <w:iCs/>
        </w:rPr>
        <w:t xml:space="preserve">. </w:t>
      </w:r>
      <w:r>
        <w:rPr>
          <w:i/>
          <w:iCs/>
        </w:rPr>
        <w:t>al.</w:t>
      </w:r>
      <w:r>
        <w:rPr>
          <w:iCs/>
        </w:rPr>
        <w:t xml:space="preserve"> 2017 </w:t>
      </w:r>
      <w:r w:rsidR="007507AC">
        <w:rPr>
          <w:iCs/>
        </w:rPr>
        <w:t>which</w:t>
      </w:r>
      <w:r>
        <w:rPr>
          <w:iCs/>
        </w:rPr>
        <w:t xml:space="preserve"> reported in-hospital mortality rate for CD</w:t>
      </w:r>
      <w:r w:rsidR="0085788D">
        <w:rPr>
          <w:iCs/>
        </w:rPr>
        <w:t>I admissions as 7.3%. The PBAC noted that</w:t>
      </w:r>
      <w:r>
        <w:rPr>
          <w:iCs/>
        </w:rPr>
        <w:t xml:space="preserve"> this</w:t>
      </w:r>
      <w:r w:rsidR="0085788D">
        <w:rPr>
          <w:iCs/>
        </w:rPr>
        <w:t xml:space="preserve"> study</w:t>
      </w:r>
      <w:r>
        <w:rPr>
          <w:iCs/>
        </w:rPr>
        <w:t xml:space="preserve"> included hospitalised CDI only, </w:t>
      </w:r>
      <w:r w:rsidR="0085788D">
        <w:rPr>
          <w:iCs/>
        </w:rPr>
        <w:t>and considered that this</w:t>
      </w:r>
      <w:r>
        <w:rPr>
          <w:iCs/>
        </w:rPr>
        <w:t xml:space="preserve"> would </w:t>
      </w:r>
      <w:r w:rsidR="0085788D">
        <w:rPr>
          <w:iCs/>
        </w:rPr>
        <w:t>exclude the less severe patients and therefore</w:t>
      </w:r>
      <w:r>
        <w:rPr>
          <w:iCs/>
        </w:rPr>
        <w:t xml:space="preserve"> the mortality rate for all CDI cases was likely lower.</w:t>
      </w:r>
      <w:r w:rsidR="009E1751">
        <w:rPr>
          <w:iCs/>
        </w:rPr>
        <w:t xml:space="preserve"> </w:t>
      </w:r>
    </w:p>
    <w:p w:rsidR="00FE1B59" w:rsidRDefault="00FE1B59" w:rsidP="00681C96">
      <w:pPr>
        <w:pStyle w:val="ListParagraph"/>
        <w:numPr>
          <w:ilvl w:val="1"/>
          <w:numId w:val="17"/>
        </w:numPr>
        <w:rPr>
          <w:iCs/>
        </w:rPr>
      </w:pPr>
      <w:r>
        <w:rPr>
          <w:iCs/>
        </w:rPr>
        <w:t>The PBAC also considered that not all deaths in patients admitted for CDI could be attributed to CDI.</w:t>
      </w:r>
    </w:p>
    <w:p w:rsidR="00D44C7A" w:rsidRPr="000B49C6" w:rsidRDefault="0085788D" w:rsidP="00FE1B59">
      <w:pPr>
        <w:pStyle w:val="ListParagraph"/>
        <w:ind w:left="1080"/>
        <w:rPr>
          <w:iCs/>
        </w:rPr>
      </w:pPr>
      <w:r>
        <w:rPr>
          <w:iCs/>
        </w:rPr>
        <w:t>Taken together, the PBAC considered</w:t>
      </w:r>
      <w:r w:rsidR="009E1751">
        <w:rPr>
          <w:iCs/>
        </w:rPr>
        <w:t xml:space="preserve"> that a more conservative estimate would be appropriate.</w:t>
      </w:r>
    </w:p>
    <w:p w:rsidR="00D246F6" w:rsidRPr="000B49C6" w:rsidRDefault="00D246F6" w:rsidP="00D246F6">
      <w:pPr>
        <w:pStyle w:val="ListParagraph"/>
        <w:numPr>
          <w:ilvl w:val="0"/>
          <w:numId w:val="17"/>
        </w:numPr>
        <w:ind w:left="993" w:hanging="284"/>
        <w:rPr>
          <w:iCs/>
        </w:rPr>
      </w:pPr>
      <w:r w:rsidRPr="000B49C6">
        <w:rPr>
          <w:iCs/>
        </w:rPr>
        <w:t xml:space="preserve">The ESC noted that the HR point estimate (1.33) </w:t>
      </w:r>
      <w:r w:rsidR="009E1751">
        <w:rPr>
          <w:iCs/>
        </w:rPr>
        <w:t xml:space="preserve">for mortality </w:t>
      </w:r>
      <w:r w:rsidRPr="000B49C6">
        <w:rPr>
          <w:iCs/>
        </w:rPr>
        <w:t>applied to patients with recurrent CDI compared to non-recurrent CDI in the model was likely to be an overestimate. The observational study from which the HR was derived acknowledged the following limitations that are likely to have overestimated the mortality effect of recurrent CDI:</w:t>
      </w:r>
    </w:p>
    <w:p w:rsidR="00D246F6" w:rsidRPr="000B49C6" w:rsidRDefault="00D246F6" w:rsidP="00D246F6">
      <w:pPr>
        <w:pStyle w:val="ListParagraph"/>
        <w:numPr>
          <w:ilvl w:val="1"/>
          <w:numId w:val="17"/>
        </w:numPr>
        <w:rPr>
          <w:iCs/>
        </w:rPr>
      </w:pPr>
      <w:r w:rsidRPr="000B49C6">
        <w:rPr>
          <w:iCs/>
        </w:rPr>
        <w:t>they were more likely to miss less severe recurrent cases;</w:t>
      </w:r>
    </w:p>
    <w:p w:rsidR="00D246F6" w:rsidRDefault="00D246F6" w:rsidP="00D246F6">
      <w:pPr>
        <w:pStyle w:val="ListParagraph"/>
        <w:numPr>
          <w:ilvl w:val="1"/>
          <w:numId w:val="17"/>
        </w:numPr>
        <w:rPr>
          <w:iCs/>
        </w:rPr>
      </w:pPr>
      <w:proofErr w:type="gramStart"/>
      <w:r w:rsidRPr="000B49C6">
        <w:rPr>
          <w:iCs/>
        </w:rPr>
        <w:t>the</w:t>
      </w:r>
      <w:proofErr w:type="gramEnd"/>
      <w:r w:rsidRPr="000B49C6">
        <w:rPr>
          <w:iCs/>
        </w:rPr>
        <w:t xml:space="preserve"> lack of data on </w:t>
      </w:r>
      <w:r w:rsidR="000B49C6" w:rsidRPr="000B49C6">
        <w:rPr>
          <w:i/>
          <w:iCs/>
        </w:rPr>
        <w:t>C. difficile</w:t>
      </w:r>
      <w:r w:rsidRPr="000B49C6">
        <w:rPr>
          <w:iCs/>
        </w:rPr>
        <w:t xml:space="preserve"> strain is important because the 027/BI/NAP1 strain has been associated with both increased risk of CDI recurrence and mortality</w:t>
      </w:r>
      <w:r w:rsidR="009E1751">
        <w:rPr>
          <w:iCs/>
        </w:rPr>
        <w:t xml:space="preserve"> and is therefore</w:t>
      </w:r>
      <w:r w:rsidRPr="000B49C6">
        <w:rPr>
          <w:iCs/>
        </w:rPr>
        <w:t xml:space="preserve"> a potential confounder.</w:t>
      </w:r>
    </w:p>
    <w:p w:rsidR="009E1751" w:rsidRPr="000B49C6" w:rsidRDefault="009E1751" w:rsidP="009E1751">
      <w:pPr>
        <w:pStyle w:val="ListParagraph"/>
        <w:ind w:left="1440"/>
        <w:rPr>
          <w:iCs/>
        </w:rPr>
      </w:pPr>
      <w:r>
        <w:rPr>
          <w:iCs/>
        </w:rPr>
        <w:t>The PBAC did not agree with the pre-PBAC response, which claimed that this approach was conservative.</w:t>
      </w:r>
    </w:p>
    <w:p w:rsidR="00D246F6" w:rsidRPr="000B49C6" w:rsidRDefault="00D246F6" w:rsidP="008D4B36">
      <w:pPr>
        <w:pStyle w:val="ListParagraph"/>
        <w:numPr>
          <w:ilvl w:val="0"/>
          <w:numId w:val="17"/>
        </w:numPr>
        <w:ind w:left="993" w:hanging="284"/>
        <w:rPr>
          <w:iCs/>
        </w:rPr>
      </w:pPr>
      <w:r w:rsidRPr="000B49C6">
        <w:rPr>
          <w:iCs/>
        </w:rPr>
        <w:t xml:space="preserve">The MODIFY trials noted no evidence of mortality benefit associated with </w:t>
      </w:r>
      <w:proofErr w:type="spellStart"/>
      <w:r w:rsidRPr="000B49C6">
        <w:rPr>
          <w:iCs/>
        </w:rPr>
        <w:t>bezlotoxumab</w:t>
      </w:r>
      <w:proofErr w:type="spellEnd"/>
      <w:r w:rsidRPr="000B49C6">
        <w:rPr>
          <w:iCs/>
        </w:rPr>
        <w:t xml:space="preserve"> compared to </w:t>
      </w:r>
      <w:proofErr w:type="spellStart"/>
      <w:r w:rsidRPr="000B49C6">
        <w:rPr>
          <w:iCs/>
        </w:rPr>
        <w:t>SoC</w:t>
      </w:r>
      <w:r w:rsidR="00991401">
        <w:rPr>
          <w:iCs/>
        </w:rPr>
        <w:t>.</w:t>
      </w:r>
      <w:proofErr w:type="spellEnd"/>
      <w:r w:rsidR="00991401">
        <w:rPr>
          <w:iCs/>
        </w:rPr>
        <w:t xml:space="preserve"> </w:t>
      </w:r>
      <w:r w:rsidR="009E1751">
        <w:rPr>
          <w:iCs/>
        </w:rPr>
        <w:t>The pre-PBAC response reiterated</w:t>
      </w:r>
      <w:r w:rsidR="008C4C17">
        <w:rPr>
          <w:iCs/>
        </w:rPr>
        <w:t xml:space="preserve"> that these trials were not powered to detect a difference in mortality. The PBAC acknowledged that while </w:t>
      </w:r>
      <w:r w:rsidR="007D761E">
        <w:rPr>
          <w:iCs/>
        </w:rPr>
        <w:t xml:space="preserve">this does not exclude the possibility that </w:t>
      </w:r>
      <w:proofErr w:type="spellStart"/>
      <w:r w:rsidR="007D761E">
        <w:rPr>
          <w:iCs/>
        </w:rPr>
        <w:t>bezlotoxumab</w:t>
      </w:r>
      <w:proofErr w:type="spellEnd"/>
      <w:r w:rsidR="007D761E">
        <w:rPr>
          <w:iCs/>
        </w:rPr>
        <w:t xml:space="preserve"> may confer a </w:t>
      </w:r>
      <w:r w:rsidR="008C4C17">
        <w:rPr>
          <w:iCs/>
        </w:rPr>
        <w:t xml:space="preserve">mortality </w:t>
      </w:r>
      <w:r w:rsidR="007D761E">
        <w:rPr>
          <w:iCs/>
        </w:rPr>
        <w:t>benefit</w:t>
      </w:r>
      <w:r w:rsidR="008C4C17">
        <w:rPr>
          <w:iCs/>
        </w:rPr>
        <w:t xml:space="preserve">, a lack of evidence that </w:t>
      </w:r>
      <w:proofErr w:type="spellStart"/>
      <w:r w:rsidR="008C4C17">
        <w:rPr>
          <w:iCs/>
        </w:rPr>
        <w:t>bezlotoxumab</w:t>
      </w:r>
      <w:proofErr w:type="spellEnd"/>
      <w:r w:rsidR="008C4C17">
        <w:rPr>
          <w:iCs/>
        </w:rPr>
        <w:t xml:space="preserve"> </w:t>
      </w:r>
      <w:r w:rsidR="007D761E">
        <w:rPr>
          <w:iCs/>
        </w:rPr>
        <w:t xml:space="preserve">does </w:t>
      </w:r>
      <w:r w:rsidR="008C4C17">
        <w:rPr>
          <w:iCs/>
        </w:rPr>
        <w:t>confer a mortality benefit is further justification for a conservative approach to estimating mortality.</w:t>
      </w:r>
    </w:p>
    <w:p w:rsidR="008D4B36" w:rsidRPr="000B49C6" w:rsidRDefault="0083602F" w:rsidP="0083602F">
      <w:pPr>
        <w:pStyle w:val="ListParagraph"/>
        <w:numPr>
          <w:ilvl w:val="0"/>
          <w:numId w:val="17"/>
        </w:numPr>
        <w:ind w:left="993" w:hanging="284"/>
        <w:rPr>
          <w:iCs/>
        </w:rPr>
      </w:pPr>
      <w:r w:rsidRPr="000B49C6">
        <w:rPr>
          <w:iCs/>
        </w:rPr>
        <w:t xml:space="preserve">The probability of first recurrence for the </w:t>
      </w:r>
      <w:proofErr w:type="spellStart"/>
      <w:r w:rsidRPr="000B49C6">
        <w:rPr>
          <w:iCs/>
        </w:rPr>
        <w:t>SoC</w:t>
      </w:r>
      <w:proofErr w:type="spellEnd"/>
      <w:r w:rsidRPr="000B49C6">
        <w:rPr>
          <w:iCs/>
        </w:rPr>
        <w:t xml:space="preserve"> group in the trial and the modelled economic evaluation was higher than estimated using cross sectional Australian data (17.5% assuming constant CDI over time</w:t>
      </w:r>
      <w:r w:rsidR="00F15751" w:rsidRPr="000B49C6">
        <w:rPr>
          <w:iCs/>
        </w:rPr>
        <w:t xml:space="preserve"> compared to 30% in the model</w:t>
      </w:r>
      <w:r w:rsidRPr="000B49C6">
        <w:rPr>
          <w:iCs/>
        </w:rPr>
        <w:t>)</w:t>
      </w:r>
      <w:r w:rsidR="00991401">
        <w:rPr>
          <w:iCs/>
        </w:rPr>
        <w:t xml:space="preserve">. </w:t>
      </w:r>
      <w:r w:rsidRPr="000B49C6">
        <w:rPr>
          <w:iCs/>
        </w:rPr>
        <w:t xml:space="preserve">A </w:t>
      </w:r>
      <w:r w:rsidRPr="000B49C6">
        <w:rPr>
          <w:iCs/>
        </w:rPr>
        <w:lastRenderedPageBreak/>
        <w:t>lower baseline recurrence rate mean</w:t>
      </w:r>
      <w:r w:rsidR="00681C96" w:rsidRPr="000B49C6">
        <w:rPr>
          <w:iCs/>
        </w:rPr>
        <w:t>s</w:t>
      </w:r>
      <w:r w:rsidRPr="000B49C6">
        <w:rPr>
          <w:iCs/>
        </w:rPr>
        <w:t xml:space="preserve"> the absolute benefit of </w:t>
      </w:r>
      <w:proofErr w:type="spellStart"/>
      <w:r w:rsidRPr="000B49C6">
        <w:rPr>
          <w:iCs/>
        </w:rPr>
        <w:t>bezlotoxumab</w:t>
      </w:r>
      <w:proofErr w:type="spellEnd"/>
      <w:r w:rsidRPr="000B49C6">
        <w:rPr>
          <w:iCs/>
        </w:rPr>
        <w:t xml:space="preserve"> in the Australian population may be lower, making it less likely to be cost effective.</w:t>
      </w:r>
      <w:r w:rsidR="00F15751" w:rsidRPr="000B49C6">
        <w:rPr>
          <w:iCs/>
        </w:rPr>
        <w:t xml:space="preserve"> </w:t>
      </w:r>
      <w:r w:rsidR="00F15751" w:rsidRPr="000B49C6">
        <w:rPr>
          <w:rFonts w:asciiTheme="minorHAnsi" w:hAnsiTheme="minorHAnsi"/>
          <w:iCs/>
          <w:szCs w:val="24"/>
        </w:rPr>
        <w:t xml:space="preserve">The PSCR noted that the lower first recurrence rate is based on 14 of 80 patients recurring (data derived from patients from two hospitals in Western Australia in 2014). The </w:t>
      </w:r>
      <w:r w:rsidR="007D761E">
        <w:rPr>
          <w:rFonts w:asciiTheme="minorHAnsi" w:hAnsiTheme="minorHAnsi"/>
          <w:iCs/>
          <w:szCs w:val="24"/>
        </w:rPr>
        <w:t xml:space="preserve">pre-PBAC response </w:t>
      </w:r>
      <w:r w:rsidR="004F07E7">
        <w:rPr>
          <w:rFonts w:asciiTheme="minorHAnsi" w:hAnsiTheme="minorHAnsi"/>
          <w:iCs/>
          <w:szCs w:val="24"/>
        </w:rPr>
        <w:t xml:space="preserve">further </w:t>
      </w:r>
      <w:r w:rsidR="007D761E">
        <w:rPr>
          <w:rFonts w:asciiTheme="minorHAnsi" w:hAnsiTheme="minorHAnsi"/>
          <w:iCs/>
          <w:szCs w:val="24"/>
        </w:rPr>
        <w:t>argued that as these data are</w:t>
      </w:r>
      <w:r w:rsidR="004F07E7">
        <w:rPr>
          <w:rFonts w:asciiTheme="minorHAnsi" w:hAnsiTheme="minorHAnsi"/>
          <w:iCs/>
          <w:szCs w:val="24"/>
        </w:rPr>
        <w:t xml:space="preserve"> not specific to high risk patients and excludes outpatients that it may be an underestimate. The PBAC considered that due to the considerable uncertainty, a more conservative approach was warranted.</w:t>
      </w:r>
    </w:p>
    <w:p w:rsidR="00231479" w:rsidRPr="000B49C6" w:rsidRDefault="00231479" w:rsidP="00231479">
      <w:pPr>
        <w:pStyle w:val="ListParagraph"/>
        <w:numPr>
          <w:ilvl w:val="0"/>
          <w:numId w:val="17"/>
        </w:numPr>
        <w:ind w:left="993" w:hanging="284"/>
        <w:rPr>
          <w:iCs/>
        </w:rPr>
      </w:pPr>
      <w:r w:rsidRPr="000B49C6">
        <w:rPr>
          <w:rFonts w:asciiTheme="minorHAnsi" w:hAnsiTheme="minorHAnsi"/>
          <w:iCs/>
          <w:szCs w:val="24"/>
        </w:rPr>
        <w:t xml:space="preserve">The ESC noted that re-recurrence </w:t>
      </w:r>
      <w:r w:rsidRPr="000B49C6">
        <w:t xml:space="preserve">probabilities used in the submission are taken from the following figure from a general review of CDI </w:t>
      </w:r>
      <w:r w:rsidR="00681C96" w:rsidRPr="000B49C6">
        <w:t>(</w:t>
      </w:r>
      <w:r w:rsidRPr="000B49C6">
        <w:t>Kelly, 2012</w:t>
      </w:r>
      <w:r w:rsidR="00681C96" w:rsidRPr="000B49C6">
        <w:t>)</w:t>
      </w:r>
      <w:r w:rsidRPr="000B49C6">
        <w:t xml:space="preserve"> </w:t>
      </w:r>
      <w:r w:rsidR="00681C96" w:rsidRPr="000B49C6">
        <w:t>and</w:t>
      </w:r>
      <w:r w:rsidRPr="000B49C6">
        <w:t xml:space="preserve"> that the relevance and validity of the five referenced studies and how this figure was assembled from those five studies is not clear.</w:t>
      </w:r>
    </w:p>
    <w:p w:rsidR="00231479" w:rsidRPr="000B49C6" w:rsidRDefault="00231479" w:rsidP="00231479">
      <w:pPr>
        <w:pStyle w:val="ListParagraph"/>
        <w:ind w:left="993"/>
        <w:rPr>
          <w:iCs/>
        </w:rPr>
      </w:pPr>
      <w:r w:rsidRPr="000B49C6">
        <w:rPr>
          <w:noProof/>
          <w:snapToGrid/>
          <w:lang w:eastAsia="en-AU"/>
        </w:rPr>
        <w:drawing>
          <wp:inline distT="0" distB="0" distL="0" distR="0" wp14:anchorId="49718C9E" wp14:editId="242C5527">
            <wp:extent cx="2752725" cy="2581275"/>
            <wp:effectExtent l="0" t="0" r="9525" b="9525"/>
            <wp:docPr id="7" name="Picture 7" title="Frequency of recurrent Clostridium difficile infection following an initial episode and first and second recur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52725" cy="2581275"/>
                    </a:xfrm>
                    <a:prstGeom prst="rect">
                      <a:avLst/>
                    </a:prstGeom>
                  </pic:spPr>
                </pic:pic>
              </a:graphicData>
            </a:graphic>
          </wp:inline>
        </w:drawing>
      </w:r>
    </w:p>
    <w:p w:rsidR="00F23853" w:rsidRDefault="00231479" w:rsidP="00F23853">
      <w:pPr>
        <w:widowControl/>
        <w:autoSpaceDE w:val="0"/>
        <w:autoSpaceDN w:val="0"/>
        <w:adjustRightInd w:val="0"/>
        <w:ind w:left="993"/>
        <w:jc w:val="left"/>
        <w:rPr>
          <w:rFonts w:ascii="Arial Narrow" w:hAnsi="Arial Narrow" w:cs="AdvGSANS-B"/>
          <w:snapToGrid/>
          <w:sz w:val="18"/>
          <w:szCs w:val="18"/>
          <w:lang w:eastAsia="en-AU"/>
        </w:rPr>
      </w:pPr>
      <w:r w:rsidRPr="000B49C6">
        <w:rPr>
          <w:rFonts w:ascii="Arial Narrow" w:hAnsi="Arial Narrow"/>
          <w:iCs/>
          <w:sz w:val="18"/>
          <w:szCs w:val="18"/>
        </w:rPr>
        <w:t xml:space="preserve">Source: Kelly, C.P. (2012). </w:t>
      </w:r>
      <w:r w:rsidRPr="000B49C6">
        <w:rPr>
          <w:rFonts w:ascii="Arial Narrow" w:hAnsi="Arial Narrow" w:cs="AdvGSANS-B"/>
          <w:snapToGrid/>
          <w:sz w:val="18"/>
          <w:szCs w:val="18"/>
          <w:lang w:eastAsia="en-AU"/>
        </w:rPr>
        <w:t xml:space="preserve">Can we identify patients at high risk of recurrent </w:t>
      </w:r>
      <w:r w:rsidR="000B49C6" w:rsidRPr="000B49C6">
        <w:rPr>
          <w:rFonts w:ascii="Arial Narrow" w:hAnsi="Arial Narrow" w:cs="AdvGSANS-BI"/>
          <w:i/>
          <w:snapToGrid/>
          <w:sz w:val="18"/>
          <w:szCs w:val="18"/>
          <w:lang w:eastAsia="en-AU"/>
        </w:rPr>
        <w:t>Clostridium difficile</w:t>
      </w:r>
      <w:r w:rsidRPr="000B49C6">
        <w:rPr>
          <w:rFonts w:ascii="Arial Narrow" w:hAnsi="Arial Narrow" w:cs="AdvGSANS-BI"/>
          <w:snapToGrid/>
          <w:sz w:val="18"/>
          <w:szCs w:val="18"/>
          <w:lang w:eastAsia="en-AU"/>
        </w:rPr>
        <w:t xml:space="preserve"> </w:t>
      </w:r>
      <w:r w:rsidRPr="000B49C6">
        <w:rPr>
          <w:rFonts w:ascii="Arial Narrow" w:hAnsi="Arial Narrow" w:cs="AdvGSANS-B"/>
          <w:snapToGrid/>
          <w:sz w:val="18"/>
          <w:szCs w:val="18"/>
          <w:lang w:eastAsia="en-AU"/>
        </w:rPr>
        <w:t xml:space="preserve">infection? </w:t>
      </w:r>
      <w:proofErr w:type="spellStart"/>
      <w:r w:rsidRPr="000B49C6">
        <w:rPr>
          <w:rFonts w:ascii="Arial Narrow" w:hAnsi="Arial Narrow" w:cs="AdvGSANS-I"/>
          <w:snapToGrid/>
          <w:sz w:val="18"/>
          <w:szCs w:val="18"/>
          <w:lang w:eastAsia="en-AU"/>
        </w:rPr>
        <w:t>Clin</w:t>
      </w:r>
      <w:proofErr w:type="spellEnd"/>
      <w:r w:rsidRPr="000B49C6">
        <w:rPr>
          <w:rFonts w:ascii="Arial Narrow" w:hAnsi="Arial Narrow" w:cs="AdvGSANS-I"/>
          <w:snapToGrid/>
          <w:sz w:val="18"/>
          <w:szCs w:val="18"/>
          <w:lang w:eastAsia="en-AU"/>
        </w:rPr>
        <w:t xml:space="preserve"> </w:t>
      </w:r>
      <w:proofErr w:type="spellStart"/>
      <w:r w:rsidRPr="000B49C6">
        <w:rPr>
          <w:rFonts w:ascii="Arial Narrow" w:hAnsi="Arial Narrow" w:cs="AdvGSANS-I"/>
          <w:snapToGrid/>
          <w:sz w:val="18"/>
          <w:szCs w:val="18"/>
          <w:lang w:eastAsia="en-AU"/>
        </w:rPr>
        <w:t>Microbiol</w:t>
      </w:r>
      <w:proofErr w:type="spellEnd"/>
      <w:r w:rsidRPr="000B49C6">
        <w:rPr>
          <w:rFonts w:ascii="Arial Narrow" w:hAnsi="Arial Narrow" w:cs="AdvGSANS-I"/>
          <w:snapToGrid/>
          <w:sz w:val="18"/>
          <w:szCs w:val="18"/>
          <w:lang w:eastAsia="en-AU"/>
        </w:rPr>
        <w:t xml:space="preserve"> Infect </w:t>
      </w:r>
      <w:r w:rsidRPr="000B49C6">
        <w:rPr>
          <w:rFonts w:ascii="Arial Narrow" w:hAnsi="Arial Narrow" w:cs="AdvGSANS"/>
          <w:snapToGrid/>
          <w:sz w:val="18"/>
          <w:szCs w:val="18"/>
          <w:lang w:eastAsia="en-AU"/>
        </w:rPr>
        <w:t xml:space="preserve">2012; </w:t>
      </w:r>
      <w:r w:rsidRPr="000B49C6">
        <w:rPr>
          <w:rFonts w:ascii="Arial Narrow" w:hAnsi="Arial Narrow" w:cs="AdvGSANS-B"/>
          <w:snapToGrid/>
          <w:sz w:val="18"/>
          <w:szCs w:val="18"/>
          <w:lang w:eastAsia="en-AU"/>
        </w:rPr>
        <w:t xml:space="preserve">18 </w:t>
      </w:r>
      <w:r w:rsidRPr="000B49C6">
        <w:rPr>
          <w:rFonts w:ascii="Arial Narrow" w:hAnsi="Arial Narrow" w:cs="AdvGSANS"/>
          <w:snapToGrid/>
          <w:sz w:val="18"/>
          <w:szCs w:val="18"/>
          <w:lang w:eastAsia="en-AU"/>
        </w:rPr>
        <w:t>(Suppl. 6): 21–27v (p.23)</w:t>
      </w:r>
    </w:p>
    <w:p w:rsidR="00F23853" w:rsidRPr="00F23853" w:rsidRDefault="00F23853" w:rsidP="00F23853">
      <w:pPr>
        <w:widowControl/>
        <w:autoSpaceDE w:val="0"/>
        <w:autoSpaceDN w:val="0"/>
        <w:adjustRightInd w:val="0"/>
        <w:jc w:val="left"/>
        <w:rPr>
          <w:rFonts w:ascii="Arial Narrow" w:hAnsi="Arial Narrow" w:cs="AdvGSANS-B"/>
          <w:snapToGrid/>
          <w:sz w:val="18"/>
          <w:szCs w:val="18"/>
          <w:lang w:eastAsia="en-AU"/>
        </w:rPr>
      </w:pPr>
      <w:bookmarkStart w:id="13" w:name="_GoBack"/>
      <w:bookmarkEnd w:id="13"/>
    </w:p>
    <w:p w:rsidR="00681C96" w:rsidRPr="000B49C6" w:rsidRDefault="008D4B36" w:rsidP="00F4240A">
      <w:pPr>
        <w:pStyle w:val="ListParagraph"/>
        <w:numPr>
          <w:ilvl w:val="0"/>
          <w:numId w:val="17"/>
        </w:numPr>
        <w:ind w:left="993" w:hanging="284"/>
        <w:rPr>
          <w:iCs/>
        </w:rPr>
      </w:pPr>
      <w:r w:rsidRPr="000B49C6">
        <w:rPr>
          <w:iCs/>
        </w:rPr>
        <w:t xml:space="preserve">The revised hospital cost of mild/moderate and severe CDI following adjustment by a </w:t>
      </w:r>
      <w:r w:rsidR="00681C96" w:rsidRPr="000B49C6">
        <w:rPr>
          <w:iCs/>
        </w:rPr>
        <w:t xml:space="preserve">greater </w:t>
      </w:r>
      <w:r w:rsidR="00BC4FE9" w:rsidRPr="000B49C6">
        <w:rPr>
          <w:iCs/>
        </w:rPr>
        <w:t>length of stay (</w:t>
      </w:r>
      <w:r w:rsidRPr="000B49C6">
        <w:rPr>
          <w:iCs/>
        </w:rPr>
        <w:t>LOS</w:t>
      </w:r>
      <w:r w:rsidR="00BC4FE9" w:rsidRPr="000B49C6">
        <w:rPr>
          <w:iCs/>
        </w:rPr>
        <w:t>)</w:t>
      </w:r>
      <w:r w:rsidRPr="000B49C6">
        <w:rPr>
          <w:iCs/>
        </w:rPr>
        <w:t xml:space="preserve"> reported by Wilcox </w:t>
      </w:r>
      <w:proofErr w:type="gramStart"/>
      <w:r w:rsidRPr="000B49C6">
        <w:rPr>
          <w:iCs/>
        </w:rPr>
        <w:t>et</w:t>
      </w:r>
      <w:proofErr w:type="gramEnd"/>
      <w:r w:rsidR="00681C96" w:rsidRPr="000B49C6">
        <w:rPr>
          <w:iCs/>
        </w:rPr>
        <w:t>.</w:t>
      </w:r>
      <w:r w:rsidRPr="000B49C6">
        <w:rPr>
          <w:iCs/>
        </w:rPr>
        <w:t xml:space="preserve"> al</w:t>
      </w:r>
      <w:r w:rsidR="00681C96" w:rsidRPr="000B49C6">
        <w:rPr>
          <w:iCs/>
        </w:rPr>
        <w:t>.</w:t>
      </w:r>
      <w:r w:rsidRPr="000B49C6">
        <w:rPr>
          <w:iCs/>
        </w:rPr>
        <w:t xml:space="preserve"> 2017b was also likely inappropriate as it increased the incremental healthcare cost and d</w:t>
      </w:r>
      <w:r w:rsidR="00681C96" w:rsidRPr="000B49C6">
        <w:rPr>
          <w:iCs/>
        </w:rPr>
        <w:t>id</w:t>
      </w:r>
      <w:r w:rsidRPr="000B49C6">
        <w:rPr>
          <w:iCs/>
        </w:rPr>
        <w:t xml:space="preserve"> not appear to reflect </w:t>
      </w:r>
      <w:r w:rsidR="00F4240A" w:rsidRPr="000B49C6">
        <w:rPr>
          <w:iCs/>
        </w:rPr>
        <w:t>LOS</w:t>
      </w:r>
      <w:r w:rsidRPr="000B49C6">
        <w:rPr>
          <w:iCs/>
        </w:rPr>
        <w:t xml:space="preserve"> reported in the literature, particularly for mild/moderate CDI</w:t>
      </w:r>
      <w:r w:rsidR="00991401">
        <w:rPr>
          <w:iCs/>
        </w:rPr>
        <w:t xml:space="preserve">. </w:t>
      </w:r>
      <w:r w:rsidRPr="000B49C6">
        <w:rPr>
          <w:iCs/>
        </w:rPr>
        <w:t xml:space="preserve">This likely biased the ICER in favour of </w:t>
      </w:r>
      <w:proofErr w:type="spellStart"/>
      <w:r w:rsidRPr="000B49C6">
        <w:rPr>
          <w:iCs/>
        </w:rPr>
        <w:t>bezlotoxumab</w:t>
      </w:r>
      <w:proofErr w:type="spellEnd"/>
      <w:r w:rsidRPr="000B49C6">
        <w:rPr>
          <w:iCs/>
        </w:rPr>
        <w:t>.</w:t>
      </w:r>
      <w:r w:rsidR="00B161DC" w:rsidRPr="000B49C6">
        <w:rPr>
          <w:iCs/>
        </w:rPr>
        <w:t xml:space="preserve"> </w:t>
      </w:r>
    </w:p>
    <w:p w:rsidR="008D4B36" w:rsidRPr="000B49C6" w:rsidRDefault="00B161DC" w:rsidP="00681C96">
      <w:pPr>
        <w:pStyle w:val="ListParagraph"/>
        <w:numPr>
          <w:ilvl w:val="1"/>
          <w:numId w:val="17"/>
        </w:numPr>
        <w:rPr>
          <w:iCs/>
        </w:rPr>
      </w:pPr>
      <w:r w:rsidRPr="000B49C6">
        <w:rPr>
          <w:rFonts w:asciiTheme="minorHAnsi" w:hAnsiTheme="minorHAnsi"/>
          <w:iCs/>
          <w:szCs w:val="24"/>
        </w:rPr>
        <w:t xml:space="preserve">The PSCR stated that “the revised length of stay estimates used in the resubmission were based on a recent publication by Wilcox (2017) specifically relating to patients with recurrent CDI” (in the United Kingdom); and that “compared to matched inpatient controls with an initial CDI episode only, the mean length of stay was 1.4 times longer for patients with severe </w:t>
      </w:r>
      <w:proofErr w:type="spellStart"/>
      <w:r w:rsidRPr="000B49C6">
        <w:rPr>
          <w:rFonts w:asciiTheme="minorHAnsi" w:hAnsiTheme="minorHAnsi"/>
          <w:iCs/>
          <w:szCs w:val="24"/>
        </w:rPr>
        <w:t>rCDI</w:t>
      </w:r>
      <w:proofErr w:type="spellEnd"/>
      <w:r w:rsidRPr="000B49C6">
        <w:rPr>
          <w:rFonts w:asciiTheme="minorHAnsi" w:hAnsiTheme="minorHAnsi"/>
          <w:iCs/>
          <w:szCs w:val="24"/>
        </w:rPr>
        <w:t xml:space="preserve"> and 2.0 times longer for mild/moderate </w:t>
      </w:r>
      <w:proofErr w:type="spellStart"/>
      <w:r w:rsidRPr="000B49C6">
        <w:rPr>
          <w:rFonts w:asciiTheme="minorHAnsi" w:hAnsiTheme="minorHAnsi"/>
          <w:iCs/>
          <w:szCs w:val="24"/>
        </w:rPr>
        <w:t>rCDI</w:t>
      </w:r>
      <w:proofErr w:type="spellEnd"/>
      <w:r w:rsidRPr="000B49C6">
        <w:rPr>
          <w:rFonts w:asciiTheme="minorHAnsi" w:hAnsiTheme="minorHAnsi"/>
          <w:iCs/>
          <w:szCs w:val="24"/>
        </w:rPr>
        <w:t>”</w:t>
      </w:r>
      <w:r w:rsidR="00991401">
        <w:rPr>
          <w:rFonts w:asciiTheme="minorHAnsi" w:hAnsiTheme="minorHAnsi"/>
          <w:iCs/>
          <w:szCs w:val="24"/>
        </w:rPr>
        <w:t xml:space="preserve">. </w:t>
      </w:r>
    </w:p>
    <w:p w:rsidR="00241F40" w:rsidRPr="000B49C6" w:rsidRDefault="00241F40" w:rsidP="00681C96">
      <w:pPr>
        <w:pStyle w:val="ListParagraph"/>
        <w:numPr>
          <w:ilvl w:val="1"/>
          <w:numId w:val="17"/>
        </w:numPr>
        <w:rPr>
          <w:iCs/>
        </w:rPr>
      </w:pPr>
      <w:r w:rsidRPr="000B49C6">
        <w:rPr>
          <w:iCs/>
        </w:rPr>
        <w:t xml:space="preserve">The ESC noted that the Wilcox study (which was not </w:t>
      </w:r>
      <w:r w:rsidR="00681C96" w:rsidRPr="000B49C6">
        <w:rPr>
          <w:iCs/>
        </w:rPr>
        <w:t>provided</w:t>
      </w:r>
      <w:r w:rsidRPr="000B49C6">
        <w:rPr>
          <w:iCs/>
        </w:rPr>
        <w:t xml:space="preserve"> by the </w:t>
      </w:r>
      <w:r w:rsidRPr="000B49C6">
        <w:rPr>
          <w:iCs/>
        </w:rPr>
        <w:lastRenderedPageBreak/>
        <w:t xml:space="preserve">sponsor), matched patients based on </w:t>
      </w:r>
      <w:r w:rsidRPr="000B49C6">
        <w:t xml:space="preserve">“an </w:t>
      </w:r>
      <w:proofErr w:type="spellStart"/>
      <w:r w:rsidRPr="000B49C6">
        <w:t>rCDI</w:t>
      </w:r>
      <w:proofErr w:type="spellEnd"/>
      <w:r w:rsidRPr="000B49C6">
        <w:t xml:space="preserve"> case according to date of first positive CD toxin test (+12 weeks), age group (75/75 years) and gender”. The ESC considered that there was a potential for many unobserved confounders and noted that significant differences in comorbidities were reported.</w:t>
      </w:r>
    </w:p>
    <w:p w:rsidR="00241F40" w:rsidRPr="000B49C6" w:rsidRDefault="00241F40" w:rsidP="00681C96">
      <w:pPr>
        <w:pStyle w:val="ListParagraph"/>
        <w:numPr>
          <w:ilvl w:val="1"/>
          <w:numId w:val="17"/>
        </w:numPr>
        <w:rPr>
          <w:rFonts w:asciiTheme="minorHAnsi" w:hAnsiTheme="minorHAnsi"/>
          <w:iCs/>
          <w:szCs w:val="24"/>
        </w:rPr>
      </w:pPr>
      <w:r w:rsidRPr="000B49C6">
        <w:rPr>
          <w:rFonts w:asciiTheme="minorHAnsi" w:hAnsiTheme="minorHAnsi"/>
          <w:szCs w:val="24"/>
        </w:rPr>
        <w:t xml:space="preserve">The </w:t>
      </w:r>
      <w:r w:rsidR="004F07E7">
        <w:rPr>
          <w:rFonts w:asciiTheme="minorHAnsi" w:hAnsiTheme="minorHAnsi"/>
          <w:szCs w:val="24"/>
        </w:rPr>
        <w:t>PBAC agreed with the ESC</w:t>
      </w:r>
      <w:r w:rsidRPr="000B49C6">
        <w:rPr>
          <w:rFonts w:asciiTheme="minorHAnsi" w:hAnsiTheme="minorHAnsi"/>
          <w:szCs w:val="24"/>
        </w:rPr>
        <w:t xml:space="preserve"> that it was not </w:t>
      </w:r>
      <w:r w:rsidRPr="000B49C6">
        <w:rPr>
          <w:rFonts w:asciiTheme="minorHAnsi" w:hAnsiTheme="minorHAnsi"/>
          <w:iCs/>
          <w:szCs w:val="24"/>
        </w:rPr>
        <w:t xml:space="preserve">appropriate to multiply costs by </w:t>
      </w:r>
      <w:r w:rsidR="00681C96" w:rsidRPr="000B49C6">
        <w:rPr>
          <w:rFonts w:asciiTheme="minorHAnsi" w:hAnsiTheme="minorHAnsi"/>
          <w:iCs/>
          <w:szCs w:val="24"/>
        </w:rPr>
        <w:t>a</w:t>
      </w:r>
      <w:r w:rsidRPr="000B49C6">
        <w:rPr>
          <w:rFonts w:asciiTheme="minorHAnsi" w:hAnsiTheme="minorHAnsi"/>
          <w:iCs/>
          <w:szCs w:val="24"/>
        </w:rPr>
        <w:t xml:space="preserve"> ratio</w:t>
      </w:r>
      <w:r w:rsidR="00681C96" w:rsidRPr="000B49C6">
        <w:rPr>
          <w:rFonts w:asciiTheme="minorHAnsi" w:hAnsiTheme="minorHAnsi"/>
          <w:iCs/>
          <w:szCs w:val="24"/>
        </w:rPr>
        <w:t xml:space="preserve"> of LOS</w:t>
      </w:r>
      <w:r w:rsidRPr="000B49C6">
        <w:rPr>
          <w:rFonts w:asciiTheme="minorHAnsi" w:hAnsiTheme="minorHAnsi"/>
          <w:iCs/>
          <w:szCs w:val="24"/>
        </w:rPr>
        <w:t xml:space="preserve"> as inpatient costs are frontloaded</w:t>
      </w:r>
      <w:r w:rsidR="00681C96" w:rsidRPr="000B49C6">
        <w:rPr>
          <w:rFonts w:asciiTheme="minorHAnsi" w:hAnsiTheme="minorHAnsi"/>
          <w:iCs/>
          <w:szCs w:val="24"/>
        </w:rPr>
        <w:t>. The ESC also</w:t>
      </w:r>
      <w:r w:rsidRPr="000B49C6">
        <w:rPr>
          <w:rFonts w:asciiTheme="minorHAnsi" w:hAnsiTheme="minorHAnsi"/>
          <w:iCs/>
          <w:szCs w:val="24"/>
        </w:rPr>
        <w:t xml:space="preserve"> noted that</w:t>
      </w:r>
      <w:r w:rsidR="00844774" w:rsidRPr="000B49C6">
        <w:rPr>
          <w:rFonts w:asciiTheme="minorHAnsi" w:hAnsiTheme="minorHAnsi"/>
          <w:iCs/>
          <w:szCs w:val="24"/>
        </w:rPr>
        <w:t xml:space="preserve"> Wilcox</w:t>
      </w:r>
      <w:r w:rsidR="00681C96" w:rsidRPr="000B49C6">
        <w:rPr>
          <w:rFonts w:asciiTheme="minorHAnsi" w:hAnsiTheme="minorHAnsi"/>
          <w:iCs/>
          <w:szCs w:val="24"/>
        </w:rPr>
        <w:t xml:space="preserve"> 2017</w:t>
      </w:r>
      <w:r w:rsidR="00844774" w:rsidRPr="000B49C6">
        <w:rPr>
          <w:rFonts w:asciiTheme="minorHAnsi" w:hAnsiTheme="minorHAnsi"/>
          <w:iCs/>
          <w:szCs w:val="24"/>
        </w:rPr>
        <w:t xml:space="preserve"> reports that “median total management cost (post-index) was £7539 and £6294 for recurrent CDI and first CDI” (a ratio of 1.2). O</w:t>
      </w:r>
      <w:r w:rsidRPr="000B49C6">
        <w:rPr>
          <w:rFonts w:asciiTheme="minorHAnsi" w:hAnsiTheme="minorHAnsi"/>
          <w:iCs/>
          <w:szCs w:val="24"/>
        </w:rPr>
        <w:t>verall, the upward adjustment of the AR-DRG costs for recurrent CDI is not supported.</w:t>
      </w:r>
    </w:p>
    <w:p w:rsidR="008D4B36" w:rsidRPr="000B49C6" w:rsidRDefault="008D4B36" w:rsidP="00C85DBC">
      <w:pPr>
        <w:pStyle w:val="ListParagraph"/>
        <w:numPr>
          <w:ilvl w:val="0"/>
          <w:numId w:val="17"/>
        </w:numPr>
        <w:ind w:left="993" w:hanging="284"/>
        <w:rPr>
          <w:iCs/>
        </w:rPr>
      </w:pPr>
      <w:r w:rsidRPr="000B49C6">
        <w:rPr>
          <w:iCs/>
        </w:rPr>
        <w:t xml:space="preserve">The resubmission did not permit </w:t>
      </w:r>
      <w:r w:rsidR="0039084C" w:rsidRPr="000B49C6">
        <w:rPr>
          <w:iCs/>
        </w:rPr>
        <w:t>re-dosing</w:t>
      </w:r>
      <w:r w:rsidRPr="000B49C6">
        <w:rPr>
          <w:iCs/>
        </w:rPr>
        <w:t xml:space="preserve"> of </w:t>
      </w:r>
      <w:proofErr w:type="spellStart"/>
      <w:r w:rsidRPr="000B49C6">
        <w:rPr>
          <w:iCs/>
        </w:rPr>
        <w:t>bezlotoxumab</w:t>
      </w:r>
      <w:proofErr w:type="spellEnd"/>
      <w:r w:rsidRPr="000B49C6">
        <w:rPr>
          <w:iCs/>
        </w:rPr>
        <w:t xml:space="preserve"> in patients who experience a recurrence beyond 90 days, which did not reflect the listing requested.</w:t>
      </w:r>
      <w:r w:rsidR="00C85DBC" w:rsidRPr="000B49C6">
        <w:rPr>
          <w:iCs/>
        </w:rPr>
        <w:t xml:space="preserve"> Given patients in the model were followed for 10 years any re-dosing of </w:t>
      </w:r>
      <w:proofErr w:type="spellStart"/>
      <w:r w:rsidR="00C85DBC" w:rsidRPr="000B49C6">
        <w:rPr>
          <w:iCs/>
        </w:rPr>
        <w:t>bezlotoxumab</w:t>
      </w:r>
      <w:proofErr w:type="spellEnd"/>
      <w:r w:rsidR="00C85DBC" w:rsidRPr="000B49C6">
        <w:rPr>
          <w:iCs/>
        </w:rPr>
        <w:t xml:space="preserve"> of modelled patients would directly impact both comparative cost and effectiveness of the </w:t>
      </w:r>
      <w:proofErr w:type="spellStart"/>
      <w:r w:rsidR="00C85DBC" w:rsidRPr="000B49C6">
        <w:rPr>
          <w:iCs/>
        </w:rPr>
        <w:t>bezlotoxumab</w:t>
      </w:r>
      <w:proofErr w:type="spellEnd"/>
      <w:r w:rsidR="00C85DBC" w:rsidRPr="000B49C6">
        <w:rPr>
          <w:iCs/>
        </w:rPr>
        <w:t xml:space="preserve"> versus placebo therapy.</w:t>
      </w:r>
    </w:p>
    <w:p w:rsidR="008D4B36" w:rsidRPr="000B49C6" w:rsidRDefault="008D4B36" w:rsidP="008D4B36">
      <w:pPr>
        <w:pStyle w:val="ListParagraph"/>
        <w:widowControl/>
        <w:numPr>
          <w:ilvl w:val="1"/>
          <w:numId w:val="3"/>
        </w:numPr>
      </w:pPr>
      <w:r w:rsidRPr="000B49C6">
        <w:t xml:space="preserve">In multivariate analyses, when </w:t>
      </w:r>
      <w:proofErr w:type="gramStart"/>
      <w:r w:rsidRPr="000B49C6">
        <w:t>a combination of these factors were</w:t>
      </w:r>
      <w:proofErr w:type="gramEnd"/>
      <w:r w:rsidRPr="000B49C6">
        <w:t xml:space="preserve"> tested in sensitivity analyses</w:t>
      </w:r>
      <w:r w:rsidR="009345D6" w:rsidRPr="000B49C6">
        <w:t>;</w:t>
      </w:r>
      <w:r w:rsidRPr="000B49C6">
        <w:t xml:space="preserve"> all </w:t>
      </w:r>
      <w:r w:rsidR="00BC4FE9" w:rsidRPr="000B49C6">
        <w:t xml:space="preserve">estimated </w:t>
      </w:r>
      <w:r w:rsidRPr="000B49C6">
        <w:t>ICERs</w:t>
      </w:r>
      <w:r w:rsidR="00BC4FE9" w:rsidRPr="000B49C6">
        <w:t xml:space="preserve"> exceeded $</w:t>
      </w:r>
      <w:r w:rsidR="001C2730">
        <w:t>105,000 - $200,000</w:t>
      </w:r>
      <w:r w:rsidR="00BC4FE9" w:rsidRPr="000B49C6">
        <w:t xml:space="preserve"> per QALY</w:t>
      </w:r>
      <w:r w:rsidR="00844774" w:rsidRPr="000B49C6">
        <w:t xml:space="preserve"> (see Table </w:t>
      </w:r>
      <w:r w:rsidR="00E82A52">
        <w:t>9</w:t>
      </w:r>
      <w:r w:rsidR="00844774" w:rsidRPr="000B49C6">
        <w:t>)</w:t>
      </w:r>
      <w:r w:rsidR="00BC4FE9" w:rsidRPr="000B49C6">
        <w:t>.</w:t>
      </w:r>
    </w:p>
    <w:p w:rsidR="00784D86" w:rsidRPr="000B49C6" w:rsidRDefault="00784D86" w:rsidP="00784D86">
      <w:pPr>
        <w:pStyle w:val="ListParagraph"/>
        <w:widowControl/>
        <w:numPr>
          <w:ilvl w:val="1"/>
          <w:numId w:val="3"/>
        </w:numPr>
      </w:pPr>
      <w:r w:rsidRPr="000B49C6">
        <w:t xml:space="preserve">Given the uncertain assumptions for mortality due to CDI recurrence, CDI recurrence rate in Australian clinical setting and hospitalisation costs, the base case ICER was considered uncertain and likely an underestimate. The ESC considered that a multivariate sensitivity analysis adjusting the </w:t>
      </w:r>
      <w:proofErr w:type="spellStart"/>
      <w:r w:rsidRPr="000B49C6">
        <w:t>SoC</w:t>
      </w:r>
      <w:proofErr w:type="spellEnd"/>
      <w:r w:rsidRPr="000B49C6">
        <w:t xml:space="preserve"> and </w:t>
      </w:r>
      <w:proofErr w:type="spellStart"/>
      <w:r w:rsidRPr="000B49C6">
        <w:t>bezlotoxumab</w:t>
      </w:r>
      <w:proofErr w:type="spellEnd"/>
      <w:r w:rsidRPr="000B49C6">
        <w:t xml:space="preserve"> recurrence probabilities, baseline 30-day mortality probability, the mortality HR, hospital costs and re-recurrence probabilities may be the most realistic estimate of the ICER. With a baseline mortality probability of 0.034 the ICER is</w:t>
      </w:r>
      <w:r w:rsidR="001620C2">
        <w:t xml:space="preserve"> more than</w:t>
      </w:r>
      <w:r w:rsidRPr="000B49C6">
        <w:t xml:space="preserve"> $</w:t>
      </w:r>
      <w:r w:rsidR="001620C2">
        <w:t>200,000/QALY</w:t>
      </w:r>
      <w:r w:rsidRPr="000B49C6">
        <w:t xml:space="preserve"> and with a baseline mortality probability of 0.025 the ICER is </w:t>
      </w:r>
      <w:r w:rsidR="001620C2">
        <w:t xml:space="preserve">more than </w:t>
      </w:r>
      <w:r w:rsidRPr="000B49C6">
        <w:t>$</w:t>
      </w:r>
      <w:r w:rsidR="001620C2">
        <w:t>200,000/QALY</w:t>
      </w:r>
      <w:r w:rsidRPr="000B49C6">
        <w:t>.</w:t>
      </w:r>
      <w:r w:rsidR="004F07E7">
        <w:t xml:space="preserve"> The PBAC considered that the most informative analysis </w:t>
      </w:r>
      <w:r w:rsidR="0085788D">
        <w:t xml:space="preserve">within the provided model structure </w:t>
      </w:r>
      <w:r w:rsidR="004F07E7">
        <w:t xml:space="preserve">was to apply the following parameters: 10 year time horizon, </w:t>
      </w:r>
      <w:r w:rsidR="00570361">
        <w:t>HR for mortality due to CDI 1.12, 2.5% mortality without CDI recurrence</w:t>
      </w:r>
      <w:r w:rsidR="00104AC1">
        <w:t xml:space="preserve">, lower recurrence rates for </w:t>
      </w:r>
      <w:proofErr w:type="spellStart"/>
      <w:r w:rsidR="00104AC1">
        <w:t>SoC</w:t>
      </w:r>
      <w:proofErr w:type="spellEnd"/>
      <w:r w:rsidR="00570361">
        <w:t xml:space="preserve"> (17.5%) and </w:t>
      </w:r>
      <w:proofErr w:type="spellStart"/>
      <w:r w:rsidR="00570361">
        <w:t>bezlotoxumab</w:t>
      </w:r>
      <w:proofErr w:type="spellEnd"/>
      <w:r w:rsidR="00570361">
        <w:t xml:space="preserve"> (9.8%), hospitalisation costs as per </w:t>
      </w:r>
      <w:r w:rsidR="0085788D">
        <w:t>AR-DRG. The PBAC noted that a sensitivity analysis applying these parameters</w:t>
      </w:r>
      <w:r w:rsidR="00570361">
        <w:t xml:space="preserve"> resulted in an ICER per QALY of </w:t>
      </w:r>
      <w:r w:rsidR="00175557">
        <w:t xml:space="preserve">more than </w:t>
      </w:r>
      <w:r w:rsidR="00570361">
        <w:t>$</w:t>
      </w:r>
      <w:r w:rsidR="00175557">
        <w:t>200,000</w:t>
      </w:r>
      <w:r w:rsidR="00570361">
        <w:t>.</w:t>
      </w:r>
    </w:p>
    <w:p w:rsidR="005B2CC8" w:rsidRDefault="005B2CC8">
      <w:pPr>
        <w:widowControl/>
        <w:jc w:val="left"/>
        <w:rPr>
          <w:rFonts w:ascii="Arial Narrow" w:hAnsi="Arial Narrow"/>
          <w:b/>
          <w:sz w:val="20"/>
          <w:szCs w:val="20"/>
        </w:rPr>
      </w:pPr>
      <w:r>
        <w:rPr>
          <w:rFonts w:ascii="Arial Narrow" w:hAnsi="Arial Narrow"/>
          <w:b/>
          <w:sz w:val="20"/>
          <w:szCs w:val="20"/>
        </w:rPr>
        <w:br w:type="page"/>
      </w:r>
    </w:p>
    <w:p w:rsidR="00844774" w:rsidRPr="000B49C6" w:rsidRDefault="00844774" w:rsidP="00F4358C">
      <w:pPr>
        <w:keepNext/>
        <w:widowControl/>
      </w:pPr>
      <w:r w:rsidRPr="000B49C6">
        <w:rPr>
          <w:rFonts w:ascii="Arial Narrow" w:hAnsi="Arial Narrow"/>
          <w:b/>
          <w:sz w:val="20"/>
          <w:szCs w:val="20"/>
        </w:rPr>
        <w:lastRenderedPageBreak/>
        <w:t xml:space="preserve">Table </w:t>
      </w:r>
      <w:r w:rsidR="00E82A52">
        <w:rPr>
          <w:rFonts w:ascii="Arial Narrow" w:hAnsi="Arial Narrow"/>
          <w:b/>
          <w:sz w:val="20"/>
          <w:szCs w:val="20"/>
        </w:rPr>
        <w:t>9</w:t>
      </w:r>
      <w:r w:rsidRPr="000B49C6">
        <w:rPr>
          <w:rFonts w:ascii="Arial Narrow" w:hAnsi="Arial Narrow"/>
          <w:b/>
          <w:sz w:val="20"/>
          <w:szCs w:val="20"/>
        </w:rPr>
        <w:t>: Results</w:t>
      </w:r>
      <w:r w:rsidRPr="000B49C6">
        <w:rPr>
          <w:rFonts w:ascii="Arial Narrow" w:hAnsi="Arial Narrow"/>
          <w:b/>
          <w:sz w:val="20"/>
        </w:rPr>
        <w:t xml:space="preserve"> of univariate sensitivity analyses</w:t>
      </w:r>
    </w:p>
    <w:tbl>
      <w:tblPr>
        <w:tblW w:w="0" w:type="auto"/>
        <w:tblCellMar>
          <w:left w:w="0" w:type="dxa"/>
          <w:right w:w="0" w:type="dxa"/>
        </w:tblCellMar>
        <w:tblLook w:val="04A0" w:firstRow="1" w:lastRow="0" w:firstColumn="1" w:lastColumn="0" w:noHBand="0" w:noVBand="1"/>
      </w:tblPr>
      <w:tblGrid>
        <w:gridCol w:w="6013"/>
        <w:gridCol w:w="1049"/>
        <w:gridCol w:w="1053"/>
        <w:gridCol w:w="968"/>
      </w:tblGrid>
      <w:tr w:rsidR="00844774" w:rsidRPr="000B49C6" w:rsidTr="008D686D">
        <w:tc>
          <w:tcPr>
            <w:tcW w:w="0" w:type="auto"/>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844774" w:rsidRPr="000B49C6" w:rsidRDefault="00844774" w:rsidP="00F4358C">
            <w:pPr>
              <w:keepNext/>
              <w:rPr>
                <w:rFonts w:ascii="Arial Narrow" w:hAnsi="Arial Narrow"/>
                <w:sz w:val="20"/>
                <w:szCs w:val="20"/>
              </w:rPr>
            </w:pP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844774" w:rsidRPr="000B49C6" w:rsidRDefault="00844774" w:rsidP="00F4358C">
            <w:pPr>
              <w:keepNext/>
              <w:jc w:val="center"/>
              <w:rPr>
                <w:rFonts w:ascii="Arial Narrow" w:eastAsiaTheme="minorHAnsi" w:hAnsi="Arial Narrow"/>
                <w:sz w:val="20"/>
                <w:szCs w:val="20"/>
              </w:rPr>
            </w:pPr>
            <w:r w:rsidRPr="000B49C6">
              <w:rPr>
                <w:rFonts w:ascii="Arial Narrow" w:hAnsi="Arial Narrow"/>
                <w:b/>
                <w:bCs/>
                <w:color w:val="000000"/>
                <w:sz w:val="20"/>
                <w:szCs w:val="20"/>
              </w:rPr>
              <w:t>Incremental costs</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844774" w:rsidRPr="000B49C6" w:rsidRDefault="00844774" w:rsidP="00F4358C">
            <w:pPr>
              <w:keepNext/>
              <w:jc w:val="center"/>
              <w:rPr>
                <w:rFonts w:ascii="Arial Narrow" w:eastAsiaTheme="minorHAnsi" w:hAnsi="Arial Narrow"/>
                <w:sz w:val="20"/>
                <w:szCs w:val="20"/>
              </w:rPr>
            </w:pPr>
            <w:r w:rsidRPr="000B49C6">
              <w:rPr>
                <w:rFonts w:ascii="Arial Narrow" w:hAnsi="Arial Narrow"/>
                <w:b/>
                <w:bCs/>
                <w:color w:val="000000"/>
                <w:sz w:val="20"/>
                <w:szCs w:val="20"/>
              </w:rPr>
              <w:t>Incremental QALY</w:t>
            </w:r>
          </w:p>
        </w:tc>
        <w:tc>
          <w:tcPr>
            <w:tcW w:w="968"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844774" w:rsidRPr="000B49C6" w:rsidRDefault="00844774" w:rsidP="00F4358C">
            <w:pPr>
              <w:keepNext/>
              <w:jc w:val="center"/>
              <w:rPr>
                <w:rFonts w:ascii="Arial Narrow" w:eastAsiaTheme="minorHAnsi" w:hAnsi="Arial Narrow"/>
                <w:sz w:val="20"/>
                <w:szCs w:val="20"/>
              </w:rPr>
            </w:pPr>
            <w:r w:rsidRPr="000B49C6">
              <w:rPr>
                <w:rFonts w:ascii="Arial Narrow" w:hAnsi="Arial Narrow"/>
                <w:b/>
                <w:bCs/>
                <w:color w:val="000000"/>
                <w:sz w:val="20"/>
                <w:szCs w:val="20"/>
              </w:rPr>
              <w:t xml:space="preserve">Cost per QALY </w:t>
            </w:r>
          </w:p>
        </w:tc>
      </w:tr>
      <w:tr w:rsidR="00844774" w:rsidRPr="000B49C6" w:rsidTr="00844774">
        <w:tc>
          <w:tcPr>
            <w:tcW w:w="9083" w:type="dxa"/>
            <w:gridSpan w:val="4"/>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844774" w:rsidRPr="000B49C6" w:rsidRDefault="00844774" w:rsidP="00F4358C">
            <w:pPr>
              <w:keepNext/>
              <w:rPr>
                <w:rFonts w:ascii="Arial Narrow" w:eastAsiaTheme="minorHAnsi" w:hAnsi="Arial Narrow"/>
                <w:sz w:val="20"/>
                <w:szCs w:val="20"/>
              </w:rPr>
            </w:pPr>
            <w:r w:rsidRPr="000B49C6">
              <w:rPr>
                <w:rFonts w:ascii="Arial Narrow" w:hAnsi="Arial Narrow"/>
                <w:b/>
                <w:bCs/>
                <w:color w:val="000000"/>
                <w:sz w:val="20"/>
                <w:szCs w:val="20"/>
              </w:rPr>
              <w:t>Multivariate analysis</w:t>
            </w:r>
          </w:p>
        </w:tc>
      </w:tr>
      <w:tr w:rsidR="00844774" w:rsidRPr="000B49C6" w:rsidTr="008D686D">
        <w:tc>
          <w:tcPr>
            <w:tcW w:w="0" w:type="auto"/>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844774" w:rsidRPr="000B49C6" w:rsidRDefault="00844774" w:rsidP="00F4358C">
            <w:pPr>
              <w:pStyle w:val="ListParagraph"/>
              <w:keepNext/>
              <w:spacing w:after="0"/>
              <w:ind w:left="254"/>
              <w:jc w:val="left"/>
              <w:rPr>
                <w:rFonts w:ascii="Arial Narrow" w:hAnsi="Arial Narrow"/>
                <w:sz w:val="20"/>
                <w:szCs w:val="20"/>
              </w:rPr>
            </w:pPr>
            <w:r w:rsidRPr="000B49C6">
              <w:rPr>
                <w:rFonts w:ascii="Arial Narrow" w:hAnsi="Arial Narrow"/>
                <w:color w:val="000000"/>
                <w:sz w:val="20"/>
                <w:szCs w:val="20"/>
              </w:rPr>
              <w:t>-   Base case: 10 years, single dose, mild/moderate and severe CDI</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844774" w:rsidRPr="000B49C6" w:rsidRDefault="00844774" w:rsidP="00F4358C">
            <w:pPr>
              <w:keepNext/>
              <w:jc w:val="center"/>
              <w:rPr>
                <w:rFonts w:ascii="Arial Narrow" w:eastAsiaTheme="minorHAnsi" w:hAnsi="Arial Narrow"/>
                <w:sz w:val="20"/>
                <w:szCs w:val="20"/>
              </w:rPr>
            </w:pPr>
            <w:r w:rsidRPr="000B49C6">
              <w:rPr>
                <w:rFonts w:ascii="Arial Narrow" w:hAnsi="Arial Narrow"/>
                <w:color w:val="000000"/>
                <w:sz w:val="20"/>
                <w:szCs w:val="20"/>
              </w:rPr>
              <w:t>$</w:t>
            </w:r>
            <w:r w:rsidR="00410A2A">
              <w:rPr>
                <w:rFonts w:ascii="Arial Narrow" w:hAnsi="Arial Narrow"/>
                <w:noProof/>
                <w:color w:val="000000"/>
                <w:sz w:val="20"/>
                <w:szCs w:val="20"/>
                <w:highlight w:val="black"/>
              </w:rPr>
              <w:t>'''''''''''''</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844774" w:rsidRPr="000B49C6" w:rsidRDefault="00844774" w:rsidP="00F4358C">
            <w:pPr>
              <w:keepNext/>
              <w:jc w:val="center"/>
              <w:rPr>
                <w:rFonts w:ascii="Arial Narrow" w:eastAsiaTheme="minorHAnsi" w:hAnsi="Arial Narrow"/>
                <w:sz w:val="20"/>
                <w:szCs w:val="20"/>
              </w:rPr>
            </w:pPr>
            <w:r w:rsidRPr="000B49C6">
              <w:rPr>
                <w:rFonts w:ascii="Arial Narrow" w:hAnsi="Arial Narrow"/>
                <w:color w:val="000000"/>
                <w:sz w:val="20"/>
                <w:szCs w:val="20"/>
              </w:rPr>
              <w:t>0.0324</w:t>
            </w:r>
          </w:p>
        </w:tc>
        <w:tc>
          <w:tcPr>
            <w:tcW w:w="96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844774" w:rsidRPr="000B49C6" w:rsidRDefault="00844774" w:rsidP="00F4358C">
            <w:pPr>
              <w:keepNext/>
              <w:jc w:val="center"/>
              <w:rPr>
                <w:rFonts w:ascii="Arial Narrow" w:eastAsiaTheme="minorHAnsi" w:hAnsi="Arial Narrow"/>
                <w:sz w:val="20"/>
                <w:szCs w:val="20"/>
              </w:rPr>
            </w:pPr>
            <w:r w:rsidRPr="000B49C6">
              <w:rPr>
                <w:rFonts w:ascii="Arial Narrow" w:hAnsi="Arial Narrow"/>
                <w:color w:val="000000"/>
                <w:sz w:val="20"/>
                <w:szCs w:val="20"/>
              </w:rPr>
              <w:t>$</w:t>
            </w:r>
            <w:r w:rsidR="00410A2A">
              <w:rPr>
                <w:rFonts w:ascii="Arial Narrow" w:hAnsi="Arial Narrow"/>
                <w:noProof/>
                <w:color w:val="000000"/>
                <w:sz w:val="20"/>
                <w:szCs w:val="20"/>
                <w:highlight w:val="black"/>
              </w:rPr>
              <w:t>''''''''''''''''</w:t>
            </w:r>
          </w:p>
        </w:tc>
      </w:tr>
      <w:tr w:rsidR="00844774" w:rsidRPr="000B49C6" w:rsidTr="008D686D">
        <w:tc>
          <w:tcPr>
            <w:tcW w:w="0" w:type="auto"/>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844774" w:rsidRPr="000B49C6" w:rsidRDefault="00844774" w:rsidP="00F4358C">
            <w:pPr>
              <w:pStyle w:val="ListParagraph"/>
              <w:keepNext/>
              <w:spacing w:after="0"/>
              <w:ind w:left="254"/>
              <w:jc w:val="left"/>
              <w:rPr>
                <w:rFonts w:ascii="Arial Narrow" w:hAnsi="Arial Narrow"/>
                <w:sz w:val="20"/>
                <w:szCs w:val="20"/>
              </w:rPr>
            </w:pPr>
            <w:r w:rsidRPr="000B49C6">
              <w:rPr>
                <w:rFonts w:ascii="Arial Narrow" w:hAnsi="Arial Narrow"/>
                <w:color w:val="000000"/>
                <w:sz w:val="20"/>
                <w:szCs w:val="20"/>
              </w:rPr>
              <w:t xml:space="preserve">-   </w:t>
            </w:r>
            <w:r w:rsidRPr="000B49C6">
              <w:rPr>
                <w:rFonts w:ascii="Arial Narrow" w:hAnsi="Arial Narrow"/>
                <w:iCs/>
                <w:color w:val="000000"/>
                <w:sz w:val="20"/>
                <w:szCs w:val="20"/>
              </w:rPr>
              <w:t xml:space="preserve">Assume 5 year time horizon, repeat dose of </w:t>
            </w:r>
            <w:proofErr w:type="spellStart"/>
            <w:r w:rsidRPr="000B49C6">
              <w:rPr>
                <w:rFonts w:ascii="Arial Narrow" w:hAnsi="Arial Narrow"/>
                <w:iCs/>
                <w:color w:val="000000"/>
                <w:sz w:val="20"/>
                <w:szCs w:val="20"/>
              </w:rPr>
              <w:t>bezlotoxumab</w:t>
            </w:r>
            <w:proofErr w:type="spellEnd"/>
            <w:r w:rsidRPr="000B49C6">
              <w:rPr>
                <w:rFonts w:ascii="Arial Narrow" w:hAnsi="Arial Narrow"/>
                <w:iCs/>
                <w:color w:val="000000"/>
                <w:sz w:val="20"/>
                <w:szCs w:val="20"/>
              </w:rPr>
              <w:t xml:space="preserve"> (cost implications only)e</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844774" w:rsidRPr="000B49C6" w:rsidRDefault="00844774" w:rsidP="00F4358C">
            <w:pPr>
              <w:keepNext/>
              <w:jc w:val="center"/>
              <w:rPr>
                <w:rFonts w:ascii="Arial Narrow" w:eastAsiaTheme="minorHAnsi" w:hAnsi="Arial Narrow"/>
                <w:sz w:val="20"/>
                <w:szCs w:val="20"/>
              </w:rPr>
            </w:pPr>
            <w:r w:rsidRPr="000B49C6">
              <w:rPr>
                <w:rFonts w:ascii="Arial Narrow" w:hAnsi="Arial Narrow"/>
                <w:iCs/>
                <w:color w:val="000000"/>
                <w:sz w:val="20"/>
                <w:szCs w:val="20"/>
              </w:rPr>
              <w:t>$</w:t>
            </w:r>
            <w:r w:rsidR="00410A2A">
              <w:rPr>
                <w:rFonts w:ascii="Arial Narrow" w:hAnsi="Arial Narrow"/>
                <w:iCs/>
                <w:noProof/>
                <w:color w:val="000000"/>
                <w:sz w:val="20"/>
                <w:szCs w:val="20"/>
                <w:highlight w:val="black"/>
              </w:rPr>
              <w:t>''''''''''''''</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844774" w:rsidRPr="000B49C6" w:rsidRDefault="00844774" w:rsidP="00F4358C">
            <w:pPr>
              <w:keepNext/>
              <w:jc w:val="center"/>
              <w:rPr>
                <w:rFonts w:ascii="Arial Narrow" w:eastAsiaTheme="minorHAnsi" w:hAnsi="Arial Narrow"/>
                <w:sz w:val="20"/>
                <w:szCs w:val="20"/>
              </w:rPr>
            </w:pPr>
            <w:r w:rsidRPr="000B49C6">
              <w:rPr>
                <w:rFonts w:ascii="Arial Narrow" w:hAnsi="Arial Narrow"/>
                <w:iCs/>
                <w:color w:val="000000"/>
                <w:sz w:val="20"/>
                <w:szCs w:val="20"/>
              </w:rPr>
              <w:t>0.0189</w:t>
            </w:r>
          </w:p>
        </w:tc>
        <w:tc>
          <w:tcPr>
            <w:tcW w:w="96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844774" w:rsidRPr="000B49C6" w:rsidRDefault="00844774" w:rsidP="00F4358C">
            <w:pPr>
              <w:keepNext/>
              <w:jc w:val="center"/>
              <w:rPr>
                <w:rFonts w:ascii="Arial Narrow" w:eastAsiaTheme="minorHAnsi" w:hAnsi="Arial Narrow"/>
                <w:sz w:val="20"/>
                <w:szCs w:val="20"/>
              </w:rPr>
            </w:pPr>
            <w:r w:rsidRPr="000B49C6">
              <w:rPr>
                <w:rFonts w:ascii="Arial Narrow" w:hAnsi="Arial Narrow"/>
                <w:iCs/>
                <w:color w:val="000000"/>
                <w:sz w:val="20"/>
                <w:szCs w:val="20"/>
              </w:rPr>
              <w:t>$</w:t>
            </w:r>
            <w:r w:rsidR="00410A2A">
              <w:rPr>
                <w:rFonts w:ascii="Arial Narrow" w:hAnsi="Arial Narrow"/>
                <w:iCs/>
                <w:noProof/>
                <w:color w:val="000000"/>
                <w:sz w:val="20"/>
                <w:szCs w:val="20"/>
                <w:highlight w:val="black"/>
              </w:rPr>
              <w:t>''''''''''''''''''''</w:t>
            </w:r>
          </w:p>
        </w:tc>
      </w:tr>
      <w:tr w:rsidR="00844774" w:rsidRPr="000B49C6" w:rsidTr="008D686D">
        <w:tc>
          <w:tcPr>
            <w:tcW w:w="0" w:type="auto"/>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844774" w:rsidRPr="000B49C6" w:rsidRDefault="00844774" w:rsidP="00F4358C">
            <w:pPr>
              <w:pStyle w:val="ListParagraph"/>
              <w:keepNext/>
              <w:spacing w:after="0"/>
              <w:ind w:left="254"/>
              <w:jc w:val="left"/>
              <w:rPr>
                <w:rFonts w:ascii="Arial Narrow" w:hAnsi="Arial Narrow"/>
                <w:sz w:val="20"/>
                <w:szCs w:val="20"/>
              </w:rPr>
            </w:pPr>
            <w:r w:rsidRPr="000B49C6">
              <w:rPr>
                <w:rFonts w:ascii="Arial Narrow" w:hAnsi="Arial Narrow"/>
                <w:color w:val="000000"/>
                <w:sz w:val="20"/>
                <w:szCs w:val="20"/>
              </w:rPr>
              <w:t xml:space="preserve">-   </w:t>
            </w:r>
            <w:r w:rsidRPr="000B49C6">
              <w:rPr>
                <w:rFonts w:ascii="Arial Narrow" w:hAnsi="Arial Narrow"/>
                <w:iCs/>
                <w:color w:val="000000"/>
                <w:sz w:val="20"/>
                <w:szCs w:val="20"/>
              </w:rPr>
              <w:t xml:space="preserve">Assume mild/moderate or severe CDI: 0.42, clinical failure: 0.42, post CDI and post-clinical failure: 0.8 (Wilcox </w:t>
            </w:r>
            <w:r w:rsidR="00CC5D6C" w:rsidRPr="00CC5D6C">
              <w:rPr>
                <w:rFonts w:ascii="Arial Narrow" w:hAnsi="Arial Narrow"/>
                <w:i/>
                <w:iCs/>
                <w:color w:val="000000"/>
                <w:sz w:val="20"/>
                <w:szCs w:val="20"/>
              </w:rPr>
              <w:t>et. al.</w:t>
            </w:r>
            <w:r w:rsidRPr="000B49C6">
              <w:rPr>
                <w:rFonts w:ascii="Arial Narrow" w:hAnsi="Arial Narrow"/>
                <w:iCs/>
                <w:color w:val="000000"/>
                <w:sz w:val="20"/>
                <w:szCs w:val="20"/>
              </w:rPr>
              <w:t xml:space="preserve"> 2017b) plus HR for recurrent CDI versus no recurrence=1</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844774" w:rsidRPr="000B49C6" w:rsidRDefault="00844774" w:rsidP="00F4358C">
            <w:pPr>
              <w:keepNext/>
              <w:jc w:val="center"/>
              <w:rPr>
                <w:rFonts w:ascii="Arial Narrow" w:eastAsiaTheme="minorHAnsi" w:hAnsi="Arial Narrow"/>
                <w:sz w:val="20"/>
                <w:szCs w:val="20"/>
              </w:rPr>
            </w:pPr>
            <w:r w:rsidRPr="000B49C6">
              <w:rPr>
                <w:rFonts w:ascii="Arial Narrow" w:hAnsi="Arial Narrow"/>
                <w:iCs/>
                <w:color w:val="000000"/>
                <w:sz w:val="20"/>
                <w:szCs w:val="20"/>
              </w:rPr>
              <w:t>$</w:t>
            </w:r>
            <w:r w:rsidR="00410A2A">
              <w:rPr>
                <w:rFonts w:ascii="Arial Narrow" w:hAnsi="Arial Narrow"/>
                <w:iCs/>
                <w:noProof/>
                <w:color w:val="000000"/>
                <w:sz w:val="20"/>
                <w:szCs w:val="20"/>
                <w:highlight w:val="black"/>
              </w:rPr>
              <w:t>''''''''''''</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844774" w:rsidRPr="000B49C6" w:rsidRDefault="00844774" w:rsidP="00F4358C">
            <w:pPr>
              <w:keepNext/>
              <w:jc w:val="center"/>
              <w:rPr>
                <w:rFonts w:ascii="Arial Narrow" w:eastAsiaTheme="minorHAnsi" w:hAnsi="Arial Narrow"/>
                <w:sz w:val="20"/>
                <w:szCs w:val="20"/>
              </w:rPr>
            </w:pPr>
            <w:r w:rsidRPr="000B49C6">
              <w:rPr>
                <w:rFonts w:ascii="Arial Narrow" w:hAnsi="Arial Narrow"/>
                <w:iCs/>
                <w:color w:val="000000"/>
                <w:sz w:val="20"/>
                <w:szCs w:val="20"/>
              </w:rPr>
              <w:t>0.0059</w:t>
            </w:r>
          </w:p>
        </w:tc>
        <w:tc>
          <w:tcPr>
            <w:tcW w:w="96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844774" w:rsidRPr="000B49C6" w:rsidRDefault="00844774" w:rsidP="00F4358C">
            <w:pPr>
              <w:keepNext/>
              <w:jc w:val="center"/>
              <w:rPr>
                <w:rFonts w:ascii="Arial Narrow" w:eastAsiaTheme="minorHAnsi" w:hAnsi="Arial Narrow"/>
                <w:sz w:val="20"/>
                <w:szCs w:val="20"/>
              </w:rPr>
            </w:pPr>
            <w:r w:rsidRPr="000B49C6">
              <w:rPr>
                <w:rFonts w:ascii="Arial Narrow" w:hAnsi="Arial Narrow"/>
                <w:iCs/>
                <w:color w:val="000000"/>
                <w:sz w:val="20"/>
                <w:szCs w:val="20"/>
              </w:rPr>
              <w:t>$</w:t>
            </w:r>
            <w:r w:rsidR="00410A2A">
              <w:rPr>
                <w:rFonts w:ascii="Arial Narrow" w:hAnsi="Arial Narrow"/>
                <w:iCs/>
                <w:noProof/>
                <w:color w:val="000000"/>
                <w:sz w:val="20"/>
                <w:szCs w:val="20"/>
                <w:highlight w:val="black"/>
              </w:rPr>
              <w:t>''''''''''''''''''</w:t>
            </w:r>
          </w:p>
        </w:tc>
      </w:tr>
      <w:tr w:rsidR="00844774" w:rsidRPr="000B49C6" w:rsidTr="008D686D">
        <w:tc>
          <w:tcPr>
            <w:tcW w:w="0" w:type="auto"/>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844774" w:rsidRPr="000B49C6" w:rsidRDefault="00844774">
            <w:pPr>
              <w:pStyle w:val="ListParagraph"/>
              <w:spacing w:after="0"/>
              <w:ind w:left="254"/>
              <w:jc w:val="left"/>
              <w:rPr>
                <w:rFonts w:ascii="Arial Narrow" w:hAnsi="Arial Narrow"/>
                <w:sz w:val="20"/>
                <w:szCs w:val="20"/>
              </w:rPr>
            </w:pPr>
            <w:r w:rsidRPr="000B49C6">
              <w:rPr>
                <w:rFonts w:ascii="Arial Narrow" w:hAnsi="Arial Narrow"/>
                <w:color w:val="000000"/>
                <w:sz w:val="20"/>
                <w:szCs w:val="20"/>
              </w:rPr>
              <w:t xml:space="preserve">-   </w:t>
            </w:r>
            <w:r w:rsidRPr="000B49C6">
              <w:rPr>
                <w:rFonts w:ascii="Arial Narrow" w:hAnsi="Arial Narrow"/>
                <w:iCs/>
                <w:color w:val="000000"/>
                <w:sz w:val="20"/>
                <w:szCs w:val="20"/>
              </w:rPr>
              <w:t xml:space="preserve">Assume 10 year time horizon, HR for mortality due to CDI recurrence =1.12, a lower 2.5% mortality for CDI without recurrence (from Foster </w:t>
            </w:r>
            <w:r w:rsidR="00CC5D6C" w:rsidRPr="00CC5D6C">
              <w:rPr>
                <w:rFonts w:ascii="Arial Narrow" w:hAnsi="Arial Narrow"/>
                <w:i/>
                <w:iCs/>
                <w:color w:val="000000"/>
                <w:sz w:val="20"/>
                <w:szCs w:val="20"/>
              </w:rPr>
              <w:t>et. al.</w:t>
            </w:r>
            <w:r w:rsidRPr="000B49C6">
              <w:rPr>
                <w:rFonts w:ascii="Arial Narrow" w:hAnsi="Arial Narrow"/>
                <w:iCs/>
                <w:color w:val="000000"/>
                <w:sz w:val="20"/>
                <w:szCs w:val="20"/>
              </w:rPr>
              <w:t xml:space="preserve"> 2014), lower recurrence rate for </w:t>
            </w:r>
            <w:proofErr w:type="spellStart"/>
            <w:r w:rsidRPr="000B49C6">
              <w:rPr>
                <w:rFonts w:ascii="Arial Narrow" w:hAnsi="Arial Narrow"/>
                <w:iCs/>
                <w:color w:val="000000"/>
                <w:sz w:val="20"/>
                <w:szCs w:val="20"/>
              </w:rPr>
              <w:t>SoC</w:t>
            </w:r>
            <w:proofErr w:type="spellEnd"/>
            <w:r w:rsidRPr="000B49C6">
              <w:rPr>
                <w:rFonts w:ascii="Arial Narrow" w:hAnsi="Arial Narrow"/>
                <w:iCs/>
                <w:color w:val="000000"/>
                <w:sz w:val="20"/>
                <w:szCs w:val="20"/>
              </w:rPr>
              <w:t xml:space="preserve"> (Foster </w:t>
            </w:r>
            <w:r w:rsidR="00CC5D6C" w:rsidRPr="00CC5D6C">
              <w:rPr>
                <w:rFonts w:ascii="Arial Narrow" w:hAnsi="Arial Narrow"/>
                <w:i/>
                <w:iCs/>
                <w:color w:val="000000"/>
                <w:sz w:val="20"/>
                <w:szCs w:val="20"/>
              </w:rPr>
              <w:t>et. al.</w:t>
            </w:r>
            <w:r w:rsidRPr="000B49C6">
              <w:rPr>
                <w:rFonts w:ascii="Arial Narrow" w:hAnsi="Arial Narrow"/>
                <w:iCs/>
                <w:color w:val="000000"/>
                <w:sz w:val="20"/>
                <w:szCs w:val="20"/>
              </w:rPr>
              <w:t xml:space="preserve"> 2014) of 17.5%, and a  recurrence rate for </w:t>
            </w:r>
            <w:proofErr w:type="spellStart"/>
            <w:r w:rsidRPr="000B49C6">
              <w:rPr>
                <w:rFonts w:ascii="Arial Narrow" w:hAnsi="Arial Narrow"/>
                <w:iCs/>
                <w:color w:val="000000"/>
                <w:sz w:val="20"/>
                <w:szCs w:val="20"/>
              </w:rPr>
              <w:t>bezlotoxumab</w:t>
            </w:r>
            <w:proofErr w:type="spellEnd"/>
            <w:r w:rsidRPr="000B49C6">
              <w:rPr>
                <w:rFonts w:ascii="Arial Narrow" w:hAnsi="Arial Narrow"/>
                <w:iCs/>
                <w:color w:val="000000"/>
                <w:sz w:val="20"/>
                <w:szCs w:val="20"/>
              </w:rPr>
              <w:t xml:space="preserve"> of 9.8% (estimated using the RR of 0.56 from the resubmission’s ad-hoc analysis). </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844774" w:rsidRPr="000B49C6" w:rsidRDefault="00844774">
            <w:pPr>
              <w:jc w:val="center"/>
              <w:rPr>
                <w:rFonts w:ascii="Arial Narrow" w:eastAsiaTheme="minorHAnsi" w:hAnsi="Arial Narrow"/>
                <w:sz w:val="20"/>
                <w:szCs w:val="20"/>
              </w:rPr>
            </w:pPr>
            <w:r w:rsidRPr="000B49C6">
              <w:rPr>
                <w:rFonts w:ascii="Arial Narrow" w:hAnsi="Arial Narrow"/>
                <w:iCs/>
                <w:color w:val="000000"/>
                <w:sz w:val="20"/>
                <w:szCs w:val="20"/>
              </w:rPr>
              <w:t>$</w:t>
            </w:r>
            <w:r w:rsidR="00410A2A">
              <w:rPr>
                <w:rFonts w:ascii="Arial Narrow" w:hAnsi="Arial Narrow"/>
                <w:iCs/>
                <w:noProof/>
                <w:color w:val="000000"/>
                <w:sz w:val="20"/>
                <w:szCs w:val="20"/>
                <w:highlight w:val="black"/>
              </w:rPr>
              <w:t>''''''''''''''</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844774" w:rsidRPr="000B49C6" w:rsidRDefault="00844774">
            <w:pPr>
              <w:jc w:val="center"/>
              <w:rPr>
                <w:rFonts w:ascii="Arial Narrow" w:eastAsiaTheme="minorHAnsi" w:hAnsi="Arial Narrow"/>
                <w:sz w:val="20"/>
                <w:szCs w:val="20"/>
              </w:rPr>
            </w:pPr>
            <w:r w:rsidRPr="000B49C6">
              <w:rPr>
                <w:rFonts w:ascii="Arial Narrow" w:hAnsi="Arial Narrow"/>
                <w:iCs/>
                <w:color w:val="000000"/>
                <w:sz w:val="20"/>
                <w:szCs w:val="20"/>
              </w:rPr>
              <w:t>0.0059</w:t>
            </w:r>
          </w:p>
        </w:tc>
        <w:tc>
          <w:tcPr>
            <w:tcW w:w="96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844774" w:rsidRPr="000B49C6" w:rsidRDefault="00844774">
            <w:pPr>
              <w:jc w:val="center"/>
              <w:rPr>
                <w:rFonts w:ascii="Arial Narrow" w:eastAsiaTheme="minorHAnsi" w:hAnsi="Arial Narrow"/>
                <w:sz w:val="20"/>
                <w:szCs w:val="20"/>
              </w:rPr>
            </w:pPr>
            <w:r w:rsidRPr="000B49C6">
              <w:rPr>
                <w:rFonts w:ascii="Arial Narrow" w:hAnsi="Arial Narrow"/>
                <w:iCs/>
                <w:color w:val="000000"/>
                <w:sz w:val="20"/>
                <w:szCs w:val="20"/>
              </w:rPr>
              <w:t>$</w:t>
            </w:r>
            <w:r w:rsidR="00410A2A">
              <w:rPr>
                <w:rFonts w:ascii="Arial Narrow" w:hAnsi="Arial Narrow"/>
                <w:iCs/>
                <w:noProof/>
                <w:color w:val="000000"/>
                <w:sz w:val="20"/>
                <w:szCs w:val="20"/>
                <w:highlight w:val="black"/>
              </w:rPr>
              <w:t>''''''''''''''''''</w:t>
            </w:r>
          </w:p>
        </w:tc>
      </w:tr>
      <w:tr w:rsidR="00844774" w:rsidRPr="000B49C6" w:rsidTr="008D686D">
        <w:tc>
          <w:tcPr>
            <w:tcW w:w="0" w:type="auto"/>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844774" w:rsidRPr="000B49C6" w:rsidRDefault="00844774">
            <w:pPr>
              <w:pStyle w:val="ListParagraph"/>
              <w:spacing w:after="0"/>
              <w:ind w:left="254"/>
              <w:jc w:val="left"/>
              <w:rPr>
                <w:rFonts w:ascii="Arial Narrow" w:hAnsi="Arial Narrow"/>
                <w:sz w:val="20"/>
                <w:szCs w:val="20"/>
              </w:rPr>
            </w:pPr>
            <w:r w:rsidRPr="000B49C6">
              <w:rPr>
                <w:rFonts w:ascii="Arial Narrow" w:hAnsi="Arial Narrow"/>
                <w:color w:val="000000"/>
                <w:sz w:val="20"/>
                <w:szCs w:val="20"/>
              </w:rPr>
              <w:t xml:space="preserve">-   </w:t>
            </w:r>
            <w:r w:rsidRPr="000B49C6">
              <w:rPr>
                <w:rFonts w:ascii="Arial Narrow" w:hAnsi="Arial Narrow"/>
                <w:iCs/>
                <w:color w:val="000000"/>
                <w:sz w:val="20"/>
                <w:szCs w:val="20"/>
              </w:rPr>
              <w:t xml:space="preserve">Assume 10 year time horizon, HR for mortality due to CDI recurrence =1.12, a lower 2.5% mortality for CDI without recurrence (from Foster </w:t>
            </w:r>
            <w:r w:rsidR="00CC5D6C" w:rsidRPr="00CC5D6C">
              <w:rPr>
                <w:rFonts w:ascii="Arial Narrow" w:hAnsi="Arial Narrow"/>
                <w:i/>
                <w:iCs/>
                <w:color w:val="000000"/>
                <w:sz w:val="20"/>
                <w:szCs w:val="20"/>
              </w:rPr>
              <w:t>et. al.</w:t>
            </w:r>
            <w:r w:rsidRPr="000B49C6">
              <w:rPr>
                <w:rFonts w:ascii="Arial Narrow" w:hAnsi="Arial Narrow"/>
                <w:iCs/>
                <w:color w:val="000000"/>
                <w:sz w:val="20"/>
                <w:szCs w:val="20"/>
              </w:rPr>
              <w:t xml:space="preserve"> 2014), lower recurrence rate for </w:t>
            </w:r>
            <w:proofErr w:type="spellStart"/>
            <w:r w:rsidRPr="000B49C6">
              <w:rPr>
                <w:rFonts w:ascii="Arial Narrow" w:hAnsi="Arial Narrow"/>
                <w:iCs/>
                <w:color w:val="000000"/>
                <w:sz w:val="20"/>
                <w:szCs w:val="20"/>
              </w:rPr>
              <w:t>SoC</w:t>
            </w:r>
            <w:proofErr w:type="spellEnd"/>
            <w:r w:rsidRPr="000B49C6">
              <w:rPr>
                <w:rFonts w:ascii="Arial Narrow" w:hAnsi="Arial Narrow"/>
                <w:iCs/>
                <w:color w:val="000000"/>
                <w:sz w:val="20"/>
                <w:szCs w:val="20"/>
              </w:rPr>
              <w:t xml:space="preserve"> (Foster </w:t>
            </w:r>
            <w:r w:rsidR="00CC5D6C" w:rsidRPr="00CC5D6C">
              <w:rPr>
                <w:rFonts w:ascii="Arial Narrow" w:hAnsi="Arial Narrow"/>
                <w:i/>
                <w:iCs/>
                <w:color w:val="000000"/>
                <w:sz w:val="20"/>
                <w:szCs w:val="20"/>
              </w:rPr>
              <w:t>et. al.</w:t>
            </w:r>
            <w:r w:rsidRPr="000B49C6">
              <w:rPr>
                <w:rFonts w:ascii="Arial Narrow" w:hAnsi="Arial Narrow"/>
                <w:iCs/>
                <w:color w:val="000000"/>
                <w:sz w:val="20"/>
                <w:szCs w:val="20"/>
              </w:rPr>
              <w:t xml:space="preserve"> 2014) of 17.5%, and a  recurrence rate for </w:t>
            </w:r>
            <w:proofErr w:type="spellStart"/>
            <w:r w:rsidRPr="000B49C6">
              <w:rPr>
                <w:rFonts w:ascii="Arial Narrow" w:hAnsi="Arial Narrow"/>
                <w:iCs/>
                <w:color w:val="000000"/>
                <w:sz w:val="20"/>
                <w:szCs w:val="20"/>
              </w:rPr>
              <w:t>bezlotoxumab</w:t>
            </w:r>
            <w:proofErr w:type="spellEnd"/>
            <w:r w:rsidRPr="000B49C6">
              <w:rPr>
                <w:rFonts w:ascii="Arial Narrow" w:hAnsi="Arial Narrow"/>
                <w:iCs/>
                <w:color w:val="000000"/>
                <w:sz w:val="20"/>
                <w:szCs w:val="20"/>
              </w:rPr>
              <w:t xml:space="preserve"> of 9.8% (estimated using the RR of 0.56 from the resubmission’s ad-hoc analysis), hospitalisation cost as per NHCDC national cost weights for </w:t>
            </w:r>
            <w:r w:rsidRPr="000B49C6">
              <w:rPr>
                <w:rFonts w:ascii="Arial Narrow" w:hAnsi="Arial Narrow"/>
                <w:sz w:val="20"/>
                <w:szCs w:val="20"/>
              </w:rPr>
              <w:t>AR-DRG</w:t>
            </w:r>
            <w:r w:rsidRPr="000B49C6">
              <w:rPr>
                <w:rFonts w:ascii="Arial Narrow" w:hAnsi="Arial Narrow"/>
                <w:iCs/>
                <w:color w:val="000000"/>
                <w:sz w:val="20"/>
                <w:szCs w:val="20"/>
              </w:rPr>
              <w:t xml:space="preserve">, severe CDI T64A $31,695.78; mild/moderate CDI T64B $4,493.02. </w:t>
            </w:r>
          </w:p>
        </w:tc>
        <w:tc>
          <w:tcPr>
            <w:tcW w:w="0" w:type="auto"/>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844774" w:rsidRPr="000B49C6" w:rsidRDefault="00844774">
            <w:pPr>
              <w:jc w:val="center"/>
              <w:rPr>
                <w:rFonts w:ascii="Arial Narrow" w:eastAsiaTheme="minorHAnsi" w:hAnsi="Arial Narrow"/>
                <w:sz w:val="20"/>
                <w:szCs w:val="20"/>
              </w:rPr>
            </w:pPr>
            <w:r w:rsidRPr="000B49C6">
              <w:rPr>
                <w:rFonts w:ascii="Arial Narrow" w:hAnsi="Arial Narrow"/>
                <w:iCs/>
                <w:color w:val="000000"/>
                <w:sz w:val="20"/>
                <w:szCs w:val="20"/>
              </w:rPr>
              <w:t>$</w:t>
            </w:r>
            <w:r w:rsidR="00410A2A">
              <w:rPr>
                <w:rFonts w:ascii="Arial Narrow" w:hAnsi="Arial Narrow"/>
                <w:iCs/>
                <w:noProof/>
                <w:color w:val="000000"/>
                <w:sz w:val="20"/>
                <w:szCs w:val="20"/>
                <w:highlight w:val="black"/>
              </w:rPr>
              <w:t>''''''''''''''</w:t>
            </w:r>
          </w:p>
        </w:tc>
        <w:tc>
          <w:tcPr>
            <w:tcW w:w="0" w:type="auto"/>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844774" w:rsidRPr="000B49C6" w:rsidRDefault="00844774">
            <w:pPr>
              <w:jc w:val="center"/>
              <w:rPr>
                <w:rFonts w:ascii="Arial Narrow" w:eastAsiaTheme="minorHAnsi" w:hAnsi="Arial Narrow"/>
                <w:sz w:val="20"/>
                <w:szCs w:val="20"/>
              </w:rPr>
            </w:pPr>
            <w:r w:rsidRPr="000B49C6">
              <w:rPr>
                <w:rFonts w:ascii="Arial Narrow" w:hAnsi="Arial Narrow"/>
                <w:iCs/>
                <w:color w:val="000000"/>
                <w:sz w:val="20"/>
                <w:szCs w:val="20"/>
              </w:rPr>
              <w:t>0.0059</w:t>
            </w:r>
          </w:p>
        </w:tc>
        <w:tc>
          <w:tcPr>
            <w:tcW w:w="96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844774" w:rsidRPr="000B49C6" w:rsidRDefault="00844774">
            <w:pPr>
              <w:jc w:val="center"/>
              <w:rPr>
                <w:rFonts w:ascii="Arial Narrow" w:eastAsiaTheme="minorHAnsi" w:hAnsi="Arial Narrow"/>
                <w:sz w:val="20"/>
                <w:szCs w:val="20"/>
              </w:rPr>
            </w:pPr>
            <w:r w:rsidRPr="000B49C6">
              <w:rPr>
                <w:rFonts w:ascii="Arial Narrow" w:hAnsi="Arial Narrow"/>
                <w:iCs/>
                <w:color w:val="000000"/>
                <w:sz w:val="20"/>
                <w:szCs w:val="20"/>
              </w:rPr>
              <w:t>$</w:t>
            </w:r>
            <w:r w:rsidR="00410A2A">
              <w:rPr>
                <w:rFonts w:ascii="Arial Narrow" w:hAnsi="Arial Narrow"/>
                <w:iCs/>
                <w:noProof/>
                <w:color w:val="000000"/>
                <w:sz w:val="20"/>
                <w:szCs w:val="20"/>
                <w:highlight w:val="black"/>
              </w:rPr>
              <w:t>'''''''''''''''''''''</w:t>
            </w:r>
          </w:p>
        </w:tc>
      </w:tr>
      <w:tr w:rsidR="008D686D" w:rsidRPr="000B49C6" w:rsidTr="008D686D">
        <w:tc>
          <w:tcPr>
            <w:tcW w:w="0" w:type="auto"/>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8D686D" w:rsidRPr="000B49C6" w:rsidRDefault="008D686D" w:rsidP="008D686D">
            <w:pPr>
              <w:pStyle w:val="ListParagraph"/>
              <w:spacing w:after="0"/>
              <w:ind w:left="255"/>
              <w:jc w:val="left"/>
              <w:rPr>
                <w:rFonts w:ascii="Arial Narrow" w:hAnsi="Arial Narrow"/>
                <w:color w:val="000000"/>
                <w:sz w:val="20"/>
                <w:szCs w:val="20"/>
              </w:rPr>
            </w:pPr>
            <w:r w:rsidRPr="000B49C6">
              <w:rPr>
                <w:rFonts w:ascii="Arial Narrow" w:hAnsi="Arial Narrow"/>
                <w:color w:val="000000"/>
                <w:sz w:val="20"/>
                <w:szCs w:val="20"/>
              </w:rPr>
              <w:t xml:space="preserve">-   Assume 10 year time horizon, </w:t>
            </w:r>
          </w:p>
          <w:p w:rsidR="008D686D" w:rsidRPr="000B49C6" w:rsidRDefault="008D686D" w:rsidP="008D686D">
            <w:pPr>
              <w:pStyle w:val="ListParagraph"/>
              <w:spacing w:after="0"/>
              <w:ind w:left="255"/>
              <w:jc w:val="left"/>
              <w:rPr>
                <w:rFonts w:ascii="Arial Narrow" w:hAnsi="Arial Narrow"/>
                <w:color w:val="000000"/>
                <w:sz w:val="20"/>
                <w:szCs w:val="20"/>
              </w:rPr>
            </w:pPr>
            <w:r w:rsidRPr="000B49C6">
              <w:rPr>
                <w:rFonts w:ascii="Arial Narrow" w:hAnsi="Arial Narrow"/>
                <w:color w:val="000000"/>
                <w:sz w:val="20"/>
                <w:szCs w:val="20"/>
              </w:rPr>
              <w:t xml:space="preserve">-   Baseline 30-day mortality probability of 0.034 </w:t>
            </w:r>
          </w:p>
          <w:p w:rsidR="008D686D" w:rsidRPr="000B49C6" w:rsidRDefault="008D686D" w:rsidP="008D686D">
            <w:pPr>
              <w:pStyle w:val="ListParagraph"/>
              <w:spacing w:after="0"/>
              <w:ind w:left="255"/>
              <w:jc w:val="left"/>
              <w:rPr>
                <w:rFonts w:ascii="Arial Narrow" w:hAnsi="Arial Narrow"/>
                <w:color w:val="000000"/>
                <w:sz w:val="20"/>
                <w:szCs w:val="20"/>
              </w:rPr>
            </w:pPr>
            <w:r w:rsidRPr="000B49C6">
              <w:rPr>
                <w:rFonts w:ascii="Arial Narrow" w:hAnsi="Arial Narrow"/>
                <w:color w:val="000000"/>
                <w:sz w:val="20"/>
                <w:szCs w:val="20"/>
              </w:rPr>
              <w:t xml:space="preserve">-   HR for mortality due to CDI recurrence =1.12, </w:t>
            </w:r>
          </w:p>
          <w:p w:rsidR="008D686D" w:rsidRPr="000B49C6" w:rsidRDefault="008D686D" w:rsidP="008D686D">
            <w:pPr>
              <w:pStyle w:val="ListParagraph"/>
              <w:spacing w:after="0"/>
              <w:ind w:left="255"/>
              <w:jc w:val="left"/>
              <w:rPr>
                <w:rFonts w:ascii="Arial Narrow" w:hAnsi="Arial Narrow"/>
                <w:color w:val="000000"/>
                <w:sz w:val="20"/>
                <w:szCs w:val="20"/>
              </w:rPr>
            </w:pPr>
            <w:r w:rsidRPr="000B49C6">
              <w:rPr>
                <w:rFonts w:ascii="Arial Narrow" w:hAnsi="Arial Narrow"/>
                <w:color w:val="000000"/>
                <w:sz w:val="20"/>
                <w:szCs w:val="20"/>
              </w:rPr>
              <w:t xml:space="preserve">-   lower recurrence rate for </w:t>
            </w:r>
            <w:proofErr w:type="spellStart"/>
            <w:r w:rsidRPr="000B49C6">
              <w:rPr>
                <w:rFonts w:ascii="Arial Narrow" w:hAnsi="Arial Narrow"/>
                <w:color w:val="000000"/>
                <w:sz w:val="20"/>
                <w:szCs w:val="20"/>
              </w:rPr>
              <w:t>SoC</w:t>
            </w:r>
            <w:proofErr w:type="spellEnd"/>
            <w:r w:rsidRPr="000B49C6">
              <w:rPr>
                <w:rFonts w:ascii="Arial Narrow" w:hAnsi="Arial Narrow"/>
                <w:color w:val="000000"/>
                <w:sz w:val="20"/>
                <w:szCs w:val="20"/>
              </w:rPr>
              <w:t xml:space="preserve"> (Foster </w:t>
            </w:r>
            <w:r w:rsidR="00CC5D6C" w:rsidRPr="00CC5D6C">
              <w:rPr>
                <w:rFonts w:ascii="Arial Narrow" w:hAnsi="Arial Narrow"/>
                <w:i/>
                <w:color w:val="000000"/>
                <w:sz w:val="20"/>
                <w:szCs w:val="20"/>
              </w:rPr>
              <w:t>et. al.</w:t>
            </w:r>
            <w:r w:rsidRPr="000B49C6">
              <w:rPr>
                <w:rFonts w:ascii="Arial Narrow" w:hAnsi="Arial Narrow"/>
                <w:color w:val="000000"/>
                <w:sz w:val="20"/>
                <w:szCs w:val="20"/>
              </w:rPr>
              <w:t xml:space="preserve"> 2014) of 17.5% and 9.8% for </w:t>
            </w:r>
            <w:proofErr w:type="spellStart"/>
            <w:r w:rsidRPr="000B49C6">
              <w:rPr>
                <w:rFonts w:ascii="Arial Narrow" w:hAnsi="Arial Narrow"/>
                <w:color w:val="000000"/>
                <w:sz w:val="20"/>
                <w:szCs w:val="20"/>
              </w:rPr>
              <w:t>bezlotoxumab</w:t>
            </w:r>
            <w:proofErr w:type="spellEnd"/>
            <w:r w:rsidRPr="000B49C6">
              <w:rPr>
                <w:rFonts w:ascii="Arial Narrow" w:hAnsi="Arial Narrow"/>
                <w:color w:val="000000"/>
                <w:sz w:val="20"/>
                <w:szCs w:val="20"/>
              </w:rPr>
              <w:t xml:space="preserve"> of 9.8% </w:t>
            </w:r>
          </w:p>
          <w:p w:rsidR="008D686D" w:rsidRPr="000B49C6" w:rsidRDefault="008D686D" w:rsidP="008D686D">
            <w:pPr>
              <w:pStyle w:val="ListParagraph"/>
              <w:spacing w:after="0"/>
              <w:ind w:left="255"/>
              <w:jc w:val="left"/>
              <w:rPr>
                <w:rFonts w:ascii="Arial Narrow" w:hAnsi="Arial Narrow"/>
                <w:color w:val="000000"/>
                <w:sz w:val="20"/>
                <w:szCs w:val="20"/>
              </w:rPr>
            </w:pPr>
            <w:r w:rsidRPr="000B49C6">
              <w:rPr>
                <w:rFonts w:ascii="Arial Narrow" w:hAnsi="Arial Narrow"/>
                <w:color w:val="000000"/>
                <w:sz w:val="20"/>
                <w:szCs w:val="20"/>
              </w:rPr>
              <w:t>-   hospitalisation cost as per NHCDC national cost weights for AR-DRG</w:t>
            </w:r>
          </w:p>
          <w:p w:rsidR="008D686D" w:rsidRPr="000B49C6" w:rsidRDefault="008D686D" w:rsidP="008D686D">
            <w:pPr>
              <w:pStyle w:val="ListParagraph"/>
              <w:spacing w:after="0"/>
              <w:ind w:left="255"/>
              <w:jc w:val="left"/>
              <w:rPr>
                <w:rFonts w:ascii="Arial Narrow" w:hAnsi="Arial Narrow"/>
                <w:color w:val="000000"/>
                <w:sz w:val="20"/>
                <w:szCs w:val="20"/>
              </w:rPr>
            </w:pPr>
            <w:r w:rsidRPr="000B49C6">
              <w:rPr>
                <w:rFonts w:ascii="Arial Narrow" w:hAnsi="Arial Narrow"/>
                <w:color w:val="000000"/>
                <w:sz w:val="20"/>
                <w:szCs w:val="20"/>
              </w:rPr>
              <w:t xml:space="preserve">-   re-recurrence probabilities assumed equal to recurrence rate (17.5% as for placebo group since no re-dosing of </w:t>
            </w:r>
            <w:proofErr w:type="spellStart"/>
            <w:r w:rsidRPr="000B49C6">
              <w:rPr>
                <w:rFonts w:ascii="Arial Narrow" w:hAnsi="Arial Narrow"/>
                <w:color w:val="000000"/>
                <w:sz w:val="20"/>
                <w:szCs w:val="20"/>
              </w:rPr>
              <w:t>bezlotoxumab</w:t>
            </w:r>
            <w:proofErr w:type="spellEnd"/>
            <w:r w:rsidRPr="000B49C6">
              <w:rPr>
                <w:rFonts w:ascii="Arial Narrow" w:hAnsi="Arial Narrow"/>
                <w:color w:val="000000"/>
                <w:sz w:val="20"/>
                <w:szCs w:val="20"/>
              </w:rPr>
              <w:t xml:space="preserve"> in model)</w:t>
            </w:r>
          </w:p>
        </w:tc>
        <w:tc>
          <w:tcPr>
            <w:tcW w:w="0" w:type="auto"/>
            <w:tcBorders>
              <w:top w:val="nil"/>
              <w:left w:val="nil"/>
              <w:bottom w:val="single" w:sz="8" w:space="0" w:color="auto"/>
              <w:right w:val="single" w:sz="8" w:space="0" w:color="auto"/>
            </w:tcBorders>
            <w:shd w:val="clear" w:color="auto" w:fill="auto"/>
            <w:tcMar>
              <w:top w:w="0" w:type="dxa"/>
              <w:left w:w="28" w:type="dxa"/>
              <w:bottom w:w="0" w:type="dxa"/>
              <w:right w:w="28" w:type="dxa"/>
            </w:tcMar>
          </w:tcPr>
          <w:p w:rsidR="008D686D" w:rsidRPr="000B49C6" w:rsidRDefault="008D686D">
            <w:pPr>
              <w:jc w:val="center"/>
              <w:rPr>
                <w:rFonts w:ascii="Arial Narrow" w:hAnsi="Arial Narrow"/>
                <w:iCs/>
                <w:color w:val="000000"/>
                <w:sz w:val="20"/>
                <w:szCs w:val="20"/>
              </w:rPr>
            </w:pPr>
            <w:r w:rsidRPr="000B49C6">
              <w:rPr>
                <w:rFonts w:ascii="Arial Narrow" w:hAnsi="Arial Narrow"/>
                <w:sz w:val="20"/>
                <w:szCs w:val="20"/>
              </w:rPr>
              <w:t>$</w:t>
            </w:r>
            <w:r w:rsidR="00410A2A">
              <w:rPr>
                <w:rFonts w:ascii="Arial Narrow" w:hAnsi="Arial Narrow"/>
                <w:noProof/>
                <w:color w:val="000000"/>
                <w:sz w:val="20"/>
                <w:szCs w:val="20"/>
                <w:highlight w:val="black"/>
              </w:rPr>
              <w:t>''''''''''''''</w:t>
            </w:r>
          </w:p>
        </w:tc>
        <w:tc>
          <w:tcPr>
            <w:tcW w:w="0" w:type="auto"/>
            <w:tcBorders>
              <w:top w:val="nil"/>
              <w:left w:val="nil"/>
              <w:bottom w:val="single" w:sz="8" w:space="0" w:color="auto"/>
              <w:right w:val="single" w:sz="8" w:space="0" w:color="auto"/>
            </w:tcBorders>
            <w:shd w:val="clear" w:color="auto" w:fill="auto"/>
            <w:tcMar>
              <w:top w:w="0" w:type="dxa"/>
              <w:left w:w="28" w:type="dxa"/>
              <w:bottom w:w="0" w:type="dxa"/>
              <w:right w:w="28" w:type="dxa"/>
            </w:tcMar>
          </w:tcPr>
          <w:p w:rsidR="008D686D" w:rsidRPr="000B49C6" w:rsidRDefault="008D686D">
            <w:pPr>
              <w:jc w:val="center"/>
              <w:rPr>
                <w:rFonts w:ascii="Arial Narrow" w:hAnsi="Arial Narrow"/>
                <w:iCs/>
                <w:color w:val="000000"/>
                <w:sz w:val="20"/>
                <w:szCs w:val="20"/>
              </w:rPr>
            </w:pPr>
            <w:r w:rsidRPr="000B49C6">
              <w:rPr>
                <w:rFonts w:ascii="Arial Narrow" w:hAnsi="Arial Narrow"/>
                <w:sz w:val="20"/>
                <w:szCs w:val="20"/>
              </w:rPr>
              <w:t>0.0072</w:t>
            </w:r>
          </w:p>
        </w:tc>
        <w:tc>
          <w:tcPr>
            <w:tcW w:w="968" w:type="dxa"/>
            <w:tcBorders>
              <w:top w:val="nil"/>
              <w:left w:val="nil"/>
              <w:bottom w:val="single" w:sz="8" w:space="0" w:color="auto"/>
              <w:right w:val="single" w:sz="8" w:space="0" w:color="auto"/>
            </w:tcBorders>
            <w:shd w:val="clear" w:color="auto" w:fill="auto"/>
            <w:tcMar>
              <w:top w:w="0" w:type="dxa"/>
              <w:left w:w="28" w:type="dxa"/>
              <w:bottom w:w="0" w:type="dxa"/>
              <w:right w:w="28" w:type="dxa"/>
            </w:tcMar>
          </w:tcPr>
          <w:p w:rsidR="008D686D" w:rsidRPr="000B49C6" w:rsidRDefault="008D686D">
            <w:pPr>
              <w:jc w:val="center"/>
              <w:rPr>
                <w:rFonts w:ascii="Arial Narrow" w:hAnsi="Arial Narrow"/>
                <w:iCs/>
                <w:color w:val="000000"/>
                <w:sz w:val="20"/>
                <w:szCs w:val="20"/>
              </w:rPr>
            </w:pPr>
            <w:r w:rsidRPr="000B49C6">
              <w:rPr>
                <w:rFonts w:ascii="Arial Narrow" w:hAnsi="Arial Narrow"/>
                <w:sz w:val="20"/>
                <w:szCs w:val="20"/>
              </w:rPr>
              <w:t>$</w:t>
            </w:r>
            <w:r w:rsidR="00410A2A">
              <w:rPr>
                <w:rFonts w:ascii="Arial Narrow" w:hAnsi="Arial Narrow"/>
                <w:noProof/>
                <w:color w:val="000000"/>
                <w:sz w:val="20"/>
                <w:szCs w:val="20"/>
                <w:highlight w:val="black"/>
              </w:rPr>
              <w:t>''''''''''''''''''''</w:t>
            </w:r>
          </w:p>
        </w:tc>
      </w:tr>
      <w:tr w:rsidR="008D686D" w:rsidRPr="000B49C6" w:rsidTr="008D686D">
        <w:tc>
          <w:tcPr>
            <w:tcW w:w="0" w:type="auto"/>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tcPr>
          <w:p w:rsidR="008D686D" w:rsidRPr="000B49C6" w:rsidRDefault="008D686D">
            <w:pPr>
              <w:pStyle w:val="ListParagraph"/>
              <w:spacing w:after="0"/>
              <w:ind w:left="254"/>
              <w:jc w:val="left"/>
              <w:rPr>
                <w:rFonts w:ascii="Arial Narrow" w:hAnsi="Arial Narrow"/>
                <w:color w:val="000000"/>
                <w:sz w:val="20"/>
                <w:szCs w:val="20"/>
              </w:rPr>
            </w:pPr>
            <w:r w:rsidRPr="000B49C6">
              <w:rPr>
                <w:rFonts w:ascii="Arial Narrow" w:hAnsi="Arial Narrow"/>
                <w:sz w:val="20"/>
                <w:szCs w:val="20"/>
              </w:rPr>
              <w:t xml:space="preserve">-   </w:t>
            </w:r>
            <w:proofErr w:type="gramStart"/>
            <w:r w:rsidRPr="000B49C6">
              <w:rPr>
                <w:rFonts w:ascii="Arial Narrow" w:hAnsi="Arial Narrow"/>
                <w:sz w:val="20"/>
                <w:szCs w:val="20"/>
              </w:rPr>
              <w:t>same</w:t>
            </w:r>
            <w:proofErr w:type="gramEnd"/>
            <w:r w:rsidRPr="000B49C6">
              <w:rPr>
                <w:rFonts w:ascii="Arial Narrow" w:hAnsi="Arial Narrow"/>
                <w:sz w:val="20"/>
                <w:szCs w:val="20"/>
              </w:rPr>
              <w:t xml:space="preserve"> as immediately above but change baseline 30-day mortality probability to 0.025 (as per Foster </w:t>
            </w:r>
            <w:r w:rsidR="00CC5D6C" w:rsidRPr="00CC5D6C">
              <w:rPr>
                <w:rFonts w:ascii="Arial Narrow" w:hAnsi="Arial Narrow"/>
                <w:i/>
                <w:sz w:val="20"/>
                <w:szCs w:val="20"/>
              </w:rPr>
              <w:t>et. al.</w:t>
            </w:r>
            <w:r w:rsidRPr="000B49C6">
              <w:rPr>
                <w:rFonts w:ascii="Arial Narrow" w:hAnsi="Arial Narrow"/>
                <w:sz w:val="20"/>
                <w:szCs w:val="20"/>
              </w:rPr>
              <w:t xml:space="preserve"> 2014).</w:t>
            </w:r>
          </w:p>
        </w:tc>
        <w:tc>
          <w:tcPr>
            <w:tcW w:w="0" w:type="auto"/>
            <w:tcBorders>
              <w:top w:val="nil"/>
              <w:left w:val="nil"/>
              <w:bottom w:val="single" w:sz="8" w:space="0" w:color="auto"/>
              <w:right w:val="single" w:sz="8" w:space="0" w:color="auto"/>
            </w:tcBorders>
            <w:shd w:val="clear" w:color="auto" w:fill="auto"/>
            <w:tcMar>
              <w:top w:w="0" w:type="dxa"/>
              <w:left w:w="28" w:type="dxa"/>
              <w:bottom w:w="0" w:type="dxa"/>
              <w:right w:w="28" w:type="dxa"/>
            </w:tcMar>
          </w:tcPr>
          <w:p w:rsidR="008D686D" w:rsidRPr="000B49C6" w:rsidRDefault="008D686D">
            <w:pPr>
              <w:jc w:val="center"/>
              <w:rPr>
                <w:rFonts w:ascii="Arial Narrow" w:hAnsi="Arial Narrow"/>
                <w:iCs/>
                <w:color w:val="000000"/>
                <w:sz w:val="20"/>
                <w:szCs w:val="20"/>
              </w:rPr>
            </w:pPr>
            <w:r w:rsidRPr="000B49C6">
              <w:rPr>
                <w:rFonts w:ascii="Arial Narrow" w:hAnsi="Arial Narrow"/>
                <w:sz w:val="20"/>
                <w:szCs w:val="20"/>
              </w:rPr>
              <w:t>$</w:t>
            </w:r>
            <w:r w:rsidR="00410A2A">
              <w:rPr>
                <w:rFonts w:ascii="Arial Narrow" w:hAnsi="Arial Narrow"/>
                <w:noProof/>
                <w:color w:val="000000"/>
                <w:sz w:val="20"/>
                <w:szCs w:val="20"/>
                <w:highlight w:val="black"/>
              </w:rPr>
              <w:t>'''''''''''''</w:t>
            </w:r>
          </w:p>
        </w:tc>
        <w:tc>
          <w:tcPr>
            <w:tcW w:w="0" w:type="auto"/>
            <w:tcBorders>
              <w:top w:val="nil"/>
              <w:left w:val="nil"/>
              <w:bottom w:val="single" w:sz="8" w:space="0" w:color="auto"/>
              <w:right w:val="single" w:sz="8" w:space="0" w:color="auto"/>
            </w:tcBorders>
            <w:shd w:val="clear" w:color="auto" w:fill="auto"/>
            <w:tcMar>
              <w:top w:w="0" w:type="dxa"/>
              <w:left w:w="28" w:type="dxa"/>
              <w:bottom w:w="0" w:type="dxa"/>
              <w:right w:w="28" w:type="dxa"/>
            </w:tcMar>
          </w:tcPr>
          <w:p w:rsidR="008D686D" w:rsidRPr="000B49C6" w:rsidRDefault="008D686D">
            <w:pPr>
              <w:jc w:val="center"/>
              <w:rPr>
                <w:rFonts w:ascii="Arial Narrow" w:hAnsi="Arial Narrow"/>
                <w:iCs/>
                <w:color w:val="000000"/>
                <w:sz w:val="20"/>
                <w:szCs w:val="20"/>
              </w:rPr>
            </w:pPr>
            <w:r w:rsidRPr="000B49C6">
              <w:rPr>
                <w:rFonts w:ascii="Arial Narrow" w:hAnsi="Arial Narrow"/>
                <w:sz w:val="20"/>
                <w:szCs w:val="20"/>
              </w:rPr>
              <w:t>0.0057</w:t>
            </w:r>
          </w:p>
        </w:tc>
        <w:tc>
          <w:tcPr>
            <w:tcW w:w="968" w:type="dxa"/>
            <w:tcBorders>
              <w:top w:val="nil"/>
              <w:left w:val="nil"/>
              <w:bottom w:val="single" w:sz="8" w:space="0" w:color="auto"/>
              <w:right w:val="single" w:sz="8" w:space="0" w:color="auto"/>
            </w:tcBorders>
            <w:shd w:val="clear" w:color="auto" w:fill="auto"/>
            <w:tcMar>
              <w:top w:w="0" w:type="dxa"/>
              <w:left w:w="28" w:type="dxa"/>
              <w:bottom w:w="0" w:type="dxa"/>
              <w:right w:w="28" w:type="dxa"/>
            </w:tcMar>
          </w:tcPr>
          <w:p w:rsidR="008D686D" w:rsidRPr="000B49C6" w:rsidRDefault="008D686D">
            <w:pPr>
              <w:jc w:val="center"/>
              <w:rPr>
                <w:rFonts w:ascii="Arial Narrow" w:hAnsi="Arial Narrow"/>
                <w:iCs/>
                <w:color w:val="000000"/>
                <w:sz w:val="20"/>
                <w:szCs w:val="20"/>
              </w:rPr>
            </w:pPr>
            <w:r w:rsidRPr="000B49C6">
              <w:rPr>
                <w:rFonts w:ascii="Arial Narrow" w:hAnsi="Arial Narrow"/>
                <w:sz w:val="20"/>
                <w:szCs w:val="20"/>
              </w:rPr>
              <w:t>$</w:t>
            </w:r>
            <w:r w:rsidR="00410A2A">
              <w:rPr>
                <w:rFonts w:ascii="Arial Narrow" w:hAnsi="Arial Narrow"/>
                <w:noProof/>
                <w:color w:val="000000"/>
                <w:sz w:val="20"/>
                <w:szCs w:val="20"/>
                <w:highlight w:val="black"/>
              </w:rPr>
              <w:t>''''''''''''''''''</w:t>
            </w:r>
          </w:p>
        </w:tc>
      </w:tr>
    </w:tbl>
    <w:p w:rsidR="00175557" w:rsidRDefault="00175557" w:rsidP="00C84F0E">
      <w:pPr>
        <w:widowControl/>
      </w:pPr>
    </w:p>
    <w:p w:rsidR="000F168A" w:rsidRPr="000B49C6" w:rsidRDefault="000F168A" w:rsidP="00C84F0E">
      <w:pPr>
        <w:widowControl/>
      </w:pPr>
      <w:r>
        <w:t xml:space="preserve">The redacted table shows ICERs in the range of $15,000/QALY – more than $200,000/QALY. </w:t>
      </w:r>
    </w:p>
    <w:p w:rsidR="00C25D9C" w:rsidRPr="000B49C6" w:rsidRDefault="00C25D9C" w:rsidP="00E03435">
      <w:pPr>
        <w:pStyle w:val="Heading2"/>
        <w:spacing w:before="240" w:after="120"/>
      </w:pPr>
      <w:bookmarkStart w:id="14" w:name="_Toc514248039"/>
      <w:r w:rsidRPr="008C757C">
        <w:t>Drug cost/patient/</w:t>
      </w:r>
      <w:r w:rsidR="008D4B36" w:rsidRPr="008C757C">
        <w:t>treatment $</w:t>
      </w:r>
      <w:bookmarkEnd w:id="14"/>
      <w:r w:rsidR="00410A2A">
        <w:rPr>
          <w:noProof/>
          <w:color w:val="000000"/>
          <w:highlight w:val="black"/>
        </w:rPr>
        <w:t>'''''''''''''''''</w:t>
      </w:r>
    </w:p>
    <w:p w:rsidR="00B60939" w:rsidRPr="000B49C6" w:rsidRDefault="008D4B36" w:rsidP="00E61A22">
      <w:pPr>
        <w:pStyle w:val="ListParagraph"/>
        <w:keepNext/>
        <w:widowControl/>
        <w:numPr>
          <w:ilvl w:val="1"/>
          <w:numId w:val="3"/>
        </w:numPr>
      </w:pPr>
      <w:r w:rsidRPr="000B49C6">
        <w:t xml:space="preserve">The average cost of </w:t>
      </w:r>
      <w:proofErr w:type="spellStart"/>
      <w:r w:rsidRPr="000B49C6">
        <w:t>bezlotoxumab</w:t>
      </w:r>
      <w:proofErr w:type="spellEnd"/>
      <w:r w:rsidRPr="000B49C6">
        <w:t xml:space="preserve"> was assumed to be $</w:t>
      </w:r>
      <w:r w:rsidR="00410A2A">
        <w:rPr>
          <w:noProof/>
          <w:color w:val="000000"/>
          <w:highlight w:val="black"/>
        </w:rPr>
        <w:t>''''''''''''''''</w:t>
      </w:r>
      <w:r w:rsidRPr="000B49C6">
        <w:t>, based on the DPMQ (</w:t>
      </w:r>
      <w:r w:rsidR="00595E41" w:rsidRPr="000B49C6">
        <w:t>p</w:t>
      </w:r>
      <w:r w:rsidRPr="000B49C6">
        <w:t xml:space="preserve">rivate hospital) for 1 vial of 1,000mg and assuming 7.3% of the population will require two vials </w:t>
      </w:r>
      <w:r w:rsidR="009345D6" w:rsidRPr="000B49C6">
        <w:t>(</w:t>
      </w:r>
      <w:r w:rsidRPr="000B49C6">
        <w:t>weight &gt;100kg); and that patients will only use one dose per course of treatment</w:t>
      </w:r>
      <w:r w:rsidR="00991401">
        <w:t xml:space="preserve">. </w:t>
      </w:r>
      <w:r w:rsidRPr="000B49C6">
        <w:t xml:space="preserve">The cost for the comparator was $0 as it was assumed that the cost for </w:t>
      </w:r>
      <w:proofErr w:type="spellStart"/>
      <w:r w:rsidRPr="000B49C6">
        <w:t>SoC</w:t>
      </w:r>
      <w:proofErr w:type="spellEnd"/>
      <w:r w:rsidRPr="000B49C6">
        <w:t xml:space="preserve"> was unchanged with </w:t>
      </w:r>
      <w:proofErr w:type="spellStart"/>
      <w:r w:rsidRPr="000B49C6">
        <w:t>bezlotoxumab</w:t>
      </w:r>
      <w:proofErr w:type="spellEnd"/>
      <w:r w:rsidRPr="000B49C6">
        <w:t>.</w:t>
      </w:r>
    </w:p>
    <w:p w:rsidR="00B60939" w:rsidRPr="00E03435" w:rsidRDefault="00B60939" w:rsidP="00E03435">
      <w:pPr>
        <w:pStyle w:val="Heading2"/>
        <w:spacing w:before="240" w:after="120"/>
      </w:pPr>
      <w:bookmarkStart w:id="15" w:name="_Toc514248040"/>
      <w:r w:rsidRPr="008C757C">
        <w:t>Estimated PBS usage &amp; financial implications</w:t>
      </w:r>
      <w:bookmarkEnd w:id="15"/>
    </w:p>
    <w:p w:rsidR="00E61A22" w:rsidRPr="000B49C6" w:rsidRDefault="00E61A22" w:rsidP="00DD147B">
      <w:pPr>
        <w:pStyle w:val="ListParagraph"/>
        <w:widowControl/>
        <w:numPr>
          <w:ilvl w:val="1"/>
          <w:numId w:val="3"/>
        </w:numPr>
      </w:pPr>
      <w:r w:rsidRPr="000B49C6">
        <w:t>Th</w:t>
      </w:r>
      <w:r w:rsidR="00595E41" w:rsidRPr="000B49C6">
        <w:t xml:space="preserve">is resubmission </w:t>
      </w:r>
      <w:r w:rsidR="00FA197D" w:rsidRPr="000B49C6">
        <w:t>was</w:t>
      </w:r>
      <w:r w:rsidR="00595E41" w:rsidRPr="000B49C6">
        <w:t xml:space="preserve"> not considered by DUSC</w:t>
      </w:r>
      <w:r w:rsidR="000A76E5" w:rsidRPr="000B49C6">
        <w:t>;</w:t>
      </w:r>
      <w:r w:rsidR="00595E41" w:rsidRPr="000B49C6">
        <w:t xml:space="preserve"> however DUSC had previously considered the </w:t>
      </w:r>
      <w:r w:rsidRPr="000B49C6">
        <w:t>November 2017 submission</w:t>
      </w:r>
      <w:r w:rsidR="00991401">
        <w:t xml:space="preserve">. </w:t>
      </w:r>
      <w:r w:rsidR="009345D6" w:rsidRPr="000B49C6">
        <w:t xml:space="preserve">As with </w:t>
      </w:r>
      <w:r w:rsidRPr="000B49C6">
        <w:t>the previous submission</w:t>
      </w:r>
      <w:r w:rsidR="00DD147B" w:rsidRPr="000B49C6">
        <w:t>,</w:t>
      </w:r>
      <w:r w:rsidRPr="000B49C6">
        <w:t xml:space="preserve"> </w:t>
      </w:r>
      <w:r w:rsidR="00595E41" w:rsidRPr="000B49C6">
        <w:t xml:space="preserve">the resubmission </w:t>
      </w:r>
      <w:r w:rsidRPr="000B49C6">
        <w:t xml:space="preserve">took an epidemiological approach to estimate the number of CDI patients eligible for </w:t>
      </w:r>
      <w:proofErr w:type="spellStart"/>
      <w:r w:rsidRPr="000B49C6">
        <w:t>bezlotoxumab</w:t>
      </w:r>
      <w:proofErr w:type="spellEnd"/>
      <w:r w:rsidRPr="000B49C6">
        <w:t xml:space="preserve"> treatment</w:t>
      </w:r>
      <w:r w:rsidR="00991401">
        <w:t xml:space="preserve">. </w:t>
      </w:r>
      <w:r w:rsidR="000977E1" w:rsidRPr="000B49C6">
        <w:t>T</w:t>
      </w:r>
      <w:r w:rsidR="00B43733" w:rsidRPr="000B49C6">
        <w:t xml:space="preserve">he number of prescriptions required for </w:t>
      </w:r>
      <w:proofErr w:type="spellStart"/>
      <w:r w:rsidR="00B43733" w:rsidRPr="000B49C6">
        <w:t>bezlotoxumab</w:t>
      </w:r>
      <w:proofErr w:type="spellEnd"/>
      <w:r w:rsidR="00B43733" w:rsidRPr="000B49C6">
        <w:t xml:space="preserve"> was based on the number of PBS prescriptions for oral vancomycin (for CDI)</w:t>
      </w:r>
      <w:r w:rsidR="000977E1" w:rsidRPr="000B49C6">
        <w:t xml:space="preserve"> plus an additional </w:t>
      </w:r>
      <w:r w:rsidR="00B43733" w:rsidRPr="000B49C6">
        <w:t xml:space="preserve">42.6% </w:t>
      </w:r>
      <w:r w:rsidR="000977E1" w:rsidRPr="000B49C6">
        <w:t xml:space="preserve">use assumed to be </w:t>
      </w:r>
      <w:r w:rsidR="00D62027" w:rsidRPr="000B49C6">
        <w:t xml:space="preserve">use </w:t>
      </w:r>
      <w:r w:rsidR="000977E1" w:rsidRPr="000B49C6">
        <w:t xml:space="preserve">alongside metronidazole in </w:t>
      </w:r>
      <w:r w:rsidR="000977E1" w:rsidRPr="000B49C6">
        <w:lastRenderedPageBreak/>
        <w:t xml:space="preserve">each year of the financial estimates </w:t>
      </w:r>
      <w:r w:rsidR="00B43733" w:rsidRPr="000B49C6">
        <w:t>(using the ratio from the MODIFY trials)</w:t>
      </w:r>
      <w:r w:rsidR="00991401">
        <w:t xml:space="preserve">. </w:t>
      </w:r>
      <w:r w:rsidR="00D62027" w:rsidRPr="000B49C6">
        <w:t xml:space="preserve">Given </w:t>
      </w:r>
      <w:r w:rsidR="00D62027" w:rsidRPr="000B49C6">
        <w:rPr>
          <w:iCs/>
        </w:rPr>
        <w:t>D</w:t>
      </w:r>
      <w:r w:rsidR="00B43733" w:rsidRPr="000B49C6">
        <w:rPr>
          <w:iCs/>
        </w:rPr>
        <w:t xml:space="preserve">USC </w:t>
      </w:r>
      <w:r w:rsidR="000977E1" w:rsidRPr="000B49C6">
        <w:rPr>
          <w:iCs/>
        </w:rPr>
        <w:t xml:space="preserve">had previously noted </w:t>
      </w:r>
      <w:r w:rsidR="00B43733" w:rsidRPr="000B49C6">
        <w:rPr>
          <w:iCs/>
        </w:rPr>
        <w:t>vancomycin use for CDI in Australia is restricted to pseudomembranous colitis</w:t>
      </w:r>
      <w:r w:rsidR="000A76E5" w:rsidRPr="000B49C6">
        <w:rPr>
          <w:iCs/>
        </w:rPr>
        <w:t>,</w:t>
      </w:r>
      <w:r w:rsidR="00B43733" w:rsidRPr="000B49C6">
        <w:rPr>
          <w:iCs/>
        </w:rPr>
        <w:t xml:space="preserve"> which only accounts for approximately 10% of CDIs</w:t>
      </w:r>
      <w:r w:rsidR="000977E1" w:rsidRPr="000B49C6">
        <w:rPr>
          <w:iCs/>
        </w:rPr>
        <w:t xml:space="preserve"> (5.03.DUSC ADV.1 </w:t>
      </w:r>
      <w:proofErr w:type="spellStart"/>
      <w:r w:rsidR="000977E1" w:rsidRPr="000B49C6">
        <w:rPr>
          <w:iCs/>
        </w:rPr>
        <w:t>Bezlotoxumab</w:t>
      </w:r>
      <w:proofErr w:type="spellEnd"/>
      <w:r w:rsidR="000977E1" w:rsidRPr="000B49C6">
        <w:rPr>
          <w:iCs/>
        </w:rPr>
        <w:t xml:space="preserve"> November 2017 PBAC meeting)</w:t>
      </w:r>
      <w:r w:rsidR="00D62027" w:rsidRPr="000B49C6">
        <w:rPr>
          <w:iCs/>
        </w:rPr>
        <w:t>, the submission's approach relying on vancomycin script numbers but not adjusting for higher proportional use of metronidazole underestimate</w:t>
      </w:r>
      <w:r w:rsidR="000A76E5" w:rsidRPr="000B49C6">
        <w:rPr>
          <w:iCs/>
        </w:rPr>
        <w:t>d</w:t>
      </w:r>
      <w:r w:rsidR="00D62027" w:rsidRPr="000B49C6">
        <w:rPr>
          <w:iCs/>
        </w:rPr>
        <w:t xml:space="preserve"> likely </w:t>
      </w:r>
      <w:proofErr w:type="spellStart"/>
      <w:r w:rsidR="00D62027" w:rsidRPr="000B49C6">
        <w:rPr>
          <w:iCs/>
        </w:rPr>
        <w:t>bezlotoxumab</w:t>
      </w:r>
      <w:proofErr w:type="spellEnd"/>
      <w:r w:rsidR="00D62027" w:rsidRPr="000B49C6">
        <w:rPr>
          <w:iCs/>
        </w:rPr>
        <w:t xml:space="preserve"> use on </w:t>
      </w:r>
      <w:r w:rsidR="000A76E5" w:rsidRPr="000B49C6">
        <w:rPr>
          <w:iCs/>
        </w:rPr>
        <w:t xml:space="preserve">the </w:t>
      </w:r>
      <w:r w:rsidR="00D62027" w:rsidRPr="000B49C6">
        <w:rPr>
          <w:iCs/>
        </w:rPr>
        <w:t>PBS.</w:t>
      </w:r>
    </w:p>
    <w:p w:rsidR="0072416F" w:rsidRPr="000B49C6" w:rsidRDefault="00D62027" w:rsidP="00736F2E">
      <w:pPr>
        <w:pStyle w:val="ListParagraph"/>
        <w:widowControl/>
        <w:numPr>
          <w:ilvl w:val="1"/>
          <w:numId w:val="3"/>
        </w:numPr>
      </w:pPr>
      <w:r w:rsidRPr="000B49C6">
        <w:rPr>
          <w:iCs/>
        </w:rPr>
        <w:t xml:space="preserve">The </w:t>
      </w:r>
      <w:r w:rsidR="00B43733" w:rsidRPr="000B49C6">
        <w:rPr>
          <w:iCs/>
        </w:rPr>
        <w:t xml:space="preserve">financial estimates did not take into account re-dosing with </w:t>
      </w:r>
      <w:proofErr w:type="spellStart"/>
      <w:r w:rsidR="00B43733" w:rsidRPr="000B49C6">
        <w:rPr>
          <w:iCs/>
        </w:rPr>
        <w:t>bezlotoxumab</w:t>
      </w:r>
      <w:proofErr w:type="spellEnd"/>
      <w:r w:rsidR="00B43733" w:rsidRPr="000B49C6">
        <w:rPr>
          <w:iCs/>
        </w:rPr>
        <w:t xml:space="preserve"> for CDI recurrences beyond 90 days of the index infectio</w:t>
      </w:r>
      <w:r w:rsidRPr="000B49C6">
        <w:rPr>
          <w:iCs/>
        </w:rPr>
        <w:t>n</w:t>
      </w:r>
      <w:r w:rsidR="000A76E5" w:rsidRPr="000B49C6">
        <w:rPr>
          <w:iCs/>
        </w:rPr>
        <w:t>.</w:t>
      </w:r>
      <w:r w:rsidRPr="000B49C6">
        <w:rPr>
          <w:iCs/>
        </w:rPr>
        <w:t xml:space="preserve"> </w:t>
      </w:r>
      <w:r w:rsidR="000A76E5" w:rsidRPr="000B49C6">
        <w:rPr>
          <w:iCs/>
        </w:rPr>
        <w:t xml:space="preserve">The </w:t>
      </w:r>
      <w:r w:rsidRPr="000B49C6">
        <w:rPr>
          <w:iCs/>
        </w:rPr>
        <w:t>a</w:t>
      </w:r>
      <w:r w:rsidR="004672AC" w:rsidRPr="000B49C6">
        <w:rPr>
          <w:iCs/>
        </w:rPr>
        <w:t xml:space="preserve">dditional health care cost </w:t>
      </w:r>
      <w:r w:rsidRPr="000B49C6">
        <w:rPr>
          <w:iCs/>
        </w:rPr>
        <w:t>for</w:t>
      </w:r>
      <w:r w:rsidR="004672AC" w:rsidRPr="000B49C6">
        <w:rPr>
          <w:iCs/>
        </w:rPr>
        <w:t xml:space="preserve"> infusion specific </w:t>
      </w:r>
      <w:r w:rsidR="00F858E1" w:rsidRPr="000B49C6">
        <w:rPr>
          <w:iCs/>
        </w:rPr>
        <w:t>AE</w:t>
      </w:r>
      <w:r w:rsidR="004672AC" w:rsidRPr="000B49C6">
        <w:rPr>
          <w:iCs/>
        </w:rPr>
        <w:t>s (e.g. one specialist visit was assumed in the modelled economic evaluation) was also omitted in the financial estimate</w:t>
      </w:r>
      <w:r w:rsidRPr="000B49C6">
        <w:rPr>
          <w:iCs/>
        </w:rPr>
        <w:t>s</w:t>
      </w:r>
      <w:r w:rsidR="004672AC" w:rsidRPr="000B49C6">
        <w:rPr>
          <w:iCs/>
        </w:rPr>
        <w:t>.</w:t>
      </w:r>
    </w:p>
    <w:p w:rsidR="004672AC" w:rsidRPr="000B49C6" w:rsidRDefault="00363F50" w:rsidP="004672AC">
      <w:pPr>
        <w:pStyle w:val="ListParagraph"/>
        <w:widowControl/>
        <w:numPr>
          <w:ilvl w:val="1"/>
          <w:numId w:val="3"/>
        </w:numPr>
        <w:rPr>
          <w:iCs/>
        </w:rPr>
      </w:pPr>
      <w:r w:rsidRPr="000B49C6">
        <w:rPr>
          <w:iCs/>
        </w:rPr>
        <w:t xml:space="preserve">Table </w:t>
      </w:r>
      <w:r w:rsidR="00E82A52">
        <w:rPr>
          <w:iCs/>
        </w:rPr>
        <w:t>10</w:t>
      </w:r>
      <w:r w:rsidR="004672AC" w:rsidRPr="000B49C6">
        <w:rPr>
          <w:iCs/>
        </w:rPr>
        <w:t xml:space="preserve"> summarises the estimated use and financial implications of listing </w:t>
      </w:r>
      <w:proofErr w:type="spellStart"/>
      <w:r w:rsidR="004672AC" w:rsidRPr="000B49C6">
        <w:rPr>
          <w:iCs/>
        </w:rPr>
        <w:t>bezlotoxumab</w:t>
      </w:r>
      <w:proofErr w:type="spellEnd"/>
      <w:r w:rsidR="004672AC" w:rsidRPr="000B49C6">
        <w:rPr>
          <w:iCs/>
        </w:rPr>
        <w:t>.</w:t>
      </w:r>
    </w:p>
    <w:p w:rsidR="005B2CC8" w:rsidRDefault="005B2CC8">
      <w:pPr>
        <w:widowControl/>
        <w:jc w:val="left"/>
        <w:rPr>
          <w:rFonts w:ascii="Arial Narrow" w:hAnsi="Arial Narrow"/>
          <w:b/>
          <w:bCs/>
          <w:sz w:val="20"/>
          <w:szCs w:val="20"/>
        </w:rPr>
      </w:pPr>
      <w:r>
        <w:rPr>
          <w:rFonts w:ascii="Arial Narrow" w:hAnsi="Arial Narrow"/>
          <w:sz w:val="20"/>
          <w:szCs w:val="20"/>
        </w:rPr>
        <w:br w:type="page"/>
      </w:r>
    </w:p>
    <w:p w:rsidR="00363F50" w:rsidRPr="000B49C6" w:rsidRDefault="00363F50" w:rsidP="00363F50">
      <w:pPr>
        <w:pStyle w:val="Caption"/>
        <w:keepNext/>
        <w:spacing w:after="60"/>
        <w:rPr>
          <w:rFonts w:ascii="Arial Narrow" w:hAnsi="Arial Narrow"/>
          <w:color w:val="auto"/>
          <w:sz w:val="20"/>
          <w:szCs w:val="20"/>
        </w:rPr>
      </w:pPr>
      <w:r w:rsidRPr="000B49C6">
        <w:rPr>
          <w:rFonts w:ascii="Arial Narrow" w:hAnsi="Arial Narrow"/>
          <w:color w:val="auto"/>
          <w:sz w:val="20"/>
          <w:szCs w:val="20"/>
        </w:rPr>
        <w:lastRenderedPageBreak/>
        <w:t xml:space="preserve">Table </w:t>
      </w:r>
      <w:r w:rsidR="00E82A52">
        <w:rPr>
          <w:rFonts w:ascii="Arial Narrow" w:hAnsi="Arial Narrow"/>
          <w:color w:val="auto"/>
          <w:sz w:val="20"/>
          <w:szCs w:val="20"/>
        </w:rPr>
        <w:t>10</w:t>
      </w:r>
      <w:r w:rsidRPr="000B49C6">
        <w:rPr>
          <w:rFonts w:ascii="Arial Narrow" w:hAnsi="Arial Narrow"/>
          <w:color w:val="auto"/>
          <w:sz w:val="20"/>
          <w:szCs w:val="20"/>
        </w:rPr>
        <w:t xml:space="preserve">: Estimated net cost of </w:t>
      </w:r>
      <w:proofErr w:type="spellStart"/>
      <w:r w:rsidRPr="000B49C6">
        <w:rPr>
          <w:rFonts w:ascii="Arial Narrow" w:hAnsi="Arial Narrow"/>
          <w:color w:val="auto"/>
          <w:sz w:val="20"/>
          <w:szCs w:val="20"/>
        </w:rPr>
        <w:t>bezlotoxumab</w:t>
      </w:r>
      <w:proofErr w:type="spellEnd"/>
      <w:r w:rsidRPr="000B49C6">
        <w:rPr>
          <w:rFonts w:ascii="Arial Narrow" w:hAnsi="Arial Narrow"/>
          <w:color w:val="auto"/>
          <w:sz w:val="20"/>
          <w:szCs w:val="20"/>
        </w:rPr>
        <w:t xml:space="preserve"> to the PBS</w:t>
      </w:r>
      <w:r w:rsidRPr="000B49C6">
        <w:rPr>
          <w:rStyle w:val="CommentReference"/>
          <w:color w:val="auto"/>
          <w:szCs w:val="20"/>
        </w:rPr>
        <w:t>/</w:t>
      </w:r>
      <w:r w:rsidRPr="000B49C6">
        <w:rPr>
          <w:rFonts w:ascii="Arial Narrow" w:hAnsi="Arial Narrow"/>
          <w:color w:val="auto"/>
          <w:sz w:val="20"/>
          <w:szCs w:val="20"/>
        </w:rPr>
        <w:t>RPBS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7: Estimated net cost of bezlotuoxumab to the PBS/RPBS"/>
      </w:tblPr>
      <w:tblGrid>
        <w:gridCol w:w="233"/>
        <w:gridCol w:w="3448"/>
        <w:gridCol w:w="897"/>
        <w:gridCol w:w="898"/>
        <w:gridCol w:w="898"/>
        <w:gridCol w:w="897"/>
        <w:gridCol w:w="898"/>
        <w:gridCol w:w="898"/>
      </w:tblGrid>
      <w:tr w:rsidR="00C41521" w:rsidRPr="000B49C6" w:rsidTr="00C41521">
        <w:tc>
          <w:tcPr>
            <w:tcW w:w="233" w:type="dxa"/>
          </w:tcPr>
          <w:p w:rsidR="00690ACE" w:rsidRPr="000B49C6" w:rsidRDefault="00690ACE" w:rsidP="00620550">
            <w:pPr>
              <w:pStyle w:val="Tabletext"/>
              <w:rPr>
                <w:b/>
                <w:sz w:val="18"/>
                <w:szCs w:val="18"/>
              </w:rPr>
            </w:pPr>
          </w:p>
        </w:tc>
        <w:tc>
          <w:tcPr>
            <w:tcW w:w="3448" w:type="dxa"/>
            <w:shd w:val="clear" w:color="auto" w:fill="auto"/>
            <w:vAlign w:val="center"/>
          </w:tcPr>
          <w:p w:rsidR="00690ACE" w:rsidRPr="000B49C6" w:rsidRDefault="00690ACE" w:rsidP="00620550">
            <w:pPr>
              <w:pStyle w:val="Tabletext"/>
              <w:rPr>
                <w:b/>
                <w:sz w:val="18"/>
                <w:szCs w:val="18"/>
              </w:rPr>
            </w:pPr>
          </w:p>
        </w:tc>
        <w:tc>
          <w:tcPr>
            <w:tcW w:w="897" w:type="dxa"/>
            <w:shd w:val="clear" w:color="auto" w:fill="auto"/>
            <w:vAlign w:val="center"/>
          </w:tcPr>
          <w:p w:rsidR="00690ACE" w:rsidRPr="000B49C6" w:rsidRDefault="00690ACE" w:rsidP="00C41521">
            <w:pPr>
              <w:pStyle w:val="Tabletext"/>
              <w:jc w:val="center"/>
              <w:rPr>
                <w:b/>
                <w:sz w:val="18"/>
                <w:szCs w:val="18"/>
              </w:rPr>
            </w:pPr>
            <w:r w:rsidRPr="000B49C6">
              <w:rPr>
                <w:b/>
                <w:sz w:val="18"/>
                <w:szCs w:val="18"/>
              </w:rPr>
              <w:t>Year 1</w:t>
            </w:r>
          </w:p>
        </w:tc>
        <w:tc>
          <w:tcPr>
            <w:tcW w:w="898" w:type="dxa"/>
            <w:shd w:val="clear" w:color="auto" w:fill="auto"/>
            <w:vAlign w:val="center"/>
          </w:tcPr>
          <w:p w:rsidR="00690ACE" w:rsidRPr="000B49C6" w:rsidRDefault="00690ACE" w:rsidP="00C41521">
            <w:pPr>
              <w:pStyle w:val="Tabletext"/>
              <w:jc w:val="center"/>
              <w:rPr>
                <w:b/>
                <w:sz w:val="18"/>
                <w:szCs w:val="18"/>
              </w:rPr>
            </w:pPr>
            <w:r w:rsidRPr="000B49C6">
              <w:rPr>
                <w:b/>
                <w:sz w:val="18"/>
                <w:szCs w:val="18"/>
              </w:rPr>
              <w:t>Year 2</w:t>
            </w:r>
          </w:p>
        </w:tc>
        <w:tc>
          <w:tcPr>
            <w:tcW w:w="898" w:type="dxa"/>
            <w:shd w:val="clear" w:color="auto" w:fill="auto"/>
            <w:vAlign w:val="center"/>
          </w:tcPr>
          <w:p w:rsidR="00690ACE" w:rsidRPr="000B49C6" w:rsidRDefault="00690ACE" w:rsidP="00C41521">
            <w:pPr>
              <w:pStyle w:val="Tabletext"/>
              <w:jc w:val="center"/>
              <w:rPr>
                <w:b/>
                <w:sz w:val="18"/>
                <w:szCs w:val="18"/>
              </w:rPr>
            </w:pPr>
            <w:r w:rsidRPr="000B49C6">
              <w:rPr>
                <w:b/>
                <w:sz w:val="18"/>
                <w:szCs w:val="18"/>
              </w:rPr>
              <w:t>Year 3</w:t>
            </w:r>
          </w:p>
        </w:tc>
        <w:tc>
          <w:tcPr>
            <w:tcW w:w="897" w:type="dxa"/>
            <w:shd w:val="clear" w:color="auto" w:fill="auto"/>
            <w:vAlign w:val="center"/>
          </w:tcPr>
          <w:p w:rsidR="00690ACE" w:rsidRPr="000B49C6" w:rsidRDefault="00690ACE" w:rsidP="00C41521">
            <w:pPr>
              <w:pStyle w:val="Tabletext"/>
              <w:jc w:val="center"/>
              <w:rPr>
                <w:b/>
                <w:sz w:val="18"/>
                <w:szCs w:val="18"/>
              </w:rPr>
            </w:pPr>
            <w:r w:rsidRPr="000B49C6">
              <w:rPr>
                <w:b/>
                <w:sz w:val="18"/>
                <w:szCs w:val="18"/>
              </w:rPr>
              <w:t>Year 4</w:t>
            </w:r>
          </w:p>
        </w:tc>
        <w:tc>
          <w:tcPr>
            <w:tcW w:w="898" w:type="dxa"/>
            <w:shd w:val="clear" w:color="auto" w:fill="auto"/>
            <w:vAlign w:val="center"/>
          </w:tcPr>
          <w:p w:rsidR="00690ACE" w:rsidRPr="000B49C6" w:rsidRDefault="00690ACE" w:rsidP="00C41521">
            <w:pPr>
              <w:pStyle w:val="Tabletext"/>
              <w:jc w:val="center"/>
              <w:rPr>
                <w:b/>
                <w:sz w:val="18"/>
                <w:szCs w:val="18"/>
              </w:rPr>
            </w:pPr>
            <w:r w:rsidRPr="000B49C6">
              <w:rPr>
                <w:b/>
                <w:sz w:val="18"/>
                <w:szCs w:val="18"/>
              </w:rPr>
              <w:t>Year 5</w:t>
            </w:r>
          </w:p>
        </w:tc>
        <w:tc>
          <w:tcPr>
            <w:tcW w:w="898" w:type="dxa"/>
            <w:shd w:val="clear" w:color="auto" w:fill="auto"/>
            <w:vAlign w:val="center"/>
          </w:tcPr>
          <w:p w:rsidR="00690ACE" w:rsidRPr="000B49C6" w:rsidRDefault="00690ACE" w:rsidP="00C41521">
            <w:pPr>
              <w:pStyle w:val="Tabletext"/>
              <w:jc w:val="center"/>
              <w:rPr>
                <w:b/>
                <w:sz w:val="18"/>
                <w:szCs w:val="18"/>
              </w:rPr>
            </w:pPr>
            <w:r w:rsidRPr="000B49C6">
              <w:rPr>
                <w:b/>
                <w:sz w:val="18"/>
                <w:szCs w:val="18"/>
              </w:rPr>
              <w:t>Year 6</w:t>
            </w:r>
          </w:p>
        </w:tc>
      </w:tr>
      <w:tr w:rsidR="00C41521" w:rsidRPr="000B49C6" w:rsidTr="00C41521">
        <w:tc>
          <w:tcPr>
            <w:tcW w:w="233" w:type="dxa"/>
          </w:tcPr>
          <w:p w:rsidR="00690ACE" w:rsidRPr="000B49C6" w:rsidRDefault="00690ACE" w:rsidP="00620550">
            <w:pPr>
              <w:pStyle w:val="Tabletext"/>
              <w:rPr>
                <w:sz w:val="18"/>
                <w:szCs w:val="18"/>
              </w:rPr>
            </w:pPr>
            <w:r w:rsidRPr="000B49C6">
              <w:rPr>
                <w:sz w:val="18"/>
                <w:szCs w:val="18"/>
              </w:rPr>
              <w:t>A</w:t>
            </w:r>
          </w:p>
        </w:tc>
        <w:tc>
          <w:tcPr>
            <w:tcW w:w="3448" w:type="dxa"/>
            <w:shd w:val="clear" w:color="auto" w:fill="auto"/>
            <w:vAlign w:val="center"/>
          </w:tcPr>
          <w:p w:rsidR="00690ACE" w:rsidRPr="000B49C6" w:rsidRDefault="00690ACE" w:rsidP="00620550">
            <w:pPr>
              <w:pStyle w:val="Tabletext"/>
              <w:rPr>
                <w:sz w:val="18"/>
                <w:szCs w:val="18"/>
              </w:rPr>
            </w:pPr>
            <w:r w:rsidRPr="000B49C6">
              <w:rPr>
                <w:sz w:val="18"/>
                <w:szCs w:val="18"/>
              </w:rPr>
              <w:t>Projected patient CDI episodes (&gt;18 years)</w:t>
            </w:r>
            <w:r w:rsidRPr="000B49C6">
              <w:rPr>
                <w:sz w:val="18"/>
                <w:szCs w:val="18"/>
                <w:vertAlign w:val="superscript"/>
              </w:rPr>
              <w:t>a</w:t>
            </w:r>
          </w:p>
        </w:tc>
        <w:tc>
          <w:tcPr>
            <w:tcW w:w="897"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7"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r>
      <w:tr w:rsidR="00C41521" w:rsidRPr="000B49C6" w:rsidTr="00C41521">
        <w:tc>
          <w:tcPr>
            <w:tcW w:w="233" w:type="dxa"/>
          </w:tcPr>
          <w:p w:rsidR="00690ACE" w:rsidRPr="000B49C6" w:rsidRDefault="00690ACE" w:rsidP="00620550">
            <w:pPr>
              <w:pStyle w:val="Tabletext"/>
              <w:rPr>
                <w:sz w:val="18"/>
                <w:szCs w:val="18"/>
              </w:rPr>
            </w:pPr>
            <w:r w:rsidRPr="000B49C6">
              <w:rPr>
                <w:sz w:val="18"/>
                <w:szCs w:val="18"/>
              </w:rPr>
              <w:t>B</w:t>
            </w:r>
          </w:p>
        </w:tc>
        <w:tc>
          <w:tcPr>
            <w:tcW w:w="3448" w:type="dxa"/>
            <w:shd w:val="clear" w:color="auto" w:fill="auto"/>
            <w:vAlign w:val="center"/>
          </w:tcPr>
          <w:p w:rsidR="00690ACE" w:rsidRPr="000B49C6" w:rsidRDefault="00690ACE" w:rsidP="00620550">
            <w:pPr>
              <w:pStyle w:val="Tabletext"/>
              <w:rPr>
                <w:sz w:val="18"/>
                <w:szCs w:val="18"/>
              </w:rPr>
            </w:pPr>
            <w:r w:rsidRPr="000B49C6">
              <w:rPr>
                <w:sz w:val="18"/>
                <w:szCs w:val="18"/>
              </w:rPr>
              <w:t>Patient episodes with positive toxin B</w:t>
            </w:r>
            <w:r w:rsidRPr="000B49C6">
              <w:rPr>
                <w:sz w:val="18"/>
                <w:szCs w:val="18"/>
                <w:vertAlign w:val="superscript"/>
              </w:rPr>
              <w:t>b</w:t>
            </w:r>
          </w:p>
        </w:tc>
        <w:tc>
          <w:tcPr>
            <w:tcW w:w="897"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7"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r>
      <w:tr w:rsidR="00C41521" w:rsidRPr="000B49C6" w:rsidTr="00C41521">
        <w:tc>
          <w:tcPr>
            <w:tcW w:w="233" w:type="dxa"/>
          </w:tcPr>
          <w:p w:rsidR="00690ACE" w:rsidRPr="000B49C6" w:rsidRDefault="00690ACE" w:rsidP="00620550">
            <w:pPr>
              <w:pStyle w:val="Tabletext"/>
              <w:rPr>
                <w:sz w:val="18"/>
                <w:szCs w:val="18"/>
              </w:rPr>
            </w:pPr>
            <w:r w:rsidRPr="000B49C6">
              <w:rPr>
                <w:sz w:val="18"/>
                <w:szCs w:val="18"/>
              </w:rPr>
              <w:t>C</w:t>
            </w:r>
          </w:p>
        </w:tc>
        <w:tc>
          <w:tcPr>
            <w:tcW w:w="3448" w:type="dxa"/>
            <w:shd w:val="clear" w:color="auto" w:fill="auto"/>
            <w:vAlign w:val="center"/>
          </w:tcPr>
          <w:p w:rsidR="00690ACE" w:rsidRPr="000B49C6" w:rsidRDefault="00690ACE" w:rsidP="00620550">
            <w:pPr>
              <w:pStyle w:val="Tabletext"/>
              <w:rPr>
                <w:sz w:val="18"/>
                <w:szCs w:val="18"/>
              </w:rPr>
            </w:pPr>
            <w:r w:rsidRPr="000B49C6">
              <w:rPr>
                <w:sz w:val="18"/>
                <w:szCs w:val="18"/>
              </w:rPr>
              <w:t xml:space="preserve">Patients using </w:t>
            </w:r>
            <w:proofErr w:type="spellStart"/>
            <w:r w:rsidRPr="000B49C6">
              <w:rPr>
                <w:sz w:val="18"/>
                <w:szCs w:val="18"/>
              </w:rPr>
              <w:t>metronidazole</w:t>
            </w:r>
            <w:r w:rsidRPr="000B49C6">
              <w:rPr>
                <w:sz w:val="18"/>
                <w:szCs w:val="18"/>
                <w:vertAlign w:val="superscript"/>
              </w:rPr>
              <w:t>c</w:t>
            </w:r>
            <w:proofErr w:type="spellEnd"/>
          </w:p>
        </w:tc>
        <w:tc>
          <w:tcPr>
            <w:tcW w:w="897"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7"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r>
      <w:tr w:rsidR="00C41521" w:rsidRPr="000B49C6" w:rsidTr="00C41521">
        <w:tc>
          <w:tcPr>
            <w:tcW w:w="233" w:type="dxa"/>
          </w:tcPr>
          <w:p w:rsidR="00690ACE" w:rsidRPr="000B49C6" w:rsidRDefault="00690ACE" w:rsidP="002A0CAE">
            <w:pPr>
              <w:pStyle w:val="Tabletext"/>
              <w:rPr>
                <w:sz w:val="18"/>
                <w:szCs w:val="18"/>
              </w:rPr>
            </w:pPr>
            <w:r w:rsidRPr="000B49C6">
              <w:rPr>
                <w:sz w:val="18"/>
                <w:szCs w:val="18"/>
              </w:rPr>
              <w:t>D</w:t>
            </w:r>
          </w:p>
        </w:tc>
        <w:tc>
          <w:tcPr>
            <w:tcW w:w="3448" w:type="dxa"/>
            <w:shd w:val="clear" w:color="auto" w:fill="auto"/>
            <w:vAlign w:val="center"/>
          </w:tcPr>
          <w:p w:rsidR="00690ACE" w:rsidRPr="000B49C6" w:rsidRDefault="00690ACE" w:rsidP="002A0CAE">
            <w:pPr>
              <w:pStyle w:val="Tabletext"/>
              <w:rPr>
                <w:sz w:val="18"/>
                <w:szCs w:val="18"/>
              </w:rPr>
            </w:pPr>
            <w:r w:rsidRPr="000B49C6">
              <w:rPr>
                <w:sz w:val="18"/>
                <w:szCs w:val="18"/>
              </w:rPr>
              <w:t>Total Toxin B positive episodes treated with either vancomycin or metronidazole</w:t>
            </w:r>
          </w:p>
        </w:tc>
        <w:tc>
          <w:tcPr>
            <w:tcW w:w="897"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7"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r>
      <w:tr w:rsidR="00C41521" w:rsidRPr="000B49C6" w:rsidTr="00C41521">
        <w:tc>
          <w:tcPr>
            <w:tcW w:w="233" w:type="dxa"/>
          </w:tcPr>
          <w:p w:rsidR="00690ACE" w:rsidRPr="000B49C6" w:rsidRDefault="003F066A" w:rsidP="002A0CAE">
            <w:pPr>
              <w:pStyle w:val="Tabletext"/>
              <w:rPr>
                <w:sz w:val="18"/>
                <w:szCs w:val="18"/>
              </w:rPr>
            </w:pPr>
            <w:r w:rsidRPr="000B49C6">
              <w:rPr>
                <w:sz w:val="18"/>
                <w:szCs w:val="18"/>
              </w:rPr>
              <w:t>E</w:t>
            </w:r>
          </w:p>
        </w:tc>
        <w:tc>
          <w:tcPr>
            <w:tcW w:w="3448" w:type="dxa"/>
            <w:shd w:val="clear" w:color="auto" w:fill="auto"/>
            <w:vAlign w:val="center"/>
          </w:tcPr>
          <w:p w:rsidR="00690ACE" w:rsidRPr="000B49C6" w:rsidRDefault="00690ACE" w:rsidP="003F066A">
            <w:pPr>
              <w:pStyle w:val="Tabletext"/>
              <w:rPr>
                <w:sz w:val="18"/>
                <w:szCs w:val="18"/>
              </w:rPr>
            </w:pPr>
            <w:r w:rsidRPr="000B49C6">
              <w:rPr>
                <w:sz w:val="18"/>
                <w:szCs w:val="18"/>
              </w:rPr>
              <w:t xml:space="preserve">Recurrence from previous year in world without </w:t>
            </w:r>
            <w:proofErr w:type="spellStart"/>
            <w:r w:rsidRPr="000B49C6">
              <w:rPr>
                <w:sz w:val="18"/>
                <w:szCs w:val="18"/>
              </w:rPr>
              <w:t>bezlotoxumab</w:t>
            </w:r>
            <w:proofErr w:type="spellEnd"/>
            <w:r w:rsidRPr="000B49C6">
              <w:rPr>
                <w:sz w:val="18"/>
                <w:szCs w:val="18"/>
              </w:rPr>
              <w:t xml:space="preserve"> (assume recurrence rate: 29.8%)</w:t>
            </w:r>
          </w:p>
        </w:tc>
        <w:tc>
          <w:tcPr>
            <w:tcW w:w="897"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7"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r>
      <w:tr w:rsidR="00C41521" w:rsidRPr="000B49C6" w:rsidTr="00C41521">
        <w:tc>
          <w:tcPr>
            <w:tcW w:w="233" w:type="dxa"/>
            <w:tcBorders>
              <w:bottom w:val="dotted" w:sz="4" w:space="0" w:color="auto"/>
            </w:tcBorders>
          </w:tcPr>
          <w:p w:rsidR="00690ACE" w:rsidRPr="000B49C6" w:rsidRDefault="003F066A" w:rsidP="00690ACE">
            <w:pPr>
              <w:pStyle w:val="Tabletext"/>
              <w:rPr>
                <w:sz w:val="18"/>
                <w:szCs w:val="18"/>
              </w:rPr>
            </w:pPr>
            <w:r w:rsidRPr="000B49C6">
              <w:rPr>
                <w:sz w:val="18"/>
                <w:szCs w:val="18"/>
              </w:rPr>
              <w:t>F</w:t>
            </w:r>
          </w:p>
        </w:tc>
        <w:tc>
          <w:tcPr>
            <w:tcW w:w="3448" w:type="dxa"/>
            <w:tcBorders>
              <w:bottom w:val="dotted" w:sz="4" w:space="0" w:color="auto"/>
            </w:tcBorders>
            <w:shd w:val="clear" w:color="auto" w:fill="auto"/>
            <w:vAlign w:val="center"/>
          </w:tcPr>
          <w:p w:rsidR="00690ACE" w:rsidRPr="000B49C6" w:rsidRDefault="00690ACE" w:rsidP="00690ACE">
            <w:pPr>
              <w:pStyle w:val="Tabletext"/>
              <w:rPr>
                <w:sz w:val="18"/>
                <w:szCs w:val="18"/>
              </w:rPr>
            </w:pPr>
            <w:r w:rsidRPr="000B49C6">
              <w:rPr>
                <w:sz w:val="18"/>
                <w:szCs w:val="18"/>
              </w:rPr>
              <w:t>Recurrence from previous year</w:t>
            </w:r>
            <w:r w:rsidR="003F066A" w:rsidRPr="000B49C6">
              <w:rPr>
                <w:sz w:val="18"/>
                <w:szCs w:val="18"/>
              </w:rPr>
              <w:t xml:space="preserve"> in world with </w:t>
            </w:r>
            <w:proofErr w:type="spellStart"/>
            <w:r w:rsidR="002A6604" w:rsidRPr="000B49C6">
              <w:rPr>
                <w:sz w:val="18"/>
                <w:szCs w:val="18"/>
              </w:rPr>
              <w:t>bezlotoxumab</w:t>
            </w:r>
            <w:proofErr w:type="spellEnd"/>
          </w:p>
        </w:tc>
        <w:tc>
          <w:tcPr>
            <w:tcW w:w="897" w:type="dxa"/>
            <w:tcBorders>
              <w:bottom w:val="dotted" w:sz="4" w:space="0" w:color="auto"/>
            </w:tcBorders>
            <w:shd w:val="clear" w:color="auto" w:fill="auto"/>
            <w:vAlign w:val="center"/>
          </w:tcPr>
          <w:p w:rsidR="00690ACE" w:rsidRPr="000B49C6" w:rsidRDefault="00690ACE" w:rsidP="00C41521">
            <w:pPr>
              <w:pStyle w:val="Tabletext"/>
              <w:jc w:val="center"/>
              <w:rPr>
                <w:rFonts w:cs="Arial"/>
                <w:color w:val="000000"/>
                <w:sz w:val="18"/>
                <w:szCs w:val="18"/>
              </w:rPr>
            </w:pPr>
            <w:r w:rsidRPr="000B49C6">
              <w:rPr>
                <w:rFonts w:cs="Arial"/>
                <w:color w:val="000000"/>
                <w:sz w:val="18"/>
                <w:szCs w:val="18"/>
              </w:rPr>
              <w:t>0</w:t>
            </w:r>
          </w:p>
        </w:tc>
        <w:tc>
          <w:tcPr>
            <w:tcW w:w="898" w:type="dxa"/>
            <w:tcBorders>
              <w:bottom w:val="dotted" w:sz="4" w:space="0" w:color="auto"/>
            </w:tcBorders>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tcBorders>
              <w:bottom w:val="dotted" w:sz="4" w:space="0" w:color="auto"/>
            </w:tcBorders>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7" w:type="dxa"/>
            <w:tcBorders>
              <w:bottom w:val="dotted" w:sz="4" w:space="0" w:color="auto"/>
            </w:tcBorders>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tcBorders>
              <w:bottom w:val="dotted" w:sz="4" w:space="0" w:color="auto"/>
            </w:tcBorders>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tcBorders>
              <w:bottom w:val="dotted" w:sz="4" w:space="0" w:color="auto"/>
            </w:tcBorders>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r>
      <w:tr w:rsidR="00C41521" w:rsidRPr="000B49C6" w:rsidTr="00C41521">
        <w:tc>
          <w:tcPr>
            <w:tcW w:w="233" w:type="dxa"/>
            <w:tcBorders>
              <w:top w:val="dotted" w:sz="4" w:space="0" w:color="auto"/>
              <w:bottom w:val="dotted" w:sz="4" w:space="0" w:color="auto"/>
            </w:tcBorders>
          </w:tcPr>
          <w:p w:rsidR="00690ACE" w:rsidRPr="000B49C6" w:rsidDel="006A52A2" w:rsidRDefault="00690ACE" w:rsidP="003F066A">
            <w:pPr>
              <w:pStyle w:val="Tabletext"/>
              <w:ind w:left="109"/>
              <w:rPr>
                <w:sz w:val="18"/>
                <w:szCs w:val="18"/>
              </w:rPr>
            </w:pPr>
          </w:p>
        </w:tc>
        <w:tc>
          <w:tcPr>
            <w:tcW w:w="3448" w:type="dxa"/>
            <w:tcBorders>
              <w:top w:val="dotted" w:sz="4" w:space="0" w:color="auto"/>
              <w:bottom w:val="dotted" w:sz="4" w:space="0" w:color="auto"/>
            </w:tcBorders>
            <w:shd w:val="clear" w:color="auto" w:fill="auto"/>
            <w:vAlign w:val="center"/>
          </w:tcPr>
          <w:p w:rsidR="00690ACE" w:rsidRPr="000B49C6" w:rsidRDefault="00690ACE" w:rsidP="002A0CAE">
            <w:pPr>
              <w:pStyle w:val="Tabletext"/>
              <w:numPr>
                <w:ilvl w:val="0"/>
                <w:numId w:val="27"/>
              </w:numPr>
              <w:ind w:left="109" w:hanging="109"/>
              <w:rPr>
                <w:sz w:val="18"/>
                <w:szCs w:val="18"/>
              </w:rPr>
            </w:pPr>
            <w:r w:rsidRPr="000B49C6">
              <w:rPr>
                <w:sz w:val="18"/>
                <w:szCs w:val="18"/>
              </w:rPr>
              <w:t xml:space="preserve">treated with </w:t>
            </w:r>
            <w:proofErr w:type="spellStart"/>
            <w:r w:rsidRPr="000B49C6">
              <w:rPr>
                <w:sz w:val="18"/>
                <w:szCs w:val="18"/>
              </w:rPr>
              <w:t>bezlotoxumab</w:t>
            </w:r>
            <w:proofErr w:type="spellEnd"/>
            <w:r w:rsidRPr="000B49C6">
              <w:rPr>
                <w:sz w:val="18"/>
                <w:szCs w:val="18"/>
              </w:rPr>
              <w:t xml:space="preserve"> (recurrence rate 16.9% x assumed uptake rate for current year)</w:t>
            </w:r>
          </w:p>
        </w:tc>
        <w:tc>
          <w:tcPr>
            <w:tcW w:w="897" w:type="dxa"/>
            <w:tcBorders>
              <w:top w:val="dotted" w:sz="4" w:space="0" w:color="auto"/>
              <w:bottom w:val="dotted" w:sz="4" w:space="0" w:color="auto"/>
            </w:tcBorders>
            <w:shd w:val="clear" w:color="auto" w:fill="auto"/>
            <w:vAlign w:val="center"/>
          </w:tcPr>
          <w:p w:rsidR="00690ACE" w:rsidRPr="000B49C6" w:rsidRDefault="00690ACE" w:rsidP="00C41521">
            <w:pPr>
              <w:pStyle w:val="Tabletext"/>
              <w:jc w:val="center"/>
              <w:rPr>
                <w:rFonts w:cs="Arial"/>
                <w:color w:val="000000"/>
                <w:sz w:val="18"/>
                <w:szCs w:val="18"/>
              </w:rPr>
            </w:pPr>
            <w:r w:rsidRPr="000B49C6">
              <w:rPr>
                <w:rFonts w:cs="Arial"/>
                <w:color w:val="000000"/>
                <w:sz w:val="18"/>
                <w:szCs w:val="18"/>
              </w:rPr>
              <w:t>0</w:t>
            </w:r>
          </w:p>
        </w:tc>
        <w:tc>
          <w:tcPr>
            <w:tcW w:w="898" w:type="dxa"/>
            <w:tcBorders>
              <w:top w:val="dotted" w:sz="4" w:space="0" w:color="auto"/>
              <w:bottom w:val="dotted" w:sz="4" w:space="0" w:color="auto"/>
            </w:tcBorders>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tcBorders>
              <w:top w:val="dotted" w:sz="4" w:space="0" w:color="auto"/>
              <w:bottom w:val="dotted" w:sz="4" w:space="0" w:color="auto"/>
            </w:tcBorders>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7" w:type="dxa"/>
            <w:tcBorders>
              <w:top w:val="dotted" w:sz="4" w:space="0" w:color="auto"/>
              <w:bottom w:val="dotted" w:sz="4" w:space="0" w:color="auto"/>
            </w:tcBorders>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tcBorders>
              <w:top w:val="dotted" w:sz="4" w:space="0" w:color="auto"/>
              <w:bottom w:val="dotted" w:sz="4" w:space="0" w:color="auto"/>
            </w:tcBorders>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tcBorders>
              <w:top w:val="dotted" w:sz="4" w:space="0" w:color="auto"/>
              <w:bottom w:val="dotted" w:sz="4" w:space="0" w:color="auto"/>
            </w:tcBorders>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r>
      <w:tr w:rsidR="00C41521" w:rsidRPr="000B49C6" w:rsidTr="00C41521">
        <w:tc>
          <w:tcPr>
            <w:tcW w:w="233" w:type="dxa"/>
            <w:tcBorders>
              <w:top w:val="dotted" w:sz="4" w:space="0" w:color="auto"/>
            </w:tcBorders>
          </w:tcPr>
          <w:p w:rsidR="00690ACE" w:rsidRPr="000B49C6" w:rsidRDefault="00690ACE" w:rsidP="003F066A">
            <w:pPr>
              <w:pStyle w:val="Tabletext"/>
              <w:ind w:left="109"/>
              <w:rPr>
                <w:sz w:val="18"/>
                <w:szCs w:val="18"/>
              </w:rPr>
            </w:pPr>
          </w:p>
        </w:tc>
        <w:tc>
          <w:tcPr>
            <w:tcW w:w="3448" w:type="dxa"/>
            <w:tcBorders>
              <w:top w:val="dotted" w:sz="4" w:space="0" w:color="auto"/>
            </w:tcBorders>
            <w:shd w:val="clear" w:color="auto" w:fill="auto"/>
            <w:vAlign w:val="center"/>
          </w:tcPr>
          <w:p w:rsidR="00690ACE" w:rsidRPr="000B49C6" w:rsidRDefault="00690ACE" w:rsidP="002A0CAE">
            <w:pPr>
              <w:pStyle w:val="Tabletext"/>
              <w:numPr>
                <w:ilvl w:val="0"/>
                <w:numId w:val="27"/>
              </w:numPr>
              <w:ind w:left="109" w:hanging="109"/>
              <w:rPr>
                <w:sz w:val="18"/>
                <w:szCs w:val="18"/>
              </w:rPr>
            </w:pPr>
            <w:proofErr w:type="gramStart"/>
            <w:r w:rsidRPr="000B49C6">
              <w:rPr>
                <w:sz w:val="18"/>
                <w:szCs w:val="18"/>
              </w:rPr>
              <w:t>untreated</w:t>
            </w:r>
            <w:proofErr w:type="gramEnd"/>
            <w:r w:rsidRPr="000B49C6">
              <w:rPr>
                <w:sz w:val="18"/>
                <w:szCs w:val="18"/>
              </w:rPr>
              <w:t xml:space="preserve"> with </w:t>
            </w:r>
            <w:proofErr w:type="spellStart"/>
            <w:r w:rsidRPr="000B49C6">
              <w:rPr>
                <w:sz w:val="18"/>
                <w:szCs w:val="18"/>
              </w:rPr>
              <w:t>bezlotoxumab</w:t>
            </w:r>
            <w:proofErr w:type="spellEnd"/>
            <w:r w:rsidRPr="000B49C6">
              <w:rPr>
                <w:sz w:val="18"/>
                <w:szCs w:val="18"/>
              </w:rPr>
              <w:t xml:space="preserve"> (recurrence rate 29.8%)</w:t>
            </w:r>
          </w:p>
        </w:tc>
        <w:tc>
          <w:tcPr>
            <w:tcW w:w="897" w:type="dxa"/>
            <w:tcBorders>
              <w:top w:val="dotted" w:sz="4" w:space="0" w:color="auto"/>
            </w:tcBorders>
            <w:shd w:val="clear" w:color="auto" w:fill="auto"/>
            <w:vAlign w:val="center"/>
          </w:tcPr>
          <w:p w:rsidR="00690ACE" w:rsidRPr="000B49C6" w:rsidRDefault="00690ACE" w:rsidP="00C41521">
            <w:pPr>
              <w:pStyle w:val="Tabletext"/>
              <w:jc w:val="center"/>
              <w:rPr>
                <w:rFonts w:cs="Arial"/>
                <w:color w:val="000000"/>
                <w:sz w:val="18"/>
                <w:szCs w:val="18"/>
              </w:rPr>
            </w:pPr>
            <w:r w:rsidRPr="000B49C6">
              <w:rPr>
                <w:rFonts w:cs="Arial"/>
                <w:color w:val="000000"/>
                <w:sz w:val="18"/>
                <w:szCs w:val="18"/>
              </w:rPr>
              <w:t>0</w:t>
            </w:r>
          </w:p>
        </w:tc>
        <w:tc>
          <w:tcPr>
            <w:tcW w:w="898" w:type="dxa"/>
            <w:tcBorders>
              <w:top w:val="dotted" w:sz="4" w:space="0" w:color="auto"/>
            </w:tcBorders>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tcBorders>
              <w:top w:val="dotted" w:sz="4" w:space="0" w:color="auto"/>
            </w:tcBorders>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7" w:type="dxa"/>
            <w:tcBorders>
              <w:top w:val="dotted" w:sz="4" w:space="0" w:color="auto"/>
            </w:tcBorders>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tcBorders>
              <w:top w:val="dotted" w:sz="4" w:space="0" w:color="auto"/>
            </w:tcBorders>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tcBorders>
              <w:top w:val="dotted" w:sz="4" w:space="0" w:color="auto"/>
            </w:tcBorders>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r>
      <w:tr w:rsidR="00C41521" w:rsidRPr="000B49C6" w:rsidTr="00C41521">
        <w:tc>
          <w:tcPr>
            <w:tcW w:w="233" w:type="dxa"/>
          </w:tcPr>
          <w:p w:rsidR="003F066A" w:rsidRPr="000B49C6" w:rsidRDefault="003F066A" w:rsidP="003F066A">
            <w:pPr>
              <w:pStyle w:val="Tabletext"/>
              <w:jc w:val="center"/>
              <w:rPr>
                <w:rFonts w:cs="Arial"/>
                <w:color w:val="000000"/>
                <w:sz w:val="18"/>
                <w:szCs w:val="18"/>
              </w:rPr>
            </w:pPr>
            <w:r w:rsidRPr="000B49C6">
              <w:rPr>
                <w:rFonts w:cs="Arial"/>
                <w:color w:val="000000"/>
                <w:sz w:val="18"/>
                <w:szCs w:val="18"/>
              </w:rPr>
              <w:t>G</w:t>
            </w:r>
          </w:p>
        </w:tc>
        <w:tc>
          <w:tcPr>
            <w:tcW w:w="3448" w:type="dxa"/>
            <w:shd w:val="clear" w:color="auto" w:fill="auto"/>
            <w:vAlign w:val="center"/>
          </w:tcPr>
          <w:p w:rsidR="003F066A" w:rsidRPr="000B49C6" w:rsidRDefault="003F066A" w:rsidP="003F066A">
            <w:pPr>
              <w:pStyle w:val="Tabletext"/>
              <w:rPr>
                <w:rFonts w:cs="Arial"/>
                <w:color w:val="000000"/>
                <w:sz w:val="18"/>
                <w:szCs w:val="18"/>
              </w:rPr>
            </w:pPr>
            <w:r w:rsidRPr="000B49C6">
              <w:rPr>
                <w:rFonts w:cs="Arial"/>
                <w:color w:val="000000"/>
                <w:sz w:val="18"/>
                <w:szCs w:val="18"/>
              </w:rPr>
              <w:t xml:space="preserve">Total recurrence avoided due to </w:t>
            </w:r>
            <w:proofErr w:type="spellStart"/>
            <w:r w:rsidRPr="000B49C6">
              <w:rPr>
                <w:rFonts w:cs="Arial"/>
                <w:color w:val="000000"/>
                <w:sz w:val="18"/>
                <w:szCs w:val="18"/>
              </w:rPr>
              <w:t>bezlotoxumab</w:t>
            </w:r>
            <w:proofErr w:type="spellEnd"/>
            <w:r w:rsidRPr="000B49C6">
              <w:rPr>
                <w:rFonts w:cs="Arial"/>
                <w:color w:val="000000"/>
                <w:sz w:val="18"/>
                <w:szCs w:val="18"/>
              </w:rPr>
              <w:t xml:space="preserve"> listing (E-F)</w:t>
            </w:r>
          </w:p>
        </w:tc>
        <w:tc>
          <w:tcPr>
            <w:tcW w:w="897" w:type="dxa"/>
            <w:shd w:val="clear" w:color="auto" w:fill="auto"/>
            <w:vAlign w:val="center"/>
          </w:tcPr>
          <w:p w:rsidR="003F066A" w:rsidRPr="000B49C6" w:rsidRDefault="003F066A" w:rsidP="00C41521">
            <w:pPr>
              <w:pStyle w:val="Tabletext"/>
              <w:jc w:val="center"/>
              <w:rPr>
                <w:rFonts w:cs="Arial"/>
                <w:color w:val="000000"/>
                <w:sz w:val="18"/>
                <w:szCs w:val="18"/>
              </w:rPr>
            </w:pPr>
            <w:r w:rsidRPr="000B49C6">
              <w:rPr>
                <w:rFonts w:cs="Arial"/>
                <w:color w:val="000000"/>
                <w:sz w:val="18"/>
                <w:szCs w:val="18"/>
              </w:rPr>
              <w:t>0</w:t>
            </w:r>
            <w:r w:rsidR="002A6604" w:rsidRPr="000B49C6">
              <w:rPr>
                <w:rFonts w:cs="Arial"/>
                <w:color w:val="000000"/>
                <w:sz w:val="18"/>
                <w:szCs w:val="18"/>
              </w:rPr>
              <w:t>*</w:t>
            </w:r>
          </w:p>
        </w:tc>
        <w:tc>
          <w:tcPr>
            <w:tcW w:w="898" w:type="dxa"/>
            <w:shd w:val="clear" w:color="auto" w:fill="auto"/>
            <w:vAlign w:val="center"/>
          </w:tcPr>
          <w:p w:rsidR="003F066A"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3F066A"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7" w:type="dxa"/>
            <w:shd w:val="clear" w:color="auto" w:fill="auto"/>
            <w:vAlign w:val="center"/>
          </w:tcPr>
          <w:p w:rsidR="003F066A"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3F066A"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3F066A"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r>
      <w:tr w:rsidR="00C41521" w:rsidRPr="000B49C6" w:rsidTr="00C41521">
        <w:tc>
          <w:tcPr>
            <w:tcW w:w="233" w:type="dxa"/>
          </w:tcPr>
          <w:p w:rsidR="003F066A" w:rsidRPr="000B49C6" w:rsidRDefault="003F066A" w:rsidP="007F351C">
            <w:pPr>
              <w:pStyle w:val="Tabletext"/>
              <w:rPr>
                <w:sz w:val="18"/>
                <w:szCs w:val="18"/>
              </w:rPr>
            </w:pPr>
            <w:r w:rsidRPr="000B49C6">
              <w:rPr>
                <w:sz w:val="18"/>
                <w:szCs w:val="18"/>
              </w:rPr>
              <w:t>H</w:t>
            </w:r>
          </w:p>
        </w:tc>
        <w:tc>
          <w:tcPr>
            <w:tcW w:w="3448" w:type="dxa"/>
            <w:shd w:val="clear" w:color="auto" w:fill="auto"/>
            <w:vAlign w:val="center"/>
          </w:tcPr>
          <w:p w:rsidR="003F066A" w:rsidRPr="000B49C6" w:rsidRDefault="003F066A" w:rsidP="003F066A">
            <w:pPr>
              <w:pStyle w:val="Tabletext"/>
              <w:rPr>
                <w:sz w:val="18"/>
                <w:szCs w:val="18"/>
              </w:rPr>
            </w:pPr>
            <w:r w:rsidRPr="000B49C6">
              <w:rPr>
                <w:sz w:val="18"/>
                <w:szCs w:val="18"/>
              </w:rPr>
              <w:t xml:space="preserve">Patients eligible to receive </w:t>
            </w:r>
            <w:proofErr w:type="spellStart"/>
            <w:r w:rsidRPr="000B49C6">
              <w:rPr>
                <w:sz w:val="18"/>
                <w:szCs w:val="18"/>
              </w:rPr>
              <w:t>bezlotoxumab</w:t>
            </w:r>
            <w:proofErr w:type="spellEnd"/>
            <w:r w:rsidRPr="000B49C6">
              <w:rPr>
                <w:sz w:val="18"/>
                <w:szCs w:val="18"/>
              </w:rPr>
              <w:t xml:space="preserve"> (D-G)</w:t>
            </w:r>
          </w:p>
        </w:tc>
        <w:tc>
          <w:tcPr>
            <w:tcW w:w="897" w:type="dxa"/>
            <w:shd w:val="clear" w:color="auto" w:fill="auto"/>
            <w:vAlign w:val="center"/>
          </w:tcPr>
          <w:p w:rsidR="003F066A"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3F066A"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3F066A"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7" w:type="dxa"/>
            <w:shd w:val="clear" w:color="auto" w:fill="auto"/>
            <w:vAlign w:val="center"/>
          </w:tcPr>
          <w:p w:rsidR="003F066A"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3F066A"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3F066A"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r>
      <w:tr w:rsidR="00C41521" w:rsidRPr="000B49C6" w:rsidTr="00C41521">
        <w:tc>
          <w:tcPr>
            <w:tcW w:w="233" w:type="dxa"/>
          </w:tcPr>
          <w:p w:rsidR="002A6604" w:rsidRPr="000B49C6" w:rsidRDefault="002A6604" w:rsidP="002A6604">
            <w:pPr>
              <w:pStyle w:val="Tabletext"/>
              <w:rPr>
                <w:sz w:val="18"/>
                <w:szCs w:val="18"/>
              </w:rPr>
            </w:pPr>
            <w:r w:rsidRPr="000B49C6">
              <w:rPr>
                <w:sz w:val="18"/>
                <w:szCs w:val="18"/>
              </w:rPr>
              <w:t>I</w:t>
            </w:r>
          </w:p>
        </w:tc>
        <w:tc>
          <w:tcPr>
            <w:tcW w:w="3448" w:type="dxa"/>
            <w:shd w:val="clear" w:color="auto" w:fill="auto"/>
            <w:vAlign w:val="center"/>
          </w:tcPr>
          <w:p w:rsidR="002A6604" w:rsidRPr="000B49C6" w:rsidRDefault="002A6604" w:rsidP="002A6604">
            <w:pPr>
              <w:pStyle w:val="Tabletext"/>
              <w:rPr>
                <w:sz w:val="18"/>
                <w:szCs w:val="18"/>
              </w:rPr>
            </w:pPr>
            <w:r w:rsidRPr="000B49C6">
              <w:rPr>
                <w:sz w:val="18"/>
                <w:szCs w:val="18"/>
              </w:rPr>
              <w:t xml:space="preserve">Assumed </w:t>
            </w:r>
            <w:proofErr w:type="spellStart"/>
            <w:r w:rsidRPr="000B49C6">
              <w:rPr>
                <w:sz w:val="18"/>
                <w:szCs w:val="18"/>
              </w:rPr>
              <w:t>bezlotoxumab</w:t>
            </w:r>
            <w:proofErr w:type="spellEnd"/>
            <w:r w:rsidRPr="000B49C6">
              <w:rPr>
                <w:sz w:val="18"/>
                <w:szCs w:val="18"/>
              </w:rPr>
              <w:t xml:space="preserve"> uptake</w:t>
            </w:r>
          </w:p>
        </w:tc>
        <w:tc>
          <w:tcPr>
            <w:tcW w:w="897" w:type="dxa"/>
            <w:shd w:val="clear" w:color="auto" w:fill="auto"/>
            <w:vAlign w:val="center"/>
          </w:tcPr>
          <w:p w:rsidR="002A6604" w:rsidRPr="000B49C6" w:rsidRDefault="002A6604" w:rsidP="00C41521">
            <w:pPr>
              <w:pStyle w:val="Tabletext"/>
              <w:jc w:val="center"/>
              <w:rPr>
                <w:rFonts w:cs="Arial"/>
                <w:color w:val="000000"/>
                <w:sz w:val="18"/>
                <w:szCs w:val="18"/>
              </w:rPr>
            </w:pPr>
            <w:r w:rsidRPr="000B49C6">
              <w:rPr>
                <w:sz w:val="18"/>
                <w:szCs w:val="18"/>
              </w:rPr>
              <w:t>40%</w:t>
            </w:r>
          </w:p>
        </w:tc>
        <w:tc>
          <w:tcPr>
            <w:tcW w:w="898" w:type="dxa"/>
            <w:shd w:val="clear" w:color="auto" w:fill="auto"/>
            <w:vAlign w:val="center"/>
          </w:tcPr>
          <w:p w:rsidR="002A6604" w:rsidRPr="000B49C6" w:rsidRDefault="002A6604" w:rsidP="00C41521">
            <w:pPr>
              <w:pStyle w:val="Tabletext"/>
              <w:jc w:val="center"/>
              <w:rPr>
                <w:rFonts w:cs="Arial"/>
                <w:color w:val="000000"/>
                <w:sz w:val="18"/>
                <w:szCs w:val="18"/>
              </w:rPr>
            </w:pPr>
            <w:r w:rsidRPr="000B49C6">
              <w:rPr>
                <w:sz w:val="18"/>
                <w:szCs w:val="18"/>
              </w:rPr>
              <w:t>50%</w:t>
            </w:r>
          </w:p>
        </w:tc>
        <w:tc>
          <w:tcPr>
            <w:tcW w:w="898" w:type="dxa"/>
            <w:shd w:val="clear" w:color="auto" w:fill="auto"/>
            <w:vAlign w:val="center"/>
          </w:tcPr>
          <w:p w:rsidR="002A6604" w:rsidRPr="000B49C6" w:rsidRDefault="002A6604" w:rsidP="00C41521">
            <w:pPr>
              <w:pStyle w:val="Tabletext"/>
              <w:jc w:val="center"/>
              <w:rPr>
                <w:rFonts w:cs="Arial"/>
                <w:color w:val="000000"/>
                <w:sz w:val="18"/>
                <w:szCs w:val="18"/>
              </w:rPr>
            </w:pPr>
            <w:r w:rsidRPr="000B49C6">
              <w:rPr>
                <w:sz w:val="18"/>
                <w:szCs w:val="18"/>
              </w:rPr>
              <w:t>60%</w:t>
            </w:r>
          </w:p>
        </w:tc>
        <w:tc>
          <w:tcPr>
            <w:tcW w:w="897" w:type="dxa"/>
            <w:shd w:val="clear" w:color="auto" w:fill="auto"/>
            <w:vAlign w:val="center"/>
          </w:tcPr>
          <w:p w:rsidR="002A6604" w:rsidRPr="000B49C6" w:rsidRDefault="002A6604" w:rsidP="00C41521">
            <w:pPr>
              <w:pStyle w:val="Tabletext"/>
              <w:jc w:val="center"/>
              <w:rPr>
                <w:rFonts w:cs="Arial"/>
                <w:color w:val="000000"/>
                <w:sz w:val="18"/>
                <w:szCs w:val="18"/>
              </w:rPr>
            </w:pPr>
            <w:r w:rsidRPr="000B49C6">
              <w:rPr>
                <w:sz w:val="18"/>
                <w:szCs w:val="18"/>
              </w:rPr>
              <w:t>70%</w:t>
            </w:r>
          </w:p>
        </w:tc>
        <w:tc>
          <w:tcPr>
            <w:tcW w:w="898" w:type="dxa"/>
            <w:shd w:val="clear" w:color="auto" w:fill="auto"/>
            <w:vAlign w:val="center"/>
          </w:tcPr>
          <w:p w:rsidR="002A6604" w:rsidRPr="000B49C6" w:rsidRDefault="002A6604" w:rsidP="00C41521">
            <w:pPr>
              <w:pStyle w:val="Tabletext"/>
              <w:jc w:val="center"/>
              <w:rPr>
                <w:rFonts w:cs="Arial"/>
                <w:color w:val="000000"/>
                <w:sz w:val="18"/>
                <w:szCs w:val="18"/>
              </w:rPr>
            </w:pPr>
            <w:r w:rsidRPr="000B49C6">
              <w:rPr>
                <w:sz w:val="18"/>
                <w:szCs w:val="18"/>
              </w:rPr>
              <w:t>80%</w:t>
            </w:r>
          </w:p>
        </w:tc>
        <w:tc>
          <w:tcPr>
            <w:tcW w:w="898" w:type="dxa"/>
            <w:shd w:val="clear" w:color="auto" w:fill="auto"/>
            <w:vAlign w:val="center"/>
          </w:tcPr>
          <w:p w:rsidR="002A6604" w:rsidRPr="000B49C6" w:rsidRDefault="002A6604" w:rsidP="00C41521">
            <w:pPr>
              <w:pStyle w:val="Tabletext"/>
              <w:jc w:val="center"/>
              <w:rPr>
                <w:rFonts w:cs="Arial"/>
                <w:color w:val="000000"/>
                <w:sz w:val="18"/>
                <w:szCs w:val="18"/>
              </w:rPr>
            </w:pPr>
            <w:r w:rsidRPr="000B49C6">
              <w:rPr>
                <w:sz w:val="18"/>
                <w:szCs w:val="18"/>
              </w:rPr>
              <w:t>80%</w:t>
            </w:r>
          </w:p>
        </w:tc>
      </w:tr>
      <w:tr w:rsidR="00C41521" w:rsidRPr="000B49C6" w:rsidTr="00C41521">
        <w:tc>
          <w:tcPr>
            <w:tcW w:w="233" w:type="dxa"/>
          </w:tcPr>
          <w:p w:rsidR="00690ACE" w:rsidRPr="000B49C6" w:rsidRDefault="002A6604" w:rsidP="0027401D">
            <w:pPr>
              <w:pStyle w:val="Tabletext"/>
              <w:rPr>
                <w:sz w:val="18"/>
                <w:szCs w:val="18"/>
              </w:rPr>
            </w:pPr>
            <w:r w:rsidRPr="000B49C6">
              <w:rPr>
                <w:sz w:val="18"/>
                <w:szCs w:val="18"/>
              </w:rPr>
              <w:t>J</w:t>
            </w:r>
          </w:p>
        </w:tc>
        <w:tc>
          <w:tcPr>
            <w:tcW w:w="3448" w:type="dxa"/>
            <w:shd w:val="clear" w:color="auto" w:fill="auto"/>
            <w:vAlign w:val="center"/>
          </w:tcPr>
          <w:p w:rsidR="00690ACE" w:rsidRPr="000B49C6" w:rsidRDefault="00690ACE" w:rsidP="0027401D">
            <w:pPr>
              <w:pStyle w:val="Tabletext"/>
              <w:rPr>
                <w:sz w:val="18"/>
                <w:szCs w:val="18"/>
              </w:rPr>
            </w:pPr>
            <w:proofErr w:type="spellStart"/>
            <w:r w:rsidRPr="000B49C6">
              <w:rPr>
                <w:sz w:val="18"/>
                <w:szCs w:val="18"/>
              </w:rPr>
              <w:t>Bezlotoxumab</w:t>
            </w:r>
            <w:proofErr w:type="spellEnd"/>
            <w:r w:rsidRPr="000B49C6">
              <w:rPr>
                <w:sz w:val="18"/>
                <w:szCs w:val="18"/>
              </w:rPr>
              <w:t xml:space="preserve"> infusions</w:t>
            </w:r>
            <w:r w:rsidR="002A6604" w:rsidRPr="000B49C6">
              <w:rPr>
                <w:sz w:val="18"/>
                <w:szCs w:val="18"/>
                <w:vertAlign w:val="superscript"/>
              </w:rPr>
              <w:t xml:space="preserve"> </w:t>
            </w:r>
            <w:r w:rsidR="002A6604" w:rsidRPr="000B49C6">
              <w:rPr>
                <w:sz w:val="18"/>
                <w:szCs w:val="18"/>
              </w:rPr>
              <w:t>(H x I)</w:t>
            </w:r>
          </w:p>
        </w:tc>
        <w:tc>
          <w:tcPr>
            <w:tcW w:w="897"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7"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r>
      <w:tr w:rsidR="00C41521" w:rsidRPr="000B49C6" w:rsidTr="00C41521">
        <w:tc>
          <w:tcPr>
            <w:tcW w:w="233" w:type="dxa"/>
          </w:tcPr>
          <w:p w:rsidR="00690ACE" w:rsidRPr="000B49C6" w:rsidRDefault="00C41521" w:rsidP="0027401D">
            <w:pPr>
              <w:pStyle w:val="Tabletext"/>
              <w:rPr>
                <w:sz w:val="18"/>
                <w:szCs w:val="18"/>
              </w:rPr>
            </w:pPr>
            <w:r w:rsidRPr="000B49C6">
              <w:rPr>
                <w:sz w:val="18"/>
                <w:szCs w:val="18"/>
              </w:rPr>
              <w:t>K</w:t>
            </w:r>
          </w:p>
        </w:tc>
        <w:tc>
          <w:tcPr>
            <w:tcW w:w="3448" w:type="dxa"/>
            <w:shd w:val="clear" w:color="auto" w:fill="auto"/>
            <w:vAlign w:val="center"/>
          </w:tcPr>
          <w:p w:rsidR="00690ACE" w:rsidRPr="000B49C6" w:rsidRDefault="00690ACE" w:rsidP="0027401D">
            <w:pPr>
              <w:pStyle w:val="Tabletext"/>
              <w:rPr>
                <w:sz w:val="18"/>
                <w:szCs w:val="18"/>
              </w:rPr>
            </w:pPr>
            <w:proofErr w:type="spellStart"/>
            <w:r w:rsidRPr="000B49C6">
              <w:rPr>
                <w:sz w:val="18"/>
                <w:szCs w:val="18"/>
              </w:rPr>
              <w:t>Bezlotoxumab</w:t>
            </w:r>
            <w:proofErr w:type="spellEnd"/>
            <w:r w:rsidRPr="000B49C6">
              <w:rPr>
                <w:sz w:val="18"/>
                <w:szCs w:val="18"/>
              </w:rPr>
              <w:t xml:space="preserve"> vials used</w:t>
            </w:r>
            <w:r w:rsidR="002A6604" w:rsidRPr="000B49C6">
              <w:rPr>
                <w:sz w:val="18"/>
                <w:szCs w:val="18"/>
                <w:vertAlign w:val="superscript"/>
              </w:rPr>
              <w:t xml:space="preserve"> </w:t>
            </w:r>
            <w:r w:rsidR="002A6604" w:rsidRPr="000B49C6">
              <w:rPr>
                <w:sz w:val="18"/>
                <w:szCs w:val="18"/>
              </w:rPr>
              <w:t>(assume 7.3% will use 2 vials)</w:t>
            </w:r>
          </w:p>
        </w:tc>
        <w:tc>
          <w:tcPr>
            <w:tcW w:w="897"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7"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c>
          <w:tcPr>
            <w:tcW w:w="898" w:type="dxa"/>
            <w:shd w:val="clear" w:color="auto" w:fill="auto"/>
            <w:vAlign w:val="center"/>
          </w:tcPr>
          <w:p w:rsidR="00690ACE" w:rsidRPr="00410A2A" w:rsidRDefault="00410A2A" w:rsidP="00C41521">
            <w:pPr>
              <w:pStyle w:val="Tabletext"/>
              <w:jc w:val="center"/>
              <w:rPr>
                <w:rFonts w:cs="Arial"/>
                <w:color w:val="000000"/>
                <w:sz w:val="18"/>
                <w:szCs w:val="18"/>
                <w:highlight w:val="black"/>
              </w:rPr>
            </w:pPr>
            <w:r>
              <w:rPr>
                <w:rFonts w:cs="Arial"/>
                <w:noProof/>
                <w:color w:val="000000"/>
                <w:sz w:val="18"/>
                <w:szCs w:val="18"/>
                <w:highlight w:val="black"/>
              </w:rPr>
              <w:t>'''''''''''''</w:t>
            </w:r>
          </w:p>
        </w:tc>
      </w:tr>
      <w:tr w:rsidR="00C41521" w:rsidRPr="000B49C6" w:rsidTr="00C41521">
        <w:tc>
          <w:tcPr>
            <w:tcW w:w="233" w:type="dxa"/>
          </w:tcPr>
          <w:p w:rsidR="00690ACE" w:rsidRPr="000B49C6" w:rsidRDefault="00C41521" w:rsidP="0027401D">
            <w:pPr>
              <w:pStyle w:val="Tabletext"/>
              <w:rPr>
                <w:sz w:val="18"/>
                <w:szCs w:val="18"/>
              </w:rPr>
            </w:pPr>
            <w:r w:rsidRPr="000B49C6">
              <w:rPr>
                <w:sz w:val="18"/>
                <w:szCs w:val="18"/>
              </w:rPr>
              <w:t>L</w:t>
            </w:r>
          </w:p>
        </w:tc>
        <w:tc>
          <w:tcPr>
            <w:tcW w:w="3448" w:type="dxa"/>
            <w:shd w:val="clear" w:color="auto" w:fill="auto"/>
            <w:vAlign w:val="center"/>
          </w:tcPr>
          <w:p w:rsidR="00690ACE" w:rsidRPr="000B49C6" w:rsidRDefault="00690ACE" w:rsidP="002A6604">
            <w:pPr>
              <w:pStyle w:val="Tabletext"/>
              <w:rPr>
                <w:sz w:val="18"/>
                <w:szCs w:val="18"/>
                <w:vertAlign w:val="superscript"/>
              </w:rPr>
            </w:pPr>
            <w:r w:rsidRPr="000B49C6">
              <w:rPr>
                <w:sz w:val="18"/>
                <w:szCs w:val="18"/>
              </w:rPr>
              <w:t>PBS/RPBS cost</w:t>
            </w:r>
            <w:r w:rsidR="002A6604" w:rsidRPr="000B49C6">
              <w:rPr>
                <w:sz w:val="18"/>
                <w:szCs w:val="18"/>
              </w:rPr>
              <w:t xml:space="preserve"> </w:t>
            </w:r>
            <w:r w:rsidR="00C41521" w:rsidRPr="000B49C6">
              <w:rPr>
                <w:sz w:val="18"/>
                <w:szCs w:val="18"/>
                <w:vertAlign w:val="superscript"/>
              </w:rPr>
              <w:t>d</w:t>
            </w:r>
          </w:p>
        </w:tc>
        <w:tc>
          <w:tcPr>
            <w:tcW w:w="897" w:type="dxa"/>
            <w:shd w:val="clear" w:color="auto" w:fill="auto"/>
            <w:vAlign w:val="center"/>
          </w:tcPr>
          <w:p w:rsidR="00690ACE" w:rsidRPr="000B49C6" w:rsidRDefault="00690ACE" w:rsidP="00C41521">
            <w:pPr>
              <w:pStyle w:val="Tabletext"/>
              <w:jc w:val="center"/>
              <w:rPr>
                <w:rFonts w:cs="Arial"/>
                <w:sz w:val="18"/>
                <w:szCs w:val="18"/>
              </w:rPr>
            </w:pPr>
            <w:r w:rsidRPr="000B49C6">
              <w:rPr>
                <w:sz w:val="18"/>
                <w:szCs w:val="18"/>
              </w:rPr>
              <w:t>$</w:t>
            </w:r>
            <w:r w:rsidR="00410A2A">
              <w:rPr>
                <w:noProof/>
                <w:color w:val="000000"/>
                <w:sz w:val="18"/>
                <w:szCs w:val="18"/>
                <w:highlight w:val="black"/>
              </w:rPr>
              <w:t>'''''''''''''''''''''''</w:t>
            </w:r>
          </w:p>
        </w:tc>
        <w:tc>
          <w:tcPr>
            <w:tcW w:w="898" w:type="dxa"/>
            <w:shd w:val="clear" w:color="auto" w:fill="auto"/>
            <w:vAlign w:val="center"/>
          </w:tcPr>
          <w:p w:rsidR="00690ACE" w:rsidRPr="000B49C6" w:rsidRDefault="00690ACE" w:rsidP="00C41521">
            <w:pPr>
              <w:pStyle w:val="Tabletext"/>
              <w:jc w:val="center"/>
              <w:rPr>
                <w:rFonts w:cs="Arial"/>
                <w:sz w:val="18"/>
                <w:szCs w:val="18"/>
              </w:rPr>
            </w:pPr>
            <w:r w:rsidRPr="000B49C6">
              <w:rPr>
                <w:rFonts w:cs="Arial"/>
                <w:bCs/>
                <w:color w:val="000000"/>
                <w:sz w:val="18"/>
                <w:szCs w:val="18"/>
              </w:rPr>
              <w:t>$</w:t>
            </w:r>
            <w:r w:rsidR="00410A2A">
              <w:rPr>
                <w:rFonts w:cs="Arial"/>
                <w:bCs/>
                <w:noProof/>
                <w:color w:val="000000"/>
                <w:sz w:val="18"/>
                <w:szCs w:val="18"/>
                <w:highlight w:val="black"/>
              </w:rPr>
              <w:t>'''''''''''''''''''''''''</w:t>
            </w:r>
          </w:p>
        </w:tc>
        <w:tc>
          <w:tcPr>
            <w:tcW w:w="898" w:type="dxa"/>
            <w:shd w:val="clear" w:color="auto" w:fill="auto"/>
            <w:vAlign w:val="center"/>
          </w:tcPr>
          <w:p w:rsidR="00690ACE" w:rsidRPr="000B49C6" w:rsidRDefault="00690ACE" w:rsidP="00C41521">
            <w:pPr>
              <w:pStyle w:val="Tabletext"/>
              <w:jc w:val="center"/>
              <w:rPr>
                <w:rFonts w:cs="Arial"/>
                <w:sz w:val="18"/>
                <w:szCs w:val="18"/>
              </w:rPr>
            </w:pPr>
            <w:r w:rsidRPr="000B49C6">
              <w:rPr>
                <w:rFonts w:cs="Arial"/>
                <w:bCs/>
                <w:color w:val="000000"/>
                <w:sz w:val="18"/>
                <w:szCs w:val="18"/>
              </w:rPr>
              <w:t>$</w:t>
            </w:r>
            <w:r w:rsidR="00410A2A">
              <w:rPr>
                <w:rFonts w:cs="Arial"/>
                <w:bCs/>
                <w:noProof/>
                <w:color w:val="000000"/>
                <w:sz w:val="18"/>
                <w:szCs w:val="18"/>
                <w:highlight w:val="black"/>
              </w:rPr>
              <w:t>''''''''''''''''''''''''</w:t>
            </w:r>
          </w:p>
        </w:tc>
        <w:tc>
          <w:tcPr>
            <w:tcW w:w="897" w:type="dxa"/>
            <w:shd w:val="clear" w:color="auto" w:fill="auto"/>
            <w:vAlign w:val="center"/>
          </w:tcPr>
          <w:p w:rsidR="00690ACE" w:rsidRPr="000B49C6" w:rsidRDefault="00690ACE" w:rsidP="00C41521">
            <w:pPr>
              <w:pStyle w:val="Tabletext"/>
              <w:jc w:val="center"/>
              <w:rPr>
                <w:rFonts w:cs="Arial"/>
                <w:sz w:val="18"/>
                <w:szCs w:val="18"/>
              </w:rPr>
            </w:pPr>
            <w:r w:rsidRPr="000B49C6">
              <w:rPr>
                <w:rFonts w:cs="Arial"/>
                <w:bCs/>
                <w:color w:val="000000"/>
                <w:sz w:val="18"/>
                <w:szCs w:val="18"/>
              </w:rPr>
              <w:t>$</w:t>
            </w:r>
            <w:r w:rsidR="00410A2A">
              <w:rPr>
                <w:rFonts w:cs="Arial"/>
                <w:bCs/>
                <w:noProof/>
                <w:color w:val="000000"/>
                <w:sz w:val="18"/>
                <w:szCs w:val="18"/>
                <w:highlight w:val="black"/>
              </w:rPr>
              <w:t>''''''''''''''''''''''''''</w:t>
            </w:r>
          </w:p>
        </w:tc>
        <w:tc>
          <w:tcPr>
            <w:tcW w:w="898" w:type="dxa"/>
            <w:shd w:val="clear" w:color="auto" w:fill="auto"/>
            <w:vAlign w:val="center"/>
          </w:tcPr>
          <w:p w:rsidR="00690ACE" w:rsidRPr="000B49C6" w:rsidRDefault="00690ACE" w:rsidP="00C41521">
            <w:pPr>
              <w:pStyle w:val="Tabletext"/>
              <w:jc w:val="center"/>
              <w:rPr>
                <w:rFonts w:cs="Arial"/>
                <w:sz w:val="18"/>
                <w:szCs w:val="18"/>
              </w:rPr>
            </w:pPr>
            <w:r w:rsidRPr="000B49C6">
              <w:rPr>
                <w:rFonts w:cs="Arial"/>
                <w:bCs/>
                <w:color w:val="000000"/>
                <w:sz w:val="18"/>
                <w:szCs w:val="18"/>
              </w:rPr>
              <w:t>$</w:t>
            </w:r>
            <w:r w:rsidR="00410A2A">
              <w:rPr>
                <w:rFonts w:cs="Arial"/>
                <w:bCs/>
                <w:noProof/>
                <w:color w:val="000000"/>
                <w:sz w:val="18"/>
                <w:szCs w:val="18"/>
                <w:highlight w:val="black"/>
              </w:rPr>
              <w:t>''''''''''''''''''''''''''</w:t>
            </w:r>
          </w:p>
        </w:tc>
        <w:tc>
          <w:tcPr>
            <w:tcW w:w="898" w:type="dxa"/>
            <w:shd w:val="clear" w:color="auto" w:fill="auto"/>
            <w:vAlign w:val="center"/>
          </w:tcPr>
          <w:p w:rsidR="00690ACE" w:rsidRPr="000B49C6" w:rsidRDefault="00690ACE" w:rsidP="00C41521">
            <w:pPr>
              <w:pStyle w:val="Tabletext"/>
              <w:jc w:val="center"/>
              <w:rPr>
                <w:rFonts w:cs="Arial"/>
                <w:sz w:val="18"/>
                <w:szCs w:val="18"/>
              </w:rPr>
            </w:pPr>
            <w:r w:rsidRPr="000B49C6">
              <w:rPr>
                <w:rFonts w:cs="Arial"/>
                <w:bCs/>
                <w:color w:val="000000"/>
                <w:sz w:val="18"/>
                <w:szCs w:val="18"/>
              </w:rPr>
              <w:t>$</w:t>
            </w:r>
            <w:r w:rsidR="00410A2A">
              <w:rPr>
                <w:rFonts w:cs="Arial"/>
                <w:bCs/>
                <w:noProof/>
                <w:color w:val="000000"/>
                <w:sz w:val="18"/>
                <w:szCs w:val="18"/>
                <w:highlight w:val="black"/>
              </w:rPr>
              <w:t>'''''''''''''''''''''''''''''</w:t>
            </w:r>
          </w:p>
        </w:tc>
      </w:tr>
      <w:tr w:rsidR="00C41521" w:rsidRPr="000B49C6" w:rsidTr="00C41521">
        <w:tc>
          <w:tcPr>
            <w:tcW w:w="233" w:type="dxa"/>
          </w:tcPr>
          <w:p w:rsidR="00690ACE" w:rsidRPr="000B49C6" w:rsidRDefault="00C41521" w:rsidP="0027401D">
            <w:pPr>
              <w:pStyle w:val="Tabletext"/>
              <w:rPr>
                <w:sz w:val="18"/>
                <w:szCs w:val="18"/>
              </w:rPr>
            </w:pPr>
            <w:r w:rsidRPr="000B49C6">
              <w:rPr>
                <w:sz w:val="18"/>
                <w:szCs w:val="18"/>
              </w:rPr>
              <w:t>M</w:t>
            </w:r>
          </w:p>
        </w:tc>
        <w:tc>
          <w:tcPr>
            <w:tcW w:w="3448" w:type="dxa"/>
            <w:shd w:val="clear" w:color="auto" w:fill="auto"/>
            <w:vAlign w:val="center"/>
          </w:tcPr>
          <w:p w:rsidR="00690ACE" w:rsidRPr="000B49C6" w:rsidRDefault="00690ACE" w:rsidP="002A6604">
            <w:pPr>
              <w:pStyle w:val="Tabletext"/>
              <w:rPr>
                <w:sz w:val="18"/>
                <w:szCs w:val="18"/>
                <w:vertAlign w:val="superscript"/>
              </w:rPr>
            </w:pPr>
            <w:r w:rsidRPr="000B49C6">
              <w:rPr>
                <w:sz w:val="18"/>
                <w:szCs w:val="18"/>
              </w:rPr>
              <w:t xml:space="preserve">PBS/RPBS cost </w:t>
            </w:r>
            <w:r w:rsidR="002A6604" w:rsidRPr="000B49C6">
              <w:rPr>
                <w:sz w:val="18"/>
                <w:szCs w:val="18"/>
              </w:rPr>
              <w:t xml:space="preserve">(net of patient </w:t>
            </w:r>
            <w:proofErr w:type="spellStart"/>
            <w:r w:rsidR="002A6604" w:rsidRPr="000B49C6">
              <w:rPr>
                <w:sz w:val="18"/>
                <w:szCs w:val="18"/>
              </w:rPr>
              <w:t>copay</w:t>
            </w:r>
            <w:r w:rsidR="00747BF9" w:rsidRPr="000B49C6">
              <w:rPr>
                <w:sz w:val="18"/>
                <w:szCs w:val="18"/>
              </w:rPr>
              <w:t>ment</w:t>
            </w:r>
            <w:proofErr w:type="spellEnd"/>
            <w:r w:rsidR="002A6604" w:rsidRPr="000B49C6">
              <w:rPr>
                <w:sz w:val="18"/>
                <w:szCs w:val="18"/>
              </w:rPr>
              <w:t>)</w:t>
            </w:r>
            <w:r w:rsidR="00C41521" w:rsidRPr="000B49C6">
              <w:rPr>
                <w:sz w:val="18"/>
                <w:szCs w:val="18"/>
                <w:vertAlign w:val="superscript"/>
              </w:rPr>
              <w:t>e</w:t>
            </w:r>
          </w:p>
        </w:tc>
        <w:tc>
          <w:tcPr>
            <w:tcW w:w="897" w:type="dxa"/>
            <w:shd w:val="clear" w:color="auto" w:fill="auto"/>
            <w:vAlign w:val="center"/>
          </w:tcPr>
          <w:p w:rsidR="00690ACE" w:rsidRPr="000B49C6" w:rsidRDefault="00690ACE" w:rsidP="00C41521">
            <w:pPr>
              <w:pStyle w:val="Tabletext"/>
              <w:jc w:val="center"/>
              <w:rPr>
                <w:sz w:val="18"/>
                <w:szCs w:val="18"/>
              </w:rPr>
            </w:pPr>
            <w:r w:rsidRPr="000B49C6">
              <w:rPr>
                <w:sz w:val="18"/>
                <w:szCs w:val="18"/>
              </w:rPr>
              <w:t>$</w:t>
            </w:r>
            <w:r w:rsidR="00410A2A">
              <w:rPr>
                <w:noProof/>
                <w:color w:val="000000"/>
                <w:sz w:val="18"/>
                <w:szCs w:val="18"/>
                <w:highlight w:val="black"/>
              </w:rPr>
              <w:t>'''''''''''''''''''''''</w:t>
            </w:r>
          </w:p>
        </w:tc>
        <w:tc>
          <w:tcPr>
            <w:tcW w:w="898" w:type="dxa"/>
            <w:shd w:val="clear" w:color="auto" w:fill="auto"/>
            <w:vAlign w:val="center"/>
          </w:tcPr>
          <w:p w:rsidR="00690ACE" w:rsidRPr="000B49C6" w:rsidRDefault="00690ACE" w:rsidP="00C41521">
            <w:pPr>
              <w:pStyle w:val="Tabletext"/>
              <w:jc w:val="center"/>
              <w:rPr>
                <w:sz w:val="18"/>
                <w:szCs w:val="18"/>
              </w:rPr>
            </w:pPr>
            <w:r w:rsidRPr="000B49C6">
              <w:rPr>
                <w:sz w:val="18"/>
                <w:szCs w:val="18"/>
              </w:rPr>
              <w:t>$</w:t>
            </w:r>
            <w:r w:rsidR="00410A2A">
              <w:rPr>
                <w:noProof/>
                <w:color w:val="000000"/>
                <w:sz w:val="18"/>
                <w:szCs w:val="18"/>
                <w:highlight w:val="black"/>
              </w:rPr>
              <w:t>''''''''''''''''''''''''</w:t>
            </w:r>
          </w:p>
        </w:tc>
        <w:tc>
          <w:tcPr>
            <w:tcW w:w="898" w:type="dxa"/>
            <w:shd w:val="clear" w:color="auto" w:fill="auto"/>
            <w:vAlign w:val="center"/>
          </w:tcPr>
          <w:p w:rsidR="00690ACE" w:rsidRPr="000B49C6" w:rsidRDefault="00690ACE" w:rsidP="00C41521">
            <w:pPr>
              <w:pStyle w:val="Tabletext"/>
              <w:jc w:val="center"/>
              <w:rPr>
                <w:sz w:val="18"/>
                <w:szCs w:val="18"/>
              </w:rPr>
            </w:pPr>
            <w:r w:rsidRPr="000B49C6">
              <w:rPr>
                <w:sz w:val="18"/>
                <w:szCs w:val="18"/>
              </w:rPr>
              <w:t>$</w:t>
            </w:r>
            <w:r w:rsidR="00410A2A">
              <w:rPr>
                <w:noProof/>
                <w:color w:val="000000"/>
                <w:sz w:val="18"/>
                <w:szCs w:val="18"/>
                <w:highlight w:val="black"/>
              </w:rPr>
              <w:t>'''''''''''''''''''''''''</w:t>
            </w:r>
          </w:p>
        </w:tc>
        <w:tc>
          <w:tcPr>
            <w:tcW w:w="897" w:type="dxa"/>
            <w:shd w:val="clear" w:color="auto" w:fill="auto"/>
            <w:vAlign w:val="center"/>
          </w:tcPr>
          <w:p w:rsidR="00690ACE" w:rsidRPr="000B49C6" w:rsidRDefault="00690ACE" w:rsidP="00C41521">
            <w:pPr>
              <w:pStyle w:val="Tabletext"/>
              <w:jc w:val="center"/>
              <w:rPr>
                <w:sz w:val="18"/>
                <w:szCs w:val="18"/>
              </w:rPr>
            </w:pPr>
            <w:r w:rsidRPr="000B49C6">
              <w:rPr>
                <w:sz w:val="18"/>
                <w:szCs w:val="18"/>
              </w:rPr>
              <w:t>$</w:t>
            </w:r>
            <w:r w:rsidR="00410A2A">
              <w:rPr>
                <w:noProof/>
                <w:color w:val="000000"/>
                <w:sz w:val="18"/>
                <w:szCs w:val="18"/>
                <w:highlight w:val="black"/>
              </w:rPr>
              <w:t>''''''''''''''''''''''''''''</w:t>
            </w:r>
          </w:p>
        </w:tc>
        <w:tc>
          <w:tcPr>
            <w:tcW w:w="898" w:type="dxa"/>
            <w:shd w:val="clear" w:color="auto" w:fill="auto"/>
            <w:vAlign w:val="center"/>
          </w:tcPr>
          <w:p w:rsidR="00690ACE" w:rsidRPr="000B49C6" w:rsidRDefault="00690ACE" w:rsidP="00C41521">
            <w:pPr>
              <w:pStyle w:val="Tabletext"/>
              <w:jc w:val="center"/>
              <w:rPr>
                <w:sz w:val="18"/>
                <w:szCs w:val="18"/>
              </w:rPr>
            </w:pPr>
            <w:r w:rsidRPr="000B49C6">
              <w:rPr>
                <w:sz w:val="18"/>
                <w:szCs w:val="18"/>
              </w:rPr>
              <w:t>$</w:t>
            </w:r>
            <w:r w:rsidR="00410A2A">
              <w:rPr>
                <w:noProof/>
                <w:color w:val="000000"/>
                <w:sz w:val="18"/>
                <w:szCs w:val="18"/>
                <w:highlight w:val="black"/>
              </w:rPr>
              <w:t>''''''''''''''''''''''''</w:t>
            </w:r>
          </w:p>
        </w:tc>
        <w:tc>
          <w:tcPr>
            <w:tcW w:w="898" w:type="dxa"/>
            <w:shd w:val="clear" w:color="auto" w:fill="auto"/>
            <w:vAlign w:val="center"/>
          </w:tcPr>
          <w:p w:rsidR="00690ACE" w:rsidRPr="000B49C6" w:rsidRDefault="00690ACE" w:rsidP="00C41521">
            <w:pPr>
              <w:pStyle w:val="Tabletext"/>
              <w:jc w:val="center"/>
              <w:rPr>
                <w:sz w:val="18"/>
                <w:szCs w:val="18"/>
              </w:rPr>
            </w:pPr>
            <w:r w:rsidRPr="000B49C6">
              <w:rPr>
                <w:sz w:val="18"/>
                <w:szCs w:val="18"/>
              </w:rPr>
              <w:t>$</w:t>
            </w:r>
            <w:r w:rsidR="00410A2A">
              <w:rPr>
                <w:noProof/>
                <w:color w:val="000000"/>
                <w:sz w:val="18"/>
                <w:szCs w:val="18"/>
                <w:highlight w:val="black"/>
              </w:rPr>
              <w:t>'''''''''''''''''''''''''</w:t>
            </w:r>
          </w:p>
        </w:tc>
      </w:tr>
      <w:tr w:rsidR="00C41521" w:rsidRPr="000B49C6" w:rsidTr="00C41521">
        <w:tc>
          <w:tcPr>
            <w:tcW w:w="233" w:type="dxa"/>
          </w:tcPr>
          <w:p w:rsidR="00690ACE" w:rsidRPr="000B49C6" w:rsidRDefault="00C41521" w:rsidP="0027401D">
            <w:pPr>
              <w:pStyle w:val="Tabletext"/>
              <w:rPr>
                <w:sz w:val="18"/>
                <w:szCs w:val="18"/>
              </w:rPr>
            </w:pPr>
            <w:r w:rsidRPr="000B49C6">
              <w:rPr>
                <w:sz w:val="18"/>
                <w:szCs w:val="18"/>
              </w:rPr>
              <w:t>N</w:t>
            </w:r>
          </w:p>
        </w:tc>
        <w:tc>
          <w:tcPr>
            <w:tcW w:w="3448" w:type="dxa"/>
            <w:shd w:val="clear" w:color="auto" w:fill="auto"/>
            <w:vAlign w:val="center"/>
          </w:tcPr>
          <w:p w:rsidR="00690ACE" w:rsidRPr="000B49C6" w:rsidRDefault="00690ACE" w:rsidP="002A6604">
            <w:pPr>
              <w:pStyle w:val="Tabletext"/>
              <w:rPr>
                <w:sz w:val="18"/>
                <w:szCs w:val="18"/>
              </w:rPr>
            </w:pPr>
            <w:r w:rsidRPr="000B49C6">
              <w:rPr>
                <w:sz w:val="18"/>
                <w:szCs w:val="18"/>
              </w:rPr>
              <w:t>Vancomycin treatments avoided</w:t>
            </w:r>
            <w:r w:rsidR="002A6604" w:rsidRPr="000B49C6">
              <w:rPr>
                <w:sz w:val="18"/>
                <w:szCs w:val="18"/>
              </w:rPr>
              <w:t xml:space="preserve"> due to </w:t>
            </w:r>
            <w:proofErr w:type="spellStart"/>
            <w:r w:rsidR="002A6604" w:rsidRPr="000B49C6">
              <w:rPr>
                <w:sz w:val="18"/>
                <w:szCs w:val="18"/>
              </w:rPr>
              <w:t>bezlotoxumab</w:t>
            </w:r>
            <w:proofErr w:type="spellEnd"/>
            <w:r w:rsidR="002A6604" w:rsidRPr="000B49C6">
              <w:rPr>
                <w:sz w:val="18"/>
                <w:szCs w:val="18"/>
              </w:rPr>
              <w:t xml:space="preserve"> listing </w:t>
            </w:r>
            <w:r w:rsidR="00C41521" w:rsidRPr="000B49C6">
              <w:rPr>
                <w:sz w:val="18"/>
                <w:szCs w:val="18"/>
                <w:vertAlign w:val="superscript"/>
              </w:rPr>
              <w:t>f</w:t>
            </w:r>
          </w:p>
        </w:tc>
        <w:tc>
          <w:tcPr>
            <w:tcW w:w="897" w:type="dxa"/>
            <w:shd w:val="clear" w:color="auto" w:fill="auto"/>
            <w:vAlign w:val="center"/>
          </w:tcPr>
          <w:p w:rsidR="00690ACE" w:rsidRPr="00410A2A" w:rsidRDefault="00410A2A" w:rsidP="00C41521">
            <w:pPr>
              <w:pStyle w:val="Tabletext"/>
              <w:jc w:val="center"/>
              <w:rPr>
                <w:sz w:val="18"/>
                <w:szCs w:val="18"/>
                <w:highlight w:val="black"/>
              </w:rPr>
            </w:pPr>
            <w:r>
              <w:rPr>
                <w:noProof/>
                <w:color w:val="000000"/>
                <w:sz w:val="18"/>
                <w:szCs w:val="18"/>
                <w:highlight w:val="black"/>
              </w:rPr>
              <w:t>'''''''''</w:t>
            </w:r>
          </w:p>
        </w:tc>
        <w:tc>
          <w:tcPr>
            <w:tcW w:w="898" w:type="dxa"/>
            <w:shd w:val="clear" w:color="auto" w:fill="auto"/>
            <w:vAlign w:val="center"/>
          </w:tcPr>
          <w:p w:rsidR="00690ACE" w:rsidRPr="00410A2A" w:rsidRDefault="00410A2A" w:rsidP="00C41521">
            <w:pPr>
              <w:pStyle w:val="Tabletext"/>
              <w:jc w:val="center"/>
              <w:rPr>
                <w:sz w:val="18"/>
                <w:szCs w:val="18"/>
                <w:highlight w:val="black"/>
              </w:rPr>
            </w:pPr>
            <w:r>
              <w:rPr>
                <w:noProof/>
                <w:color w:val="000000"/>
                <w:sz w:val="18"/>
                <w:szCs w:val="18"/>
                <w:highlight w:val="black"/>
              </w:rPr>
              <w:t>'''''''''</w:t>
            </w:r>
          </w:p>
        </w:tc>
        <w:tc>
          <w:tcPr>
            <w:tcW w:w="898" w:type="dxa"/>
            <w:shd w:val="clear" w:color="auto" w:fill="auto"/>
            <w:vAlign w:val="center"/>
          </w:tcPr>
          <w:p w:rsidR="00690ACE" w:rsidRPr="00410A2A" w:rsidRDefault="00410A2A" w:rsidP="00C41521">
            <w:pPr>
              <w:pStyle w:val="Tabletext"/>
              <w:jc w:val="center"/>
              <w:rPr>
                <w:sz w:val="18"/>
                <w:szCs w:val="18"/>
                <w:highlight w:val="black"/>
              </w:rPr>
            </w:pPr>
            <w:r>
              <w:rPr>
                <w:noProof/>
                <w:color w:val="000000"/>
                <w:sz w:val="18"/>
                <w:szCs w:val="18"/>
                <w:highlight w:val="black"/>
              </w:rPr>
              <w:t>'''''''''</w:t>
            </w:r>
          </w:p>
        </w:tc>
        <w:tc>
          <w:tcPr>
            <w:tcW w:w="897" w:type="dxa"/>
            <w:shd w:val="clear" w:color="auto" w:fill="auto"/>
            <w:vAlign w:val="center"/>
          </w:tcPr>
          <w:p w:rsidR="00690ACE" w:rsidRPr="00410A2A" w:rsidRDefault="00410A2A" w:rsidP="00C41521">
            <w:pPr>
              <w:pStyle w:val="Tabletext"/>
              <w:jc w:val="center"/>
              <w:rPr>
                <w:sz w:val="18"/>
                <w:szCs w:val="18"/>
                <w:highlight w:val="black"/>
              </w:rPr>
            </w:pPr>
            <w:r>
              <w:rPr>
                <w:noProof/>
                <w:color w:val="000000"/>
                <w:sz w:val="18"/>
                <w:szCs w:val="18"/>
                <w:highlight w:val="black"/>
              </w:rPr>
              <w:t>'''''''''</w:t>
            </w:r>
          </w:p>
        </w:tc>
        <w:tc>
          <w:tcPr>
            <w:tcW w:w="898" w:type="dxa"/>
            <w:shd w:val="clear" w:color="auto" w:fill="auto"/>
            <w:vAlign w:val="center"/>
          </w:tcPr>
          <w:p w:rsidR="00690ACE" w:rsidRPr="00410A2A" w:rsidRDefault="00410A2A" w:rsidP="00C41521">
            <w:pPr>
              <w:pStyle w:val="Tabletext"/>
              <w:jc w:val="center"/>
              <w:rPr>
                <w:sz w:val="18"/>
                <w:szCs w:val="18"/>
                <w:highlight w:val="black"/>
              </w:rPr>
            </w:pPr>
            <w:r>
              <w:rPr>
                <w:noProof/>
                <w:color w:val="000000"/>
                <w:sz w:val="18"/>
                <w:szCs w:val="18"/>
                <w:highlight w:val="black"/>
              </w:rPr>
              <w:t>''''''''''</w:t>
            </w:r>
          </w:p>
        </w:tc>
        <w:tc>
          <w:tcPr>
            <w:tcW w:w="898" w:type="dxa"/>
            <w:shd w:val="clear" w:color="auto" w:fill="auto"/>
            <w:vAlign w:val="center"/>
          </w:tcPr>
          <w:p w:rsidR="00690ACE" w:rsidRPr="00410A2A" w:rsidRDefault="00410A2A" w:rsidP="00C41521">
            <w:pPr>
              <w:pStyle w:val="Tabletext"/>
              <w:jc w:val="center"/>
              <w:rPr>
                <w:sz w:val="18"/>
                <w:szCs w:val="18"/>
                <w:highlight w:val="black"/>
              </w:rPr>
            </w:pPr>
            <w:r>
              <w:rPr>
                <w:noProof/>
                <w:color w:val="000000"/>
                <w:sz w:val="18"/>
                <w:szCs w:val="18"/>
                <w:highlight w:val="black"/>
              </w:rPr>
              <w:t>''''''''''</w:t>
            </w:r>
          </w:p>
        </w:tc>
      </w:tr>
      <w:tr w:rsidR="00C41521" w:rsidRPr="000B49C6" w:rsidTr="00C41521">
        <w:tc>
          <w:tcPr>
            <w:tcW w:w="233" w:type="dxa"/>
          </w:tcPr>
          <w:p w:rsidR="00690ACE" w:rsidRPr="000B49C6" w:rsidRDefault="00C41521" w:rsidP="0027401D">
            <w:pPr>
              <w:pStyle w:val="Tabletext"/>
              <w:rPr>
                <w:sz w:val="18"/>
                <w:szCs w:val="18"/>
              </w:rPr>
            </w:pPr>
            <w:r w:rsidRPr="000B49C6">
              <w:rPr>
                <w:sz w:val="18"/>
                <w:szCs w:val="18"/>
              </w:rPr>
              <w:t>O</w:t>
            </w:r>
          </w:p>
        </w:tc>
        <w:tc>
          <w:tcPr>
            <w:tcW w:w="3448" w:type="dxa"/>
            <w:shd w:val="clear" w:color="auto" w:fill="auto"/>
            <w:vAlign w:val="center"/>
          </w:tcPr>
          <w:p w:rsidR="00690ACE" w:rsidRPr="000B49C6" w:rsidRDefault="00690ACE" w:rsidP="002A6604">
            <w:pPr>
              <w:pStyle w:val="Tabletext"/>
              <w:rPr>
                <w:sz w:val="18"/>
                <w:szCs w:val="18"/>
              </w:rPr>
            </w:pPr>
            <w:r w:rsidRPr="000B49C6">
              <w:rPr>
                <w:sz w:val="18"/>
                <w:szCs w:val="18"/>
              </w:rPr>
              <w:t xml:space="preserve">Net PBS/RPBS cost </w:t>
            </w:r>
            <w:r w:rsidR="002A6604" w:rsidRPr="000B49C6">
              <w:rPr>
                <w:sz w:val="18"/>
                <w:szCs w:val="18"/>
              </w:rPr>
              <w:t>of</w:t>
            </w:r>
            <w:r w:rsidRPr="000B49C6">
              <w:rPr>
                <w:sz w:val="18"/>
                <w:szCs w:val="18"/>
              </w:rPr>
              <w:t xml:space="preserve"> vancomycin </w:t>
            </w:r>
            <w:proofErr w:type="spellStart"/>
            <w:r w:rsidRPr="000B49C6">
              <w:rPr>
                <w:sz w:val="18"/>
                <w:szCs w:val="18"/>
              </w:rPr>
              <w:t>avoided</w:t>
            </w:r>
            <w:r w:rsidR="00C41521" w:rsidRPr="000B49C6">
              <w:rPr>
                <w:sz w:val="18"/>
                <w:szCs w:val="18"/>
                <w:vertAlign w:val="superscript"/>
              </w:rPr>
              <w:t>g</w:t>
            </w:r>
            <w:proofErr w:type="spellEnd"/>
          </w:p>
        </w:tc>
        <w:tc>
          <w:tcPr>
            <w:tcW w:w="897" w:type="dxa"/>
            <w:tcBorders>
              <w:bottom w:val="single" w:sz="4" w:space="0" w:color="auto"/>
            </w:tcBorders>
            <w:shd w:val="clear" w:color="auto" w:fill="auto"/>
            <w:vAlign w:val="center"/>
          </w:tcPr>
          <w:p w:rsidR="00690ACE" w:rsidRPr="000B49C6" w:rsidRDefault="00690ACE" w:rsidP="00C41521">
            <w:pPr>
              <w:pStyle w:val="Tabletext"/>
              <w:jc w:val="center"/>
              <w:rPr>
                <w:sz w:val="18"/>
                <w:szCs w:val="18"/>
              </w:rPr>
            </w:pPr>
            <w:r w:rsidRPr="000B49C6">
              <w:rPr>
                <w:sz w:val="18"/>
                <w:szCs w:val="18"/>
              </w:rPr>
              <w:t>$</w:t>
            </w:r>
            <w:r w:rsidR="00410A2A">
              <w:rPr>
                <w:noProof/>
                <w:color w:val="000000"/>
                <w:sz w:val="18"/>
                <w:szCs w:val="18"/>
                <w:highlight w:val="black"/>
              </w:rPr>
              <w:t>''''''''''''''''''</w:t>
            </w:r>
          </w:p>
        </w:tc>
        <w:tc>
          <w:tcPr>
            <w:tcW w:w="898" w:type="dxa"/>
            <w:tcBorders>
              <w:bottom w:val="single" w:sz="4" w:space="0" w:color="auto"/>
            </w:tcBorders>
            <w:shd w:val="clear" w:color="auto" w:fill="auto"/>
            <w:vAlign w:val="center"/>
          </w:tcPr>
          <w:p w:rsidR="00690ACE" w:rsidRPr="000B49C6" w:rsidRDefault="00690ACE" w:rsidP="00C41521">
            <w:pPr>
              <w:pStyle w:val="Tabletext"/>
              <w:jc w:val="center"/>
              <w:rPr>
                <w:sz w:val="18"/>
                <w:szCs w:val="18"/>
              </w:rPr>
            </w:pPr>
            <w:r w:rsidRPr="000B49C6">
              <w:rPr>
                <w:sz w:val="18"/>
                <w:szCs w:val="18"/>
              </w:rPr>
              <w:t>$</w:t>
            </w:r>
            <w:r w:rsidR="00410A2A">
              <w:rPr>
                <w:noProof/>
                <w:color w:val="000000"/>
                <w:sz w:val="18"/>
                <w:szCs w:val="18"/>
                <w:highlight w:val="black"/>
              </w:rPr>
              <w:t>''''''''''''''''''</w:t>
            </w:r>
          </w:p>
        </w:tc>
        <w:tc>
          <w:tcPr>
            <w:tcW w:w="898" w:type="dxa"/>
            <w:tcBorders>
              <w:bottom w:val="single" w:sz="4" w:space="0" w:color="auto"/>
            </w:tcBorders>
            <w:shd w:val="clear" w:color="auto" w:fill="auto"/>
            <w:vAlign w:val="center"/>
          </w:tcPr>
          <w:p w:rsidR="00690ACE" w:rsidRPr="000B49C6" w:rsidRDefault="00690ACE" w:rsidP="00C41521">
            <w:pPr>
              <w:pStyle w:val="Tabletext"/>
              <w:jc w:val="center"/>
              <w:rPr>
                <w:sz w:val="18"/>
                <w:szCs w:val="18"/>
              </w:rPr>
            </w:pPr>
            <w:r w:rsidRPr="000B49C6">
              <w:rPr>
                <w:sz w:val="18"/>
                <w:szCs w:val="18"/>
              </w:rPr>
              <w:t>$</w:t>
            </w:r>
            <w:r w:rsidR="00410A2A">
              <w:rPr>
                <w:noProof/>
                <w:color w:val="000000"/>
                <w:sz w:val="18"/>
                <w:szCs w:val="18"/>
                <w:highlight w:val="black"/>
              </w:rPr>
              <w:t>'''''''''''''''</w:t>
            </w:r>
          </w:p>
        </w:tc>
        <w:tc>
          <w:tcPr>
            <w:tcW w:w="897" w:type="dxa"/>
            <w:tcBorders>
              <w:bottom w:val="single" w:sz="4" w:space="0" w:color="auto"/>
            </w:tcBorders>
            <w:shd w:val="clear" w:color="auto" w:fill="auto"/>
            <w:vAlign w:val="center"/>
          </w:tcPr>
          <w:p w:rsidR="00690ACE" w:rsidRPr="000B49C6" w:rsidRDefault="00690ACE" w:rsidP="00C41521">
            <w:pPr>
              <w:pStyle w:val="Tabletext"/>
              <w:jc w:val="center"/>
              <w:rPr>
                <w:sz w:val="18"/>
                <w:szCs w:val="18"/>
              </w:rPr>
            </w:pPr>
            <w:r w:rsidRPr="000B49C6">
              <w:rPr>
                <w:sz w:val="18"/>
                <w:szCs w:val="18"/>
              </w:rPr>
              <w:t>$</w:t>
            </w:r>
            <w:r w:rsidR="00410A2A">
              <w:rPr>
                <w:noProof/>
                <w:color w:val="000000"/>
                <w:sz w:val="18"/>
                <w:szCs w:val="18"/>
                <w:highlight w:val="black"/>
              </w:rPr>
              <w:t>''''''''''''''''</w:t>
            </w:r>
          </w:p>
        </w:tc>
        <w:tc>
          <w:tcPr>
            <w:tcW w:w="898" w:type="dxa"/>
            <w:tcBorders>
              <w:bottom w:val="single" w:sz="4" w:space="0" w:color="auto"/>
            </w:tcBorders>
            <w:shd w:val="clear" w:color="auto" w:fill="auto"/>
            <w:vAlign w:val="center"/>
          </w:tcPr>
          <w:p w:rsidR="00690ACE" w:rsidRPr="000B49C6" w:rsidRDefault="00690ACE" w:rsidP="00C41521">
            <w:pPr>
              <w:pStyle w:val="Tabletext"/>
              <w:jc w:val="center"/>
              <w:rPr>
                <w:sz w:val="18"/>
                <w:szCs w:val="18"/>
              </w:rPr>
            </w:pPr>
            <w:r w:rsidRPr="000B49C6">
              <w:rPr>
                <w:sz w:val="18"/>
                <w:szCs w:val="18"/>
              </w:rPr>
              <w:t>$</w:t>
            </w:r>
            <w:r w:rsidR="00410A2A">
              <w:rPr>
                <w:noProof/>
                <w:color w:val="000000"/>
                <w:sz w:val="18"/>
                <w:szCs w:val="18"/>
                <w:highlight w:val="black"/>
              </w:rPr>
              <w:t>'''''''''''''''''</w:t>
            </w:r>
          </w:p>
        </w:tc>
        <w:tc>
          <w:tcPr>
            <w:tcW w:w="898" w:type="dxa"/>
            <w:tcBorders>
              <w:bottom w:val="single" w:sz="4" w:space="0" w:color="auto"/>
            </w:tcBorders>
            <w:shd w:val="clear" w:color="auto" w:fill="auto"/>
            <w:vAlign w:val="center"/>
          </w:tcPr>
          <w:p w:rsidR="00690ACE" w:rsidRPr="000B49C6" w:rsidRDefault="00690ACE" w:rsidP="00C41521">
            <w:pPr>
              <w:pStyle w:val="Tabletext"/>
              <w:jc w:val="center"/>
              <w:rPr>
                <w:sz w:val="18"/>
                <w:szCs w:val="18"/>
              </w:rPr>
            </w:pPr>
            <w:r w:rsidRPr="000B49C6">
              <w:rPr>
                <w:sz w:val="18"/>
                <w:szCs w:val="18"/>
              </w:rPr>
              <w:t>$</w:t>
            </w:r>
            <w:r w:rsidR="00410A2A">
              <w:rPr>
                <w:noProof/>
                <w:color w:val="000000"/>
                <w:sz w:val="18"/>
                <w:szCs w:val="18"/>
                <w:highlight w:val="black"/>
              </w:rPr>
              <w:t>'''''''''''''''''</w:t>
            </w:r>
          </w:p>
        </w:tc>
      </w:tr>
      <w:tr w:rsidR="00C41521" w:rsidRPr="000B49C6" w:rsidTr="00C41521">
        <w:tc>
          <w:tcPr>
            <w:tcW w:w="233" w:type="dxa"/>
          </w:tcPr>
          <w:p w:rsidR="00690ACE" w:rsidRPr="000B49C6" w:rsidRDefault="00C41521" w:rsidP="0027401D">
            <w:pPr>
              <w:pStyle w:val="Tabletext"/>
              <w:rPr>
                <w:sz w:val="18"/>
                <w:szCs w:val="18"/>
              </w:rPr>
            </w:pPr>
            <w:r w:rsidRPr="000B49C6">
              <w:rPr>
                <w:sz w:val="18"/>
                <w:szCs w:val="18"/>
              </w:rPr>
              <w:t>P</w:t>
            </w:r>
          </w:p>
        </w:tc>
        <w:tc>
          <w:tcPr>
            <w:tcW w:w="3448" w:type="dxa"/>
            <w:shd w:val="clear" w:color="auto" w:fill="auto"/>
            <w:vAlign w:val="center"/>
          </w:tcPr>
          <w:p w:rsidR="00690ACE" w:rsidRPr="000B49C6" w:rsidRDefault="00690ACE" w:rsidP="0027401D">
            <w:pPr>
              <w:pStyle w:val="Tabletext"/>
              <w:rPr>
                <w:sz w:val="18"/>
                <w:szCs w:val="18"/>
              </w:rPr>
            </w:pPr>
            <w:r w:rsidRPr="000B49C6">
              <w:rPr>
                <w:sz w:val="18"/>
                <w:szCs w:val="18"/>
              </w:rPr>
              <w:t xml:space="preserve">Net change to PBS/RPBS </w:t>
            </w:r>
            <w:proofErr w:type="spellStart"/>
            <w:r w:rsidRPr="000B49C6">
              <w:rPr>
                <w:sz w:val="18"/>
                <w:szCs w:val="18"/>
              </w:rPr>
              <w:t>costs</w:t>
            </w:r>
            <w:r w:rsidR="00C41521" w:rsidRPr="000B49C6">
              <w:rPr>
                <w:sz w:val="18"/>
                <w:szCs w:val="18"/>
                <w:vertAlign w:val="superscript"/>
              </w:rPr>
              <w:t>h</w:t>
            </w:r>
            <w:proofErr w:type="spellEnd"/>
          </w:p>
        </w:tc>
        <w:tc>
          <w:tcPr>
            <w:tcW w:w="897" w:type="dxa"/>
            <w:tcBorders>
              <w:top w:val="single" w:sz="4" w:space="0" w:color="auto"/>
              <w:left w:val="single" w:sz="4" w:space="0" w:color="auto"/>
              <w:bottom w:val="single" w:sz="4" w:space="0" w:color="auto"/>
              <w:right w:val="single" w:sz="4" w:space="0" w:color="auto"/>
            </w:tcBorders>
            <w:shd w:val="clear" w:color="000000" w:fill="auto"/>
            <w:vAlign w:val="center"/>
          </w:tcPr>
          <w:p w:rsidR="00690ACE" w:rsidRPr="000B49C6" w:rsidRDefault="00690ACE" w:rsidP="00C41521">
            <w:pPr>
              <w:pStyle w:val="Tabletext"/>
              <w:jc w:val="center"/>
              <w:rPr>
                <w:sz w:val="18"/>
                <w:szCs w:val="18"/>
              </w:rPr>
            </w:pPr>
            <w:r w:rsidRPr="000B49C6">
              <w:rPr>
                <w:sz w:val="18"/>
                <w:szCs w:val="18"/>
              </w:rPr>
              <w:t>$</w:t>
            </w:r>
            <w:r w:rsidR="00410A2A">
              <w:rPr>
                <w:noProof/>
                <w:color w:val="000000"/>
                <w:sz w:val="18"/>
                <w:szCs w:val="18"/>
                <w:highlight w:val="black"/>
              </w:rPr>
              <w:t>''''''''''''''''''''''''</w:t>
            </w:r>
          </w:p>
        </w:tc>
        <w:tc>
          <w:tcPr>
            <w:tcW w:w="898" w:type="dxa"/>
            <w:tcBorders>
              <w:top w:val="single" w:sz="4" w:space="0" w:color="auto"/>
              <w:left w:val="nil"/>
              <w:bottom w:val="single" w:sz="4" w:space="0" w:color="auto"/>
              <w:right w:val="single" w:sz="4" w:space="0" w:color="auto"/>
            </w:tcBorders>
            <w:shd w:val="clear" w:color="000000" w:fill="auto"/>
            <w:vAlign w:val="center"/>
          </w:tcPr>
          <w:p w:rsidR="00690ACE" w:rsidRPr="000B49C6" w:rsidRDefault="00690ACE" w:rsidP="00C41521">
            <w:pPr>
              <w:pStyle w:val="Tabletext"/>
              <w:jc w:val="center"/>
              <w:rPr>
                <w:sz w:val="18"/>
                <w:szCs w:val="18"/>
              </w:rPr>
            </w:pPr>
            <w:r w:rsidRPr="000B49C6">
              <w:rPr>
                <w:sz w:val="18"/>
                <w:szCs w:val="18"/>
              </w:rPr>
              <w:t>$</w:t>
            </w:r>
            <w:r w:rsidR="00410A2A">
              <w:rPr>
                <w:noProof/>
                <w:color w:val="000000"/>
                <w:sz w:val="18"/>
                <w:szCs w:val="18"/>
                <w:highlight w:val="black"/>
              </w:rPr>
              <w:t>''''''''''''''''''''''''''</w:t>
            </w:r>
          </w:p>
        </w:tc>
        <w:tc>
          <w:tcPr>
            <w:tcW w:w="898" w:type="dxa"/>
            <w:tcBorders>
              <w:top w:val="single" w:sz="4" w:space="0" w:color="auto"/>
              <w:left w:val="nil"/>
              <w:bottom w:val="single" w:sz="4" w:space="0" w:color="auto"/>
              <w:right w:val="single" w:sz="4" w:space="0" w:color="auto"/>
            </w:tcBorders>
            <w:shd w:val="clear" w:color="000000" w:fill="auto"/>
            <w:vAlign w:val="center"/>
          </w:tcPr>
          <w:p w:rsidR="00690ACE" w:rsidRPr="000B49C6" w:rsidRDefault="00690ACE" w:rsidP="00C41521">
            <w:pPr>
              <w:pStyle w:val="Tabletext"/>
              <w:jc w:val="center"/>
              <w:rPr>
                <w:sz w:val="18"/>
                <w:szCs w:val="18"/>
              </w:rPr>
            </w:pPr>
            <w:r w:rsidRPr="000B49C6">
              <w:rPr>
                <w:sz w:val="18"/>
                <w:szCs w:val="18"/>
              </w:rPr>
              <w:t>$</w:t>
            </w:r>
            <w:r w:rsidR="00410A2A">
              <w:rPr>
                <w:noProof/>
                <w:color w:val="000000"/>
                <w:sz w:val="18"/>
                <w:szCs w:val="18"/>
                <w:highlight w:val="black"/>
              </w:rPr>
              <w:t>'''''''''''''''''''''''''''</w:t>
            </w:r>
          </w:p>
        </w:tc>
        <w:tc>
          <w:tcPr>
            <w:tcW w:w="897" w:type="dxa"/>
            <w:tcBorders>
              <w:top w:val="single" w:sz="4" w:space="0" w:color="auto"/>
              <w:left w:val="nil"/>
              <w:bottom w:val="single" w:sz="4" w:space="0" w:color="auto"/>
              <w:right w:val="single" w:sz="4" w:space="0" w:color="auto"/>
            </w:tcBorders>
            <w:shd w:val="clear" w:color="000000" w:fill="auto"/>
            <w:vAlign w:val="center"/>
          </w:tcPr>
          <w:p w:rsidR="00690ACE" w:rsidRPr="000B49C6" w:rsidRDefault="00690ACE" w:rsidP="00C41521">
            <w:pPr>
              <w:pStyle w:val="Tabletext"/>
              <w:jc w:val="center"/>
              <w:rPr>
                <w:sz w:val="18"/>
                <w:szCs w:val="18"/>
              </w:rPr>
            </w:pPr>
            <w:r w:rsidRPr="000B49C6">
              <w:rPr>
                <w:sz w:val="18"/>
                <w:szCs w:val="18"/>
              </w:rPr>
              <w:t>$</w:t>
            </w:r>
            <w:r w:rsidR="00410A2A">
              <w:rPr>
                <w:noProof/>
                <w:color w:val="000000"/>
                <w:sz w:val="18"/>
                <w:szCs w:val="18"/>
                <w:highlight w:val="black"/>
              </w:rPr>
              <w:t>'''''''''''''''''''''''''''</w:t>
            </w:r>
          </w:p>
        </w:tc>
        <w:tc>
          <w:tcPr>
            <w:tcW w:w="898" w:type="dxa"/>
            <w:tcBorders>
              <w:top w:val="single" w:sz="4" w:space="0" w:color="auto"/>
              <w:left w:val="nil"/>
              <w:bottom w:val="single" w:sz="4" w:space="0" w:color="auto"/>
              <w:right w:val="single" w:sz="4" w:space="0" w:color="auto"/>
            </w:tcBorders>
            <w:shd w:val="clear" w:color="000000" w:fill="auto"/>
            <w:vAlign w:val="center"/>
          </w:tcPr>
          <w:p w:rsidR="00690ACE" w:rsidRPr="000B49C6" w:rsidRDefault="00690ACE" w:rsidP="00C41521">
            <w:pPr>
              <w:pStyle w:val="Tabletext"/>
              <w:jc w:val="center"/>
              <w:rPr>
                <w:sz w:val="18"/>
                <w:szCs w:val="18"/>
              </w:rPr>
            </w:pPr>
            <w:r w:rsidRPr="000B49C6">
              <w:rPr>
                <w:sz w:val="18"/>
                <w:szCs w:val="18"/>
              </w:rPr>
              <w:t>$</w:t>
            </w:r>
            <w:r w:rsidR="00410A2A">
              <w:rPr>
                <w:noProof/>
                <w:color w:val="000000"/>
                <w:sz w:val="18"/>
                <w:szCs w:val="18"/>
                <w:highlight w:val="black"/>
              </w:rPr>
              <w:t>'''''''''''''''''''''''''''''</w:t>
            </w:r>
          </w:p>
        </w:tc>
        <w:tc>
          <w:tcPr>
            <w:tcW w:w="898" w:type="dxa"/>
            <w:tcBorders>
              <w:top w:val="single" w:sz="4" w:space="0" w:color="auto"/>
              <w:left w:val="nil"/>
              <w:bottom w:val="single" w:sz="4" w:space="0" w:color="auto"/>
              <w:right w:val="single" w:sz="4" w:space="0" w:color="auto"/>
            </w:tcBorders>
            <w:shd w:val="clear" w:color="000000" w:fill="auto"/>
            <w:vAlign w:val="center"/>
          </w:tcPr>
          <w:p w:rsidR="00690ACE" w:rsidRPr="000B49C6" w:rsidRDefault="00690ACE" w:rsidP="00C41521">
            <w:pPr>
              <w:pStyle w:val="Tabletext"/>
              <w:jc w:val="center"/>
              <w:rPr>
                <w:sz w:val="18"/>
                <w:szCs w:val="18"/>
              </w:rPr>
            </w:pPr>
            <w:r w:rsidRPr="000B49C6">
              <w:rPr>
                <w:sz w:val="18"/>
                <w:szCs w:val="18"/>
              </w:rPr>
              <w:t>$</w:t>
            </w:r>
            <w:r w:rsidR="00410A2A">
              <w:rPr>
                <w:noProof/>
                <w:color w:val="000000"/>
                <w:sz w:val="18"/>
                <w:szCs w:val="18"/>
                <w:highlight w:val="black"/>
              </w:rPr>
              <w:t>'''''''''''''''''''''''''</w:t>
            </w:r>
          </w:p>
        </w:tc>
      </w:tr>
      <w:tr w:rsidR="00C41521" w:rsidRPr="000B49C6" w:rsidTr="00C41521">
        <w:tc>
          <w:tcPr>
            <w:tcW w:w="233" w:type="dxa"/>
          </w:tcPr>
          <w:p w:rsidR="00690ACE" w:rsidRPr="000B49C6" w:rsidRDefault="00C41521" w:rsidP="0027401D">
            <w:pPr>
              <w:pStyle w:val="Tabletext"/>
              <w:rPr>
                <w:sz w:val="18"/>
                <w:szCs w:val="18"/>
              </w:rPr>
            </w:pPr>
            <w:r w:rsidRPr="000B49C6">
              <w:rPr>
                <w:sz w:val="18"/>
                <w:szCs w:val="18"/>
              </w:rPr>
              <w:t>Q</w:t>
            </w:r>
          </w:p>
        </w:tc>
        <w:tc>
          <w:tcPr>
            <w:tcW w:w="3448" w:type="dxa"/>
            <w:shd w:val="clear" w:color="auto" w:fill="auto"/>
            <w:vAlign w:val="center"/>
          </w:tcPr>
          <w:p w:rsidR="00690ACE" w:rsidRPr="000B49C6" w:rsidRDefault="00690ACE" w:rsidP="0027401D">
            <w:pPr>
              <w:pStyle w:val="Tabletext"/>
              <w:rPr>
                <w:sz w:val="18"/>
                <w:szCs w:val="18"/>
                <w:vertAlign w:val="superscript"/>
              </w:rPr>
            </w:pPr>
            <w:r w:rsidRPr="000B49C6">
              <w:rPr>
                <w:sz w:val="18"/>
                <w:szCs w:val="18"/>
              </w:rPr>
              <w:t>Net change to MBS costs</w:t>
            </w:r>
            <w:r w:rsidR="00C41521" w:rsidRPr="000B49C6">
              <w:rPr>
                <w:sz w:val="18"/>
                <w:szCs w:val="18"/>
              </w:rPr>
              <w:t xml:space="preserve"> for </w:t>
            </w:r>
            <w:proofErr w:type="spellStart"/>
            <w:r w:rsidR="00C41521" w:rsidRPr="000B49C6">
              <w:rPr>
                <w:sz w:val="18"/>
                <w:szCs w:val="18"/>
              </w:rPr>
              <w:t>bezlotoxumab</w:t>
            </w:r>
            <w:proofErr w:type="spellEnd"/>
            <w:r w:rsidR="00C41521" w:rsidRPr="000B49C6">
              <w:rPr>
                <w:sz w:val="18"/>
                <w:szCs w:val="18"/>
              </w:rPr>
              <w:t xml:space="preserve"> administration </w:t>
            </w:r>
            <w:proofErr w:type="spellStart"/>
            <w:r w:rsidR="00C41521" w:rsidRPr="000B49C6">
              <w:rPr>
                <w:sz w:val="18"/>
                <w:szCs w:val="18"/>
                <w:vertAlign w:val="superscript"/>
              </w:rPr>
              <w:t>i</w:t>
            </w:r>
            <w:proofErr w:type="spellEnd"/>
          </w:p>
        </w:tc>
        <w:tc>
          <w:tcPr>
            <w:tcW w:w="897" w:type="dxa"/>
            <w:shd w:val="clear" w:color="auto" w:fill="auto"/>
            <w:vAlign w:val="center"/>
          </w:tcPr>
          <w:p w:rsidR="00690ACE" w:rsidRPr="000B49C6" w:rsidRDefault="00690ACE" w:rsidP="00C41521">
            <w:pPr>
              <w:pStyle w:val="Tabletext"/>
              <w:jc w:val="center"/>
              <w:rPr>
                <w:sz w:val="18"/>
                <w:szCs w:val="18"/>
              </w:rPr>
            </w:pPr>
            <w:r w:rsidRPr="000B49C6">
              <w:rPr>
                <w:sz w:val="18"/>
                <w:szCs w:val="18"/>
              </w:rPr>
              <w:t>$</w:t>
            </w:r>
            <w:r w:rsidR="00410A2A">
              <w:rPr>
                <w:noProof/>
                <w:color w:val="000000"/>
                <w:sz w:val="18"/>
                <w:szCs w:val="18"/>
                <w:highlight w:val="black"/>
              </w:rPr>
              <w:t>'''''''''''''''''</w:t>
            </w:r>
          </w:p>
        </w:tc>
        <w:tc>
          <w:tcPr>
            <w:tcW w:w="898" w:type="dxa"/>
            <w:shd w:val="clear" w:color="auto" w:fill="auto"/>
            <w:vAlign w:val="center"/>
          </w:tcPr>
          <w:p w:rsidR="00690ACE" w:rsidRPr="000B49C6" w:rsidRDefault="00690ACE" w:rsidP="00C41521">
            <w:pPr>
              <w:pStyle w:val="Tabletext"/>
              <w:jc w:val="center"/>
              <w:rPr>
                <w:sz w:val="18"/>
                <w:szCs w:val="18"/>
              </w:rPr>
            </w:pPr>
            <w:r w:rsidRPr="000B49C6">
              <w:rPr>
                <w:sz w:val="18"/>
                <w:szCs w:val="18"/>
              </w:rPr>
              <w:t>$</w:t>
            </w:r>
            <w:r w:rsidR="00410A2A">
              <w:rPr>
                <w:noProof/>
                <w:color w:val="000000"/>
                <w:sz w:val="18"/>
                <w:szCs w:val="18"/>
                <w:highlight w:val="black"/>
              </w:rPr>
              <w:t>''''''''''''''''''</w:t>
            </w:r>
          </w:p>
        </w:tc>
        <w:tc>
          <w:tcPr>
            <w:tcW w:w="898" w:type="dxa"/>
            <w:shd w:val="clear" w:color="auto" w:fill="auto"/>
            <w:vAlign w:val="center"/>
          </w:tcPr>
          <w:p w:rsidR="00690ACE" w:rsidRPr="000B49C6" w:rsidRDefault="00690ACE" w:rsidP="00C41521">
            <w:pPr>
              <w:pStyle w:val="Tabletext"/>
              <w:jc w:val="center"/>
              <w:rPr>
                <w:sz w:val="18"/>
                <w:szCs w:val="18"/>
              </w:rPr>
            </w:pPr>
            <w:r w:rsidRPr="000B49C6">
              <w:rPr>
                <w:sz w:val="18"/>
                <w:szCs w:val="18"/>
              </w:rPr>
              <w:t>$</w:t>
            </w:r>
            <w:r w:rsidR="00410A2A">
              <w:rPr>
                <w:noProof/>
                <w:color w:val="000000"/>
                <w:sz w:val="18"/>
                <w:szCs w:val="18"/>
                <w:highlight w:val="black"/>
              </w:rPr>
              <w:t>''''''''''''''''''''</w:t>
            </w:r>
          </w:p>
        </w:tc>
        <w:tc>
          <w:tcPr>
            <w:tcW w:w="897" w:type="dxa"/>
            <w:shd w:val="clear" w:color="auto" w:fill="auto"/>
            <w:vAlign w:val="center"/>
          </w:tcPr>
          <w:p w:rsidR="00690ACE" w:rsidRPr="000B49C6" w:rsidRDefault="00690ACE" w:rsidP="00C41521">
            <w:pPr>
              <w:pStyle w:val="Tabletext"/>
              <w:jc w:val="center"/>
              <w:rPr>
                <w:sz w:val="18"/>
                <w:szCs w:val="18"/>
              </w:rPr>
            </w:pPr>
            <w:r w:rsidRPr="000B49C6">
              <w:rPr>
                <w:sz w:val="18"/>
                <w:szCs w:val="18"/>
              </w:rPr>
              <w:t>$</w:t>
            </w:r>
            <w:r w:rsidR="00410A2A">
              <w:rPr>
                <w:noProof/>
                <w:color w:val="000000"/>
                <w:sz w:val="18"/>
                <w:szCs w:val="18"/>
                <w:highlight w:val="black"/>
              </w:rPr>
              <w:t>'''''''''''''''''''''</w:t>
            </w:r>
          </w:p>
        </w:tc>
        <w:tc>
          <w:tcPr>
            <w:tcW w:w="898" w:type="dxa"/>
            <w:shd w:val="clear" w:color="auto" w:fill="auto"/>
            <w:vAlign w:val="center"/>
          </w:tcPr>
          <w:p w:rsidR="00690ACE" w:rsidRPr="000B49C6" w:rsidRDefault="00690ACE" w:rsidP="00C41521">
            <w:pPr>
              <w:pStyle w:val="Tabletext"/>
              <w:jc w:val="center"/>
              <w:rPr>
                <w:sz w:val="18"/>
                <w:szCs w:val="18"/>
              </w:rPr>
            </w:pPr>
            <w:r w:rsidRPr="000B49C6">
              <w:rPr>
                <w:sz w:val="18"/>
                <w:szCs w:val="18"/>
              </w:rPr>
              <w:t>$</w:t>
            </w:r>
            <w:r w:rsidR="00410A2A">
              <w:rPr>
                <w:noProof/>
                <w:color w:val="000000"/>
                <w:sz w:val="18"/>
                <w:szCs w:val="18"/>
                <w:highlight w:val="black"/>
              </w:rPr>
              <w:t>''''''''''''''''''''</w:t>
            </w:r>
          </w:p>
        </w:tc>
        <w:tc>
          <w:tcPr>
            <w:tcW w:w="898" w:type="dxa"/>
            <w:shd w:val="clear" w:color="auto" w:fill="auto"/>
            <w:vAlign w:val="center"/>
          </w:tcPr>
          <w:p w:rsidR="00690ACE" w:rsidRPr="000B49C6" w:rsidRDefault="00690ACE" w:rsidP="00C41521">
            <w:pPr>
              <w:pStyle w:val="Tabletext"/>
              <w:jc w:val="center"/>
              <w:rPr>
                <w:sz w:val="18"/>
                <w:szCs w:val="18"/>
              </w:rPr>
            </w:pPr>
            <w:r w:rsidRPr="000B49C6">
              <w:rPr>
                <w:sz w:val="18"/>
                <w:szCs w:val="18"/>
              </w:rPr>
              <w:t>$</w:t>
            </w:r>
            <w:r w:rsidR="00410A2A">
              <w:rPr>
                <w:noProof/>
                <w:color w:val="000000"/>
                <w:sz w:val="18"/>
                <w:szCs w:val="18"/>
                <w:highlight w:val="black"/>
              </w:rPr>
              <w:t>'''''''''''''''''''''</w:t>
            </w:r>
          </w:p>
        </w:tc>
      </w:tr>
      <w:tr w:rsidR="00C41521" w:rsidRPr="000B49C6" w:rsidTr="00C41521">
        <w:tc>
          <w:tcPr>
            <w:tcW w:w="233" w:type="dxa"/>
          </w:tcPr>
          <w:p w:rsidR="00690ACE" w:rsidRPr="000B49C6" w:rsidRDefault="00C41521" w:rsidP="0027401D">
            <w:pPr>
              <w:pStyle w:val="Tabletext"/>
              <w:rPr>
                <w:sz w:val="18"/>
                <w:szCs w:val="18"/>
              </w:rPr>
            </w:pPr>
            <w:r w:rsidRPr="000B49C6">
              <w:rPr>
                <w:sz w:val="18"/>
                <w:szCs w:val="18"/>
              </w:rPr>
              <w:t>R</w:t>
            </w:r>
          </w:p>
        </w:tc>
        <w:tc>
          <w:tcPr>
            <w:tcW w:w="3448" w:type="dxa"/>
            <w:shd w:val="clear" w:color="auto" w:fill="auto"/>
            <w:vAlign w:val="center"/>
          </w:tcPr>
          <w:p w:rsidR="00690ACE" w:rsidRPr="000B49C6" w:rsidRDefault="00690ACE" w:rsidP="0027401D">
            <w:pPr>
              <w:pStyle w:val="Tabletext"/>
              <w:rPr>
                <w:sz w:val="18"/>
                <w:szCs w:val="18"/>
              </w:rPr>
            </w:pPr>
            <w:r w:rsidRPr="000B49C6">
              <w:rPr>
                <w:sz w:val="18"/>
                <w:szCs w:val="18"/>
              </w:rPr>
              <w:t>Net change to government budget</w:t>
            </w:r>
          </w:p>
        </w:tc>
        <w:tc>
          <w:tcPr>
            <w:tcW w:w="897" w:type="dxa"/>
            <w:shd w:val="clear" w:color="auto" w:fill="auto"/>
            <w:vAlign w:val="center"/>
          </w:tcPr>
          <w:p w:rsidR="00690ACE" w:rsidRPr="000B49C6" w:rsidRDefault="00690ACE" w:rsidP="00C41521">
            <w:pPr>
              <w:pStyle w:val="Tabletext"/>
              <w:jc w:val="center"/>
              <w:rPr>
                <w:sz w:val="18"/>
                <w:szCs w:val="18"/>
              </w:rPr>
            </w:pPr>
            <w:r w:rsidRPr="000B49C6">
              <w:rPr>
                <w:sz w:val="18"/>
                <w:szCs w:val="18"/>
              </w:rPr>
              <w:t>$</w:t>
            </w:r>
            <w:r w:rsidR="00410A2A">
              <w:rPr>
                <w:noProof/>
                <w:color w:val="000000"/>
                <w:sz w:val="18"/>
                <w:szCs w:val="18"/>
                <w:highlight w:val="black"/>
              </w:rPr>
              <w:t>'''''''''''''''''''''''''</w:t>
            </w:r>
          </w:p>
        </w:tc>
        <w:tc>
          <w:tcPr>
            <w:tcW w:w="898" w:type="dxa"/>
            <w:shd w:val="clear" w:color="auto" w:fill="auto"/>
            <w:vAlign w:val="center"/>
          </w:tcPr>
          <w:p w:rsidR="00690ACE" w:rsidRPr="000B49C6" w:rsidRDefault="00690ACE" w:rsidP="00C41521">
            <w:pPr>
              <w:pStyle w:val="Tabletext"/>
              <w:jc w:val="center"/>
              <w:rPr>
                <w:sz w:val="18"/>
                <w:szCs w:val="18"/>
              </w:rPr>
            </w:pPr>
            <w:r w:rsidRPr="000B49C6">
              <w:rPr>
                <w:sz w:val="18"/>
                <w:szCs w:val="18"/>
              </w:rPr>
              <w:t>$</w:t>
            </w:r>
            <w:r w:rsidR="00410A2A">
              <w:rPr>
                <w:noProof/>
                <w:color w:val="000000"/>
                <w:sz w:val="18"/>
                <w:szCs w:val="18"/>
                <w:highlight w:val="black"/>
              </w:rPr>
              <w:t>''''''''''''''''''''''''</w:t>
            </w:r>
          </w:p>
        </w:tc>
        <w:tc>
          <w:tcPr>
            <w:tcW w:w="898" w:type="dxa"/>
            <w:shd w:val="clear" w:color="auto" w:fill="auto"/>
            <w:vAlign w:val="center"/>
          </w:tcPr>
          <w:p w:rsidR="00690ACE" w:rsidRPr="000B49C6" w:rsidRDefault="00690ACE" w:rsidP="00C41521">
            <w:pPr>
              <w:pStyle w:val="Tabletext"/>
              <w:jc w:val="center"/>
              <w:rPr>
                <w:sz w:val="18"/>
                <w:szCs w:val="18"/>
              </w:rPr>
            </w:pPr>
            <w:r w:rsidRPr="000B49C6">
              <w:rPr>
                <w:sz w:val="18"/>
                <w:szCs w:val="18"/>
              </w:rPr>
              <w:t>$</w:t>
            </w:r>
            <w:r w:rsidR="00410A2A">
              <w:rPr>
                <w:noProof/>
                <w:color w:val="000000"/>
                <w:sz w:val="18"/>
                <w:szCs w:val="18"/>
                <w:highlight w:val="black"/>
              </w:rPr>
              <w:t>'''''''''''''''''''''''''''</w:t>
            </w:r>
          </w:p>
        </w:tc>
        <w:tc>
          <w:tcPr>
            <w:tcW w:w="897" w:type="dxa"/>
            <w:shd w:val="clear" w:color="auto" w:fill="auto"/>
            <w:vAlign w:val="center"/>
          </w:tcPr>
          <w:p w:rsidR="00690ACE" w:rsidRPr="000B49C6" w:rsidRDefault="00690ACE" w:rsidP="00C41521">
            <w:pPr>
              <w:pStyle w:val="Tabletext"/>
              <w:jc w:val="center"/>
              <w:rPr>
                <w:sz w:val="18"/>
                <w:szCs w:val="18"/>
              </w:rPr>
            </w:pPr>
            <w:r w:rsidRPr="000B49C6">
              <w:rPr>
                <w:sz w:val="18"/>
                <w:szCs w:val="18"/>
              </w:rPr>
              <w:t>$</w:t>
            </w:r>
            <w:r w:rsidR="00410A2A">
              <w:rPr>
                <w:noProof/>
                <w:color w:val="000000"/>
                <w:sz w:val="18"/>
                <w:szCs w:val="18"/>
                <w:highlight w:val="black"/>
              </w:rPr>
              <w:t>''''''''''''''''''''''''</w:t>
            </w:r>
          </w:p>
        </w:tc>
        <w:tc>
          <w:tcPr>
            <w:tcW w:w="898" w:type="dxa"/>
            <w:shd w:val="clear" w:color="auto" w:fill="auto"/>
            <w:vAlign w:val="center"/>
          </w:tcPr>
          <w:p w:rsidR="00690ACE" w:rsidRPr="000B49C6" w:rsidRDefault="00690ACE" w:rsidP="00C41521">
            <w:pPr>
              <w:pStyle w:val="Tabletext"/>
              <w:jc w:val="center"/>
              <w:rPr>
                <w:sz w:val="18"/>
                <w:szCs w:val="18"/>
              </w:rPr>
            </w:pPr>
            <w:r w:rsidRPr="000B49C6">
              <w:rPr>
                <w:sz w:val="18"/>
                <w:szCs w:val="18"/>
              </w:rPr>
              <w:t>$</w:t>
            </w:r>
            <w:r w:rsidR="00410A2A">
              <w:rPr>
                <w:noProof/>
                <w:color w:val="000000"/>
                <w:sz w:val="18"/>
                <w:szCs w:val="18"/>
                <w:highlight w:val="black"/>
              </w:rPr>
              <w:t>'''''''''''''''''''''''''''''</w:t>
            </w:r>
          </w:p>
        </w:tc>
        <w:tc>
          <w:tcPr>
            <w:tcW w:w="898" w:type="dxa"/>
            <w:shd w:val="clear" w:color="auto" w:fill="auto"/>
            <w:vAlign w:val="center"/>
          </w:tcPr>
          <w:p w:rsidR="00690ACE" w:rsidRPr="000B49C6" w:rsidRDefault="00690ACE" w:rsidP="00C41521">
            <w:pPr>
              <w:pStyle w:val="Tabletext"/>
              <w:jc w:val="center"/>
              <w:rPr>
                <w:sz w:val="18"/>
                <w:szCs w:val="18"/>
              </w:rPr>
            </w:pPr>
            <w:r w:rsidRPr="000B49C6">
              <w:rPr>
                <w:sz w:val="18"/>
                <w:szCs w:val="18"/>
              </w:rPr>
              <w:t>$</w:t>
            </w:r>
            <w:r w:rsidR="00410A2A">
              <w:rPr>
                <w:noProof/>
                <w:color w:val="000000"/>
                <w:sz w:val="18"/>
                <w:szCs w:val="18"/>
                <w:highlight w:val="black"/>
              </w:rPr>
              <w:t>''''''''''''''''''''''''''''</w:t>
            </w:r>
          </w:p>
        </w:tc>
      </w:tr>
    </w:tbl>
    <w:p w:rsidR="004672AC" w:rsidRPr="000B49C6" w:rsidRDefault="004672AC" w:rsidP="004672AC">
      <w:pPr>
        <w:pStyle w:val="TableFooter"/>
      </w:pPr>
      <w:r w:rsidRPr="000B49C6">
        <w:t>Abbreviations: CDI=</w:t>
      </w:r>
      <w:r w:rsidR="000B49C6" w:rsidRPr="000B49C6">
        <w:rPr>
          <w:i/>
        </w:rPr>
        <w:t>Clostridium difficile</w:t>
      </w:r>
      <w:r w:rsidRPr="000B49C6">
        <w:t xml:space="preserve"> infection;</w:t>
      </w:r>
    </w:p>
    <w:p w:rsidR="002A6604" w:rsidRPr="000B49C6" w:rsidRDefault="002A6604" w:rsidP="004672AC">
      <w:pPr>
        <w:pStyle w:val="TableFooter"/>
      </w:pPr>
      <w:r w:rsidRPr="000B49C6">
        <w:t>*</w:t>
      </w:r>
      <w:r w:rsidRPr="000B49C6">
        <w:tab/>
      </w:r>
      <w:proofErr w:type="gramStart"/>
      <w:r w:rsidRPr="000B49C6">
        <w:t>this</w:t>
      </w:r>
      <w:proofErr w:type="gramEnd"/>
      <w:r w:rsidRPr="000B49C6">
        <w:t xml:space="preserve"> is zero since there was no </w:t>
      </w:r>
      <w:proofErr w:type="spellStart"/>
      <w:r w:rsidRPr="000B49C6">
        <w:t>bezlotoxumab</w:t>
      </w:r>
      <w:proofErr w:type="spellEnd"/>
      <w:r w:rsidRPr="000B49C6">
        <w:t xml:space="preserve"> in the previous year.</w:t>
      </w:r>
    </w:p>
    <w:p w:rsidR="004672AC" w:rsidRPr="000B49C6" w:rsidRDefault="001242FC" w:rsidP="001242FC">
      <w:pPr>
        <w:ind w:left="170" w:hanging="170"/>
        <w:rPr>
          <w:rFonts w:ascii="Arial Narrow" w:hAnsi="Arial Narrow"/>
          <w:sz w:val="18"/>
          <w:szCs w:val="20"/>
        </w:rPr>
      </w:pPr>
      <w:proofErr w:type="spellStart"/>
      <w:proofErr w:type="gramStart"/>
      <w:r w:rsidRPr="000B49C6">
        <w:rPr>
          <w:rFonts w:ascii="Arial Narrow" w:hAnsi="Arial Narrow"/>
          <w:sz w:val="18"/>
          <w:szCs w:val="20"/>
          <w:vertAlign w:val="superscript"/>
        </w:rPr>
        <w:t>a</w:t>
      </w:r>
      <w:proofErr w:type="spellEnd"/>
      <w:proofErr w:type="gramEnd"/>
      <w:r w:rsidR="004672AC" w:rsidRPr="000B49C6">
        <w:rPr>
          <w:rFonts w:ascii="Arial Narrow" w:hAnsi="Arial Narrow"/>
          <w:sz w:val="18"/>
          <w:szCs w:val="20"/>
          <w:vertAlign w:val="superscript"/>
        </w:rPr>
        <w:t xml:space="preserve"> </w:t>
      </w:r>
      <w:r w:rsidR="004672AC" w:rsidRPr="000B49C6">
        <w:rPr>
          <w:rFonts w:ascii="Arial Narrow" w:hAnsi="Arial Narrow"/>
          <w:sz w:val="18"/>
          <w:szCs w:val="20"/>
          <w:vertAlign w:val="superscript"/>
        </w:rPr>
        <w:tab/>
      </w:r>
      <w:r w:rsidR="004672AC" w:rsidRPr="000B49C6">
        <w:rPr>
          <w:rFonts w:ascii="Arial Narrow" w:hAnsi="Arial Narrow"/>
          <w:sz w:val="18"/>
          <w:szCs w:val="20"/>
        </w:rPr>
        <w:t>Estimated based on vancomycin prescriptions provided to patients &lt;18 years of age was 1.65%.</w:t>
      </w:r>
    </w:p>
    <w:p w:rsidR="004672AC" w:rsidRPr="000B49C6" w:rsidRDefault="001242FC" w:rsidP="004672AC">
      <w:pPr>
        <w:ind w:left="170" w:hanging="170"/>
        <w:rPr>
          <w:rFonts w:ascii="Arial Narrow" w:hAnsi="Arial Narrow"/>
          <w:sz w:val="18"/>
          <w:szCs w:val="20"/>
        </w:rPr>
      </w:pPr>
      <w:proofErr w:type="gramStart"/>
      <w:r w:rsidRPr="000B49C6">
        <w:rPr>
          <w:rFonts w:ascii="Arial Narrow" w:hAnsi="Arial Narrow"/>
          <w:sz w:val="18"/>
          <w:szCs w:val="20"/>
          <w:vertAlign w:val="superscript"/>
        </w:rPr>
        <w:t>b</w:t>
      </w:r>
      <w:proofErr w:type="gramEnd"/>
      <w:r w:rsidR="004672AC" w:rsidRPr="000B49C6">
        <w:rPr>
          <w:rFonts w:ascii="Arial Narrow" w:hAnsi="Arial Narrow"/>
          <w:sz w:val="18"/>
          <w:szCs w:val="20"/>
          <w:vertAlign w:val="superscript"/>
        </w:rPr>
        <w:tab/>
      </w:r>
      <w:r w:rsidR="004672AC" w:rsidRPr="000B49C6">
        <w:rPr>
          <w:rFonts w:ascii="Arial Narrow" w:hAnsi="Arial Narrow"/>
          <w:sz w:val="18"/>
          <w:szCs w:val="20"/>
        </w:rPr>
        <w:t>Assumed 95% of patient episodes would test positive to toxin B at screening.</w:t>
      </w:r>
    </w:p>
    <w:p w:rsidR="004672AC" w:rsidRPr="000B49C6" w:rsidRDefault="001242FC" w:rsidP="001242FC">
      <w:pPr>
        <w:ind w:left="170" w:hanging="170"/>
        <w:rPr>
          <w:rFonts w:ascii="Arial Narrow" w:hAnsi="Arial Narrow"/>
          <w:sz w:val="18"/>
          <w:szCs w:val="20"/>
        </w:rPr>
      </w:pPr>
      <w:proofErr w:type="gramStart"/>
      <w:r w:rsidRPr="000B49C6">
        <w:rPr>
          <w:rFonts w:ascii="Arial Narrow" w:hAnsi="Arial Narrow"/>
          <w:sz w:val="18"/>
          <w:szCs w:val="20"/>
          <w:vertAlign w:val="superscript"/>
        </w:rPr>
        <w:t>c</w:t>
      </w:r>
      <w:proofErr w:type="gramEnd"/>
      <w:r w:rsidR="004672AC" w:rsidRPr="000B49C6">
        <w:rPr>
          <w:rFonts w:ascii="Arial Narrow" w:hAnsi="Arial Narrow"/>
          <w:sz w:val="18"/>
          <w:szCs w:val="20"/>
        </w:rPr>
        <w:tab/>
        <w:t>Assumed additional 42.6% metronidazole usage (based on MODIFY trials) each year.</w:t>
      </w:r>
    </w:p>
    <w:p w:rsidR="004672AC" w:rsidRPr="000B49C6" w:rsidRDefault="00C41521" w:rsidP="002A6604">
      <w:pPr>
        <w:ind w:left="170" w:hanging="170"/>
        <w:rPr>
          <w:rFonts w:ascii="Arial Narrow" w:hAnsi="Arial Narrow"/>
          <w:sz w:val="18"/>
          <w:szCs w:val="20"/>
        </w:rPr>
      </w:pPr>
      <w:proofErr w:type="gramStart"/>
      <w:r w:rsidRPr="000B49C6">
        <w:rPr>
          <w:rFonts w:ascii="Arial Narrow" w:hAnsi="Arial Narrow"/>
          <w:sz w:val="18"/>
          <w:szCs w:val="20"/>
          <w:vertAlign w:val="superscript"/>
        </w:rPr>
        <w:t>d</w:t>
      </w:r>
      <w:proofErr w:type="gramEnd"/>
      <w:r w:rsidR="004672AC" w:rsidRPr="000B49C6">
        <w:rPr>
          <w:rFonts w:ascii="Arial Narrow" w:hAnsi="Arial Narrow"/>
          <w:sz w:val="18"/>
          <w:szCs w:val="20"/>
        </w:rPr>
        <w:tab/>
        <w:t>Assume</w:t>
      </w:r>
      <w:r w:rsidR="002A6604" w:rsidRPr="000B49C6">
        <w:rPr>
          <w:rFonts w:ascii="Arial Narrow" w:hAnsi="Arial Narrow"/>
          <w:sz w:val="18"/>
          <w:szCs w:val="20"/>
        </w:rPr>
        <w:t>d</w:t>
      </w:r>
      <w:r w:rsidR="004672AC" w:rsidRPr="000B49C6">
        <w:rPr>
          <w:rFonts w:ascii="Arial Narrow" w:hAnsi="Arial Narrow"/>
          <w:sz w:val="18"/>
          <w:szCs w:val="20"/>
        </w:rPr>
        <w:t xml:space="preserve"> DPMQ $</w:t>
      </w:r>
      <w:r w:rsidR="00410A2A">
        <w:rPr>
          <w:rFonts w:ascii="Arial Narrow" w:hAnsi="Arial Narrow"/>
          <w:noProof/>
          <w:color w:val="000000"/>
          <w:sz w:val="18"/>
          <w:szCs w:val="20"/>
          <w:highlight w:val="black"/>
        </w:rPr>
        <w:t>''''''''''''''''''''''</w:t>
      </w:r>
      <w:r w:rsidR="002A6604" w:rsidRPr="000B49C6">
        <w:rPr>
          <w:rFonts w:ascii="Arial Narrow" w:hAnsi="Arial Narrow"/>
          <w:sz w:val="18"/>
          <w:szCs w:val="20"/>
        </w:rPr>
        <w:t xml:space="preserve"> per vial of </w:t>
      </w:r>
      <w:proofErr w:type="spellStart"/>
      <w:r w:rsidR="002A6604" w:rsidRPr="000B49C6">
        <w:rPr>
          <w:rFonts w:ascii="Arial Narrow" w:hAnsi="Arial Narrow"/>
          <w:sz w:val="18"/>
          <w:szCs w:val="20"/>
        </w:rPr>
        <w:t>bezlotoxumab</w:t>
      </w:r>
      <w:proofErr w:type="spellEnd"/>
      <w:r w:rsidR="002A6604" w:rsidRPr="000B49C6">
        <w:rPr>
          <w:rFonts w:ascii="Arial Narrow" w:hAnsi="Arial Narrow"/>
          <w:sz w:val="18"/>
          <w:szCs w:val="20"/>
        </w:rPr>
        <w:t xml:space="preserve"> (Private hospital)</w:t>
      </w:r>
    </w:p>
    <w:p w:rsidR="004672AC" w:rsidRPr="000B49C6" w:rsidRDefault="00C41521" w:rsidP="004672AC">
      <w:pPr>
        <w:ind w:left="170" w:hanging="170"/>
        <w:rPr>
          <w:rFonts w:ascii="Arial Narrow" w:hAnsi="Arial Narrow"/>
          <w:sz w:val="18"/>
          <w:szCs w:val="20"/>
        </w:rPr>
      </w:pPr>
      <w:proofErr w:type="spellStart"/>
      <w:proofErr w:type="gramStart"/>
      <w:r w:rsidRPr="000B49C6">
        <w:rPr>
          <w:rFonts w:ascii="Arial Narrow" w:hAnsi="Arial Narrow"/>
          <w:sz w:val="18"/>
          <w:szCs w:val="20"/>
          <w:vertAlign w:val="superscript"/>
        </w:rPr>
        <w:t>e</w:t>
      </w:r>
      <w:proofErr w:type="spellEnd"/>
      <w:proofErr w:type="gramEnd"/>
      <w:r w:rsidR="004672AC" w:rsidRPr="000B49C6">
        <w:rPr>
          <w:rFonts w:ascii="Arial Narrow" w:hAnsi="Arial Narrow"/>
          <w:sz w:val="18"/>
          <w:szCs w:val="20"/>
        </w:rPr>
        <w:tab/>
        <w:t xml:space="preserve">Assumed average co-payment for </w:t>
      </w:r>
      <w:proofErr w:type="spellStart"/>
      <w:r w:rsidR="004672AC" w:rsidRPr="000B49C6">
        <w:rPr>
          <w:rFonts w:ascii="Arial Narrow" w:hAnsi="Arial Narrow"/>
          <w:sz w:val="18"/>
          <w:szCs w:val="20"/>
        </w:rPr>
        <w:t>bezlotoxumab</w:t>
      </w:r>
      <w:proofErr w:type="spellEnd"/>
      <w:r w:rsidR="004672AC" w:rsidRPr="000B49C6">
        <w:rPr>
          <w:rFonts w:ascii="Arial Narrow" w:hAnsi="Arial Narrow"/>
          <w:sz w:val="18"/>
          <w:szCs w:val="20"/>
        </w:rPr>
        <w:t xml:space="preserve"> on the PBS was $17.14 and RPBS was $5.48.</w:t>
      </w:r>
    </w:p>
    <w:p w:rsidR="004672AC" w:rsidRPr="000B49C6" w:rsidRDefault="00C41521" w:rsidP="004672AC">
      <w:pPr>
        <w:ind w:left="170" w:hanging="170"/>
        <w:rPr>
          <w:rFonts w:ascii="Arial Narrow" w:hAnsi="Arial Narrow"/>
          <w:sz w:val="18"/>
          <w:szCs w:val="20"/>
        </w:rPr>
      </w:pPr>
      <w:proofErr w:type="gramStart"/>
      <w:r w:rsidRPr="000B49C6">
        <w:rPr>
          <w:rFonts w:ascii="Arial Narrow" w:hAnsi="Arial Narrow"/>
          <w:sz w:val="18"/>
          <w:szCs w:val="20"/>
          <w:vertAlign w:val="superscript"/>
        </w:rPr>
        <w:t>f</w:t>
      </w:r>
      <w:proofErr w:type="gramEnd"/>
      <w:r w:rsidR="004672AC" w:rsidRPr="000B49C6">
        <w:rPr>
          <w:rFonts w:ascii="Arial Narrow" w:hAnsi="Arial Narrow"/>
          <w:sz w:val="18"/>
          <w:szCs w:val="20"/>
        </w:rPr>
        <w:tab/>
        <w:t xml:space="preserve">Estimated as the difference between rate of CDI recurrence in patients not treated with </w:t>
      </w:r>
      <w:proofErr w:type="spellStart"/>
      <w:r w:rsidR="004672AC" w:rsidRPr="000B49C6">
        <w:rPr>
          <w:rFonts w:ascii="Arial Narrow" w:hAnsi="Arial Narrow"/>
          <w:sz w:val="18"/>
          <w:szCs w:val="20"/>
        </w:rPr>
        <w:t>bezlotoxumab</w:t>
      </w:r>
      <w:proofErr w:type="spellEnd"/>
      <w:r w:rsidR="004672AC" w:rsidRPr="000B49C6">
        <w:rPr>
          <w:rFonts w:ascii="Arial Narrow" w:hAnsi="Arial Narrow"/>
          <w:sz w:val="18"/>
          <w:szCs w:val="20"/>
        </w:rPr>
        <w:t xml:space="preserve"> and treated with </w:t>
      </w:r>
      <w:proofErr w:type="spellStart"/>
      <w:r w:rsidR="004672AC" w:rsidRPr="000B49C6">
        <w:rPr>
          <w:rFonts w:ascii="Arial Narrow" w:hAnsi="Arial Narrow"/>
          <w:sz w:val="18"/>
          <w:szCs w:val="20"/>
        </w:rPr>
        <w:t>bezlotoxumab</w:t>
      </w:r>
      <w:proofErr w:type="spellEnd"/>
      <w:r w:rsidR="004672AC" w:rsidRPr="000B49C6">
        <w:rPr>
          <w:rFonts w:ascii="Arial Narrow" w:hAnsi="Arial Narrow"/>
          <w:sz w:val="18"/>
          <w:szCs w:val="20"/>
        </w:rPr>
        <w:t xml:space="preserve"> (29.8%-16.9%) multiplied by the uptake rate and total eligible patients for </w:t>
      </w:r>
      <w:proofErr w:type="spellStart"/>
      <w:r w:rsidR="004672AC" w:rsidRPr="000B49C6">
        <w:rPr>
          <w:rFonts w:ascii="Arial Narrow" w:hAnsi="Arial Narrow"/>
          <w:sz w:val="18"/>
          <w:szCs w:val="20"/>
        </w:rPr>
        <w:t>bezlotoxumab</w:t>
      </w:r>
      <w:proofErr w:type="spellEnd"/>
      <w:r w:rsidR="004672AC" w:rsidRPr="000B49C6">
        <w:rPr>
          <w:rFonts w:ascii="Arial Narrow" w:hAnsi="Arial Narrow"/>
          <w:sz w:val="18"/>
          <w:szCs w:val="20"/>
        </w:rPr>
        <w:t xml:space="preserve"> using vancomycin (57.4%).</w:t>
      </w:r>
    </w:p>
    <w:p w:rsidR="004672AC" w:rsidRPr="000B49C6" w:rsidRDefault="00C41521" w:rsidP="004672AC">
      <w:pPr>
        <w:ind w:left="170" w:hanging="170"/>
        <w:rPr>
          <w:rFonts w:ascii="Arial Narrow" w:hAnsi="Arial Narrow"/>
          <w:sz w:val="18"/>
          <w:szCs w:val="20"/>
        </w:rPr>
      </w:pPr>
      <w:proofErr w:type="gramStart"/>
      <w:r w:rsidRPr="000B49C6">
        <w:rPr>
          <w:rFonts w:ascii="Arial Narrow" w:hAnsi="Arial Narrow"/>
          <w:sz w:val="18"/>
          <w:szCs w:val="20"/>
          <w:vertAlign w:val="superscript"/>
        </w:rPr>
        <w:t>g</w:t>
      </w:r>
      <w:proofErr w:type="gramEnd"/>
      <w:r w:rsidR="004672AC" w:rsidRPr="000B49C6">
        <w:rPr>
          <w:rFonts w:ascii="Arial Narrow" w:hAnsi="Arial Narrow"/>
          <w:sz w:val="18"/>
          <w:szCs w:val="20"/>
        </w:rPr>
        <w:tab/>
        <w:t>Assume that 67% of all vancomycin scripts will be 125mg (DPMQ: $230.47) and the remaining 33% will be 250mg (DPMQ: $460.89) and an average co-payment for vancomycin avoided for PBS is $17.60 and RPBS is $6.30.</w:t>
      </w:r>
    </w:p>
    <w:p w:rsidR="004672AC" w:rsidRPr="000B49C6" w:rsidRDefault="00C41521" w:rsidP="004672AC">
      <w:pPr>
        <w:ind w:left="170" w:hanging="170"/>
        <w:rPr>
          <w:rFonts w:ascii="Arial Narrow" w:hAnsi="Arial Narrow"/>
          <w:sz w:val="18"/>
          <w:szCs w:val="20"/>
        </w:rPr>
      </w:pPr>
      <w:proofErr w:type="gramStart"/>
      <w:r w:rsidRPr="000B49C6">
        <w:rPr>
          <w:rFonts w:ascii="Arial Narrow" w:hAnsi="Arial Narrow"/>
          <w:sz w:val="18"/>
          <w:szCs w:val="20"/>
          <w:vertAlign w:val="superscript"/>
        </w:rPr>
        <w:t>h</w:t>
      </w:r>
      <w:proofErr w:type="gramEnd"/>
      <w:r w:rsidR="004672AC" w:rsidRPr="000B49C6">
        <w:rPr>
          <w:rFonts w:ascii="Arial Narrow" w:hAnsi="Arial Narrow"/>
          <w:sz w:val="18"/>
          <w:szCs w:val="20"/>
        </w:rPr>
        <w:tab/>
        <w:t xml:space="preserve">Net cost of </w:t>
      </w:r>
      <w:proofErr w:type="spellStart"/>
      <w:r w:rsidR="004672AC" w:rsidRPr="000B49C6">
        <w:rPr>
          <w:rFonts w:ascii="Arial Narrow" w:hAnsi="Arial Narrow"/>
          <w:sz w:val="18"/>
          <w:szCs w:val="20"/>
        </w:rPr>
        <w:t>bezlotoxumab</w:t>
      </w:r>
      <w:proofErr w:type="spellEnd"/>
      <w:r w:rsidR="004672AC" w:rsidRPr="000B49C6">
        <w:rPr>
          <w:rFonts w:ascii="Arial Narrow" w:hAnsi="Arial Narrow"/>
          <w:sz w:val="18"/>
          <w:szCs w:val="20"/>
        </w:rPr>
        <w:t xml:space="preserve"> minus the cost of vancomycin avoided.</w:t>
      </w:r>
    </w:p>
    <w:p w:rsidR="004672AC" w:rsidRPr="000B49C6" w:rsidRDefault="00C41521" w:rsidP="004672AC">
      <w:pPr>
        <w:ind w:left="170" w:hanging="170"/>
        <w:rPr>
          <w:rFonts w:ascii="Arial Narrow" w:hAnsi="Arial Narrow"/>
          <w:sz w:val="18"/>
          <w:szCs w:val="20"/>
        </w:rPr>
      </w:pPr>
      <w:proofErr w:type="spellStart"/>
      <w:proofErr w:type="gramStart"/>
      <w:r w:rsidRPr="000B49C6">
        <w:rPr>
          <w:rFonts w:ascii="Arial Narrow" w:hAnsi="Arial Narrow"/>
          <w:sz w:val="18"/>
          <w:szCs w:val="20"/>
          <w:vertAlign w:val="superscript"/>
        </w:rPr>
        <w:t>i</w:t>
      </w:r>
      <w:proofErr w:type="spellEnd"/>
      <w:proofErr w:type="gramEnd"/>
      <w:r w:rsidR="004672AC" w:rsidRPr="000B49C6">
        <w:rPr>
          <w:rFonts w:ascii="Arial Narrow" w:hAnsi="Arial Narrow"/>
          <w:sz w:val="18"/>
          <w:szCs w:val="20"/>
        </w:rPr>
        <w:tab/>
        <w:t xml:space="preserve">Estimated </w:t>
      </w:r>
      <w:proofErr w:type="spellStart"/>
      <w:r w:rsidR="004672AC" w:rsidRPr="000B49C6">
        <w:rPr>
          <w:rFonts w:ascii="Arial Narrow" w:hAnsi="Arial Narrow"/>
          <w:sz w:val="18"/>
          <w:szCs w:val="20"/>
        </w:rPr>
        <w:t>bezlotoxumab</w:t>
      </w:r>
      <w:proofErr w:type="spellEnd"/>
      <w:r w:rsidR="004672AC" w:rsidRPr="000B49C6">
        <w:rPr>
          <w:rFonts w:ascii="Arial Narrow" w:hAnsi="Arial Narrow"/>
          <w:sz w:val="18"/>
          <w:szCs w:val="20"/>
        </w:rPr>
        <w:t xml:space="preserve"> infusions patients (+vancomycin or +metronidazole) multiplied by MBS item 14245 ($97.95).</w:t>
      </w:r>
    </w:p>
    <w:p w:rsidR="004672AC" w:rsidRPr="000B49C6" w:rsidRDefault="004672AC" w:rsidP="004672AC">
      <w:pPr>
        <w:pStyle w:val="TableFooter"/>
        <w:rPr>
          <w:sz w:val="20"/>
        </w:rPr>
      </w:pPr>
      <w:r w:rsidRPr="000B49C6">
        <w:t xml:space="preserve">Source: Constructed during the evaluation from Section 4 and </w:t>
      </w:r>
      <w:proofErr w:type="spellStart"/>
      <w:r w:rsidRPr="000B49C6">
        <w:t>Bezlotoxumab</w:t>
      </w:r>
      <w:proofErr w:type="spellEnd"/>
      <w:r w:rsidRPr="000B49C6">
        <w:t xml:space="preserve"> Sec 4 Workbook of the resubmission</w:t>
      </w:r>
    </w:p>
    <w:p w:rsidR="00C25D9C" w:rsidRDefault="00C25D9C" w:rsidP="00C25D9C">
      <w:pPr>
        <w:widowControl/>
      </w:pPr>
    </w:p>
    <w:p w:rsidR="00526054" w:rsidRDefault="00526054" w:rsidP="00C25D9C">
      <w:pPr>
        <w:widowControl/>
      </w:pPr>
      <w:r>
        <w:t xml:space="preserve">The redacted table shows that at Year 6, the </w:t>
      </w:r>
      <w:r w:rsidR="00187AD0">
        <w:t>estimated</w:t>
      </w:r>
      <w:r>
        <w:t xml:space="preserve"> number of patients was less than 10,000. </w:t>
      </w:r>
    </w:p>
    <w:p w:rsidR="00526054" w:rsidRPr="000B49C6" w:rsidRDefault="00526054" w:rsidP="00C25D9C">
      <w:pPr>
        <w:widowControl/>
      </w:pPr>
    </w:p>
    <w:p w:rsidR="00D62027" w:rsidRPr="000B49C6" w:rsidRDefault="00D62027" w:rsidP="003A5018">
      <w:pPr>
        <w:pStyle w:val="ListParagraph"/>
        <w:widowControl/>
        <w:numPr>
          <w:ilvl w:val="1"/>
          <w:numId w:val="3"/>
        </w:numPr>
      </w:pPr>
      <w:r w:rsidRPr="000B49C6">
        <w:t xml:space="preserve">The total cost to the PBS in the first 6 years of </w:t>
      </w:r>
      <w:proofErr w:type="spellStart"/>
      <w:r w:rsidRPr="000B49C6">
        <w:t>bezlotoxumab</w:t>
      </w:r>
      <w:proofErr w:type="spellEnd"/>
      <w:r w:rsidRPr="000B49C6">
        <w:t xml:space="preserve"> listing on the PBS was estimated to be $</w:t>
      </w:r>
      <w:r w:rsidR="00020426">
        <w:t>60 - $100 million</w:t>
      </w:r>
      <w:r w:rsidRPr="000B49C6">
        <w:t xml:space="preserve"> (previously $</w:t>
      </w:r>
      <w:r w:rsidR="00020426">
        <w:t>30 - $60 million</w:t>
      </w:r>
      <w:r w:rsidRPr="000B49C6">
        <w:t xml:space="preserve"> in the November 2017 submission, a 98% increase)</w:t>
      </w:r>
      <w:r w:rsidR="00991401">
        <w:t xml:space="preserve">. </w:t>
      </w:r>
      <w:r w:rsidRPr="000B49C6">
        <w:t xml:space="preserve">The main changes to the financial estimates between the resubmission and the November 2017 submission were the increase in </w:t>
      </w:r>
      <w:r w:rsidRPr="000B49C6">
        <w:lastRenderedPageBreak/>
        <w:t xml:space="preserve">the eligible patient population </w:t>
      </w:r>
      <w:r w:rsidR="00F83E19" w:rsidRPr="000B49C6">
        <w:t xml:space="preserve">(due to the change in requested restriction) </w:t>
      </w:r>
      <w:r w:rsidRPr="000B49C6">
        <w:t xml:space="preserve">and uptake rate of </w:t>
      </w:r>
      <w:proofErr w:type="spellStart"/>
      <w:r w:rsidRPr="000B49C6">
        <w:t>bezlotoxumab</w:t>
      </w:r>
      <w:proofErr w:type="spellEnd"/>
      <w:r w:rsidRPr="000B49C6">
        <w:t xml:space="preserve"> as well as the inclusion of the MBS cost for the administration of </w:t>
      </w:r>
      <w:proofErr w:type="spellStart"/>
      <w:r w:rsidRPr="000B49C6">
        <w:t>bezlotoxumab</w:t>
      </w:r>
      <w:proofErr w:type="spellEnd"/>
      <w:r w:rsidRPr="000B49C6">
        <w:t xml:space="preserve"> (MBS item 1245).</w:t>
      </w:r>
    </w:p>
    <w:p w:rsidR="004672AC" w:rsidRPr="000B49C6" w:rsidRDefault="00D62027" w:rsidP="004672AC">
      <w:pPr>
        <w:pStyle w:val="ListParagraph"/>
        <w:widowControl/>
        <w:numPr>
          <w:ilvl w:val="1"/>
          <w:numId w:val="3"/>
        </w:numPr>
      </w:pPr>
      <w:r w:rsidRPr="000B49C6">
        <w:t>Results of s</w:t>
      </w:r>
      <w:r w:rsidR="004672AC" w:rsidRPr="000B49C6">
        <w:t xml:space="preserve">ensitivity analyses around </w:t>
      </w:r>
      <w:r w:rsidRPr="000B49C6">
        <w:t xml:space="preserve">assumed financial </w:t>
      </w:r>
      <w:r w:rsidR="004672AC" w:rsidRPr="000B49C6">
        <w:t xml:space="preserve">parameters </w:t>
      </w:r>
      <w:r w:rsidRPr="000B49C6">
        <w:t>(</w:t>
      </w:r>
      <w:r w:rsidR="004672AC" w:rsidRPr="000B49C6">
        <w:t xml:space="preserve">including </w:t>
      </w:r>
      <w:r w:rsidRPr="000B49C6">
        <w:t xml:space="preserve">results of additional </w:t>
      </w:r>
      <w:r w:rsidR="004672AC" w:rsidRPr="000B49C6">
        <w:t>sensitivity conducted during the evaluation</w:t>
      </w:r>
      <w:r w:rsidRPr="000B49C6">
        <w:t>)</w:t>
      </w:r>
      <w:r w:rsidR="00363F50" w:rsidRPr="000B49C6">
        <w:t xml:space="preserve"> are presented in Table </w:t>
      </w:r>
      <w:r w:rsidR="00E82A52">
        <w:t>11</w:t>
      </w:r>
      <w:r w:rsidR="004672AC" w:rsidRPr="000B49C6">
        <w:t xml:space="preserve">. </w:t>
      </w:r>
      <w:r w:rsidRPr="000B49C6">
        <w:t>All presented sensitivity r</w:t>
      </w:r>
      <w:r w:rsidR="004672AC" w:rsidRPr="000B49C6">
        <w:t>esults</w:t>
      </w:r>
      <w:r w:rsidRPr="000B49C6">
        <w:t xml:space="preserve"> below</w:t>
      </w:r>
      <w:r w:rsidR="004672AC" w:rsidRPr="000B49C6">
        <w:t xml:space="preserve"> </w:t>
      </w:r>
      <w:r w:rsidRPr="000B49C6">
        <w:t xml:space="preserve">were adjusted in the </w:t>
      </w:r>
      <w:r w:rsidR="004672AC" w:rsidRPr="000B49C6">
        <w:t>evaluation to include an additional $97.95</w:t>
      </w:r>
      <w:r w:rsidRPr="000B49C6">
        <w:t xml:space="preserve"> administration cost </w:t>
      </w:r>
      <w:r w:rsidR="004672AC" w:rsidRPr="000B49C6">
        <w:t xml:space="preserve">per </w:t>
      </w:r>
      <w:proofErr w:type="spellStart"/>
      <w:r w:rsidR="004672AC" w:rsidRPr="000B49C6">
        <w:t>bezlotoxumab</w:t>
      </w:r>
      <w:proofErr w:type="spellEnd"/>
      <w:r w:rsidR="004672AC" w:rsidRPr="000B49C6">
        <w:t xml:space="preserve"> infusion (MBS item 14245).</w:t>
      </w:r>
      <w:r w:rsidR="004672AC" w:rsidRPr="000B49C6">
        <w:rPr>
          <w:color w:val="3366FF"/>
        </w:rPr>
        <w:t xml:space="preserve"> </w:t>
      </w:r>
    </w:p>
    <w:p w:rsidR="00363F50" w:rsidRPr="000B49C6" w:rsidRDefault="00363F50" w:rsidP="00363F50">
      <w:pPr>
        <w:pStyle w:val="Caption"/>
        <w:keepNext/>
        <w:spacing w:after="60"/>
        <w:rPr>
          <w:rFonts w:ascii="Arial Narrow" w:hAnsi="Arial Narrow"/>
          <w:color w:val="auto"/>
          <w:sz w:val="20"/>
          <w:szCs w:val="20"/>
        </w:rPr>
      </w:pPr>
      <w:r w:rsidRPr="000B49C6">
        <w:rPr>
          <w:rFonts w:ascii="Arial Narrow" w:hAnsi="Arial Narrow"/>
          <w:color w:val="auto"/>
          <w:sz w:val="20"/>
          <w:szCs w:val="20"/>
        </w:rPr>
        <w:t xml:space="preserve">Table </w:t>
      </w:r>
      <w:r w:rsidR="00E82A52">
        <w:rPr>
          <w:rFonts w:ascii="Arial Narrow" w:hAnsi="Arial Narrow"/>
          <w:color w:val="auto"/>
          <w:sz w:val="20"/>
          <w:szCs w:val="20"/>
        </w:rPr>
        <w:t>11</w:t>
      </w:r>
      <w:r w:rsidRPr="000B49C6">
        <w:rPr>
          <w:rFonts w:ascii="Arial Narrow" w:hAnsi="Arial Narrow"/>
          <w:color w:val="auto"/>
          <w:sz w:val="20"/>
          <w:szCs w:val="20"/>
        </w:rPr>
        <w:t>: Sensitivity analyses for the financial estimates updated during the evaluation</w:t>
      </w:r>
    </w:p>
    <w:tbl>
      <w:tblPr>
        <w:tblStyle w:val="TableGrid"/>
        <w:tblW w:w="9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Caption w:val="Table 8: Sensitivity analyses for the financial estimates updated during the evaluation"/>
      </w:tblPr>
      <w:tblGrid>
        <w:gridCol w:w="3005"/>
        <w:gridCol w:w="1134"/>
        <w:gridCol w:w="992"/>
        <w:gridCol w:w="993"/>
        <w:gridCol w:w="992"/>
        <w:gridCol w:w="992"/>
        <w:gridCol w:w="992"/>
      </w:tblGrid>
      <w:tr w:rsidR="004672AC" w:rsidRPr="000B49C6" w:rsidTr="000114C4">
        <w:trPr>
          <w:tblHeader/>
        </w:trPr>
        <w:tc>
          <w:tcPr>
            <w:tcW w:w="3005" w:type="dxa"/>
            <w:shd w:val="clear" w:color="auto" w:fill="auto"/>
          </w:tcPr>
          <w:p w:rsidR="004672AC" w:rsidRPr="000B49C6" w:rsidRDefault="004672AC" w:rsidP="00620550">
            <w:pPr>
              <w:rPr>
                <w:rFonts w:ascii="Arial Narrow" w:hAnsi="Arial Narrow"/>
                <w:sz w:val="20"/>
                <w:szCs w:val="20"/>
              </w:rPr>
            </w:pPr>
          </w:p>
        </w:tc>
        <w:tc>
          <w:tcPr>
            <w:tcW w:w="1134" w:type="dxa"/>
            <w:shd w:val="clear" w:color="auto" w:fill="auto"/>
            <w:vAlign w:val="center"/>
          </w:tcPr>
          <w:p w:rsidR="004672AC" w:rsidRPr="000B49C6" w:rsidRDefault="004672AC" w:rsidP="00620550">
            <w:pPr>
              <w:jc w:val="center"/>
              <w:rPr>
                <w:rFonts w:ascii="Arial Narrow" w:hAnsi="Arial Narrow"/>
                <w:b/>
                <w:bCs/>
                <w:sz w:val="20"/>
                <w:szCs w:val="20"/>
              </w:rPr>
            </w:pPr>
            <w:r w:rsidRPr="000B49C6">
              <w:rPr>
                <w:rFonts w:ascii="Arial Narrow" w:hAnsi="Arial Narrow"/>
                <w:b/>
                <w:bCs/>
                <w:sz w:val="20"/>
                <w:szCs w:val="20"/>
              </w:rPr>
              <w:t>Year 1</w:t>
            </w:r>
          </w:p>
        </w:tc>
        <w:tc>
          <w:tcPr>
            <w:tcW w:w="992" w:type="dxa"/>
            <w:shd w:val="clear" w:color="auto" w:fill="auto"/>
            <w:vAlign w:val="center"/>
          </w:tcPr>
          <w:p w:rsidR="004672AC" w:rsidRPr="000B49C6" w:rsidRDefault="004672AC" w:rsidP="00620550">
            <w:pPr>
              <w:jc w:val="center"/>
              <w:rPr>
                <w:rFonts w:ascii="Arial Narrow" w:hAnsi="Arial Narrow"/>
                <w:b/>
                <w:bCs/>
                <w:sz w:val="20"/>
                <w:szCs w:val="20"/>
              </w:rPr>
            </w:pPr>
            <w:r w:rsidRPr="000B49C6">
              <w:rPr>
                <w:rFonts w:ascii="Arial Narrow" w:hAnsi="Arial Narrow"/>
                <w:b/>
                <w:bCs/>
                <w:sz w:val="20"/>
                <w:szCs w:val="20"/>
              </w:rPr>
              <w:t>Year 2</w:t>
            </w:r>
          </w:p>
        </w:tc>
        <w:tc>
          <w:tcPr>
            <w:tcW w:w="993" w:type="dxa"/>
            <w:shd w:val="clear" w:color="auto" w:fill="auto"/>
            <w:vAlign w:val="center"/>
          </w:tcPr>
          <w:p w:rsidR="004672AC" w:rsidRPr="000B49C6" w:rsidRDefault="004672AC" w:rsidP="00620550">
            <w:pPr>
              <w:jc w:val="center"/>
              <w:rPr>
                <w:rFonts w:ascii="Arial Narrow" w:hAnsi="Arial Narrow"/>
                <w:b/>
                <w:bCs/>
                <w:sz w:val="20"/>
                <w:szCs w:val="20"/>
              </w:rPr>
            </w:pPr>
            <w:r w:rsidRPr="000B49C6">
              <w:rPr>
                <w:rFonts w:ascii="Arial Narrow" w:hAnsi="Arial Narrow"/>
                <w:b/>
                <w:bCs/>
                <w:sz w:val="20"/>
                <w:szCs w:val="20"/>
              </w:rPr>
              <w:t>Year 3</w:t>
            </w:r>
          </w:p>
        </w:tc>
        <w:tc>
          <w:tcPr>
            <w:tcW w:w="992" w:type="dxa"/>
            <w:shd w:val="clear" w:color="auto" w:fill="auto"/>
            <w:vAlign w:val="center"/>
          </w:tcPr>
          <w:p w:rsidR="004672AC" w:rsidRPr="000B49C6" w:rsidRDefault="004672AC" w:rsidP="00620550">
            <w:pPr>
              <w:jc w:val="center"/>
              <w:rPr>
                <w:rFonts w:ascii="Arial Narrow" w:hAnsi="Arial Narrow"/>
                <w:b/>
                <w:bCs/>
                <w:sz w:val="20"/>
                <w:szCs w:val="20"/>
              </w:rPr>
            </w:pPr>
            <w:r w:rsidRPr="000B49C6">
              <w:rPr>
                <w:rFonts w:ascii="Arial Narrow" w:hAnsi="Arial Narrow"/>
                <w:b/>
                <w:bCs/>
                <w:sz w:val="20"/>
                <w:szCs w:val="20"/>
              </w:rPr>
              <w:t>Year 4</w:t>
            </w:r>
          </w:p>
        </w:tc>
        <w:tc>
          <w:tcPr>
            <w:tcW w:w="992" w:type="dxa"/>
            <w:shd w:val="clear" w:color="auto" w:fill="auto"/>
            <w:vAlign w:val="center"/>
          </w:tcPr>
          <w:p w:rsidR="004672AC" w:rsidRPr="000B49C6" w:rsidRDefault="004672AC" w:rsidP="00620550">
            <w:pPr>
              <w:jc w:val="center"/>
              <w:rPr>
                <w:rFonts w:ascii="Arial Narrow" w:hAnsi="Arial Narrow"/>
                <w:b/>
                <w:bCs/>
                <w:sz w:val="20"/>
                <w:szCs w:val="20"/>
              </w:rPr>
            </w:pPr>
            <w:r w:rsidRPr="000B49C6">
              <w:rPr>
                <w:rFonts w:ascii="Arial Narrow" w:hAnsi="Arial Narrow"/>
                <w:b/>
                <w:bCs/>
                <w:sz w:val="20"/>
                <w:szCs w:val="20"/>
              </w:rPr>
              <w:t>Year 5</w:t>
            </w:r>
          </w:p>
        </w:tc>
        <w:tc>
          <w:tcPr>
            <w:tcW w:w="992" w:type="dxa"/>
            <w:shd w:val="clear" w:color="auto" w:fill="auto"/>
            <w:vAlign w:val="center"/>
          </w:tcPr>
          <w:p w:rsidR="004672AC" w:rsidRPr="000B49C6" w:rsidRDefault="004672AC" w:rsidP="00620550">
            <w:pPr>
              <w:jc w:val="center"/>
              <w:rPr>
                <w:rFonts w:ascii="Arial Narrow" w:hAnsi="Arial Narrow"/>
                <w:b/>
                <w:bCs/>
                <w:sz w:val="20"/>
                <w:szCs w:val="20"/>
              </w:rPr>
            </w:pPr>
            <w:r w:rsidRPr="000B49C6">
              <w:rPr>
                <w:rFonts w:ascii="Arial Narrow" w:hAnsi="Arial Narrow"/>
                <w:b/>
                <w:bCs/>
                <w:sz w:val="20"/>
                <w:szCs w:val="20"/>
              </w:rPr>
              <w:t>Year 6</w:t>
            </w:r>
          </w:p>
        </w:tc>
      </w:tr>
      <w:tr w:rsidR="004672AC" w:rsidRPr="000B49C6" w:rsidTr="000114C4">
        <w:tc>
          <w:tcPr>
            <w:tcW w:w="3005" w:type="dxa"/>
            <w:shd w:val="clear" w:color="auto" w:fill="auto"/>
          </w:tcPr>
          <w:p w:rsidR="004672AC" w:rsidRPr="000B49C6" w:rsidRDefault="004672AC" w:rsidP="00620550">
            <w:pPr>
              <w:rPr>
                <w:rFonts w:ascii="Arial Narrow" w:hAnsi="Arial Narrow"/>
                <w:sz w:val="20"/>
                <w:szCs w:val="20"/>
              </w:rPr>
            </w:pPr>
            <w:r w:rsidRPr="000B49C6">
              <w:rPr>
                <w:rFonts w:ascii="Arial Narrow" w:hAnsi="Arial Narrow"/>
                <w:sz w:val="20"/>
                <w:szCs w:val="20"/>
              </w:rPr>
              <w:t xml:space="preserve">Base case </w:t>
            </w:r>
          </w:p>
        </w:tc>
        <w:tc>
          <w:tcPr>
            <w:tcW w:w="1134" w:type="dxa"/>
            <w:shd w:val="clear" w:color="auto" w:fill="auto"/>
            <w:vAlign w:val="center"/>
          </w:tcPr>
          <w:p w:rsidR="004672AC" w:rsidRPr="000B49C6" w:rsidRDefault="004672AC" w:rsidP="00620550">
            <w:pPr>
              <w:jc w:val="center"/>
              <w:rPr>
                <w:rFonts w:ascii="Arial Narrow" w:hAnsi="Arial Narrow"/>
                <w:iCs/>
                <w:sz w:val="20"/>
                <w:szCs w:val="20"/>
              </w:rPr>
            </w:pPr>
            <w:r w:rsidRPr="000B49C6">
              <w:rPr>
                <w:rFonts w:ascii="Arial Narrow" w:hAnsi="Arial Narrow"/>
                <w:iCs/>
                <w:sz w:val="20"/>
                <w:szCs w:val="20"/>
              </w:rPr>
              <w:t>$</w:t>
            </w:r>
            <w:r w:rsidR="00410A2A">
              <w:rPr>
                <w:rFonts w:ascii="Arial Narrow" w:hAnsi="Arial Narrow"/>
                <w:iCs/>
                <w:noProof/>
                <w:color w:val="000000"/>
                <w:sz w:val="20"/>
                <w:szCs w:val="20"/>
                <w:highlight w:val="black"/>
              </w:rPr>
              <w:t>''''''''''''''''''''''</w:t>
            </w:r>
          </w:p>
        </w:tc>
        <w:tc>
          <w:tcPr>
            <w:tcW w:w="992" w:type="dxa"/>
            <w:shd w:val="clear" w:color="auto" w:fill="auto"/>
            <w:vAlign w:val="center"/>
          </w:tcPr>
          <w:p w:rsidR="004672AC" w:rsidRPr="000B49C6" w:rsidRDefault="004672AC" w:rsidP="00620550">
            <w:pPr>
              <w:jc w:val="center"/>
              <w:rPr>
                <w:rFonts w:ascii="Arial Narrow" w:hAnsi="Arial Narrow"/>
                <w:iCs/>
                <w:sz w:val="20"/>
                <w:szCs w:val="20"/>
              </w:rPr>
            </w:pPr>
            <w:r w:rsidRPr="000B49C6">
              <w:rPr>
                <w:rFonts w:ascii="Arial Narrow" w:hAnsi="Arial Narrow"/>
                <w:iCs/>
                <w:sz w:val="20"/>
                <w:szCs w:val="20"/>
              </w:rPr>
              <w:t>$</w:t>
            </w:r>
            <w:r w:rsidR="00410A2A">
              <w:rPr>
                <w:rFonts w:ascii="Arial Narrow" w:hAnsi="Arial Narrow"/>
                <w:iCs/>
                <w:noProof/>
                <w:color w:val="000000"/>
                <w:sz w:val="20"/>
                <w:szCs w:val="20"/>
                <w:highlight w:val="black"/>
              </w:rPr>
              <w:t>'''''''''''''''''''''''</w:t>
            </w:r>
          </w:p>
        </w:tc>
        <w:tc>
          <w:tcPr>
            <w:tcW w:w="993" w:type="dxa"/>
            <w:shd w:val="clear" w:color="auto" w:fill="auto"/>
            <w:vAlign w:val="center"/>
          </w:tcPr>
          <w:p w:rsidR="004672AC" w:rsidRPr="000B49C6" w:rsidRDefault="004672AC" w:rsidP="00620550">
            <w:pPr>
              <w:jc w:val="center"/>
              <w:rPr>
                <w:rFonts w:ascii="Arial Narrow" w:hAnsi="Arial Narrow"/>
                <w:iCs/>
                <w:sz w:val="20"/>
                <w:szCs w:val="20"/>
              </w:rPr>
            </w:pPr>
            <w:r w:rsidRPr="000B49C6">
              <w:rPr>
                <w:rFonts w:ascii="Arial Narrow" w:hAnsi="Arial Narrow"/>
                <w:iCs/>
                <w:sz w:val="20"/>
                <w:szCs w:val="20"/>
              </w:rPr>
              <w:t>$</w:t>
            </w:r>
            <w:r w:rsidR="00410A2A">
              <w:rPr>
                <w:rFonts w:ascii="Arial Narrow" w:hAnsi="Arial Narrow"/>
                <w:iCs/>
                <w:noProof/>
                <w:color w:val="000000"/>
                <w:sz w:val="20"/>
                <w:szCs w:val="20"/>
                <w:highlight w:val="black"/>
              </w:rPr>
              <w:t>'''''''''''''''''''''''''''''</w:t>
            </w:r>
          </w:p>
        </w:tc>
        <w:tc>
          <w:tcPr>
            <w:tcW w:w="992" w:type="dxa"/>
            <w:shd w:val="clear" w:color="auto" w:fill="auto"/>
            <w:vAlign w:val="center"/>
          </w:tcPr>
          <w:p w:rsidR="004672AC" w:rsidRPr="000B49C6" w:rsidRDefault="004672AC" w:rsidP="00620550">
            <w:pPr>
              <w:jc w:val="center"/>
              <w:rPr>
                <w:rFonts w:ascii="Arial Narrow" w:hAnsi="Arial Narrow"/>
                <w:iCs/>
                <w:sz w:val="20"/>
                <w:szCs w:val="20"/>
              </w:rPr>
            </w:pPr>
            <w:r w:rsidRPr="000B49C6">
              <w:rPr>
                <w:rFonts w:ascii="Arial Narrow" w:hAnsi="Arial Narrow"/>
                <w:iCs/>
                <w:sz w:val="20"/>
                <w:szCs w:val="20"/>
              </w:rPr>
              <w:t>$</w:t>
            </w:r>
            <w:r w:rsidR="00410A2A">
              <w:rPr>
                <w:rFonts w:ascii="Arial Narrow" w:hAnsi="Arial Narrow"/>
                <w:iCs/>
                <w:noProof/>
                <w:color w:val="000000"/>
                <w:sz w:val="20"/>
                <w:szCs w:val="20"/>
                <w:highlight w:val="black"/>
              </w:rPr>
              <w:t>''''''''''''''''''''''''</w:t>
            </w:r>
          </w:p>
        </w:tc>
        <w:tc>
          <w:tcPr>
            <w:tcW w:w="992" w:type="dxa"/>
            <w:shd w:val="clear" w:color="auto" w:fill="auto"/>
            <w:vAlign w:val="center"/>
          </w:tcPr>
          <w:p w:rsidR="004672AC" w:rsidRPr="000B49C6" w:rsidRDefault="004672AC" w:rsidP="00620550">
            <w:pPr>
              <w:jc w:val="center"/>
              <w:rPr>
                <w:rFonts w:ascii="Arial Narrow" w:hAnsi="Arial Narrow"/>
                <w:iCs/>
                <w:sz w:val="20"/>
                <w:szCs w:val="20"/>
              </w:rPr>
            </w:pPr>
            <w:r w:rsidRPr="000B49C6">
              <w:rPr>
                <w:rFonts w:ascii="Arial Narrow" w:hAnsi="Arial Narrow"/>
                <w:iCs/>
                <w:sz w:val="20"/>
                <w:szCs w:val="20"/>
              </w:rPr>
              <w:t>$</w:t>
            </w:r>
            <w:r w:rsidR="00410A2A">
              <w:rPr>
                <w:rFonts w:ascii="Arial Narrow" w:hAnsi="Arial Narrow"/>
                <w:iCs/>
                <w:noProof/>
                <w:color w:val="000000"/>
                <w:sz w:val="20"/>
                <w:szCs w:val="20"/>
                <w:highlight w:val="black"/>
              </w:rPr>
              <w:t>'''''''''''''''''''''''''</w:t>
            </w:r>
          </w:p>
        </w:tc>
        <w:tc>
          <w:tcPr>
            <w:tcW w:w="992" w:type="dxa"/>
            <w:shd w:val="clear" w:color="auto" w:fill="auto"/>
            <w:vAlign w:val="center"/>
          </w:tcPr>
          <w:p w:rsidR="004672AC" w:rsidRPr="000B49C6" w:rsidRDefault="004672AC" w:rsidP="00620550">
            <w:pPr>
              <w:jc w:val="center"/>
              <w:rPr>
                <w:rFonts w:ascii="Arial Narrow" w:hAnsi="Arial Narrow"/>
                <w:iCs/>
                <w:sz w:val="20"/>
                <w:szCs w:val="20"/>
              </w:rPr>
            </w:pPr>
            <w:r w:rsidRPr="000B49C6">
              <w:rPr>
                <w:rFonts w:ascii="Arial Narrow" w:hAnsi="Arial Narrow"/>
                <w:iCs/>
                <w:sz w:val="20"/>
                <w:szCs w:val="20"/>
              </w:rPr>
              <w:t>$</w:t>
            </w:r>
            <w:r w:rsidR="00410A2A">
              <w:rPr>
                <w:rFonts w:ascii="Arial Narrow" w:hAnsi="Arial Narrow"/>
                <w:iCs/>
                <w:noProof/>
                <w:color w:val="000000"/>
                <w:sz w:val="20"/>
                <w:szCs w:val="20"/>
                <w:highlight w:val="black"/>
              </w:rPr>
              <w:t>''''''''''''''''''''''''</w:t>
            </w:r>
          </w:p>
        </w:tc>
      </w:tr>
      <w:tr w:rsidR="004672AC" w:rsidRPr="000B49C6" w:rsidTr="000114C4">
        <w:tc>
          <w:tcPr>
            <w:tcW w:w="3005" w:type="dxa"/>
            <w:shd w:val="clear" w:color="auto" w:fill="auto"/>
          </w:tcPr>
          <w:p w:rsidR="004672AC" w:rsidRPr="000B49C6" w:rsidRDefault="004672AC" w:rsidP="00620550">
            <w:pPr>
              <w:rPr>
                <w:rFonts w:ascii="Arial Narrow" w:hAnsi="Arial Narrow"/>
                <w:sz w:val="20"/>
                <w:szCs w:val="20"/>
              </w:rPr>
            </w:pPr>
            <w:r w:rsidRPr="000B49C6">
              <w:rPr>
                <w:rFonts w:ascii="Arial Narrow" w:hAnsi="Arial Narrow"/>
                <w:sz w:val="20"/>
                <w:szCs w:val="20"/>
              </w:rPr>
              <w:t>10% increase in eligible patients</w:t>
            </w:r>
          </w:p>
        </w:tc>
        <w:tc>
          <w:tcPr>
            <w:tcW w:w="1134" w:type="dxa"/>
            <w:shd w:val="clear" w:color="auto" w:fill="auto"/>
            <w:vAlign w:val="center"/>
          </w:tcPr>
          <w:p w:rsidR="004672AC" w:rsidRPr="000B49C6" w:rsidRDefault="004672AC" w:rsidP="00620550">
            <w:pPr>
              <w:jc w:val="center"/>
              <w:rPr>
                <w:rFonts w:ascii="Arial Narrow" w:hAnsi="Arial Narrow"/>
                <w:iCs/>
                <w:sz w:val="20"/>
                <w:szCs w:val="20"/>
              </w:rPr>
            </w:pPr>
            <w:r w:rsidRPr="000B49C6">
              <w:rPr>
                <w:rFonts w:ascii="Arial Narrow" w:hAnsi="Arial Narrow"/>
                <w:iCs/>
                <w:sz w:val="20"/>
                <w:szCs w:val="20"/>
              </w:rPr>
              <w:t>$</w:t>
            </w:r>
            <w:r w:rsidR="00410A2A">
              <w:rPr>
                <w:rFonts w:ascii="Arial Narrow" w:hAnsi="Arial Narrow"/>
                <w:iCs/>
                <w:noProof/>
                <w:color w:val="000000"/>
                <w:sz w:val="20"/>
                <w:szCs w:val="20"/>
                <w:highlight w:val="black"/>
              </w:rPr>
              <w:t>'''''''''''''''''''''</w:t>
            </w:r>
          </w:p>
        </w:tc>
        <w:tc>
          <w:tcPr>
            <w:tcW w:w="992" w:type="dxa"/>
            <w:shd w:val="clear" w:color="auto" w:fill="auto"/>
            <w:vAlign w:val="center"/>
          </w:tcPr>
          <w:p w:rsidR="004672AC" w:rsidRPr="000B49C6" w:rsidRDefault="004672AC" w:rsidP="00620550">
            <w:pPr>
              <w:jc w:val="center"/>
              <w:rPr>
                <w:rFonts w:ascii="Arial Narrow" w:hAnsi="Arial Narrow"/>
                <w:iCs/>
                <w:sz w:val="20"/>
                <w:szCs w:val="20"/>
              </w:rPr>
            </w:pPr>
            <w:r w:rsidRPr="000B49C6">
              <w:rPr>
                <w:rFonts w:ascii="Arial Narrow" w:hAnsi="Arial Narrow"/>
                <w:iCs/>
                <w:sz w:val="20"/>
                <w:szCs w:val="20"/>
              </w:rPr>
              <w:t>$</w:t>
            </w:r>
            <w:r w:rsidR="00410A2A">
              <w:rPr>
                <w:rFonts w:ascii="Arial Narrow" w:hAnsi="Arial Narrow"/>
                <w:iCs/>
                <w:noProof/>
                <w:color w:val="000000"/>
                <w:sz w:val="20"/>
                <w:szCs w:val="20"/>
                <w:highlight w:val="black"/>
              </w:rPr>
              <w:t>'''''''''''''''''''''''''''''</w:t>
            </w:r>
          </w:p>
        </w:tc>
        <w:tc>
          <w:tcPr>
            <w:tcW w:w="993" w:type="dxa"/>
            <w:shd w:val="clear" w:color="auto" w:fill="auto"/>
            <w:vAlign w:val="center"/>
          </w:tcPr>
          <w:p w:rsidR="004672AC" w:rsidRPr="000B49C6" w:rsidRDefault="004672AC" w:rsidP="00620550">
            <w:pPr>
              <w:jc w:val="center"/>
              <w:rPr>
                <w:rFonts w:ascii="Arial Narrow" w:hAnsi="Arial Narrow"/>
                <w:iCs/>
                <w:sz w:val="20"/>
                <w:szCs w:val="20"/>
              </w:rPr>
            </w:pPr>
            <w:r w:rsidRPr="000B49C6">
              <w:rPr>
                <w:rFonts w:ascii="Arial Narrow" w:hAnsi="Arial Narrow"/>
                <w:iCs/>
                <w:sz w:val="20"/>
                <w:szCs w:val="20"/>
              </w:rPr>
              <w:t>$</w:t>
            </w:r>
            <w:r w:rsidR="00410A2A">
              <w:rPr>
                <w:rFonts w:ascii="Arial Narrow" w:hAnsi="Arial Narrow"/>
                <w:iCs/>
                <w:noProof/>
                <w:color w:val="000000"/>
                <w:sz w:val="20"/>
                <w:szCs w:val="20"/>
                <w:highlight w:val="black"/>
              </w:rPr>
              <w:t>'''''''''''''''''''''''''''</w:t>
            </w:r>
          </w:p>
        </w:tc>
        <w:tc>
          <w:tcPr>
            <w:tcW w:w="992" w:type="dxa"/>
            <w:shd w:val="clear" w:color="auto" w:fill="auto"/>
            <w:vAlign w:val="center"/>
          </w:tcPr>
          <w:p w:rsidR="004672AC" w:rsidRPr="000B49C6" w:rsidRDefault="004672AC" w:rsidP="00620550">
            <w:pPr>
              <w:jc w:val="center"/>
              <w:rPr>
                <w:rFonts w:ascii="Arial Narrow" w:hAnsi="Arial Narrow"/>
                <w:iCs/>
                <w:sz w:val="20"/>
                <w:szCs w:val="20"/>
              </w:rPr>
            </w:pPr>
            <w:r w:rsidRPr="000B49C6">
              <w:rPr>
                <w:rFonts w:ascii="Arial Narrow" w:hAnsi="Arial Narrow"/>
                <w:iCs/>
                <w:sz w:val="20"/>
                <w:szCs w:val="20"/>
              </w:rPr>
              <w:t>$</w:t>
            </w:r>
            <w:r w:rsidR="00410A2A">
              <w:rPr>
                <w:rFonts w:ascii="Arial Narrow" w:hAnsi="Arial Narrow"/>
                <w:iCs/>
                <w:noProof/>
                <w:color w:val="000000"/>
                <w:sz w:val="20"/>
                <w:szCs w:val="20"/>
                <w:highlight w:val="black"/>
              </w:rPr>
              <w:t>'''''''''''''''''''''''''''</w:t>
            </w:r>
          </w:p>
        </w:tc>
        <w:tc>
          <w:tcPr>
            <w:tcW w:w="992" w:type="dxa"/>
            <w:shd w:val="clear" w:color="auto" w:fill="auto"/>
            <w:vAlign w:val="center"/>
          </w:tcPr>
          <w:p w:rsidR="004672AC" w:rsidRPr="000B49C6" w:rsidRDefault="004672AC" w:rsidP="00620550">
            <w:pPr>
              <w:jc w:val="center"/>
              <w:rPr>
                <w:rFonts w:ascii="Arial Narrow" w:hAnsi="Arial Narrow"/>
                <w:iCs/>
                <w:sz w:val="20"/>
                <w:szCs w:val="20"/>
              </w:rPr>
            </w:pPr>
            <w:r w:rsidRPr="000B49C6">
              <w:rPr>
                <w:rFonts w:ascii="Arial Narrow" w:hAnsi="Arial Narrow"/>
                <w:iCs/>
                <w:sz w:val="20"/>
                <w:szCs w:val="20"/>
              </w:rPr>
              <w:t>$</w:t>
            </w:r>
            <w:r w:rsidR="00410A2A">
              <w:rPr>
                <w:rFonts w:ascii="Arial Narrow" w:hAnsi="Arial Narrow"/>
                <w:iCs/>
                <w:noProof/>
                <w:color w:val="000000"/>
                <w:sz w:val="20"/>
                <w:szCs w:val="20"/>
                <w:highlight w:val="black"/>
              </w:rPr>
              <w:t>''''''''''''''''''''''''''''</w:t>
            </w:r>
          </w:p>
        </w:tc>
        <w:tc>
          <w:tcPr>
            <w:tcW w:w="992" w:type="dxa"/>
            <w:shd w:val="clear" w:color="auto" w:fill="auto"/>
            <w:vAlign w:val="center"/>
          </w:tcPr>
          <w:p w:rsidR="004672AC" w:rsidRPr="000B49C6" w:rsidRDefault="004672AC" w:rsidP="00620550">
            <w:pPr>
              <w:jc w:val="center"/>
              <w:rPr>
                <w:rFonts w:ascii="Arial Narrow" w:hAnsi="Arial Narrow"/>
                <w:iCs/>
                <w:sz w:val="20"/>
                <w:szCs w:val="20"/>
              </w:rPr>
            </w:pPr>
            <w:r w:rsidRPr="000B49C6">
              <w:rPr>
                <w:rFonts w:ascii="Arial Narrow" w:hAnsi="Arial Narrow"/>
                <w:iCs/>
                <w:sz w:val="20"/>
                <w:szCs w:val="20"/>
              </w:rPr>
              <w:t>$</w:t>
            </w:r>
            <w:r w:rsidR="00410A2A">
              <w:rPr>
                <w:rFonts w:ascii="Arial Narrow" w:hAnsi="Arial Narrow"/>
                <w:iCs/>
                <w:noProof/>
                <w:color w:val="000000"/>
                <w:sz w:val="20"/>
                <w:szCs w:val="20"/>
                <w:highlight w:val="black"/>
              </w:rPr>
              <w:t>''''''''''''''''''''''''''</w:t>
            </w:r>
          </w:p>
        </w:tc>
      </w:tr>
      <w:tr w:rsidR="004672AC" w:rsidRPr="000B49C6" w:rsidTr="000114C4">
        <w:tc>
          <w:tcPr>
            <w:tcW w:w="3005" w:type="dxa"/>
            <w:shd w:val="clear" w:color="auto" w:fill="auto"/>
          </w:tcPr>
          <w:p w:rsidR="004672AC" w:rsidRPr="000B49C6" w:rsidRDefault="004672AC" w:rsidP="00620550">
            <w:pPr>
              <w:rPr>
                <w:rFonts w:ascii="Arial Narrow" w:hAnsi="Arial Narrow"/>
                <w:sz w:val="20"/>
                <w:szCs w:val="20"/>
              </w:rPr>
            </w:pPr>
            <w:r w:rsidRPr="000B49C6">
              <w:rPr>
                <w:rFonts w:ascii="Arial Narrow" w:hAnsi="Arial Narrow"/>
                <w:sz w:val="20"/>
                <w:szCs w:val="20"/>
              </w:rPr>
              <w:t>5% increase in annual uptake</w:t>
            </w:r>
          </w:p>
        </w:tc>
        <w:tc>
          <w:tcPr>
            <w:tcW w:w="1134" w:type="dxa"/>
            <w:shd w:val="clear" w:color="auto" w:fill="auto"/>
            <w:vAlign w:val="center"/>
          </w:tcPr>
          <w:p w:rsidR="004672AC" w:rsidRPr="000B49C6" w:rsidRDefault="004672AC" w:rsidP="00620550">
            <w:pPr>
              <w:jc w:val="center"/>
              <w:rPr>
                <w:rFonts w:ascii="Arial Narrow" w:hAnsi="Arial Narrow"/>
                <w:iCs/>
                <w:sz w:val="20"/>
                <w:szCs w:val="20"/>
              </w:rPr>
            </w:pPr>
            <w:r w:rsidRPr="000B49C6">
              <w:rPr>
                <w:rFonts w:ascii="Arial Narrow" w:hAnsi="Arial Narrow"/>
                <w:iCs/>
                <w:sz w:val="20"/>
                <w:szCs w:val="20"/>
              </w:rPr>
              <w:t>$</w:t>
            </w:r>
            <w:r w:rsidR="00410A2A">
              <w:rPr>
                <w:rFonts w:ascii="Arial Narrow" w:hAnsi="Arial Narrow"/>
                <w:iCs/>
                <w:noProof/>
                <w:color w:val="000000"/>
                <w:sz w:val="20"/>
                <w:szCs w:val="20"/>
                <w:highlight w:val="black"/>
              </w:rPr>
              <w:t>'''''''''''''''''''''''''</w:t>
            </w:r>
          </w:p>
        </w:tc>
        <w:tc>
          <w:tcPr>
            <w:tcW w:w="992" w:type="dxa"/>
            <w:shd w:val="clear" w:color="auto" w:fill="auto"/>
            <w:vAlign w:val="center"/>
          </w:tcPr>
          <w:p w:rsidR="004672AC" w:rsidRPr="000B49C6" w:rsidRDefault="004672AC" w:rsidP="00620550">
            <w:pPr>
              <w:jc w:val="center"/>
              <w:rPr>
                <w:rFonts w:ascii="Arial Narrow" w:hAnsi="Arial Narrow"/>
                <w:iCs/>
                <w:sz w:val="20"/>
                <w:szCs w:val="20"/>
              </w:rPr>
            </w:pPr>
            <w:r w:rsidRPr="000B49C6">
              <w:rPr>
                <w:rFonts w:ascii="Arial Narrow" w:hAnsi="Arial Narrow"/>
                <w:iCs/>
                <w:sz w:val="20"/>
                <w:szCs w:val="20"/>
              </w:rPr>
              <w:t>$</w:t>
            </w:r>
            <w:r w:rsidR="00410A2A">
              <w:rPr>
                <w:rFonts w:ascii="Arial Narrow" w:hAnsi="Arial Narrow"/>
                <w:iCs/>
                <w:noProof/>
                <w:color w:val="000000"/>
                <w:sz w:val="20"/>
                <w:szCs w:val="20"/>
                <w:highlight w:val="black"/>
              </w:rPr>
              <w:t>'''''''''''''''''''''''''''</w:t>
            </w:r>
          </w:p>
        </w:tc>
        <w:tc>
          <w:tcPr>
            <w:tcW w:w="993" w:type="dxa"/>
            <w:shd w:val="clear" w:color="auto" w:fill="auto"/>
            <w:vAlign w:val="center"/>
          </w:tcPr>
          <w:p w:rsidR="004672AC" w:rsidRPr="000B49C6" w:rsidRDefault="004672AC" w:rsidP="00620550">
            <w:pPr>
              <w:jc w:val="center"/>
              <w:rPr>
                <w:rFonts w:ascii="Arial Narrow" w:hAnsi="Arial Narrow"/>
                <w:iCs/>
                <w:sz w:val="20"/>
                <w:szCs w:val="20"/>
              </w:rPr>
            </w:pPr>
            <w:r w:rsidRPr="000B49C6">
              <w:rPr>
                <w:rFonts w:ascii="Arial Narrow" w:hAnsi="Arial Narrow"/>
                <w:iCs/>
                <w:sz w:val="20"/>
                <w:szCs w:val="20"/>
              </w:rPr>
              <w:t>$</w:t>
            </w:r>
            <w:r w:rsidR="00410A2A">
              <w:rPr>
                <w:rFonts w:ascii="Arial Narrow" w:hAnsi="Arial Narrow"/>
                <w:iCs/>
                <w:noProof/>
                <w:color w:val="000000"/>
                <w:sz w:val="20"/>
                <w:szCs w:val="20"/>
                <w:highlight w:val="black"/>
              </w:rPr>
              <w:t>'''''''''''''''''''''''''</w:t>
            </w:r>
          </w:p>
        </w:tc>
        <w:tc>
          <w:tcPr>
            <w:tcW w:w="992" w:type="dxa"/>
            <w:shd w:val="clear" w:color="auto" w:fill="auto"/>
            <w:vAlign w:val="center"/>
          </w:tcPr>
          <w:p w:rsidR="004672AC" w:rsidRPr="000B49C6" w:rsidRDefault="004672AC" w:rsidP="00620550">
            <w:pPr>
              <w:jc w:val="center"/>
              <w:rPr>
                <w:rFonts w:ascii="Arial Narrow" w:hAnsi="Arial Narrow"/>
                <w:iCs/>
                <w:sz w:val="20"/>
                <w:szCs w:val="20"/>
              </w:rPr>
            </w:pPr>
            <w:r w:rsidRPr="000B49C6">
              <w:rPr>
                <w:rFonts w:ascii="Arial Narrow" w:hAnsi="Arial Narrow"/>
                <w:iCs/>
                <w:sz w:val="20"/>
                <w:szCs w:val="20"/>
              </w:rPr>
              <w:t>$</w:t>
            </w:r>
            <w:r w:rsidR="00410A2A">
              <w:rPr>
                <w:rFonts w:ascii="Arial Narrow" w:hAnsi="Arial Narrow"/>
                <w:iCs/>
                <w:noProof/>
                <w:color w:val="000000"/>
                <w:sz w:val="20"/>
                <w:szCs w:val="20"/>
                <w:highlight w:val="black"/>
              </w:rPr>
              <w:t>''''''''''''''''''''''''</w:t>
            </w:r>
          </w:p>
        </w:tc>
        <w:tc>
          <w:tcPr>
            <w:tcW w:w="992" w:type="dxa"/>
            <w:shd w:val="clear" w:color="auto" w:fill="auto"/>
            <w:vAlign w:val="center"/>
          </w:tcPr>
          <w:p w:rsidR="004672AC" w:rsidRPr="000B49C6" w:rsidRDefault="004672AC" w:rsidP="00620550">
            <w:pPr>
              <w:jc w:val="center"/>
              <w:rPr>
                <w:rFonts w:ascii="Arial Narrow" w:hAnsi="Arial Narrow"/>
                <w:iCs/>
                <w:sz w:val="20"/>
                <w:szCs w:val="20"/>
              </w:rPr>
            </w:pPr>
            <w:r w:rsidRPr="000B49C6">
              <w:rPr>
                <w:rFonts w:ascii="Arial Narrow" w:hAnsi="Arial Narrow"/>
                <w:iCs/>
                <w:sz w:val="20"/>
                <w:szCs w:val="20"/>
              </w:rPr>
              <w:t>$</w:t>
            </w:r>
            <w:r w:rsidR="00410A2A">
              <w:rPr>
                <w:rFonts w:ascii="Arial Narrow" w:hAnsi="Arial Narrow"/>
                <w:iCs/>
                <w:noProof/>
                <w:color w:val="000000"/>
                <w:sz w:val="20"/>
                <w:szCs w:val="20"/>
                <w:highlight w:val="black"/>
              </w:rPr>
              <w:t>'''''''''''''''''''''''''''''</w:t>
            </w:r>
          </w:p>
        </w:tc>
        <w:tc>
          <w:tcPr>
            <w:tcW w:w="992" w:type="dxa"/>
            <w:shd w:val="clear" w:color="auto" w:fill="auto"/>
            <w:vAlign w:val="center"/>
          </w:tcPr>
          <w:p w:rsidR="004672AC" w:rsidRPr="000B49C6" w:rsidRDefault="004672AC" w:rsidP="00620550">
            <w:pPr>
              <w:jc w:val="center"/>
              <w:rPr>
                <w:rFonts w:ascii="Arial Narrow" w:hAnsi="Arial Narrow"/>
                <w:iCs/>
                <w:sz w:val="20"/>
                <w:szCs w:val="20"/>
              </w:rPr>
            </w:pPr>
            <w:r w:rsidRPr="000B49C6">
              <w:rPr>
                <w:rFonts w:ascii="Arial Narrow" w:hAnsi="Arial Narrow"/>
                <w:iCs/>
                <w:sz w:val="20"/>
                <w:szCs w:val="20"/>
              </w:rPr>
              <w:t>$</w:t>
            </w:r>
            <w:r w:rsidR="00410A2A">
              <w:rPr>
                <w:rFonts w:ascii="Arial Narrow" w:hAnsi="Arial Narrow"/>
                <w:iCs/>
                <w:noProof/>
                <w:color w:val="000000"/>
                <w:sz w:val="20"/>
                <w:szCs w:val="20"/>
                <w:highlight w:val="black"/>
              </w:rPr>
              <w:t>'''''''''''''''''''''''''</w:t>
            </w:r>
          </w:p>
        </w:tc>
      </w:tr>
      <w:tr w:rsidR="004672AC" w:rsidRPr="000B49C6" w:rsidTr="000114C4">
        <w:tc>
          <w:tcPr>
            <w:tcW w:w="3005" w:type="dxa"/>
            <w:shd w:val="clear" w:color="auto" w:fill="auto"/>
          </w:tcPr>
          <w:p w:rsidR="004672AC" w:rsidRPr="000B49C6" w:rsidRDefault="004672AC" w:rsidP="00620550">
            <w:pPr>
              <w:rPr>
                <w:rFonts w:ascii="Arial Narrow" w:hAnsi="Arial Narrow"/>
                <w:iCs/>
                <w:sz w:val="20"/>
                <w:szCs w:val="20"/>
              </w:rPr>
            </w:pPr>
            <w:r w:rsidRPr="000B49C6">
              <w:rPr>
                <w:rFonts w:ascii="Arial Narrow" w:hAnsi="Arial Narrow"/>
                <w:iCs/>
                <w:sz w:val="20"/>
                <w:szCs w:val="20"/>
              </w:rPr>
              <w:t>20% increase in annual uptake</w:t>
            </w:r>
          </w:p>
        </w:tc>
        <w:tc>
          <w:tcPr>
            <w:tcW w:w="1134" w:type="dxa"/>
            <w:shd w:val="clear" w:color="auto" w:fill="auto"/>
            <w:vAlign w:val="center"/>
          </w:tcPr>
          <w:p w:rsidR="004672AC" w:rsidRPr="000B49C6" w:rsidRDefault="004672AC" w:rsidP="00620550">
            <w:pPr>
              <w:jc w:val="center"/>
              <w:rPr>
                <w:rFonts w:ascii="Arial Narrow" w:hAnsi="Arial Narrow"/>
                <w:iCs/>
                <w:sz w:val="20"/>
                <w:szCs w:val="20"/>
              </w:rPr>
            </w:pPr>
            <w:r w:rsidRPr="000B49C6">
              <w:rPr>
                <w:rFonts w:ascii="Arial Narrow" w:hAnsi="Arial Narrow"/>
                <w:iCs/>
                <w:sz w:val="20"/>
                <w:szCs w:val="20"/>
              </w:rPr>
              <w:t>$</w:t>
            </w:r>
            <w:r w:rsidR="00410A2A">
              <w:rPr>
                <w:rFonts w:ascii="Arial Narrow" w:hAnsi="Arial Narrow"/>
                <w:iCs/>
                <w:noProof/>
                <w:color w:val="000000"/>
                <w:sz w:val="20"/>
                <w:szCs w:val="20"/>
                <w:highlight w:val="black"/>
              </w:rPr>
              <w:t>'''''''''''''''''''''''''''</w:t>
            </w:r>
          </w:p>
        </w:tc>
        <w:tc>
          <w:tcPr>
            <w:tcW w:w="992" w:type="dxa"/>
            <w:shd w:val="clear" w:color="auto" w:fill="auto"/>
            <w:vAlign w:val="center"/>
          </w:tcPr>
          <w:p w:rsidR="004672AC" w:rsidRPr="000B49C6" w:rsidRDefault="004672AC" w:rsidP="00620550">
            <w:pPr>
              <w:jc w:val="center"/>
              <w:rPr>
                <w:rFonts w:ascii="Arial Narrow" w:hAnsi="Arial Narrow"/>
                <w:iCs/>
                <w:sz w:val="20"/>
                <w:szCs w:val="20"/>
              </w:rPr>
            </w:pPr>
            <w:r w:rsidRPr="000B49C6">
              <w:rPr>
                <w:rFonts w:ascii="Arial Narrow" w:hAnsi="Arial Narrow"/>
                <w:iCs/>
                <w:sz w:val="20"/>
                <w:szCs w:val="20"/>
              </w:rPr>
              <w:t>$</w:t>
            </w:r>
            <w:r w:rsidR="00410A2A">
              <w:rPr>
                <w:rFonts w:ascii="Arial Narrow" w:hAnsi="Arial Narrow"/>
                <w:iCs/>
                <w:noProof/>
                <w:color w:val="000000"/>
                <w:sz w:val="20"/>
                <w:szCs w:val="20"/>
                <w:highlight w:val="black"/>
              </w:rPr>
              <w:t>'''''''''''''''''''''''''</w:t>
            </w:r>
          </w:p>
        </w:tc>
        <w:tc>
          <w:tcPr>
            <w:tcW w:w="993" w:type="dxa"/>
            <w:shd w:val="clear" w:color="auto" w:fill="auto"/>
            <w:vAlign w:val="center"/>
          </w:tcPr>
          <w:p w:rsidR="004672AC" w:rsidRPr="000B49C6" w:rsidRDefault="004672AC" w:rsidP="00620550">
            <w:pPr>
              <w:jc w:val="center"/>
              <w:rPr>
                <w:rFonts w:ascii="Arial Narrow" w:hAnsi="Arial Narrow"/>
                <w:iCs/>
                <w:sz w:val="20"/>
                <w:szCs w:val="20"/>
              </w:rPr>
            </w:pPr>
            <w:r w:rsidRPr="000B49C6">
              <w:rPr>
                <w:rFonts w:ascii="Arial Narrow" w:hAnsi="Arial Narrow"/>
                <w:iCs/>
                <w:sz w:val="20"/>
                <w:szCs w:val="20"/>
              </w:rPr>
              <w:t>$</w:t>
            </w:r>
            <w:r w:rsidR="00410A2A">
              <w:rPr>
                <w:rFonts w:ascii="Arial Narrow" w:hAnsi="Arial Narrow"/>
                <w:iCs/>
                <w:noProof/>
                <w:color w:val="000000"/>
                <w:sz w:val="20"/>
                <w:szCs w:val="20"/>
                <w:highlight w:val="black"/>
              </w:rPr>
              <w:t>'''''''''''''''''''''''''''''</w:t>
            </w:r>
          </w:p>
        </w:tc>
        <w:tc>
          <w:tcPr>
            <w:tcW w:w="992" w:type="dxa"/>
            <w:shd w:val="clear" w:color="auto" w:fill="auto"/>
            <w:vAlign w:val="center"/>
          </w:tcPr>
          <w:p w:rsidR="004672AC" w:rsidRPr="000B49C6" w:rsidRDefault="004672AC" w:rsidP="00620550">
            <w:pPr>
              <w:jc w:val="center"/>
              <w:rPr>
                <w:rFonts w:ascii="Arial Narrow" w:hAnsi="Arial Narrow"/>
                <w:iCs/>
                <w:sz w:val="20"/>
                <w:szCs w:val="20"/>
              </w:rPr>
            </w:pPr>
            <w:r w:rsidRPr="000B49C6">
              <w:rPr>
                <w:rFonts w:ascii="Arial Narrow" w:hAnsi="Arial Narrow"/>
                <w:iCs/>
                <w:sz w:val="20"/>
                <w:szCs w:val="20"/>
              </w:rPr>
              <w:t>$</w:t>
            </w:r>
            <w:r w:rsidR="00410A2A">
              <w:rPr>
                <w:rFonts w:ascii="Arial Narrow" w:hAnsi="Arial Narrow"/>
                <w:iCs/>
                <w:noProof/>
                <w:color w:val="000000"/>
                <w:sz w:val="20"/>
                <w:szCs w:val="20"/>
                <w:highlight w:val="black"/>
              </w:rPr>
              <w:t>''''''''''''''''''''''''''</w:t>
            </w:r>
          </w:p>
        </w:tc>
        <w:tc>
          <w:tcPr>
            <w:tcW w:w="992" w:type="dxa"/>
            <w:shd w:val="clear" w:color="auto" w:fill="auto"/>
            <w:vAlign w:val="center"/>
          </w:tcPr>
          <w:p w:rsidR="004672AC" w:rsidRPr="000B49C6" w:rsidRDefault="004672AC" w:rsidP="00620550">
            <w:pPr>
              <w:jc w:val="center"/>
              <w:rPr>
                <w:rFonts w:ascii="Arial Narrow" w:hAnsi="Arial Narrow"/>
                <w:iCs/>
                <w:sz w:val="20"/>
                <w:szCs w:val="20"/>
              </w:rPr>
            </w:pPr>
            <w:r w:rsidRPr="000B49C6">
              <w:rPr>
                <w:rFonts w:ascii="Arial Narrow" w:hAnsi="Arial Narrow"/>
                <w:iCs/>
                <w:sz w:val="20"/>
                <w:szCs w:val="20"/>
              </w:rPr>
              <w:t>$</w:t>
            </w:r>
            <w:r w:rsidR="00410A2A">
              <w:rPr>
                <w:rFonts w:ascii="Arial Narrow" w:hAnsi="Arial Narrow"/>
                <w:iCs/>
                <w:noProof/>
                <w:color w:val="000000"/>
                <w:sz w:val="20"/>
                <w:szCs w:val="20"/>
                <w:highlight w:val="black"/>
              </w:rPr>
              <w:t>''''''''''''''''''''''''</w:t>
            </w:r>
          </w:p>
        </w:tc>
        <w:tc>
          <w:tcPr>
            <w:tcW w:w="992" w:type="dxa"/>
            <w:shd w:val="clear" w:color="auto" w:fill="auto"/>
            <w:vAlign w:val="center"/>
          </w:tcPr>
          <w:p w:rsidR="004672AC" w:rsidRPr="000B49C6" w:rsidRDefault="004672AC" w:rsidP="00620550">
            <w:pPr>
              <w:jc w:val="center"/>
              <w:rPr>
                <w:rFonts w:ascii="Arial Narrow" w:hAnsi="Arial Narrow"/>
                <w:iCs/>
                <w:sz w:val="20"/>
                <w:szCs w:val="20"/>
              </w:rPr>
            </w:pPr>
            <w:r w:rsidRPr="000B49C6">
              <w:rPr>
                <w:rFonts w:ascii="Arial Narrow" w:hAnsi="Arial Narrow"/>
                <w:iCs/>
                <w:sz w:val="20"/>
                <w:szCs w:val="20"/>
              </w:rPr>
              <w:t>$</w:t>
            </w:r>
            <w:r w:rsidR="00410A2A">
              <w:rPr>
                <w:rFonts w:ascii="Arial Narrow" w:hAnsi="Arial Narrow"/>
                <w:iCs/>
                <w:noProof/>
                <w:color w:val="000000"/>
                <w:sz w:val="20"/>
                <w:szCs w:val="20"/>
                <w:highlight w:val="black"/>
              </w:rPr>
              <w:t>'''''''''''''''''''''''</w:t>
            </w:r>
          </w:p>
        </w:tc>
      </w:tr>
      <w:tr w:rsidR="004672AC" w:rsidRPr="000B49C6" w:rsidTr="000114C4">
        <w:tc>
          <w:tcPr>
            <w:tcW w:w="3005" w:type="dxa"/>
            <w:shd w:val="clear" w:color="auto" w:fill="auto"/>
            <w:vAlign w:val="center"/>
          </w:tcPr>
          <w:p w:rsidR="004672AC" w:rsidRPr="000B49C6" w:rsidRDefault="004672AC" w:rsidP="00620550">
            <w:pPr>
              <w:jc w:val="left"/>
              <w:rPr>
                <w:rFonts w:ascii="Arial Narrow" w:hAnsi="Arial Narrow"/>
                <w:iCs/>
                <w:sz w:val="20"/>
                <w:szCs w:val="20"/>
                <w:vertAlign w:val="superscript"/>
              </w:rPr>
            </w:pPr>
            <w:proofErr w:type="spellStart"/>
            <w:r w:rsidRPr="000B49C6">
              <w:rPr>
                <w:rFonts w:ascii="Arial Narrow" w:hAnsi="Arial Narrow"/>
                <w:iCs/>
                <w:sz w:val="20"/>
                <w:szCs w:val="20"/>
              </w:rPr>
              <w:t>bezlotoxumab</w:t>
            </w:r>
            <w:proofErr w:type="spellEnd"/>
            <w:r w:rsidRPr="000B49C6">
              <w:rPr>
                <w:rFonts w:ascii="Arial Narrow" w:hAnsi="Arial Narrow"/>
                <w:iCs/>
                <w:sz w:val="20"/>
                <w:szCs w:val="20"/>
              </w:rPr>
              <w:t xml:space="preserve"> given at each CDI episode (base case one dose per lifetime)</w:t>
            </w:r>
            <w:r w:rsidRPr="000B49C6">
              <w:rPr>
                <w:rFonts w:ascii="Arial Narrow" w:hAnsi="Arial Narrow"/>
                <w:iCs/>
                <w:sz w:val="20"/>
                <w:szCs w:val="20"/>
                <w:vertAlign w:val="superscript"/>
              </w:rPr>
              <w:t>a</w:t>
            </w:r>
          </w:p>
        </w:tc>
        <w:tc>
          <w:tcPr>
            <w:tcW w:w="1134" w:type="dxa"/>
            <w:shd w:val="clear" w:color="auto" w:fill="auto"/>
            <w:vAlign w:val="center"/>
          </w:tcPr>
          <w:p w:rsidR="004672AC" w:rsidRPr="000B49C6" w:rsidRDefault="004672AC" w:rsidP="00620550">
            <w:pPr>
              <w:jc w:val="center"/>
              <w:rPr>
                <w:rFonts w:ascii="Arial Narrow" w:hAnsi="Arial Narrow"/>
                <w:iCs/>
                <w:sz w:val="20"/>
                <w:szCs w:val="20"/>
              </w:rPr>
            </w:pPr>
            <w:r w:rsidRPr="000B49C6">
              <w:rPr>
                <w:rFonts w:ascii="Arial Narrow" w:hAnsi="Arial Narrow"/>
                <w:iCs/>
                <w:sz w:val="20"/>
                <w:szCs w:val="20"/>
              </w:rPr>
              <w:t>$</w:t>
            </w:r>
            <w:r w:rsidR="00410A2A">
              <w:rPr>
                <w:rFonts w:ascii="Arial Narrow" w:hAnsi="Arial Narrow"/>
                <w:iCs/>
                <w:noProof/>
                <w:color w:val="000000"/>
                <w:sz w:val="20"/>
                <w:szCs w:val="20"/>
                <w:highlight w:val="black"/>
              </w:rPr>
              <w:t>'''''''''''''''''''''''''</w:t>
            </w:r>
          </w:p>
        </w:tc>
        <w:tc>
          <w:tcPr>
            <w:tcW w:w="992" w:type="dxa"/>
            <w:shd w:val="clear" w:color="auto" w:fill="auto"/>
            <w:vAlign w:val="center"/>
          </w:tcPr>
          <w:p w:rsidR="004672AC" w:rsidRPr="000B49C6" w:rsidRDefault="004672AC" w:rsidP="00620550">
            <w:pPr>
              <w:jc w:val="center"/>
              <w:rPr>
                <w:rFonts w:ascii="Arial Narrow" w:hAnsi="Arial Narrow"/>
                <w:iCs/>
                <w:sz w:val="20"/>
                <w:szCs w:val="20"/>
              </w:rPr>
            </w:pPr>
            <w:r w:rsidRPr="000B49C6">
              <w:rPr>
                <w:rFonts w:ascii="Arial Narrow" w:hAnsi="Arial Narrow"/>
                <w:iCs/>
                <w:sz w:val="20"/>
                <w:szCs w:val="20"/>
              </w:rPr>
              <w:t>$</w:t>
            </w:r>
            <w:r w:rsidR="00410A2A">
              <w:rPr>
                <w:rFonts w:ascii="Arial Narrow" w:hAnsi="Arial Narrow"/>
                <w:iCs/>
                <w:noProof/>
                <w:color w:val="000000"/>
                <w:sz w:val="20"/>
                <w:szCs w:val="20"/>
                <w:highlight w:val="black"/>
              </w:rPr>
              <w:t>'''''''''''''''''''''''''''</w:t>
            </w:r>
          </w:p>
        </w:tc>
        <w:tc>
          <w:tcPr>
            <w:tcW w:w="993" w:type="dxa"/>
            <w:shd w:val="clear" w:color="auto" w:fill="auto"/>
            <w:vAlign w:val="center"/>
          </w:tcPr>
          <w:p w:rsidR="004672AC" w:rsidRPr="000B49C6" w:rsidRDefault="004672AC" w:rsidP="00620550">
            <w:pPr>
              <w:jc w:val="center"/>
              <w:rPr>
                <w:rFonts w:ascii="Arial Narrow" w:hAnsi="Arial Narrow"/>
                <w:iCs/>
                <w:sz w:val="20"/>
                <w:szCs w:val="20"/>
              </w:rPr>
            </w:pPr>
            <w:r w:rsidRPr="000B49C6">
              <w:rPr>
                <w:rFonts w:ascii="Arial Narrow" w:hAnsi="Arial Narrow"/>
                <w:iCs/>
                <w:sz w:val="20"/>
                <w:szCs w:val="20"/>
              </w:rPr>
              <w:t>$</w:t>
            </w:r>
            <w:r w:rsidR="00410A2A">
              <w:rPr>
                <w:rFonts w:ascii="Arial Narrow" w:hAnsi="Arial Narrow"/>
                <w:iCs/>
                <w:noProof/>
                <w:color w:val="000000"/>
                <w:sz w:val="20"/>
                <w:szCs w:val="20"/>
                <w:highlight w:val="black"/>
              </w:rPr>
              <w:t>''''''''''''''''''''''''''</w:t>
            </w:r>
          </w:p>
        </w:tc>
        <w:tc>
          <w:tcPr>
            <w:tcW w:w="992" w:type="dxa"/>
            <w:shd w:val="clear" w:color="auto" w:fill="auto"/>
            <w:vAlign w:val="center"/>
          </w:tcPr>
          <w:p w:rsidR="004672AC" w:rsidRPr="000B49C6" w:rsidRDefault="004672AC" w:rsidP="00620550">
            <w:pPr>
              <w:jc w:val="center"/>
              <w:rPr>
                <w:rFonts w:ascii="Arial Narrow" w:hAnsi="Arial Narrow"/>
                <w:iCs/>
                <w:sz w:val="20"/>
                <w:szCs w:val="20"/>
              </w:rPr>
            </w:pPr>
            <w:r w:rsidRPr="000B49C6">
              <w:rPr>
                <w:rFonts w:ascii="Arial Narrow" w:hAnsi="Arial Narrow"/>
                <w:iCs/>
                <w:sz w:val="20"/>
                <w:szCs w:val="20"/>
              </w:rPr>
              <w:t>$</w:t>
            </w:r>
            <w:r w:rsidR="00410A2A">
              <w:rPr>
                <w:rFonts w:ascii="Arial Narrow" w:hAnsi="Arial Narrow"/>
                <w:iCs/>
                <w:noProof/>
                <w:color w:val="000000"/>
                <w:sz w:val="20"/>
                <w:szCs w:val="20"/>
                <w:highlight w:val="black"/>
              </w:rPr>
              <w:t>''''''''''''''''''''''''''</w:t>
            </w:r>
          </w:p>
        </w:tc>
        <w:tc>
          <w:tcPr>
            <w:tcW w:w="992" w:type="dxa"/>
            <w:shd w:val="clear" w:color="auto" w:fill="auto"/>
            <w:vAlign w:val="center"/>
          </w:tcPr>
          <w:p w:rsidR="004672AC" w:rsidRPr="000B49C6" w:rsidRDefault="004672AC" w:rsidP="00620550">
            <w:pPr>
              <w:jc w:val="center"/>
              <w:rPr>
                <w:rFonts w:ascii="Arial Narrow" w:hAnsi="Arial Narrow"/>
                <w:iCs/>
                <w:sz w:val="20"/>
                <w:szCs w:val="20"/>
              </w:rPr>
            </w:pPr>
            <w:r w:rsidRPr="000B49C6">
              <w:rPr>
                <w:rFonts w:ascii="Arial Narrow" w:hAnsi="Arial Narrow"/>
                <w:iCs/>
                <w:sz w:val="20"/>
                <w:szCs w:val="20"/>
              </w:rPr>
              <w:t>$</w:t>
            </w:r>
            <w:r w:rsidR="00410A2A">
              <w:rPr>
                <w:rFonts w:ascii="Arial Narrow" w:hAnsi="Arial Narrow"/>
                <w:iCs/>
                <w:noProof/>
                <w:color w:val="000000"/>
                <w:sz w:val="20"/>
                <w:szCs w:val="20"/>
                <w:highlight w:val="black"/>
              </w:rPr>
              <w:t>'''''''''''''''''''''''''''</w:t>
            </w:r>
          </w:p>
        </w:tc>
        <w:tc>
          <w:tcPr>
            <w:tcW w:w="992" w:type="dxa"/>
            <w:shd w:val="clear" w:color="auto" w:fill="auto"/>
            <w:vAlign w:val="center"/>
          </w:tcPr>
          <w:p w:rsidR="004672AC" w:rsidRPr="000B49C6" w:rsidRDefault="004672AC" w:rsidP="00620550">
            <w:pPr>
              <w:jc w:val="center"/>
              <w:rPr>
                <w:rFonts w:ascii="Arial Narrow" w:hAnsi="Arial Narrow"/>
                <w:iCs/>
                <w:sz w:val="20"/>
                <w:szCs w:val="20"/>
              </w:rPr>
            </w:pPr>
            <w:r w:rsidRPr="000B49C6">
              <w:rPr>
                <w:rFonts w:ascii="Arial Narrow" w:hAnsi="Arial Narrow"/>
                <w:iCs/>
                <w:sz w:val="20"/>
                <w:szCs w:val="20"/>
              </w:rPr>
              <w:t>$</w:t>
            </w:r>
            <w:r w:rsidR="00410A2A">
              <w:rPr>
                <w:rFonts w:ascii="Arial Narrow" w:hAnsi="Arial Narrow"/>
                <w:iCs/>
                <w:noProof/>
                <w:color w:val="000000"/>
                <w:sz w:val="20"/>
                <w:szCs w:val="20"/>
                <w:highlight w:val="black"/>
              </w:rPr>
              <w:t>'''''''''''''''''''''''''''''</w:t>
            </w:r>
          </w:p>
        </w:tc>
      </w:tr>
    </w:tbl>
    <w:p w:rsidR="004672AC" w:rsidRPr="000B49C6" w:rsidRDefault="004672AC" w:rsidP="004672AC">
      <w:pPr>
        <w:ind w:left="165" w:hanging="165"/>
        <w:rPr>
          <w:rFonts w:ascii="Arial Narrow" w:hAnsi="Arial Narrow"/>
          <w:sz w:val="18"/>
          <w:szCs w:val="20"/>
        </w:rPr>
      </w:pPr>
      <w:proofErr w:type="spellStart"/>
      <w:proofErr w:type="gramStart"/>
      <w:r w:rsidRPr="000B49C6">
        <w:rPr>
          <w:rFonts w:ascii="Arial Narrow" w:hAnsi="Arial Narrow"/>
          <w:sz w:val="18"/>
          <w:szCs w:val="20"/>
          <w:vertAlign w:val="superscript"/>
        </w:rPr>
        <w:t>a</w:t>
      </w:r>
      <w:proofErr w:type="spellEnd"/>
      <w:proofErr w:type="gramEnd"/>
      <w:r w:rsidRPr="000B49C6">
        <w:rPr>
          <w:rFonts w:ascii="Arial Narrow" w:hAnsi="Arial Narrow"/>
          <w:sz w:val="18"/>
          <w:szCs w:val="20"/>
          <w:vertAlign w:val="superscript"/>
        </w:rPr>
        <w:tab/>
      </w:r>
      <w:r w:rsidRPr="000B49C6">
        <w:rPr>
          <w:rFonts w:ascii="Arial Narrow" w:hAnsi="Arial Narrow"/>
          <w:sz w:val="18"/>
          <w:szCs w:val="20"/>
        </w:rPr>
        <w:t xml:space="preserve">Estimated by adding the estimated number of patients treated with </w:t>
      </w:r>
      <w:proofErr w:type="spellStart"/>
      <w:r w:rsidRPr="000B49C6">
        <w:rPr>
          <w:rFonts w:ascii="Arial Narrow" w:hAnsi="Arial Narrow"/>
          <w:sz w:val="18"/>
          <w:szCs w:val="20"/>
        </w:rPr>
        <w:t>bezlotoxumab</w:t>
      </w:r>
      <w:proofErr w:type="spellEnd"/>
      <w:r w:rsidRPr="000B49C6">
        <w:rPr>
          <w:rFonts w:ascii="Arial Narrow" w:hAnsi="Arial Narrow"/>
          <w:sz w:val="18"/>
          <w:szCs w:val="20"/>
        </w:rPr>
        <w:t xml:space="preserve"> who experienced CDI recurrence to the total number of patients being treated each year</w:t>
      </w:r>
    </w:p>
    <w:p w:rsidR="004672AC" w:rsidRPr="000B49C6" w:rsidRDefault="004672AC" w:rsidP="004672AC">
      <w:pPr>
        <w:rPr>
          <w:rFonts w:ascii="Arial Narrow" w:hAnsi="Arial Narrow"/>
          <w:sz w:val="18"/>
          <w:szCs w:val="20"/>
        </w:rPr>
      </w:pPr>
      <w:r w:rsidRPr="000B49C6">
        <w:rPr>
          <w:rFonts w:ascii="Arial Narrow" w:hAnsi="Arial Narrow"/>
          <w:sz w:val="18"/>
          <w:szCs w:val="20"/>
        </w:rPr>
        <w:t xml:space="preserve">Source: Constructed during the evaluation from Section 4 and </w:t>
      </w:r>
      <w:proofErr w:type="spellStart"/>
      <w:r w:rsidRPr="000B49C6">
        <w:rPr>
          <w:rFonts w:ascii="Arial Narrow" w:hAnsi="Arial Narrow"/>
          <w:sz w:val="18"/>
          <w:szCs w:val="20"/>
        </w:rPr>
        <w:t>Bezlotoxumab</w:t>
      </w:r>
      <w:proofErr w:type="spellEnd"/>
      <w:r w:rsidRPr="000B49C6">
        <w:rPr>
          <w:rFonts w:ascii="Arial Narrow" w:hAnsi="Arial Narrow"/>
          <w:sz w:val="18"/>
          <w:szCs w:val="20"/>
        </w:rPr>
        <w:t xml:space="preserve"> Sec 4 Workbook of the resubmission</w:t>
      </w:r>
    </w:p>
    <w:p w:rsidR="004672AC" w:rsidRPr="000B49C6" w:rsidRDefault="004672AC" w:rsidP="004672AC">
      <w:pPr>
        <w:widowControl/>
      </w:pPr>
    </w:p>
    <w:p w:rsidR="004672AC" w:rsidRPr="000B49C6" w:rsidRDefault="004672AC" w:rsidP="004672AC">
      <w:pPr>
        <w:pStyle w:val="ListParagraph"/>
        <w:widowControl/>
        <w:numPr>
          <w:ilvl w:val="1"/>
          <w:numId w:val="3"/>
        </w:numPr>
        <w:rPr>
          <w:iCs/>
        </w:rPr>
      </w:pPr>
      <w:r w:rsidRPr="000B49C6">
        <w:rPr>
          <w:iCs/>
        </w:rPr>
        <w:t xml:space="preserve">The resubmission’s financial estimates were </w:t>
      </w:r>
      <w:r w:rsidR="00D62027" w:rsidRPr="000B49C6">
        <w:rPr>
          <w:iCs/>
        </w:rPr>
        <w:t xml:space="preserve">most </w:t>
      </w:r>
      <w:r w:rsidRPr="000B49C6">
        <w:rPr>
          <w:iCs/>
        </w:rPr>
        <w:t>sensitive to the assumptions used to derive the eligible population including uptake rates, CDI recurrence rate and ratio of vancomycin to metronidazole use</w:t>
      </w:r>
      <w:r w:rsidR="00991401">
        <w:rPr>
          <w:iCs/>
        </w:rPr>
        <w:t xml:space="preserve">. </w:t>
      </w:r>
      <w:r w:rsidRPr="000B49C6">
        <w:rPr>
          <w:iCs/>
        </w:rPr>
        <w:t>The cost estimates were likely underestimated because:</w:t>
      </w:r>
    </w:p>
    <w:p w:rsidR="00E07E49" w:rsidRPr="000B49C6" w:rsidRDefault="004672AC" w:rsidP="00E07E49">
      <w:pPr>
        <w:pStyle w:val="ListParagraph"/>
        <w:numPr>
          <w:ilvl w:val="0"/>
          <w:numId w:val="7"/>
        </w:numPr>
        <w:ind w:left="993" w:hanging="284"/>
        <w:rPr>
          <w:iCs/>
        </w:rPr>
      </w:pPr>
      <w:r w:rsidRPr="000B49C6">
        <w:rPr>
          <w:iCs/>
        </w:rPr>
        <w:t xml:space="preserve">Based on the current requested restriction, repeated doses of </w:t>
      </w:r>
      <w:proofErr w:type="spellStart"/>
      <w:r w:rsidRPr="000B49C6">
        <w:rPr>
          <w:iCs/>
        </w:rPr>
        <w:t>bezlotoxumab</w:t>
      </w:r>
      <w:proofErr w:type="spellEnd"/>
      <w:r w:rsidRPr="000B49C6">
        <w:rPr>
          <w:iCs/>
        </w:rPr>
        <w:t xml:space="preserve"> </w:t>
      </w:r>
      <w:r w:rsidR="00E07E49" w:rsidRPr="000B49C6">
        <w:rPr>
          <w:iCs/>
        </w:rPr>
        <w:t xml:space="preserve">will be </w:t>
      </w:r>
      <w:r w:rsidRPr="000B49C6">
        <w:rPr>
          <w:iCs/>
        </w:rPr>
        <w:t>permitted 90 days</w:t>
      </w:r>
      <w:r w:rsidR="00E07E49" w:rsidRPr="000B49C6">
        <w:rPr>
          <w:iCs/>
        </w:rPr>
        <w:t xml:space="preserve"> after the index CDI episode</w:t>
      </w:r>
      <w:r w:rsidRPr="000B49C6">
        <w:rPr>
          <w:iCs/>
        </w:rPr>
        <w:t>, which was not accounted for in the financial estimates</w:t>
      </w:r>
      <w:r w:rsidR="00991401">
        <w:rPr>
          <w:iCs/>
        </w:rPr>
        <w:t xml:space="preserve">. </w:t>
      </w:r>
      <w:r w:rsidRPr="000B49C6">
        <w:rPr>
          <w:iCs/>
        </w:rPr>
        <w:t>Instead, the estimates were based on</w:t>
      </w:r>
      <w:r w:rsidR="00282CDE" w:rsidRPr="000B49C6">
        <w:rPr>
          <w:iCs/>
        </w:rPr>
        <w:t xml:space="preserve"> the assumption of</w:t>
      </w:r>
      <w:r w:rsidRPr="000B49C6">
        <w:rPr>
          <w:iCs/>
        </w:rPr>
        <w:t xml:space="preserve"> one treatment per lifetime</w:t>
      </w:r>
      <w:r w:rsidR="00282CDE" w:rsidRPr="000B49C6">
        <w:rPr>
          <w:iCs/>
        </w:rPr>
        <w:t xml:space="preserve"> per patient</w:t>
      </w:r>
      <w:r w:rsidRPr="000B49C6">
        <w:rPr>
          <w:iCs/>
        </w:rPr>
        <w:t>.</w:t>
      </w:r>
    </w:p>
    <w:p w:rsidR="004672AC" w:rsidRPr="000B49C6" w:rsidRDefault="004672AC" w:rsidP="004672AC">
      <w:pPr>
        <w:pStyle w:val="ListParagraph"/>
        <w:numPr>
          <w:ilvl w:val="0"/>
          <w:numId w:val="7"/>
        </w:numPr>
        <w:ind w:left="993" w:hanging="284"/>
        <w:rPr>
          <w:iCs/>
        </w:rPr>
      </w:pPr>
      <w:r w:rsidRPr="000B49C6">
        <w:rPr>
          <w:iCs/>
        </w:rPr>
        <w:t xml:space="preserve">The </w:t>
      </w:r>
      <w:r w:rsidR="00282CDE" w:rsidRPr="000B49C6">
        <w:rPr>
          <w:iCs/>
        </w:rPr>
        <w:t>total</w:t>
      </w:r>
      <w:r w:rsidRPr="000B49C6">
        <w:rPr>
          <w:iCs/>
        </w:rPr>
        <w:t xml:space="preserve"> </w:t>
      </w:r>
      <w:r w:rsidR="003D19D1" w:rsidRPr="000B49C6">
        <w:rPr>
          <w:iCs/>
        </w:rPr>
        <w:t xml:space="preserve">number of </w:t>
      </w:r>
      <w:r w:rsidRPr="000B49C6">
        <w:rPr>
          <w:iCs/>
        </w:rPr>
        <w:t xml:space="preserve">CDI episodes </w:t>
      </w:r>
      <w:r w:rsidR="003D19D1" w:rsidRPr="000B49C6">
        <w:rPr>
          <w:iCs/>
        </w:rPr>
        <w:t xml:space="preserve">was estimated </w:t>
      </w:r>
      <w:r w:rsidRPr="000B49C6">
        <w:rPr>
          <w:iCs/>
        </w:rPr>
        <w:t xml:space="preserve">based on vancomycin prescriptions </w:t>
      </w:r>
      <w:r w:rsidR="00B37CF6" w:rsidRPr="000B49C6">
        <w:rPr>
          <w:iCs/>
        </w:rPr>
        <w:t xml:space="preserve">supplied </w:t>
      </w:r>
      <w:r w:rsidRPr="000B49C6">
        <w:rPr>
          <w:iCs/>
        </w:rPr>
        <w:t>(plus an additional 42.6% to account for episode</w:t>
      </w:r>
      <w:r w:rsidR="00282CDE" w:rsidRPr="000B49C6">
        <w:rPr>
          <w:iCs/>
        </w:rPr>
        <w:t>s</w:t>
      </w:r>
      <w:r w:rsidRPr="000B49C6">
        <w:rPr>
          <w:iCs/>
        </w:rPr>
        <w:t xml:space="preserve"> treated with metronidazole</w:t>
      </w:r>
      <w:r w:rsidR="00B37CF6" w:rsidRPr="000B49C6">
        <w:rPr>
          <w:iCs/>
        </w:rPr>
        <w:t>, given the assumed 57.4:42.6 split of vancomycin to metronidazole</w:t>
      </w:r>
      <w:r w:rsidRPr="000B49C6">
        <w:rPr>
          <w:iCs/>
        </w:rPr>
        <w:t>)</w:t>
      </w:r>
      <w:r w:rsidR="00991401">
        <w:rPr>
          <w:iCs/>
        </w:rPr>
        <w:t xml:space="preserve">. </w:t>
      </w:r>
      <w:r w:rsidRPr="000B49C6">
        <w:rPr>
          <w:iCs/>
        </w:rPr>
        <w:t>As noted by DUSC, vancomycin use in Australia is restricted to pseudomembranous colitis, which only accounts for approximately 10% of CDI diarrhoeas</w:t>
      </w:r>
      <w:r w:rsidR="00991401">
        <w:rPr>
          <w:iCs/>
        </w:rPr>
        <w:t xml:space="preserve">. </w:t>
      </w:r>
      <w:r w:rsidR="003D19D1" w:rsidRPr="000B49C6">
        <w:rPr>
          <w:iCs/>
        </w:rPr>
        <w:t>If, t</w:t>
      </w:r>
      <w:r w:rsidR="00472FE3" w:rsidRPr="000B49C6">
        <w:rPr>
          <w:iCs/>
        </w:rPr>
        <w:t>herefore,</w:t>
      </w:r>
      <w:r w:rsidRPr="000B49C6">
        <w:rPr>
          <w:iCs/>
        </w:rPr>
        <w:t xml:space="preserve"> </w:t>
      </w:r>
      <w:r w:rsidR="003D19D1" w:rsidRPr="000B49C6">
        <w:rPr>
          <w:iCs/>
        </w:rPr>
        <w:t xml:space="preserve">90% of CDI cases are treated with metronidazole, </w:t>
      </w:r>
      <w:r w:rsidR="004A32F5" w:rsidRPr="000B49C6">
        <w:rPr>
          <w:iCs/>
        </w:rPr>
        <w:t xml:space="preserve">the number of </w:t>
      </w:r>
      <w:r w:rsidRPr="000B49C6">
        <w:rPr>
          <w:iCs/>
        </w:rPr>
        <w:t xml:space="preserve">CDI episodes </w:t>
      </w:r>
      <w:r w:rsidR="004A32F5" w:rsidRPr="000B49C6">
        <w:rPr>
          <w:iCs/>
        </w:rPr>
        <w:t xml:space="preserve">requiring antibiotic treatment may be significantly underestimated </w:t>
      </w:r>
      <w:r w:rsidRPr="000B49C6">
        <w:rPr>
          <w:iCs/>
        </w:rPr>
        <w:t>in the financial estimates (</w:t>
      </w:r>
      <w:proofErr w:type="spellStart"/>
      <w:r w:rsidR="00472FE3" w:rsidRPr="000B49C6">
        <w:rPr>
          <w:iCs/>
        </w:rPr>
        <w:t>eg</w:t>
      </w:r>
      <w:proofErr w:type="spellEnd"/>
      <w:r w:rsidR="00472FE3" w:rsidRPr="000B49C6">
        <w:rPr>
          <w:iCs/>
        </w:rPr>
        <w:t xml:space="preserve">. assuming 90% of CDI cases will be treated with metronidazole, the eligible population for antibiotic therapy in Year 1 increased from </w:t>
      </w:r>
      <w:r w:rsidR="00E63663">
        <w:rPr>
          <w:iCs/>
        </w:rPr>
        <w:t xml:space="preserve">less than 10,000 </w:t>
      </w:r>
      <w:r w:rsidR="00472FE3" w:rsidRPr="000B49C6">
        <w:rPr>
          <w:iCs/>
        </w:rPr>
        <w:t xml:space="preserve">patients estimated by the submission to </w:t>
      </w:r>
      <w:r w:rsidR="00E63663">
        <w:rPr>
          <w:iCs/>
        </w:rPr>
        <w:t xml:space="preserve">10,000 – 50,000 </w:t>
      </w:r>
      <w:r w:rsidR="00472FE3" w:rsidRPr="000B49C6">
        <w:rPr>
          <w:iCs/>
        </w:rPr>
        <w:t>patients, an increase of 474%)</w:t>
      </w:r>
      <w:r w:rsidR="00991401">
        <w:rPr>
          <w:iCs/>
        </w:rPr>
        <w:t xml:space="preserve">. </w:t>
      </w:r>
      <w:r w:rsidRPr="000B49C6">
        <w:rPr>
          <w:iCs/>
        </w:rPr>
        <w:t xml:space="preserve">Moreover, given high risk </w:t>
      </w:r>
      <w:r w:rsidR="00B37CF6" w:rsidRPr="000B49C6">
        <w:rPr>
          <w:iCs/>
        </w:rPr>
        <w:t>status is</w:t>
      </w:r>
      <w:r w:rsidRPr="000B49C6">
        <w:rPr>
          <w:iCs/>
        </w:rPr>
        <w:t xml:space="preserve"> to be </w:t>
      </w:r>
      <w:r w:rsidRPr="000B49C6">
        <w:rPr>
          <w:iCs/>
        </w:rPr>
        <w:lastRenderedPageBreak/>
        <w:t xml:space="preserve">determined </w:t>
      </w:r>
      <w:r w:rsidR="00B37CF6" w:rsidRPr="000B49C6">
        <w:rPr>
          <w:iCs/>
        </w:rPr>
        <w:t xml:space="preserve">at the discretion of </w:t>
      </w:r>
      <w:r w:rsidRPr="000B49C6">
        <w:rPr>
          <w:iCs/>
        </w:rPr>
        <w:t xml:space="preserve">the treating clinician, </w:t>
      </w:r>
      <w:r w:rsidR="00F83E19" w:rsidRPr="000B49C6">
        <w:rPr>
          <w:iCs/>
        </w:rPr>
        <w:t>and</w:t>
      </w:r>
      <w:r w:rsidRPr="000B49C6">
        <w:rPr>
          <w:iCs/>
        </w:rPr>
        <w:t xml:space="preserve"> </w:t>
      </w:r>
      <w:r w:rsidR="00282CDE" w:rsidRPr="000B49C6">
        <w:rPr>
          <w:iCs/>
        </w:rPr>
        <w:t xml:space="preserve">the drug </w:t>
      </w:r>
      <w:r w:rsidRPr="000B49C6">
        <w:rPr>
          <w:iCs/>
        </w:rPr>
        <w:t>was well tolerated in the trials</w:t>
      </w:r>
      <w:r w:rsidR="00F83E19" w:rsidRPr="000B49C6">
        <w:rPr>
          <w:iCs/>
        </w:rPr>
        <w:t>, clinicians might treat (or retreat) more patients</w:t>
      </w:r>
      <w:r w:rsidRPr="000B49C6">
        <w:rPr>
          <w:iCs/>
        </w:rPr>
        <w:t>.</w:t>
      </w:r>
    </w:p>
    <w:p w:rsidR="004672AC" w:rsidRPr="000B49C6" w:rsidRDefault="004672AC" w:rsidP="004672AC">
      <w:pPr>
        <w:pStyle w:val="ListParagraph"/>
        <w:numPr>
          <w:ilvl w:val="0"/>
          <w:numId w:val="7"/>
        </w:numPr>
        <w:ind w:left="993" w:hanging="284"/>
        <w:rPr>
          <w:iCs/>
        </w:rPr>
      </w:pPr>
      <w:r w:rsidRPr="000B49C6">
        <w:rPr>
          <w:iCs/>
        </w:rPr>
        <w:t>Only CDI episodes treated in the outpatient setting were used to predict the eligible population</w:t>
      </w:r>
      <w:r w:rsidR="00991401">
        <w:rPr>
          <w:iCs/>
        </w:rPr>
        <w:t xml:space="preserve">. </w:t>
      </w:r>
      <w:r w:rsidRPr="000B49C6">
        <w:rPr>
          <w:iCs/>
        </w:rPr>
        <w:t>However, the requested restriction was for the total patient population at high risk of CDI</w:t>
      </w:r>
      <w:r w:rsidR="00282CDE" w:rsidRPr="000B49C6">
        <w:rPr>
          <w:iCs/>
        </w:rPr>
        <w:t xml:space="preserve"> recurrence</w:t>
      </w:r>
      <w:r w:rsidR="00991401">
        <w:rPr>
          <w:iCs/>
        </w:rPr>
        <w:t xml:space="preserve">. </w:t>
      </w:r>
      <w:r w:rsidR="00F83E19" w:rsidRPr="000B49C6">
        <w:rPr>
          <w:iCs/>
        </w:rPr>
        <w:t>I</w:t>
      </w:r>
      <w:r w:rsidRPr="000B49C6">
        <w:rPr>
          <w:iCs/>
        </w:rPr>
        <w:t>npatient</w:t>
      </w:r>
      <w:r w:rsidR="00282CDE" w:rsidRPr="000B49C6">
        <w:rPr>
          <w:iCs/>
        </w:rPr>
        <w:t>s</w:t>
      </w:r>
      <w:r w:rsidR="00E07E49" w:rsidRPr="000B49C6">
        <w:rPr>
          <w:iCs/>
        </w:rPr>
        <w:t xml:space="preserve"> </w:t>
      </w:r>
      <w:r w:rsidR="00282CDE" w:rsidRPr="000B49C6">
        <w:rPr>
          <w:iCs/>
        </w:rPr>
        <w:t xml:space="preserve">may also </w:t>
      </w:r>
      <w:r w:rsidR="00E07E49" w:rsidRPr="000B49C6">
        <w:rPr>
          <w:iCs/>
        </w:rPr>
        <w:t xml:space="preserve">be eligible to receive </w:t>
      </w:r>
      <w:proofErr w:type="spellStart"/>
      <w:r w:rsidRPr="000B49C6">
        <w:rPr>
          <w:iCs/>
        </w:rPr>
        <w:t>bezlotoxumab</w:t>
      </w:r>
      <w:proofErr w:type="spellEnd"/>
      <w:r w:rsidRPr="000B49C6">
        <w:rPr>
          <w:iCs/>
        </w:rPr>
        <w:t xml:space="preserve"> </w:t>
      </w:r>
      <w:r w:rsidR="00E07E49" w:rsidRPr="000B49C6">
        <w:rPr>
          <w:iCs/>
        </w:rPr>
        <w:t xml:space="preserve">upon </w:t>
      </w:r>
      <w:r w:rsidRPr="000B49C6">
        <w:rPr>
          <w:iCs/>
        </w:rPr>
        <w:t>discharge from hospital.</w:t>
      </w:r>
    </w:p>
    <w:p w:rsidR="004672AC" w:rsidRPr="000B49C6" w:rsidRDefault="004672AC" w:rsidP="004672AC">
      <w:pPr>
        <w:pStyle w:val="ListParagraph"/>
        <w:numPr>
          <w:ilvl w:val="0"/>
          <w:numId w:val="7"/>
        </w:numPr>
        <w:ind w:left="993" w:hanging="284"/>
        <w:rPr>
          <w:iCs/>
        </w:rPr>
      </w:pPr>
      <w:r w:rsidRPr="000B49C6">
        <w:rPr>
          <w:iCs/>
        </w:rPr>
        <w:t xml:space="preserve">Recurrence rates may be lower in Australia compared to the </w:t>
      </w:r>
      <w:r w:rsidR="00282CDE" w:rsidRPr="000B49C6">
        <w:rPr>
          <w:iCs/>
        </w:rPr>
        <w:t>trials;</w:t>
      </w:r>
      <w:r w:rsidRPr="000B49C6">
        <w:rPr>
          <w:iCs/>
        </w:rPr>
        <w:t xml:space="preserve"> this may </w:t>
      </w:r>
      <w:r w:rsidR="00F83E19" w:rsidRPr="000B49C6">
        <w:rPr>
          <w:iCs/>
        </w:rPr>
        <w:t xml:space="preserve">impact </w:t>
      </w:r>
      <w:r w:rsidRPr="000B49C6">
        <w:rPr>
          <w:iCs/>
        </w:rPr>
        <w:t xml:space="preserve">the utilisation of </w:t>
      </w:r>
      <w:proofErr w:type="spellStart"/>
      <w:r w:rsidRPr="000B49C6">
        <w:rPr>
          <w:iCs/>
        </w:rPr>
        <w:t>bezlotoxumab</w:t>
      </w:r>
      <w:proofErr w:type="spellEnd"/>
      <w:r w:rsidRPr="000B49C6">
        <w:rPr>
          <w:iCs/>
        </w:rPr>
        <w:t xml:space="preserve"> and hence financial estimates.</w:t>
      </w:r>
    </w:p>
    <w:p w:rsidR="004672AC" w:rsidRPr="000B49C6" w:rsidRDefault="004672AC" w:rsidP="004672AC">
      <w:pPr>
        <w:pStyle w:val="ListParagraph"/>
        <w:numPr>
          <w:ilvl w:val="0"/>
          <w:numId w:val="7"/>
        </w:numPr>
        <w:ind w:left="993" w:hanging="284"/>
        <w:rPr>
          <w:iCs/>
        </w:rPr>
      </w:pPr>
      <w:r w:rsidRPr="000B49C6">
        <w:rPr>
          <w:iCs/>
        </w:rPr>
        <w:t xml:space="preserve">Cost of medical services in patients treated with </w:t>
      </w:r>
      <w:proofErr w:type="spellStart"/>
      <w:r w:rsidRPr="000B49C6">
        <w:rPr>
          <w:iCs/>
        </w:rPr>
        <w:t>bezlotoxumab</w:t>
      </w:r>
      <w:proofErr w:type="spellEnd"/>
      <w:r w:rsidRPr="000B49C6">
        <w:rPr>
          <w:iCs/>
        </w:rPr>
        <w:t xml:space="preserve"> who experience infusion specific adverse events </w:t>
      </w:r>
      <w:r w:rsidR="00F83E19" w:rsidRPr="000B49C6">
        <w:rPr>
          <w:iCs/>
        </w:rPr>
        <w:t xml:space="preserve">was </w:t>
      </w:r>
      <w:r w:rsidRPr="000B49C6">
        <w:rPr>
          <w:iCs/>
        </w:rPr>
        <w:t>not accounted for in the financial estimates but was included in the economic evaluation.</w:t>
      </w:r>
    </w:p>
    <w:p w:rsidR="004672AC" w:rsidRPr="000B49C6" w:rsidRDefault="00282CDE" w:rsidP="004672AC">
      <w:pPr>
        <w:pStyle w:val="ListParagraph"/>
        <w:numPr>
          <w:ilvl w:val="0"/>
          <w:numId w:val="7"/>
        </w:numPr>
        <w:ind w:left="993" w:hanging="284"/>
        <w:rPr>
          <w:iCs/>
        </w:rPr>
      </w:pPr>
      <w:r w:rsidRPr="000B49C6">
        <w:rPr>
          <w:iCs/>
        </w:rPr>
        <w:t xml:space="preserve">Both </w:t>
      </w:r>
      <w:r w:rsidR="004672AC" w:rsidRPr="000B49C6">
        <w:rPr>
          <w:iCs/>
        </w:rPr>
        <w:t xml:space="preserve">DUSC and PBAC had </w:t>
      </w:r>
      <w:r w:rsidRPr="000B49C6">
        <w:rPr>
          <w:iCs/>
        </w:rPr>
        <w:t xml:space="preserve">also previously </w:t>
      </w:r>
      <w:r w:rsidR="004672AC" w:rsidRPr="000B49C6">
        <w:rPr>
          <w:iCs/>
        </w:rPr>
        <w:t xml:space="preserve">noted a number of other concerns for utilisation in the November 2017 submission (p20, </w:t>
      </w:r>
      <w:proofErr w:type="spellStart"/>
      <w:r w:rsidR="004672AC" w:rsidRPr="000B49C6">
        <w:rPr>
          <w:iCs/>
        </w:rPr>
        <w:t>Bezlotoxumab</w:t>
      </w:r>
      <w:proofErr w:type="spellEnd"/>
      <w:r w:rsidR="004672AC" w:rsidRPr="000B49C6">
        <w:rPr>
          <w:iCs/>
        </w:rPr>
        <w:t xml:space="preserve"> November 2017 PSD), </w:t>
      </w:r>
      <w:r w:rsidRPr="000B49C6">
        <w:rPr>
          <w:iCs/>
        </w:rPr>
        <w:t>that still apply</w:t>
      </w:r>
      <w:r w:rsidR="004672AC" w:rsidRPr="000B49C6">
        <w:rPr>
          <w:iCs/>
        </w:rPr>
        <w:t xml:space="preserve"> to the current resubmission:</w:t>
      </w:r>
    </w:p>
    <w:p w:rsidR="004672AC" w:rsidRPr="000B49C6" w:rsidRDefault="004672AC" w:rsidP="004672AC">
      <w:pPr>
        <w:pStyle w:val="ListParagraph"/>
        <w:numPr>
          <w:ilvl w:val="2"/>
          <w:numId w:val="23"/>
        </w:numPr>
        <w:ind w:left="1134" w:hanging="141"/>
        <w:rPr>
          <w:iCs/>
        </w:rPr>
      </w:pPr>
      <w:r w:rsidRPr="000B49C6">
        <w:rPr>
          <w:iCs/>
        </w:rPr>
        <w:t xml:space="preserve">The proposed place in therapy for </w:t>
      </w:r>
      <w:proofErr w:type="spellStart"/>
      <w:r w:rsidRPr="000B49C6">
        <w:rPr>
          <w:iCs/>
        </w:rPr>
        <w:t>bezlotoxumab</w:t>
      </w:r>
      <w:proofErr w:type="spellEnd"/>
      <w:r w:rsidRPr="000B49C6">
        <w:rPr>
          <w:iCs/>
        </w:rPr>
        <w:t xml:space="preserve"> is for prevention of CDI, but there is a risk that </w:t>
      </w:r>
      <w:proofErr w:type="spellStart"/>
      <w:r w:rsidRPr="000B49C6">
        <w:rPr>
          <w:iCs/>
        </w:rPr>
        <w:t>bezlotoxumab</w:t>
      </w:r>
      <w:proofErr w:type="spellEnd"/>
      <w:r w:rsidRPr="000B49C6">
        <w:rPr>
          <w:iCs/>
        </w:rPr>
        <w:t xml:space="preserve"> might be used as a treatment where there is unknown efficacy.</w:t>
      </w:r>
    </w:p>
    <w:p w:rsidR="004672AC" w:rsidRPr="000B49C6" w:rsidRDefault="004672AC" w:rsidP="004672AC">
      <w:pPr>
        <w:pStyle w:val="ListParagraph"/>
        <w:numPr>
          <w:ilvl w:val="2"/>
          <w:numId w:val="23"/>
        </w:numPr>
        <w:ind w:left="1134" w:hanging="141"/>
        <w:rPr>
          <w:iCs/>
        </w:rPr>
      </w:pPr>
      <w:r w:rsidRPr="000B49C6">
        <w:rPr>
          <w:iCs/>
        </w:rPr>
        <w:t xml:space="preserve">The listing of </w:t>
      </w:r>
      <w:proofErr w:type="spellStart"/>
      <w:r w:rsidRPr="000B49C6">
        <w:rPr>
          <w:iCs/>
        </w:rPr>
        <w:t>bezlotoxumab</w:t>
      </w:r>
      <w:proofErr w:type="spellEnd"/>
      <w:r w:rsidRPr="000B49C6">
        <w:rPr>
          <w:iCs/>
        </w:rPr>
        <w:t xml:space="preserve"> could change clinical practice and antibiotic prescribing patterns.</w:t>
      </w:r>
    </w:p>
    <w:p w:rsidR="004672AC" w:rsidRPr="000B49C6" w:rsidRDefault="004672AC" w:rsidP="004672AC">
      <w:pPr>
        <w:pStyle w:val="ListParagraph"/>
        <w:numPr>
          <w:ilvl w:val="2"/>
          <w:numId w:val="23"/>
        </w:numPr>
        <w:ind w:left="1134" w:hanging="141"/>
        <w:rPr>
          <w:iCs/>
        </w:rPr>
      </w:pPr>
      <w:r w:rsidRPr="000B49C6">
        <w:rPr>
          <w:iCs/>
        </w:rPr>
        <w:t>In aged care facilities, there is</w:t>
      </w:r>
      <w:r w:rsidR="00F858E1" w:rsidRPr="000B49C6">
        <w:rPr>
          <w:iCs/>
        </w:rPr>
        <w:t xml:space="preserve"> a</w:t>
      </w:r>
      <w:r w:rsidRPr="000B49C6">
        <w:rPr>
          <w:iCs/>
        </w:rPr>
        <w:t xml:space="preserve"> risk of antibiotic resistance and concurrent use of other biologics, with unknown implications.</w:t>
      </w:r>
    </w:p>
    <w:p w:rsidR="004672AC" w:rsidRPr="000B49C6" w:rsidRDefault="004672AC" w:rsidP="004672AC">
      <w:pPr>
        <w:pStyle w:val="ListParagraph"/>
        <w:numPr>
          <w:ilvl w:val="2"/>
          <w:numId w:val="23"/>
        </w:numPr>
        <w:ind w:left="1134" w:hanging="141"/>
        <w:rPr>
          <w:iCs/>
        </w:rPr>
      </w:pPr>
      <w:r w:rsidRPr="000B49C6">
        <w:rPr>
          <w:iCs/>
        </w:rPr>
        <w:t>FMT is an alternative procedure for prevention of CDI recurrence and has an observed high cure rate.</w:t>
      </w:r>
    </w:p>
    <w:p w:rsidR="004672AC" w:rsidRDefault="004672AC" w:rsidP="004672AC">
      <w:pPr>
        <w:pStyle w:val="ListParagraph"/>
        <w:numPr>
          <w:ilvl w:val="2"/>
          <w:numId w:val="23"/>
        </w:numPr>
        <w:ind w:left="1134" w:hanging="141"/>
        <w:rPr>
          <w:iCs/>
        </w:rPr>
      </w:pPr>
      <w:r w:rsidRPr="000B49C6">
        <w:rPr>
          <w:iCs/>
        </w:rPr>
        <w:t>It is difficult to predict the impact of future outbreaks of CDI and that is an area of uncertainty in the financial estimates.</w:t>
      </w:r>
    </w:p>
    <w:p w:rsidR="00570361" w:rsidRPr="000B49C6" w:rsidRDefault="00570361" w:rsidP="00570361">
      <w:pPr>
        <w:pStyle w:val="ListParagraph"/>
        <w:widowControl/>
        <w:numPr>
          <w:ilvl w:val="1"/>
          <w:numId w:val="3"/>
        </w:numPr>
        <w:rPr>
          <w:iCs/>
        </w:rPr>
      </w:pPr>
      <w:r>
        <w:rPr>
          <w:iCs/>
        </w:rPr>
        <w:t>The PBAC considered that the financial implications remained highly uncert</w:t>
      </w:r>
      <w:r w:rsidR="0085788D">
        <w:rPr>
          <w:iCs/>
        </w:rPr>
        <w:t>ain and likely an underestimate. Further, the PBAC considered</w:t>
      </w:r>
      <w:r>
        <w:rPr>
          <w:iCs/>
        </w:rPr>
        <w:t xml:space="preserve"> that in the context of the modest clinical benefit, the estimated financial impact presented a considerable opportunity cost.</w:t>
      </w:r>
    </w:p>
    <w:p w:rsidR="00C25D9C" w:rsidRPr="000B49C6" w:rsidRDefault="00576972" w:rsidP="00E03435">
      <w:pPr>
        <w:pStyle w:val="Heading2"/>
        <w:spacing w:before="240" w:after="120"/>
      </w:pPr>
      <w:bookmarkStart w:id="16" w:name="_Toc514248042"/>
      <w:r w:rsidRPr="008C757C">
        <w:t>Financial Management – Risk Sharing Arrangements</w:t>
      </w:r>
      <w:bookmarkEnd w:id="16"/>
    </w:p>
    <w:p w:rsidR="002673BA" w:rsidRPr="003943AF" w:rsidRDefault="00AD0F4C" w:rsidP="002673BA">
      <w:pPr>
        <w:pStyle w:val="ListParagraph"/>
        <w:widowControl/>
        <w:numPr>
          <w:ilvl w:val="1"/>
          <w:numId w:val="3"/>
        </w:numPr>
      </w:pPr>
      <w:r w:rsidRPr="000B49C6">
        <w:t xml:space="preserve">The resubmission proposed a special pricing arrangement with effective price for </w:t>
      </w:r>
      <w:proofErr w:type="spellStart"/>
      <w:r w:rsidRPr="000B49C6">
        <w:t>bezlotoxumab</w:t>
      </w:r>
      <w:proofErr w:type="spellEnd"/>
      <w:r w:rsidRPr="000B49C6">
        <w:t xml:space="preserve"> of $</w:t>
      </w:r>
      <w:r w:rsidR="00410A2A">
        <w:rPr>
          <w:noProof/>
          <w:color w:val="000000"/>
          <w:highlight w:val="black"/>
        </w:rPr>
        <w:t>'''''''''''</w:t>
      </w:r>
      <w:r w:rsidRPr="000B49C6">
        <w:t xml:space="preserve"> per vial </w:t>
      </w:r>
      <w:r w:rsidR="00282CDE" w:rsidRPr="000B49C6">
        <w:t xml:space="preserve">(public hospitals) </w:t>
      </w:r>
      <w:r w:rsidRPr="000B49C6">
        <w:t>(versus a published price of $</w:t>
      </w:r>
      <w:r w:rsidR="00410A2A">
        <w:rPr>
          <w:noProof/>
          <w:color w:val="000000"/>
          <w:highlight w:val="black"/>
        </w:rPr>
        <w:t>'''''''''''</w:t>
      </w:r>
      <w:r w:rsidRPr="000B49C6">
        <w:t xml:space="preserve">), which was </w:t>
      </w:r>
      <w:r w:rsidR="00410A2A">
        <w:rPr>
          <w:noProof/>
          <w:color w:val="000000"/>
          <w:highlight w:val="black"/>
        </w:rPr>
        <w:t>''''''</w:t>
      </w:r>
      <w:r w:rsidRPr="000B49C6">
        <w:t xml:space="preserve">% lower than the November 2017 submission. </w:t>
      </w:r>
      <w:r w:rsidRPr="000B49C6">
        <w:rPr>
          <w:iCs/>
        </w:rPr>
        <w:t>The financial estimates in the resubmission were based on the effective prices</w:t>
      </w:r>
      <w:r w:rsidR="00991401">
        <w:rPr>
          <w:iCs/>
        </w:rPr>
        <w:t xml:space="preserve">. </w:t>
      </w:r>
    </w:p>
    <w:p w:rsidR="003943AF" w:rsidRDefault="003943AF" w:rsidP="00570361">
      <w:pPr>
        <w:pStyle w:val="ListParagraph"/>
        <w:widowControl/>
        <w:rPr>
          <w:rFonts w:asciiTheme="minorHAnsi" w:hAnsiTheme="minorHAnsi"/>
          <w:i/>
        </w:rPr>
      </w:pPr>
      <w:r w:rsidRPr="00525B39">
        <w:rPr>
          <w:rFonts w:asciiTheme="minorHAnsi" w:hAnsiTheme="minorHAnsi"/>
          <w:i/>
        </w:rPr>
        <w:t>For more detail on PBAC’s view, see section 7 PBAC outcome</w:t>
      </w:r>
    </w:p>
    <w:p w:rsidR="003943AF" w:rsidRPr="00AB4E07" w:rsidRDefault="003943AF" w:rsidP="00AB4E07">
      <w:pPr>
        <w:pStyle w:val="PBACHeading1"/>
        <w:spacing w:before="240" w:after="120"/>
      </w:pPr>
      <w:r w:rsidRPr="00AB4E07">
        <w:lastRenderedPageBreak/>
        <w:t>PBAC Outcome</w:t>
      </w:r>
    </w:p>
    <w:p w:rsidR="00570361" w:rsidRDefault="00570361" w:rsidP="003943AF">
      <w:pPr>
        <w:numPr>
          <w:ilvl w:val="1"/>
          <w:numId w:val="3"/>
        </w:numPr>
        <w:spacing w:after="120"/>
        <w:rPr>
          <w:rFonts w:asciiTheme="minorHAnsi" w:hAnsiTheme="minorHAnsi"/>
          <w:bCs/>
          <w:lang w:val="en-GB"/>
        </w:rPr>
      </w:pPr>
      <w:r>
        <w:rPr>
          <w:rFonts w:asciiTheme="minorHAnsi" w:hAnsiTheme="minorHAnsi"/>
          <w:bCs/>
          <w:lang w:val="en-GB"/>
        </w:rPr>
        <w:t xml:space="preserve">The PBAC did not recommend the listing of </w:t>
      </w:r>
      <w:proofErr w:type="spellStart"/>
      <w:r>
        <w:rPr>
          <w:rFonts w:asciiTheme="minorHAnsi" w:hAnsiTheme="minorHAnsi"/>
          <w:bCs/>
          <w:lang w:val="en-GB"/>
        </w:rPr>
        <w:t>bezlotoxumab</w:t>
      </w:r>
      <w:proofErr w:type="spellEnd"/>
      <w:r>
        <w:rPr>
          <w:rFonts w:asciiTheme="minorHAnsi" w:hAnsiTheme="minorHAnsi"/>
          <w:bCs/>
          <w:lang w:val="en-GB"/>
        </w:rPr>
        <w:t xml:space="preserve"> on the PBS for the prevention of </w:t>
      </w:r>
      <w:r w:rsidRPr="00570361">
        <w:rPr>
          <w:rFonts w:asciiTheme="minorHAnsi" w:hAnsiTheme="minorHAnsi"/>
          <w:bCs/>
          <w:i/>
          <w:lang w:val="en-GB"/>
        </w:rPr>
        <w:t>Clostridium difficile</w:t>
      </w:r>
      <w:r>
        <w:rPr>
          <w:rFonts w:asciiTheme="minorHAnsi" w:hAnsiTheme="minorHAnsi"/>
          <w:bCs/>
          <w:lang w:val="en-GB"/>
        </w:rPr>
        <w:t xml:space="preserve"> infection (CDI) on the basis of modest clinical benefit, uncertain and unfavourable cost-effectiveness, and considerable opportunity cost. </w:t>
      </w:r>
    </w:p>
    <w:p w:rsidR="00570361" w:rsidRDefault="00570361" w:rsidP="003943AF">
      <w:pPr>
        <w:numPr>
          <w:ilvl w:val="1"/>
          <w:numId w:val="3"/>
        </w:numPr>
        <w:spacing w:after="120"/>
        <w:rPr>
          <w:rFonts w:asciiTheme="minorHAnsi" w:hAnsiTheme="minorHAnsi"/>
          <w:bCs/>
          <w:lang w:val="en-GB"/>
        </w:rPr>
      </w:pPr>
      <w:r>
        <w:rPr>
          <w:rFonts w:asciiTheme="minorHAnsi" w:hAnsiTheme="minorHAnsi"/>
          <w:bCs/>
          <w:lang w:val="en-GB"/>
        </w:rPr>
        <w:t>The PBAC considered that it may be reasonable to limit use to patients at high risk of recurrence</w:t>
      </w:r>
      <w:r w:rsidR="007F2ED2">
        <w:rPr>
          <w:rFonts w:asciiTheme="minorHAnsi" w:hAnsiTheme="minorHAnsi"/>
          <w:bCs/>
          <w:lang w:val="en-GB"/>
        </w:rPr>
        <w:t xml:space="preserve"> and </w:t>
      </w:r>
      <w:r w:rsidR="0085788D">
        <w:rPr>
          <w:rFonts w:asciiTheme="minorHAnsi" w:hAnsiTheme="minorHAnsi"/>
          <w:bCs/>
          <w:lang w:val="en-GB"/>
        </w:rPr>
        <w:t xml:space="preserve">noted </w:t>
      </w:r>
      <w:r w:rsidR="007F2ED2">
        <w:rPr>
          <w:rFonts w:asciiTheme="minorHAnsi" w:hAnsiTheme="minorHAnsi"/>
          <w:bCs/>
          <w:lang w:val="en-GB"/>
        </w:rPr>
        <w:t>that limiting use to this population result</w:t>
      </w:r>
      <w:r w:rsidR="0085788D">
        <w:rPr>
          <w:rFonts w:asciiTheme="minorHAnsi" w:hAnsiTheme="minorHAnsi"/>
          <w:bCs/>
          <w:lang w:val="en-GB"/>
        </w:rPr>
        <w:t>ed</w:t>
      </w:r>
      <w:r w:rsidR="007F2ED2">
        <w:rPr>
          <w:rFonts w:asciiTheme="minorHAnsi" w:hAnsiTheme="minorHAnsi"/>
          <w:bCs/>
          <w:lang w:val="en-GB"/>
        </w:rPr>
        <w:t xml:space="preserve"> in a marginal increase in the difference between </w:t>
      </w:r>
      <w:proofErr w:type="spellStart"/>
      <w:r w:rsidR="007F2ED2">
        <w:rPr>
          <w:rFonts w:asciiTheme="minorHAnsi" w:hAnsiTheme="minorHAnsi"/>
          <w:bCs/>
          <w:lang w:val="en-GB"/>
        </w:rPr>
        <w:t>bezlotoxumab</w:t>
      </w:r>
      <w:proofErr w:type="spellEnd"/>
      <w:r w:rsidR="007F2ED2">
        <w:rPr>
          <w:rFonts w:asciiTheme="minorHAnsi" w:hAnsiTheme="minorHAnsi"/>
          <w:bCs/>
          <w:lang w:val="en-GB"/>
        </w:rPr>
        <w:t xml:space="preserve"> and </w:t>
      </w:r>
      <w:proofErr w:type="spellStart"/>
      <w:r w:rsidR="007F2ED2">
        <w:rPr>
          <w:rFonts w:asciiTheme="minorHAnsi" w:hAnsiTheme="minorHAnsi"/>
          <w:bCs/>
          <w:lang w:val="en-GB"/>
        </w:rPr>
        <w:t>SoC</w:t>
      </w:r>
      <w:proofErr w:type="spellEnd"/>
      <w:r w:rsidR="007F2ED2">
        <w:rPr>
          <w:rFonts w:asciiTheme="minorHAnsi" w:hAnsiTheme="minorHAnsi"/>
          <w:bCs/>
          <w:lang w:val="en-GB"/>
        </w:rPr>
        <w:t xml:space="preserve"> in the risk of CDI recurrence at 12 weeks. However, the PBAC considered that although statistically significant, a reduction in risk of 12.8</w:t>
      </w:r>
      <w:r w:rsidR="0085788D">
        <w:rPr>
          <w:rFonts w:asciiTheme="minorHAnsi" w:hAnsiTheme="minorHAnsi"/>
          <w:bCs/>
          <w:lang w:val="en-GB"/>
        </w:rPr>
        <w:t xml:space="preserve"> percentage points</w:t>
      </w:r>
      <w:r w:rsidR="007F2ED2">
        <w:rPr>
          <w:rFonts w:asciiTheme="minorHAnsi" w:hAnsiTheme="minorHAnsi"/>
          <w:bCs/>
          <w:lang w:val="en-GB"/>
        </w:rPr>
        <w:t xml:space="preserve"> (95%CI: -17.6, -8.0) was modest. The PBAC further noted that the upper 95% confidence interval only met the minimum of the submission defined minimum clinically important difference</w:t>
      </w:r>
      <w:r w:rsidR="0085788D">
        <w:rPr>
          <w:rFonts w:asciiTheme="minorHAnsi" w:hAnsiTheme="minorHAnsi"/>
          <w:bCs/>
          <w:lang w:val="en-GB"/>
        </w:rPr>
        <w:t xml:space="preserve"> of 8-9 percentage points</w:t>
      </w:r>
      <w:r w:rsidR="007F2ED2">
        <w:rPr>
          <w:rFonts w:asciiTheme="minorHAnsi" w:hAnsiTheme="minorHAnsi"/>
          <w:bCs/>
          <w:lang w:val="en-GB"/>
        </w:rPr>
        <w:t>.</w:t>
      </w:r>
      <w:r w:rsidR="00990F87">
        <w:rPr>
          <w:rFonts w:asciiTheme="minorHAnsi" w:hAnsiTheme="minorHAnsi"/>
          <w:bCs/>
          <w:lang w:val="en-GB"/>
        </w:rPr>
        <w:t xml:space="preserve"> On this basis the PBAC considered that the claim of superior comparative efficacy for </w:t>
      </w:r>
      <w:proofErr w:type="spellStart"/>
      <w:r w:rsidR="00990F87">
        <w:rPr>
          <w:rFonts w:asciiTheme="minorHAnsi" w:hAnsiTheme="minorHAnsi"/>
          <w:bCs/>
          <w:lang w:val="en-GB"/>
        </w:rPr>
        <w:t>bezlotoxumab</w:t>
      </w:r>
      <w:proofErr w:type="spellEnd"/>
      <w:r w:rsidR="00990F87">
        <w:rPr>
          <w:rFonts w:asciiTheme="minorHAnsi" w:hAnsiTheme="minorHAnsi"/>
          <w:bCs/>
          <w:lang w:val="en-GB"/>
        </w:rPr>
        <w:t xml:space="preserve"> compared to </w:t>
      </w:r>
      <w:proofErr w:type="spellStart"/>
      <w:r w:rsidR="00990F87">
        <w:rPr>
          <w:rFonts w:asciiTheme="minorHAnsi" w:hAnsiTheme="minorHAnsi"/>
          <w:bCs/>
          <w:lang w:val="en-GB"/>
        </w:rPr>
        <w:t>SoC</w:t>
      </w:r>
      <w:proofErr w:type="spellEnd"/>
      <w:r w:rsidR="00990F87">
        <w:rPr>
          <w:rFonts w:asciiTheme="minorHAnsi" w:hAnsiTheme="minorHAnsi"/>
          <w:bCs/>
          <w:lang w:val="en-GB"/>
        </w:rPr>
        <w:t xml:space="preserve"> was reasonable, but that the magnitude of benefit was modest.</w:t>
      </w:r>
    </w:p>
    <w:p w:rsidR="007F2ED2" w:rsidRPr="00990F87" w:rsidRDefault="007F2ED2" w:rsidP="003943AF">
      <w:pPr>
        <w:numPr>
          <w:ilvl w:val="1"/>
          <w:numId w:val="3"/>
        </w:numPr>
        <w:spacing w:after="120"/>
        <w:rPr>
          <w:rFonts w:asciiTheme="minorHAnsi" w:hAnsiTheme="minorHAnsi"/>
          <w:bCs/>
          <w:lang w:val="en-GB"/>
        </w:rPr>
      </w:pPr>
      <w:r>
        <w:rPr>
          <w:rFonts w:asciiTheme="minorHAnsi" w:hAnsiTheme="minorHAnsi"/>
          <w:bCs/>
          <w:lang w:val="en-GB"/>
        </w:rPr>
        <w:t>The PBAC noted that the submission did not present any safety data for the high risk population and considered that rates of adverse events may be</w:t>
      </w:r>
      <w:r w:rsidR="00990F87">
        <w:rPr>
          <w:rFonts w:asciiTheme="minorHAnsi" w:hAnsiTheme="minorHAnsi"/>
          <w:bCs/>
          <w:lang w:val="en-GB"/>
        </w:rPr>
        <w:t xml:space="preserve"> higher in this population. This was particularly relevant in the context of the </w:t>
      </w:r>
      <w:r w:rsidR="00990F87" w:rsidRPr="000B49C6">
        <w:t xml:space="preserve">higher incidence of heart failure in </w:t>
      </w:r>
      <w:proofErr w:type="spellStart"/>
      <w:r w:rsidR="00990F87" w:rsidRPr="000B49C6">
        <w:t>bezlotoxumab</w:t>
      </w:r>
      <w:proofErr w:type="spellEnd"/>
      <w:r w:rsidR="00990F87" w:rsidRPr="000B49C6">
        <w:t xml:space="preserve"> treated patients compared to placebo treated patients in MODIFY I and II and amongst those with a history of heart failure, there was a higher incidence of acute heart failure and of mortality in participants treated with </w:t>
      </w:r>
      <w:proofErr w:type="spellStart"/>
      <w:r w:rsidR="00990F87" w:rsidRPr="000B49C6">
        <w:t>bezlotoxumab</w:t>
      </w:r>
      <w:proofErr w:type="spellEnd"/>
      <w:r w:rsidR="00990F87" w:rsidRPr="000B49C6">
        <w:t xml:space="preserve"> than those treated with placebo.</w:t>
      </w:r>
      <w:r w:rsidR="00990F87">
        <w:t xml:space="preserve"> The PBAC also</w:t>
      </w:r>
      <w:r w:rsidR="00990F87">
        <w:rPr>
          <w:iCs/>
        </w:rPr>
        <w:t xml:space="preserve"> recalled that it previously considered that because </w:t>
      </w:r>
      <w:proofErr w:type="spellStart"/>
      <w:r w:rsidR="00990F87">
        <w:rPr>
          <w:iCs/>
        </w:rPr>
        <w:t>SoC</w:t>
      </w:r>
      <w:proofErr w:type="spellEnd"/>
      <w:r w:rsidR="00990F87">
        <w:rPr>
          <w:iCs/>
        </w:rPr>
        <w:t xml:space="preserve"> does not require an infusion, </w:t>
      </w:r>
      <w:r w:rsidR="00990F87" w:rsidRPr="000B49C6">
        <w:rPr>
          <w:iCs/>
        </w:rPr>
        <w:t xml:space="preserve">patients treated with </w:t>
      </w:r>
      <w:proofErr w:type="spellStart"/>
      <w:r w:rsidR="00990F87" w:rsidRPr="000B49C6">
        <w:rPr>
          <w:iCs/>
        </w:rPr>
        <w:t>bezlotoxumab</w:t>
      </w:r>
      <w:proofErr w:type="spellEnd"/>
      <w:r w:rsidR="00990F87" w:rsidRPr="000B49C6">
        <w:rPr>
          <w:iCs/>
        </w:rPr>
        <w:t xml:space="preserve"> may suffer additional infusion related adverse events</w:t>
      </w:r>
      <w:r w:rsidR="00990F87">
        <w:rPr>
          <w:iCs/>
        </w:rPr>
        <w:t>. The PBAC therefore considered that a claim of inferior comparative safety would be more reasonable.</w:t>
      </w:r>
    </w:p>
    <w:p w:rsidR="00990F87" w:rsidRDefault="00990F87" w:rsidP="003943AF">
      <w:pPr>
        <w:numPr>
          <w:ilvl w:val="1"/>
          <w:numId w:val="3"/>
        </w:numPr>
        <w:spacing w:after="120"/>
        <w:rPr>
          <w:rFonts w:asciiTheme="minorHAnsi" w:hAnsiTheme="minorHAnsi"/>
          <w:bCs/>
          <w:lang w:val="en-GB"/>
        </w:rPr>
      </w:pPr>
      <w:r>
        <w:rPr>
          <w:rFonts w:asciiTheme="minorHAnsi" w:hAnsiTheme="minorHAnsi"/>
          <w:bCs/>
          <w:lang w:val="en-GB"/>
        </w:rPr>
        <w:t xml:space="preserve">The PBAC considered that the generalisability of the study population to the Australian population, and the intended PBS population was uncertain, primarily because of </w:t>
      </w:r>
      <w:r w:rsidR="00FC1C35">
        <w:rPr>
          <w:rFonts w:asciiTheme="minorHAnsi" w:hAnsiTheme="minorHAnsi"/>
          <w:bCs/>
          <w:lang w:val="en-GB"/>
        </w:rPr>
        <w:t xml:space="preserve">potential </w:t>
      </w:r>
      <w:r>
        <w:rPr>
          <w:rFonts w:asciiTheme="minorHAnsi" w:hAnsiTheme="minorHAnsi"/>
          <w:bCs/>
          <w:lang w:val="en-GB"/>
        </w:rPr>
        <w:t xml:space="preserve">differences in the pathogenicity of circulating strains of </w:t>
      </w:r>
      <w:r w:rsidR="0085788D">
        <w:rPr>
          <w:rFonts w:asciiTheme="minorHAnsi" w:hAnsiTheme="minorHAnsi"/>
          <w:bCs/>
          <w:i/>
          <w:lang w:val="en-GB"/>
        </w:rPr>
        <w:t>C</w:t>
      </w:r>
      <w:r>
        <w:rPr>
          <w:rFonts w:asciiTheme="minorHAnsi" w:hAnsiTheme="minorHAnsi"/>
          <w:bCs/>
          <w:i/>
          <w:lang w:val="en-GB"/>
        </w:rPr>
        <w:t>. diff</w:t>
      </w:r>
      <w:r>
        <w:rPr>
          <w:rFonts w:asciiTheme="minorHAnsi" w:hAnsiTheme="minorHAnsi"/>
          <w:bCs/>
          <w:lang w:val="en-GB"/>
        </w:rPr>
        <w:t xml:space="preserve">. The PBAC also noted that the economic model was highly sensitive to changes in the baseline and recurrent CDI mortality rates, and that the clinical trials did not demonstrate a mortality benefit for </w:t>
      </w:r>
      <w:proofErr w:type="spellStart"/>
      <w:r>
        <w:rPr>
          <w:rFonts w:asciiTheme="minorHAnsi" w:hAnsiTheme="minorHAnsi"/>
          <w:bCs/>
          <w:lang w:val="en-GB"/>
        </w:rPr>
        <w:t>bezlotoxumab</w:t>
      </w:r>
      <w:proofErr w:type="spellEnd"/>
      <w:r w:rsidR="0085788D">
        <w:rPr>
          <w:rFonts w:asciiTheme="minorHAnsi" w:hAnsiTheme="minorHAnsi"/>
          <w:bCs/>
          <w:lang w:val="en-GB"/>
        </w:rPr>
        <w:t xml:space="preserve"> compared to </w:t>
      </w:r>
      <w:proofErr w:type="spellStart"/>
      <w:r w:rsidR="0085788D">
        <w:rPr>
          <w:rFonts w:asciiTheme="minorHAnsi" w:hAnsiTheme="minorHAnsi"/>
          <w:bCs/>
          <w:lang w:val="en-GB"/>
        </w:rPr>
        <w:t>SoC</w:t>
      </w:r>
      <w:r>
        <w:rPr>
          <w:rFonts w:asciiTheme="minorHAnsi" w:hAnsiTheme="minorHAnsi"/>
          <w:bCs/>
          <w:lang w:val="en-GB"/>
        </w:rPr>
        <w:t>.</w:t>
      </w:r>
      <w:proofErr w:type="spellEnd"/>
      <w:r>
        <w:rPr>
          <w:rFonts w:asciiTheme="minorHAnsi" w:hAnsiTheme="minorHAnsi"/>
          <w:bCs/>
          <w:lang w:val="en-GB"/>
        </w:rPr>
        <w:t xml:space="preserve"> On this basis</w:t>
      </w:r>
      <w:r w:rsidR="00104AC1">
        <w:rPr>
          <w:rFonts w:asciiTheme="minorHAnsi" w:hAnsiTheme="minorHAnsi"/>
          <w:bCs/>
          <w:lang w:val="en-GB"/>
        </w:rPr>
        <w:t>,</w:t>
      </w:r>
      <w:r>
        <w:rPr>
          <w:rFonts w:asciiTheme="minorHAnsi" w:hAnsiTheme="minorHAnsi"/>
          <w:bCs/>
          <w:lang w:val="en-GB"/>
        </w:rPr>
        <w:t xml:space="preserve"> the PBAC considered that more conservative estimates of mortality should be used.</w:t>
      </w:r>
      <w:r w:rsidR="00104AC1">
        <w:rPr>
          <w:rFonts w:asciiTheme="minorHAnsi" w:hAnsiTheme="minorHAnsi"/>
          <w:bCs/>
          <w:lang w:val="en-GB"/>
        </w:rPr>
        <w:t xml:space="preserve"> Similarly, the PBAC noted that the economic model was sensitive to </w:t>
      </w:r>
      <w:r w:rsidR="00FC1C35">
        <w:rPr>
          <w:rFonts w:asciiTheme="minorHAnsi" w:hAnsiTheme="minorHAnsi"/>
          <w:bCs/>
          <w:lang w:val="en-GB"/>
        </w:rPr>
        <w:t xml:space="preserve">the assumed </w:t>
      </w:r>
      <w:r w:rsidR="00104AC1">
        <w:rPr>
          <w:rFonts w:asciiTheme="minorHAnsi" w:hAnsiTheme="minorHAnsi"/>
          <w:bCs/>
          <w:lang w:val="en-GB"/>
        </w:rPr>
        <w:t>risk of recurrence and considered that given the issues with generalisability of the clinical data presented, and variability in recurrence rates presented in the literature, that a more conservative approach should be taken.</w:t>
      </w:r>
    </w:p>
    <w:p w:rsidR="00104AC1" w:rsidRDefault="00104AC1" w:rsidP="003943AF">
      <w:pPr>
        <w:numPr>
          <w:ilvl w:val="1"/>
          <w:numId w:val="3"/>
        </w:numPr>
        <w:spacing w:after="120"/>
        <w:rPr>
          <w:rFonts w:asciiTheme="minorHAnsi" w:hAnsiTheme="minorHAnsi"/>
          <w:bCs/>
          <w:lang w:val="en-GB"/>
        </w:rPr>
      </w:pPr>
      <w:r>
        <w:rPr>
          <w:rFonts w:asciiTheme="minorHAnsi" w:hAnsiTheme="minorHAnsi"/>
          <w:bCs/>
          <w:lang w:val="en-GB"/>
        </w:rPr>
        <w:t>The PBAC agreed with the ESC that it was inappropriate for the hospitalisation costs to be multiplied by the ratio of the length of stay, as hospital costs</w:t>
      </w:r>
      <w:r w:rsidR="00876A43">
        <w:rPr>
          <w:rFonts w:asciiTheme="minorHAnsi" w:hAnsiTheme="minorHAnsi"/>
          <w:bCs/>
          <w:lang w:val="en-GB"/>
        </w:rPr>
        <w:t xml:space="preserve"> tend to be higher during the initial period</w:t>
      </w:r>
      <w:r>
        <w:rPr>
          <w:rFonts w:asciiTheme="minorHAnsi" w:hAnsiTheme="minorHAnsi"/>
          <w:bCs/>
          <w:lang w:val="en-GB"/>
        </w:rPr>
        <w:t>.</w:t>
      </w:r>
    </w:p>
    <w:p w:rsidR="00104AC1" w:rsidRPr="00104AC1" w:rsidRDefault="00104AC1" w:rsidP="003943AF">
      <w:pPr>
        <w:numPr>
          <w:ilvl w:val="1"/>
          <w:numId w:val="3"/>
        </w:numPr>
        <w:spacing w:after="120"/>
        <w:rPr>
          <w:rFonts w:asciiTheme="minorHAnsi" w:hAnsiTheme="minorHAnsi"/>
          <w:bCs/>
          <w:lang w:val="en-GB"/>
        </w:rPr>
      </w:pPr>
      <w:r>
        <w:lastRenderedPageBreak/>
        <w:t xml:space="preserve">The PBAC considered that the most informative analysis </w:t>
      </w:r>
      <w:r w:rsidR="00FC1C35">
        <w:t xml:space="preserve">for decision-making </w:t>
      </w:r>
      <w:r>
        <w:t xml:space="preserve">was to apply the following parameters: 10 year time horizon, HR for mortality due to CDI 1.12, 2.5% mortality without CDI recurrence, lower recurrence rates for </w:t>
      </w:r>
      <w:proofErr w:type="spellStart"/>
      <w:r>
        <w:t>SoC</w:t>
      </w:r>
      <w:proofErr w:type="spellEnd"/>
      <w:r>
        <w:t xml:space="preserve"> (17.5%) and </w:t>
      </w:r>
      <w:proofErr w:type="spellStart"/>
      <w:r>
        <w:t>bezlotoxumab</w:t>
      </w:r>
      <w:proofErr w:type="spellEnd"/>
      <w:r>
        <w:t xml:space="preserve"> (9.8%), hospitalisation costs as per AR-DRG</w:t>
      </w:r>
      <w:r w:rsidR="0085788D">
        <w:t>. The PBAC noted that applying these parameters in a sensitivity analysis</w:t>
      </w:r>
      <w:r>
        <w:t xml:space="preserve"> resulted in an ICER per QALY of </w:t>
      </w:r>
      <w:r w:rsidR="00020426">
        <w:t xml:space="preserve">more than </w:t>
      </w:r>
      <w:r>
        <w:t>$</w:t>
      </w:r>
      <w:r w:rsidR="00020426">
        <w:t>200,000</w:t>
      </w:r>
      <w:r>
        <w:t>.</w:t>
      </w:r>
    </w:p>
    <w:p w:rsidR="00104AC1" w:rsidRPr="00104AC1" w:rsidRDefault="00104AC1" w:rsidP="003943AF">
      <w:pPr>
        <w:numPr>
          <w:ilvl w:val="1"/>
          <w:numId w:val="3"/>
        </w:numPr>
        <w:spacing w:after="120"/>
        <w:rPr>
          <w:rFonts w:asciiTheme="minorHAnsi" w:hAnsiTheme="minorHAnsi"/>
          <w:bCs/>
          <w:lang w:val="en-GB"/>
        </w:rPr>
      </w:pPr>
      <w:r>
        <w:t xml:space="preserve">The PBAC considered that the </w:t>
      </w:r>
      <w:r w:rsidR="0085788D">
        <w:t xml:space="preserve">estimates of </w:t>
      </w:r>
      <w:r>
        <w:t xml:space="preserve">utilisation and financial impact to the PBS remained uncertain, and were likely an underestimate. The PBAC also noted that the costs of repeat administration, treatment of infusion reactions, or other AEs were not included in the financial estimates. The PBAC also considered that in the context of a modest clinical benefit, this represented a high opportunity cost. </w:t>
      </w:r>
    </w:p>
    <w:p w:rsidR="00104AC1" w:rsidRPr="00104AC1" w:rsidRDefault="00104AC1" w:rsidP="003943AF">
      <w:pPr>
        <w:numPr>
          <w:ilvl w:val="1"/>
          <w:numId w:val="3"/>
        </w:numPr>
        <w:spacing w:after="120"/>
        <w:rPr>
          <w:rFonts w:asciiTheme="minorHAnsi" w:hAnsiTheme="minorHAnsi"/>
          <w:bCs/>
          <w:lang w:val="en-GB"/>
        </w:rPr>
      </w:pPr>
      <w:r>
        <w:t>The PBAC noted that the resubmission proposed a price reduction compared to the November 2017 submission, but considered that this was insufficient to address the remaining concerns regarding the unfavourable and uncertain incremental cost</w:t>
      </w:r>
      <w:r w:rsidR="0085788D">
        <w:noBreakHyphen/>
      </w:r>
      <w:r>
        <w:t>effectiveness and the high and uncertain financial impact.</w:t>
      </w:r>
    </w:p>
    <w:p w:rsidR="00104AC1" w:rsidRPr="00AA700A" w:rsidRDefault="00104AC1" w:rsidP="003943AF">
      <w:pPr>
        <w:numPr>
          <w:ilvl w:val="1"/>
          <w:numId w:val="3"/>
        </w:numPr>
        <w:spacing w:after="120"/>
        <w:rPr>
          <w:rFonts w:asciiTheme="minorHAnsi" w:hAnsiTheme="minorHAnsi"/>
          <w:bCs/>
          <w:lang w:val="en-GB"/>
        </w:rPr>
      </w:pPr>
      <w:r>
        <w:t>The PBAC advised that any future submission would require</w:t>
      </w:r>
      <w:r w:rsidR="00AA700A">
        <w:t xml:space="preserve"> a risk sharing arrangement with a cap to address overall utilisation as well as </w:t>
      </w:r>
      <w:r w:rsidR="00FC1C35">
        <w:t>to manage the risk of repeat doses</w:t>
      </w:r>
      <w:r w:rsidR="00AA700A">
        <w:t xml:space="preserve">, and that a price reduction would be required to address the uncertainties with regard to the incremental cost-effectiveness of </w:t>
      </w:r>
      <w:proofErr w:type="spellStart"/>
      <w:r w:rsidR="00AA700A">
        <w:t>bezlotoxumab</w:t>
      </w:r>
      <w:proofErr w:type="spellEnd"/>
      <w:r w:rsidR="00AA700A">
        <w:t xml:space="preserve"> treatment for CDI.</w:t>
      </w:r>
    </w:p>
    <w:p w:rsidR="00AA700A" w:rsidRDefault="00AA700A" w:rsidP="003943AF">
      <w:pPr>
        <w:numPr>
          <w:ilvl w:val="1"/>
          <w:numId w:val="3"/>
        </w:numPr>
        <w:spacing w:after="120"/>
        <w:rPr>
          <w:rFonts w:asciiTheme="minorHAnsi" w:hAnsiTheme="minorHAnsi"/>
          <w:bCs/>
          <w:lang w:val="en-GB"/>
        </w:rPr>
      </w:pPr>
      <w:r>
        <w:t>The PBAC noted that this submission was eligible for Independent Review.</w:t>
      </w:r>
    </w:p>
    <w:p w:rsidR="003943AF" w:rsidRPr="00525B39" w:rsidRDefault="003943AF" w:rsidP="003943AF">
      <w:pPr>
        <w:spacing w:before="240"/>
        <w:rPr>
          <w:rFonts w:asciiTheme="minorHAnsi" w:hAnsiTheme="minorHAnsi"/>
          <w:b/>
          <w:bCs/>
          <w:lang w:val="en-GB"/>
        </w:rPr>
      </w:pPr>
      <w:r w:rsidRPr="00525B39">
        <w:rPr>
          <w:rFonts w:asciiTheme="minorHAnsi" w:hAnsiTheme="minorHAnsi"/>
          <w:b/>
          <w:bCs/>
          <w:lang w:val="en-GB"/>
        </w:rPr>
        <w:t>Outcome:</w:t>
      </w:r>
    </w:p>
    <w:p w:rsidR="00AB4E07" w:rsidRPr="00F23853" w:rsidRDefault="003943AF" w:rsidP="003943AF">
      <w:pPr>
        <w:rPr>
          <w:rFonts w:asciiTheme="minorHAnsi" w:hAnsiTheme="minorHAnsi"/>
          <w:bCs/>
          <w:lang w:val="en-GB"/>
        </w:rPr>
      </w:pPr>
      <w:r w:rsidRPr="00525B39">
        <w:rPr>
          <w:rFonts w:asciiTheme="minorHAnsi" w:hAnsiTheme="minorHAnsi"/>
          <w:bCs/>
          <w:lang w:val="en-GB"/>
        </w:rPr>
        <w:t>Rejected</w:t>
      </w:r>
    </w:p>
    <w:p w:rsidR="00AB4E07" w:rsidRDefault="00AB4E07" w:rsidP="00AB4E07">
      <w:pPr>
        <w:pStyle w:val="PBACHeading1"/>
        <w:spacing w:before="240" w:after="120"/>
      </w:pPr>
      <w:r>
        <w:t xml:space="preserve">Context for Decision </w:t>
      </w:r>
    </w:p>
    <w:p w:rsidR="00AB4E07" w:rsidRPr="00AB4E07" w:rsidRDefault="00AB4E07" w:rsidP="00AB4E07">
      <w:pPr>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B4E07" w:rsidRDefault="00AB4E07" w:rsidP="00AB4E07">
      <w:pPr>
        <w:pStyle w:val="PBACHeading1"/>
        <w:spacing w:before="240" w:after="120"/>
      </w:pPr>
      <w:r>
        <w:t xml:space="preserve">Sponsor’s Comment </w:t>
      </w:r>
    </w:p>
    <w:p w:rsidR="003943AF" w:rsidRPr="00AB4E07" w:rsidRDefault="00837987" w:rsidP="00837987">
      <w:pPr>
        <w:spacing w:after="120"/>
        <w:rPr>
          <w:rFonts w:asciiTheme="minorHAnsi" w:hAnsiTheme="minorHAnsi"/>
        </w:rPr>
      </w:pPr>
      <w:r>
        <w:t xml:space="preserve">MSD is disappointed by the PBAC outcome for </w:t>
      </w:r>
      <w:proofErr w:type="spellStart"/>
      <w:r>
        <w:t>bezlotoxumab</w:t>
      </w:r>
      <w:proofErr w:type="spellEnd"/>
      <w:r>
        <w:t xml:space="preserve"> and is working with government towards making this treatment option available for patients with </w:t>
      </w:r>
      <w:r w:rsidRPr="005531B0">
        <w:rPr>
          <w:i/>
        </w:rPr>
        <w:t>Clostridium difficile</w:t>
      </w:r>
      <w:r>
        <w:t xml:space="preserve"> infection in Australia.</w:t>
      </w:r>
    </w:p>
    <w:sectPr w:rsidR="003943AF" w:rsidRPr="00AB4E07" w:rsidSect="00F4358C">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007865" w15:done="0"/>
  <w15:commentEx w15:paraId="1D52557E" w15:done="0"/>
  <w15:commentEx w15:paraId="791C268F" w15:paraIdParent="1D5255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007865" w16cid:durableId="1F0D971D"/>
  <w16cid:commentId w16cid:paraId="1D52557E" w16cid:durableId="1F0D9781"/>
  <w16cid:commentId w16cid:paraId="791C268F" w16cid:durableId="1F12CE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A2A" w:rsidRDefault="00410A2A" w:rsidP="00124A51">
      <w:r>
        <w:separator/>
      </w:r>
    </w:p>
    <w:p w:rsidR="00410A2A" w:rsidRDefault="00410A2A"/>
  </w:endnote>
  <w:endnote w:type="continuationSeparator" w:id="0">
    <w:p w:rsidR="00410A2A" w:rsidRDefault="00410A2A" w:rsidP="00124A51">
      <w:r>
        <w:continuationSeparator/>
      </w:r>
    </w:p>
    <w:p w:rsidR="00410A2A" w:rsidRDefault="00410A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Veolia W2 ExtraLight">
    <w:altName w:val="Arial"/>
    <w:panose1 w:val="00000000000000000000"/>
    <w:charset w:val="00"/>
    <w:family w:val="swiss"/>
    <w:notTrueType/>
    <w:pitch w:val="variable"/>
    <w:sig w:usb0="A00002BF" w:usb1="5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dvGSANS-B">
    <w:panose1 w:val="00000000000000000000"/>
    <w:charset w:val="00"/>
    <w:family w:val="auto"/>
    <w:notTrueType/>
    <w:pitch w:val="default"/>
    <w:sig w:usb0="00000003" w:usb1="00000000" w:usb2="00000000" w:usb3="00000000" w:csb0="00000001" w:csb1="00000000"/>
  </w:font>
  <w:font w:name="AdvGSANS-BI">
    <w:altName w:val="Calibri"/>
    <w:panose1 w:val="00000000000000000000"/>
    <w:charset w:val="00"/>
    <w:family w:val="auto"/>
    <w:notTrueType/>
    <w:pitch w:val="default"/>
    <w:sig w:usb0="00000003" w:usb1="00000000" w:usb2="00000000" w:usb3="00000000" w:csb0="00000001" w:csb1="00000000"/>
  </w:font>
  <w:font w:name="AdvGSANS-I">
    <w:panose1 w:val="00000000000000000000"/>
    <w:charset w:val="00"/>
    <w:family w:val="auto"/>
    <w:notTrueType/>
    <w:pitch w:val="default"/>
    <w:sig w:usb0="00000003" w:usb1="00000000" w:usb2="00000000" w:usb3="00000000" w:csb0="00000001" w:csb1="00000000"/>
  </w:font>
  <w:font w:name="AdvGSAN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7F9" w:rsidRDefault="00D417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776250"/>
      <w:docPartObj>
        <w:docPartGallery w:val="Page Numbers (Bottom of Page)"/>
        <w:docPartUnique/>
      </w:docPartObj>
    </w:sdtPr>
    <w:sdtEndPr>
      <w:rPr>
        <w:noProof/>
      </w:rPr>
    </w:sdtEndPr>
    <w:sdtContent>
      <w:p w:rsidR="005B2CC8" w:rsidRDefault="005B2CC8" w:rsidP="005B2CC8">
        <w:pPr>
          <w:pStyle w:val="Footer"/>
          <w:jc w:val="center"/>
        </w:pPr>
      </w:p>
      <w:p w:rsidR="00817B80" w:rsidRPr="005B2CC8" w:rsidRDefault="00817B80" w:rsidP="005B2CC8">
        <w:pPr>
          <w:pStyle w:val="Footer"/>
          <w:jc w:val="center"/>
        </w:pPr>
        <w:r>
          <w:fldChar w:fldCharType="begin"/>
        </w:r>
        <w:r>
          <w:instrText xml:space="preserve"> PAGE   \* MERGEFORMAT </w:instrText>
        </w:r>
        <w:r>
          <w:fldChar w:fldCharType="separate"/>
        </w:r>
        <w:r w:rsidR="00F23853">
          <w:rPr>
            <w:noProof/>
          </w:rPr>
          <w:t>35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7F9" w:rsidRDefault="00D417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A2A" w:rsidRDefault="00410A2A" w:rsidP="00124A51">
      <w:r>
        <w:separator/>
      </w:r>
    </w:p>
    <w:p w:rsidR="00410A2A" w:rsidRDefault="00410A2A"/>
  </w:footnote>
  <w:footnote w:type="continuationSeparator" w:id="0">
    <w:p w:rsidR="00410A2A" w:rsidRDefault="00410A2A" w:rsidP="00124A51">
      <w:r>
        <w:continuationSeparator/>
      </w:r>
    </w:p>
    <w:p w:rsidR="00410A2A" w:rsidRDefault="00410A2A"/>
  </w:footnote>
  <w:footnote w:id="1">
    <w:p w:rsidR="00817B80" w:rsidRPr="009704A8" w:rsidRDefault="00817B80" w:rsidP="00C0267A">
      <w:pPr>
        <w:pStyle w:val="FootnoteText"/>
        <w:ind w:left="142" w:hanging="142"/>
      </w:pPr>
      <w:r>
        <w:rPr>
          <w:rStyle w:val="FootnoteReference"/>
        </w:rPr>
        <w:footnoteRef/>
      </w:r>
      <w:r>
        <w:t xml:space="preserve"> Note </w:t>
      </w:r>
      <w:r w:rsidRPr="009704A8">
        <w:t xml:space="preserve">the wording in the requested listing </w:t>
      </w:r>
      <w:r>
        <w:t xml:space="preserve">presented in the submission </w:t>
      </w:r>
      <w:r w:rsidRPr="009704A8">
        <w:t xml:space="preserve">did not prohibit use of </w:t>
      </w:r>
      <w:proofErr w:type="spellStart"/>
      <w:r w:rsidRPr="009704A8">
        <w:t>bezlotox</w:t>
      </w:r>
      <w:r>
        <w:t>umab</w:t>
      </w:r>
      <w:proofErr w:type="spellEnd"/>
      <w:r>
        <w:t xml:space="preserve"> for subsequent infections. Post evaluation, the </w:t>
      </w:r>
      <w:r w:rsidRPr="009704A8">
        <w:t xml:space="preserve">PSCR proposed </w:t>
      </w:r>
      <w:r>
        <w:t xml:space="preserve">the </w:t>
      </w:r>
      <w:r w:rsidRPr="009704A8">
        <w:t xml:space="preserve">restriction </w:t>
      </w:r>
      <w:r>
        <w:t>could</w:t>
      </w:r>
      <w:r w:rsidRPr="009704A8">
        <w:t xml:space="preserve"> limit to single lifetime use.</w:t>
      </w:r>
    </w:p>
  </w:footnote>
  <w:footnote w:id="2">
    <w:p w:rsidR="00817B80" w:rsidRDefault="00817B80" w:rsidP="00B8785C">
      <w:pPr>
        <w:pStyle w:val="FootnoteText"/>
      </w:pPr>
      <w:r>
        <w:rPr>
          <w:rStyle w:val="FootnoteReference"/>
        </w:rPr>
        <w:footnoteRef/>
      </w:r>
      <w:r>
        <w:t xml:space="preserve"> </w:t>
      </w:r>
      <w:proofErr w:type="spellStart"/>
      <w:r w:rsidRPr="001411C6">
        <w:t>Gerding</w:t>
      </w:r>
      <w:proofErr w:type="spellEnd"/>
      <w:r w:rsidRPr="001411C6">
        <w:t xml:space="preserve"> </w:t>
      </w:r>
      <w:proofErr w:type="gramStart"/>
      <w:r w:rsidRPr="00CC5D6C">
        <w:rPr>
          <w:i/>
        </w:rPr>
        <w:t>et</w:t>
      </w:r>
      <w:proofErr w:type="gramEnd"/>
      <w:r w:rsidRPr="00CC5D6C">
        <w:rPr>
          <w:i/>
        </w:rPr>
        <w:t xml:space="preserve">. </w:t>
      </w:r>
      <w:proofErr w:type="gramStart"/>
      <w:r w:rsidRPr="00CC5D6C">
        <w:rPr>
          <w:i/>
        </w:rPr>
        <w:t>al.</w:t>
      </w:r>
      <w:r w:rsidRPr="001411C6">
        <w:t xml:space="preserve">, </w:t>
      </w:r>
      <w:proofErr w:type="spellStart"/>
      <w:r w:rsidRPr="001411C6">
        <w:t>Bezlotoxumab</w:t>
      </w:r>
      <w:proofErr w:type="spellEnd"/>
      <w:r w:rsidRPr="001411C6">
        <w:t xml:space="preserve"> for prevention of recurrent C. difficile infection in patients at increased risk for recurrence</w:t>
      </w:r>
      <w:r>
        <w:t>.</w:t>
      </w:r>
      <w:proofErr w:type="gramEnd"/>
      <w:r>
        <w:t xml:space="preserve"> </w:t>
      </w:r>
      <w:r w:rsidRPr="001411C6">
        <w:t>Clinical Infectious Diseases, 2018, Publication In Press</w:t>
      </w:r>
    </w:p>
  </w:footnote>
  <w:footnote w:id="3">
    <w:p w:rsidR="00817B80" w:rsidRDefault="00817B80" w:rsidP="00A429F3">
      <w:pPr>
        <w:pStyle w:val="FootnoteText"/>
      </w:pPr>
      <w:r>
        <w:rPr>
          <w:rStyle w:val="FootnoteReference"/>
        </w:rPr>
        <w:footnoteRef/>
      </w:r>
      <w:r>
        <w:t xml:space="preserve"> Note this also included patient from </w:t>
      </w:r>
      <w:proofErr w:type="spellStart"/>
      <w:r>
        <w:t>actoxumab</w:t>
      </w:r>
      <w:proofErr w:type="spellEnd"/>
      <w:r>
        <w:t xml:space="preserve"> and </w:t>
      </w:r>
      <w:proofErr w:type="spellStart"/>
      <w:r>
        <w:t>actoxumab+bezlotoxumab</w:t>
      </w:r>
      <w:proofErr w:type="spellEnd"/>
      <w:r>
        <w:t xml:space="preserve"> treatment arms.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7F9" w:rsidRDefault="00D417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B80" w:rsidRPr="00EA18A0" w:rsidRDefault="00817B80" w:rsidP="00EA18A0">
    <w:pPr>
      <w:widowControl/>
      <w:tabs>
        <w:tab w:val="center" w:pos="4513"/>
        <w:tab w:val="right" w:pos="9026"/>
      </w:tabs>
      <w:jc w:val="center"/>
      <w:rPr>
        <w:rFonts w:asciiTheme="minorHAnsi" w:eastAsiaTheme="minorHAnsi" w:hAnsiTheme="minorHAnsi" w:cstheme="minorHAnsi"/>
        <w:i/>
        <w:snapToGrid/>
        <w:color w:val="808080"/>
        <w:sz w:val="22"/>
      </w:rPr>
    </w:pPr>
    <w:r w:rsidRPr="00EA18A0">
      <w:rPr>
        <w:rFonts w:asciiTheme="minorHAnsi" w:eastAsiaTheme="minorHAnsi" w:hAnsiTheme="minorHAnsi" w:cstheme="minorHAnsi"/>
        <w:i/>
        <w:snapToGrid/>
        <w:color w:val="808080"/>
        <w:sz w:val="22"/>
      </w:rPr>
      <w:t xml:space="preserve">Public Summary Document – </w:t>
    </w:r>
    <w:r>
      <w:rPr>
        <w:rFonts w:asciiTheme="minorHAnsi" w:eastAsiaTheme="minorHAnsi" w:hAnsiTheme="minorHAnsi" w:cstheme="minorHAnsi"/>
        <w:i/>
        <w:snapToGrid/>
        <w:color w:val="808080"/>
        <w:sz w:val="22"/>
      </w:rPr>
      <w:t>July 2018</w:t>
    </w:r>
    <w:r w:rsidRPr="00EA18A0">
      <w:rPr>
        <w:rFonts w:asciiTheme="minorHAnsi" w:eastAsiaTheme="minorHAnsi" w:hAnsiTheme="minorHAnsi" w:cstheme="minorHAnsi"/>
        <w:i/>
        <w:snapToGrid/>
        <w:color w:val="808080"/>
        <w:sz w:val="22"/>
      </w:rPr>
      <w:t xml:space="preserve"> PBAC Meeting</w:t>
    </w:r>
  </w:p>
  <w:p w:rsidR="00817B80" w:rsidRPr="008C7ECB" w:rsidRDefault="00817B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7F9" w:rsidRDefault="00D417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EA4AA0"/>
    <w:multiLevelType w:val="hybridMultilevel"/>
    <w:tmpl w:val="5AF84C3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1844777"/>
    <w:multiLevelType w:val="hybridMultilevel"/>
    <w:tmpl w:val="C70A59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BCC542B"/>
    <w:multiLevelType w:val="hybridMultilevel"/>
    <w:tmpl w:val="7B62036E"/>
    <w:lvl w:ilvl="0" w:tplc="A502E678">
      <w:numFmt w:val="bullet"/>
      <w:lvlText w:val="-"/>
      <w:lvlJc w:val="left"/>
      <w:pPr>
        <w:ind w:left="832" w:hanging="360"/>
      </w:pPr>
      <w:rPr>
        <w:rFonts w:ascii="Calibri" w:eastAsiaTheme="minorHAnsi" w:hAnsi="Calibri" w:cstheme="minorBidi"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6">
    <w:nsid w:val="103B5D99"/>
    <w:multiLevelType w:val="hybridMultilevel"/>
    <w:tmpl w:val="E654AE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62364DF"/>
    <w:multiLevelType w:val="hybridMultilevel"/>
    <w:tmpl w:val="8752CDDA"/>
    <w:lvl w:ilvl="0" w:tplc="F2BCC434">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B1472E4"/>
    <w:multiLevelType w:val="hybridMultilevel"/>
    <w:tmpl w:val="BF4EC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ED15C6B"/>
    <w:multiLevelType w:val="hybridMultilevel"/>
    <w:tmpl w:val="67C8D45A"/>
    <w:lvl w:ilvl="0" w:tplc="B018371A">
      <w:start w:val="1"/>
      <w:numFmt w:val="bullet"/>
      <w:lvlText w:val="-"/>
      <w:lvlJc w:val="left"/>
      <w:pPr>
        <w:ind w:left="720" w:hanging="360"/>
      </w:pPr>
      <w:rPr>
        <w:rFonts w:ascii="Arial Narrow" w:hAnsi="Arial Narro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84774ED"/>
    <w:multiLevelType w:val="hybridMultilevel"/>
    <w:tmpl w:val="76C4C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B5B7EE7"/>
    <w:multiLevelType w:val="hybridMultilevel"/>
    <w:tmpl w:val="6B3072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DE13F43"/>
    <w:multiLevelType w:val="hybridMultilevel"/>
    <w:tmpl w:val="4B62815C"/>
    <w:lvl w:ilvl="0" w:tplc="A502E67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6D379F4"/>
    <w:multiLevelType w:val="hybridMultilevel"/>
    <w:tmpl w:val="327E573A"/>
    <w:lvl w:ilvl="0" w:tplc="0C090001">
      <w:start w:val="1"/>
      <w:numFmt w:val="bullet"/>
      <w:lvlText w:val=""/>
      <w:lvlJc w:val="left"/>
      <w:pPr>
        <w:ind w:left="890" w:hanging="360"/>
      </w:pPr>
      <w:rPr>
        <w:rFonts w:ascii="Symbol" w:hAnsi="Symbol" w:hint="default"/>
      </w:rPr>
    </w:lvl>
    <w:lvl w:ilvl="1" w:tplc="C194E3EC">
      <w:numFmt w:val="bullet"/>
      <w:lvlText w:val="•"/>
      <w:lvlJc w:val="left"/>
      <w:pPr>
        <w:ind w:left="1445" w:hanging="195"/>
      </w:pPr>
      <w:rPr>
        <w:rFonts w:ascii="Calibri" w:eastAsia="Times New Roman" w:hAnsi="Calibri" w:cs="Arial"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5">
    <w:nsid w:val="3B7C34E2"/>
    <w:multiLevelType w:val="hybridMultilevel"/>
    <w:tmpl w:val="66727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FC232DA"/>
    <w:multiLevelType w:val="hybridMultilevel"/>
    <w:tmpl w:val="46127D86"/>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7">
    <w:nsid w:val="42E936F3"/>
    <w:multiLevelType w:val="hybridMultilevel"/>
    <w:tmpl w:val="6CB6E2A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FE6700"/>
    <w:multiLevelType w:val="hybridMultilevel"/>
    <w:tmpl w:val="599E54E6"/>
    <w:lvl w:ilvl="0" w:tplc="0C090001">
      <w:start w:val="1"/>
      <w:numFmt w:val="bullet"/>
      <w:lvlText w:val=""/>
      <w:lvlJc w:val="left"/>
      <w:pPr>
        <w:ind w:left="360" w:hanging="360"/>
      </w:pPr>
      <w:rPr>
        <w:rFonts w:ascii="Symbol" w:hAnsi="Symbol" w:hint="default"/>
      </w:rPr>
    </w:lvl>
    <w:lvl w:ilvl="1" w:tplc="134CAC6E">
      <w:start w:val="1"/>
      <w:numFmt w:val="bullet"/>
      <w:lvlText w:val="–"/>
      <w:lvlJc w:val="left"/>
      <w:pPr>
        <w:ind w:left="1080" w:hanging="360"/>
      </w:pPr>
      <w:rPr>
        <w:rFonts w:ascii="TheSans Veolia W2 ExtraLight" w:hAnsi="TheSans Veolia W2 ExtraLight"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46097B2A"/>
    <w:multiLevelType w:val="hybridMultilevel"/>
    <w:tmpl w:val="7FFA2ED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69F7734"/>
    <w:multiLevelType w:val="hybridMultilevel"/>
    <w:tmpl w:val="30B046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A0445F4"/>
    <w:multiLevelType w:val="multilevel"/>
    <w:tmpl w:val="24401002"/>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3">
    <w:nsid w:val="4AB4150C"/>
    <w:multiLevelType w:val="hybridMultilevel"/>
    <w:tmpl w:val="DACE8F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4B345D15"/>
    <w:multiLevelType w:val="hybridMultilevel"/>
    <w:tmpl w:val="7A8CE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65A6793"/>
    <w:multiLevelType w:val="hybridMultilevel"/>
    <w:tmpl w:val="86587B78"/>
    <w:lvl w:ilvl="0" w:tplc="B018371A">
      <w:start w:val="1"/>
      <w:numFmt w:val="bullet"/>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78A752F"/>
    <w:multiLevelType w:val="hybridMultilevel"/>
    <w:tmpl w:val="BBE000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nsid w:val="69E94CD7"/>
    <w:multiLevelType w:val="hybridMultilevel"/>
    <w:tmpl w:val="56EAA7A2"/>
    <w:lvl w:ilvl="0" w:tplc="EF006A38">
      <w:start w:val="1"/>
      <w:numFmt w:val="lowerRoman"/>
      <w:lvlText w:val="%1)"/>
      <w:lvlJc w:val="left"/>
      <w:pPr>
        <w:ind w:left="780" w:hanging="72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29">
    <w:nsid w:val="6D5361AC"/>
    <w:multiLevelType w:val="hybridMultilevel"/>
    <w:tmpl w:val="AE207F4A"/>
    <w:lvl w:ilvl="0" w:tplc="0C090001">
      <w:start w:val="1"/>
      <w:numFmt w:val="bullet"/>
      <w:lvlText w:val=""/>
      <w:lvlJc w:val="left"/>
      <w:pPr>
        <w:ind w:left="360" w:hanging="360"/>
      </w:pPr>
      <w:rPr>
        <w:rFonts w:ascii="Symbol" w:hAnsi="Symbol" w:hint="default"/>
      </w:rPr>
    </w:lvl>
    <w:lvl w:ilvl="1" w:tplc="134CAC6E">
      <w:start w:val="1"/>
      <w:numFmt w:val="bullet"/>
      <w:lvlText w:val="–"/>
      <w:lvlJc w:val="left"/>
      <w:pPr>
        <w:ind w:left="1080" w:hanging="360"/>
      </w:pPr>
      <w:rPr>
        <w:rFonts w:ascii="TheSans Veolia W2 ExtraLight" w:hAnsi="TheSans Veolia W2 ExtraLight" w:hint="default"/>
      </w:rPr>
    </w:lvl>
    <w:lvl w:ilvl="2" w:tplc="B018371A">
      <w:start w:val="1"/>
      <w:numFmt w:val="bullet"/>
      <w:lvlText w:val="-"/>
      <w:lvlJc w:val="left"/>
      <w:pPr>
        <w:ind w:left="1800" w:hanging="360"/>
      </w:pPr>
      <w:rPr>
        <w:rFonts w:ascii="Arial Narrow" w:hAnsi="Arial Narro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76B12755"/>
    <w:multiLevelType w:val="hybridMultilevel"/>
    <w:tmpl w:val="5A9C7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84D033C"/>
    <w:multiLevelType w:val="multilevel"/>
    <w:tmpl w:val="BD029ED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BD618BA"/>
    <w:multiLevelType w:val="hybridMultilevel"/>
    <w:tmpl w:val="B4D62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EEE5108"/>
    <w:multiLevelType w:val="hybridMultilevel"/>
    <w:tmpl w:val="D21E7218"/>
    <w:lvl w:ilvl="0" w:tplc="B018371A">
      <w:start w:val="1"/>
      <w:numFmt w:val="bullet"/>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31"/>
  </w:num>
  <w:num w:numId="4">
    <w:abstractNumId w:val="18"/>
  </w:num>
  <w:num w:numId="5">
    <w:abstractNumId w:val="22"/>
  </w:num>
  <w:num w:numId="6">
    <w:abstractNumId w:val="11"/>
  </w:num>
  <w:num w:numId="7">
    <w:abstractNumId w:val="6"/>
  </w:num>
  <w:num w:numId="8">
    <w:abstractNumId w:val="30"/>
  </w:num>
  <w:num w:numId="9">
    <w:abstractNumId w:val="32"/>
  </w:num>
  <w:num w:numId="10">
    <w:abstractNumId w:val="20"/>
  </w:num>
  <w:num w:numId="11">
    <w:abstractNumId w:val="33"/>
  </w:num>
  <w:num w:numId="12">
    <w:abstractNumId w:val="8"/>
  </w:num>
  <w:num w:numId="13">
    <w:abstractNumId w:val="9"/>
  </w:num>
  <w:num w:numId="14">
    <w:abstractNumId w:val="24"/>
  </w:num>
  <w:num w:numId="15">
    <w:abstractNumId w:val="14"/>
  </w:num>
  <w:num w:numId="16">
    <w:abstractNumId w:val="28"/>
  </w:num>
  <w:num w:numId="17">
    <w:abstractNumId w:val="2"/>
  </w:num>
  <w:num w:numId="18">
    <w:abstractNumId w:val="12"/>
  </w:num>
  <w:num w:numId="19">
    <w:abstractNumId w:val="17"/>
  </w:num>
  <w:num w:numId="20">
    <w:abstractNumId w:val="19"/>
  </w:num>
  <w:num w:numId="21">
    <w:abstractNumId w:val="16"/>
  </w:num>
  <w:num w:numId="22">
    <w:abstractNumId w:val="1"/>
  </w:num>
  <w:num w:numId="23">
    <w:abstractNumId w:val="29"/>
  </w:num>
  <w:num w:numId="24">
    <w:abstractNumId w:val="21"/>
  </w:num>
  <w:num w:numId="25">
    <w:abstractNumId w:val="26"/>
  </w:num>
  <w:num w:numId="26">
    <w:abstractNumId w:val="5"/>
  </w:num>
  <w:num w:numId="27">
    <w:abstractNumId w:val="13"/>
  </w:num>
  <w:num w:numId="28">
    <w:abstractNumId w:val="7"/>
  </w:num>
  <w:num w:numId="29">
    <w:abstractNumId w:val="23"/>
  </w:num>
  <w:num w:numId="30">
    <w:abstractNumId w:val="27"/>
  </w:num>
  <w:num w:numId="31">
    <w:abstractNumId w:val="25"/>
  </w:num>
  <w:num w:numId="32">
    <w:abstractNumId w:val="4"/>
  </w:num>
  <w:num w:numId="33">
    <w:abstractNumId w:val="0"/>
  </w:num>
  <w:num w:numId="34">
    <w:abstractNumId w:val="10"/>
  </w:num>
  <w:num w:numId="35">
    <w:abstractNumId w:val="31"/>
  </w:num>
  <w:num w:numId="36">
    <w:abstractNumId w:val="31"/>
  </w:num>
  <w:num w:numId="37">
    <w:abstractNumId w:val="31"/>
  </w:num>
  <w:num w:numId="38">
    <w:abstractNumId w:val="31"/>
  </w:num>
  <w:num w:numId="39">
    <w:abstractNumId w:val="31"/>
  </w:num>
  <w:num w:numId="40">
    <w:abstractNumId w:val="3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Newby">
    <w15:presenceInfo w15:providerId="Windows Live" w15:userId="00995dce-632a-4d22-9282-3e0d02d8b721"/>
  </w15:person>
  <w15:person w15:author="Tom Snelling">
    <w15:presenceInfo w15:providerId="AD" w15:userId="S-1-5-21-1982029612-917206853-945835055-19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Formatting/>
  <w:defaultTabStop w:val="17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5D5"/>
    <w:rsid w:val="00000790"/>
    <w:rsid w:val="00000D72"/>
    <w:rsid w:val="00000DA0"/>
    <w:rsid w:val="0000110B"/>
    <w:rsid w:val="000026ED"/>
    <w:rsid w:val="00002832"/>
    <w:rsid w:val="00003499"/>
    <w:rsid w:val="000039B7"/>
    <w:rsid w:val="00003B78"/>
    <w:rsid w:val="0000464C"/>
    <w:rsid w:val="00005507"/>
    <w:rsid w:val="00005EDF"/>
    <w:rsid w:val="00006797"/>
    <w:rsid w:val="00006BCB"/>
    <w:rsid w:val="00006CC6"/>
    <w:rsid w:val="000078BB"/>
    <w:rsid w:val="000100BF"/>
    <w:rsid w:val="00010ECC"/>
    <w:rsid w:val="00011295"/>
    <w:rsid w:val="000114C4"/>
    <w:rsid w:val="00011B9F"/>
    <w:rsid w:val="00013247"/>
    <w:rsid w:val="0001334B"/>
    <w:rsid w:val="00015886"/>
    <w:rsid w:val="00015BBF"/>
    <w:rsid w:val="000162EF"/>
    <w:rsid w:val="00016412"/>
    <w:rsid w:val="000164CE"/>
    <w:rsid w:val="00020426"/>
    <w:rsid w:val="000210F6"/>
    <w:rsid w:val="000212D7"/>
    <w:rsid w:val="0002225F"/>
    <w:rsid w:val="000227FF"/>
    <w:rsid w:val="00023196"/>
    <w:rsid w:val="00023763"/>
    <w:rsid w:val="00023A23"/>
    <w:rsid w:val="00023DCD"/>
    <w:rsid w:val="00023EA8"/>
    <w:rsid w:val="0002443B"/>
    <w:rsid w:val="000248E2"/>
    <w:rsid w:val="00025CF1"/>
    <w:rsid w:val="00026510"/>
    <w:rsid w:val="00027D86"/>
    <w:rsid w:val="00030748"/>
    <w:rsid w:val="00032C31"/>
    <w:rsid w:val="00033060"/>
    <w:rsid w:val="000336DA"/>
    <w:rsid w:val="00033863"/>
    <w:rsid w:val="00033DA5"/>
    <w:rsid w:val="00035DC0"/>
    <w:rsid w:val="0003642B"/>
    <w:rsid w:val="00036829"/>
    <w:rsid w:val="0003697F"/>
    <w:rsid w:val="00036DFB"/>
    <w:rsid w:val="00040895"/>
    <w:rsid w:val="00041EE3"/>
    <w:rsid w:val="0004340F"/>
    <w:rsid w:val="00043BAF"/>
    <w:rsid w:val="00043C37"/>
    <w:rsid w:val="00045017"/>
    <w:rsid w:val="00045A2B"/>
    <w:rsid w:val="0004698F"/>
    <w:rsid w:val="000509F5"/>
    <w:rsid w:val="00051476"/>
    <w:rsid w:val="00051BA2"/>
    <w:rsid w:val="00051BFA"/>
    <w:rsid w:val="0005317B"/>
    <w:rsid w:val="000538B3"/>
    <w:rsid w:val="000539D0"/>
    <w:rsid w:val="00054621"/>
    <w:rsid w:val="000546D7"/>
    <w:rsid w:val="000553E0"/>
    <w:rsid w:val="0005637E"/>
    <w:rsid w:val="00056CF0"/>
    <w:rsid w:val="0005757C"/>
    <w:rsid w:val="000600B0"/>
    <w:rsid w:val="00062C83"/>
    <w:rsid w:val="00063107"/>
    <w:rsid w:val="00065C21"/>
    <w:rsid w:val="00066360"/>
    <w:rsid w:val="000701D2"/>
    <w:rsid w:val="0007024D"/>
    <w:rsid w:val="00070303"/>
    <w:rsid w:val="0007090F"/>
    <w:rsid w:val="00070AEE"/>
    <w:rsid w:val="00070D13"/>
    <w:rsid w:val="00071164"/>
    <w:rsid w:val="00071248"/>
    <w:rsid w:val="000720B9"/>
    <w:rsid w:val="00072EB6"/>
    <w:rsid w:val="000737F7"/>
    <w:rsid w:val="000739D7"/>
    <w:rsid w:val="0007672F"/>
    <w:rsid w:val="00077025"/>
    <w:rsid w:val="000774F0"/>
    <w:rsid w:val="000801EE"/>
    <w:rsid w:val="00080909"/>
    <w:rsid w:val="00080E0F"/>
    <w:rsid w:val="000811C4"/>
    <w:rsid w:val="000812CA"/>
    <w:rsid w:val="00081635"/>
    <w:rsid w:val="0008191F"/>
    <w:rsid w:val="000819AB"/>
    <w:rsid w:val="00081E39"/>
    <w:rsid w:val="00082545"/>
    <w:rsid w:val="0008258D"/>
    <w:rsid w:val="00083E99"/>
    <w:rsid w:val="000856C5"/>
    <w:rsid w:val="00085A80"/>
    <w:rsid w:val="00085C07"/>
    <w:rsid w:val="00086F04"/>
    <w:rsid w:val="00086F25"/>
    <w:rsid w:val="00087339"/>
    <w:rsid w:val="000878B2"/>
    <w:rsid w:val="00087AFB"/>
    <w:rsid w:val="00090C7E"/>
    <w:rsid w:val="00092600"/>
    <w:rsid w:val="0009262B"/>
    <w:rsid w:val="00093187"/>
    <w:rsid w:val="00093310"/>
    <w:rsid w:val="00093C0D"/>
    <w:rsid w:val="000943E4"/>
    <w:rsid w:val="0009445C"/>
    <w:rsid w:val="0009466D"/>
    <w:rsid w:val="00094E63"/>
    <w:rsid w:val="00095427"/>
    <w:rsid w:val="00095FE5"/>
    <w:rsid w:val="00096284"/>
    <w:rsid w:val="000977E1"/>
    <w:rsid w:val="00097F1B"/>
    <w:rsid w:val="00097FD8"/>
    <w:rsid w:val="000A16A7"/>
    <w:rsid w:val="000A2260"/>
    <w:rsid w:val="000A2384"/>
    <w:rsid w:val="000A278B"/>
    <w:rsid w:val="000A2DAD"/>
    <w:rsid w:val="000A4D0B"/>
    <w:rsid w:val="000A5FF0"/>
    <w:rsid w:val="000A62AB"/>
    <w:rsid w:val="000A6BB2"/>
    <w:rsid w:val="000A76E5"/>
    <w:rsid w:val="000A7D08"/>
    <w:rsid w:val="000B0670"/>
    <w:rsid w:val="000B06B9"/>
    <w:rsid w:val="000B0D65"/>
    <w:rsid w:val="000B0E75"/>
    <w:rsid w:val="000B49C6"/>
    <w:rsid w:val="000B533A"/>
    <w:rsid w:val="000B65FA"/>
    <w:rsid w:val="000B6CAC"/>
    <w:rsid w:val="000B73BF"/>
    <w:rsid w:val="000B7612"/>
    <w:rsid w:val="000B771D"/>
    <w:rsid w:val="000C238D"/>
    <w:rsid w:val="000C2451"/>
    <w:rsid w:val="000C2C4B"/>
    <w:rsid w:val="000C3DF9"/>
    <w:rsid w:val="000C5502"/>
    <w:rsid w:val="000C62F1"/>
    <w:rsid w:val="000C6713"/>
    <w:rsid w:val="000C6FBD"/>
    <w:rsid w:val="000C7332"/>
    <w:rsid w:val="000D0B61"/>
    <w:rsid w:val="000D1A1D"/>
    <w:rsid w:val="000D1BFC"/>
    <w:rsid w:val="000D23B2"/>
    <w:rsid w:val="000D2725"/>
    <w:rsid w:val="000D2796"/>
    <w:rsid w:val="000D281A"/>
    <w:rsid w:val="000D2CFA"/>
    <w:rsid w:val="000D326A"/>
    <w:rsid w:val="000D4256"/>
    <w:rsid w:val="000D47A9"/>
    <w:rsid w:val="000D51FB"/>
    <w:rsid w:val="000D5F11"/>
    <w:rsid w:val="000D684A"/>
    <w:rsid w:val="000D72EC"/>
    <w:rsid w:val="000D76BA"/>
    <w:rsid w:val="000E135D"/>
    <w:rsid w:val="000E2889"/>
    <w:rsid w:val="000E2952"/>
    <w:rsid w:val="000E398D"/>
    <w:rsid w:val="000E3A0F"/>
    <w:rsid w:val="000E45DF"/>
    <w:rsid w:val="000E6890"/>
    <w:rsid w:val="000E6CA4"/>
    <w:rsid w:val="000E6CA5"/>
    <w:rsid w:val="000F00BA"/>
    <w:rsid w:val="000F02FE"/>
    <w:rsid w:val="000F0500"/>
    <w:rsid w:val="000F11C5"/>
    <w:rsid w:val="000F168A"/>
    <w:rsid w:val="000F2FF4"/>
    <w:rsid w:val="000F316A"/>
    <w:rsid w:val="000F3C74"/>
    <w:rsid w:val="000F471E"/>
    <w:rsid w:val="000F4BB8"/>
    <w:rsid w:val="000F4C9D"/>
    <w:rsid w:val="000F4DD7"/>
    <w:rsid w:val="000F5F55"/>
    <w:rsid w:val="000F656A"/>
    <w:rsid w:val="000F7127"/>
    <w:rsid w:val="0010024A"/>
    <w:rsid w:val="00100618"/>
    <w:rsid w:val="00100F8A"/>
    <w:rsid w:val="00101EFE"/>
    <w:rsid w:val="00103868"/>
    <w:rsid w:val="00104A04"/>
    <w:rsid w:val="00104AC1"/>
    <w:rsid w:val="00105845"/>
    <w:rsid w:val="00105AE2"/>
    <w:rsid w:val="00105EE4"/>
    <w:rsid w:val="00106B80"/>
    <w:rsid w:val="0010712A"/>
    <w:rsid w:val="0011032E"/>
    <w:rsid w:val="0011081D"/>
    <w:rsid w:val="0011348B"/>
    <w:rsid w:val="00113A72"/>
    <w:rsid w:val="00113CAF"/>
    <w:rsid w:val="00115982"/>
    <w:rsid w:val="00116C53"/>
    <w:rsid w:val="0012037D"/>
    <w:rsid w:val="00121799"/>
    <w:rsid w:val="001222FC"/>
    <w:rsid w:val="00122DA1"/>
    <w:rsid w:val="001242FC"/>
    <w:rsid w:val="00124A51"/>
    <w:rsid w:val="001255FE"/>
    <w:rsid w:val="00126621"/>
    <w:rsid w:val="001301E9"/>
    <w:rsid w:val="00131D82"/>
    <w:rsid w:val="00132820"/>
    <w:rsid w:val="00133D36"/>
    <w:rsid w:val="001352A7"/>
    <w:rsid w:val="00137645"/>
    <w:rsid w:val="00137F30"/>
    <w:rsid w:val="0014015A"/>
    <w:rsid w:val="00140E99"/>
    <w:rsid w:val="001411C6"/>
    <w:rsid w:val="00143E84"/>
    <w:rsid w:val="001443E9"/>
    <w:rsid w:val="001448B8"/>
    <w:rsid w:val="00145540"/>
    <w:rsid w:val="001456B0"/>
    <w:rsid w:val="00150FC3"/>
    <w:rsid w:val="001525BC"/>
    <w:rsid w:val="001535C0"/>
    <w:rsid w:val="0015369A"/>
    <w:rsid w:val="001538B4"/>
    <w:rsid w:val="00154100"/>
    <w:rsid w:val="001545D8"/>
    <w:rsid w:val="00154866"/>
    <w:rsid w:val="0015543E"/>
    <w:rsid w:val="00157130"/>
    <w:rsid w:val="0015726D"/>
    <w:rsid w:val="001576B1"/>
    <w:rsid w:val="00160333"/>
    <w:rsid w:val="00160943"/>
    <w:rsid w:val="00160A4C"/>
    <w:rsid w:val="00160B3F"/>
    <w:rsid w:val="001620C2"/>
    <w:rsid w:val="00162913"/>
    <w:rsid w:val="00162DA4"/>
    <w:rsid w:val="001630D2"/>
    <w:rsid w:val="00163457"/>
    <w:rsid w:val="00163EFF"/>
    <w:rsid w:val="00165787"/>
    <w:rsid w:val="001661FB"/>
    <w:rsid w:val="00171697"/>
    <w:rsid w:val="00172852"/>
    <w:rsid w:val="00173565"/>
    <w:rsid w:val="00173B07"/>
    <w:rsid w:val="00174402"/>
    <w:rsid w:val="00175557"/>
    <w:rsid w:val="00176C31"/>
    <w:rsid w:val="0018098D"/>
    <w:rsid w:val="001819BC"/>
    <w:rsid w:val="00181D9C"/>
    <w:rsid w:val="0018236C"/>
    <w:rsid w:val="0018257B"/>
    <w:rsid w:val="00182A53"/>
    <w:rsid w:val="00182EAC"/>
    <w:rsid w:val="00183809"/>
    <w:rsid w:val="0018752F"/>
    <w:rsid w:val="00187AD0"/>
    <w:rsid w:val="0019027F"/>
    <w:rsid w:val="0019108F"/>
    <w:rsid w:val="00195222"/>
    <w:rsid w:val="00196F20"/>
    <w:rsid w:val="001975D8"/>
    <w:rsid w:val="00197B2E"/>
    <w:rsid w:val="001A0937"/>
    <w:rsid w:val="001A0D6D"/>
    <w:rsid w:val="001A259C"/>
    <w:rsid w:val="001A2AF2"/>
    <w:rsid w:val="001A3874"/>
    <w:rsid w:val="001A39E2"/>
    <w:rsid w:val="001A43FA"/>
    <w:rsid w:val="001A59FB"/>
    <w:rsid w:val="001A5D6C"/>
    <w:rsid w:val="001A6354"/>
    <w:rsid w:val="001A7800"/>
    <w:rsid w:val="001A7941"/>
    <w:rsid w:val="001A7AE8"/>
    <w:rsid w:val="001B038D"/>
    <w:rsid w:val="001B0BEF"/>
    <w:rsid w:val="001B204E"/>
    <w:rsid w:val="001B3443"/>
    <w:rsid w:val="001B4223"/>
    <w:rsid w:val="001B4C72"/>
    <w:rsid w:val="001B4D20"/>
    <w:rsid w:val="001B59AB"/>
    <w:rsid w:val="001B5D72"/>
    <w:rsid w:val="001B6627"/>
    <w:rsid w:val="001B663E"/>
    <w:rsid w:val="001B79CA"/>
    <w:rsid w:val="001C056E"/>
    <w:rsid w:val="001C24BA"/>
    <w:rsid w:val="001C2730"/>
    <w:rsid w:val="001C2A24"/>
    <w:rsid w:val="001C2A9B"/>
    <w:rsid w:val="001C3FE8"/>
    <w:rsid w:val="001C4299"/>
    <w:rsid w:val="001C4608"/>
    <w:rsid w:val="001C5F94"/>
    <w:rsid w:val="001C6E66"/>
    <w:rsid w:val="001D012B"/>
    <w:rsid w:val="001D1E10"/>
    <w:rsid w:val="001D20B0"/>
    <w:rsid w:val="001D26AC"/>
    <w:rsid w:val="001D28BE"/>
    <w:rsid w:val="001D3324"/>
    <w:rsid w:val="001D3542"/>
    <w:rsid w:val="001D4776"/>
    <w:rsid w:val="001D4BC9"/>
    <w:rsid w:val="001D5719"/>
    <w:rsid w:val="001D571C"/>
    <w:rsid w:val="001D7946"/>
    <w:rsid w:val="001E0423"/>
    <w:rsid w:val="001E1FFF"/>
    <w:rsid w:val="001E238E"/>
    <w:rsid w:val="001E2483"/>
    <w:rsid w:val="001E2B1E"/>
    <w:rsid w:val="001E30D4"/>
    <w:rsid w:val="001E52EB"/>
    <w:rsid w:val="001E61D2"/>
    <w:rsid w:val="001E740C"/>
    <w:rsid w:val="001E75C2"/>
    <w:rsid w:val="001F023B"/>
    <w:rsid w:val="001F1235"/>
    <w:rsid w:val="001F158A"/>
    <w:rsid w:val="001F1CB3"/>
    <w:rsid w:val="001F200C"/>
    <w:rsid w:val="001F222B"/>
    <w:rsid w:val="001F36D4"/>
    <w:rsid w:val="001F385E"/>
    <w:rsid w:val="001F38B5"/>
    <w:rsid w:val="001F3946"/>
    <w:rsid w:val="001F6129"/>
    <w:rsid w:val="001F6970"/>
    <w:rsid w:val="001F7361"/>
    <w:rsid w:val="001F7E9E"/>
    <w:rsid w:val="00200684"/>
    <w:rsid w:val="002011B0"/>
    <w:rsid w:val="00201FB6"/>
    <w:rsid w:val="00202139"/>
    <w:rsid w:val="00202788"/>
    <w:rsid w:val="00203181"/>
    <w:rsid w:val="00203783"/>
    <w:rsid w:val="0020385F"/>
    <w:rsid w:val="002046F5"/>
    <w:rsid w:val="00205472"/>
    <w:rsid w:val="00205F4E"/>
    <w:rsid w:val="00206A7F"/>
    <w:rsid w:val="00207021"/>
    <w:rsid w:val="0020732F"/>
    <w:rsid w:val="00207D00"/>
    <w:rsid w:val="00207E16"/>
    <w:rsid w:val="002104F6"/>
    <w:rsid w:val="002105C1"/>
    <w:rsid w:val="00210697"/>
    <w:rsid w:val="00210975"/>
    <w:rsid w:val="0021146D"/>
    <w:rsid w:val="00212A44"/>
    <w:rsid w:val="0021452B"/>
    <w:rsid w:val="00214C2C"/>
    <w:rsid w:val="00215B80"/>
    <w:rsid w:val="002206BD"/>
    <w:rsid w:val="00221181"/>
    <w:rsid w:val="00221A52"/>
    <w:rsid w:val="00222834"/>
    <w:rsid w:val="00223A53"/>
    <w:rsid w:val="00223B49"/>
    <w:rsid w:val="00224DD4"/>
    <w:rsid w:val="00224FFD"/>
    <w:rsid w:val="0022605F"/>
    <w:rsid w:val="00226857"/>
    <w:rsid w:val="00227566"/>
    <w:rsid w:val="002309CC"/>
    <w:rsid w:val="00231479"/>
    <w:rsid w:val="0023209F"/>
    <w:rsid w:val="00233F25"/>
    <w:rsid w:val="002345B3"/>
    <w:rsid w:val="0023579C"/>
    <w:rsid w:val="0023629D"/>
    <w:rsid w:val="00236A66"/>
    <w:rsid w:val="00237255"/>
    <w:rsid w:val="00240996"/>
    <w:rsid w:val="00241686"/>
    <w:rsid w:val="00241F40"/>
    <w:rsid w:val="002424AF"/>
    <w:rsid w:val="00242AA5"/>
    <w:rsid w:val="00242B80"/>
    <w:rsid w:val="002439A5"/>
    <w:rsid w:val="002439DC"/>
    <w:rsid w:val="00244DC8"/>
    <w:rsid w:val="002453B8"/>
    <w:rsid w:val="002456CF"/>
    <w:rsid w:val="002458BA"/>
    <w:rsid w:val="002458FE"/>
    <w:rsid w:val="0024636C"/>
    <w:rsid w:val="00247925"/>
    <w:rsid w:val="00247CB1"/>
    <w:rsid w:val="00251D0B"/>
    <w:rsid w:val="00252BB3"/>
    <w:rsid w:val="002535CD"/>
    <w:rsid w:val="00254DCF"/>
    <w:rsid w:val="0025534B"/>
    <w:rsid w:val="00255920"/>
    <w:rsid w:val="00255BB7"/>
    <w:rsid w:val="002562AE"/>
    <w:rsid w:val="0025654D"/>
    <w:rsid w:val="00257541"/>
    <w:rsid w:val="00257A40"/>
    <w:rsid w:val="00257D93"/>
    <w:rsid w:val="0026082D"/>
    <w:rsid w:val="00261A71"/>
    <w:rsid w:val="00261D1A"/>
    <w:rsid w:val="00262287"/>
    <w:rsid w:val="00262A1A"/>
    <w:rsid w:val="00262A87"/>
    <w:rsid w:val="00264D26"/>
    <w:rsid w:val="0026646B"/>
    <w:rsid w:val="002673BA"/>
    <w:rsid w:val="00267642"/>
    <w:rsid w:val="00267AEA"/>
    <w:rsid w:val="00267DB1"/>
    <w:rsid w:val="002700E6"/>
    <w:rsid w:val="002701D5"/>
    <w:rsid w:val="00270723"/>
    <w:rsid w:val="00271DF5"/>
    <w:rsid w:val="0027294B"/>
    <w:rsid w:val="00272999"/>
    <w:rsid w:val="0027401D"/>
    <w:rsid w:val="0027519C"/>
    <w:rsid w:val="00275C5A"/>
    <w:rsid w:val="002760D5"/>
    <w:rsid w:val="002767D2"/>
    <w:rsid w:val="002772F9"/>
    <w:rsid w:val="0027737D"/>
    <w:rsid w:val="0027785C"/>
    <w:rsid w:val="00280CCD"/>
    <w:rsid w:val="00281014"/>
    <w:rsid w:val="002816C8"/>
    <w:rsid w:val="00281E30"/>
    <w:rsid w:val="0028283C"/>
    <w:rsid w:val="00282CDE"/>
    <w:rsid w:val="002832F1"/>
    <w:rsid w:val="002835CB"/>
    <w:rsid w:val="00284C19"/>
    <w:rsid w:val="00284F43"/>
    <w:rsid w:val="00285E8A"/>
    <w:rsid w:val="00286846"/>
    <w:rsid w:val="00286B2C"/>
    <w:rsid w:val="00287A8A"/>
    <w:rsid w:val="00290A83"/>
    <w:rsid w:val="00295FE5"/>
    <w:rsid w:val="00296546"/>
    <w:rsid w:val="00296D48"/>
    <w:rsid w:val="0029719A"/>
    <w:rsid w:val="0029756E"/>
    <w:rsid w:val="00297730"/>
    <w:rsid w:val="00297884"/>
    <w:rsid w:val="002A0CAE"/>
    <w:rsid w:val="002A14AB"/>
    <w:rsid w:val="002A15CB"/>
    <w:rsid w:val="002A2F50"/>
    <w:rsid w:val="002A3D1D"/>
    <w:rsid w:val="002A4D4B"/>
    <w:rsid w:val="002A53E7"/>
    <w:rsid w:val="002A6604"/>
    <w:rsid w:val="002A6BB1"/>
    <w:rsid w:val="002B09A4"/>
    <w:rsid w:val="002B0CF9"/>
    <w:rsid w:val="002B1210"/>
    <w:rsid w:val="002B13BB"/>
    <w:rsid w:val="002B1B0F"/>
    <w:rsid w:val="002B1C1F"/>
    <w:rsid w:val="002B28FC"/>
    <w:rsid w:val="002B2E41"/>
    <w:rsid w:val="002B4040"/>
    <w:rsid w:val="002B432F"/>
    <w:rsid w:val="002B4C88"/>
    <w:rsid w:val="002B5898"/>
    <w:rsid w:val="002B62B3"/>
    <w:rsid w:val="002B6754"/>
    <w:rsid w:val="002B6C9E"/>
    <w:rsid w:val="002B6CCE"/>
    <w:rsid w:val="002C12AA"/>
    <w:rsid w:val="002C2510"/>
    <w:rsid w:val="002C2775"/>
    <w:rsid w:val="002C27C1"/>
    <w:rsid w:val="002C42B4"/>
    <w:rsid w:val="002C5099"/>
    <w:rsid w:val="002C5763"/>
    <w:rsid w:val="002C5889"/>
    <w:rsid w:val="002C71CE"/>
    <w:rsid w:val="002C7DF7"/>
    <w:rsid w:val="002D577C"/>
    <w:rsid w:val="002D57DB"/>
    <w:rsid w:val="002D7747"/>
    <w:rsid w:val="002D7BF3"/>
    <w:rsid w:val="002E15B9"/>
    <w:rsid w:val="002E2158"/>
    <w:rsid w:val="002E4E87"/>
    <w:rsid w:val="002E7033"/>
    <w:rsid w:val="002E713E"/>
    <w:rsid w:val="002E7722"/>
    <w:rsid w:val="002F0538"/>
    <w:rsid w:val="002F07BA"/>
    <w:rsid w:val="002F0DA9"/>
    <w:rsid w:val="002F1BFE"/>
    <w:rsid w:val="002F1CFC"/>
    <w:rsid w:val="002F33A6"/>
    <w:rsid w:val="002F374C"/>
    <w:rsid w:val="002F3ADB"/>
    <w:rsid w:val="002F48A0"/>
    <w:rsid w:val="002F4D55"/>
    <w:rsid w:val="002F4E19"/>
    <w:rsid w:val="002F643C"/>
    <w:rsid w:val="002F71C0"/>
    <w:rsid w:val="00300A41"/>
    <w:rsid w:val="00301017"/>
    <w:rsid w:val="0030155F"/>
    <w:rsid w:val="00301E26"/>
    <w:rsid w:val="0030231C"/>
    <w:rsid w:val="00302474"/>
    <w:rsid w:val="00303551"/>
    <w:rsid w:val="00304366"/>
    <w:rsid w:val="00304453"/>
    <w:rsid w:val="0030587B"/>
    <w:rsid w:val="00305B98"/>
    <w:rsid w:val="00305D10"/>
    <w:rsid w:val="00306D98"/>
    <w:rsid w:val="003076F3"/>
    <w:rsid w:val="003077E7"/>
    <w:rsid w:val="0030786C"/>
    <w:rsid w:val="0031015B"/>
    <w:rsid w:val="0031031A"/>
    <w:rsid w:val="00310981"/>
    <w:rsid w:val="00312D6B"/>
    <w:rsid w:val="0031325B"/>
    <w:rsid w:val="003136CF"/>
    <w:rsid w:val="00314E7D"/>
    <w:rsid w:val="00315498"/>
    <w:rsid w:val="003154E1"/>
    <w:rsid w:val="003159B3"/>
    <w:rsid w:val="0032102D"/>
    <w:rsid w:val="0032166A"/>
    <w:rsid w:val="0032182A"/>
    <w:rsid w:val="0032206F"/>
    <w:rsid w:val="00322107"/>
    <w:rsid w:val="00322846"/>
    <w:rsid w:val="00322A52"/>
    <w:rsid w:val="00323E6D"/>
    <w:rsid w:val="00326DA7"/>
    <w:rsid w:val="003270E4"/>
    <w:rsid w:val="00330F5C"/>
    <w:rsid w:val="003330CF"/>
    <w:rsid w:val="0033449C"/>
    <w:rsid w:val="003348CA"/>
    <w:rsid w:val="003366C9"/>
    <w:rsid w:val="003371B0"/>
    <w:rsid w:val="0033732C"/>
    <w:rsid w:val="00340BC9"/>
    <w:rsid w:val="00340DF1"/>
    <w:rsid w:val="00346986"/>
    <w:rsid w:val="0034717C"/>
    <w:rsid w:val="003478EF"/>
    <w:rsid w:val="00347E65"/>
    <w:rsid w:val="003517F9"/>
    <w:rsid w:val="00351D4B"/>
    <w:rsid w:val="003528DA"/>
    <w:rsid w:val="0035620E"/>
    <w:rsid w:val="00356AB9"/>
    <w:rsid w:val="00356BA5"/>
    <w:rsid w:val="00356D5A"/>
    <w:rsid w:val="00356EAE"/>
    <w:rsid w:val="003577A8"/>
    <w:rsid w:val="00360502"/>
    <w:rsid w:val="00360EEB"/>
    <w:rsid w:val="003624C4"/>
    <w:rsid w:val="00362E38"/>
    <w:rsid w:val="00363F50"/>
    <w:rsid w:val="003654AC"/>
    <w:rsid w:val="003658A7"/>
    <w:rsid w:val="003673BE"/>
    <w:rsid w:val="00371082"/>
    <w:rsid w:val="003710CF"/>
    <w:rsid w:val="0037151A"/>
    <w:rsid w:val="00371AC5"/>
    <w:rsid w:val="00371B69"/>
    <w:rsid w:val="0037344C"/>
    <w:rsid w:val="0037358A"/>
    <w:rsid w:val="003750F6"/>
    <w:rsid w:val="00375D5F"/>
    <w:rsid w:val="00375EBE"/>
    <w:rsid w:val="003760FC"/>
    <w:rsid w:val="00376357"/>
    <w:rsid w:val="00376BC4"/>
    <w:rsid w:val="003775C0"/>
    <w:rsid w:val="00377786"/>
    <w:rsid w:val="00377A58"/>
    <w:rsid w:val="00383142"/>
    <w:rsid w:val="0038365C"/>
    <w:rsid w:val="0038369B"/>
    <w:rsid w:val="00383B78"/>
    <w:rsid w:val="00385A9D"/>
    <w:rsid w:val="00386A9B"/>
    <w:rsid w:val="003876DC"/>
    <w:rsid w:val="00390292"/>
    <w:rsid w:val="003902B1"/>
    <w:rsid w:val="0039084C"/>
    <w:rsid w:val="00391105"/>
    <w:rsid w:val="003926E2"/>
    <w:rsid w:val="00393B19"/>
    <w:rsid w:val="00393BB5"/>
    <w:rsid w:val="003943AF"/>
    <w:rsid w:val="00396896"/>
    <w:rsid w:val="00396FD0"/>
    <w:rsid w:val="003A1185"/>
    <w:rsid w:val="003A16AE"/>
    <w:rsid w:val="003A1A7A"/>
    <w:rsid w:val="003A2392"/>
    <w:rsid w:val="003A2831"/>
    <w:rsid w:val="003A3041"/>
    <w:rsid w:val="003A3ED1"/>
    <w:rsid w:val="003A3EF9"/>
    <w:rsid w:val="003A4C83"/>
    <w:rsid w:val="003A5018"/>
    <w:rsid w:val="003A5482"/>
    <w:rsid w:val="003A5700"/>
    <w:rsid w:val="003B115E"/>
    <w:rsid w:val="003B3807"/>
    <w:rsid w:val="003B444E"/>
    <w:rsid w:val="003B4D29"/>
    <w:rsid w:val="003B5B61"/>
    <w:rsid w:val="003B75A3"/>
    <w:rsid w:val="003B7615"/>
    <w:rsid w:val="003C1607"/>
    <w:rsid w:val="003C1654"/>
    <w:rsid w:val="003C2252"/>
    <w:rsid w:val="003C2942"/>
    <w:rsid w:val="003C35C6"/>
    <w:rsid w:val="003C47DD"/>
    <w:rsid w:val="003C5589"/>
    <w:rsid w:val="003C6D42"/>
    <w:rsid w:val="003C7D19"/>
    <w:rsid w:val="003D0146"/>
    <w:rsid w:val="003D0317"/>
    <w:rsid w:val="003D0BBD"/>
    <w:rsid w:val="003D1828"/>
    <w:rsid w:val="003D19D1"/>
    <w:rsid w:val="003D1DE4"/>
    <w:rsid w:val="003D2422"/>
    <w:rsid w:val="003D39A1"/>
    <w:rsid w:val="003D3FB7"/>
    <w:rsid w:val="003D3FBF"/>
    <w:rsid w:val="003D4A30"/>
    <w:rsid w:val="003D5229"/>
    <w:rsid w:val="003D6B9B"/>
    <w:rsid w:val="003D70B7"/>
    <w:rsid w:val="003D79BB"/>
    <w:rsid w:val="003D7C98"/>
    <w:rsid w:val="003E0543"/>
    <w:rsid w:val="003E20DD"/>
    <w:rsid w:val="003E30CA"/>
    <w:rsid w:val="003E4616"/>
    <w:rsid w:val="003E4CB5"/>
    <w:rsid w:val="003E502A"/>
    <w:rsid w:val="003E73E9"/>
    <w:rsid w:val="003F01A4"/>
    <w:rsid w:val="003F066A"/>
    <w:rsid w:val="003F0C3C"/>
    <w:rsid w:val="003F140E"/>
    <w:rsid w:val="003F1D4F"/>
    <w:rsid w:val="003F1E16"/>
    <w:rsid w:val="003F4156"/>
    <w:rsid w:val="003F4DF2"/>
    <w:rsid w:val="003F4F60"/>
    <w:rsid w:val="003F52C0"/>
    <w:rsid w:val="003F52CA"/>
    <w:rsid w:val="003F65F1"/>
    <w:rsid w:val="003F7085"/>
    <w:rsid w:val="003F7D9C"/>
    <w:rsid w:val="00400B29"/>
    <w:rsid w:val="00401279"/>
    <w:rsid w:val="0040136A"/>
    <w:rsid w:val="00401D5C"/>
    <w:rsid w:val="00401F8D"/>
    <w:rsid w:val="0040504B"/>
    <w:rsid w:val="00406171"/>
    <w:rsid w:val="00406C92"/>
    <w:rsid w:val="004071E4"/>
    <w:rsid w:val="0040741E"/>
    <w:rsid w:val="004074B5"/>
    <w:rsid w:val="00410708"/>
    <w:rsid w:val="00410A2A"/>
    <w:rsid w:val="00410EC7"/>
    <w:rsid w:val="00411B39"/>
    <w:rsid w:val="00412CD7"/>
    <w:rsid w:val="00413987"/>
    <w:rsid w:val="00413A1E"/>
    <w:rsid w:val="00413CD4"/>
    <w:rsid w:val="00414476"/>
    <w:rsid w:val="00414C2E"/>
    <w:rsid w:val="004151CF"/>
    <w:rsid w:val="004152ED"/>
    <w:rsid w:val="00416364"/>
    <w:rsid w:val="004170F4"/>
    <w:rsid w:val="00417739"/>
    <w:rsid w:val="00420AA6"/>
    <w:rsid w:val="00420B9F"/>
    <w:rsid w:val="00422260"/>
    <w:rsid w:val="00423DEF"/>
    <w:rsid w:val="0042413F"/>
    <w:rsid w:val="00427C6D"/>
    <w:rsid w:val="0043108A"/>
    <w:rsid w:val="004319F8"/>
    <w:rsid w:val="00431C6A"/>
    <w:rsid w:val="00431E55"/>
    <w:rsid w:val="00431E80"/>
    <w:rsid w:val="0043209F"/>
    <w:rsid w:val="004321F6"/>
    <w:rsid w:val="00432265"/>
    <w:rsid w:val="0043239D"/>
    <w:rsid w:val="00432B05"/>
    <w:rsid w:val="00433044"/>
    <w:rsid w:val="004375B9"/>
    <w:rsid w:val="00441CA8"/>
    <w:rsid w:val="004428D0"/>
    <w:rsid w:val="00444166"/>
    <w:rsid w:val="004443A7"/>
    <w:rsid w:val="0044442C"/>
    <w:rsid w:val="00445941"/>
    <w:rsid w:val="004464EB"/>
    <w:rsid w:val="004467E0"/>
    <w:rsid w:val="0044760B"/>
    <w:rsid w:val="00447BEB"/>
    <w:rsid w:val="00447D26"/>
    <w:rsid w:val="00452215"/>
    <w:rsid w:val="00453E0A"/>
    <w:rsid w:val="00454400"/>
    <w:rsid w:val="00455173"/>
    <w:rsid w:val="00455219"/>
    <w:rsid w:val="00455D45"/>
    <w:rsid w:val="00457AD1"/>
    <w:rsid w:val="00457C7D"/>
    <w:rsid w:val="004629F6"/>
    <w:rsid w:val="00462AAE"/>
    <w:rsid w:val="00464595"/>
    <w:rsid w:val="00464A78"/>
    <w:rsid w:val="00465329"/>
    <w:rsid w:val="004672AC"/>
    <w:rsid w:val="00467B00"/>
    <w:rsid w:val="00471F57"/>
    <w:rsid w:val="00472A79"/>
    <w:rsid w:val="00472FE3"/>
    <w:rsid w:val="004733B8"/>
    <w:rsid w:val="004735A6"/>
    <w:rsid w:val="00473BC9"/>
    <w:rsid w:val="00473F19"/>
    <w:rsid w:val="00475E22"/>
    <w:rsid w:val="00480465"/>
    <w:rsid w:val="0048088E"/>
    <w:rsid w:val="00482720"/>
    <w:rsid w:val="004835E7"/>
    <w:rsid w:val="00483A1C"/>
    <w:rsid w:val="00484465"/>
    <w:rsid w:val="004867DC"/>
    <w:rsid w:val="004867E2"/>
    <w:rsid w:val="004900C9"/>
    <w:rsid w:val="00490474"/>
    <w:rsid w:val="004911EC"/>
    <w:rsid w:val="00491544"/>
    <w:rsid w:val="00491B3A"/>
    <w:rsid w:val="00492CFD"/>
    <w:rsid w:val="004930BC"/>
    <w:rsid w:val="004935C8"/>
    <w:rsid w:val="0049366D"/>
    <w:rsid w:val="004936E3"/>
    <w:rsid w:val="004949AF"/>
    <w:rsid w:val="00494DD5"/>
    <w:rsid w:val="00495CB2"/>
    <w:rsid w:val="00495CF1"/>
    <w:rsid w:val="004962D2"/>
    <w:rsid w:val="00497E7F"/>
    <w:rsid w:val="004A023D"/>
    <w:rsid w:val="004A042E"/>
    <w:rsid w:val="004A0DA1"/>
    <w:rsid w:val="004A1E01"/>
    <w:rsid w:val="004A1F15"/>
    <w:rsid w:val="004A2881"/>
    <w:rsid w:val="004A32F5"/>
    <w:rsid w:val="004A40B2"/>
    <w:rsid w:val="004A52E9"/>
    <w:rsid w:val="004A5F8A"/>
    <w:rsid w:val="004A6597"/>
    <w:rsid w:val="004A77D6"/>
    <w:rsid w:val="004A7848"/>
    <w:rsid w:val="004A7B49"/>
    <w:rsid w:val="004B1CB4"/>
    <w:rsid w:val="004B2F18"/>
    <w:rsid w:val="004B3DDB"/>
    <w:rsid w:val="004B44FD"/>
    <w:rsid w:val="004B4636"/>
    <w:rsid w:val="004B5688"/>
    <w:rsid w:val="004B5CFC"/>
    <w:rsid w:val="004B774D"/>
    <w:rsid w:val="004C1ABB"/>
    <w:rsid w:val="004C2E6E"/>
    <w:rsid w:val="004C4AED"/>
    <w:rsid w:val="004C4F5F"/>
    <w:rsid w:val="004C51EB"/>
    <w:rsid w:val="004C7987"/>
    <w:rsid w:val="004D1790"/>
    <w:rsid w:val="004D2C2D"/>
    <w:rsid w:val="004D3A42"/>
    <w:rsid w:val="004D4F31"/>
    <w:rsid w:val="004D7227"/>
    <w:rsid w:val="004D767A"/>
    <w:rsid w:val="004E0E7F"/>
    <w:rsid w:val="004E0EB8"/>
    <w:rsid w:val="004E2ADC"/>
    <w:rsid w:val="004E43B2"/>
    <w:rsid w:val="004E4537"/>
    <w:rsid w:val="004E4936"/>
    <w:rsid w:val="004E601A"/>
    <w:rsid w:val="004E640D"/>
    <w:rsid w:val="004E76BC"/>
    <w:rsid w:val="004F07E7"/>
    <w:rsid w:val="004F1D02"/>
    <w:rsid w:val="004F22DB"/>
    <w:rsid w:val="004F2679"/>
    <w:rsid w:val="004F285D"/>
    <w:rsid w:val="004F2F21"/>
    <w:rsid w:val="004F4108"/>
    <w:rsid w:val="004F452E"/>
    <w:rsid w:val="004F4900"/>
    <w:rsid w:val="004F52D9"/>
    <w:rsid w:val="004F688A"/>
    <w:rsid w:val="004F6913"/>
    <w:rsid w:val="004F7865"/>
    <w:rsid w:val="004F7C32"/>
    <w:rsid w:val="00500A3B"/>
    <w:rsid w:val="00501DEC"/>
    <w:rsid w:val="00502044"/>
    <w:rsid w:val="0050219B"/>
    <w:rsid w:val="005031D1"/>
    <w:rsid w:val="00503B6C"/>
    <w:rsid w:val="00503E7A"/>
    <w:rsid w:val="00503F17"/>
    <w:rsid w:val="0050509A"/>
    <w:rsid w:val="005064F4"/>
    <w:rsid w:val="00506928"/>
    <w:rsid w:val="00506D31"/>
    <w:rsid w:val="00510F0F"/>
    <w:rsid w:val="005133BF"/>
    <w:rsid w:val="00513E51"/>
    <w:rsid w:val="00515181"/>
    <w:rsid w:val="005152B5"/>
    <w:rsid w:val="00516643"/>
    <w:rsid w:val="00517163"/>
    <w:rsid w:val="00520B8A"/>
    <w:rsid w:val="00521319"/>
    <w:rsid w:val="005220F7"/>
    <w:rsid w:val="00522453"/>
    <w:rsid w:val="005226E5"/>
    <w:rsid w:val="00522BC8"/>
    <w:rsid w:val="00522C4A"/>
    <w:rsid w:val="00523C28"/>
    <w:rsid w:val="00523E48"/>
    <w:rsid w:val="00525D50"/>
    <w:rsid w:val="00526054"/>
    <w:rsid w:val="00527D53"/>
    <w:rsid w:val="005321B2"/>
    <w:rsid w:val="005353A9"/>
    <w:rsid w:val="00536F42"/>
    <w:rsid w:val="00536FC2"/>
    <w:rsid w:val="00537182"/>
    <w:rsid w:val="00537DF8"/>
    <w:rsid w:val="00541909"/>
    <w:rsid w:val="00542743"/>
    <w:rsid w:val="00542C2D"/>
    <w:rsid w:val="00542D42"/>
    <w:rsid w:val="005431F2"/>
    <w:rsid w:val="005434A7"/>
    <w:rsid w:val="00545FDE"/>
    <w:rsid w:val="00546194"/>
    <w:rsid w:val="00546703"/>
    <w:rsid w:val="0054768B"/>
    <w:rsid w:val="00547A86"/>
    <w:rsid w:val="00550D6D"/>
    <w:rsid w:val="00550EB6"/>
    <w:rsid w:val="00551985"/>
    <w:rsid w:val="00552BD3"/>
    <w:rsid w:val="00552EEF"/>
    <w:rsid w:val="005533AA"/>
    <w:rsid w:val="00553831"/>
    <w:rsid w:val="0055462C"/>
    <w:rsid w:val="005547F0"/>
    <w:rsid w:val="005550FF"/>
    <w:rsid w:val="00555109"/>
    <w:rsid w:val="00555E4E"/>
    <w:rsid w:val="0055628F"/>
    <w:rsid w:val="00556868"/>
    <w:rsid w:val="00556F88"/>
    <w:rsid w:val="0056033C"/>
    <w:rsid w:val="005614AA"/>
    <w:rsid w:val="00561866"/>
    <w:rsid w:val="00563626"/>
    <w:rsid w:val="00563C19"/>
    <w:rsid w:val="0056696F"/>
    <w:rsid w:val="00566AEA"/>
    <w:rsid w:val="00566D0B"/>
    <w:rsid w:val="00567A9E"/>
    <w:rsid w:val="00570361"/>
    <w:rsid w:val="00570983"/>
    <w:rsid w:val="005714A1"/>
    <w:rsid w:val="00572269"/>
    <w:rsid w:val="005723EB"/>
    <w:rsid w:val="0057244A"/>
    <w:rsid w:val="005728F0"/>
    <w:rsid w:val="00573D9F"/>
    <w:rsid w:val="005745E8"/>
    <w:rsid w:val="00574D5A"/>
    <w:rsid w:val="00575D8D"/>
    <w:rsid w:val="00576972"/>
    <w:rsid w:val="00577F68"/>
    <w:rsid w:val="00580602"/>
    <w:rsid w:val="00581783"/>
    <w:rsid w:val="0058201D"/>
    <w:rsid w:val="00582342"/>
    <w:rsid w:val="00582A2E"/>
    <w:rsid w:val="00582E63"/>
    <w:rsid w:val="0058327E"/>
    <w:rsid w:val="00583699"/>
    <w:rsid w:val="005836E7"/>
    <w:rsid w:val="00584812"/>
    <w:rsid w:val="00585CDD"/>
    <w:rsid w:val="00587058"/>
    <w:rsid w:val="00587FA7"/>
    <w:rsid w:val="005906B8"/>
    <w:rsid w:val="0059107C"/>
    <w:rsid w:val="00591957"/>
    <w:rsid w:val="0059467C"/>
    <w:rsid w:val="00594C25"/>
    <w:rsid w:val="00595DC8"/>
    <w:rsid w:val="00595E29"/>
    <w:rsid w:val="00595E41"/>
    <w:rsid w:val="00596ACE"/>
    <w:rsid w:val="00597004"/>
    <w:rsid w:val="00597A61"/>
    <w:rsid w:val="00597BF9"/>
    <w:rsid w:val="005A018F"/>
    <w:rsid w:val="005A01E1"/>
    <w:rsid w:val="005A0769"/>
    <w:rsid w:val="005A1A4C"/>
    <w:rsid w:val="005A369F"/>
    <w:rsid w:val="005A373D"/>
    <w:rsid w:val="005A7D10"/>
    <w:rsid w:val="005B2CC8"/>
    <w:rsid w:val="005B348A"/>
    <w:rsid w:val="005B4AF7"/>
    <w:rsid w:val="005B5567"/>
    <w:rsid w:val="005B5679"/>
    <w:rsid w:val="005B5857"/>
    <w:rsid w:val="005C117F"/>
    <w:rsid w:val="005C1697"/>
    <w:rsid w:val="005C1B83"/>
    <w:rsid w:val="005C2D55"/>
    <w:rsid w:val="005C346B"/>
    <w:rsid w:val="005C3907"/>
    <w:rsid w:val="005D044D"/>
    <w:rsid w:val="005D0ABD"/>
    <w:rsid w:val="005D0E99"/>
    <w:rsid w:val="005D169D"/>
    <w:rsid w:val="005D18AD"/>
    <w:rsid w:val="005D1AB5"/>
    <w:rsid w:val="005D1D43"/>
    <w:rsid w:val="005D2227"/>
    <w:rsid w:val="005D2317"/>
    <w:rsid w:val="005D26B4"/>
    <w:rsid w:val="005D2B72"/>
    <w:rsid w:val="005D35F0"/>
    <w:rsid w:val="005D5B4D"/>
    <w:rsid w:val="005D75D5"/>
    <w:rsid w:val="005E0A25"/>
    <w:rsid w:val="005E1A43"/>
    <w:rsid w:val="005E317D"/>
    <w:rsid w:val="005E424A"/>
    <w:rsid w:val="005E5B3F"/>
    <w:rsid w:val="005E6B7C"/>
    <w:rsid w:val="005E6CBC"/>
    <w:rsid w:val="005E73C0"/>
    <w:rsid w:val="005F1C67"/>
    <w:rsid w:val="005F25BE"/>
    <w:rsid w:val="005F2706"/>
    <w:rsid w:val="005F3071"/>
    <w:rsid w:val="005F32E2"/>
    <w:rsid w:val="005F3B9D"/>
    <w:rsid w:val="005F6A8F"/>
    <w:rsid w:val="005F7D99"/>
    <w:rsid w:val="006003C6"/>
    <w:rsid w:val="006024EC"/>
    <w:rsid w:val="00603DB9"/>
    <w:rsid w:val="00605A72"/>
    <w:rsid w:val="00605C80"/>
    <w:rsid w:val="00607669"/>
    <w:rsid w:val="00607AFD"/>
    <w:rsid w:val="00610652"/>
    <w:rsid w:val="00611022"/>
    <w:rsid w:val="00611092"/>
    <w:rsid w:val="00612F97"/>
    <w:rsid w:val="00613104"/>
    <w:rsid w:val="0061345D"/>
    <w:rsid w:val="006135E4"/>
    <w:rsid w:val="006165AC"/>
    <w:rsid w:val="00616802"/>
    <w:rsid w:val="00616B5F"/>
    <w:rsid w:val="00617621"/>
    <w:rsid w:val="00617DE6"/>
    <w:rsid w:val="00617E12"/>
    <w:rsid w:val="00620550"/>
    <w:rsid w:val="0062085E"/>
    <w:rsid w:val="00621477"/>
    <w:rsid w:val="00622B3D"/>
    <w:rsid w:val="006239DB"/>
    <w:rsid w:val="00623CD0"/>
    <w:rsid w:val="00624300"/>
    <w:rsid w:val="006259D7"/>
    <w:rsid w:val="00626206"/>
    <w:rsid w:val="0063158F"/>
    <w:rsid w:val="00631A6B"/>
    <w:rsid w:val="00631BCA"/>
    <w:rsid w:val="00631D6B"/>
    <w:rsid w:val="006321C1"/>
    <w:rsid w:val="006330A1"/>
    <w:rsid w:val="0063479F"/>
    <w:rsid w:val="006353F0"/>
    <w:rsid w:val="006364A1"/>
    <w:rsid w:val="00636742"/>
    <w:rsid w:val="00637BFD"/>
    <w:rsid w:val="00641C4E"/>
    <w:rsid w:val="00641DE3"/>
    <w:rsid w:val="00642410"/>
    <w:rsid w:val="00642B03"/>
    <w:rsid w:val="00643A28"/>
    <w:rsid w:val="00644823"/>
    <w:rsid w:val="00644ABD"/>
    <w:rsid w:val="006471CC"/>
    <w:rsid w:val="0065079F"/>
    <w:rsid w:val="006510F4"/>
    <w:rsid w:val="0065321E"/>
    <w:rsid w:val="006533D2"/>
    <w:rsid w:val="0065379F"/>
    <w:rsid w:val="00653F03"/>
    <w:rsid w:val="00654308"/>
    <w:rsid w:val="0065469A"/>
    <w:rsid w:val="00655695"/>
    <w:rsid w:val="006563A0"/>
    <w:rsid w:val="00657FC9"/>
    <w:rsid w:val="00661C6B"/>
    <w:rsid w:val="00667ACB"/>
    <w:rsid w:val="006700EC"/>
    <w:rsid w:val="0067029A"/>
    <w:rsid w:val="0067042F"/>
    <w:rsid w:val="00670684"/>
    <w:rsid w:val="00671FDF"/>
    <w:rsid w:val="00672004"/>
    <w:rsid w:val="00672022"/>
    <w:rsid w:val="0067259F"/>
    <w:rsid w:val="00673F0E"/>
    <w:rsid w:val="006744CB"/>
    <w:rsid w:val="00674E42"/>
    <w:rsid w:val="00675D03"/>
    <w:rsid w:val="00675D9B"/>
    <w:rsid w:val="006760F3"/>
    <w:rsid w:val="00676DD9"/>
    <w:rsid w:val="006803B2"/>
    <w:rsid w:val="00681C96"/>
    <w:rsid w:val="00682112"/>
    <w:rsid w:val="00682E91"/>
    <w:rsid w:val="00683C64"/>
    <w:rsid w:val="00685043"/>
    <w:rsid w:val="00686957"/>
    <w:rsid w:val="006872BA"/>
    <w:rsid w:val="0068739A"/>
    <w:rsid w:val="00687DFB"/>
    <w:rsid w:val="00690ACE"/>
    <w:rsid w:val="006912CB"/>
    <w:rsid w:val="00691648"/>
    <w:rsid w:val="006917D7"/>
    <w:rsid w:val="00694F44"/>
    <w:rsid w:val="00696ED9"/>
    <w:rsid w:val="00697005"/>
    <w:rsid w:val="006A16B6"/>
    <w:rsid w:val="006A1E78"/>
    <w:rsid w:val="006A28EA"/>
    <w:rsid w:val="006A30BE"/>
    <w:rsid w:val="006A377A"/>
    <w:rsid w:val="006A4192"/>
    <w:rsid w:val="006A419B"/>
    <w:rsid w:val="006A4E08"/>
    <w:rsid w:val="006A52A2"/>
    <w:rsid w:val="006A6C59"/>
    <w:rsid w:val="006A73D2"/>
    <w:rsid w:val="006A7E5F"/>
    <w:rsid w:val="006B13AE"/>
    <w:rsid w:val="006B261B"/>
    <w:rsid w:val="006B2C90"/>
    <w:rsid w:val="006B32A2"/>
    <w:rsid w:val="006B3743"/>
    <w:rsid w:val="006B37A4"/>
    <w:rsid w:val="006B3B6D"/>
    <w:rsid w:val="006B6DD0"/>
    <w:rsid w:val="006C2242"/>
    <w:rsid w:val="006C2A8E"/>
    <w:rsid w:val="006C5073"/>
    <w:rsid w:val="006C54E0"/>
    <w:rsid w:val="006C6A29"/>
    <w:rsid w:val="006D04A2"/>
    <w:rsid w:val="006D1EF2"/>
    <w:rsid w:val="006D351A"/>
    <w:rsid w:val="006D3709"/>
    <w:rsid w:val="006D3913"/>
    <w:rsid w:val="006D3C7D"/>
    <w:rsid w:val="006D4AAD"/>
    <w:rsid w:val="006D5D5F"/>
    <w:rsid w:val="006D6492"/>
    <w:rsid w:val="006D71CB"/>
    <w:rsid w:val="006D7F36"/>
    <w:rsid w:val="006E0210"/>
    <w:rsid w:val="006E09B8"/>
    <w:rsid w:val="006E0AED"/>
    <w:rsid w:val="006E2168"/>
    <w:rsid w:val="006E4D0E"/>
    <w:rsid w:val="006E5D6A"/>
    <w:rsid w:val="006E73FB"/>
    <w:rsid w:val="006F0F53"/>
    <w:rsid w:val="006F1AB5"/>
    <w:rsid w:val="006F306C"/>
    <w:rsid w:val="006F356F"/>
    <w:rsid w:val="006F3F9F"/>
    <w:rsid w:val="006F4E00"/>
    <w:rsid w:val="006F63A5"/>
    <w:rsid w:val="006F676F"/>
    <w:rsid w:val="006F734F"/>
    <w:rsid w:val="006F76CC"/>
    <w:rsid w:val="0070030B"/>
    <w:rsid w:val="0070048C"/>
    <w:rsid w:val="007012E8"/>
    <w:rsid w:val="0070142B"/>
    <w:rsid w:val="00701D6D"/>
    <w:rsid w:val="00701FBC"/>
    <w:rsid w:val="0070276E"/>
    <w:rsid w:val="00702F8B"/>
    <w:rsid w:val="00702F8F"/>
    <w:rsid w:val="007044A0"/>
    <w:rsid w:val="00704DBA"/>
    <w:rsid w:val="00707206"/>
    <w:rsid w:val="007078EC"/>
    <w:rsid w:val="00710672"/>
    <w:rsid w:val="0071180A"/>
    <w:rsid w:val="00711A36"/>
    <w:rsid w:val="00711D17"/>
    <w:rsid w:val="007132A9"/>
    <w:rsid w:val="007133AD"/>
    <w:rsid w:val="0071529C"/>
    <w:rsid w:val="00716B07"/>
    <w:rsid w:val="007172AD"/>
    <w:rsid w:val="00717BB5"/>
    <w:rsid w:val="00717C49"/>
    <w:rsid w:val="007210C6"/>
    <w:rsid w:val="0072206D"/>
    <w:rsid w:val="00722B1B"/>
    <w:rsid w:val="0072416F"/>
    <w:rsid w:val="00724BAE"/>
    <w:rsid w:val="00724E78"/>
    <w:rsid w:val="00726FA6"/>
    <w:rsid w:val="00727711"/>
    <w:rsid w:val="00727C94"/>
    <w:rsid w:val="00730B3A"/>
    <w:rsid w:val="00731EAE"/>
    <w:rsid w:val="00732FBA"/>
    <w:rsid w:val="00735033"/>
    <w:rsid w:val="00735328"/>
    <w:rsid w:val="007364E7"/>
    <w:rsid w:val="0073685B"/>
    <w:rsid w:val="00736E9E"/>
    <w:rsid w:val="00736F2E"/>
    <w:rsid w:val="0073725A"/>
    <w:rsid w:val="007400E1"/>
    <w:rsid w:val="00745423"/>
    <w:rsid w:val="00747BF9"/>
    <w:rsid w:val="007507AC"/>
    <w:rsid w:val="00750C33"/>
    <w:rsid w:val="007514F3"/>
    <w:rsid w:val="00752142"/>
    <w:rsid w:val="007523F9"/>
    <w:rsid w:val="00752977"/>
    <w:rsid w:val="00752D57"/>
    <w:rsid w:val="00753D7E"/>
    <w:rsid w:val="007543B9"/>
    <w:rsid w:val="00754812"/>
    <w:rsid w:val="007569AB"/>
    <w:rsid w:val="007573E8"/>
    <w:rsid w:val="00757463"/>
    <w:rsid w:val="00760251"/>
    <w:rsid w:val="00760579"/>
    <w:rsid w:val="00760C4E"/>
    <w:rsid w:val="007626F0"/>
    <w:rsid w:val="00763757"/>
    <w:rsid w:val="00763DB5"/>
    <w:rsid w:val="00763E99"/>
    <w:rsid w:val="007644C5"/>
    <w:rsid w:val="00765B1A"/>
    <w:rsid w:val="00766D9F"/>
    <w:rsid w:val="00771EBC"/>
    <w:rsid w:val="00773124"/>
    <w:rsid w:val="00774C9E"/>
    <w:rsid w:val="007762D9"/>
    <w:rsid w:val="00780906"/>
    <w:rsid w:val="007813DA"/>
    <w:rsid w:val="007819F1"/>
    <w:rsid w:val="00784206"/>
    <w:rsid w:val="00784384"/>
    <w:rsid w:val="007843F2"/>
    <w:rsid w:val="007844E7"/>
    <w:rsid w:val="00784D86"/>
    <w:rsid w:val="00787AFE"/>
    <w:rsid w:val="00792CD2"/>
    <w:rsid w:val="007933FF"/>
    <w:rsid w:val="00795953"/>
    <w:rsid w:val="007959EC"/>
    <w:rsid w:val="00796013"/>
    <w:rsid w:val="00796863"/>
    <w:rsid w:val="00796AC9"/>
    <w:rsid w:val="0079792E"/>
    <w:rsid w:val="00797AD0"/>
    <w:rsid w:val="00797E46"/>
    <w:rsid w:val="007A0979"/>
    <w:rsid w:val="007A0A12"/>
    <w:rsid w:val="007A1013"/>
    <w:rsid w:val="007A132D"/>
    <w:rsid w:val="007A1C69"/>
    <w:rsid w:val="007A1F0E"/>
    <w:rsid w:val="007A40DC"/>
    <w:rsid w:val="007A437B"/>
    <w:rsid w:val="007A73AD"/>
    <w:rsid w:val="007B0B8A"/>
    <w:rsid w:val="007B0D68"/>
    <w:rsid w:val="007B129B"/>
    <w:rsid w:val="007B251D"/>
    <w:rsid w:val="007B3F3E"/>
    <w:rsid w:val="007B479B"/>
    <w:rsid w:val="007B4F58"/>
    <w:rsid w:val="007B528D"/>
    <w:rsid w:val="007B6EDE"/>
    <w:rsid w:val="007B77D1"/>
    <w:rsid w:val="007C0298"/>
    <w:rsid w:val="007C0621"/>
    <w:rsid w:val="007C0B5B"/>
    <w:rsid w:val="007C12CF"/>
    <w:rsid w:val="007C1C15"/>
    <w:rsid w:val="007C1CD9"/>
    <w:rsid w:val="007C3612"/>
    <w:rsid w:val="007C361D"/>
    <w:rsid w:val="007C382E"/>
    <w:rsid w:val="007C4B84"/>
    <w:rsid w:val="007C73E7"/>
    <w:rsid w:val="007D004F"/>
    <w:rsid w:val="007D0B38"/>
    <w:rsid w:val="007D1DA0"/>
    <w:rsid w:val="007D210C"/>
    <w:rsid w:val="007D2AC3"/>
    <w:rsid w:val="007D2FB9"/>
    <w:rsid w:val="007D3731"/>
    <w:rsid w:val="007D5206"/>
    <w:rsid w:val="007D5440"/>
    <w:rsid w:val="007D5F8A"/>
    <w:rsid w:val="007D6290"/>
    <w:rsid w:val="007D6DE5"/>
    <w:rsid w:val="007D761E"/>
    <w:rsid w:val="007D7685"/>
    <w:rsid w:val="007D7D52"/>
    <w:rsid w:val="007E0076"/>
    <w:rsid w:val="007E088F"/>
    <w:rsid w:val="007E4015"/>
    <w:rsid w:val="007E6BFC"/>
    <w:rsid w:val="007F1017"/>
    <w:rsid w:val="007F26CA"/>
    <w:rsid w:val="007F2ED2"/>
    <w:rsid w:val="007F351C"/>
    <w:rsid w:val="007F467D"/>
    <w:rsid w:val="007F4A3F"/>
    <w:rsid w:val="007F4A61"/>
    <w:rsid w:val="007F5092"/>
    <w:rsid w:val="007F56BF"/>
    <w:rsid w:val="007F61C2"/>
    <w:rsid w:val="007F79A0"/>
    <w:rsid w:val="007F7CBF"/>
    <w:rsid w:val="0080164F"/>
    <w:rsid w:val="008025D5"/>
    <w:rsid w:val="008028A2"/>
    <w:rsid w:val="00802A6B"/>
    <w:rsid w:val="008041F9"/>
    <w:rsid w:val="0080502D"/>
    <w:rsid w:val="00805142"/>
    <w:rsid w:val="008053DD"/>
    <w:rsid w:val="00805883"/>
    <w:rsid w:val="00806092"/>
    <w:rsid w:val="0080719E"/>
    <w:rsid w:val="00807971"/>
    <w:rsid w:val="00807A8B"/>
    <w:rsid w:val="0081081F"/>
    <w:rsid w:val="00811383"/>
    <w:rsid w:val="00812149"/>
    <w:rsid w:val="00812CAC"/>
    <w:rsid w:val="00813856"/>
    <w:rsid w:val="00814D3E"/>
    <w:rsid w:val="008152E3"/>
    <w:rsid w:val="008166EF"/>
    <w:rsid w:val="00816831"/>
    <w:rsid w:val="00817B80"/>
    <w:rsid w:val="0082030D"/>
    <w:rsid w:val="008207FD"/>
    <w:rsid w:val="00821549"/>
    <w:rsid w:val="00823270"/>
    <w:rsid w:val="008242DD"/>
    <w:rsid w:val="00824894"/>
    <w:rsid w:val="00824DDF"/>
    <w:rsid w:val="00825751"/>
    <w:rsid w:val="00825A1E"/>
    <w:rsid w:val="008264EB"/>
    <w:rsid w:val="00826AC5"/>
    <w:rsid w:val="00827364"/>
    <w:rsid w:val="00827E7F"/>
    <w:rsid w:val="00827FF1"/>
    <w:rsid w:val="00832E1C"/>
    <w:rsid w:val="00833A26"/>
    <w:rsid w:val="00833B05"/>
    <w:rsid w:val="0083602F"/>
    <w:rsid w:val="008362B4"/>
    <w:rsid w:val="00837987"/>
    <w:rsid w:val="00837C2B"/>
    <w:rsid w:val="00840147"/>
    <w:rsid w:val="00840CA2"/>
    <w:rsid w:val="00841AEE"/>
    <w:rsid w:val="0084374F"/>
    <w:rsid w:val="008439E9"/>
    <w:rsid w:val="00844774"/>
    <w:rsid w:val="00844A97"/>
    <w:rsid w:val="0084720D"/>
    <w:rsid w:val="00847DF5"/>
    <w:rsid w:val="00851767"/>
    <w:rsid w:val="0085309D"/>
    <w:rsid w:val="00853E46"/>
    <w:rsid w:val="0085502C"/>
    <w:rsid w:val="00856897"/>
    <w:rsid w:val="00856C31"/>
    <w:rsid w:val="00856E9A"/>
    <w:rsid w:val="0085788D"/>
    <w:rsid w:val="00857FC2"/>
    <w:rsid w:val="00860205"/>
    <w:rsid w:val="0086075D"/>
    <w:rsid w:val="00861739"/>
    <w:rsid w:val="00861CB6"/>
    <w:rsid w:val="00862502"/>
    <w:rsid w:val="008636BD"/>
    <w:rsid w:val="00864EA0"/>
    <w:rsid w:val="00864EEB"/>
    <w:rsid w:val="008660D4"/>
    <w:rsid w:val="00866725"/>
    <w:rsid w:val="00871402"/>
    <w:rsid w:val="00871613"/>
    <w:rsid w:val="00871B77"/>
    <w:rsid w:val="00871FA9"/>
    <w:rsid w:val="008728E9"/>
    <w:rsid w:val="00875348"/>
    <w:rsid w:val="00875AFC"/>
    <w:rsid w:val="00876A43"/>
    <w:rsid w:val="00876C67"/>
    <w:rsid w:val="00876CD0"/>
    <w:rsid w:val="0087778B"/>
    <w:rsid w:val="00881ED6"/>
    <w:rsid w:val="00882874"/>
    <w:rsid w:val="00883787"/>
    <w:rsid w:val="00883B36"/>
    <w:rsid w:val="00884353"/>
    <w:rsid w:val="00884865"/>
    <w:rsid w:val="00886CD2"/>
    <w:rsid w:val="0089064F"/>
    <w:rsid w:val="00891286"/>
    <w:rsid w:val="0089221A"/>
    <w:rsid w:val="00892A36"/>
    <w:rsid w:val="00893239"/>
    <w:rsid w:val="00893318"/>
    <w:rsid w:val="00893B65"/>
    <w:rsid w:val="00894489"/>
    <w:rsid w:val="008952F2"/>
    <w:rsid w:val="008963A5"/>
    <w:rsid w:val="0089702C"/>
    <w:rsid w:val="0089725B"/>
    <w:rsid w:val="008972AC"/>
    <w:rsid w:val="008A2482"/>
    <w:rsid w:val="008A31DD"/>
    <w:rsid w:val="008A3363"/>
    <w:rsid w:val="008A3371"/>
    <w:rsid w:val="008A3C3E"/>
    <w:rsid w:val="008A44EE"/>
    <w:rsid w:val="008A4E13"/>
    <w:rsid w:val="008A7999"/>
    <w:rsid w:val="008A79DE"/>
    <w:rsid w:val="008B07C6"/>
    <w:rsid w:val="008B1757"/>
    <w:rsid w:val="008B1C03"/>
    <w:rsid w:val="008B41BF"/>
    <w:rsid w:val="008B53FF"/>
    <w:rsid w:val="008B6192"/>
    <w:rsid w:val="008B6D1F"/>
    <w:rsid w:val="008B6E04"/>
    <w:rsid w:val="008B7092"/>
    <w:rsid w:val="008B7665"/>
    <w:rsid w:val="008B7916"/>
    <w:rsid w:val="008B7A49"/>
    <w:rsid w:val="008B7D7E"/>
    <w:rsid w:val="008C3718"/>
    <w:rsid w:val="008C3847"/>
    <w:rsid w:val="008C40DB"/>
    <w:rsid w:val="008C4C17"/>
    <w:rsid w:val="008C5AF6"/>
    <w:rsid w:val="008C6D34"/>
    <w:rsid w:val="008C7434"/>
    <w:rsid w:val="008C757C"/>
    <w:rsid w:val="008C7BA2"/>
    <w:rsid w:val="008C7D30"/>
    <w:rsid w:val="008C7ECB"/>
    <w:rsid w:val="008D39D8"/>
    <w:rsid w:val="008D4755"/>
    <w:rsid w:val="008D4844"/>
    <w:rsid w:val="008D4A48"/>
    <w:rsid w:val="008D4B36"/>
    <w:rsid w:val="008D4C3D"/>
    <w:rsid w:val="008D4DC0"/>
    <w:rsid w:val="008D5F01"/>
    <w:rsid w:val="008D686D"/>
    <w:rsid w:val="008D7B3A"/>
    <w:rsid w:val="008E05B3"/>
    <w:rsid w:val="008E0D3C"/>
    <w:rsid w:val="008E1B9E"/>
    <w:rsid w:val="008E2881"/>
    <w:rsid w:val="008E331F"/>
    <w:rsid w:val="008E34A0"/>
    <w:rsid w:val="008E4E0B"/>
    <w:rsid w:val="008E55AB"/>
    <w:rsid w:val="008E55C5"/>
    <w:rsid w:val="008F074D"/>
    <w:rsid w:val="008F0EE5"/>
    <w:rsid w:val="008F1191"/>
    <w:rsid w:val="008F120A"/>
    <w:rsid w:val="008F27E0"/>
    <w:rsid w:val="008F3D81"/>
    <w:rsid w:val="008F48EB"/>
    <w:rsid w:val="008F4E7C"/>
    <w:rsid w:val="008F4F0B"/>
    <w:rsid w:val="008F5823"/>
    <w:rsid w:val="008F59B3"/>
    <w:rsid w:val="008F663C"/>
    <w:rsid w:val="00903E11"/>
    <w:rsid w:val="009046C4"/>
    <w:rsid w:val="00905B7D"/>
    <w:rsid w:val="009062A5"/>
    <w:rsid w:val="00906374"/>
    <w:rsid w:val="0090648F"/>
    <w:rsid w:val="00907A13"/>
    <w:rsid w:val="009108FC"/>
    <w:rsid w:val="00910F17"/>
    <w:rsid w:val="00911272"/>
    <w:rsid w:val="009135D6"/>
    <w:rsid w:val="00914509"/>
    <w:rsid w:val="00914C77"/>
    <w:rsid w:val="009161AC"/>
    <w:rsid w:val="009169E2"/>
    <w:rsid w:val="009177EB"/>
    <w:rsid w:val="00920180"/>
    <w:rsid w:val="009219BD"/>
    <w:rsid w:val="00921F8E"/>
    <w:rsid w:val="009228B7"/>
    <w:rsid w:val="00922D52"/>
    <w:rsid w:val="0092369B"/>
    <w:rsid w:val="00924F41"/>
    <w:rsid w:val="00925913"/>
    <w:rsid w:val="0092705E"/>
    <w:rsid w:val="00927C5B"/>
    <w:rsid w:val="00927EBB"/>
    <w:rsid w:val="009302A4"/>
    <w:rsid w:val="00931465"/>
    <w:rsid w:val="009319C0"/>
    <w:rsid w:val="009332E1"/>
    <w:rsid w:val="009345D6"/>
    <w:rsid w:val="00934985"/>
    <w:rsid w:val="00935B5E"/>
    <w:rsid w:val="00936220"/>
    <w:rsid w:val="00937321"/>
    <w:rsid w:val="00940CB3"/>
    <w:rsid w:val="00942891"/>
    <w:rsid w:val="00946196"/>
    <w:rsid w:val="00946884"/>
    <w:rsid w:val="00950A84"/>
    <w:rsid w:val="00950D45"/>
    <w:rsid w:val="009510A2"/>
    <w:rsid w:val="00951554"/>
    <w:rsid w:val="009515C5"/>
    <w:rsid w:val="00951645"/>
    <w:rsid w:val="00951B04"/>
    <w:rsid w:val="00953257"/>
    <w:rsid w:val="009538DF"/>
    <w:rsid w:val="00954911"/>
    <w:rsid w:val="009571CA"/>
    <w:rsid w:val="009571CF"/>
    <w:rsid w:val="00957A32"/>
    <w:rsid w:val="0096061C"/>
    <w:rsid w:val="009608BC"/>
    <w:rsid w:val="00960C4F"/>
    <w:rsid w:val="009617C4"/>
    <w:rsid w:val="00962803"/>
    <w:rsid w:val="00962BB8"/>
    <w:rsid w:val="00962CB9"/>
    <w:rsid w:val="00964080"/>
    <w:rsid w:val="00964312"/>
    <w:rsid w:val="00965B8A"/>
    <w:rsid w:val="009704A8"/>
    <w:rsid w:val="009717AC"/>
    <w:rsid w:val="00972417"/>
    <w:rsid w:val="00972548"/>
    <w:rsid w:val="00974D00"/>
    <w:rsid w:val="009755E1"/>
    <w:rsid w:val="00975DD2"/>
    <w:rsid w:val="0097644A"/>
    <w:rsid w:val="009776D2"/>
    <w:rsid w:val="00980713"/>
    <w:rsid w:val="00980DC9"/>
    <w:rsid w:val="009817F9"/>
    <w:rsid w:val="00983E57"/>
    <w:rsid w:val="00983EEE"/>
    <w:rsid w:val="00984678"/>
    <w:rsid w:val="00984C4E"/>
    <w:rsid w:val="0098574D"/>
    <w:rsid w:val="00985953"/>
    <w:rsid w:val="0098675D"/>
    <w:rsid w:val="00986C80"/>
    <w:rsid w:val="00990F87"/>
    <w:rsid w:val="00991401"/>
    <w:rsid w:val="00991D24"/>
    <w:rsid w:val="0099314D"/>
    <w:rsid w:val="00993CF3"/>
    <w:rsid w:val="009943BF"/>
    <w:rsid w:val="00996B1A"/>
    <w:rsid w:val="00996F08"/>
    <w:rsid w:val="009A1173"/>
    <w:rsid w:val="009A1DB9"/>
    <w:rsid w:val="009A2F64"/>
    <w:rsid w:val="009A4170"/>
    <w:rsid w:val="009A4B68"/>
    <w:rsid w:val="009A57A2"/>
    <w:rsid w:val="009A61E9"/>
    <w:rsid w:val="009A622B"/>
    <w:rsid w:val="009A69D5"/>
    <w:rsid w:val="009A7F10"/>
    <w:rsid w:val="009B0342"/>
    <w:rsid w:val="009B0E99"/>
    <w:rsid w:val="009B2064"/>
    <w:rsid w:val="009B3E26"/>
    <w:rsid w:val="009B4475"/>
    <w:rsid w:val="009B685A"/>
    <w:rsid w:val="009B711F"/>
    <w:rsid w:val="009B7AF2"/>
    <w:rsid w:val="009C009E"/>
    <w:rsid w:val="009C2248"/>
    <w:rsid w:val="009C2C55"/>
    <w:rsid w:val="009C6CEA"/>
    <w:rsid w:val="009C6F19"/>
    <w:rsid w:val="009C7B85"/>
    <w:rsid w:val="009C7D66"/>
    <w:rsid w:val="009D1522"/>
    <w:rsid w:val="009D25CE"/>
    <w:rsid w:val="009D322A"/>
    <w:rsid w:val="009D586C"/>
    <w:rsid w:val="009D5B91"/>
    <w:rsid w:val="009D792E"/>
    <w:rsid w:val="009E0347"/>
    <w:rsid w:val="009E0DFE"/>
    <w:rsid w:val="009E0E44"/>
    <w:rsid w:val="009E1751"/>
    <w:rsid w:val="009E2714"/>
    <w:rsid w:val="009E3489"/>
    <w:rsid w:val="009E3B14"/>
    <w:rsid w:val="009E4C07"/>
    <w:rsid w:val="009E5944"/>
    <w:rsid w:val="009E5C71"/>
    <w:rsid w:val="009E5F4F"/>
    <w:rsid w:val="009F093A"/>
    <w:rsid w:val="009F2035"/>
    <w:rsid w:val="009F2144"/>
    <w:rsid w:val="009F3CD9"/>
    <w:rsid w:val="009F3E20"/>
    <w:rsid w:val="009F447A"/>
    <w:rsid w:val="009F4850"/>
    <w:rsid w:val="009F673D"/>
    <w:rsid w:val="009F6C46"/>
    <w:rsid w:val="009F6EA3"/>
    <w:rsid w:val="009F75F8"/>
    <w:rsid w:val="00A00A8A"/>
    <w:rsid w:val="00A01184"/>
    <w:rsid w:val="00A033E8"/>
    <w:rsid w:val="00A03B4D"/>
    <w:rsid w:val="00A03D43"/>
    <w:rsid w:val="00A03E39"/>
    <w:rsid w:val="00A04380"/>
    <w:rsid w:val="00A04C84"/>
    <w:rsid w:val="00A07F94"/>
    <w:rsid w:val="00A10F63"/>
    <w:rsid w:val="00A11301"/>
    <w:rsid w:val="00A115C0"/>
    <w:rsid w:val="00A11CD0"/>
    <w:rsid w:val="00A11E6F"/>
    <w:rsid w:val="00A13948"/>
    <w:rsid w:val="00A1402A"/>
    <w:rsid w:val="00A1555B"/>
    <w:rsid w:val="00A155C5"/>
    <w:rsid w:val="00A156A3"/>
    <w:rsid w:val="00A16913"/>
    <w:rsid w:val="00A16AD8"/>
    <w:rsid w:val="00A20BD6"/>
    <w:rsid w:val="00A2104E"/>
    <w:rsid w:val="00A21CF3"/>
    <w:rsid w:val="00A224D6"/>
    <w:rsid w:val="00A23153"/>
    <w:rsid w:val="00A23EA8"/>
    <w:rsid w:val="00A24211"/>
    <w:rsid w:val="00A24781"/>
    <w:rsid w:val="00A26F22"/>
    <w:rsid w:val="00A26F95"/>
    <w:rsid w:val="00A27AEC"/>
    <w:rsid w:val="00A30CAD"/>
    <w:rsid w:val="00A31CCB"/>
    <w:rsid w:val="00A320DB"/>
    <w:rsid w:val="00A32BFE"/>
    <w:rsid w:val="00A33392"/>
    <w:rsid w:val="00A35D16"/>
    <w:rsid w:val="00A36275"/>
    <w:rsid w:val="00A37BCD"/>
    <w:rsid w:val="00A40FCE"/>
    <w:rsid w:val="00A429F3"/>
    <w:rsid w:val="00A43668"/>
    <w:rsid w:val="00A43C59"/>
    <w:rsid w:val="00A50ECD"/>
    <w:rsid w:val="00A51606"/>
    <w:rsid w:val="00A518F3"/>
    <w:rsid w:val="00A51D58"/>
    <w:rsid w:val="00A52729"/>
    <w:rsid w:val="00A53675"/>
    <w:rsid w:val="00A53FCE"/>
    <w:rsid w:val="00A54F33"/>
    <w:rsid w:val="00A556A7"/>
    <w:rsid w:val="00A55C45"/>
    <w:rsid w:val="00A564D7"/>
    <w:rsid w:val="00A5673E"/>
    <w:rsid w:val="00A56937"/>
    <w:rsid w:val="00A569A3"/>
    <w:rsid w:val="00A56B6A"/>
    <w:rsid w:val="00A5714E"/>
    <w:rsid w:val="00A57839"/>
    <w:rsid w:val="00A578DC"/>
    <w:rsid w:val="00A63432"/>
    <w:rsid w:val="00A654CF"/>
    <w:rsid w:val="00A65B7A"/>
    <w:rsid w:val="00A663E6"/>
    <w:rsid w:val="00A6725B"/>
    <w:rsid w:val="00A67514"/>
    <w:rsid w:val="00A70605"/>
    <w:rsid w:val="00A70B73"/>
    <w:rsid w:val="00A70C02"/>
    <w:rsid w:val="00A70F6B"/>
    <w:rsid w:val="00A71FFA"/>
    <w:rsid w:val="00A72017"/>
    <w:rsid w:val="00A73134"/>
    <w:rsid w:val="00A7339E"/>
    <w:rsid w:val="00A750C0"/>
    <w:rsid w:val="00A777B2"/>
    <w:rsid w:val="00A77D2D"/>
    <w:rsid w:val="00A81885"/>
    <w:rsid w:val="00A82132"/>
    <w:rsid w:val="00A85C15"/>
    <w:rsid w:val="00A86E8B"/>
    <w:rsid w:val="00A87164"/>
    <w:rsid w:val="00A874BD"/>
    <w:rsid w:val="00A8766A"/>
    <w:rsid w:val="00A876D9"/>
    <w:rsid w:val="00A91606"/>
    <w:rsid w:val="00A9175D"/>
    <w:rsid w:val="00A9183F"/>
    <w:rsid w:val="00A93072"/>
    <w:rsid w:val="00A93953"/>
    <w:rsid w:val="00A945FD"/>
    <w:rsid w:val="00A949DB"/>
    <w:rsid w:val="00A959D8"/>
    <w:rsid w:val="00A96440"/>
    <w:rsid w:val="00A96457"/>
    <w:rsid w:val="00A968DA"/>
    <w:rsid w:val="00A96C81"/>
    <w:rsid w:val="00A96D96"/>
    <w:rsid w:val="00AA113D"/>
    <w:rsid w:val="00AA26D0"/>
    <w:rsid w:val="00AA453C"/>
    <w:rsid w:val="00AA66F5"/>
    <w:rsid w:val="00AA6C7D"/>
    <w:rsid w:val="00AA700A"/>
    <w:rsid w:val="00AA7FD6"/>
    <w:rsid w:val="00AB042A"/>
    <w:rsid w:val="00AB1E31"/>
    <w:rsid w:val="00AB23E9"/>
    <w:rsid w:val="00AB2D34"/>
    <w:rsid w:val="00AB3430"/>
    <w:rsid w:val="00AB4AD1"/>
    <w:rsid w:val="00AB4E07"/>
    <w:rsid w:val="00AB53A0"/>
    <w:rsid w:val="00AB5D6D"/>
    <w:rsid w:val="00AB7ACE"/>
    <w:rsid w:val="00AB7CFA"/>
    <w:rsid w:val="00AC087B"/>
    <w:rsid w:val="00AC0B4D"/>
    <w:rsid w:val="00AC1E7F"/>
    <w:rsid w:val="00AC5B48"/>
    <w:rsid w:val="00AD0780"/>
    <w:rsid w:val="00AD0E4B"/>
    <w:rsid w:val="00AD0F4C"/>
    <w:rsid w:val="00AD13D4"/>
    <w:rsid w:val="00AD14E4"/>
    <w:rsid w:val="00AD1A1F"/>
    <w:rsid w:val="00AD3AE1"/>
    <w:rsid w:val="00AD5DFE"/>
    <w:rsid w:val="00AD6021"/>
    <w:rsid w:val="00AD6502"/>
    <w:rsid w:val="00AE0CA0"/>
    <w:rsid w:val="00AE1B15"/>
    <w:rsid w:val="00AE36BD"/>
    <w:rsid w:val="00AE4F86"/>
    <w:rsid w:val="00AE6257"/>
    <w:rsid w:val="00AE6EFD"/>
    <w:rsid w:val="00AE70C1"/>
    <w:rsid w:val="00AF1315"/>
    <w:rsid w:val="00AF19BF"/>
    <w:rsid w:val="00AF2674"/>
    <w:rsid w:val="00AF2DC3"/>
    <w:rsid w:val="00AF326F"/>
    <w:rsid w:val="00AF4631"/>
    <w:rsid w:val="00AF78C0"/>
    <w:rsid w:val="00B0137A"/>
    <w:rsid w:val="00B01480"/>
    <w:rsid w:val="00B014D5"/>
    <w:rsid w:val="00B033E5"/>
    <w:rsid w:val="00B03A63"/>
    <w:rsid w:val="00B0450B"/>
    <w:rsid w:val="00B04BCF"/>
    <w:rsid w:val="00B055A9"/>
    <w:rsid w:val="00B073B4"/>
    <w:rsid w:val="00B1046A"/>
    <w:rsid w:val="00B10873"/>
    <w:rsid w:val="00B10E0B"/>
    <w:rsid w:val="00B1274F"/>
    <w:rsid w:val="00B12B20"/>
    <w:rsid w:val="00B130B1"/>
    <w:rsid w:val="00B1333F"/>
    <w:rsid w:val="00B135CB"/>
    <w:rsid w:val="00B153EC"/>
    <w:rsid w:val="00B161DC"/>
    <w:rsid w:val="00B17269"/>
    <w:rsid w:val="00B17D79"/>
    <w:rsid w:val="00B201A4"/>
    <w:rsid w:val="00B20AFB"/>
    <w:rsid w:val="00B213A6"/>
    <w:rsid w:val="00B2197C"/>
    <w:rsid w:val="00B21A74"/>
    <w:rsid w:val="00B21B6A"/>
    <w:rsid w:val="00B22AD8"/>
    <w:rsid w:val="00B22BCC"/>
    <w:rsid w:val="00B236B5"/>
    <w:rsid w:val="00B247C5"/>
    <w:rsid w:val="00B24DF6"/>
    <w:rsid w:val="00B256B8"/>
    <w:rsid w:val="00B25B7B"/>
    <w:rsid w:val="00B3005D"/>
    <w:rsid w:val="00B30566"/>
    <w:rsid w:val="00B30C7C"/>
    <w:rsid w:val="00B31BF7"/>
    <w:rsid w:val="00B34121"/>
    <w:rsid w:val="00B34CB8"/>
    <w:rsid w:val="00B34DCF"/>
    <w:rsid w:val="00B34FE2"/>
    <w:rsid w:val="00B357D8"/>
    <w:rsid w:val="00B36CFA"/>
    <w:rsid w:val="00B36EEF"/>
    <w:rsid w:val="00B37BFC"/>
    <w:rsid w:val="00B37CF6"/>
    <w:rsid w:val="00B40358"/>
    <w:rsid w:val="00B40EC4"/>
    <w:rsid w:val="00B41614"/>
    <w:rsid w:val="00B42851"/>
    <w:rsid w:val="00B42994"/>
    <w:rsid w:val="00B42F80"/>
    <w:rsid w:val="00B430B6"/>
    <w:rsid w:val="00B435CB"/>
    <w:rsid w:val="00B43733"/>
    <w:rsid w:val="00B459EB"/>
    <w:rsid w:val="00B45E0B"/>
    <w:rsid w:val="00B46DD7"/>
    <w:rsid w:val="00B4784C"/>
    <w:rsid w:val="00B5054E"/>
    <w:rsid w:val="00B50DB8"/>
    <w:rsid w:val="00B518DD"/>
    <w:rsid w:val="00B5292F"/>
    <w:rsid w:val="00B52F63"/>
    <w:rsid w:val="00B53654"/>
    <w:rsid w:val="00B53905"/>
    <w:rsid w:val="00B54B5B"/>
    <w:rsid w:val="00B5562E"/>
    <w:rsid w:val="00B5665D"/>
    <w:rsid w:val="00B56D33"/>
    <w:rsid w:val="00B57000"/>
    <w:rsid w:val="00B57288"/>
    <w:rsid w:val="00B57A0B"/>
    <w:rsid w:val="00B57F0A"/>
    <w:rsid w:val="00B606C7"/>
    <w:rsid w:val="00B60939"/>
    <w:rsid w:val="00B609F9"/>
    <w:rsid w:val="00B60AFD"/>
    <w:rsid w:val="00B61A8C"/>
    <w:rsid w:val="00B61ADF"/>
    <w:rsid w:val="00B61D91"/>
    <w:rsid w:val="00B62715"/>
    <w:rsid w:val="00B67EEC"/>
    <w:rsid w:val="00B71DD0"/>
    <w:rsid w:val="00B7204C"/>
    <w:rsid w:val="00B75381"/>
    <w:rsid w:val="00B753EE"/>
    <w:rsid w:val="00B806D6"/>
    <w:rsid w:val="00B80797"/>
    <w:rsid w:val="00B818A4"/>
    <w:rsid w:val="00B829A1"/>
    <w:rsid w:val="00B84117"/>
    <w:rsid w:val="00B85436"/>
    <w:rsid w:val="00B8584C"/>
    <w:rsid w:val="00B85AA2"/>
    <w:rsid w:val="00B8649C"/>
    <w:rsid w:val="00B864BE"/>
    <w:rsid w:val="00B87180"/>
    <w:rsid w:val="00B8785C"/>
    <w:rsid w:val="00B87F0A"/>
    <w:rsid w:val="00B92CAF"/>
    <w:rsid w:val="00B92D0B"/>
    <w:rsid w:val="00B93875"/>
    <w:rsid w:val="00B94945"/>
    <w:rsid w:val="00B95073"/>
    <w:rsid w:val="00B959CF"/>
    <w:rsid w:val="00B9640E"/>
    <w:rsid w:val="00B96DA0"/>
    <w:rsid w:val="00B978E1"/>
    <w:rsid w:val="00BA0E0B"/>
    <w:rsid w:val="00BA192D"/>
    <w:rsid w:val="00BA322D"/>
    <w:rsid w:val="00BA343B"/>
    <w:rsid w:val="00BA3D22"/>
    <w:rsid w:val="00BA3D28"/>
    <w:rsid w:val="00BA4CBC"/>
    <w:rsid w:val="00BA60AC"/>
    <w:rsid w:val="00BA747C"/>
    <w:rsid w:val="00BB0013"/>
    <w:rsid w:val="00BB0ABD"/>
    <w:rsid w:val="00BB0BDD"/>
    <w:rsid w:val="00BB2850"/>
    <w:rsid w:val="00BB2A73"/>
    <w:rsid w:val="00BB2E34"/>
    <w:rsid w:val="00BB3E44"/>
    <w:rsid w:val="00BB441B"/>
    <w:rsid w:val="00BB4ACC"/>
    <w:rsid w:val="00BB55D2"/>
    <w:rsid w:val="00BB5D7D"/>
    <w:rsid w:val="00BB703E"/>
    <w:rsid w:val="00BB7405"/>
    <w:rsid w:val="00BC07C1"/>
    <w:rsid w:val="00BC15C8"/>
    <w:rsid w:val="00BC2AAE"/>
    <w:rsid w:val="00BC2AFF"/>
    <w:rsid w:val="00BC3631"/>
    <w:rsid w:val="00BC4FE9"/>
    <w:rsid w:val="00BC5873"/>
    <w:rsid w:val="00BC654A"/>
    <w:rsid w:val="00BC77AA"/>
    <w:rsid w:val="00BD1A29"/>
    <w:rsid w:val="00BD2192"/>
    <w:rsid w:val="00BD68A3"/>
    <w:rsid w:val="00BD6938"/>
    <w:rsid w:val="00BD6CF3"/>
    <w:rsid w:val="00BD7CCC"/>
    <w:rsid w:val="00BD7D81"/>
    <w:rsid w:val="00BE2180"/>
    <w:rsid w:val="00BE21F2"/>
    <w:rsid w:val="00BE4275"/>
    <w:rsid w:val="00BE4653"/>
    <w:rsid w:val="00BE46A7"/>
    <w:rsid w:val="00BE680E"/>
    <w:rsid w:val="00BE72F9"/>
    <w:rsid w:val="00BE7EF5"/>
    <w:rsid w:val="00BF0F95"/>
    <w:rsid w:val="00BF13DF"/>
    <w:rsid w:val="00BF2433"/>
    <w:rsid w:val="00BF272B"/>
    <w:rsid w:val="00BF3CBE"/>
    <w:rsid w:val="00BF4754"/>
    <w:rsid w:val="00BF61C9"/>
    <w:rsid w:val="00BF6C94"/>
    <w:rsid w:val="00BF78F2"/>
    <w:rsid w:val="00C00424"/>
    <w:rsid w:val="00C0045D"/>
    <w:rsid w:val="00C00FC3"/>
    <w:rsid w:val="00C0267A"/>
    <w:rsid w:val="00C02E39"/>
    <w:rsid w:val="00C041C1"/>
    <w:rsid w:val="00C048B2"/>
    <w:rsid w:val="00C04CB8"/>
    <w:rsid w:val="00C05830"/>
    <w:rsid w:val="00C071DD"/>
    <w:rsid w:val="00C07376"/>
    <w:rsid w:val="00C073B9"/>
    <w:rsid w:val="00C103FA"/>
    <w:rsid w:val="00C10C72"/>
    <w:rsid w:val="00C113D8"/>
    <w:rsid w:val="00C114BC"/>
    <w:rsid w:val="00C12ABC"/>
    <w:rsid w:val="00C12C14"/>
    <w:rsid w:val="00C13D72"/>
    <w:rsid w:val="00C13EFB"/>
    <w:rsid w:val="00C15E4C"/>
    <w:rsid w:val="00C169D9"/>
    <w:rsid w:val="00C1745C"/>
    <w:rsid w:val="00C17CE9"/>
    <w:rsid w:val="00C200AA"/>
    <w:rsid w:val="00C22E48"/>
    <w:rsid w:val="00C22FC8"/>
    <w:rsid w:val="00C23224"/>
    <w:rsid w:val="00C237ED"/>
    <w:rsid w:val="00C24632"/>
    <w:rsid w:val="00C247A6"/>
    <w:rsid w:val="00C25418"/>
    <w:rsid w:val="00C25D9C"/>
    <w:rsid w:val="00C2753D"/>
    <w:rsid w:val="00C2778B"/>
    <w:rsid w:val="00C31649"/>
    <w:rsid w:val="00C31EFE"/>
    <w:rsid w:val="00C3208D"/>
    <w:rsid w:val="00C40385"/>
    <w:rsid w:val="00C40AF1"/>
    <w:rsid w:val="00C41017"/>
    <w:rsid w:val="00C41521"/>
    <w:rsid w:val="00C41592"/>
    <w:rsid w:val="00C42392"/>
    <w:rsid w:val="00C446F6"/>
    <w:rsid w:val="00C451E5"/>
    <w:rsid w:val="00C4626E"/>
    <w:rsid w:val="00C4676E"/>
    <w:rsid w:val="00C475AA"/>
    <w:rsid w:val="00C51339"/>
    <w:rsid w:val="00C51421"/>
    <w:rsid w:val="00C52726"/>
    <w:rsid w:val="00C52F50"/>
    <w:rsid w:val="00C53090"/>
    <w:rsid w:val="00C536A8"/>
    <w:rsid w:val="00C5387C"/>
    <w:rsid w:val="00C57B3D"/>
    <w:rsid w:val="00C604A8"/>
    <w:rsid w:val="00C60D25"/>
    <w:rsid w:val="00C60DD3"/>
    <w:rsid w:val="00C6333B"/>
    <w:rsid w:val="00C64D3C"/>
    <w:rsid w:val="00C6544B"/>
    <w:rsid w:val="00C65576"/>
    <w:rsid w:val="00C65FF7"/>
    <w:rsid w:val="00C66165"/>
    <w:rsid w:val="00C66D1A"/>
    <w:rsid w:val="00C70938"/>
    <w:rsid w:val="00C7151A"/>
    <w:rsid w:val="00C71D5B"/>
    <w:rsid w:val="00C71F60"/>
    <w:rsid w:val="00C72241"/>
    <w:rsid w:val="00C7366F"/>
    <w:rsid w:val="00C750C8"/>
    <w:rsid w:val="00C7560F"/>
    <w:rsid w:val="00C7652E"/>
    <w:rsid w:val="00C7736D"/>
    <w:rsid w:val="00C80A0E"/>
    <w:rsid w:val="00C81257"/>
    <w:rsid w:val="00C815F0"/>
    <w:rsid w:val="00C8213F"/>
    <w:rsid w:val="00C82251"/>
    <w:rsid w:val="00C8233F"/>
    <w:rsid w:val="00C846A2"/>
    <w:rsid w:val="00C84F0E"/>
    <w:rsid w:val="00C8594E"/>
    <w:rsid w:val="00C85DBC"/>
    <w:rsid w:val="00C8649A"/>
    <w:rsid w:val="00C875E4"/>
    <w:rsid w:val="00C8797A"/>
    <w:rsid w:val="00C87F42"/>
    <w:rsid w:val="00C90001"/>
    <w:rsid w:val="00C900B8"/>
    <w:rsid w:val="00C90B96"/>
    <w:rsid w:val="00C90C71"/>
    <w:rsid w:val="00C92A67"/>
    <w:rsid w:val="00C92FC2"/>
    <w:rsid w:val="00C931CF"/>
    <w:rsid w:val="00C935AB"/>
    <w:rsid w:val="00C93608"/>
    <w:rsid w:val="00C93634"/>
    <w:rsid w:val="00C938CF"/>
    <w:rsid w:val="00C94342"/>
    <w:rsid w:val="00C951A0"/>
    <w:rsid w:val="00C956D0"/>
    <w:rsid w:val="00C95CD3"/>
    <w:rsid w:val="00C9624D"/>
    <w:rsid w:val="00C964C2"/>
    <w:rsid w:val="00C969DA"/>
    <w:rsid w:val="00C96CDE"/>
    <w:rsid w:val="00C9762E"/>
    <w:rsid w:val="00CA096F"/>
    <w:rsid w:val="00CA2C77"/>
    <w:rsid w:val="00CA3BEF"/>
    <w:rsid w:val="00CA444F"/>
    <w:rsid w:val="00CA520E"/>
    <w:rsid w:val="00CA5245"/>
    <w:rsid w:val="00CA5BE2"/>
    <w:rsid w:val="00CA6C8F"/>
    <w:rsid w:val="00CA71F4"/>
    <w:rsid w:val="00CA7B09"/>
    <w:rsid w:val="00CB2F2A"/>
    <w:rsid w:val="00CB525E"/>
    <w:rsid w:val="00CB5B1A"/>
    <w:rsid w:val="00CB6B22"/>
    <w:rsid w:val="00CB7F5F"/>
    <w:rsid w:val="00CC1B39"/>
    <w:rsid w:val="00CC1DF2"/>
    <w:rsid w:val="00CC2315"/>
    <w:rsid w:val="00CC2681"/>
    <w:rsid w:val="00CC3DBD"/>
    <w:rsid w:val="00CC458B"/>
    <w:rsid w:val="00CC4706"/>
    <w:rsid w:val="00CC50C6"/>
    <w:rsid w:val="00CC5604"/>
    <w:rsid w:val="00CC5D6C"/>
    <w:rsid w:val="00CC691E"/>
    <w:rsid w:val="00CC7525"/>
    <w:rsid w:val="00CD07A5"/>
    <w:rsid w:val="00CD1DAC"/>
    <w:rsid w:val="00CD4328"/>
    <w:rsid w:val="00CD5306"/>
    <w:rsid w:val="00CD5A89"/>
    <w:rsid w:val="00CD62A7"/>
    <w:rsid w:val="00CD6ADC"/>
    <w:rsid w:val="00CD791B"/>
    <w:rsid w:val="00CE02DD"/>
    <w:rsid w:val="00CE0355"/>
    <w:rsid w:val="00CE5C6B"/>
    <w:rsid w:val="00CE5EAC"/>
    <w:rsid w:val="00CE6274"/>
    <w:rsid w:val="00CE7C1F"/>
    <w:rsid w:val="00CF0C3A"/>
    <w:rsid w:val="00CF0D84"/>
    <w:rsid w:val="00CF1CFD"/>
    <w:rsid w:val="00CF2B8D"/>
    <w:rsid w:val="00CF456B"/>
    <w:rsid w:val="00CF488E"/>
    <w:rsid w:val="00CF4FB1"/>
    <w:rsid w:val="00CF54AC"/>
    <w:rsid w:val="00CF5A22"/>
    <w:rsid w:val="00CF6851"/>
    <w:rsid w:val="00CF6935"/>
    <w:rsid w:val="00CF7060"/>
    <w:rsid w:val="00CF7731"/>
    <w:rsid w:val="00D005FF"/>
    <w:rsid w:val="00D00797"/>
    <w:rsid w:val="00D018E0"/>
    <w:rsid w:val="00D0262E"/>
    <w:rsid w:val="00D02A9B"/>
    <w:rsid w:val="00D043AC"/>
    <w:rsid w:val="00D100B1"/>
    <w:rsid w:val="00D10875"/>
    <w:rsid w:val="00D110BD"/>
    <w:rsid w:val="00D11101"/>
    <w:rsid w:val="00D11949"/>
    <w:rsid w:val="00D12532"/>
    <w:rsid w:val="00D135D3"/>
    <w:rsid w:val="00D13675"/>
    <w:rsid w:val="00D141E1"/>
    <w:rsid w:val="00D16D44"/>
    <w:rsid w:val="00D17843"/>
    <w:rsid w:val="00D17D6C"/>
    <w:rsid w:val="00D2112C"/>
    <w:rsid w:val="00D220CD"/>
    <w:rsid w:val="00D23945"/>
    <w:rsid w:val="00D246F6"/>
    <w:rsid w:val="00D2754D"/>
    <w:rsid w:val="00D276E5"/>
    <w:rsid w:val="00D27B27"/>
    <w:rsid w:val="00D3304A"/>
    <w:rsid w:val="00D33182"/>
    <w:rsid w:val="00D33BE9"/>
    <w:rsid w:val="00D34D12"/>
    <w:rsid w:val="00D35184"/>
    <w:rsid w:val="00D357FF"/>
    <w:rsid w:val="00D3594B"/>
    <w:rsid w:val="00D35D8D"/>
    <w:rsid w:val="00D3613E"/>
    <w:rsid w:val="00D370B3"/>
    <w:rsid w:val="00D3729A"/>
    <w:rsid w:val="00D417A2"/>
    <w:rsid w:val="00D417F9"/>
    <w:rsid w:val="00D424C7"/>
    <w:rsid w:val="00D4280D"/>
    <w:rsid w:val="00D43B2A"/>
    <w:rsid w:val="00D43CBC"/>
    <w:rsid w:val="00D44C7A"/>
    <w:rsid w:val="00D45BBE"/>
    <w:rsid w:val="00D4689B"/>
    <w:rsid w:val="00D46EA7"/>
    <w:rsid w:val="00D47575"/>
    <w:rsid w:val="00D475CC"/>
    <w:rsid w:val="00D5175D"/>
    <w:rsid w:val="00D55211"/>
    <w:rsid w:val="00D55DEB"/>
    <w:rsid w:val="00D56F4B"/>
    <w:rsid w:val="00D57927"/>
    <w:rsid w:val="00D60E4B"/>
    <w:rsid w:val="00D6177C"/>
    <w:rsid w:val="00D61969"/>
    <w:rsid w:val="00D61A93"/>
    <w:rsid w:val="00D62027"/>
    <w:rsid w:val="00D62CBF"/>
    <w:rsid w:val="00D63FA1"/>
    <w:rsid w:val="00D65703"/>
    <w:rsid w:val="00D65A08"/>
    <w:rsid w:val="00D70F16"/>
    <w:rsid w:val="00D71B58"/>
    <w:rsid w:val="00D73431"/>
    <w:rsid w:val="00D7566A"/>
    <w:rsid w:val="00D76449"/>
    <w:rsid w:val="00D76A32"/>
    <w:rsid w:val="00D76A44"/>
    <w:rsid w:val="00D76E0E"/>
    <w:rsid w:val="00D77345"/>
    <w:rsid w:val="00D81206"/>
    <w:rsid w:val="00D815EF"/>
    <w:rsid w:val="00D83FA0"/>
    <w:rsid w:val="00D861F0"/>
    <w:rsid w:val="00D87114"/>
    <w:rsid w:val="00D8779B"/>
    <w:rsid w:val="00D905DF"/>
    <w:rsid w:val="00D9102F"/>
    <w:rsid w:val="00D91923"/>
    <w:rsid w:val="00D91AF1"/>
    <w:rsid w:val="00D93671"/>
    <w:rsid w:val="00D93753"/>
    <w:rsid w:val="00D94442"/>
    <w:rsid w:val="00D96F9A"/>
    <w:rsid w:val="00D97438"/>
    <w:rsid w:val="00D97897"/>
    <w:rsid w:val="00DA009A"/>
    <w:rsid w:val="00DA1E02"/>
    <w:rsid w:val="00DA2A94"/>
    <w:rsid w:val="00DA3167"/>
    <w:rsid w:val="00DA3626"/>
    <w:rsid w:val="00DA3A4C"/>
    <w:rsid w:val="00DA4DC3"/>
    <w:rsid w:val="00DA5E0C"/>
    <w:rsid w:val="00DA7468"/>
    <w:rsid w:val="00DA77A5"/>
    <w:rsid w:val="00DB12F1"/>
    <w:rsid w:val="00DB2938"/>
    <w:rsid w:val="00DB2B88"/>
    <w:rsid w:val="00DB2FDC"/>
    <w:rsid w:val="00DB3887"/>
    <w:rsid w:val="00DB39CC"/>
    <w:rsid w:val="00DB3AC1"/>
    <w:rsid w:val="00DB41B1"/>
    <w:rsid w:val="00DB484F"/>
    <w:rsid w:val="00DC04F6"/>
    <w:rsid w:val="00DC13E5"/>
    <w:rsid w:val="00DC1D0C"/>
    <w:rsid w:val="00DC224A"/>
    <w:rsid w:val="00DC27C8"/>
    <w:rsid w:val="00DC3230"/>
    <w:rsid w:val="00DC3C57"/>
    <w:rsid w:val="00DC42B7"/>
    <w:rsid w:val="00DC4ACE"/>
    <w:rsid w:val="00DC5501"/>
    <w:rsid w:val="00DC68CD"/>
    <w:rsid w:val="00DC6C8B"/>
    <w:rsid w:val="00DD147B"/>
    <w:rsid w:val="00DD273C"/>
    <w:rsid w:val="00DD2915"/>
    <w:rsid w:val="00DD2F16"/>
    <w:rsid w:val="00DD3F28"/>
    <w:rsid w:val="00DD43B2"/>
    <w:rsid w:val="00DD4537"/>
    <w:rsid w:val="00DD4E15"/>
    <w:rsid w:val="00DD55C6"/>
    <w:rsid w:val="00DD5E06"/>
    <w:rsid w:val="00DE136F"/>
    <w:rsid w:val="00DE3138"/>
    <w:rsid w:val="00DE37F8"/>
    <w:rsid w:val="00DE4FCB"/>
    <w:rsid w:val="00DE53BD"/>
    <w:rsid w:val="00DE6B77"/>
    <w:rsid w:val="00DE7832"/>
    <w:rsid w:val="00DE7B27"/>
    <w:rsid w:val="00DF1354"/>
    <w:rsid w:val="00DF18FC"/>
    <w:rsid w:val="00DF37D3"/>
    <w:rsid w:val="00DF3CB6"/>
    <w:rsid w:val="00DF5B13"/>
    <w:rsid w:val="00DF5BED"/>
    <w:rsid w:val="00DF5D2B"/>
    <w:rsid w:val="00DF7866"/>
    <w:rsid w:val="00E0079A"/>
    <w:rsid w:val="00E00847"/>
    <w:rsid w:val="00E00A87"/>
    <w:rsid w:val="00E00E8E"/>
    <w:rsid w:val="00E01537"/>
    <w:rsid w:val="00E01D27"/>
    <w:rsid w:val="00E02544"/>
    <w:rsid w:val="00E0335A"/>
    <w:rsid w:val="00E03435"/>
    <w:rsid w:val="00E04365"/>
    <w:rsid w:val="00E04FD3"/>
    <w:rsid w:val="00E05630"/>
    <w:rsid w:val="00E05A2F"/>
    <w:rsid w:val="00E062E1"/>
    <w:rsid w:val="00E06DBB"/>
    <w:rsid w:val="00E07E49"/>
    <w:rsid w:val="00E10149"/>
    <w:rsid w:val="00E1504E"/>
    <w:rsid w:val="00E15087"/>
    <w:rsid w:val="00E150ED"/>
    <w:rsid w:val="00E158A3"/>
    <w:rsid w:val="00E16372"/>
    <w:rsid w:val="00E163E2"/>
    <w:rsid w:val="00E16906"/>
    <w:rsid w:val="00E17093"/>
    <w:rsid w:val="00E171B6"/>
    <w:rsid w:val="00E17367"/>
    <w:rsid w:val="00E201F9"/>
    <w:rsid w:val="00E20E4D"/>
    <w:rsid w:val="00E20ED6"/>
    <w:rsid w:val="00E21356"/>
    <w:rsid w:val="00E21358"/>
    <w:rsid w:val="00E21B82"/>
    <w:rsid w:val="00E2249B"/>
    <w:rsid w:val="00E22A0D"/>
    <w:rsid w:val="00E2306C"/>
    <w:rsid w:val="00E23B86"/>
    <w:rsid w:val="00E24DB5"/>
    <w:rsid w:val="00E25B2A"/>
    <w:rsid w:val="00E27463"/>
    <w:rsid w:val="00E2771E"/>
    <w:rsid w:val="00E27EEB"/>
    <w:rsid w:val="00E30A9B"/>
    <w:rsid w:val="00E31A50"/>
    <w:rsid w:val="00E32C1A"/>
    <w:rsid w:val="00E335DD"/>
    <w:rsid w:val="00E34725"/>
    <w:rsid w:val="00E34948"/>
    <w:rsid w:val="00E37569"/>
    <w:rsid w:val="00E41983"/>
    <w:rsid w:val="00E41E30"/>
    <w:rsid w:val="00E42AC5"/>
    <w:rsid w:val="00E43359"/>
    <w:rsid w:val="00E43D70"/>
    <w:rsid w:val="00E43DD0"/>
    <w:rsid w:val="00E442F6"/>
    <w:rsid w:val="00E44830"/>
    <w:rsid w:val="00E455AB"/>
    <w:rsid w:val="00E466F3"/>
    <w:rsid w:val="00E479D5"/>
    <w:rsid w:val="00E47B2C"/>
    <w:rsid w:val="00E51560"/>
    <w:rsid w:val="00E53221"/>
    <w:rsid w:val="00E54347"/>
    <w:rsid w:val="00E545A8"/>
    <w:rsid w:val="00E5480E"/>
    <w:rsid w:val="00E55424"/>
    <w:rsid w:val="00E5559B"/>
    <w:rsid w:val="00E55BB5"/>
    <w:rsid w:val="00E569B9"/>
    <w:rsid w:val="00E56A9B"/>
    <w:rsid w:val="00E57D89"/>
    <w:rsid w:val="00E61A22"/>
    <w:rsid w:val="00E621B6"/>
    <w:rsid w:val="00E629EF"/>
    <w:rsid w:val="00E63013"/>
    <w:rsid w:val="00E63663"/>
    <w:rsid w:val="00E643C0"/>
    <w:rsid w:val="00E65E79"/>
    <w:rsid w:val="00E66BA2"/>
    <w:rsid w:val="00E6721E"/>
    <w:rsid w:val="00E67416"/>
    <w:rsid w:val="00E678E0"/>
    <w:rsid w:val="00E7048A"/>
    <w:rsid w:val="00E718B6"/>
    <w:rsid w:val="00E71B2F"/>
    <w:rsid w:val="00E71E38"/>
    <w:rsid w:val="00E71F79"/>
    <w:rsid w:val="00E723BA"/>
    <w:rsid w:val="00E72E4A"/>
    <w:rsid w:val="00E7311C"/>
    <w:rsid w:val="00E73581"/>
    <w:rsid w:val="00E745DD"/>
    <w:rsid w:val="00E7506C"/>
    <w:rsid w:val="00E75951"/>
    <w:rsid w:val="00E75B99"/>
    <w:rsid w:val="00E77341"/>
    <w:rsid w:val="00E82A52"/>
    <w:rsid w:val="00E82B64"/>
    <w:rsid w:val="00E833F7"/>
    <w:rsid w:val="00E83BDF"/>
    <w:rsid w:val="00E8484F"/>
    <w:rsid w:val="00E8664E"/>
    <w:rsid w:val="00E86D01"/>
    <w:rsid w:val="00E87616"/>
    <w:rsid w:val="00E87A1D"/>
    <w:rsid w:val="00E92228"/>
    <w:rsid w:val="00E926A5"/>
    <w:rsid w:val="00E928F0"/>
    <w:rsid w:val="00E9399C"/>
    <w:rsid w:val="00E94CA8"/>
    <w:rsid w:val="00E96478"/>
    <w:rsid w:val="00EA17C3"/>
    <w:rsid w:val="00EA18A0"/>
    <w:rsid w:val="00EA2CAA"/>
    <w:rsid w:val="00EA3864"/>
    <w:rsid w:val="00EA4B3C"/>
    <w:rsid w:val="00EA5B19"/>
    <w:rsid w:val="00EA5DBA"/>
    <w:rsid w:val="00EB0A92"/>
    <w:rsid w:val="00EB15B6"/>
    <w:rsid w:val="00EB20EC"/>
    <w:rsid w:val="00EB319E"/>
    <w:rsid w:val="00EB4916"/>
    <w:rsid w:val="00EB67BB"/>
    <w:rsid w:val="00EB7F74"/>
    <w:rsid w:val="00EC00C9"/>
    <w:rsid w:val="00EC0132"/>
    <w:rsid w:val="00EC05A2"/>
    <w:rsid w:val="00EC2649"/>
    <w:rsid w:val="00EC26C8"/>
    <w:rsid w:val="00EC2878"/>
    <w:rsid w:val="00EC391C"/>
    <w:rsid w:val="00EC3BB5"/>
    <w:rsid w:val="00EC5018"/>
    <w:rsid w:val="00EC531F"/>
    <w:rsid w:val="00EC62C7"/>
    <w:rsid w:val="00EC683C"/>
    <w:rsid w:val="00EC78E3"/>
    <w:rsid w:val="00EC7B70"/>
    <w:rsid w:val="00ED0D61"/>
    <w:rsid w:val="00ED1FE5"/>
    <w:rsid w:val="00ED2F33"/>
    <w:rsid w:val="00ED3DB0"/>
    <w:rsid w:val="00ED4B30"/>
    <w:rsid w:val="00ED53D4"/>
    <w:rsid w:val="00ED57EA"/>
    <w:rsid w:val="00ED593E"/>
    <w:rsid w:val="00ED60DF"/>
    <w:rsid w:val="00ED6A23"/>
    <w:rsid w:val="00ED6CA4"/>
    <w:rsid w:val="00ED7396"/>
    <w:rsid w:val="00EE07D3"/>
    <w:rsid w:val="00EE183F"/>
    <w:rsid w:val="00EE22AF"/>
    <w:rsid w:val="00EE2EDA"/>
    <w:rsid w:val="00EE2F17"/>
    <w:rsid w:val="00EE30E1"/>
    <w:rsid w:val="00EE379F"/>
    <w:rsid w:val="00EE4F7D"/>
    <w:rsid w:val="00EE55D5"/>
    <w:rsid w:val="00EE569E"/>
    <w:rsid w:val="00EE6E25"/>
    <w:rsid w:val="00EF0171"/>
    <w:rsid w:val="00EF04D7"/>
    <w:rsid w:val="00EF14CB"/>
    <w:rsid w:val="00EF16F8"/>
    <w:rsid w:val="00EF1B25"/>
    <w:rsid w:val="00EF27F9"/>
    <w:rsid w:val="00EF4747"/>
    <w:rsid w:val="00EF4BF8"/>
    <w:rsid w:val="00EF4FAF"/>
    <w:rsid w:val="00EF52C9"/>
    <w:rsid w:val="00EF6A1F"/>
    <w:rsid w:val="00EF791D"/>
    <w:rsid w:val="00EF7EB9"/>
    <w:rsid w:val="00F014C7"/>
    <w:rsid w:val="00F01A9F"/>
    <w:rsid w:val="00F02253"/>
    <w:rsid w:val="00F03C2E"/>
    <w:rsid w:val="00F04A66"/>
    <w:rsid w:val="00F0516C"/>
    <w:rsid w:val="00F067A2"/>
    <w:rsid w:val="00F077BB"/>
    <w:rsid w:val="00F07C0E"/>
    <w:rsid w:val="00F109BD"/>
    <w:rsid w:val="00F1263A"/>
    <w:rsid w:val="00F12C3A"/>
    <w:rsid w:val="00F1428D"/>
    <w:rsid w:val="00F1469E"/>
    <w:rsid w:val="00F1531A"/>
    <w:rsid w:val="00F15751"/>
    <w:rsid w:val="00F1582A"/>
    <w:rsid w:val="00F161D0"/>
    <w:rsid w:val="00F2147D"/>
    <w:rsid w:val="00F227C1"/>
    <w:rsid w:val="00F2291E"/>
    <w:rsid w:val="00F2297C"/>
    <w:rsid w:val="00F23818"/>
    <w:rsid w:val="00F23853"/>
    <w:rsid w:val="00F24837"/>
    <w:rsid w:val="00F2488C"/>
    <w:rsid w:val="00F2575F"/>
    <w:rsid w:val="00F2621D"/>
    <w:rsid w:val="00F264CD"/>
    <w:rsid w:val="00F27565"/>
    <w:rsid w:val="00F30E6C"/>
    <w:rsid w:val="00F310D4"/>
    <w:rsid w:val="00F311E2"/>
    <w:rsid w:val="00F3155C"/>
    <w:rsid w:val="00F3183A"/>
    <w:rsid w:val="00F31D5A"/>
    <w:rsid w:val="00F33DE9"/>
    <w:rsid w:val="00F34E12"/>
    <w:rsid w:val="00F3516E"/>
    <w:rsid w:val="00F3619A"/>
    <w:rsid w:val="00F361CA"/>
    <w:rsid w:val="00F36667"/>
    <w:rsid w:val="00F36FDB"/>
    <w:rsid w:val="00F3793B"/>
    <w:rsid w:val="00F404D4"/>
    <w:rsid w:val="00F40AAA"/>
    <w:rsid w:val="00F40BA7"/>
    <w:rsid w:val="00F40E64"/>
    <w:rsid w:val="00F4174F"/>
    <w:rsid w:val="00F4240A"/>
    <w:rsid w:val="00F431FF"/>
    <w:rsid w:val="00F4358C"/>
    <w:rsid w:val="00F45768"/>
    <w:rsid w:val="00F462F8"/>
    <w:rsid w:val="00F46CB6"/>
    <w:rsid w:val="00F4736C"/>
    <w:rsid w:val="00F47DE8"/>
    <w:rsid w:val="00F5129F"/>
    <w:rsid w:val="00F51B8D"/>
    <w:rsid w:val="00F533C3"/>
    <w:rsid w:val="00F542C1"/>
    <w:rsid w:val="00F553F6"/>
    <w:rsid w:val="00F55E73"/>
    <w:rsid w:val="00F55EDA"/>
    <w:rsid w:val="00F56D77"/>
    <w:rsid w:val="00F60092"/>
    <w:rsid w:val="00F60227"/>
    <w:rsid w:val="00F6125B"/>
    <w:rsid w:val="00F62DE3"/>
    <w:rsid w:val="00F632BC"/>
    <w:rsid w:val="00F63D9A"/>
    <w:rsid w:val="00F63E81"/>
    <w:rsid w:val="00F65756"/>
    <w:rsid w:val="00F65F4B"/>
    <w:rsid w:val="00F664A2"/>
    <w:rsid w:val="00F66BA1"/>
    <w:rsid w:val="00F675B1"/>
    <w:rsid w:val="00F67944"/>
    <w:rsid w:val="00F67EAE"/>
    <w:rsid w:val="00F70C9D"/>
    <w:rsid w:val="00F71E28"/>
    <w:rsid w:val="00F72223"/>
    <w:rsid w:val="00F72790"/>
    <w:rsid w:val="00F73F7B"/>
    <w:rsid w:val="00F74CD9"/>
    <w:rsid w:val="00F80A7B"/>
    <w:rsid w:val="00F80E5D"/>
    <w:rsid w:val="00F821D7"/>
    <w:rsid w:val="00F83E19"/>
    <w:rsid w:val="00F84CBD"/>
    <w:rsid w:val="00F84E93"/>
    <w:rsid w:val="00F851CE"/>
    <w:rsid w:val="00F858E1"/>
    <w:rsid w:val="00F86CC1"/>
    <w:rsid w:val="00F91219"/>
    <w:rsid w:val="00F968E7"/>
    <w:rsid w:val="00F97336"/>
    <w:rsid w:val="00F979C1"/>
    <w:rsid w:val="00F97A78"/>
    <w:rsid w:val="00FA0B20"/>
    <w:rsid w:val="00FA1100"/>
    <w:rsid w:val="00FA197D"/>
    <w:rsid w:val="00FA2072"/>
    <w:rsid w:val="00FA24E7"/>
    <w:rsid w:val="00FA2957"/>
    <w:rsid w:val="00FA491D"/>
    <w:rsid w:val="00FA626A"/>
    <w:rsid w:val="00FA6406"/>
    <w:rsid w:val="00FA7E63"/>
    <w:rsid w:val="00FB0178"/>
    <w:rsid w:val="00FB026D"/>
    <w:rsid w:val="00FB199D"/>
    <w:rsid w:val="00FB2FCB"/>
    <w:rsid w:val="00FB546F"/>
    <w:rsid w:val="00FC1074"/>
    <w:rsid w:val="00FC151A"/>
    <w:rsid w:val="00FC1884"/>
    <w:rsid w:val="00FC1C35"/>
    <w:rsid w:val="00FC2486"/>
    <w:rsid w:val="00FC2E2F"/>
    <w:rsid w:val="00FC371D"/>
    <w:rsid w:val="00FC4456"/>
    <w:rsid w:val="00FC5F0B"/>
    <w:rsid w:val="00FD046E"/>
    <w:rsid w:val="00FD2100"/>
    <w:rsid w:val="00FD3EB8"/>
    <w:rsid w:val="00FD436C"/>
    <w:rsid w:val="00FD446D"/>
    <w:rsid w:val="00FD5786"/>
    <w:rsid w:val="00FD6394"/>
    <w:rsid w:val="00FE0E6C"/>
    <w:rsid w:val="00FE0F9D"/>
    <w:rsid w:val="00FE114D"/>
    <w:rsid w:val="00FE1B59"/>
    <w:rsid w:val="00FE5D77"/>
    <w:rsid w:val="00FE70C3"/>
    <w:rsid w:val="00FE71DE"/>
    <w:rsid w:val="00FE7C0B"/>
    <w:rsid w:val="00FF022C"/>
    <w:rsid w:val="00FF0D77"/>
    <w:rsid w:val="00FF3DCF"/>
    <w:rsid w:val="00FF492C"/>
    <w:rsid w:val="00FF4A21"/>
    <w:rsid w:val="00FF5AA3"/>
    <w:rsid w:val="00FF5AD8"/>
    <w:rsid w:val="00FF63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1"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uiPriority w:val="1"/>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Styl moj,Akapit z listą11"/>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Styl moj Char,Akapit z listą11 Char"/>
    <w:basedOn w:val="DefaultParagraphFont"/>
    <w:link w:val="ListParagraph"/>
    <w:uiPriority w:val="34"/>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AB4E07"/>
    <w:pPr>
      <w:numPr>
        <w:numId w:val="3"/>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uiPriority w:val="99"/>
    <w:unhideWhenUsed/>
    <w:rsid w:val="00893318"/>
    <w:rPr>
      <w:sz w:val="20"/>
      <w:szCs w:val="20"/>
    </w:rPr>
  </w:style>
  <w:style w:type="character" w:customStyle="1" w:styleId="FootnoteTextChar">
    <w:name w:val="Footnote Text Char"/>
    <w:basedOn w:val="DefaultParagraphFont"/>
    <w:link w:val="FootnoteText"/>
    <w:uiPriority w:val="99"/>
    <w:rsid w:val="00893318"/>
    <w:rPr>
      <w:rFonts w:ascii="Calibri" w:hAnsi="Calibri" w:cs="Arial"/>
      <w:snapToGrid w:val="0"/>
      <w:lang w:eastAsia="en-US"/>
    </w:rPr>
  </w:style>
  <w:style w:type="character" w:styleId="FootnoteReference">
    <w:name w:val="footnote reference"/>
    <w:basedOn w:val="DefaultParagraphFont"/>
    <w:uiPriority w:val="99"/>
    <w:unhideWhenUsed/>
    <w:rsid w:val="00893318"/>
    <w:rPr>
      <w:vertAlign w:val="superscript"/>
    </w:rPr>
  </w:style>
  <w:style w:type="paragraph" w:customStyle="1" w:styleId="SubHeading">
    <w:name w:val="Sub Heading"/>
    <w:basedOn w:val="Normal"/>
    <w:next w:val="Normal"/>
    <w:uiPriority w:val="9"/>
    <w:qFormat/>
    <w:rsid w:val="008053DD"/>
    <w:pPr>
      <w:keepLines/>
      <w:widowControl/>
      <w:spacing w:before="360" w:line="360" w:lineRule="auto"/>
      <w:jc w:val="left"/>
    </w:pPr>
    <w:rPr>
      <w:rFonts w:ascii="Arial" w:eastAsiaTheme="minorHAnsi" w:hAnsi="Arial" w:cstheme="minorBidi"/>
      <w:b/>
      <w:snapToGrid/>
      <w:sz w:val="20"/>
      <w:szCs w:val="20"/>
    </w:rPr>
  </w:style>
  <w:style w:type="numbering" w:customStyle="1" w:styleId="Lists">
    <w:name w:val="Lists"/>
    <w:uiPriority w:val="99"/>
    <w:rsid w:val="008053DD"/>
    <w:pPr>
      <w:numPr>
        <w:numId w:val="5"/>
      </w:numPr>
    </w:pPr>
  </w:style>
  <w:style w:type="paragraph" w:customStyle="1" w:styleId="TableText0">
    <w:name w:val="Table Text"/>
    <w:basedOn w:val="Normal"/>
    <w:qFormat/>
    <w:rsid w:val="004900C9"/>
    <w:pPr>
      <w:keepNext/>
      <w:widowControl/>
      <w:spacing w:before="40" w:after="40"/>
      <w:jc w:val="left"/>
    </w:pPr>
    <w:rPr>
      <w:rFonts w:ascii="Arial Narrow" w:eastAsiaTheme="minorHAnsi" w:hAnsi="Arial Narrow" w:cstheme="minorBidi"/>
      <w:snapToGrid/>
      <w:sz w:val="20"/>
    </w:rPr>
  </w:style>
  <w:style w:type="paragraph" w:customStyle="1" w:styleId="V50Instructions">
    <w:name w:val="V5.0 Instructions"/>
    <w:basedOn w:val="Normal"/>
    <w:link w:val="V50InstructionsChar"/>
    <w:qFormat/>
    <w:rsid w:val="009B4475"/>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9B4475"/>
    <w:rPr>
      <w:rFonts w:asciiTheme="minorHAnsi" w:eastAsiaTheme="minorHAnsi" w:hAnsiTheme="minorHAnsi" w:cstheme="minorBidi"/>
      <w:color w:val="4BACC6" w:themeColor="accent5"/>
      <w:sz w:val="24"/>
      <w:szCs w:val="22"/>
      <w:lang w:eastAsia="en-US"/>
    </w:rPr>
  </w:style>
  <w:style w:type="character" w:customStyle="1" w:styleId="Heading3Char">
    <w:name w:val="Heading 3 Char"/>
    <w:basedOn w:val="DefaultParagraphFont"/>
    <w:link w:val="Heading3"/>
    <w:uiPriority w:val="1"/>
    <w:rsid w:val="009B4475"/>
    <w:rPr>
      <w:rFonts w:ascii="Calibri" w:hAnsi="Calibri" w:cs="Arial"/>
      <w:snapToGrid w:val="0"/>
      <w:sz w:val="24"/>
      <w:szCs w:val="22"/>
      <w:u w:val="single"/>
      <w:lang w:eastAsia="en-US"/>
    </w:rPr>
  </w:style>
  <w:style w:type="table" w:customStyle="1" w:styleId="TableGridbeth1">
    <w:name w:val="Table Gridbeth1"/>
    <w:basedOn w:val="TableNormal"/>
    <w:next w:val="TableGrid"/>
    <w:uiPriority w:val="39"/>
    <w:rsid w:val="00023DCD"/>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numbering" w:customStyle="1" w:styleId="Lists1">
    <w:name w:val="Lists1"/>
    <w:uiPriority w:val="99"/>
    <w:rsid w:val="00672004"/>
  </w:style>
  <w:style w:type="paragraph" w:customStyle="1" w:styleId="TableHeading0">
    <w:name w:val="Table Heading"/>
    <w:basedOn w:val="Normal"/>
    <w:qFormat/>
    <w:rsid w:val="008E331F"/>
    <w:pPr>
      <w:keepNext/>
      <w:widowControl/>
      <w:spacing w:after="60"/>
      <w:jc w:val="left"/>
    </w:pPr>
    <w:rPr>
      <w:rFonts w:ascii="Arial Narrow" w:eastAsiaTheme="minorHAnsi" w:hAnsi="Arial Narrow" w:cstheme="minorBidi"/>
      <w:b/>
      <w:snapToGrid/>
      <w:sz w:val="20"/>
    </w:rPr>
  </w:style>
  <w:style w:type="table" w:customStyle="1" w:styleId="Summarybox6">
    <w:name w:val="Summary box6"/>
    <w:basedOn w:val="TableNormal"/>
    <w:next w:val="TableGrid"/>
    <w:uiPriority w:val="59"/>
    <w:rsid w:val="002F37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xecSummTable">
    <w:name w:val="Exec Summ Table"/>
    <w:basedOn w:val="TableNormal"/>
    <w:uiPriority w:val="99"/>
    <w:rsid w:val="003154E1"/>
    <w:pPr>
      <w:ind w:left="57" w:right="57"/>
    </w:pPr>
    <w:rPr>
      <w:rFonts w:ascii="Arial" w:eastAsiaTheme="minorHAnsi" w:hAnsi="Arial" w:cstheme="minorBidi"/>
      <w:sz w:val="18"/>
      <w:lang w:bidi="th-TH"/>
    </w:rPr>
    <w:tblPr>
      <w:tblBorders>
        <w:top w:val="single" w:sz="12" w:space="0" w:color="4BACC6" w:themeColor="accent5"/>
        <w:bottom w:val="single" w:sz="12" w:space="0" w:color="4BACC6" w:themeColor="accent5"/>
        <w:insideH w:val="single" w:sz="4" w:space="0" w:color="4BACC6" w:themeColor="accent5"/>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paragraph" w:customStyle="1" w:styleId="TableText1">
    <w:name w:val="TableText"/>
    <w:basedOn w:val="Normal"/>
    <w:link w:val="TableTextChar0"/>
    <w:uiPriority w:val="3"/>
    <w:qFormat/>
    <w:rsid w:val="00B135CB"/>
    <w:pPr>
      <w:keepNext/>
      <w:widowControl/>
      <w:spacing w:before="40" w:after="40"/>
      <w:jc w:val="left"/>
    </w:pPr>
    <w:rPr>
      <w:rFonts w:ascii="Arial Narrow" w:hAnsi="Arial Narrow" w:cs="Arial Narrow"/>
      <w:snapToGrid/>
      <w:sz w:val="20"/>
      <w:szCs w:val="20"/>
    </w:rPr>
  </w:style>
  <w:style w:type="character" w:customStyle="1" w:styleId="TableTextChar0">
    <w:name w:val="TableText Char"/>
    <w:basedOn w:val="DefaultParagraphFont"/>
    <w:link w:val="TableText1"/>
    <w:uiPriority w:val="3"/>
    <w:rsid w:val="00B135CB"/>
    <w:rPr>
      <w:rFonts w:ascii="Arial Narrow" w:hAnsi="Arial Narrow" w:cs="Arial Narrow"/>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F52D9"/>
    <w:pPr>
      <w:widowControl/>
      <w:spacing w:after="160" w:line="240" w:lineRule="exact"/>
      <w:jc w:val="left"/>
    </w:pPr>
    <w:rPr>
      <w:rFonts w:ascii="Verdana" w:eastAsia="MS Mincho" w:hAnsi="Verdana" w:cs="Verdana"/>
      <w:snapToGrid/>
      <w:sz w:val="20"/>
      <w:szCs w:val="20"/>
      <w:lang w:val="en-US"/>
    </w:rPr>
  </w:style>
  <w:style w:type="paragraph" w:styleId="ListBullet">
    <w:name w:val="List Bullet"/>
    <w:basedOn w:val="Normal"/>
    <w:autoRedefine/>
    <w:rsid w:val="009A2F64"/>
    <w:pPr>
      <w:widowControl/>
      <w:jc w:val="left"/>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1"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uiPriority w:val="1"/>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Styl moj,Akapit z listą11"/>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Styl moj Char,Akapit z listą11 Char"/>
    <w:basedOn w:val="DefaultParagraphFont"/>
    <w:link w:val="ListParagraph"/>
    <w:uiPriority w:val="34"/>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AB4E07"/>
    <w:pPr>
      <w:numPr>
        <w:numId w:val="3"/>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uiPriority w:val="99"/>
    <w:unhideWhenUsed/>
    <w:rsid w:val="00893318"/>
    <w:rPr>
      <w:sz w:val="20"/>
      <w:szCs w:val="20"/>
    </w:rPr>
  </w:style>
  <w:style w:type="character" w:customStyle="1" w:styleId="FootnoteTextChar">
    <w:name w:val="Footnote Text Char"/>
    <w:basedOn w:val="DefaultParagraphFont"/>
    <w:link w:val="FootnoteText"/>
    <w:uiPriority w:val="99"/>
    <w:rsid w:val="00893318"/>
    <w:rPr>
      <w:rFonts w:ascii="Calibri" w:hAnsi="Calibri" w:cs="Arial"/>
      <w:snapToGrid w:val="0"/>
      <w:lang w:eastAsia="en-US"/>
    </w:rPr>
  </w:style>
  <w:style w:type="character" w:styleId="FootnoteReference">
    <w:name w:val="footnote reference"/>
    <w:basedOn w:val="DefaultParagraphFont"/>
    <w:uiPriority w:val="99"/>
    <w:unhideWhenUsed/>
    <w:rsid w:val="00893318"/>
    <w:rPr>
      <w:vertAlign w:val="superscript"/>
    </w:rPr>
  </w:style>
  <w:style w:type="paragraph" w:customStyle="1" w:styleId="SubHeading">
    <w:name w:val="Sub Heading"/>
    <w:basedOn w:val="Normal"/>
    <w:next w:val="Normal"/>
    <w:uiPriority w:val="9"/>
    <w:qFormat/>
    <w:rsid w:val="008053DD"/>
    <w:pPr>
      <w:keepLines/>
      <w:widowControl/>
      <w:spacing w:before="360" w:line="360" w:lineRule="auto"/>
      <w:jc w:val="left"/>
    </w:pPr>
    <w:rPr>
      <w:rFonts w:ascii="Arial" w:eastAsiaTheme="minorHAnsi" w:hAnsi="Arial" w:cstheme="minorBidi"/>
      <w:b/>
      <w:snapToGrid/>
      <w:sz w:val="20"/>
      <w:szCs w:val="20"/>
    </w:rPr>
  </w:style>
  <w:style w:type="numbering" w:customStyle="1" w:styleId="Lists">
    <w:name w:val="Lists"/>
    <w:uiPriority w:val="99"/>
    <w:rsid w:val="008053DD"/>
    <w:pPr>
      <w:numPr>
        <w:numId w:val="5"/>
      </w:numPr>
    </w:pPr>
  </w:style>
  <w:style w:type="paragraph" w:customStyle="1" w:styleId="TableText0">
    <w:name w:val="Table Text"/>
    <w:basedOn w:val="Normal"/>
    <w:qFormat/>
    <w:rsid w:val="004900C9"/>
    <w:pPr>
      <w:keepNext/>
      <w:widowControl/>
      <w:spacing w:before="40" w:after="40"/>
      <w:jc w:val="left"/>
    </w:pPr>
    <w:rPr>
      <w:rFonts w:ascii="Arial Narrow" w:eastAsiaTheme="minorHAnsi" w:hAnsi="Arial Narrow" w:cstheme="minorBidi"/>
      <w:snapToGrid/>
      <w:sz w:val="20"/>
    </w:rPr>
  </w:style>
  <w:style w:type="paragraph" w:customStyle="1" w:styleId="V50Instructions">
    <w:name w:val="V5.0 Instructions"/>
    <w:basedOn w:val="Normal"/>
    <w:link w:val="V50InstructionsChar"/>
    <w:qFormat/>
    <w:rsid w:val="009B4475"/>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9B4475"/>
    <w:rPr>
      <w:rFonts w:asciiTheme="minorHAnsi" w:eastAsiaTheme="minorHAnsi" w:hAnsiTheme="minorHAnsi" w:cstheme="minorBidi"/>
      <w:color w:val="4BACC6" w:themeColor="accent5"/>
      <w:sz w:val="24"/>
      <w:szCs w:val="22"/>
      <w:lang w:eastAsia="en-US"/>
    </w:rPr>
  </w:style>
  <w:style w:type="character" w:customStyle="1" w:styleId="Heading3Char">
    <w:name w:val="Heading 3 Char"/>
    <w:basedOn w:val="DefaultParagraphFont"/>
    <w:link w:val="Heading3"/>
    <w:uiPriority w:val="1"/>
    <w:rsid w:val="009B4475"/>
    <w:rPr>
      <w:rFonts w:ascii="Calibri" w:hAnsi="Calibri" w:cs="Arial"/>
      <w:snapToGrid w:val="0"/>
      <w:sz w:val="24"/>
      <w:szCs w:val="22"/>
      <w:u w:val="single"/>
      <w:lang w:eastAsia="en-US"/>
    </w:rPr>
  </w:style>
  <w:style w:type="table" w:customStyle="1" w:styleId="TableGridbeth1">
    <w:name w:val="Table Gridbeth1"/>
    <w:basedOn w:val="TableNormal"/>
    <w:next w:val="TableGrid"/>
    <w:uiPriority w:val="39"/>
    <w:rsid w:val="00023DCD"/>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numbering" w:customStyle="1" w:styleId="Lists1">
    <w:name w:val="Lists1"/>
    <w:uiPriority w:val="99"/>
    <w:rsid w:val="00672004"/>
  </w:style>
  <w:style w:type="paragraph" w:customStyle="1" w:styleId="TableHeading0">
    <w:name w:val="Table Heading"/>
    <w:basedOn w:val="Normal"/>
    <w:qFormat/>
    <w:rsid w:val="008E331F"/>
    <w:pPr>
      <w:keepNext/>
      <w:widowControl/>
      <w:spacing w:after="60"/>
      <w:jc w:val="left"/>
    </w:pPr>
    <w:rPr>
      <w:rFonts w:ascii="Arial Narrow" w:eastAsiaTheme="minorHAnsi" w:hAnsi="Arial Narrow" w:cstheme="minorBidi"/>
      <w:b/>
      <w:snapToGrid/>
      <w:sz w:val="20"/>
    </w:rPr>
  </w:style>
  <w:style w:type="table" w:customStyle="1" w:styleId="Summarybox6">
    <w:name w:val="Summary box6"/>
    <w:basedOn w:val="TableNormal"/>
    <w:next w:val="TableGrid"/>
    <w:uiPriority w:val="59"/>
    <w:rsid w:val="002F37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xecSummTable">
    <w:name w:val="Exec Summ Table"/>
    <w:basedOn w:val="TableNormal"/>
    <w:uiPriority w:val="99"/>
    <w:rsid w:val="003154E1"/>
    <w:pPr>
      <w:ind w:left="57" w:right="57"/>
    </w:pPr>
    <w:rPr>
      <w:rFonts w:ascii="Arial" w:eastAsiaTheme="minorHAnsi" w:hAnsi="Arial" w:cstheme="minorBidi"/>
      <w:sz w:val="18"/>
      <w:lang w:bidi="th-TH"/>
    </w:rPr>
    <w:tblPr>
      <w:tblBorders>
        <w:top w:val="single" w:sz="12" w:space="0" w:color="4BACC6" w:themeColor="accent5"/>
        <w:bottom w:val="single" w:sz="12" w:space="0" w:color="4BACC6" w:themeColor="accent5"/>
        <w:insideH w:val="single" w:sz="4" w:space="0" w:color="4BACC6" w:themeColor="accent5"/>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paragraph" w:customStyle="1" w:styleId="TableText1">
    <w:name w:val="TableText"/>
    <w:basedOn w:val="Normal"/>
    <w:link w:val="TableTextChar0"/>
    <w:uiPriority w:val="3"/>
    <w:qFormat/>
    <w:rsid w:val="00B135CB"/>
    <w:pPr>
      <w:keepNext/>
      <w:widowControl/>
      <w:spacing w:before="40" w:after="40"/>
      <w:jc w:val="left"/>
    </w:pPr>
    <w:rPr>
      <w:rFonts w:ascii="Arial Narrow" w:hAnsi="Arial Narrow" w:cs="Arial Narrow"/>
      <w:snapToGrid/>
      <w:sz w:val="20"/>
      <w:szCs w:val="20"/>
    </w:rPr>
  </w:style>
  <w:style w:type="character" w:customStyle="1" w:styleId="TableTextChar0">
    <w:name w:val="TableText Char"/>
    <w:basedOn w:val="DefaultParagraphFont"/>
    <w:link w:val="TableText1"/>
    <w:uiPriority w:val="3"/>
    <w:rsid w:val="00B135CB"/>
    <w:rPr>
      <w:rFonts w:ascii="Arial Narrow" w:hAnsi="Arial Narrow" w:cs="Arial Narrow"/>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F52D9"/>
    <w:pPr>
      <w:widowControl/>
      <w:spacing w:after="160" w:line="240" w:lineRule="exact"/>
      <w:jc w:val="left"/>
    </w:pPr>
    <w:rPr>
      <w:rFonts w:ascii="Verdana" w:eastAsia="MS Mincho" w:hAnsi="Verdana" w:cs="Verdana"/>
      <w:snapToGrid/>
      <w:sz w:val="20"/>
      <w:szCs w:val="20"/>
      <w:lang w:val="en-US"/>
    </w:rPr>
  </w:style>
  <w:style w:type="paragraph" w:styleId="ListBullet">
    <w:name w:val="List Bullet"/>
    <w:basedOn w:val="Normal"/>
    <w:autoRedefine/>
    <w:rsid w:val="009A2F64"/>
    <w:pPr>
      <w:widowControl/>
      <w:jc w:val="left"/>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9377">
      <w:bodyDiv w:val="1"/>
      <w:marLeft w:val="0"/>
      <w:marRight w:val="0"/>
      <w:marTop w:val="0"/>
      <w:marBottom w:val="0"/>
      <w:divBdr>
        <w:top w:val="none" w:sz="0" w:space="0" w:color="auto"/>
        <w:left w:val="none" w:sz="0" w:space="0" w:color="auto"/>
        <w:bottom w:val="none" w:sz="0" w:space="0" w:color="auto"/>
        <w:right w:val="none" w:sz="0" w:space="0" w:color="auto"/>
      </w:divBdr>
    </w:div>
    <w:div w:id="85274547">
      <w:bodyDiv w:val="1"/>
      <w:marLeft w:val="0"/>
      <w:marRight w:val="0"/>
      <w:marTop w:val="0"/>
      <w:marBottom w:val="0"/>
      <w:divBdr>
        <w:top w:val="none" w:sz="0" w:space="0" w:color="auto"/>
        <w:left w:val="none" w:sz="0" w:space="0" w:color="auto"/>
        <w:bottom w:val="none" w:sz="0" w:space="0" w:color="auto"/>
        <w:right w:val="none" w:sz="0" w:space="0" w:color="auto"/>
      </w:divBdr>
    </w:div>
    <w:div w:id="126364134">
      <w:bodyDiv w:val="1"/>
      <w:marLeft w:val="0"/>
      <w:marRight w:val="0"/>
      <w:marTop w:val="0"/>
      <w:marBottom w:val="0"/>
      <w:divBdr>
        <w:top w:val="none" w:sz="0" w:space="0" w:color="auto"/>
        <w:left w:val="none" w:sz="0" w:space="0" w:color="auto"/>
        <w:bottom w:val="none" w:sz="0" w:space="0" w:color="auto"/>
        <w:right w:val="none" w:sz="0" w:space="0" w:color="auto"/>
      </w:divBdr>
    </w:div>
    <w:div w:id="331228944">
      <w:bodyDiv w:val="1"/>
      <w:marLeft w:val="0"/>
      <w:marRight w:val="0"/>
      <w:marTop w:val="0"/>
      <w:marBottom w:val="0"/>
      <w:divBdr>
        <w:top w:val="none" w:sz="0" w:space="0" w:color="auto"/>
        <w:left w:val="none" w:sz="0" w:space="0" w:color="auto"/>
        <w:bottom w:val="none" w:sz="0" w:space="0" w:color="auto"/>
        <w:right w:val="none" w:sz="0" w:space="0" w:color="auto"/>
      </w:divBdr>
    </w:div>
    <w:div w:id="363023254">
      <w:bodyDiv w:val="1"/>
      <w:marLeft w:val="0"/>
      <w:marRight w:val="0"/>
      <w:marTop w:val="0"/>
      <w:marBottom w:val="0"/>
      <w:divBdr>
        <w:top w:val="none" w:sz="0" w:space="0" w:color="auto"/>
        <w:left w:val="none" w:sz="0" w:space="0" w:color="auto"/>
        <w:bottom w:val="none" w:sz="0" w:space="0" w:color="auto"/>
        <w:right w:val="none" w:sz="0" w:space="0" w:color="auto"/>
      </w:divBdr>
    </w:div>
    <w:div w:id="505285924">
      <w:bodyDiv w:val="1"/>
      <w:marLeft w:val="0"/>
      <w:marRight w:val="0"/>
      <w:marTop w:val="0"/>
      <w:marBottom w:val="0"/>
      <w:divBdr>
        <w:top w:val="none" w:sz="0" w:space="0" w:color="auto"/>
        <w:left w:val="none" w:sz="0" w:space="0" w:color="auto"/>
        <w:bottom w:val="none" w:sz="0" w:space="0" w:color="auto"/>
        <w:right w:val="none" w:sz="0" w:space="0" w:color="auto"/>
      </w:divBdr>
    </w:div>
    <w:div w:id="586308116">
      <w:bodyDiv w:val="1"/>
      <w:marLeft w:val="0"/>
      <w:marRight w:val="0"/>
      <w:marTop w:val="0"/>
      <w:marBottom w:val="0"/>
      <w:divBdr>
        <w:top w:val="none" w:sz="0" w:space="0" w:color="auto"/>
        <w:left w:val="none" w:sz="0" w:space="0" w:color="auto"/>
        <w:bottom w:val="none" w:sz="0" w:space="0" w:color="auto"/>
        <w:right w:val="none" w:sz="0" w:space="0" w:color="auto"/>
      </w:divBdr>
    </w:div>
    <w:div w:id="663120174">
      <w:bodyDiv w:val="1"/>
      <w:marLeft w:val="0"/>
      <w:marRight w:val="0"/>
      <w:marTop w:val="0"/>
      <w:marBottom w:val="0"/>
      <w:divBdr>
        <w:top w:val="none" w:sz="0" w:space="0" w:color="auto"/>
        <w:left w:val="none" w:sz="0" w:space="0" w:color="auto"/>
        <w:bottom w:val="none" w:sz="0" w:space="0" w:color="auto"/>
        <w:right w:val="none" w:sz="0" w:space="0" w:color="auto"/>
      </w:divBdr>
    </w:div>
    <w:div w:id="1261572139">
      <w:bodyDiv w:val="1"/>
      <w:marLeft w:val="0"/>
      <w:marRight w:val="0"/>
      <w:marTop w:val="0"/>
      <w:marBottom w:val="0"/>
      <w:divBdr>
        <w:top w:val="none" w:sz="0" w:space="0" w:color="auto"/>
        <w:left w:val="none" w:sz="0" w:space="0" w:color="auto"/>
        <w:bottom w:val="none" w:sz="0" w:space="0" w:color="auto"/>
        <w:right w:val="none" w:sz="0" w:space="0" w:color="auto"/>
      </w:divBdr>
    </w:div>
    <w:div w:id="1444424629">
      <w:bodyDiv w:val="1"/>
      <w:marLeft w:val="0"/>
      <w:marRight w:val="0"/>
      <w:marTop w:val="0"/>
      <w:marBottom w:val="0"/>
      <w:divBdr>
        <w:top w:val="none" w:sz="0" w:space="0" w:color="auto"/>
        <w:left w:val="none" w:sz="0" w:space="0" w:color="auto"/>
        <w:bottom w:val="none" w:sz="0" w:space="0" w:color="auto"/>
        <w:right w:val="none" w:sz="0" w:space="0" w:color="auto"/>
      </w:divBdr>
    </w:div>
    <w:div w:id="1487670066">
      <w:bodyDiv w:val="1"/>
      <w:marLeft w:val="0"/>
      <w:marRight w:val="0"/>
      <w:marTop w:val="0"/>
      <w:marBottom w:val="0"/>
      <w:divBdr>
        <w:top w:val="none" w:sz="0" w:space="0" w:color="auto"/>
        <w:left w:val="none" w:sz="0" w:space="0" w:color="auto"/>
        <w:bottom w:val="none" w:sz="0" w:space="0" w:color="auto"/>
        <w:right w:val="none" w:sz="0" w:space="0" w:color="auto"/>
      </w:divBdr>
    </w:div>
    <w:div w:id="1538617775">
      <w:bodyDiv w:val="1"/>
      <w:marLeft w:val="0"/>
      <w:marRight w:val="0"/>
      <w:marTop w:val="0"/>
      <w:marBottom w:val="0"/>
      <w:divBdr>
        <w:top w:val="none" w:sz="0" w:space="0" w:color="auto"/>
        <w:left w:val="none" w:sz="0" w:space="0" w:color="auto"/>
        <w:bottom w:val="none" w:sz="0" w:space="0" w:color="auto"/>
        <w:right w:val="none" w:sz="0" w:space="0" w:color="auto"/>
      </w:divBdr>
    </w:div>
    <w:div w:id="1564100030">
      <w:bodyDiv w:val="1"/>
      <w:marLeft w:val="0"/>
      <w:marRight w:val="0"/>
      <w:marTop w:val="0"/>
      <w:marBottom w:val="0"/>
      <w:divBdr>
        <w:top w:val="none" w:sz="0" w:space="0" w:color="auto"/>
        <w:left w:val="none" w:sz="0" w:space="0" w:color="auto"/>
        <w:bottom w:val="none" w:sz="0" w:space="0" w:color="auto"/>
        <w:right w:val="none" w:sz="0" w:space="0" w:color="auto"/>
      </w:divBdr>
    </w:div>
    <w:div w:id="1597902238">
      <w:bodyDiv w:val="1"/>
      <w:marLeft w:val="0"/>
      <w:marRight w:val="0"/>
      <w:marTop w:val="0"/>
      <w:marBottom w:val="0"/>
      <w:divBdr>
        <w:top w:val="none" w:sz="0" w:space="0" w:color="auto"/>
        <w:left w:val="none" w:sz="0" w:space="0" w:color="auto"/>
        <w:bottom w:val="none" w:sz="0" w:space="0" w:color="auto"/>
        <w:right w:val="none" w:sz="0" w:space="0" w:color="auto"/>
      </w:divBdr>
    </w:div>
    <w:div w:id="189781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0D0AF-F569-4DD5-B5EC-7AE2A84A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13374</Words>
  <Characters>76181</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2018-10-09T01:46:00Z</dcterms:created>
  <dcterms:modified xsi:type="dcterms:W3CDTF">2018-10-18T06:28:00Z</dcterms:modified>
</cp:coreProperties>
</file>