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p w:rsidR="00FD305A" w:rsidRPr="0040024F" w:rsidRDefault="00583945" w:rsidP="0040024F">
      <w:pPr>
        <w:ind w:left="720" w:hanging="720"/>
        <w:outlineLvl w:val="0"/>
        <w:rPr>
          <w:b/>
          <w:sz w:val="36"/>
          <w:szCs w:val="36"/>
        </w:rPr>
      </w:pPr>
      <w:bookmarkStart w:id="0" w:name="_Toc380679747"/>
      <w:bookmarkStart w:id="1" w:name="_Toc380742604"/>
      <w:bookmarkStart w:id="2" w:name="_Toc380746171"/>
      <w:bookmarkStart w:id="3" w:name="_Toc380746294"/>
      <w:bookmarkStart w:id="4" w:name="_Toc380746578"/>
      <w:r w:rsidRPr="00D8075A">
        <w:rPr>
          <w:b/>
          <w:sz w:val="36"/>
          <w:szCs w:val="36"/>
        </w:rPr>
        <w:t>5.01</w:t>
      </w:r>
      <w:r w:rsidR="00694239" w:rsidRPr="00D8075A">
        <w:rPr>
          <w:b/>
          <w:sz w:val="36"/>
          <w:szCs w:val="36"/>
        </w:rPr>
        <w:tab/>
        <w:t xml:space="preserve">AVELUMAB, </w:t>
      </w:r>
      <w:r w:rsidR="0040024F">
        <w:rPr>
          <w:b/>
          <w:sz w:val="36"/>
          <w:szCs w:val="36"/>
        </w:rPr>
        <w:br/>
      </w:r>
      <w:r w:rsidR="0054304E" w:rsidRPr="00D8075A">
        <w:rPr>
          <w:b/>
          <w:sz w:val="36"/>
          <w:szCs w:val="36"/>
        </w:rPr>
        <w:t xml:space="preserve">Solution </w:t>
      </w:r>
      <w:proofErr w:type="gramStart"/>
      <w:r w:rsidR="0054304E" w:rsidRPr="00D8075A">
        <w:rPr>
          <w:b/>
          <w:sz w:val="36"/>
          <w:szCs w:val="36"/>
        </w:rPr>
        <w:t>concentrate</w:t>
      </w:r>
      <w:proofErr w:type="gramEnd"/>
      <w:r w:rsidR="0054304E" w:rsidRPr="00D8075A">
        <w:rPr>
          <w:b/>
          <w:sz w:val="36"/>
          <w:szCs w:val="36"/>
        </w:rPr>
        <w:t xml:space="preserve"> for I.V. infusion 200 mg in 10 mL</w:t>
      </w:r>
      <w:r w:rsidR="00694239" w:rsidRPr="00D8075A">
        <w:rPr>
          <w:b/>
          <w:sz w:val="36"/>
          <w:szCs w:val="36"/>
        </w:rPr>
        <w:t xml:space="preserve">, </w:t>
      </w:r>
      <w:proofErr w:type="spellStart"/>
      <w:r w:rsidR="00694239" w:rsidRPr="00D8075A">
        <w:rPr>
          <w:b/>
          <w:sz w:val="36"/>
          <w:szCs w:val="36"/>
        </w:rPr>
        <w:t>Bavencio</w:t>
      </w:r>
      <w:proofErr w:type="spellEnd"/>
      <w:r w:rsidR="00694239" w:rsidRPr="00D8075A">
        <w:rPr>
          <w:b/>
          <w:sz w:val="36"/>
          <w:szCs w:val="36"/>
        </w:rPr>
        <w:t xml:space="preserve">®, </w:t>
      </w:r>
      <w:r w:rsidR="0040024F">
        <w:rPr>
          <w:b/>
          <w:sz w:val="36"/>
          <w:szCs w:val="36"/>
        </w:rPr>
        <w:br/>
      </w:r>
      <w:r w:rsidR="00694239" w:rsidRPr="00D8075A">
        <w:rPr>
          <w:b/>
          <w:sz w:val="36"/>
          <w:szCs w:val="36"/>
        </w:rPr>
        <w:t>Merck</w:t>
      </w:r>
      <w:r w:rsidR="00CD2456">
        <w:rPr>
          <w:b/>
          <w:sz w:val="36"/>
          <w:szCs w:val="36"/>
        </w:rPr>
        <w:t xml:space="preserve"> </w:t>
      </w:r>
      <w:proofErr w:type="spellStart"/>
      <w:r w:rsidR="00CD2456" w:rsidRPr="00CD2456">
        <w:rPr>
          <w:b/>
          <w:sz w:val="36"/>
          <w:szCs w:val="36"/>
        </w:rPr>
        <w:t>Serono</w:t>
      </w:r>
      <w:proofErr w:type="spellEnd"/>
      <w:r w:rsidR="00CD2456" w:rsidRPr="00CD2456">
        <w:rPr>
          <w:b/>
          <w:sz w:val="36"/>
          <w:szCs w:val="36"/>
        </w:rPr>
        <w:t xml:space="preserve"> Australia Pty Ltd</w:t>
      </w:r>
    </w:p>
    <w:p w:rsidR="00694239" w:rsidRPr="00D8075A" w:rsidRDefault="00694239" w:rsidP="00F717BF">
      <w:pPr>
        <w:pStyle w:val="PBACHeading1"/>
        <w:spacing w:before="240" w:after="120"/>
        <w:outlineLvl w:val="0"/>
      </w:pPr>
      <w:bookmarkStart w:id="5" w:name="_Toc514233090"/>
      <w:r w:rsidRPr="00D8075A">
        <w:t>Purpose of Application</w:t>
      </w:r>
      <w:bookmarkEnd w:id="5"/>
    </w:p>
    <w:p w:rsidR="00694239" w:rsidRPr="00D8075A" w:rsidRDefault="00694239" w:rsidP="00C3432B">
      <w:pPr>
        <w:pStyle w:val="ListParagraph"/>
        <w:numPr>
          <w:ilvl w:val="1"/>
          <w:numId w:val="1"/>
        </w:numPr>
      </w:pPr>
      <w:r w:rsidRPr="00D8075A">
        <w:t>Authority required (</w:t>
      </w:r>
      <w:r w:rsidR="002417A1" w:rsidRPr="00D8075A">
        <w:t>S</w:t>
      </w:r>
      <w:r w:rsidRPr="00D8075A">
        <w:t>treamlined) listing for avelumab for the treatment of second-line metastatic Merkel cell carcinoma (</w:t>
      </w:r>
      <w:proofErr w:type="spellStart"/>
      <w:r w:rsidRPr="00D8075A">
        <w:t>mMCC</w:t>
      </w:r>
      <w:proofErr w:type="spellEnd"/>
      <w:r w:rsidRPr="00D8075A">
        <w:t>) in patients that have progressed following chemotherapy. Avelumab has not been previously considered by the PBAC for any indication.</w:t>
      </w:r>
    </w:p>
    <w:p w:rsidR="00694239" w:rsidRPr="00D8075A" w:rsidRDefault="00694239" w:rsidP="00C3432B">
      <w:pPr>
        <w:pStyle w:val="ListParagraph"/>
        <w:numPr>
          <w:ilvl w:val="1"/>
          <w:numId w:val="1"/>
        </w:numPr>
      </w:pPr>
      <w:r w:rsidRPr="00D8075A">
        <w:t>The basis for the requested listing was a cost-utility analysis compared to Australian standard of care</w:t>
      </w:r>
      <w:r w:rsidR="00FD3E54" w:rsidRPr="00D8075A">
        <w:t xml:space="preserve"> </w:t>
      </w:r>
      <w:r w:rsidR="004E0FE9" w:rsidRPr="00D8075A">
        <w:t>chemotherapy</w:t>
      </w:r>
      <w:r w:rsidR="00FD3E54" w:rsidRPr="00D8075A">
        <w:t xml:space="preserve"> regimens</w:t>
      </w:r>
      <w:r w:rsidRPr="00D8075A">
        <w:t xml:space="preserve"> (cyclophosphamide + doxorubicin + vincristine, cisplatin + etoposide, or carboplatin + etoposide).</w:t>
      </w:r>
    </w:p>
    <w:p w:rsidR="00694239" w:rsidRPr="00D8075A" w:rsidRDefault="00694239" w:rsidP="00043E3E">
      <w:pPr>
        <w:pStyle w:val="TableHeading"/>
        <w:keepLines/>
      </w:pPr>
      <w:r w:rsidRPr="00D8075A">
        <w:t>Table 1: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694239" w:rsidRPr="00D8075A" w:rsidTr="006B1181">
        <w:tc>
          <w:tcPr>
            <w:tcW w:w="1668" w:type="dxa"/>
            <w:vAlign w:val="center"/>
          </w:tcPr>
          <w:p w:rsidR="00694239" w:rsidRPr="00D8075A" w:rsidRDefault="00694239" w:rsidP="00043E3E">
            <w:pPr>
              <w:pStyle w:val="Tabletext"/>
              <w:keepNext/>
              <w:keepLines/>
              <w:rPr>
                <w:b/>
              </w:rPr>
            </w:pPr>
            <w:r w:rsidRPr="00D8075A">
              <w:rPr>
                <w:b/>
              </w:rPr>
              <w:t>Component</w:t>
            </w:r>
          </w:p>
        </w:tc>
        <w:tc>
          <w:tcPr>
            <w:tcW w:w="7488" w:type="dxa"/>
            <w:vAlign w:val="center"/>
          </w:tcPr>
          <w:p w:rsidR="00694239" w:rsidRPr="00D8075A" w:rsidRDefault="00694239" w:rsidP="00043E3E">
            <w:pPr>
              <w:pStyle w:val="Tabletext"/>
              <w:keepNext/>
              <w:keepLines/>
              <w:jc w:val="center"/>
              <w:rPr>
                <w:b/>
              </w:rPr>
            </w:pPr>
            <w:r w:rsidRPr="00D8075A">
              <w:rPr>
                <w:b/>
              </w:rPr>
              <w:t>Description</w:t>
            </w:r>
          </w:p>
        </w:tc>
      </w:tr>
      <w:tr w:rsidR="00694239" w:rsidRPr="00D8075A" w:rsidTr="006B1181">
        <w:tc>
          <w:tcPr>
            <w:tcW w:w="1668" w:type="dxa"/>
            <w:vAlign w:val="center"/>
          </w:tcPr>
          <w:p w:rsidR="00694239" w:rsidRPr="00D8075A" w:rsidRDefault="00694239" w:rsidP="00043E3E">
            <w:pPr>
              <w:pStyle w:val="Tabletext"/>
              <w:keepNext/>
              <w:keepLines/>
            </w:pPr>
            <w:r w:rsidRPr="00D8075A">
              <w:t>Population</w:t>
            </w:r>
          </w:p>
        </w:tc>
        <w:tc>
          <w:tcPr>
            <w:tcW w:w="7488" w:type="dxa"/>
            <w:vAlign w:val="center"/>
          </w:tcPr>
          <w:p w:rsidR="00694239" w:rsidRPr="00D8075A" w:rsidRDefault="00694239" w:rsidP="00043E3E">
            <w:pPr>
              <w:pStyle w:val="Tabletext"/>
              <w:keepNext/>
              <w:keepLines/>
            </w:pPr>
            <w:r w:rsidRPr="00D8075A">
              <w:t>Patients with metastatic Merkel Cell Carcinoma (</w:t>
            </w:r>
            <w:proofErr w:type="spellStart"/>
            <w:r w:rsidRPr="00D8075A">
              <w:t>mMCC</w:t>
            </w:r>
            <w:proofErr w:type="spellEnd"/>
            <w:r w:rsidRPr="00D8075A">
              <w:t>)</w:t>
            </w:r>
          </w:p>
        </w:tc>
      </w:tr>
      <w:tr w:rsidR="00694239" w:rsidRPr="00D8075A" w:rsidTr="006B1181">
        <w:tc>
          <w:tcPr>
            <w:tcW w:w="1668" w:type="dxa"/>
            <w:vAlign w:val="center"/>
          </w:tcPr>
          <w:p w:rsidR="00694239" w:rsidRPr="00D8075A" w:rsidRDefault="00694239" w:rsidP="00043E3E">
            <w:pPr>
              <w:pStyle w:val="Tabletext"/>
              <w:keepNext/>
              <w:keepLines/>
            </w:pPr>
            <w:r w:rsidRPr="00D8075A">
              <w:t>Intervention</w:t>
            </w:r>
          </w:p>
        </w:tc>
        <w:tc>
          <w:tcPr>
            <w:tcW w:w="7488" w:type="dxa"/>
            <w:vAlign w:val="center"/>
          </w:tcPr>
          <w:p w:rsidR="00694239" w:rsidRPr="00D8075A" w:rsidRDefault="00694239" w:rsidP="00043E3E">
            <w:pPr>
              <w:pStyle w:val="Tabletext"/>
              <w:keepNext/>
              <w:keepLines/>
            </w:pPr>
            <w:r w:rsidRPr="00D8075A">
              <w:t>Avelumab 10 mg/kg body weight administered intravenously over 60 minutes once every 2 weeks</w:t>
            </w:r>
          </w:p>
        </w:tc>
      </w:tr>
      <w:tr w:rsidR="00694239" w:rsidRPr="00D8075A" w:rsidTr="006B1181">
        <w:tc>
          <w:tcPr>
            <w:tcW w:w="1668" w:type="dxa"/>
            <w:vAlign w:val="center"/>
          </w:tcPr>
          <w:p w:rsidR="00694239" w:rsidRPr="00D8075A" w:rsidRDefault="00694239" w:rsidP="00043E3E">
            <w:pPr>
              <w:pStyle w:val="Tabletext"/>
              <w:keepNext/>
              <w:keepLines/>
            </w:pPr>
            <w:r w:rsidRPr="00D8075A">
              <w:t>Comparator</w:t>
            </w:r>
          </w:p>
        </w:tc>
        <w:tc>
          <w:tcPr>
            <w:tcW w:w="7488" w:type="dxa"/>
            <w:vAlign w:val="center"/>
          </w:tcPr>
          <w:p w:rsidR="00694239" w:rsidRPr="00D8075A" w:rsidRDefault="00694239" w:rsidP="00043E3E">
            <w:pPr>
              <w:pStyle w:val="Tabletext"/>
              <w:keepNext/>
              <w:keepLines/>
            </w:pPr>
            <w:r w:rsidRPr="00D8075A">
              <w:t>A range of chemotherapy (CTX) regimens</w:t>
            </w:r>
          </w:p>
        </w:tc>
      </w:tr>
      <w:tr w:rsidR="00694239" w:rsidRPr="00D8075A" w:rsidTr="006B1181">
        <w:tc>
          <w:tcPr>
            <w:tcW w:w="1668" w:type="dxa"/>
            <w:vAlign w:val="center"/>
          </w:tcPr>
          <w:p w:rsidR="00694239" w:rsidRPr="00D8075A" w:rsidRDefault="00694239" w:rsidP="00043E3E">
            <w:pPr>
              <w:pStyle w:val="Tabletext"/>
              <w:keepNext/>
              <w:keepLines/>
            </w:pPr>
            <w:r w:rsidRPr="00D8075A">
              <w:t>Outcomes</w:t>
            </w:r>
          </w:p>
        </w:tc>
        <w:tc>
          <w:tcPr>
            <w:tcW w:w="7488" w:type="dxa"/>
            <w:vAlign w:val="center"/>
          </w:tcPr>
          <w:p w:rsidR="00694239" w:rsidRPr="00D8075A" w:rsidRDefault="00224A85" w:rsidP="00043E3E">
            <w:pPr>
              <w:pStyle w:val="Tabletext"/>
              <w:keepNext/>
              <w:keepLines/>
            </w:pPr>
            <w:r w:rsidRPr="00D8075A">
              <w:t>ORR, complete response rate, duration of response, PFS and OS.</w:t>
            </w:r>
          </w:p>
        </w:tc>
      </w:tr>
      <w:tr w:rsidR="00694239" w:rsidRPr="00D8075A" w:rsidTr="006B1181">
        <w:tc>
          <w:tcPr>
            <w:tcW w:w="1668" w:type="dxa"/>
            <w:vAlign w:val="center"/>
          </w:tcPr>
          <w:p w:rsidR="00694239" w:rsidRPr="00D8075A" w:rsidRDefault="00694239" w:rsidP="00043E3E">
            <w:pPr>
              <w:pStyle w:val="Tabletext"/>
              <w:keepNext/>
              <w:keepLines/>
            </w:pPr>
            <w:r w:rsidRPr="00D8075A">
              <w:t>Clinical claim</w:t>
            </w:r>
          </w:p>
        </w:tc>
        <w:tc>
          <w:tcPr>
            <w:tcW w:w="7488" w:type="dxa"/>
            <w:vAlign w:val="center"/>
          </w:tcPr>
          <w:p w:rsidR="00694239" w:rsidRPr="00D8075A" w:rsidRDefault="00694239" w:rsidP="00043E3E">
            <w:pPr>
              <w:pStyle w:val="Tabletext"/>
              <w:keepNext/>
              <w:keepLines/>
            </w:pPr>
            <w:r w:rsidRPr="00D8075A">
              <w:t>The therapeutic claim presented is that:</w:t>
            </w:r>
          </w:p>
          <w:p w:rsidR="00694239" w:rsidRPr="00D8075A" w:rsidRDefault="00694239" w:rsidP="00043E3E">
            <w:pPr>
              <w:pStyle w:val="Tabletext"/>
              <w:keepNext/>
              <w:keepLines/>
            </w:pPr>
            <w:r w:rsidRPr="00D8075A">
              <w:t xml:space="preserve">Avelumab in 2L+ </w:t>
            </w:r>
            <w:proofErr w:type="spellStart"/>
            <w:r w:rsidRPr="00D8075A">
              <w:t>mMCC</w:t>
            </w:r>
            <w:proofErr w:type="spellEnd"/>
            <w:r w:rsidRPr="00D8075A">
              <w:t xml:space="preserve"> is superior in terms of effectiveness compared </w:t>
            </w:r>
            <w:r w:rsidR="001D458D" w:rsidRPr="00D8075A">
              <w:t xml:space="preserve">to </w:t>
            </w:r>
            <w:r w:rsidRPr="00D8075A">
              <w:t>chemotherapy.</w:t>
            </w:r>
          </w:p>
          <w:p w:rsidR="00694239" w:rsidRPr="00D8075A" w:rsidRDefault="00694239" w:rsidP="00043E3E">
            <w:pPr>
              <w:pStyle w:val="Tabletext"/>
              <w:keepNext/>
              <w:keepLines/>
            </w:pPr>
            <w:r w:rsidRPr="00D8075A">
              <w:t xml:space="preserve">Avelumab in 2L+ </w:t>
            </w:r>
            <w:proofErr w:type="spellStart"/>
            <w:r w:rsidRPr="00D8075A">
              <w:t>mMCC</w:t>
            </w:r>
            <w:proofErr w:type="spellEnd"/>
            <w:r w:rsidRPr="00D8075A">
              <w:t xml:space="preserve"> is </w:t>
            </w:r>
            <w:proofErr w:type="spellStart"/>
            <w:r w:rsidRPr="00D8075A">
              <w:t>noninferior</w:t>
            </w:r>
            <w:proofErr w:type="spellEnd"/>
            <w:r w:rsidRPr="00D8075A">
              <w:t xml:space="preserve"> in terms of safety compared to chemotherapy. </w:t>
            </w:r>
          </w:p>
          <w:p w:rsidR="00694239" w:rsidRPr="00D8075A" w:rsidRDefault="00694239" w:rsidP="00043E3E">
            <w:pPr>
              <w:pStyle w:val="Tabletext"/>
              <w:keepNext/>
              <w:keepLines/>
            </w:pPr>
          </w:p>
          <w:p w:rsidR="00694239" w:rsidRPr="00D8075A" w:rsidRDefault="00694239" w:rsidP="00043E3E">
            <w:pPr>
              <w:pStyle w:val="Tabletext"/>
              <w:keepNext/>
              <w:keepLines/>
            </w:pPr>
            <w:r w:rsidRPr="00D8075A">
              <w:t xml:space="preserve">The therapeutic claim would also apply to 1L </w:t>
            </w:r>
            <w:proofErr w:type="spellStart"/>
            <w:r w:rsidRPr="00D8075A">
              <w:t>mMCC</w:t>
            </w:r>
            <w:proofErr w:type="spellEnd"/>
            <w:r w:rsidRPr="00D8075A">
              <w:t xml:space="preserve"> with evolving data suggesting that avelumab is even more effective earlier in the treatment pathway with higher response rates and durability.</w:t>
            </w:r>
          </w:p>
        </w:tc>
      </w:tr>
    </w:tbl>
    <w:p w:rsidR="00694239" w:rsidRPr="00D8075A" w:rsidRDefault="00694239" w:rsidP="00043E3E">
      <w:pPr>
        <w:pStyle w:val="TableFooter"/>
        <w:keepNext/>
        <w:keepLines/>
      </w:pPr>
      <w:proofErr w:type="spellStart"/>
      <w:proofErr w:type="gramStart"/>
      <w:r w:rsidRPr="00D8075A">
        <w:t>mMCC</w:t>
      </w:r>
      <w:proofErr w:type="spellEnd"/>
      <w:proofErr w:type="gramEnd"/>
      <w:r w:rsidRPr="00D8075A">
        <w:t xml:space="preserve">: metastatic Merkel Cell Carcinoma; CTX: chemotherapy; 2L+: </w:t>
      </w:r>
      <w:r w:rsidR="00A51F00" w:rsidRPr="00D8075A">
        <w:t>second-line</w:t>
      </w:r>
      <w:r w:rsidRPr="00D8075A">
        <w:t xml:space="preserve"> therapy; ORR: overall response rate; PFS: progression free survival; OS: overall survival; 1L: first line therapy; CR: complete response</w:t>
      </w:r>
      <w:r w:rsidR="00446210" w:rsidRPr="00D8075A">
        <w:t>.</w:t>
      </w:r>
    </w:p>
    <w:p w:rsidR="00694239" w:rsidRPr="00D8075A" w:rsidRDefault="00694239" w:rsidP="00043E3E">
      <w:pPr>
        <w:pStyle w:val="TableFooter"/>
        <w:keepNext/>
        <w:keepLines/>
      </w:pPr>
      <w:r w:rsidRPr="00D8075A">
        <w:t>Source: Table 1.1.1, p12 of the submission</w:t>
      </w:r>
      <w:r w:rsidR="00224A85" w:rsidRPr="00D8075A">
        <w:t xml:space="preserve"> and added during the evaluation</w:t>
      </w:r>
      <w:r w:rsidRPr="00D8075A">
        <w:t>.</w:t>
      </w:r>
    </w:p>
    <w:p w:rsidR="00694239" w:rsidRPr="00D8075A" w:rsidRDefault="00694239" w:rsidP="00F717BF">
      <w:pPr>
        <w:pStyle w:val="PBACHeading1"/>
        <w:keepNext/>
        <w:spacing w:before="240" w:after="120"/>
        <w:outlineLvl w:val="0"/>
      </w:pPr>
      <w:bookmarkStart w:id="6" w:name="_Toc514233091"/>
      <w:r w:rsidRPr="00D8075A">
        <w:t>Requested listing</w:t>
      </w:r>
      <w:bookmarkEnd w:id="6"/>
    </w:p>
    <w:p w:rsidR="008E3010" w:rsidRPr="00D8075A" w:rsidRDefault="008E3010" w:rsidP="00C3432B">
      <w:pPr>
        <w:pStyle w:val="ListParagraph"/>
        <w:numPr>
          <w:ilvl w:val="1"/>
          <w:numId w:val="1"/>
        </w:numPr>
        <w:rPr>
          <w:rFonts w:eastAsia="SimSun"/>
          <w:szCs w:val="24"/>
        </w:rPr>
      </w:pPr>
      <w:r w:rsidRPr="00D8075A">
        <w:rPr>
          <w:rFonts w:eastAsia="SimSun"/>
          <w:szCs w:val="24"/>
        </w:rPr>
        <w:t xml:space="preserve">The proposed PBS listing and proposed restriction criteria for avelumab in second line treatment of </w:t>
      </w:r>
      <w:proofErr w:type="spellStart"/>
      <w:r w:rsidRPr="00D8075A">
        <w:rPr>
          <w:rFonts w:eastAsia="SimSun"/>
          <w:szCs w:val="24"/>
        </w:rPr>
        <w:t>mMCC</w:t>
      </w:r>
      <w:proofErr w:type="spellEnd"/>
      <w:r w:rsidRPr="00D8075A">
        <w:rPr>
          <w:rFonts w:eastAsia="SimSun"/>
          <w:szCs w:val="24"/>
        </w:rPr>
        <w:t xml:space="preserve"> are summarised in </w:t>
      </w:r>
      <w:r w:rsidR="003D3FB7" w:rsidRPr="00D8075A">
        <w:rPr>
          <w:rFonts w:eastAsia="SimSun"/>
          <w:szCs w:val="24"/>
        </w:rPr>
        <w:t>the tables below</w:t>
      </w:r>
      <w:r w:rsidRPr="00D8075A">
        <w:rPr>
          <w:rFonts w:eastAsia="SimSun"/>
          <w:szCs w:val="24"/>
        </w:rPr>
        <w:t xml:space="preserve">. </w:t>
      </w:r>
    </w:p>
    <w:p w:rsidR="008E3010" w:rsidRPr="00D8075A" w:rsidRDefault="008E3010" w:rsidP="008E3010">
      <w:pPr>
        <w:pStyle w:val="PBACHeading1"/>
        <w:numPr>
          <w:ilvl w:val="0"/>
          <w:numId w:val="0"/>
        </w:numPr>
        <w:spacing w:before="120" w:after="240"/>
        <w:ind w:left="720"/>
        <w:rPr>
          <w:rFonts w:ascii="Arial" w:hAnsi="Arial"/>
          <w:b w:val="0"/>
          <w:sz w:val="24"/>
          <w:szCs w:val="24"/>
        </w:rPr>
      </w:pPr>
      <w:r w:rsidRPr="00D8075A">
        <w:rPr>
          <w:rFonts w:eastAsia="SimSun"/>
          <w:b w:val="0"/>
          <w:sz w:val="24"/>
          <w:szCs w:val="24"/>
        </w:rPr>
        <w:t>Suggestions and additions proposed by the Secretariat to the requested listing are added in italics and suggested deletions are crossed out with strikethrough.</w:t>
      </w:r>
    </w:p>
    <w:p w:rsidR="00E43539" w:rsidRDefault="00E43539">
      <w:pPr>
        <w:widowControl/>
        <w:jc w:val="left"/>
        <w:rPr>
          <w:rFonts w:ascii="Arial Narrow" w:hAnsi="Arial Narrow"/>
          <w:b/>
          <w:sz w:val="20"/>
          <w:szCs w:val="20"/>
        </w:rPr>
      </w:pPr>
      <w:r>
        <w:rPr>
          <w:rFonts w:ascii="Arial Narrow" w:hAnsi="Arial Narrow"/>
          <w:sz w:val="20"/>
          <w:szCs w:val="20"/>
        </w:rPr>
        <w:br w:type="page"/>
      </w:r>
    </w:p>
    <w:p w:rsidR="001057D8" w:rsidRPr="00D8075A" w:rsidRDefault="002454A6" w:rsidP="001057D8">
      <w:pPr>
        <w:pStyle w:val="PBACHeading1"/>
        <w:numPr>
          <w:ilvl w:val="0"/>
          <w:numId w:val="0"/>
        </w:numPr>
        <w:rPr>
          <w:rFonts w:ascii="Arial Narrow" w:hAnsi="Arial Narrow"/>
          <w:sz w:val="20"/>
          <w:szCs w:val="20"/>
        </w:rPr>
      </w:pPr>
      <w:r w:rsidRPr="00D8075A">
        <w:rPr>
          <w:rFonts w:ascii="Arial Narrow" w:hAnsi="Arial Narrow"/>
          <w:sz w:val="20"/>
          <w:szCs w:val="20"/>
        </w:rPr>
        <w:lastRenderedPageBreak/>
        <w:t>Summary of proposed PBS listing</w:t>
      </w:r>
    </w:p>
    <w:tbl>
      <w:tblPr>
        <w:tblW w:w="9072" w:type="dxa"/>
        <w:tblInd w:w="108" w:type="dxa"/>
        <w:tblLayout w:type="fixed"/>
        <w:tblLook w:val="0000" w:firstRow="0" w:lastRow="0" w:firstColumn="0" w:lastColumn="0" w:noHBand="0" w:noVBand="0"/>
      </w:tblPr>
      <w:tblGrid>
        <w:gridCol w:w="3261"/>
        <w:gridCol w:w="850"/>
        <w:gridCol w:w="709"/>
        <w:gridCol w:w="1843"/>
        <w:gridCol w:w="1134"/>
        <w:gridCol w:w="1275"/>
      </w:tblGrid>
      <w:tr w:rsidR="001057D8" w:rsidRPr="00D8075A" w:rsidTr="008352A4">
        <w:trPr>
          <w:cantSplit/>
          <w:trHeight w:val="471"/>
        </w:trPr>
        <w:tc>
          <w:tcPr>
            <w:tcW w:w="3261" w:type="dxa"/>
            <w:tcBorders>
              <w:top w:val="single" w:sz="4" w:space="0" w:color="auto"/>
              <w:left w:val="single" w:sz="4" w:space="0" w:color="auto"/>
              <w:bottom w:val="single" w:sz="4" w:space="0" w:color="auto"/>
            </w:tcBorders>
            <w:shd w:val="clear" w:color="auto" w:fill="auto"/>
          </w:tcPr>
          <w:p w:rsidR="001057D8" w:rsidRPr="00D8075A" w:rsidRDefault="001057D8" w:rsidP="008352A4">
            <w:pPr>
              <w:pStyle w:val="TableText0"/>
              <w:rPr>
                <w:b/>
                <w:szCs w:val="20"/>
              </w:rPr>
            </w:pPr>
            <w:r w:rsidRPr="00D8075A">
              <w:rPr>
                <w:b/>
                <w:szCs w:val="20"/>
              </w:rPr>
              <w:t>Name,</w:t>
            </w:r>
            <w:r w:rsidRPr="00D8075A">
              <w:t xml:space="preserve"> </w:t>
            </w:r>
            <w:r w:rsidRPr="00D8075A">
              <w:rPr>
                <w:b/>
                <w:szCs w:val="20"/>
              </w:rPr>
              <w:t>Restriction,</w:t>
            </w:r>
          </w:p>
          <w:p w:rsidR="001057D8" w:rsidRPr="00D8075A" w:rsidRDefault="001057D8" w:rsidP="008352A4">
            <w:pPr>
              <w:pStyle w:val="TableText0"/>
              <w:rPr>
                <w:b/>
                <w:szCs w:val="20"/>
              </w:rPr>
            </w:pPr>
            <w:r w:rsidRPr="00D8075A">
              <w:rPr>
                <w:b/>
                <w:szCs w:val="20"/>
              </w:rPr>
              <w:t>Manner of administration and form</w:t>
            </w:r>
          </w:p>
        </w:tc>
        <w:tc>
          <w:tcPr>
            <w:tcW w:w="850" w:type="dxa"/>
            <w:tcBorders>
              <w:top w:val="single" w:sz="4" w:space="0" w:color="auto"/>
              <w:bottom w:val="single" w:sz="4" w:space="0" w:color="auto"/>
            </w:tcBorders>
            <w:shd w:val="clear" w:color="auto" w:fill="auto"/>
          </w:tcPr>
          <w:p w:rsidR="001057D8" w:rsidRPr="00D8075A" w:rsidRDefault="001057D8" w:rsidP="008352A4">
            <w:pPr>
              <w:pStyle w:val="TableText0"/>
              <w:rPr>
                <w:b/>
                <w:szCs w:val="20"/>
              </w:rPr>
            </w:pPr>
            <w:r w:rsidRPr="00D8075A">
              <w:rPr>
                <w:b/>
                <w:szCs w:val="20"/>
              </w:rPr>
              <w:t>Max.</w:t>
            </w:r>
            <w:r w:rsidRPr="00D8075A">
              <w:rPr>
                <w:b/>
                <w:szCs w:val="20"/>
              </w:rPr>
              <w:br/>
              <w:t>Amount (units)</w:t>
            </w:r>
          </w:p>
        </w:tc>
        <w:tc>
          <w:tcPr>
            <w:tcW w:w="709" w:type="dxa"/>
            <w:tcBorders>
              <w:top w:val="single" w:sz="4" w:space="0" w:color="auto"/>
              <w:bottom w:val="single" w:sz="4" w:space="0" w:color="auto"/>
            </w:tcBorders>
            <w:shd w:val="clear" w:color="auto" w:fill="auto"/>
          </w:tcPr>
          <w:p w:rsidR="001057D8" w:rsidRPr="00D8075A" w:rsidRDefault="001057D8" w:rsidP="008352A4">
            <w:pPr>
              <w:pStyle w:val="TableText0"/>
              <w:rPr>
                <w:b/>
                <w:szCs w:val="20"/>
              </w:rPr>
            </w:pPr>
            <w:r w:rsidRPr="00D8075A">
              <w:rPr>
                <w:b/>
                <w:szCs w:val="20"/>
              </w:rPr>
              <w:t>№.of</w:t>
            </w:r>
            <w:r w:rsidRPr="00D8075A">
              <w:rPr>
                <w:b/>
                <w:szCs w:val="20"/>
              </w:rPr>
              <w:br/>
              <w:t>Rpts</w:t>
            </w:r>
          </w:p>
        </w:tc>
        <w:tc>
          <w:tcPr>
            <w:tcW w:w="1843" w:type="dxa"/>
            <w:tcBorders>
              <w:top w:val="single" w:sz="4" w:space="0" w:color="auto"/>
              <w:bottom w:val="single" w:sz="4" w:space="0" w:color="auto"/>
            </w:tcBorders>
            <w:shd w:val="clear" w:color="auto" w:fill="auto"/>
          </w:tcPr>
          <w:p w:rsidR="001057D8" w:rsidRPr="00D8075A" w:rsidRDefault="001057D8" w:rsidP="008352A4">
            <w:pPr>
              <w:pStyle w:val="TableText0"/>
              <w:rPr>
                <w:b/>
                <w:szCs w:val="20"/>
              </w:rPr>
            </w:pPr>
            <w:r w:rsidRPr="00D8075A">
              <w:rPr>
                <w:b/>
                <w:szCs w:val="20"/>
              </w:rPr>
              <w:t>DPMA</w:t>
            </w:r>
          </w:p>
        </w:tc>
        <w:tc>
          <w:tcPr>
            <w:tcW w:w="1134" w:type="dxa"/>
            <w:tcBorders>
              <w:top w:val="single" w:sz="4" w:space="0" w:color="auto"/>
              <w:bottom w:val="single" w:sz="4" w:space="0" w:color="auto"/>
            </w:tcBorders>
            <w:shd w:val="clear" w:color="auto" w:fill="auto"/>
          </w:tcPr>
          <w:p w:rsidR="001057D8" w:rsidRPr="00D8075A" w:rsidRDefault="001057D8" w:rsidP="008352A4">
            <w:pPr>
              <w:pStyle w:val="TableText0"/>
              <w:rPr>
                <w:b/>
                <w:szCs w:val="20"/>
              </w:rPr>
            </w:pPr>
            <w:r w:rsidRPr="00D8075A">
              <w:rPr>
                <w:b/>
                <w:szCs w:val="20"/>
              </w:rPr>
              <w:t xml:space="preserve">Proprietary name </w:t>
            </w:r>
          </w:p>
        </w:tc>
        <w:tc>
          <w:tcPr>
            <w:tcW w:w="1275" w:type="dxa"/>
            <w:tcBorders>
              <w:top w:val="single" w:sz="4" w:space="0" w:color="auto"/>
              <w:bottom w:val="single" w:sz="4" w:space="0" w:color="auto"/>
              <w:right w:val="single" w:sz="4" w:space="0" w:color="auto"/>
            </w:tcBorders>
            <w:shd w:val="clear" w:color="auto" w:fill="auto"/>
          </w:tcPr>
          <w:p w:rsidR="001057D8" w:rsidRPr="00D8075A" w:rsidRDefault="001057D8" w:rsidP="008352A4">
            <w:pPr>
              <w:pStyle w:val="TableText0"/>
              <w:rPr>
                <w:b/>
                <w:szCs w:val="20"/>
              </w:rPr>
            </w:pPr>
            <w:r w:rsidRPr="00D8075A">
              <w:rPr>
                <w:b/>
                <w:szCs w:val="20"/>
              </w:rPr>
              <w:t>Manufacturer</w:t>
            </w:r>
          </w:p>
        </w:tc>
      </w:tr>
      <w:tr w:rsidR="001057D8" w:rsidRPr="00D8075A" w:rsidTr="008352A4">
        <w:trPr>
          <w:cantSplit/>
          <w:trHeight w:val="577"/>
        </w:trPr>
        <w:tc>
          <w:tcPr>
            <w:tcW w:w="3261" w:type="dxa"/>
            <w:tcBorders>
              <w:top w:val="single" w:sz="4" w:space="0" w:color="auto"/>
              <w:left w:val="single" w:sz="4" w:space="0" w:color="auto"/>
              <w:bottom w:val="single" w:sz="4" w:space="0" w:color="auto"/>
            </w:tcBorders>
            <w:shd w:val="clear" w:color="auto" w:fill="auto"/>
          </w:tcPr>
          <w:p w:rsidR="001057D8" w:rsidRPr="00D8075A" w:rsidRDefault="001057D8" w:rsidP="008352A4">
            <w:pPr>
              <w:pStyle w:val="TableText0"/>
              <w:rPr>
                <w:strike/>
                <w:szCs w:val="20"/>
              </w:rPr>
            </w:pPr>
            <w:r w:rsidRPr="00D8075A">
              <w:rPr>
                <w:strike/>
                <w:szCs w:val="20"/>
              </w:rPr>
              <w:t>Avelumab, 200 mg injection: liquid, 1 vial</w:t>
            </w:r>
          </w:p>
          <w:p w:rsidR="001057D8" w:rsidRPr="00D8075A" w:rsidRDefault="001057D8" w:rsidP="008352A4">
            <w:pPr>
              <w:pStyle w:val="TableText0"/>
              <w:rPr>
                <w:strike/>
                <w:szCs w:val="20"/>
              </w:rPr>
            </w:pPr>
            <w:r w:rsidRPr="00D8075A">
              <w:rPr>
                <w:szCs w:val="20"/>
              </w:rPr>
              <w:t>avelumab 200 mg/10 mL injection, 10 mL vial</w:t>
            </w:r>
          </w:p>
        </w:tc>
        <w:tc>
          <w:tcPr>
            <w:tcW w:w="850" w:type="dxa"/>
            <w:tcBorders>
              <w:top w:val="single" w:sz="4" w:space="0" w:color="auto"/>
              <w:bottom w:val="single" w:sz="4" w:space="0" w:color="auto"/>
            </w:tcBorders>
            <w:shd w:val="clear" w:color="auto" w:fill="auto"/>
          </w:tcPr>
          <w:p w:rsidR="001057D8" w:rsidRPr="00D8075A" w:rsidRDefault="001057D8" w:rsidP="008352A4">
            <w:pPr>
              <w:pStyle w:val="TableText0"/>
              <w:rPr>
                <w:szCs w:val="20"/>
              </w:rPr>
            </w:pPr>
            <w:r w:rsidRPr="00D8075A">
              <w:rPr>
                <w:szCs w:val="20"/>
              </w:rPr>
              <w:t>6</w:t>
            </w:r>
          </w:p>
        </w:tc>
        <w:tc>
          <w:tcPr>
            <w:tcW w:w="709" w:type="dxa"/>
            <w:tcBorders>
              <w:top w:val="single" w:sz="4" w:space="0" w:color="auto"/>
              <w:bottom w:val="single" w:sz="4" w:space="0" w:color="auto"/>
            </w:tcBorders>
            <w:shd w:val="clear" w:color="auto" w:fill="auto"/>
          </w:tcPr>
          <w:p w:rsidR="001057D8" w:rsidRPr="00D8075A" w:rsidRDefault="001057D8" w:rsidP="008352A4">
            <w:pPr>
              <w:pStyle w:val="TableText0"/>
              <w:rPr>
                <w:szCs w:val="20"/>
              </w:rPr>
            </w:pPr>
            <w:r w:rsidRPr="00D8075A">
              <w:rPr>
                <w:szCs w:val="20"/>
              </w:rPr>
              <w:t>8</w:t>
            </w:r>
          </w:p>
        </w:tc>
        <w:tc>
          <w:tcPr>
            <w:tcW w:w="1843" w:type="dxa"/>
            <w:tcBorders>
              <w:top w:val="single" w:sz="4" w:space="0" w:color="auto"/>
              <w:bottom w:val="single" w:sz="4" w:space="0" w:color="auto"/>
            </w:tcBorders>
            <w:shd w:val="clear" w:color="auto" w:fill="auto"/>
          </w:tcPr>
          <w:p w:rsidR="001057D8" w:rsidRPr="00D8075A" w:rsidRDefault="001057D8" w:rsidP="008352A4">
            <w:pPr>
              <w:pStyle w:val="Tabletext"/>
              <w:rPr>
                <w:szCs w:val="20"/>
              </w:rPr>
            </w:pPr>
            <w:r w:rsidRPr="00D8075A">
              <w:rPr>
                <w:szCs w:val="20"/>
              </w:rPr>
              <w:t>Public:</w:t>
            </w:r>
          </w:p>
          <w:p w:rsidR="001057D8" w:rsidRPr="00D8075A" w:rsidRDefault="001057D8" w:rsidP="008352A4">
            <w:pPr>
              <w:pStyle w:val="Tabletext"/>
              <w:rPr>
                <w:szCs w:val="20"/>
              </w:rPr>
            </w:pPr>
            <w:r w:rsidRPr="00D8075A">
              <w:rPr>
                <w:szCs w:val="20"/>
              </w:rPr>
              <w:t>$8,227.99 (published)</w:t>
            </w:r>
          </w:p>
          <w:p w:rsidR="001057D8" w:rsidRPr="00D8075A" w:rsidRDefault="001057D8" w:rsidP="008352A4">
            <w:pPr>
              <w:pStyle w:val="Tabletext"/>
              <w:rPr>
                <w:szCs w:val="20"/>
              </w:rPr>
            </w:pPr>
            <w:r w:rsidRPr="00D8075A">
              <w:rPr>
                <w:szCs w:val="20"/>
              </w:rPr>
              <w:t>$</w:t>
            </w:r>
            <w:r w:rsidR="00E43539">
              <w:rPr>
                <w:noProof/>
                <w:color w:val="000000"/>
                <w:szCs w:val="20"/>
                <w:highlight w:val="black"/>
              </w:rPr>
              <w:t>'''''''''''''''''''</w:t>
            </w:r>
            <w:r w:rsidRPr="00D8075A">
              <w:rPr>
                <w:szCs w:val="20"/>
              </w:rPr>
              <w:t xml:space="preserve"> (effective)</w:t>
            </w:r>
          </w:p>
          <w:p w:rsidR="001057D8" w:rsidRPr="00D8075A" w:rsidRDefault="001057D8" w:rsidP="008352A4">
            <w:pPr>
              <w:pStyle w:val="Tabletext"/>
              <w:rPr>
                <w:szCs w:val="20"/>
              </w:rPr>
            </w:pPr>
            <w:r w:rsidRPr="00D8075A">
              <w:rPr>
                <w:szCs w:val="20"/>
              </w:rPr>
              <w:t>Private</w:t>
            </w:r>
          </w:p>
          <w:p w:rsidR="001057D8" w:rsidRPr="00D8075A" w:rsidRDefault="001057D8" w:rsidP="008352A4">
            <w:pPr>
              <w:rPr>
                <w:rFonts w:ascii="Arial Narrow" w:hAnsi="Arial Narrow"/>
                <w:sz w:val="20"/>
                <w:szCs w:val="20"/>
              </w:rPr>
            </w:pPr>
            <w:r w:rsidRPr="00D8075A">
              <w:rPr>
                <w:rFonts w:ascii="Arial Narrow" w:hAnsi="Arial Narrow"/>
                <w:sz w:val="20"/>
                <w:szCs w:val="20"/>
              </w:rPr>
              <w:t>$8,380.58 (published)</w:t>
            </w:r>
          </w:p>
          <w:p w:rsidR="001057D8" w:rsidRPr="00D8075A" w:rsidRDefault="001057D8" w:rsidP="008352A4">
            <w:pPr>
              <w:pStyle w:val="TableText0"/>
              <w:rPr>
                <w:szCs w:val="20"/>
              </w:rPr>
            </w:pPr>
            <w:r w:rsidRPr="00D8075A">
              <w:rPr>
                <w:szCs w:val="20"/>
              </w:rPr>
              <w:t>$</w:t>
            </w:r>
            <w:r w:rsidR="00E43539">
              <w:rPr>
                <w:noProof/>
                <w:color w:val="000000"/>
                <w:szCs w:val="20"/>
                <w:highlight w:val="black"/>
              </w:rPr>
              <w:t>''''''''''''''''''''''</w:t>
            </w:r>
            <w:r w:rsidRPr="00D8075A">
              <w:rPr>
                <w:szCs w:val="20"/>
              </w:rPr>
              <w:t xml:space="preserve"> (effective)</w:t>
            </w:r>
          </w:p>
        </w:tc>
        <w:tc>
          <w:tcPr>
            <w:tcW w:w="1134" w:type="dxa"/>
            <w:tcBorders>
              <w:top w:val="single" w:sz="4" w:space="0" w:color="auto"/>
              <w:bottom w:val="single" w:sz="4" w:space="0" w:color="auto"/>
            </w:tcBorders>
            <w:shd w:val="clear" w:color="auto" w:fill="auto"/>
          </w:tcPr>
          <w:p w:rsidR="001057D8" w:rsidRPr="00D8075A" w:rsidRDefault="001057D8" w:rsidP="008352A4">
            <w:pPr>
              <w:pStyle w:val="TableText0"/>
              <w:rPr>
                <w:szCs w:val="20"/>
              </w:rPr>
            </w:pPr>
            <w:proofErr w:type="spellStart"/>
            <w:r w:rsidRPr="00D8075A">
              <w:rPr>
                <w:rStyle w:val="Emphasis"/>
                <w:rFonts w:cs="Arial"/>
                <w:bCs/>
                <w:i w:val="0"/>
                <w:iCs w:val="0"/>
                <w:szCs w:val="20"/>
                <w:shd w:val="clear" w:color="auto" w:fill="FFFFFF"/>
              </w:rPr>
              <w:t>Bavencio</w:t>
            </w:r>
            <w:proofErr w:type="spellEnd"/>
            <w:r w:rsidRPr="00D8075A">
              <w:rPr>
                <w:rStyle w:val="Emphasis"/>
                <w:rFonts w:cs="Arial"/>
                <w:b/>
                <w:bCs/>
                <w:i w:val="0"/>
                <w:iCs w:val="0"/>
                <w:szCs w:val="20"/>
                <w:shd w:val="clear" w:color="auto" w:fill="FFFFFF"/>
              </w:rPr>
              <w:t xml:space="preserve">® </w:t>
            </w:r>
            <w:r w:rsidRPr="00D8075A">
              <w:rPr>
                <w:strike/>
                <w:szCs w:val="20"/>
              </w:rPr>
              <w:t>SG</w:t>
            </w:r>
          </w:p>
        </w:tc>
        <w:tc>
          <w:tcPr>
            <w:tcW w:w="1275" w:type="dxa"/>
            <w:tcBorders>
              <w:top w:val="single" w:sz="4" w:space="0" w:color="auto"/>
              <w:bottom w:val="single" w:sz="4" w:space="0" w:color="auto"/>
              <w:right w:val="single" w:sz="4" w:space="0" w:color="auto"/>
            </w:tcBorders>
            <w:shd w:val="clear" w:color="auto" w:fill="auto"/>
          </w:tcPr>
          <w:p w:rsidR="001057D8" w:rsidRPr="00D8075A" w:rsidRDefault="001057D8" w:rsidP="008352A4">
            <w:pPr>
              <w:pStyle w:val="TableText0"/>
              <w:rPr>
                <w:szCs w:val="20"/>
              </w:rPr>
            </w:pPr>
            <w:r w:rsidRPr="00D8075A">
              <w:rPr>
                <w:szCs w:val="20"/>
              </w:rPr>
              <w:t xml:space="preserve">Merck </w:t>
            </w:r>
            <w:proofErr w:type="spellStart"/>
            <w:r w:rsidRPr="00D8075A">
              <w:rPr>
                <w:szCs w:val="20"/>
              </w:rPr>
              <w:t>Serono</w:t>
            </w:r>
            <w:proofErr w:type="spellEnd"/>
            <w:r w:rsidRPr="00D8075A">
              <w:rPr>
                <w:szCs w:val="20"/>
              </w:rPr>
              <w:t xml:space="preserve"> Australia Pty Ltd</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Category / Program:</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Section 100 – Efficient funding of chemotherapy</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Prescriber type:</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Medical Practitioners</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proofErr w:type="spellStart"/>
            <w:r w:rsidRPr="00D8075A">
              <w:t>Episodicity</w:t>
            </w:r>
            <w:proofErr w:type="spellEnd"/>
            <w:r w:rsidRPr="00D8075A">
              <w:t>:</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Severity:</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Stage IV (metastatic)</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Condition:</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Merkel Cell Carcinoma</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PBS Indication:</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Stage IV (metastatic) Merkel Cell Carcinoma</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rPr>
                <w:i/>
              </w:rPr>
            </w:pPr>
            <w:r w:rsidRPr="00D8075A">
              <w:t>Treatment phase:</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rPr>
                <w:strike/>
              </w:rPr>
              <w:t xml:space="preserve">Treatment phase: </w:t>
            </w:r>
            <w:r w:rsidRPr="00D8075A">
              <w:t>Initial treatment</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Restriction:</w:t>
            </w:r>
          </w:p>
          <w:p w:rsidR="001057D8" w:rsidRPr="00D8075A" w:rsidRDefault="001057D8" w:rsidP="008352A4">
            <w:pPr>
              <w:pStyle w:val="Tabletext"/>
            </w:pP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fldChar w:fldCharType="begin">
                <w:ffData>
                  <w:name w:val="Check1"/>
                  <w:enabled/>
                  <w:calcOnExit w:val="0"/>
                  <w:checkBox>
                    <w:sizeAuto/>
                    <w:default w:val="0"/>
                  </w:checkBox>
                </w:ffData>
              </w:fldChar>
            </w:r>
            <w:r w:rsidRPr="00D8075A">
              <w:instrText xml:space="preserve"> FORMCHECKBOX </w:instrText>
            </w:r>
            <w:r w:rsidR="0020366A">
              <w:fldChar w:fldCharType="separate"/>
            </w:r>
            <w:r w:rsidRPr="00D8075A">
              <w:fldChar w:fldCharType="end"/>
            </w:r>
            <w:r w:rsidRPr="00D8075A">
              <w:t>Restricted benefit</w:t>
            </w:r>
          </w:p>
          <w:p w:rsidR="001057D8" w:rsidRPr="00D8075A" w:rsidRDefault="001057D8" w:rsidP="008352A4">
            <w:pPr>
              <w:pStyle w:val="Tabletext"/>
            </w:pPr>
            <w:r w:rsidRPr="00D8075A">
              <w:fldChar w:fldCharType="begin">
                <w:ffData>
                  <w:name w:val=""/>
                  <w:enabled/>
                  <w:calcOnExit w:val="0"/>
                  <w:checkBox>
                    <w:sizeAuto/>
                    <w:default w:val="0"/>
                  </w:checkBox>
                </w:ffData>
              </w:fldChar>
            </w:r>
            <w:r w:rsidRPr="00D8075A">
              <w:instrText xml:space="preserve"> FORMCHECKBOX </w:instrText>
            </w:r>
            <w:r w:rsidR="0020366A">
              <w:fldChar w:fldCharType="separate"/>
            </w:r>
            <w:r w:rsidRPr="00D8075A">
              <w:fldChar w:fldCharType="end"/>
            </w:r>
            <w:r w:rsidRPr="00D8075A">
              <w:t>Authority Required - In Writing</w:t>
            </w:r>
          </w:p>
          <w:p w:rsidR="001057D8" w:rsidRPr="00D8075A" w:rsidRDefault="001057D8" w:rsidP="008352A4">
            <w:pPr>
              <w:pStyle w:val="Tabletext"/>
            </w:pPr>
            <w:r w:rsidRPr="00D8075A">
              <w:fldChar w:fldCharType="begin">
                <w:ffData>
                  <w:name w:val="Check3"/>
                  <w:enabled/>
                  <w:calcOnExit w:val="0"/>
                  <w:checkBox>
                    <w:sizeAuto/>
                    <w:default w:val="0"/>
                  </w:checkBox>
                </w:ffData>
              </w:fldChar>
            </w:r>
            <w:r w:rsidRPr="00D8075A">
              <w:instrText xml:space="preserve"> FORMCHECKBOX </w:instrText>
            </w:r>
            <w:r w:rsidR="0020366A">
              <w:fldChar w:fldCharType="separate"/>
            </w:r>
            <w:r w:rsidRPr="00D8075A">
              <w:fldChar w:fldCharType="end"/>
            </w:r>
            <w:r w:rsidRPr="00D8075A">
              <w:t>Authority Required - Telephone</w:t>
            </w:r>
          </w:p>
          <w:p w:rsidR="001057D8" w:rsidRPr="00D8075A" w:rsidRDefault="001057D8" w:rsidP="008352A4">
            <w:pPr>
              <w:pStyle w:val="Tabletext"/>
            </w:pPr>
            <w:r w:rsidRPr="00D8075A">
              <w:fldChar w:fldCharType="begin">
                <w:ffData>
                  <w:name w:val=""/>
                  <w:enabled/>
                  <w:calcOnExit w:val="0"/>
                  <w:checkBox>
                    <w:sizeAuto/>
                    <w:default w:val="0"/>
                  </w:checkBox>
                </w:ffData>
              </w:fldChar>
            </w:r>
            <w:r w:rsidRPr="00D8075A">
              <w:instrText xml:space="preserve"> FORMCHECKBOX </w:instrText>
            </w:r>
            <w:r w:rsidR="0020366A">
              <w:fldChar w:fldCharType="separate"/>
            </w:r>
            <w:r w:rsidRPr="00D8075A">
              <w:fldChar w:fldCharType="end"/>
            </w:r>
            <w:r w:rsidRPr="00D8075A">
              <w:t>Authority Required – Emergency</w:t>
            </w:r>
          </w:p>
          <w:p w:rsidR="001057D8" w:rsidRPr="00D8075A" w:rsidRDefault="001057D8" w:rsidP="008352A4">
            <w:pPr>
              <w:pStyle w:val="Tabletext"/>
            </w:pPr>
            <w:r w:rsidRPr="00D8075A">
              <w:fldChar w:fldCharType="begin">
                <w:ffData>
                  <w:name w:val="Check5"/>
                  <w:enabled/>
                  <w:calcOnExit w:val="0"/>
                  <w:checkBox>
                    <w:sizeAuto/>
                    <w:default w:val="0"/>
                  </w:checkBox>
                </w:ffData>
              </w:fldChar>
            </w:r>
            <w:r w:rsidRPr="00D8075A">
              <w:instrText xml:space="preserve"> FORMCHECKBOX </w:instrText>
            </w:r>
            <w:r w:rsidR="0020366A">
              <w:fldChar w:fldCharType="separate"/>
            </w:r>
            <w:r w:rsidRPr="00D8075A">
              <w:fldChar w:fldCharType="end"/>
            </w:r>
            <w:r w:rsidRPr="00D8075A">
              <w:t>Authority Required - Electronic</w:t>
            </w:r>
          </w:p>
          <w:p w:rsidR="001057D8" w:rsidRPr="00D8075A" w:rsidRDefault="001057D8" w:rsidP="008352A4">
            <w:pPr>
              <w:pStyle w:val="Tabletext"/>
            </w:pPr>
            <w:r w:rsidRPr="00D8075A">
              <w:fldChar w:fldCharType="begin">
                <w:ffData>
                  <w:name w:val="Check5"/>
                  <w:enabled/>
                  <w:calcOnExit w:val="0"/>
                  <w:checkBox>
                    <w:sizeAuto/>
                    <w:default w:val="1"/>
                  </w:checkBox>
                </w:ffData>
              </w:fldChar>
            </w:r>
            <w:r w:rsidRPr="00D8075A">
              <w:instrText xml:space="preserve"> FORMCHECKBOX </w:instrText>
            </w:r>
            <w:r w:rsidR="0020366A">
              <w:fldChar w:fldCharType="separate"/>
            </w:r>
            <w:r w:rsidRPr="00D8075A">
              <w:fldChar w:fldCharType="end"/>
            </w:r>
            <w:r w:rsidRPr="00D8075A">
              <w:t>Streamlined</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Treatment criteria:</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Clinical criteria:</w:t>
            </w:r>
          </w:p>
          <w:p w:rsidR="001057D8" w:rsidRPr="00D8075A" w:rsidRDefault="001057D8" w:rsidP="008352A4">
            <w:pPr>
              <w:pStyle w:val="Tabletext"/>
            </w:pP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rPr>
                <w:strike/>
              </w:rPr>
            </w:pPr>
            <w:r w:rsidRPr="00D8075A">
              <w:rPr>
                <w:strike/>
              </w:rPr>
              <w:t>The condition must have progressed following treatment with chemotherapy unless contraindicated or not tolerated according to the TGA approved Product Information.</w:t>
            </w:r>
          </w:p>
          <w:p w:rsidR="001057D8" w:rsidRPr="00D8075A" w:rsidRDefault="001057D8" w:rsidP="008352A4">
            <w:pPr>
              <w:pStyle w:val="Tabletext"/>
              <w:rPr>
                <w:i/>
              </w:rPr>
            </w:pPr>
            <w:r w:rsidRPr="00D8075A">
              <w:rPr>
                <w:i/>
              </w:rPr>
              <w:t>The condition must have progressed following treatment with chemotherapy; OR</w:t>
            </w:r>
          </w:p>
          <w:p w:rsidR="001057D8" w:rsidRPr="00D8075A" w:rsidRDefault="001057D8" w:rsidP="008352A4">
            <w:pPr>
              <w:pStyle w:val="Tabletext"/>
            </w:pPr>
            <w:r w:rsidRPr="00D8075A">
              <w:rPr>
                <w:i/>
              </w:rPr>
              <w:t>Patient must have a contraindication or intolerance to treatment with chemotherapy;</w:t>
            </w:r>
          </w:p>
          <w:p w:rsidR="001057D8" w:rsidRPr="00D8075A" w:rsidRDefault="001057D8" w:rsidP="008352A4">
            <w:pPr>
              <w:pStyle w:val="Tabletext"/>
            </w:pPr>
            <w:r w:rsidRPr="00D8075A">
              <w:t>AND</w:t>
            </w:r>
          </w:p>
          <w:p w:rsidR="001057D8" w:rsidRPr="00D8075A" w:rsidRDefault="001057D8" w:rsidP="008352A4">
            <w:pPr>
              <w:pStyle w:val="Tabletext"/>
            </w:pPr>
            <w:r w:rsidRPr="00D8075A">
              <w:t xml:space="preserve">The treatment must be the sole PBS-subsidised therapy for this condition; </w:t>
            </w:r>
          </w:p>
          <w:p w:rsidR="001057D8" w:rsidRPr="00D8075A" w:rsidRDefault="001057D8" w:rsidP="008352A4">
            <w:pPr>
              <w:pStyle w:val="Tabletext"/>
            </w:pPr>
            <w:r w:rsidRPr="00D8075A">
              <w:t xml:space="preserve">AND </w:t>
            </w:r>
          </w:p>
          <w:p w:rsidR="001057D8" w:rsidRPr="00D8075A" w:rsidRDefault="001057D8" w:rsidP="008352A4">
            <w:pPr>
              <w:pStyle w:val="Tabletext"/>
            </w:pPr>
            <w:r w:rsidRPr="00D8075A">
              <w:t>The treatment must not exceed a total of 9 doses at a maximum dose of 10 mg</w:t>
            </w:r>
            <w:r w:rsidRPr="00D8075A">
              <w:rPr>
                <w:strike/>
              </w:rPr>
              <w:t>/</w:t>
            </w:r>
            <w:r w:rsidRPr="00D8075A">
              <w:t xml:space="preserve"> </w:t>
            </w:r>
            <w:r w:rsidRPr="00D8075A">
              <w:rPr>
                <w:i/>
              </w:rPr>
              <w:t xml:space="preserve">per </w:t>
            </w:r>
            <w:r w:rsidRPr="00D8075A">
              <w:t>kg every 2 weeks</w:t>
            </w:r>
          </w:p>
          <w:p w:rsidR="001057D8" w:rsidRPr="00D8075A" w:rsidRDefault="001057D8" w:rsidP="008352A4">
            <w:pPr>
              <w:pStyle w:val="Tabletext"/>
              <w:rPr>
                <w:i/>
              </w:rPr>
            </w:pPr>
            <w:r w:rsidRPr="00D8075A">
              <w:rPr>
                <w:i/>
              </w:rPr>
              <w:t>AND</w:t>
            </w:r>
          </w:p>
          <w:p w:rsidR="001057D8" w:rsidRPr="00D8075A" w:rsidRDefault="001057D8" w:rsidP="008352A4">
            <w:pPr>
              <w:pStyle w:val="Tabletext"/>
              <w:rPr>
                <w:i/>
              </w:rPr>
            </w:pPr>
            <w:r w:rsidRPr="00D8075A">
              <w:rPr>
                <w:rStyle w:val="IntenseReference"/>
                <w:rFonts w:cs="Arial"/>
                <w:b w:val="0"/>
                <w:bCs w:val="0"/>
                <w:i/>
                <w:smallCaps w:val="0"/>
                <w:color w:val="auto"/>
                <w:u w:val="none"/>
              </w:rPr>
              <w:t>Patient must have WHO performance status score of 1 or less.</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Prescriber Instructions</w:t>
            </w:r>
          </w:p>
          <w:p w:rsidR="001057D8" w:rsidRPr="00D8075A" w:rsidRDefault="001057D8" w:rsidP="008352A4">
            <w:pPr>
              <w:pStyle w:val="Tabletext"/>
            </w:pP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The patient’s body weight must be documented in the patient’s medical records at the time treatment is initiated.</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rPr>
                <w:i/>
              </w:rPr>
            </w:pPr>
            <w:r w:rsidRPr="00D8075A">
              <w:rPr>
                <w:i/>
              </w:rPr>
              <w:t>Administrative advice</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rPr>
                <w:rFonts w:cs="Arial"/>
                <w:i/>
                <w:strike/>
              </w:rPr>
            </w:pPr>
            <w:r w:rsidRPr="00D8075A">
              <w:rPr>
                <w:rFonts w:cs="Arial"/>
                <w:i/>
                <w:strike/>
              </w:rPr>
              <w:t>No increase in the maximum number of repeats may be authorised.</w:t>
            </w:r>
          </w:p>
          <w:p w:rsidR="001057D8" w:rsidRPr="00D8075A" w:rsidRDefault="001057D8" w:rsidP="008352A4">
            <w:pPr>
              <w:pStyle w:val="Tabletext"/>
            </w:pPr>
            <w:r w:rsidRPr="00D8075A">
              <w:rPr>
                <w:rFonts w:cs="Arial"/>
                <w:i/>
              </w:rPr>
              <w:t>Special Pricing Arrangements apply.</w:t>
            </w:r>
          </w:p>
        </w:tc>
      </w:tr>
    </w:tbl>
    <w:p w:rsidR="001057D8" w:rsidRPr="00D8075A" w:rsidRDefault="001057D8" w:rsidP="001057D8">
      <w:pPr>
        <w:pStyle w:val="PBACHeading1"/>
        <w:numPr>
          <w:ilvl w:val="0"/>
          <w:numId w:val="0"/>
        </w:numPr>
        <w:ind w:left="720" w:hanging="720"/>
        <w:rPr>
          <w:rFonts w:ascii="Arial Narrow" w:hAnsi="Arial Narrow"/>
          <w:sz w:val="20"/>
          <w:szCs w:val="20"/>
        </w:rPr>
      </w:pPr>
    </w:p>
    <w:tbl>
      <w:tblPr>
        <w:tblW w:w="9072" w:type="dxa"/>
        <w:tblInd w:w="108" w:type="dxa"/>
        <w:tblLayout w:type="fixed"/>
        <w:tblLook w:val="0000" w:firstRow="0" w:lastRow="0" w:firstColumn="0" w:lastColumn="0" w:noHBand="0" w:noVBand="0"/>
      </w:tblPr>
      <w:tblGrid>
        <w:gridCol w:w="3261"/>
        <w:gridCol w:w="850"/>
        <w:gridCol w:w="709"/>
        <w:gridCol w:w="1843"/>
        <w:gridCol w:w="1134"/>
        <w:gridCol w:w="1275"/>
      </w:tblGrid>
      <w:tr w:rsidR="001057D8" w:rsidRPr="00D8075A" w:rsidTr="008352A4">
        <w:trPr>
          <w:cantSplit/>
          <w:trHeight w:val="471"/>
        </w:trPr>
        <w:tc>
          <w:tcPr>
            <w:tcW w:w="3261" w:type="dxa"/>
            <w:tcBorders>
              <w:top w:val="single" w:sz="4" w:space="0" w:color="auto"/>
              <w:left w:val="single" w:sz="4" w:space="0" w:color="auto"/>
              <w:bottom w:val="single" w:sz="4" w:space="0" w:color="auto"/>
            </w:tcBorders>
            <w:shd w:val="clear" w:color="auto" w:fill="auto"/>
          </w:tcPr>
          <w:p w:rsidR="001057D8" w:rsidRPr="00D8075A" w:rsidRDefault="001057D8" w:rsidP="008352A4">
            <w:pPr>
              <w:pStyle w:val="TableText0"/>
              <w:rPr>
                <w:b/>
                <w:szCs w:val="20"/>
              </w:rPr>
            </w:pPr>
            <w:r w:rsidRPr="00D8075A">
              <w:rPr>
                <w:b/>
                <w:szCs w:val="20"/>
              </w:rPr>
              <w:lastRenderedPageBreak/>
              <w:t>Name,</w:t>
            </w:r>
            <w:r w:rsidRPr="00D8075A">
              <w:t xml:space="preserve"> </w:t>
            </w:r>
            <w:r w:rsidRPr="00D8075A">
              <w:rPr>
                <w:b/>
                <w:szCs w:val="20"/>
              </w:rPr>
              <w:t>Restriction,</w:t>
            </w:r>
          </w:p>
          <w:p w:rsidR="001057D8" w:rsidRPr="00D8075A" w:rsidRDefault="001057D8" w:rsidP="008352A4">
            <w:pPr>
              <w:pStyle w:val="TableText0"/>
              <w:rPr>
                <w:b/>
                <w:szCs w:val="20"/>
              </w:rPr>
            </w:pPr>
            <w:r w:rsidRPr="00D8075A">
              <w:rPr>
                <w:b/>
                <w:szCs w:val="20"/>
              </w:rPr>
              <w:t>Manner of administration and form</w:t>
            </w:r>
          </w:p>
        </w:tc>
        <w:tc>
          <w:tcPr>
            <w:tcW w:w="850" w:type="dxa"/>
            <w:tcBorders>
              <w:top w:val="single" w:sz="4" w:space="0" w:color="auto"/>
              <w:bottom w:val="single" w:sz="4" w:space="0" w:color="auto"/>
            </w:tcBorders>
            <w:shd w:val="clear" w:color="auto" w:fill="auto"/>
          </w:tcPr>
          <w:p w:rsidR="001057D8" w:rsidRPr="00D8075A" w:rsidRDefault="001057D8" w:rsidP="008352A4">
            <w:pPr>
              <w:pStyle w:val="TableText0"/>
              <w:rPr>
                <w:b/>
                <w:szCs w:val="20"/>
              </w:rPr>
            </w:pPr>
            <w:r w:rsidRPr="00D8075A">
              <w:rPr>
                <w:b/>
                <w:szCs w:val="20"/>
              </w:rPr>
              <w:t>Max.</w:t>
            </w:r>
            <w:r w:rsidRPr="00D8075A">
              <w:rPr>
                <w:b/>
                <w:szCs w:val="20"/>
              </w:rPr>
              <w:br/>
              <w:t>Amount (units)</w:t>
            </w:r>
          </w:p>
        </w:tc>
        <w:tc>
          <w:tcPr>
            <w:tcW w:w="709" w:type="dxa"/>
            <w:tcBorders>
              <w:top w:val="single" w:sz="4" w:space="0" w:color="auto"/>
              <w:bottom w:val="single" w:sz="4" w:space="0" w:color="auto"/>
            </w:tcBorders>
            <w:shd w:val="clear" w:color="auto" w:fill="auto"/>
          </w:tcPr>
          <w:p w:rsidR="001057D8" w:rsidRPr="00D8075A" w:rsidRDefault="001057D8" w:rsidP="008352A4">
            <w:pPr>
              <w:pStyle w:val="TableText0"/>
              <w:rPr>
                <w:b/>
                <w:szCs w:val="20"/>
              </w:rPr>
            </w:pPr>
            <w:r w:rsidRPr="00D8075A">
              <w:rPr>
                <w:b/>
                <w:szCs w:val="20"/>
              </w:rPr>
              <w:t>№.of</w:t>
            </w:r>
            <w:r w:rsidRPr="00D8075A">
              <w:rPr>
                <w:b/>
                <w:szCs w:val="20"/>
              </w:rPr>
              <w:br/>
              <w:t>Rpts</w:t>
            </w:r>
          </w:p>
        </w:tc>
        <w:tc>
          <w:tcPr>
            <w:tcW w:w="1843" w:type="dxa"/>
            <w:tcBorders>
              <w:top w:val="single" w:sz="4" w:space="0" w:color="auto"/>
              <w:bottom w:val="single" w:sz="4" w:space="0" w:color="auto"/>
            </w:tcBorders>
            <w:shd w:val="clear" w:color="auto" w:fill="auto"/>
          </w:tcPr>
          <w:p w:rsidR="001057D8" w:rsidRPr="00D8075A" w:rsidRDefault="001057D8" w:rsidP="008352A4">
            <w:pPr>
              <w:pStyle w:val="TableText0"/>
              <w:rPr>
                <w:b/>
                <w:szCs w:val="20"/>
              </w:rPr>
            </w:pPr>
            <w:r w:rsidRPr="00D8075A">
              <w:rPr>
                <w:b/>
                <w:szCs w:val="20"/>
              </w:rPr>
              <w:t>DPMA</w:t>
            </w:r>
          </w:p>
        </w:tc>
        <w:tc>
          <w:tcPr>
            <w:tcW w:w="1134" w:type="dxa"/>
            <w:tcBorders>
              <w:top w:val="single" w:sz="4" w:space="0" w:color="auto"/>
              <w:bottom w:val="single" w:sz="4" w:space="0" w:color="auto"/>
            </w:tcBorders>
            <w:shd w:val="clear" w:color="auto" w:fill="auto"/>
          </w:tcPr>
          <w:p w:rsidR="001057D8" w:rsidRPr="00D8075A" w:rsidRDefault="001057D8" w:rsidP="008352A4">
            <w:pPr>
              <w:pStyle w:val="TableText0"/>
              <w:rPr>
                <w:b/>
                <w:szCs w:val="20"/>
              </w:rPr>
            </w:pPr>
            <w:r w:rsidRPr="00D8075A">
              <w:rPr>
                <w:b/>
                <w:szCs w:val="20"/>
              </w:rPr>
              <w:t xml:space="preserve">Proprietary name </w:t>
            </w:r>
          </w:p>
        </w:tc>
        <w:tc>
          <w:tcPr>
            <w:tcW w:w="1275" w:type="dxa"/>
            <w:tcBorders>
              <w:top w:val="single" w:sz="4" w:space="0" w:color="auto"/>
              <w:bottom w:val="single" w:sz="4" w:space="0" w:color="auto"/>
              <w:right w:val="single" w:sz="4" w:space="0" w:color="auto"/>
            </w:tcBorders>
            <w:shd w:val="clear" w:color="auto" w:fill="auto"/>
          </w:tcPr>
          <w:p w:rsidR="001057D8" w:rsidRPr="00D8075A" w:rsidRDefault="001057D8" w:rsidP="008352A4">
            <w:pPr>
              <w:pStyle w:val="TableText0"/>
              <w:rPr>
                <w:b/>
                <w:szCs w:val="20"/>
              </w:rPr>
            </w:pPr>
            <w:r w:rsidRPr="00D8075A">
              <w:rPr>
                <w:b/>
                <w:szCs w:val="20"/>
              </w:rPr>
              <w:t>Manufacturer</w:t>
            </w:r>
          </w:p>
        </w:tc>
      </w:tr>
      <w:tr w:rsidR="001057D8" w:rsidRPr="00D8075A" w:rsidTr="008352A4">
        <w:trPr>
          <w:cantSplit/>
          <w:trHeight w:val="577"/>
        </w:trPr>
        <w:tc>
          <w:tcPr>
            <w:tcW w:w="3261" w:type="dxa"/>
            <w:tcBorders>
              <w:top w:val="single" w:sz="4" w:space="0" w:color="auto"/>
              <w:left w:val="single" w:sz="4" w:space="0" w:color="auto"/>
              <w:bottom w:val="single" w:sz="4" w:space="0" w:color="auto"/>
            </w:tcBorders>
            <w:shd w:val="clear" w:color="auto" w:fill="auto"/>
          </w:tcPr>
          <w:p w:rsidR="001057D8" w:rsidRPr="00D8075A" w:rsidRDefault="001057D8" w:rsidP="008352A4">
            <w:pPr>
              <w:pStyle w:val="TableText0"/>
              <w:rPr>
                <w:strike/>
                <w:szCs w:val="20"/>
              </w:rPr>
            </w:pPr>
            <w:r w:rsidRPr="00D8075A">
              <w:rPr>
                <w:strike/>
                <w:szCs w:val="20"/>
              </w:rPr>
              <w:t>Avelumab, 200 mg injection: liquid, 1 vial</w:t>
            </w:r>
          </w:p>
          <w:p w:rsidR="001057D8" w:rsidRPr="00D8075A" w:rsidRDefault="001057D8" w:rsidP="008352A4">
            <w:pPr>
              <w:pStyle w:val="TableText0"/>
              <w:rPr>
                <w:szCs w:val="20"/>
              </w:rPr>
            </w:pPr>
            <w:r w:rsidRPr="00D8075A">
              <w:rPr>
                <w:szCs w:val="20"/>
              </w:rPr>
              <w:t>avelumab 200 mg/10 mL injection, 10 mL vial</w:t>
            </w:r>
          </w:p>
        </w:tc>
        <w:tc>
          <w:tcPr>
            <w:tcW w:w="850" w:type="dxa"/>
            <w:tcBorders>
              <w:top w:val="single" w:sz="4" w:space="0" w:color="auto"/>
              <w:bottom w:val="single" w:sz="4" w:space="0" w:color="auto"/>
            </w:tcBorders>
            <w:shd w:val="clear" w:color="auto" w:fill="auto"/>
          </w:tcPr>
          <w:p w:rsidR="001057D8" w:rsidRPr="00D8075A" w:rsidRDefault="001057D8" w:rsidP="008352A4">
            <w:pPr>
              <w:pStyle w:val="TableText0"/>
              <w:rPr>
                <w:szCs w:val="20"/>
              </w:rPr>
            </w:pPr>
            <w:r w:rsidRPr="00D8075A">
              <w:rPr>
                <w:szCs w:val="20"/>
              </w:rPr>
              <w:t>6</w:t>
            </w:r>
          </w:p>
        </w:tc>
        <w:tc>
          <w:tcPr>
            <w:tcW w:w="709" w:type="dxa"/>
            <w:tcBorders>
              <w:top w:val="single" w:sz="4" w:space="0" w:color="auto"/>
              <w:bottom w:val="single" w:sz="4" w:space="0" w:color="auto"/>
            </w:tcBorders>
            <w:shd w:val="clear" w:color="auto" w:fill="auto"/>
          </w:tcPr>
          <w:p w:rsidR="001057D8" w:rsidRPr="00D8075A" w:rsidRDefault="001057D8" w:rsidP="008352A4">
            <w:pPr>
              <w:pStyle w:val="TableText0"/>
              <w:rPr>
                <w:szCs w:val="20"/>
              </w:rPr>
            </w:pPr>
            <w:r w:rsidRPr="00D8075A">
              <w:rPr>
                <w:szCs w:val="20"/>
              </w:rPr>
              <w:t>11</w:t>
            </w:r>
          </w:p>
        </w:tc>
        <w:tc>
          <w:tcPr>
            <w:tcW w:w="1843" w:type="dxa"/>
            <w:tcBorders>
              <w:top w:val="single" w:sz="4" w:space="0" w:color="auto"/>
              <w:bottom w:val="single" w:sz="4" w:space="0" w:color="auto"/>
            </w:tcBorders>
            <w:shd w:val="clear" w:color="auto" w:fill="auto"/>
          </w:tcPr>
          <w:p w:rsidR="001057D8" w:rsidRPr="00D8075A" w:rsidRDefault="001057D8" w:rsidP="008352A4">
            <w:pPr>
              <w:pStyle w:val="Tabletext"/>
            </w:pPr>
            <w:r w:rsidRPr="00D8075A">
              <w:t>Public:</w:t>
            </w:r>
          </w:p>
          <w:p w:rsidR="001057D8" w:rsidRPr="00D8075A" w:rsidRDefault="001057D8" w:rsidP="008352A4">
            <w:pPr>
              <w:pStyle w:val="Tabletext"/>
            </w:pPr>
            <w:r w:rsidRPr="00D8075A">
              <w:t>$8,227.99 (published)</w:t>
            </w:r>
          </w:p>
          <w:p w:rsidR="001057D8" w:rsidRPr="00D8075A" w:rsidRDefault="001057D8" w:rsidP="008352A4">
            <w:pPr>
              <w:pStyle w:val="Tabletext"/>
            </w:pPr>
            <w:r w:rsidRPr="00D8075A">
              <w:t>$</w:t>
            </w:r>
            <w:r w:rsidR="00E43539">
              <w:rPr>
                <w:noProof/>
                <w:color w:val="000000"/>
                <w:highlight w:val="black"/>
              </w:rPr>
              <w:t>''''''''''''''''''''</w:t>
            </w:r>
            <w:r w:rsidRPr="00D8075A">
              <w:t xml:space="preserve"> (effective)</w:t>
            </w:r>
          </w:p>
          <w:p w:rsidR="001057D8" w:rsidRPr="00D8075A" w:rsidRDefault="001057D8" w:rsidP="008352A4">
            <w:pPr>
              <w:pStyle w:val="Tabletext"/>
            </w:pPr>
            <w:r w:rsidRPr="00D8075A">
              <w:t>Private</w:t>
            </w:r>
          </w:p>
          <w:p w:rsidR="001057D8" w:rsidRPr="00D8075A" w:rsidRDefault="001057D8" w:rsidP="008352A4">
            <w:pPr>
              <w:pStyle w:val="Tabletext"/>
            </w:pPr>
            <w:r w:rsidRPr="00D8075A">
              <w:t>$8380.58 (published)</w:t>
            </w:r>
          </w:p>
          <w:p w:rsidR="001057D8" w:rsidRPr="00D8075A" w:rsidRDefault="001057D8" w:rsidP="008352A4">
            <w:pPr>
              <w:pStyle w:val="TableText0"/>
              <w:rPr>
                <w:szCs w:val="20"/>
              </w:rPr>
            </w:pPr>
            <w:r w:rsidRPr="00D8075A">
              <w:t>$</w:t>
            </w:r>
            <w:r w:rsidR="00E43539">
              <w:rPr>
                <w:noProof/>
                <w:color w:val="000000"/>
                <w:highlight w:val="black"/>
              </w:rPr>
              <w:t>'''''''''''''''''</w:t>
            </w:r>
            <w:r w:rsidRPr="00D8075A">
              <w:t xml:space="preserve"> (effective)</w:t>
            </w:r>
          </w:p>
        </w:tc>
        <w:tc>
          <w:tcPr>
            <w:tcW w:w="1134" w:type="dxa"/>
            <w:tcBorders>
              <w:top w:val="single" w:sz="4" w:space="0" w:color="auto"/>
              <w:bottom w:val="single" w:sz="4" w:space="0" w:color="auto"/>
            </w:tcBorders>
            <w:shd w:val="clear" w:color="auto" w:fill="auto"/>
          </w:tcPr>
          <w:p w:rsidR="001057D8" w:rsidRPr="00D8075A" w:rsidRDefault="001057D8" w:rsidP="008352A4">
            <w:pPr>
              <w:pStyle w:val="TableText0"/>
              <w:rPr>
                <w:szCs w:val="20"/>
              </w:rPr>
            </w:pPr>
            <w:proofErr w:type="spellStart"/>
            <w:r w:rsidRPr="00D8075A">
              <w:rPr>
                <w:rStyle w:val="Emphasis"/>
                <w:rFonts w:cs="Arial"/>
                <w:bCs/>
                <w:i w:val="0"/>
                <w:iCs w:val="0"/>
                <w:shd w:val="clear" w:color="auto" w:fill="FFFFFF"/>
              </w:rPr>
              <w:t>Bavencio</w:t>
            </w:r>
            <w:proofErr w:type="spellEnd"/>
            <w:r w:rsidRPr="00D8075A">
              <w:rPr>
                <w:rStyle w:val="Emphasis"/>
                <w:rFonts w:cs="Arial"/>
                <w:b/>
                <w:bCs/>
                <w:i w:val="0"/>
                <w:iCs w:val="0"/>
                <w:shd w:val="clear" w:color="auto" w:fill="FFFFFF"/>
              </w:rPr>
              <w:t xml:space="preserve">® </w:t>
            </w:r>
            <w:r w:rsidRPr="00D8075A">
              <w:rPr>
                <w:strike/>
              </w:rPr>
              <w:t>SG</w:t>
            </w:r>
          </w:p>
        </w:tc>
        <w:tc>
          <w:tcPr>
            <w:tcW w:w="1275" w:type="dxa"/>
            <w:tcBorders>
              <w:top w:val="single" w:sz="4" w:space="0" w:color="auto"/>
              <w:bottom w:val="single" w:sz="4" w:space="0" w:color="auto"/>
              <w:right w:val="single" w:sz="4" w:space="0" w:color="auto"/>
            </w:tcBorders>
            <w:shd w:val="clear" w:color="auto" w:fill="auto"/>
          </w:tcPr>
          <w:p w:rsidR="001057D8" w:rsidRPr="00D8075A" w:rsidRDefault="001057D8" w:rsidP="008352A4">
            <w:pPr>
              <w:pStyle w:val="TableText0"/>
              <w:rPr>
                <w:szCs w:val="20"/>
              </w:rPr>
            </w:pPr>
            <w:r w:rsidRPr="00D8075A">
              <w:rPr>
                <w:szCs w:val="20"/>
              </w:rPr>
              <w:t xml:space="preserve">Merck </w:t>
            </w:r>
            <w:proofErr w:type="spellStart"/>
            <w:r w:rsidRPr="00D8075A">
              <w:rPr>
                <w:szCs w:val="20"/>
              </w:rPr>
              <w:t>Serono</w:t>
            </w:r>
            <w:proofErr w:type="spellEnd"/>
            <w:r w:rsidRPr="00D8075A">
              <w:rPr>
                <w:szCs w:val="20"/>
              </w:rPr>
              <w:t xml:space="preserve"> Australia Pty Ltd</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Category / Program:</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Section 100 – Efficient funding of chemotherapy</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Prescriber type:</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Medical Practitioners</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proofErr w:type="spellStart"/>
            <w:r w:rsidRPr="00D8075A">
              <w:t>Episodicity</w:t>
            </w:r>
            <w:proofErr w:type="spellEnd"/>
            <w:r w:rsidRPr="00D8075A">
              <w:t>:</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Severity:</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Stage IV (metastatic)</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Condition:</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Merkel Cell Carcinoma</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PBS Indication:</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Stage IV (metastatic) Merkel Cell Carcinoma</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rPr>
                <w:i/>
              </w:rPr>
            </w:pPr>
            <w:r w:rsidRPr="00D8075A">
              <w:t>Treatment phase:</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Continuing treatment</w:t>
            </w:r>
            <w:r w:rsidRPr="00D8075A">
              <w:rPr>
                <w:strike/>
              </w:rPr>
              <w:t xml:space="preserve"> 1 – from initial treatment</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Restriction:</w:t>
            </w:r>
          </w:p>
          <w:p w:rsidR="001057D8" w:rsidRPr="00D8075A" w:rsidRDefault="001057D8" w:rsidP="008352A4">
            <w:pPr>
              <w:pStyle w:val="Tabletext"/>
            </w:pP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fldChar w:fldCharType="begin">
                <w:ffData>
                  <w:name w:val="Check1"/>
                  <w:enabled/>
                  <w:calcOnExit w:val="0"/>
                  <w:checkBox>
                    <w:sizeAuto/>
                    <w:default w:val="0"/>
                  </w:checkBox>
                </w:ffData>
              </w:fldChar>
            </w:r>
            <w:r w:rsidRPr="00D8075A">
              <w:instrText xml:space="preserve"> FORMCHECKBOX </w:instrText>
            </w:r>
            <w:r w:rsidR="0020366A">
              <w:fldChar w:fldCharType="separate"/>
            </w:r>
            <w:r w:rsidRPr="00D8075A">
              <w:fldChar w:fldCharType="end"/>
            </w:r>
            <w:r w:rsidRPr="00D8075A">
              <w:t>Restricted benefit</w:t>
            </w:r>
          </w:p>
          <w:p w:rsidR="001057D8" w:rsidRPr="00D8075A" w:rsidRDefault="001057D8" w:rsidP="008352A4">
            <w:pPr>
              <w:pStyle w:val="Tabletext"/>
            </w:pPr>
            <w:r w:rsidRPr="00D8075A">
              <w:fldChar w:fldCharType="begin">
                <w:ffData>
                  <w:name w:val=""/>
                  <w:enabled/>
                  <w:calcOnExit w:val="0"/>
                  <w:checkBox>
                    <w:sizeAuto/>
                    <w:default w:val="0"/>
                  </w:checkBox>
                </w:ffData>
              </w:fldChar>
            </w:r>
            <w:r w:rsidRPr="00D8075A">
              <w:instrText xml:space="preserve"> FORMCHECKBOX </w:instrText>
            </w:r>
            <w:r w:rsidR="0020366A">
              <w:fldChar w:fldCharType="separate"/>
            </w:r>
            <w:r w:rsidRPr="00D8075A">
              <w:fldChar w:fldCharType="end"/>
            </w:r>
            <w:r w:rsidRPr="00D8075A">
              <w:t>Authority Required - In Writing</w:t>
            </w:r>
          </w:p>
          <w:p w:rsidR="001057D8" w:rsidRPr="00D8075A" w:rsidRDefault="001057D8" w:rsidP="008352A4">
            <w:pPr>
              <w:pStyle w:val="Tabletext"/>
            </w:pPr>
            <w:r w:rsidRPr="00D8075A">
              <w:fldChar w:fldCharType="begin">
                <w:ffData>
                  <w:name w:val="Check3"/>
                  <w:enabled/>
                  <w:calcOnExit w:val="0"/>
                  <w:checkBox>
                    <w:sizeAuto/>
                    <w:default w:val="0"/>
                  </w:checkBox>
                </w:ffData>
              </w:fldChar>
            </w:r>
            <w:r w:rsidRPr="00D8075A">
              <w:instrText xml:space="preserve"> FORMCHECKBOX </w:instrText>
            </w:r>
            <w:r w:rsidR="0020366A">
              <w:fldChar w:fldCharType="separate"/>
            </w:r>
            <w:r w:rsidRPr="00D8075A">
              <w:fldChar w:fldCharType="end"/>
            </w:r>
            <w:r w:rsidRPr="00D8075A">
              <w:t>Authority Required - Telephone</w:t>
            </w:r>
          </w:p>
          <w:p w:rsidR="001057D8" w:rsidRPr="00D8075A" w:rsidRDefault="001057D8" w:rsidP="008352A4">
            <w:pPr>
              <w:pStyle w:val="Tabletext"/>
            </w:pPr>
            <w:r w:rsidRPr="00D8075A">
              <w:fldChar w:fldCharType="begin">
                <w:ffData>
                  <w:name w:val=""/>
                  <w:enabled/>
                  <w:calcOnExit w:val="0"/>
                  <w:checkBox>
                    <w:sizeAuto/>
                    <w:default w:val="0"/>
                  </w:checkBox>
                </w:ffData>
              </w:fldChar>
            </w:r>
            <w:r w:rsidRPr="00D8075A">
              <w:instrText xml:space="preserve"> FORMCHECKBOX </w:instrText>
            </w:r>
            <w:r w:rsidR="0020366A">
              <w:fldChar w:fldCharType="separate"/>
            </w:r>
            <w:r w:rsidRPr="00D8075A">
              <w:fldChar w:fldCharType="end"/>
            </w:r>
            <w:r w:rsidRPr="00D8075A">
              <w:t>Authority Required – Emergency</w:t>
            </w:r>
          </w:p>
          <w:p w:rsidR="001057D8" w:rsidRPr="00D8075A" w:rsidRDefault="001057D8" w:rsidP="008352A4">
            <w:pPr>
              <w:pStyle w:val="Tabletext"/>
            </w:pPr>
            <w:r w:rsidRPr="00D8075A">
              <w:fldChar w:fldCharType="begin">
                <w:ffData>
                  <w:name w:val="Check5"/>
                  <w:enabled/>
                  <w:calcOnExit w:val="0"/>
                  <w:checkBox>
                    <w:sizeAuto/>
                    <w:default w:val="0"/>
                  </w:checkBox>
                </w:ffData>
              </w:fldChar>
            </w:r>
            <w:r w:rsidRPr="00D8075A">
              <w:instrText xml:space="preserve"> FORMCHECKBOX </w:instrText>
            </w:r>
            <w:r w:rsidR="0020366A">
              <w:fldChar w:fldCharType="separate"/>
            </w:r>
            <w:r w:rsidRPr="00D8075A">
              <w:fldChar w:fldCharType="end"/>
            </w:r>
            <w:r w:rsidRPr="00D8075A">
              <w:t>Authority Required - Electronic</w:t>
            </w:r>
          </w:p>
          <w:p w:rsidR="001057D8" w:rsidRPr="00D8075A" w:rsidRDefault="001057D8" w:rsidP="008352A4">
            <w:pPr>
              <w:pStyle w:val="Tabletext"/>
            </w:pPr>
            <w:r w:rsidRPr="00D8075A">
              <w:fldChar w:fldCharType="begin">
                <w:ffData>
                  <w:name w:val="Check5"/>
                  <w:enabled/>
                  <w:calcOnExit w:val="0"/>
                  <w:checkBox>
                    <w:sizeAuto/>
                    <w:default w:val="1"/>
                  </w:checkBox>
                </w:ffData>
              </w:fldChar>
            </w:r>
            <w:r w:rsidRPr="00D8075A">
              <w:instrText xml:space="preserve"> FORMCHECKBOX </w:instrText>
            </w:r>
            <w:r w:rsidR="0020366A">
              <w:fldChar w:fldCharType="separate"/>
            </w:r>
            <w:r w:rsidRPr="00D8075A">
              <w:fldChar w:fldCharType="end"/>
            </w:r>
            <w:r w:rsidRPr="00D8075A">
              <w:t>Streamlined</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Treatment criteria:</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 xml:space="preserve">Clinical criteria: </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 xml:space="preserve">The treatment must be the sole PBS-subsidised therapy for this condition; </w:t>
            </w:r>
          </w:p>
          <w:p w:rsidR="001057D8" w:rsidRPr="00D8075A" w:rsidRDefault="001057D8" w:rsidP="008352A4">
            <w:pPr>
              <w:pStyle w:val="Tabletext"/>
            </w:pPr>
            <w:r w:rsidRPr="00D8075A">
              <w:t xml:space="preserve">AND </w:t>
            </w:r>
          </w:p>
          <w:p w:rsidR="001057D8" w:rsidRPr="00D8075A" w:rsidRDefault="001057D8" w:rsidP="008352A4">
            <w:pPr>
              <w:pStyle w:val="Tabletext"/>
            </w:pPr>
            <w:r w:rsidRPr="00D8075A">
              <w:t>Patient must have previously been issued with an authority prescription for this drug for this condition;</w:t>
            </w:r>
          </w:p>
          <w:p w:rsidR="001057D8" w:rsidRPr="00D8075A" w:rsidRDefault="001057D8" w:rsidP="008352A4">
            <w:pPr>
              <w:pStyle w:val="Tabletext"/>
            </w:pPr>
            <w:r w:rsidRPr="00D8075A">
              <w:t xml:space="preserve">AND </w:t>
            </w:r>
          </w:p>
          <w:p w:rsidR="001057D8" w:rsidRPr="00D8075A" w:rsidRDefault="001057D8" w:rsidP="008352A4">
            <w:pPr>
              <w:pStyle w:val="Tabletext"/>
            </w:pPr>
            <w:r w:rsidRPr="00D8075A">
              <w:t>Patient must have stable or responding disease</w:t>
            </w:r>
            <w:r w:rsidRPr="00D8075A">
              <w:rPr>
                <w:rFonts w:cs="Arial"/>
                <w:i/>
              </w:rPr>
              <w:t xml:space="preserve"> according to the Response Evaluation Criteria In Solid Tumours (RECIST)</w:t>
            </w:r>
            <w:r w:rsidRPr="00D8075A">
              <w:t>;</w:t>
            </w:r>
          </w:p>
          <w:p w:rsidR="001057D8" w:rsidRPr="00D8075A" w:rsidRDefault="001057D8" w:rsidP="008352A4">
            <w:pPr>
              <w:pStyle w:val="Tabletext"/>
            </w:pPr>
            <w:r w:rsidRPr="00D8075A">
              <w:t xml:space="preserve">AND </w:t>
            </w:r>
          </w:p>
          <w:p w:rsidR="001057D8" w:rsidRPr="00D8075A" w:rsidRDefault="001057D8" w:rsidP="008352A4">
            <w:pPr>
              <w:pStyle w:val="Tabletext"/>
            </w:pPr>
            <w:r w:rsidRPr="00D8075A">
              <w:t>The treatment must not exceed a maximum dose of 10 mg per kg every 2 weeks.</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Prescriber Instructions</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The patient’s body weight must be documented in the patient’s medical records at the time treatment is initiated.</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rPr>
                <w:i/>
              </w:rPr>
            </w:pPr>
            <w:r w:rsidRPr="00D8075A">
              <w:t>Administrative Advice</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rPr>
                <w:strike/>
              </w:rPr>
            </w:pPr>
            <w:r w:rsidRPr="00D8075A">
              <w:rPr>
                <w:strike/>
              </w:rPr>
              <w:t>No increase in the maximum number of repeats may be authorised.</w:t>
            </w:r>
          </w:p>
          <w:p w:rsidR="001057D8" w:rsidRPr="00D8075A" w:rsidRDefault="001057D8" w:rsidP="008352A4">
            <w:pPr>
              <w:pStyle w:val="Tabletext"/>
              <w:rPr>
                <w:rFonts w:cs="Arial"/>
                <w:i/>
              </w:rPr>
            </w:pPr>
            <w:r w:rsidRPr="00D8075A">
              <w:rPr>
                <w:rFonts w:cs="Arial"/>
                <w:i/>
              </w:rPr>
              <w:t>Special Pricing Arrangements apply.</w:t>
            </w:r>
          </w:p>
          <w:p w:rsidR="001057D8" w:rsidRPr="00D8075A" w:rsidRDefault="001057D8" w:rsidP="008352A4">
            <w:pPr>
              <w:pStyle w:val="Tabletext"/>
              <w:rPr>
                <w:rFonts w:cs="Arial"/>
                <w:i/>
              </w:rPr>
            </w:pPr>
          </w:p>
          <w:p w:rsidR="001057D8" w:rsidRPr="00D8075A" w:rsidRDefault="001057D8" w:rsidP="008352A4">
            <w:pPr>
              <w:pStyle w:val="NormalWeb"/>
              <w:spacing w:before="0" w:after="0"/>
              <w:rPr>
                <w:rFonts w:ascii="Arial Narrow" w:hAnsi="Arial Narrow"/>
                <w:i/>
                <w:color w:val="333333"/>
                <w:sz w:val="20"/>
                <w:szCs w:val="20"/>
                <w:lang w:val="en-AU"/>
              </w:rPr>
            </w:pPr>
            <w:r w:rsidRPr="00D8075A">
              <w:rPr>
                <w:rFonts w:ascii="Arial Narrow" w:hAnsi="Arial Narrow"/>
                <w:i/>
                <w:color w:val="333333"/>
                <w:sz w:val="20"/>
                <w:szCs w:val="20"/>
                <w:lang w:val="en-AU"/>
              </w:rPr>
              <w:t>Response Evaluation Criteria In Solid Tumours (RECIST) is defined as follows:</w:t>
            </w:r>
          </w:p>
          <w:p w:rsidR="001057D8" w:rsidRPr="00D8075A" w:rsidRDefault="001057D8" w:rsidP="008352A4">
            <w:pPr>
              <w:pStyle w:val="NormalWeb"/>
              <w:spacing w:before="0" w:after="0"/>
              <w:rPr>
                <w:rFonts w:ascii="Arial Narrow" w:hAnsi="Arial Narrow"/>
                <w:i/>
                <w:color w:val="333333"/>
                <w:sz w:val="20"/>
                <w:szCs w:val="20"/>
                <w:lang w:val="en-AU"/>
              </w:rPr>
            </w:pPr>
            <w:r w:rsidRPr="00D8075A">
              <w:rPr>
                <w:rFonts w:ascii="Arial Narrow" w:hAnsi="Arial Narrow"/>
                <w:i/>
                <w:color w:val="333333"/>
                <w:sz w:val="20"/>
                <w:szCs w:val="20"/>
                <w:lang w:val="en-AU"/>
              </w:rPr>
              <w:t>Complete response (CR) is disappearance of all target lesions.</w:t>
            </w:r>
          </w:p>
          <w:p w:rsidR="001057D8" w:rsidRPr="00D8075A" w:rsidRDefault="001057D8" w:rsidP="008352A4">
            <w:pPr>
              <w:pStyle w:val="NormalWeb"/>
              <w:spacing w:before="0" w:after="0"/>
              <w:rPr>
                <w:rFonts w:ascii="Arial Narrow" w:hAnsi="Arial Narrow"/>
                <w:i/>
                <w:color w:val="333333"/>
                <w:sz w:val="20"/>
                <w:szCs w:val="20"/>
                <w:lang w:val="en-AU"/>
              </w:rPr>
            </w:pPr>
            <w:r w:rsidRPr="00D8075A">
              <w:rPr>
                <w:rFonts w:ascii="Arial Narrow" w:hAnsi="Arial Narrow"/>
                <w:i/>
                <w:color w:val="333333"/>
                <w:sz w:val="20"/>
                <w:szCs w:val="20"/>
                <w:lang w:val="en-AU"/>
              </w:rPr>
              <w:t>Partial response (PR) is a 30% decrease in the sum of the longest diameter of target lesions.</w:t>
            </w:r>
          </w:p>
          <w:p w:rsidR="001057D8" w:rsidRPr="00D8075A" w:rsidRDefault="001057D8" w:rsidP="008352A4">
            <w:pPr>
              <w:pStyle w:val="NormalWeb"/>
              <w:spacing w:before="0" w:after="0"/>
              <w:rPr>
                <w:rFonts w:ascii="Arial Narrow" w:hAnsi="Arial Narrow"/>
                <w:i/>
                <w:color w:val="333333"/>
                <w:sz w:val="20"/>
                <w:szCs w:val="20"/>
                <w:lang w:val="en-AU"/>
              </w:rPr>
            </w:pPr>
            <w:r w:rsidRPr="00D8075A">
              <w:rPr>
                <w:rFonts w:ascii="Arial Narrow" w:hAnsi="Arial Narrow"/>
                <w:i/>
                <w:color w:val="333333"/>
                <w:sz w:val="20"/>
                <w:szCs w:val="20"/>
                <w:lang w:val="en-AU"/>
              </w:rPr>
              <w:t>Progressive disease (PD) is a 20% increase in the sum of the longest diameter of target lesions.</w:t>
            </w:r>
          </w:p>
          <w:p w:rsidR="001057D8" w:rsidRPr="00D8075A" w:rsidRDefault="001057D8" w:rsidP="008352A4">
            <w:pPr>
              <w:pStyle w:val="NormalWeb"/>
              <w:spacing w:before="0" w:after="0"/>
              <w:rPr>
                <w:lang w:val="en-AU"/>
              </w:rPr>
            </w:pPr>
            <w:r w:rsidRPr="00D8075A">
              <w:rPr>
                <w:rFonts w:ascii="Arial Narrow" w:hAnsi="Arial Narrow"/>
                <w:i/>
                <w:color w:val="333333"/>
                <w:sz w:val="20"/>
                <w:szCs w:val="20"/>
                <w:lang w:val="en-AU"/>
              </w:rPr>
              <w:t>Stable disease (SD) is small changes that do not meet above criteria.</w:t>
            </w:r>
          </w:p>
        </w:tc>
      </w:tr>
    </w:tbl>
    <w:p w:rsidR="001057D8" w:rsidRPr="00D8075A" w:rsidRDefault="001057D8" w:rsidP="001057D8">
      <w:pPr>
        <w:pStyle w:val="PBACHeading1"/>
        <w:numPr>
          <w:ilvl w:val="0"/>
          <w:numId w:val="0"/>
        </w:numPr>
        <w:ind w:left="720" w:hanging="720"/>
        <w:rPr>
          <w:rFonts w:ascii="Arial Narrow" w:hAnsi="Arial Narrow"/>
          <w:sz w:val="20"/>
          <w:szCs w:val="20"/>
        </w:rPr>
      </w:pPr>
    </w:p>
    <w:tbl>
      <w:tblPr>
        <w:tblW w:w="9072" w:type="dxa"/>
        <w:tblInd w:w="108" w:type="dxa"/>
        <w:tblLayout w:type="fixed"/>
        <w:tblLook w:val="0000" w:firstRow="0" w:lastRow="0" w:firstColumn="0" w:lastColumn="0" w:noHBand="0" w:noVBand="0"/>
      </w:tblPr>
      <w:tblGrid>
        <w:gridCol w:w="3261"/>
        <w:gridCol w:w="850"/>
        <w:gridCol w:w="709"/>
        <w:gridCol w:w="1843"/>
        <w:gridCol w:w="1134"/>
        <w:gridCol w:w="1275"/>
      </w:tblGrid>
      <w:tr w:rsidR="001057D8" w:rsidRPr="00D8075A" w:rsidTr="008352A4">
        <w:trPr>
          <w:cantSplit/>
          <w:trHeight w:val="471"/>
        </w:trPr>
        <w:tc>
          <w:tcPr>
            <w:tcW w:w="3261" w:type="dxa"/>
            <w:tcBorders>
              <w:top w:val="single" w:sz="4" w:space="0" w:color="auto"/>
              <w:left w:val="single" w:sz="4" w:space="0" w:color="auto"/>
              <w:bottom w:val="single" w:sz="4" w:space="0" w:color="auto"/>
            </w:tcBorders>
            <w:shd w:val="clear" w:color="auto" w:fill="auto"/>
          </w:tcPr>
          <w:p w:rsidR="001057D8" w:rsidRPr="00D8075A" w:rsidRDefault="001057D8" w:rsidP="008352A4">
            <w:pPr>
              <w:pStyle w:val="TableText0"/>
              <w:rPr>
                <w:b/>
                <w:szCs w:val="20"/>
              </w:rPr>
            </w:pPr>
            <w:r w:rsidRPr="00D8075A">
              <w:rPr>
                <w:b/>
                <w:szCs w:val="20"/>
              </w:rPr>
              <w:lastRenderedPageBreak/>
              <w:t>Name,</w:t>
            </w:r>
            <w:r w:rsidRPr="00D8075A">
              <w:t xml:space="preserve"> </w:t>
            </w:r>
            <w:r w:rsidRPr="00D8075A">
              <w:rPr>
                <w:b/>
                <w:szCs w:val="20"/>
              </w:rPr>
              <w:t>Restriction,</w:t>
            </w:r>
          </w:p>
          <w:p w:rsidR="001057D8" w:rsidRPr="00D8075A" w:rsidRDefault="001057D8" w:rsidP="008352A4">
            <w:pPr>
              <w:pStyle w:val="TableText0"/>
              <w:rPr>
                <w:b/>
                <w:szCs w:val="20"/>
              </w:rPr>
            </w:pPr>
            <w:r w:rsidRPr="00D8075A">
              <w:rPr>
                <w:b/>
                <w:szCs w:val="20"/>
              </w:rPr>
              <w:t>Manner of administration and form</w:t>
            </w:r>
          </w:p>
        </w:tc>
        <w:tc>
          <w:tcPr>
            <w:tcW w:w="850" w:type="dxa"/>
            <w:tcBorders>
              <w:top w:val="single" w:sz="4" w:space="0" w:color="auto"/>
              <w:bottom w:val="single" w:sz="4" w:space="0" w:color="auto"/>
            </w:tcBorders>
            <w:shd w:val="clear" w:color="auto" w:fill="auto"/>
          </w:tcPr>
          <w:p w:rsidR="001057D8" w:rsidRPr="00D8075A" w:rsidRDefault="001057D8" w:rsidP="008352A4">
            <w:pPr>
              <w:pStyle w:val="TableText0"/>
              <w:rPr>
                <w:b/>
                <w:szCs w:val="20"/>
              </w:rPr>
            </w:pPr>
            <w:r w:rsidRPr="00D8075A">
              <w:rPr>
                <w:b/>
                <w:szCs w:val="20"/>
              </w:rPr>
              <w:t>Max.</w:t>
            </w:r>
            <w:r w:rsidRPr="00D8075A">
              <w:rPr>
                <w:b/>
                <w:szCs w:val="20"/>
              </w:rPr>
              <w:br/>
              <w:t>Amount</w:t>
            </w:r>
          </w:p>
        </w:tc>
        <w:tc>
          <w:tcPr>
            <w:tcW w:w="709" w:type="dxa"/>
            <w:tcBorders>
              <w:top w:val="single" w:sz="4" w:space="0" w:color="auto"/>
              <w:bottom w:val="single" w:sz="4" w:space="0" w:color="auto"/>
            </w:tcBorders>
            <w:shd w:val="clear" w:color="auto" w:fill="auto"/>
          </w:tcPr>
          <w:p w:rsidR="001057D8" w:rsidRPr="00D8075A" w:rsidRDefault="001057D8" w:rsidP="008352A4">
            <w:pPr>
              <w:pStyle w:val="TableText0"/>
              <w:rPr>
                <w:b/>
                <w:szCs w:val="20"/>
              </w:rPr>
            </w:pPr>
            <w:r w:rsidRPr="00D8075A">
              <w:rPr>
                <w:b/>
                <w:szCs w:val="20"/>
              </w:rPr>
              <w:t>№.of</w:t>
            </w:r>
            <w:r w:rsidRPr="00D8075A">
              <w:rPr>
                <w:b/>
                <w:szCs w:val="20"/>
              </w:rPr>
              <w:br/>
              <w:t>Rpts</w:t>
            </w:r>
          </w:p>
        </w:tc>
        <w:tc>
          <w:tcPr>
            <w:tcW w:w="1843" w:type="dxa"/>
            <w:tcBorders>
              <w:top w:val="single" w:sz="4" w:space="0" w:color="auto"/>
              <w:bottom w:val="single" w:sz="4" w:space="0" w:color="auto"/>
            </w:tcBorders>
            <w:shd w:val="clear" w:color="auto" w:fill="auto"/>
          </w:tcPr>
          <w:p w:rsidR="001057D8" w:rsidRPr="00D8075A" w:rsidRDefault="001057D8" w:rsidP="008352A4">
            <w:pPr>
              <w:pStyle w:val="TableText0"/>
              <w:rPr>
                <w:b/>
                <w:szCs w:val="20"/>
              </w:rPr>
            </w:pPr>
            <w:r w:rsidRPr="00D8075A">
              <w:rPr>
                <w:b/>
                <w:szCs w:val="20"/>
              </w:rPr>
              <w:t>DPMA</w:t>
            </w:r>
          </w:p>
        </w:tc>
        <w:tc>
          <w:tcPr>
            <w:tcW w:w="1134" w:type="dxa"/>
            <w:tcBorders>
              <w:top w:val="single" w:sz="4" w:space="0" w:color="auto"/>
              <w:bottom w:val="single" w:sz="4" w:space="0" w:color="auto"/>
            </w:tcBorders>
            <w:shd w:val="clear" w:color="auto" w:fill="auto"/>
          </w:tcPr>
          <w:p w:rsidR="001057D8" w:rsidRPr="00D8075A" w:rsidRDefault="001057D8" w:rsidP="008352A4">
            <w:pPr>
              <w:pStyle w:val="TableText0"/>
              <w:rPr>
                <w:b/>
                <w:szCs w:val="20"/>
              </w:rPr>
            </w:pPr>
            <w:r w:rsidRPr="00D8075A">
              <w:rPr>
                <w:b/>
                <w:szCs w:val="20"/>
              </w:rPr>
              <w:t xml:space="preserve">Proprietary name </w:t>
            </w:r>
          </w:p>
        </w:tc>
        <w:tc>
          <w:tcPr>
            <w:tcW w:w="1275" w:type="dxa"/>
            <w:tcBorders>
              <w:top w:val="single" w:sz="4" w:space="0" w:color="auto"/>
              <w:bottom w:val="single" w:sz="4" w:space="0" w:color="auto"/>
              <w:right w:val="single" w:sz="4" w:space="0" w:color="auto"/>
            </w:tcBorders>
            <w:shd w:val="clear" w:color="auto" w:fill="auto"/>
          </w:tcPr>
          <w:p w:rsidR="001057D8" w:rsidRPr="00D8075A" w:rsidRDefault="001057D8" w:rsidP="008352A4">
            <w:pPr>
              <w:pStyle w:val="TableText0"/>
              <w:rPr>
                <w:b/>
                <w:szCs w:val="20"/>
              </w:rPr>
            </w:pPr>
            <w:r w:rsidRPr="00D8075A">
              <w:rPr>
                <w:b/>
                <w:szCs w:val="20"/>
              </w:rPr>
              <w:t>Manufacturer</w:t>
            </w:r>
          </w:p>
        </w:tc>
      </w:tr>
      <w:tr w:rsidR="001057D8" w:rsidRPr="00D8075A" w:rsidTr="008352A4">
        <w:trPr>
          <w:cantSplit/>
          <w:trHeight w:val="577"/>
        </w:trPr>
        <w:tc>
          <w:tcPr>
            <w:tcW w:w="3261" w:type="dxa"/>
            <w:tcBorders>
              <w:top w:val="single" w:sz="4" w:space="0" w:color="auto"/>
              <w:left w:val="single" w:sz="4" w:space="0" w:color="auto"/>
              <w:bottom w:val="single" w:sz="4" w:space="0" w:color="auto"/>
            </w:tcBorders>
            <w:shd w:val="clear" w:color="auto" w:fill="auto"/>
          </w:tcPr>
          <w:p w:rsidR="001057D8" w:rsidRPr="00D8075A" w:rsidRDefault="001057D8" w:rsidP="008352A4">
            <w:pPr>
              <w:pStyle w:val="TableText0"/>
              <w:rPr>
                <w:strike/>
                <w:szCs w:val="20"/>
              </w:rPr>
            </w:pPr>
            <w:r w:rsidRPr="00D8075A">
              <w:rPr>
                <w:strike/>
                <w:szCs w:val="20"/>
              </w:rPr>
              <w:t>Avelumab, 200 mg injection: liquid, 1 vial</w:t>
            </w:r>
          </w:p>
          <w:p w:rsidR="001057D8" w:rsidRPr="00D8075A" w:rsidRDefault="001057D8" w:rsidP="008352A4">
            <w:pPr>
              <w:pStyle w:val="TableText0"/>
              <w:rPr>
                <w:szCs w:val="20"/>
              </w:rPr>
            </w:pPr>
            <w:r w:rsidRPr="00D8075A">
              <w:rPr>
                <w:szCs w:val="20"/>
              </w:rPr>
              <w:t>avelumab 200 mg/10 mL injection, 10 mL vial</w:t>
            </w:r>
          </w:p>
        </w:tc>
        <w:tc>
          <w:tcPr>
            <w:tcW w:w="850" w:type="dxa"/>
            <w:tcBorders>
              <w:top w:val="single" w:sz="4" w:space="0" w:color="auto"/>
              <w:bottom w:val="single" w:sz="4" w:space="0" w:color="auto"/>
            </w:tcBorders>
            <w:shd w:val="clear" w:color="auto" w:fill="auto"/>
          </w:tcPr>
          <w:p w:rsidR="001057D8" w:rsidRPr="00D8075A" w:rsidRDefault="001057D8" w:rsidP="008352A4">
            <w:pPr>
              <w:pStyle w:val="TableText0"/>
              <w:rPr>
                <w:szCs w:val="20"/>
              </w:rPr>
            </w:pPr>
            <w:r w:rsidRPr="00D8075A">
              <w:rPr>
                <w:szCs w:val="20"/>
              </w:rPr>
              <w:t>6</w:t>
            </w:r>
          </w:p>
        </w:tc>
        <w:tc>
          <w:tcPr>
            <w:tcW w:w="709" w:type="dxa"/>
            <w:tcBorders>
              <w:top w:val="single" w:sz="4" w:space="0" w:color="auto"/>
              <w:bottom w:val="single" w:sz="4" w:space="0" w:color="auto"/>
            </w:tcBorders>
            <w:shd w:val="clear" w:color="auto" w:fill="auto"/>
          </w:tcPr>
          <w:p w:rsidR="001057D8" w:rsidRPr="00D8075A" w:rsidRDefault="001057D8" w:rsidP="008352A4">
            <w:pPr>
              <w:pStyle w:val="TableText0"/>
              <w:rPr>
                <w:szCs w:val="20"/>
              </w:rPr>
            </w:pPr>
            <w:r w:rsidRPr="00D8075A">
              <w:rPr>
                <w:szCs w:val="20"/>
              </w:rPr>
              <w:t>11</w:t>
            </w:r>
          </w:p>
        </w:tc>
        <w:tc>
          <w:tcPr>
            <w:tcW w:w="1843" w:type="dxa"/>
            <w:tcBorders>
              <w:top w:val="single" w:sz="4" w:space="0" w:color="auto"/>
              <w:bottom w:val="single" w:sz="4" w:space="0" w:color="auto"/>
            </w:tcBorders>
            <w:shd w:val="clear" w:color="auto" w:fill="auto"/>
          </w:tcPr>
          <w:p w:rsidR="001057D8" w:rsidRPr="00D8075A" w:rsidRDefault="001057D8" w:rsidP="008352A4">
            <w:pPr>
              <w:pStyle w:val="Tabletext"/>
            </w:pPr>
            <w:r w:rsidRPr="00D8075A">
              <w:t>Public:</w:t>
            </w:r>
          </w:p>
          <w:p w:rsidR="001057D8" w:rsidRPr="00D8075A" w:rsidRDefault="001057D8" w:rsidP="008352A4">
            <w:pPr>
              <w:pStyle w:val="Tabletext"/>
            </w:pPr>
            <w:r w:rsidRPr="00D8075A">
              <w:t>$8,227.99 (published)</w:t>
            </w:r>
          </w:p>
          <w:p w:rsidR="001057D8" w:rsidRPr="00D8075A" w:rsidRDefault="001057D8" w:rsidP="008352A4">
            <w:pPr>
              <w:pStyle w:val="Tabletext"/>
            </w:pPr>
            <w:r w:rsidRPr="00D8075A">
              <w:t>$</w:t>
            </w:r>
            <w:r w:rsidR="00E43539">
              <w:rPr>
                <w:noProof/>
                <w:color w:val="000000"/>
                <w:highlight w:val="black"/>
              </w:rPr>
              <w:t>''''''''''''''''''''''</w:t>
            </w:r>
            <w:r w:rsidRPr="00D8075A">
              <w:t xml:space="preserve"> (effective)</w:t>
            </w:r>
          </w:p>
          <w:p w:rsidR="001057D8" w:rsidRPr="00D8075A" w:rsidRDefault="001057D8" w:rsidP="008352A4">
            <w:pPr>
              <w:pStyle w:val="Tabletext"/>
            </w:pPr>
            <w:r w:rsidRPr="00D8075A">
              <w:t>Private</w:t>
            </w:r>
          </w:p>
          <w:p w:rsidR="001057D8" w:rsidRPr="00D8075A" w:rsidRDefault="001057D8" w:rsidP="008352A4">
            <w:pPr>
              <w:pStyle w:val="Tabletext"/>
            </w:pPr>
            <w:r w:rsidRPr="00D8075A">
              <w:t>$8380.58 (published)</w:t>
            </w:r>
          </w:p>
          <w:p w:rsidR="001057D8" w:rsidRPr="00D8075A" w:rsidRDefault="001057D8" w:rsidP="008352A4">
            <w:pPr>
              <w:pStyle w:val="TableText0"/>
              <w:rPr>
                <w:szCs w:val="20"/>
              </w:rPr>
            </w:pPr>
            <w:r w:rsidRPr="00D8075A">
              <w:t>$</w:t>
            </w:r>
            <w:r w:rsidR="00E43539">
              <w:rPr>
                <w:noProof/>
                <w:color w:val="000000"/>
                <w:highlight w:val="black"/>
              </w:rPr>
              <w:t>''''''''''''''''''''</w:t>
            </w:r>
            <w:r w:rsidRPr="00D8075A">
              <w:t xml:space="preserve"> (effective)</w:t>
            </w:r>
          </w:p>
        </w:tc>
        <w:tc>
          <w:tcPr>
            <w:tcW w:w="1134" w:type="dxa"/>
            <w:tcBorders>
              <w:top w:val="single" w:sz="4" w:space="0" w:color="auto"/>
              <w:bottom w:val="single" w:sz="4" w:space="0" w:color="auto"/>
            </w:tcBorders>
            <w:shd w:val="clear" w:color="auto" w:fill="auto"/>
          </w:tcPr>
          <w:p w:rsidR="001057D8" w:rsidRPr="00D8075A" w:rsidRDefault="001057D8" w:rsidP="008352A4">
            <w:pPr>
              <w:pStyle w:val="TableText0"/>
              <w:rPr>
                <w:szCs w:val="20"/>
              </w:rPr>
            </w:pPr>
            <w:proofErr w:type="spellStart"/>
            <w:r w:rsidRPr="00D8075A">
              <w:rPr>
                <w:rStyle w:val="Emphasis"/>
                <w:rFonts w:cs="Arial"/>
                <w:bCs/>
                <w:i w:val="0"/>
                <w:iCs w:val="0"/>
                <w:shd w:val="clear" w:color="auto" w:fill="FFFFFF"/>
              </w:rPr>
              <w:t>Bavencio</w:t>
            </w:r>
            <w:proofErr w:type="spellEnd"/>
            <w:r w:rsidRPr="00D8075A">
              <w:rPr>
                <w:rStyle w:val="Emphasis"/>
                <w:rFonts w:cs="Arial"/>
                <w:b/>
                <w:bCs/>
                <w:i w:val="0"/>
                <w:iCs w:val="0"/>
                <w:shd w:val="clear" w:color="auto" w:fill="FFFFFF"/>
              </w:rPr>
              <w:t xml:space="preserve">® </w:t>
            </w:r>
            <w:r w:rsidRPr="00D8075A">
              <w:rPr>
                <w:strike/>
              </w:rPr>
              <w:t>SG</w:t>
            </w:r>
          </w:p>
        </w:tc>
        <w:tc>
          <w:tcPr>
            <w:tcW w:w="1275" w:type="dxa"/>
            <w:tcBorders>
              <w:top w:val="single" w:sz="4" w:space="0" w:color="auto"/>
              <w:bottom w:val="single" w:sz="4" w:space="0" w:color="auto"/>
              <w:right w:val="single" w:sz="4" w:space="0" w:color="auto"/>
            </w:tcBorders>
            <w:shd w:val="clear" w:color="auto" w:fill="auto"/>
          </w:tcPr>
          <w:p w:rsidR="001057D8" w:rsidRPr="00D8075A" w:rsidRDefault="001057D8" w:rsidP="008352A4">
            <w:pPr>
              <w:pStyle w:val="TableText0"/>
              <w:rPr>
                <w:szCs w:val="20"/>
              </w:rPr>
            </w:pPr>
            <w:r w:rsidRPr="00D8075A">
              <w:rPr>
                <w:szCs w:val="20"/>
              </w:rPr>
              <w:t xml:space="preserve">Merck </w:t>
            </w:r>
            <w:proofErr w:type="spellStart"/>
            <w:r w:rsidRPr="00D8075A">
              <w:rPr>
                <w:szCs w:val="20"/>
              </w:rPr>
              <w:t>Serono</w:t>
            </w:r>
            <w:proofErr w:type="spellEnd"/>
            <w:r w:rsidRPr="00D8075A">
              <w:rPr>
                <w:szCs w:val="20"/>
              </w:rPr>
              <w:t xml:space="preserve"> Australia Pty Ltd</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Category / Program:</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Section 100 – Efficient funding of chemotherapy</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Prescriber type:</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Medical Practitioners</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proofErr w:type="spellStart"/>
            <w:r w:rsidRPr="00D8075A">
              <w:t>Episodicity</w:t>
            </w:r>
            <w:proofErr w:type="spellEnd"/>
            <w:r w:rsidRPr="00D8075A">
              <w:t>:</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Severity:</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Stage IV (metastatic)</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Condition:</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Merkel Cell Carcinoma</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PBS Indication:</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Stage IV (metastatic) Merkel Cell Carcinoma</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rPr>
                <w:i/>
              </w:rPr>
            </w:pPr>
            <w:r w:rsidRPr="00D8075A">
              <w:t>Treatment phase:</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057D8" w:rsidRPr="00D8075A" w:rsidRDefault="001057D8" w:rsidP="008352A4">
            <w:pPr>
              <w:pStyle w:val="Tabletext"/>
            </w:pPr>
            <w:r w:rsidRPr="00D8075A">
              <w:rPr>
                <w:strike/>
              </w:rPr>
              <w:t>Treatment phase:</w:t>
            </w:r>
            <w:r w:rsidRPr="00D8075A">
              <w:t xml:space="preserve"> Grandfathering</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Restriction:</w:t>
            </w:r>
          </w:p>
          <w:p w:rsidR="001057D8" w:rsidRPr="00D8075A" w:rsidRDefault="001057D8" w:rsidP="008352A4">
            <w:pPr>
              <w:pStyle w:val="Tabletext"/>
            </w:pP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fldChar w:fldCharType="begin">
                <w:ffData>
                  <w:name w:val="Check1"/>
                  <w:enabled/>
                  <w:calcOnExit w:val="0"/>
                  <w:checkBox>
                    <w:sizeAuto/>
                    <w:default w:val="0"/>
                  </w:checkBox>
                </w:ffData>
              </w:fldChar>
            </w:r>
            <w:r w:rsidRPr="00D8075A">
              <w:instrText xml:space="preserve"> FORMCHECKBOX </w:instrText>
            </w:r>
            <w:r w:rsidR="0020366A">
              <w:fldChar w:fldCharType="separate"/>
            </w:r>
            <w:r w:rsidRPr="00D8075A">
              <w:fldChar w:fldCharType="end"/>
            </w:r>
            <w:r w:rsidRPr="00D8075A">
              <w:t>Restricted benefit</w:t>
            </w:r>
          </w:p>
          <w:p w:rsidR="001057D8" w:rsidRPr="00D8075A" w:rsidRDefault="001057D8" w:rsidP="008352A4">
            <w:pPr>
              <w:pStyle w:val="Tabletext"/>
            </w:pPr>
            <w:r w:rsidRPr="00D8075A">
              <w:fldChar w:fldCharType="begin">
                <w:ffData>
                  <w:name w:val=""/>
                  <w:enabled/>
                  <w:calcOnExit w:val="0"/>
                  <w:checkBox>
                    <w:sizeAuto/>
                    <w:default w:val="0"/>
                  </w:checkBox>
                </w:ffData>
              </w:fldChar>
            </w:r>
            <w:r w:rsidRPr="00D8075A">
              <w:instrText xml:space="preserve"> FORMCHECKBOX </w:instrText>
            </w:r>
            <w:r w:rsidR="0020366A">
              <w:fldChar w:fldCharType="separate"/>
            </w:r>
            <w:r w:rsidRPr="00D8075A">
              <w:fldChar w:fldCharType="end"/>
            </w:r>
            <w:r w:rsidRPr="00D8075A">
              <w:t>Authority Required - In Writing</w:t>
            </w:r>
          </w:p>
          <w:p w:rsidR="001057D8" w:rsidRPr="00D8075A" w:rsidRDefault="001057D8" w:rsidP="008352A4">
            <w:pPr>
              <w:pStyle w:val="Tabletext"/>
            </w:pPr>
            <w:r w:rsidRPr="00D8075A">
              <w:fldChar w:fldCharType="begin">
                <w:ffData>
                  <w:name w:val="Check3"/>
                  <w:enabled/>
                  <w:calcOnExit w:val="0"/>
                  <w:checkBox>
                    <w:sizeAuto/>
                    <w:default w:val="0"/>
                  </w:checkBox>
                </w:ffData>
              </w:fldChar>
            </w:r>
            <w:r w:rsidRPr="00D8075A">
              <w:instrText xml:space="preserve"> FORMCHECKBOX </w:instrText>
            </w:r>
            <w:r w:rsidR="0020366A">
              <w:fldChar w:fldCharType="separate"/>
            </w:r>
            <w:r w:rsidRPr="00D8075A">
              <w:fldChar w:fldCharType="end"/>
            </w:r>
            <w:r w:rsidRPr="00D8075A">
              <w:t>Authority Required - Telephone</w:t>
            </w:r>
          </w:p>
          <w:p w:rsidR="001057D8" w:rsidRPr="00D8075A" w:rsidRDefault="001057D8" w:rsidP="008352A4">
            <w:pPr>
              <w:pStyle w:val="Tabletext"/>
            </w:pPr>
            <w:r w:rsidRPr="00D8075A">
              <w:fldChar w:fldCharType="begin">
                <w:ffData>
                  <w:name w:val=""/>
                  <w:enabled/>
                  <w:calcOnExit w:val="0"/>
                  <w:checkBox>
                    <w:sizeAuto/>
                    <w:default w:val="0"/>
                  </w:checkBox>
                </w:ffData>
              </w:fldChar>
            </w:r>
            <w:r w:rsidRPr="00D8075A">
              <w:instrText xml:space="preserve"> FORMCHECKBOX </w:instrText>
            </w:r>
            <w:r w:rsidR="0020366A">
              <w:fldChar w:fldCharType="separate"/>
            </w:r>
            <w:r w:rsidRPr="00D8075A">
              <w:fldChar w:fldCharType="end"/>
            </w:r>
            <w:r w:rsidRPr="00D8075A">
              <w:t>Authority Required – Emergency</w:t>
            </w:r>
          </w:p>
          <w:p w:rsidR="001057D8" w:rsidRPr="00D8075A" w:rsidRDefault="001057D8" w:rsidP="008352A4">
            <w:pPr>
              <w:pStyle w:val="Tabletext"/>
            </w:pPr>
            <w:r w:rsidRPr="00D8075A">
              <w:fldChar w:fldCharType="begin">
                <w:ffData>
                  <w:name w:val="Check5"/>
                  <w:enabled/>
                  <w:calcOnExit w:val="0"/>
                  <w:checkBox>
                    <w:sizeAuto/>
                    <w:default w:val="0"/>
                  </w:checkBox>
                </w:ffData>
              </w:fldChar>
            </w:r>
            <w:r w:rsidRPr="00D8075A">
              <w:instrText xml:space="preserve"> FORMCHECKBOX </w:instrText>
            </w:r>
            <w:r w:rsidR="0020366A">
              <w:fldChar w:fldCharType="separate"/>
            </w:r>
            <w:r w:rsidRPr="00D8075A">
              <w:fldChar w:fldCharType="end"/>
            </w:r>
            <w:r w:rsidRPr="00D8075A">
              <w:t>Authority Required - Electronic</w:t>
            </w:r>
          </w:p>
          <w:p w:rsidR="001057D8" w:rsidRPr="00D8075A" w:rsidRDefault="001057D8" w:rsidP="008352A4">
            <w:pPr>
              <w:pStyle w:val="Tabletext"/>
            </w:pPr>
            <w:r w:rsidRPr="00D8075A">
              <w:fldChar w:fldCharType="begin">
                <w:ffData>
                  <w:name w:val="Check5"/>
                  <w:enabled/>
                  <w:calcOnExit w:val="0"/>
                  <w:checkBox>
                    <w:sizeAuto/>
                    <w:default w:val="1"/>
                  </w:checkBox>
                </w:ffData>
              </w:fldChar>
            </w:r>
            <w:r w:rsidRPr="00D8075A">
              <w:instrText xml:space="preserve"> FORMCHECKBOX </w:instrText>
            </w:r>
            <w:r w:rsidR="0020366A">
              <w:fldChar w:fldCharType="separate"/>
            </w:r>
            <w:r w:rsidRPr="00D8075A">
              <w:fldChar w:fldCharType="end"/>
            </w:r>
            <w:r w:rsidRPr="00D8075A">
              <w:t>Streamlined</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Treatment criteria:</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 xml:space="preserve">Clinical criteria: </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 xml:space="preserve">The treatment must be the sole PBS-subsidised therapy for this condition; </w:t>
            </w:r>
          </w:p>
          <w:p w:rsidR="001057D8" w:rsidRPr="00D8075A" w:rsidRDefault="001057D8" w:rsidP="008352A4">
            <w:pPr>
              <w:pStyle w:val="Tabletext"/>
            </w:pPr>
            <w:r w:rsidRPr="00D8075A">
              <w:t xml:space="preserve">AND </w:t>
            </w:r>
          </w:p>
          <w:p w:rsidR="001057D8" w:rsidRPr="00D8075A" w:rsidRDefault="001057D8" w:rsidP="008352A4">
            <w:pPr>
              <w:pStyle w:val="Tabletext"/>
            </w:pPr>
            <w:r w:rsidRPr="00D8075A">
              <w:t>Patient must have received treatment with avelumab for this condition prior to [date to be determined]</w:t>
            </w:r>
          </w:p>
          <w:p w:rsidR="001057D8" w:rsidRPr="00D8075A" w:rsidRDefault="001057D8" w:rsidP="008352A4">
            <w:pPr>
              <w:pStyle w:val="Tabletext"/>
            </w:pPr>
            <w:r w:rsidRPr="00D8075A">
              <w:t xml:space="preserve">AND </w:t>
            </w:r>
          </w:p>
          <w:p w:rsidR="001057D8" w:rsidRPr="00D8075A" w:rsidRDefault="001057D8" w:rsidP="008352A4">
            <w:pPr>
              <w:pStyle w:val="Tabletext"/>
            </w:pPr>
            <w:r w:rsidRPr="00D8075A">
              <w:t>Patient must have stable or responding disease</w:t>
            </w:r>
            <w:r w:rsidRPr="00D8075A">
              <w:rPr>
                <w:rFonts w:cs="Arial"/>
                <w:i/>
              </w:rPr>
              <w:t xml:space="preserve"> according to the Response Evaluation Criteria In Solid Tumours (RECIST)</w:t>
            </w:r>
            <w:r w:rsidRPr="00D8075A">
              <w:t>;</w:t>
            </w:r>
          </w:p>
          <w:p w:rsidR="001057D8" w:rsidRPr="00D8075A" w:rsidRDefault="001057D8" w:rsidP="008352A4">
            <w:pPr>
              <w:pStyle w:val="Tabletext"/>
            </w:pPr>
            <w:r w:rsidRPr="00D8075A">
              <w:t xml:space="preserve">AND </w:t>
            </w:r>
          </w:p>
          <w:p w:rsidR="001057D8" w:rsidRPr="00D8075A" w:rsidRDefault="001057D8" w:rsidP="008352A4">
            <w:pPr>
              <w:pStyle w:val="Tabletext"/>
            </w:pPr>
            <w:r w:rsidRPr="00D8075A">
              <w:t>The treatment must not exceed a maximum dose of 10 mg per kg every 2 weeks.</w:t>
            </w:r>
          </w:p>
          <w:p w:rsidR="001057D8" w:rsidRPr="00D8075A" w:rsidRDefault="001057D8" w:rsidP="008352A4">
            <w:pPr>
              <w:pStyle w:val="Tabletext"/>
              <w:rPr>
                <w:i/>
              </w:rPr>
            </w:pPr>
            <w:r w:rsidRPr="00D8075A">
              <w:rPr>
                <w:i/>
              </w:rPr>
              <w:t>AND</w:t>
            </w:r>
          </w:p>
          <w:p w:rsidR="001057D8" w:rsidRPr="00D8075A" w:rsidRDefault="001057D8" w:rsidP="008352A4">
            <w:pPr>
              <w:pStyle w:val="Tabletext"/>
            </w:pPr>
            <w:r w:rsidRPr="00D8075A">
              <w:rPr>
                <w:rStyle w:val="IntenseReference"/>
                <w:rFonts w:cs="Arial"/>
                <w:b w:val="0"/>
                <w:bCs w:val="0"/>
                <w:i/>
                <w:smallCaps w:val="0"/>
                <w:color w:val="auto"/>
                <w:u w:val="none"/>
              </w:rPr>
              <w:t>Patient must have WHO performance status score of 1 or less.</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Prescriber Instructions</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pPr>
            <w:r w:rsidRPr="00D8075A">
              <w:t>The patient’s body weight must be documented in the patient’s medical records at the time treatment is initiated.</w:t>
            </w:r>
          </w:p>
        </w:tc>
      </w:tr>
      <w:tr w:rsidR="001057D8" w:rsidRPr="00D8075A" w:rsidTr="008352A4">
        <w:trPr>
          <w:cantSplit/>
          <w:trHeight w:val="36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rPr>
                <w:i/>
              </w:rPr>
            </w:pPr>
            <w:r w:rsidRPr="00D8075A">
              <w:t>Administrative Advice</w:t>
            </w:r>
          </w:p>
        </w:tc>
        <w:tc>
          <w:tcPr>
            <w:tcW w:w="5811" w:type="dxa"/>
            <w:gridSpan w:val="5"/>
            <w:tcBorders>
              <w:top w:val="single" w:sz="4" w:space="0" w:color="auto"/>
              <w:left w:val="single" w:sz="4" w:space="0" w:color="auto"/>
              <w:bottom w:val="single" w:sz="4" w:space="0" w:color="auto"/>
              <w:right w:val="single" w:sz="4" w:space="0" w:color="auto"/>
            </w:tcBorders>
            <w:shd w:val="clear" w:color="auto" w:fill="auto"/>
          </w:tcPr>
          <w:p w:rsidR="001057D8" w:rsidRPr="00D8075A" w:rsidRDefault="001057D8" w:rsidP="008352A4">
            <w:pPr>
              <w:pStyle w:val="Tabletext"/>
              <w:rPr>
                <w:strike/>
              </w:rPr>
            </w:pPr>
            <w:r w:rsidRPr="00D8075A">
              <w:rPr>
                <w:strike/>
              </w:rPr>
              <w:t>No increase in the maximum number of repeats may be authorised.</w:t>
            </w:r>
          </w:p>
          <w:p w:rsidR="001057D8" w:rsidRPr="00D8075A" w:rsidRDefault="001057D8" w:rsidP="008352A4">
            <w:pPr>
              <w:pStyle w:val="Tabletext"/>
              <w:rPr>
                <w:rFonts w:cs="Arial"/>
                <w:i/>
              </w:rPr>
            </w:pPr>
            <w:r w:rsidRPr="00D8075A">
              <w:rPr>
                <w:rFonts w:cs="Arial"/>
                <w:i/>
              </w:rPr>
              <w:t>Special Pricing Arrangements apply.</w:t>
            </w:r>
          </w:p>
          <w:p w:rsidR="001057D8" w:rsidRPr="00D8075A" w:rsidRDefault="001057D8" w:rsidP="008352A4">
            <w:pPr>
              <w:pStyle w:val="Tabletext"/>
              <w:rPr>
                <w:rFonts w:cs="Arial"/>
                <w:i/>
              </w:rPr>
            </w:pPr>
          </w:p>
          <w:p w:rsidR="001057D8" w:rsidRPr="00D8075A" w:rsidRDefault="001057D8" w:rsidP="008352A4">
            <w:pPr>
              <w:pStyle w:val="NormalWeb"/>
              <w:spacing w:before="0" w:after="0"/>
              <w:rPr>
                <w:rFonts w:ascii="Arial Narrow" w:hAnsi="Arial Narrow"/>
                <w:i/>
                <w:color w:val="333333"/>
                <w:sz w:val="20"/>
                <w:szCs w:val="20"/>
                <w:lang w:val="en-AU"/>
              </w:rPr>
            </w:pPr>
            <w:r w:rsidRPr="00D8075A">
              <w:rPr>
                <w:rFonts w:ascii="Arial Narrow" w:hAnsi="Arial Narrow"/>
                <w:i/>
                <w:color w:val="333333"/>
                <w:sz w:val="20"/>
                <w:szCs w:val="20"/>
                <w:lang w:val="en-AU"/>
              </w:rPr>
              <w:t>Response Evaluation Criteria In Solid Tumours (RECIST) is defined as follows:</w:t>
            </w:r>
          </w:p>
          <w:p w:rsidR="001057D8" w:rsidRPr="00D8075A" w:rsidRDefault="001057D8" w:rsidP="008352A4">
            <w:pPr>
              <w:pStyle w:val="NormalWeb"/>
              <w:spacing w:before="0" w:after="0"/>
              <w:rPr>
                <w:rFonts w:ascii="Arial Narrow" w:hAnsi="Arial Narrow"/>
                <w:i/>
                <w:color w:val="333333"/>
                <w:sz w:val="20"/>
                <w:szCs w:val="20"/>
                <w:lang w:val="en-AU"/>
              </w:rPr>
            </w:pPr>
            <w:r w:rsidRPr="00D8075A">
              <w:rPr>
                <w:rFonts w:ascii="Arial Narrow" w:hAnsi="Arial Narrow"/>
                <w:i/>
                <w:color w:val="333333"/>
                <w:sz w:val="20"/>
                <w:szCs w:val="20"/>
                <w:lang w:val="en-AU"/>
              </w:rPr>
              <w:t>Complete response (CR) is disappearance of all target lesions.</w:t>
            </w:r>
          </w:p>
          <w:p w:rsidR="001057D8" w:rsidRPr="00D8075A" w:rsidRDefault="001057D8" w:rsidP="008352A4">
            <w:pPr>
              <w:pStyle w:val="NormalWeb"/>
              <w:spacing w:before="0" w:after="0"/>
              <w:rPr>
                <w:rFonts w:ascii="Arial Narrow" w:hAnsi="Arial Narrow"/>
                <w:i/>
                <w:color w:val="333333"/>
                <w:sz w:val="20"/>
                <w:szCs w:val="20"/>
                <w:lang w:val="en-AU"/>
              </w:rPr>
            </w:pPr>
            <w:r w:rsidRPr="00D8075A">
              <w:rPr>
                <w:rFonts w:ascii="Arial Narrow" w:hAnsi="Arial Narrow"/>
                <w:i/>
                <w:color w:val="333333"/>
                <w:sz w:val="20"/>
                <w:szCs w:val="20"/>
                <w:lang w:val="en-AU"/>
              </w:rPr>
              <w:t>Partial response (PR) is a 30% decrease in the sum of the longest diameter of target lesions.</w:t>
            </w:r>
          </w:p>
          <w:p w:rsidR="001057D8" w:rsidRPr="00D8075A" w:rsidRDefault="001057D8" w:rsidP="008352A4">
            <w:pPr>
              <w:pStyle w:val="NormalWeb"/>
              <w:spacing w:before="0" w:after="0"/>
              <w:rPr>
                <w:rFonts w:ascii="Arial Narrow" w:hAnsi="Arial Narrow"/>
                <w:i/>
                <w:color w:val="333333"/>
                <w:sz w:val="20"/>
                <w:szCs w:val="20"/>
                <w:lang w:val="en-AU"/>
              </w:rPr>
            </w:pPr>
            <w:r w:rsidRPr="00D8075A">
              <w:rPr>
                <w:rFonts w:ascii="Arial Narrow" w:hAnsi="Arial Narrow"/>
                <w:i/>
                <w:color w:val="333333"/>
                <w:sz w:val="20"/>
                <w:szCs w:val="20"/>
                <w:lang w:val="en-AU"/>
              </w:rPr>
              <w:t>Progressive disease (PD) is a 20% increase in the sum of the longest diameter of target lesions.</w:t>
            </w:r>
          </w:p>
          <w:p w:rsidR="001057D8" w:rsidRPr="00D8075A" w:rsidRDefault="001057D8" w:rsidP="008352A4">
            <w:pPr>
              <w:pStyle w:val="Tabletext"/>
            </w:pPr>
            <w:r w:rsidRPr="00D8075A">
              <w:rPr>
                <w:i/>
                <w:color w:val="333333"/>
                <w:szCs w:val="20"/>
              </w:rPr>
              <w:t>Stable disease (SD) is small changes that do not meet above criteria.</w:t>
            </w:r>
          </w:p>
        </w:tc>
      </w:tr>
    </w:tbl>
    <w:p w:rsidR="001057D8" w:rsidRPr="00D8075A" w:rsidRDefault="001057D8" w:rsidP="00694239"/>
    <w:p w:rsidR="0014780B" w:rsidRPr="00D8075A" w:rsidRDefault="008D1581" w:rsidP="00C3432B">
      <w:pPr>
        <w:pStyle w:val="ListParagraph"/>
        <w:widowControl/>
        <w:numPr>
          <w:ilvl w:val="1"/>
          <w:numId w:val="1"/>
        </w:numPr>
      </w:pPr>
      <w:r w:rsidRPr="00D8075A">
        <w:rPr>
          <w:rFonts w:eastAsia="Calibri" w:cs="Calibri"/>
          <w:snapToGrid/>
          <w:lang w:eastAsia="en-AU"/>
        </w:rPr>
        <w:lastRenderedPageBreak/>
        <w:t xml:space="preserve">Although the proposed listing above is for use in a second line setting following chemotherapy, the submission requested that the PBAC </w:t>
      </w:r>
      <w:r w:rsidR="003B7F04" w:rsidRPr="00D8075A">
        <w:rPr>
          <w:rFonts w:eastAsia="Calibri" w:cs="Calibri"/>
          <w:snapToGrid/>
          <w:lang w:eastAsia="en-AU"/>
        </w:rPr>
        <w:t xml:space="preserve">also </w:t>
      </w:r>
      <w:r w:rsidRPr="00D8075A">
        <w:rPr>
          <w:rFonts w:eastAsia="Calibri" w:cs="Calibri"/>
          <w:snapToGrid/>
          <w:lang w:eastAsia="en-AU"/>
        </w:rPr>
        <w:t xml:space="preserve">consider a broader listing which would also allow use in the first-line setting. </w:t>
      </w:r>
      <w:r w:rsidR="00846809" w:rsidRPr="00D8075A">
        <w:t>T</w:t>
      </w:r>
      <w:r w:rsidR="0014780B" w:rsidRPr="00D8075A">
        <w:t xml:space="preserve">he ESC </w:t>
      </w:r>
      <w:r w:rsidR="00846809" w:rsidRPr="00D8075A">
        <w:t>considered that given the immature evidence available for avelumab</w:t>
      </w:r>
      <w:r w:rsidRPr="00D8075A">
        <w:t>,</w:t>
      </w:r>
      <w:r w:rsidR="00846809" w:rsidRPr="00D8075A">
        <w:t xml:space="preserve"> a </w:t>
      </w:r>
      <w:r w:rsidR="0014780B" w:rsidRPr="00D8075A">
        <w:t>second</w:t>
      </w:r>
      <w:r w:rsidR="002659A8" w:rsidRPr="00D8075A">
        <w:t>-</w:t>
      </w:r>
      <w:r w:rsidR="0014780B" w:rsidRPr="00D8075A">
        <w:t xml:space="preserve">line </w:t>
      </w:r>
      <w:r w:rsidR="00846809" w:rsidRPr="00D8075A">
        <w:t>listing may be more appropriate.</w:t>
      </w:r>
      <w:r w:rsidR="0014780B" w:rsidRPr="00D8075A">
        <w:t xml:space="preserve"> </w:t>
      </w:r>
      <w:r w:rsidR="002659A8" w:rsidRPr="00D8075A">
        <w:t>However, the ESC also expressed concern that if recommended for second-line only, there may be a risk of leakage in the first line setting.</w:t>
      </w:r>
      <w:r w:rsidR="00120EC1" w:rsidRPr="00D8075A">
        <w:t xml:space="preserve"> </w:t>
      </w:r>
      <w:r w:rsidR="00B41609" w:rsidRPr="00D8075A">
        <w:t xml:space="preserve">The </w:t>
      </w:r>
      <w:r w:rsidR="00420F64">
        <w:t>Pre-Sub-Committee-Response (</w:t>
      </w:r>
      <w:r w:rsidR="00B41609" w:rsidRPr="00D8075A">
        <w:t>PSCR</w:t>
      </w:r>
      <w:r w:rsidR="00420F64">
        <w:t>)</w:t>
      </w:r>
      <w:r w:rsidR="00B41609" w:rsidRPr="00D8075A">
        <w:t xml:space="preserve"> acknowledge</w:t>
      </w:r>
      <w:r w:rsidR="002659A8" w:rsidRPr="00D8075A">
        <w:t>d</w:t>
      </w:r>
      <w:r w:rsidR="00B41609" w:rsidRPr="00D8075A">
        <w:t xml:space="preserve"> that the data in </w:t>
      </w:r>
      <w:r w:rsidR="00120EC1" w:rsidRPr="00D8075A">
        <w:t>first-line</w:t>
      </w:r>
      <w:r w:rsidR="00B41609" w:rsidRPr="00D8075A">
        <w:t xml:space="preserve"> is emerging, however</w:t>
      </w:r>
      <w:r w:rsidR="002659A8" w:rsidRPr="00D8075A">
        <w:t xml:space="preserve"> it noted that</w:t>
      </w:r>
      <w:r w:rsidR="00B41609" w:rsidRPr="00D8075A">
        <w:t xml:space="preserve">, </w:t>
      </w:r>
      <w:r w:rsidR="00F93F07" w:rsidRPr="00D8075A">
        <w:t xml:space="preserve">in </w:t>
      </w:r>
      <w:r w:rsidR="00B41609" w:rsidRPr="00D8075A">
        <w:t xml:space="preserve">12 countries for which reimbursement has been recommended, </w:t>
      </w:r>
      <w:r w:rsidR="00CA396A" w:rsidRPr="00D8075A">
        <w:t xml:space="preserve">it </w:t>
      </w:r>
      <w:r w:rsidR="00B41609" w:rsidRPr="00D8075A">
        <w:t xml:space="preserve">has been for both </w:t>
      </w:r>
      <w:r w:rsidR="0040159A" w:rsidRPr="00D8075A">
        <w:t xml:space="preserve">the </w:t>
      </w:r>
      <w:r w:rsidR="00D909F8" w:rsidRPr="00D8075A">
        <w:t xml:space="preserve">first and second line </w:t>
      </w:r>
      <w:r w:rsidR="00AD5B6B" w:rsidRPr="00D8075A">
        <w:t>settings</w:t>
      </w:r>
      <w:r w:rsidR="00B41609" w:rsidRPr="00D8075A">
        <w:t xml:space="preserve">. </w:t>
      </w:r>
      <w:r w:rsidR="0014780B" w:rsidRPr="00D8075A">
        <w:t xml:space="preserve">The PBAC </w:t>
      </w:r>
      <w:r w:rsidR="00CA396A" w:rsidRPr="00D8075A">
        <w:t xml:space="preserve">considered </w:t>
      </w:r>
      <w:r w:rsidR="00A11E44" w:rsidRPr="00D8075A">
        <w:t xml:space="preserve">that although there was </w:t>
      </w:r>
      <w:r w:rsidR="00C40AE4" w:rsidRPr="00D8075A">
        <w:t>limited data for</w:t>
      </w:r>
      <w:r w:rsidR="00FC5783" w:rsidRPr="00D8075A">
        <w:t xml:space="preserve"> avelumab </w:t>
      </w:r>
      <w:r w:rsidR="00A11E44" w:rsidRPr="00D8075A">
        <w:t>in the first line setting</w:t>
      </w:r>
      <w:r w:rsidR="006818A3" w:rsidRPr="00D8075A">
        <w:t xml:space="preserve"> clinician preference would likely be </w:t>
      </w:r>
      <w:r w:rsidR="00FC5783" w:rsidRPr="00D8075A">
        <w:t xml:space="preserve">for use </w:t>
      </w:r>
      <w:r w:rsidR="006818A3" w:rsidRPr="00D8075A">
        <w:t xml:space="preserve">in the first line setting given the low efficacy and high toxicity in using chemotherapy to treat </w:t>
      </w:r>
      <w:proofErr w:type="spellStart"/>
      <w:r w:rsidR="00FC5783" w:rsidRPr="00D8075A">
        <w:t>m</w:t>
      </w:r>
      <w:r w:rsidR="006818A3" w:rsidRPr="00D8075A">
        <w:t>MCC</w:t>
      </w:r>
      <w:proofErr w:type="spellEnd"/>
      <w:r w:rsidR="006818A3" w:rsidRPr="00D8075A">
        <w:t xml:space="preserve">. </w:t>
      </w:r>
      <w:r w:rsidR="00FC5783" w:rsidRPr="00D8075A">
        <w:t>Overall</w:t>
      </w:r>
      <w:r w:rsidR="006818A3" w:rsidRPr="00D8075A">
        <w:t xml:space="preserve">, the PBAC </w:t>
      </w:r>
      <w:r w:rsidR="00594C23" w:rsidRPr="00D8075A">
        <w:t xml:space="preserve">considered </w:t>
      </w:r>
      <w:r w:rsidR="00C40AE4" w:rsidRPr="00D8075A">
        <w:t xml:space="preserve">a listing enabling use </w:t>
      </w:r>
      <w:r w:rsidR="00017253" w:rsidRPr="00D8075A">
        <w:t xml:space="preserve">in both </w:t>
      </w:r>
      <w:r w:rsidR="00C40AE4" w:rsidRPr="00D8075A">
        <w:t xml:space="preserve">the </w:t>
      </w:r>
      <w:r w:rsidR="00017253" w:rsidRPr="00D8075A">
        <w:t>first and second line</w:t>
      </w:r>
      <w:r w:rsidR="00C40AE4" w:rsidRPr="00D8075A">
        <w:t xml:space="preserve"> setting</w:t>
      </w:r>
      <w:r w:rsidR="003E5B10" w:rsidRPr="00D8075A">
        <w:t>s</w:t>
      </w:r>
      <w:r w:rsidR="00017253" w:rsidRPr="00D8075A">
        <w:t xml:space="preserve"> </w:t>
      </w:r>
      <w:r w:rsidR="00872E88" w:rsidRPr="00D8075A">
        <w:t>would provide</w:t>
      </w:r>
      <w:r w:rsidR="00017253" w:rsidRPr="00D8075A">
        <w:t xml:space="preserve"> equitable access to</w:t>
      </w:r>
      <w:r w:rsidR="009B032F" w:rsidRPr="00D8075A">
        <w:t xml:space="preserve"> all</w:t>
      </w:r>
      <w:r w:rsidR="00017253" w:rsidRPr="00D8075A">
        <w:t xml:space="preserve"> patients with this rare cancer</w:t>
      </w:r>
      <w:r w:rsidR="003E5B10" w:rsidRPr="00D8075A">
        <w:t>.</w:t>
      </w:r>
    </w:p>
    <w:p w:rsidR="009D181C" w:rsidRPr="00D8075A" w:rsidRDefault="00694239" w:rsidP="00C3432B">
      <w:pPr>
        <w:pStyle w:val="ListParagraph"/>
        <w:numPr>
          <w:ilvl w:val="1"/>
          <w:numId w:val="1"/>
        </w:numPr>
      </w:pPr>
      <w:r w:rsidRPr="00D8075A">
        <w:t xml:space="preserve">The </w:t>
      </w:r>
      <w:r w:rsidR="008E3B5B" w:rsidRPr="00D8075A">
        <w:t>requested PBS</w:t>
      </w:r>
      <w:r w:rsidRPr="00D8075A">
        <w:t xml:space="preserve"> restriction </w:t>
      </w:r>
      <w:r w:rsidR="00B6421D" w:rsidRPr="00D8075A">
        <w:t>did</w:t>
      </w:r>
      <w:r w:rsidRPr="00D8075A">
        <w:t xml:space="preserve"> not restrict avelumab to patients with an ECOG score of 0 or 1. The JAVELIN Merkel 200 </w:t>
      </w:r>
      <w:r w:rsidR="00446210" w:rsidRPr="00D8075A">
        <w:t>study</w:t>
      </w:r>
      <w:r w:rsidRPr="00D8075A">
        <w:t xml:space="preserve"> excluded patients with an ECOG score greater than 1. </w:t>
      </w:r>
      <w:r w:rsidR="009C33E7" w:rsidRPr="00D8075A">
        <w:t xml:space="preserve">The ESC considered that it would be reasonable to restrict the ECOG performance status to 1 to align with the JAVELIN study. The PBAC </w:t>
      </w:r>
      <w:r w:rsidR="00A6276C" w:rsidRPr="00D8075A">
        <w:t xml:space="preserve">considered that it </w:t>
      </w:r>
      <w:r w:rsidR="009B032F" w:rsidRPr="00D8075A">
        <w:t>may</w:t>
      </w:r>
      <w:r w:rsidR="00A6276C" w:rsidRPr="00D8075A">
        <w:t xml:space="preserve"> be impractical to restrict therapy to an ECOG status of 1 or less in clinical practice given the lack of treatment options and </w:t>
      </w:r>
      <w:r w:rsidR="007B76D3" w:rsidRPr="00D8075A">
        <w:rPr>
          <w:rFonts w:asciiTheme="minorHAnsi" w:hAnsiTheme="minorHAnsi"/>
          <w:bCs/>
        </w:rPr>
        <w:t>recommended that the listing not be restricted based on WHO or ECOG status.</w:t>
      </w:r>
    </w:p>
    <w:p w:rsidR="00DC1A18" w:rsidRPr="00D8075A" w:rsidRDefault="00872E88" w:rsidP="00C3432B">
      <w:pPr>
        <w:pStyle w:val="ListParagraph"/>
        <w:numPr>
          <w:ilvl w:val="1"/>
          <w:numId w:val="1"/>
        </w:numPr>
        <w:rPr>
          <w:lang w:eastAsia="zh-CN"/>
        </w:rPr>
      </w:pPr>
      <w:r w:rsidRPr="00D8075A">
        <w:rPr>
          <w:lang w:eastAsia="zh-CN"/>
        </w:rPr>
        <w:t xml:space="preserve">The proposed PBS listing does not allow treatment beyond </w:t>
      </w:r>
      <w:proofErr w:type="gramStart"/>
      <w:r w:rsidRPr="00D8075A">
        <w:rPr>
          <w:lang w:eastAsia="zh-CN"/>
        </w:rPr>
        <w:t>progression</w:t>
      </w:r>
      <w:r w:rsidR="00EE413B" w:rsidRPr="00D8075A">
        <w:rPr>
          <w:lang w:eastAsia="zh-CN"/>
        </w:rPr>
        <w:t>,</w:t>
      </w:r>
      <w:proofErr w:type="gramEnd"/>
      <w:r w:rsidRPr="00D8075A">
        <w:rPr>
          <w:lang w:eastAsia="zh-CN"/>
        </w:rPr>
        <w:t xml:space="preserve"> however, t</w:t>
      </w:r>
      <w:r w:rsidR="00DC1A18" w:rsidRPr="00D8075A">
        <w:rPr>
          <w:lang w:eastAsia="zh-CN"/>
        </w:rPr>
        <w:t>reatment beyond confirmed disease progression was permitted i</w:t>
      </w:r>
      <w:r w:rsidR="00D76194" w:rsidRPr="00D8075A">
        <w:rPr>
          <w:lang w:eastAsia="zh-CN"/>
        </w:rPr>
        <w:t>n the JAVELIN Merkel 200 study</w:t>
      </w:r>
      <w:r w:rsidR="00DC1A18" w:rsidRPr="00D8075A">
        <w:rPr>
          <w:lang w:eastAsia="zh-CN"/>
        </w:rPr>
        <w:t>.</w:t>
      </w:r>
      <w:r w:rsidR="00ED51DB" w:rsidRPr="00D8075A">
        <w:rPr>
          <w:lang w:eastAsia="zh-CN"/>
        </w:rPr>
        <w:t xml:space="preserve"> </w:t>
      </w:r>
      <w:r w:rsidR="006C1C57" w:rsidRPr="00D8075A">
        <w:t>The PSCR state</w:t>
      </w:r>
      <w:r w:rsidR="0013367E" w:rsidRPr="00D8075A">
        <w:t>d</w:t>
      </w:r>
      <w:r w:rsidR="006C1C57" w:rsidRPr="00D8075A">
        <w:t xml:space="preserve"> that </w:t>
      </w:r>
      <w:r w:rsidRPr="00D8075A">
        <w:t xml:space="preserve">in the study </w:t>
      </w:r>
      <w:r w:rsidR="006C1C57" w:rsidRPr="00D8075A">
        <w:rPr>
          <w:lang w:eastAsia="zh-CN"/>
        </w:rPr>
        <w:t>only a small proportion of patients continue</w:t>
      </w:r>
      <w:r w:rsidR="00B456A5" w:rsidRPr="00D8075A">
        <w:rPr>
          <w:lang w:eastAsia="zh-CN"/>
        </w:rPr>
        <w:t xml:space="preserve">d </w:t>
      </w:r>
      <w:r w:rsidR="00E76DE3" w:rsidRPr="00D8075A">
        <w:rPr>
          <w:lang w:eastAsia="zh-CN"/>
        </w:rPr>
        <w:t>treatment</w:t>
      </w:r>
      <w:r w:rsidR="006C1C57" w:rsidRPr="00D8075A">
        <w:rPr>
          <w:lang w:eastAsia="zh-CN"/>
        </w:rPr>
        <w:t xml:space="preserve"> beyond progression. Of the 29 patients </w:t>
      </w:r>
      <w:r w:rsidRPr="00D8075A">
        <w:rPr>
          <w:lang w:eastAsia="zh-CN"/>
        </w:rPr>
        <w:t xml:space="preserve">who </w:t>
      </w:r>
      <w:r w:rsidR="006C1C57" w:rsidRPr="00D8075A">
        <w:rPr>
          <w:lang w:eastAsia="zh-CN"/>
        </w:rPr>
        <w:t xml:space="preserve">responded, 10 had progressed at 24 months of follow up; of these only 2 are known to have been treated beyond progression (PSCR). Conversely, 17/29 patients had ceased treatment prior to progression. Additionally, the PSCR argued that </w:t>
      </w:r>
      <w:r w:rsidR="006C1C57" w:rsidRPr="00D8075A">
        <w:t xml:space="preserve">these data are consistent with feedback from clinicians </w:t>
      </w:r>
      <w:r w:rsidR="0013367E" w:rsidRPr="00D8075A">
        <w:t>(</w:t>
      </w:r>
      <w:r w:rsidR="003A5919" w:rsidRPr="00D8075A">
        <w:t xml:space="preserve">from </w:t>
      </w:r>
      <w:r w:rsidR="0013367E" w:rsidRPr="00D8075A">
        <w:t>a survey</w:t>
      </w:r>
      <w:r w:rsidR="003A5919" w:rsidRPr="00D8075A">
        <w:t xml:space="preserve"> of 10 clinicians conducted by the sponsor – PSCR )</w:t>
      </w:r>
      <w:r w:rsidR="0013367E" w:rsidRPr="00D8075A">
        <w:t xml:space="preserve"> </w:t>
      </w:r>
      <w:r w:rsidR="006C1C57" w:rsidRPr="00D8075A">
        <w:t xml:space="preserve">who noted that treatment beyond progression would only occur in a small percentage of patients where clinical deterioration had not been observed and for a limited number of cycles so that </w:t>
      </w:r>
      <w:proofErr w:type="spellStart"/>
      <w:r w:rsidR="006C1C57" w:rsidRPr="00D8075A">
        <w:t>pseudoprogression</w:t>
      </w:r>
      <w:proofErr w:type="spellEnd"/>
      <w:r w:rsidR="006C1C57" w:rsidRPr="00D8075A">
        <w:t xml:space="preserve"> could be ruled out</w:t>
      </w:r>
      <w:r w:rsidRPr="00D8075A">
        <w:t>, although the submission stated that there is no evidence of tumour flare (</w:t>
      </w:r>
      <w:proofErr w:type="spellStart"/>
      <w:r w:rsidRPr="00D8075A">
        <w:t>pseudoprogression</w:t>
      </w:r>
      <w:proofErr w:type="spellEnd"/>
      <w:r w:rsidRPr="00D8075A">
        <w:t>) with avelumab (p33 of the submission)</w:t>
      </w:r>
      <w:r w:rsidR="006C1C57" w:rsidRPr="00D8075A">
        <w:t xml:space="preserve">. Seven clinicians estimated that 10-30% of patients who had progressed would continue to be treated. </w:t>
      </w:r>
      <w:r w:rsidR="00ED51DB" w:rsidRPr="00D8075A">
        <w:rPr>
          <w:lang w:eastAsia="zh-CN"/>
        </w:rPr>
        <w:t>The ESC considered that it was difficult to determine the treatment duration</w:t>
      </w:r>
      <w:r w:rsidR="003A5919" w:rsidRPr="00D8075A">
        <w:rPr>
          <w:lang w:eastAsia="zh-CN"/>
        </w:rPr>
        <w:t xml:space="preserve"> (see further discussion in </w:t>
      </w:r>
      <w:r w:rsidR="009C7B5B" w:rsidRPr="00D8075A">
        <w:rPr>
          <w:lang w:eastAsia="zh-CN"/>
        </w:rPr>
        <w:t>the economic analysis section</w:t>
      </w:r>
      <w:r w:rsidR="003A5919" w:rsidRPr="00D8075A">
        <w:rPr>
          <w:lang w:eastAsia="zh-CN"/>
        </w:rPr>
        <w:t>)</w:t>
      </w:r>
      <w:r w:rsidR="009C7B5B" w:rsidRPr="00D8075A">
        <w:rPr>
          <w:lang w:eastAsia="zh-CN"/>
        </w:rPr>
        <w:t>.</w:t>
      </w:r>
      <w:r w:rsidR="00ED51DB" w:rsidRPr="00D8075A">
        <w:rPr>
          <w:lang w:eastAsia="zh-CN"/>
        </w:rPr>
        <w:t xml:space="preserve"> </w:t>
      </w:r>
      <w:r w:rsidR="00207966" w:rsidRPr="00D8075A">
        <w:t xml:space="preserve">The clinician at the sponsor hearing noted that </w:t>
      </w:r>
      <w:proofErr w:type="spellStart"/>
      <w:r w:rsidR="00207966" w:rsidRPr="00D8075A">
        <w:t>pseudoprogression</w:t>
      </w:r>
      <w:proofErr w:type="spellEnd"/>
      <w:r w:rsidR="00207966" w:rsidRPr="00D8075A">
        <w:t xml:space="preserve"> </w:t>
      </w:r>
      <w:r w:rsidR="00640E4A" w:rsidRPr="00D8075A">
        <w:t xml:space="preserve">is rare, </w:t>
      </w:r>
      <w:r w:rsidR="00780B9B" w:rsidRPr="00D8075A">
        <w:t>occurring</w:t>
      </w:r>
      <w:r w:rsidR="00207966" w:rsidRPr="00D8075A">
        <w:t xml:space="preserve"> in 1-2% of cases. </w:t>
      </w:r>
      <w:r w:rsidR="00CA17BA" w:rsidRPr="00D8075A">
        <w:rPr>
          <w:lang w:eastAsia="zh-CN"/>
        </w:rPr>
        <w:t>The pre-PBAC response</w:t>
      </w:r>
      <w:r w:rsidR="00723D48" w:rsidRPr="00D8075A">
        <w:rPr>
          <w:lang w:eastAsia="zh-CN"/>
        </w:rPr>
        <w:t xml:space="preserve"> </w:t>
      </w:r>
      <w:r w:rsidR="006657AF" w:rsidRPr="00D8075A">
        <w:rPr>
          <w:lang w:eastAsia="zh-CN"/>
        </w:rPr>
        <w:t xml:space="preserve">reiterated that the number of patients who would be treated beyond progression is uncertain, but likely to be small (approximately 10% based on the results of the clinician survey). The sponsor further </w:t>
      </w:r>
      <w:r w:rsidR="00B37A62" w:rsidRPr="00D8075A">
        <w:rPr>
          <w:lang w:eastAsia="zh-CN"/>
        </w:rPr>
        <w:t>argued that a maximum duration of treatment is not specified for immuno</w:t>
      </w:r>
      <w:r w:rsidR="009A59AA" w:rsidRPr="00D8075A">
        <w:rPr>
          <w:lang w:eastAsia="zh-CN"/>
        </w:rPr>
        <w:t>therapy</w:t>
      </w:r>
      <w:r w:rsidR="00B37A62" w:rsidRPr="00D8075A">
        <w:rPr>
          <w:lang w:eastAsia="zh-CN"/>
        </w:rPr>
        <w:t xml:space="preserve"> drugs in the </w:t>
      </w:r>
      <w:r w:rsidR="00B37A62" w:rsidRPr="00D8075A">
        <w:rPr>
          <w:lang w:eastAsia="zh-CN"/>
        </w:rPr>
        <w:lastRenderedPageBreak/>
        <w:t>treatment of melanoma and that the restriction</w:t>
      </w:r>
      <w:r w:rsidR="006657AF" w:rsidRPr="00D8075A">
        <w:rPr>
          <w:lang w:eastAsia="zh-CN"/>
        </w:rPr>
        <w:t xml:space="preserve"> wording</w:t>
      </w:r>
      <w:r w:rsidR="00B37A62" w:rsidRPr="00D8075A">
        <w:rPr>
          <w:lang w:eastAsia="zh-CN"/>
        </w:rPr>
        <w:t xml:space="preserve"> </w:t>
      </w:r>
      <w:r w:rsidR="006657AF" w:rsidRPr="00D8075A">
        <w:rPr>
          <w:lang w:eastAsia="zh-CN"/>
        </w:rPr>
        <w:t xml:space="preserve">combined with a </w:t>
      </w:r>
      <w:r w:rsidR="00B37A62" w:rsidRPr="00D8075A">
        <w:rPr>
          <w:lang w:eastAsia="zh-CN"/>
        </w:rPr>
        <w:t>risk sharing arrangement</w:t>
      </w:r>
      <w:r w:rsidR="006657AF" w:rsidRPr="00D8075A">
        <w:rPr>
          <w:lang w:eastAsia="zh-CN"/>
        </w:rPr>
        <w:t xml:space="preserve"> (RSA)</w:t>
      </w:r>
      <w:r w:rsidR="00B37A62" w:rsidRPr="00D8075A">
        <w:rPr>
          <w:lang w:eastAsia="zh-CN"/>
        </w:rPr>
        <w:t xml:space="preserve"> will manage the financial risk to the Commonwealth. </w:t>
      </w:r>
    </w:p>
    <w:p w:rsidR="00144085" w:rsidRPr="00D8075A" w:rsidRDefault="00455AB8" w:rsidP="00AF317C">
      <w:pPr>
        <w:pStyle w:val="ListParagraph"/>
        <w:numPr>
          <w:ilvl w:val="1"/>
          <w:numId w:val="1"/>
        </w:numPr>
        <w:rPr>
          <w:lang w:eastAsia="zh-CN"/>
        </w:rPr>
      </w:pPr>
      <w:r w:rsidRPr="00D8075A">
        <w:t xml:space="preserve">The </w:t>
      </w:r>
      <w:r w:rsidR="004554B8" w:rsidRPr="00D8075A">
        <w:t>ESC noted that t</w:t>
      </w:r>
      <w:r w:rsidR="00D13CB3" w:rsidRPr="00D8075A">
        <w:t xml:space="preserve">he submission did not propose to restrict avelumab to any subgroup of the </w:t>
      </w:r>
      <w:proofErr w:type="spellStart"/>
      <w:r w:rsidR="00D13CB3" w:rsidRPr="00D8075A">
        <w:t>mMCC</w:t>
      </w:r>
      <w:proofErr w:type="spellEnd"/>
      <w:r w:rsidR="00D13CB3" w:rsidRPr="00D8075A">
        <w:t xml:space="preserve"> population. Due to the m</w:t>
      </w:r>
      <w:r w:rsidR="00092B6D" w:rsidRPr="00D8075A">
        <w:t xml:space="preserve">echanism of action of avelumab where it </w:t>
      </w:r>
      <w:r w:rsidR="00D13CB3" w:rsidRPr="00D8075A">
        <w:t xml:space="preserve">inhibits programmed death-ligand 1, PD-L1, it may be expected that avelumab would be more efficacious in patients whose tumours express a higher proportion of PD-L1. </w:t>
      </w:r>
      <w:r w:rsidR="00E32B74" w:rsidRPr="00D8075A">
        <w:t>Baseline PD-L1 tumour expression status</w:t>
      </w:r>
      <w:r w:rsidR="00144085" w:rsidRPr="00D8075A">
        <w:t xml:space="preserve"> was collected during the JAVELIN Merkel 200 </w:t>
      </w:r>
      <w:proofErr w:type="gramStart"/>
      <w:r w:rsidR="00144085" w:rsidRPr="00D8075A">
        <w:t>study</w:t>
      </w:r>
      <w:proofErr w:type="gramEnd"/>
      <w:r w:rsidR="00144085" w:rsidRPr="00D8075A">
        <w:t xml:space="preserve"> for the purposes of an exploratory analysis</w:t>
      </w:r>
      <w:r w:rsidR="00D330BB" w:rsidRPr="00D8075A">
        <w:t xml:space="preserve">. </w:t>
      </w:r>
      <w:r w:rsidR="008E5CA0" w:rsidRPr="00D8075A">
        <w:t>The submission presented subgroup analyses from the JAVELIN Merkel 200 study</w:t>
      </w:r>
      <w:r w:rsidR="00D330BB" w:rsidRPr="00D8075A">
        <w:t>,</w:t>
      </w:r>
      <w:r w:rsidR="008E5CA0" w:rsidRPr="00D8075A">
        <w:t xml:space="preserve"> which suggested a </w:t>
      </w:r>
      <w:r w:rsidR="000A3C59" w:rsidRPr="00D8075A">
        <w:t xml:space="preserve">possible </w:t>
      </w:r>
      <w:r w:rsidR="008E5CA0" w:rsidRPr="00D8075A">
        <w:t xml:space="preserve">higher </w:t>
      </w:r>
      <w:r w:rsidR="00423980" w:rsidRPr="00D8075A">
        <w:t xml:space="preserve">ORR </w:t>
      </w:r>
      <w:r w:rsidR="008E5CA0" w:rsidRPr="00D8075A">
        <w:t>in patients with PD-L1 positive tumours</w:t>
      </w:r>
      <w:r w:rsidR="00032CEA" w:rsidRPr="00D8075A">
        <w:t xml:space="preserve"> </w:t>
      </w:r>
      <w:r w:rsidR="00032CEA" w:rsidRPr="00D8075A">
        <w:rPr>
          <w:lang w:eastAsia="zh-CN"/>
        </w:rPr>
        <w:t>(1% threshold by immunohistochemistry, 36.2% vs 18.8% for PD-L1–negative tumours; 5% threshold by immunohistochemistry, 57.9% vs 23.6% for PD-L1–negative tumours)</w:t>
      </w:r>
      <w:r w:rsidR="00423980" w:rsidRPr="00D8075A">
        <w:rPr>
          <w:lang w:eastAsia="zh-CN"/>
        </w:rPr>
        <w:t xml:space="preserve"> (p79 of the submission)</w:t>
      </w:r>
      <w:r w:rsidR="00032CEA" w:rsidRPr="00D8075A">
        <w:rPr>
          <w:lang w:eastAsia="zh-CN"/>
        </w:rPr>
        <w:t xml:space="preserve">. </w:t>
      </w:r>
      <w:r w:rsidR="008E5CA0" w:rsidRPr="00D8075A">
        <w:t xml:space="preserve">However, it stated that </w:t>
      </w:r>
      <w:r w:rsidR="008E5CA0" w:rsidRPr="00D8075A">
        <w:rPr>
          <w:lang w:eastAsia="zh-CN"/>
        </w:rPr>
        <w:t>durable responses occurred irrespective of baseline factors, including tumour PD-L1 status (</w:t>
      </w:r>
      <w:r w:rsidR="00423980" w:rsidRPr="00D8075A">
        <w:rPr>
          <w:lang w:eastAsia="zh-CN"/>
        </w:rPr>
        <w:t xml:space="preserve">p80 </w:t>
      </w:r>
      <w:r w:rsidR="00D330BB" w:rsidRPr="00D8075A">
        <w:rPr>
          <w:lang w:eastAsia="zh-CN"/>
        </w:rPr>
        <w:t xml:space="preserve">of the </w:t>
      </w:r>
      <w:r w:rsidR="008E5CA0" w:rsidRPr="00D8075A">
        <w:rPr>
          <w:lang w:eastAsia="zh-CN"/>
        </w:rPr>
        <w:t>submi</w:t>
      </w:r>
      <w:r w:rsidR="006251D7" w:rsidRPr="00D8075A">
        <w:rPr>
          <w:lang w:eastAsia="zh-CN"/>
        </w:rPr>
        <w:t>ssion</w:t>
      </w:r>
      <w:r w:rsidR="003F07E3" w:rsidRPr="00D8075A">
        <w:rPr>
          <w:lang w:eastAsia="zh-CN"/>
        </w:rPr>
        <w:t>)</w:t>
      </w:r>
      <w:r w:rsidR="00D330BB" w:rsidRPr="00D8075A">
        <w:rPr>
          <w:lang w:eastAsia="zh-CN"/>
        </w:rPr>
        <w:t xml:space="preserve">. Furthermore </w:t>
      </w:r>
      <w:r w:rsidR="003F07E3" w:rsidRPr="00D8075A">
        <w:rPr>
          <w:lang w:eastAsia="zh-CN"/>
        </w:rPr>
        <w:t>the TGA,</w:t>
      </w:r>
      <w:r w:rsidR="008E5CA0" w:rsidRPr="00D8075A">
        <w:rPr>
          <w:lang w:eastAsia="zh-CN"/>
        </w:rPr>
        <w:t xml:space="preserve"> </w:t>
      </w:r>
      <w:r w:rsidR="003F07E3" w:rsidRPr="00D8075A">
        <w:rPr>
          <w:lang w:eastAsia="zh-CN"/>
        </w:rPr>
        <w:t xml:space="preserve">in its consideration of </w:t>
      </w:r>
      <w:r w:rsidR="00032CEA" w:rsidRPr="00D8075A">
        <w:rPr>
          <w:lang w:eastAsia="zh-CN"/>
        </w:rPr>
        <w:t xml:space="preserve">avelumab, noted that </w:t>
      </w:r>
      <w:r w:rsidR="000777F0" w:rsidRPr="00D8075A">
        <w:rPr>
          <w:lang w:eastAsia="zh-CN"/>
        </w:rPr>
        <w:t xml:space="preserve">in a condition with no established therapies and a life expectancy of less than 6 months, </w:t>
      </w:r>
      <w:r w:rsidR="00032CEA" w:rsidRPr="00D8075A">
        <w:rPr>
          <w:lang w:eastAsia="zh-CN"/>
        </w:rPr>
        <w:t>the level of efficacy observed in PD-L1-negative tu</w:t>
      </w:r>
      <w:r w:rsidR="00D330BB" w:rsidRPr="00D8075A">
        <w:rPr>
          <w:lang w:eastAsia="zh-CN"/>
        </w:rPr>
        <w:t>mours is clinically meaningful</w:t>
      </w:r>
      <w:r w:rsidR="00423980" w:rsidRPr="00D8075A">
        <w:rPr>
          <w:lang w:eastAsia="zh-CN"/>
        </w:rPr>
        <w:t xml:space="preserve"> (TGA clinical evaluation, p45)</w:t>
      </w:r>
      <w:r w:rsidR="00D330BB" w:rsidRPr="00D8075A">
        <w:rPr>
          <w:lang w:eastAsia="zh-CN"/>
        </w:rPr>
        <w:t>.</w:t>
      </w:r>
      <w:r w:rsidR="003A5919" w:rsidRPr="00D8075A">
        <w:rPr>
          <w:lang w:eastAsia="zh-CN"/>
        </w:rPr>
        <w:t xml:space="preserve"> </w:t>
      </w:r>
      <w:r w:rsidR="00970569" w:rsidRPr="00D8075A">
        <w:rPr>
          <w:lang w:eastAsia="zh-CN"/>
        </w:rPr>
        <w:t xml:space="preserve">The ESC agreed that a meaningful response was observed in patients with both PD-L1 positive and </w:t>
      </w:r>
      <w:r w:rsidR="009865BC" w:rsidRPr="00D8075A">
        <w:rPr>
          <w:lang w:eastAsia="zh-CN"/>
        </w:rPr>
        <w:t>PD-L1 negative tumours</w:t>
      </w:r>
      <w:r w:rsidR="00DB4B18" w:rsidRPr="00D8075A">
        <w:rPr>
          <w:lang w:eastAsia="zh-CN"/>
        </w:rPr>
        <w:t xml:space="preserve">. </w:t>
      </w:r>
    </w:p>
    <w:p w:rsidR="00193214" w:rsidRPr="00D8075A" w:rsidRDefault="00700989" w:rsidP="00C3432B">
      <w:pPr>
        <w:pStyle w:val="ListParagraph"/>
        <w:numPr>
          <w:ilvl w:val="1"/>
          <w:numId w:val="1"/>
        </w:numPr>
        <w:rPr>
          <w:lang w:eastAsia="zh-CN"/>
        </w:rPr>
      </w:pPr>
      <w:r w:rsidRPr="00D8075A">
        <w:t>PD-L1 expression status</w:t>
      </w:r>
      <w:r w:rsidR="00D13CB3" w:rsidRPr="00D8075A">
        <w:t xml:space="preserve"> </w:t>
      </w:r>
      <w:r w:rsidRPr="00D8075A">
        <w:t xml:space="preserve">was </w:t>
      </w:r>
      <w:r w:rsidR="00D13CB3" w:rsidRPr="00D8075A">
        <w:t xml:space="preserve">not collected in </w:t>
      </w:r>
      <w:r w:rsidR="002C768E" w:rsidRPr="00D8075A">
        <w:t>the retrospective observational cohort studies (</w:t>
      </w:r>
      <w:r w:rsidR="00D13CB3" w:rsidRPr="00D8075A">
        <w:t xml:space="preserve">Study Obs001 </w:t>
      </w:r>
      <w:r w:rsidR="002C768E" w:rsidRPr="00D8075A">
        <w:t xml:space="preserve">and </w:t>
      </w:r>
      <w:proofErr w:type="spellStart"/>
      <w:r w:rsidR="00D13CB3" w:rsidRPr="00D8075A">
        <w:t>Iyer</w:t>
      </w:r>
      <w:proofErr w:type="spellEnd"/>
      <w:r w:rsidR="00D13CB3" w:rsidRPr="00D8075A">
        <w:t xml:space="preserve"> 2016</w:t>
      </w:r>
      <w:r w:rsidR="002C768E" w:rsidRPr="00D8075A">
        <w:t>)</w:t>
      </w:r>
      <w:r w:rsidR="00D13CB3" w:rsidRPr="00D8075A">
        <w:t>. It is unlikely that this information would have been available given there were no treatment anti PD-1/PD-L1 treatment options at the time patients in these observational studies were diagnosed and received treatment.</w:t>
      </w:r>
      <w:r w:rsidR="00C46FF3" w:rsidRPr="00D8075A">
        <w:t xml:space="preserve"> </w:t>
      </w:r>
      <w:r w:rsidR="00144085" w:rsidRPr="00D8075A">
        <w:t>The collection of tumour PD-L1 status in Study Obs001 would have provided greater insight as to whether tumour PD-L1 status is</w:t>
      </w:r>
      <w:r w:rsidR="002C768E" w:rsidRPr="00D8075A">
        <w:t xml:space="preserve"> a prognostic marker for </w:t>
      </w:r>
      <w:r w:rsidR="00144085" w:rsidRPr="00D8075A">
        <w:t>PFS and OS</w:t>
      </w:r>
      <w:r w:rsidR="002C768E" w:rsidRPr="00D8075A">
        <w:t xml:space="preserve"> as opposed to modifying efficacy in</w:t>
      </w:r>
      <w:r w:rsidR="00144085" w:rsidRPr="00D8075A">
        <w:t xml:space="preserve"> patients treated with avelumab. </w:t>
      </w:r>
      <w:r w:rsidR="003E31D4" w:rsidRPr="00D8075A">
        <w:rPr>
          <w:lang w:eastAsia="zh-CN"/>
        </w:rPr>
        <w:t xml:space="preserve">The PBAC considered </w:t>
      </w:r>
      <w:r w:rsidR="00351A45" w:rsidRPr="00D8075A">
        <w:rPr>
          <w:lang w:eastAsia="zh-CN"/>
        </w:rPr>
        <w:t xml:space="preserve">that </w:t>
      </w:r>
      <w:r w:rsidR="003E31D4" w:rsidRPr="00D8075A">
        <w:rPr>
          <w:lang w:eastAsia="zh-CN"/>
        </w:rPr>
        <w:t>the exclusion of PD</w:t>
      </w:r>
      <w:r w:rsidR="00351A45" w:rsidRPr="00D8075A">
        <w:rPr>
          <w:lang w:eastAsia="zh-CN"/>
        </w:rPr>
        <w:noBreakHyphen/>
      </w:r>
      <w:r w:rsidR="003E31D4" w:rsidRPr="00D8075A">
        <w:rPr>
          <w:lang w:eastAsia="zh-CN"/>
        </w:rPr>
        <w:t xml:space="preserve">L1 as an eligibility biomarker for this medicine in </w:t>
      </w:r>
      <w:proofErr w:type="spellStart"/>
      <w:r w:rsidR="003E31D4" w:rsidRPr="00D8075A">
        <w:rPr>
          <w:lang w:eastAsia="zh-CN"/>
        </w:rPr>
        <w:t>mMCC</w:t>
      </w:r>
      <w:proofErr w:type="spellEnd"/>
      <w:r w:rsidR="003E31D4" w:rsidRPr="00D8075A">
        <w:rPr>
          <w:lang w:eastAsia="zh-CN"/>
        </w:rPr>
        <w:t xml:space="preserve"> is appropriate.</w:t>
      </w:r>
      <w:r w:rsidR="002C768E" w:rsidRPr="00D8075A">
        <w:rPr>
          <w:lang w:eastAsia="zh-CN"/>
        </w:rPr>
        <w:t xml:space="preserve"> </w:t>
      </w:r>
      <w:r w:rsidR="002C768E" w:rsidRPr="00D8075A">
        <w:t xml:space="preserve">Both the ESC and the PBAC noted that there are currently phase II clinical trials for </w:t>
      </w:r>
      <w:r w:rsidR="00C01388" w:rsidRPr="00D8075A">
        <w:t xml:space="preserve">related </w:t>
      </w:r>
      <w:r w:rsidR="002C768E" w:rsidRPr="00D8075A">
        <w:t xml:space="preserve">immune checkpoint inhibitors pembrolizumab and </w:t>
      </w:r>
      <w:proofErr w:type="spellStart"/>
      <w:r w:rsidR="002C768E" w:rsidRPr="00D8075A">
        <w:t>nivolumab</w:t>
      </w:r>
      <w:proofErr w:type="spellEnd"/>
      <w:r w:rsidR="002C768E" w:rsidRPr="00D8075A">
        <w:t xml:space="preserve"> for the treatment of MCC.</w:t>
      </w:r>
    </w:p>
    <w:p w:rsidR="00EA3483" w:rsidRPr="00D8075A" w:rsidRDefault="00EA3483" w:rsidP="00EA3483">
      <w:pPr>
        <w:pStyle w:val="ListParagraph"/>
        <w:rPr>
          <w:i/>
          <w:lang w:eastAsia="zh-CN"/>
        </w:rPr>
      </w:pPr>
      <w:r w:rsidRPr="00D8075A">
        <w:rPr>
          <w:i/>
          <w:lang w:eastAsia="zh-CN"/>
        </w:rPr>
        <w:t>For more detail on PBAC’s view, see section 7 PBAC outcome.</w:t>
      </w:r>
    </w:p>
    <w:p w:rsidR="00694239" w:rsidRPr="00D8075A" w:rsidRDefault="00694239" w:rsidP="007B3029">
      <w:pPr>
        <w:pStyle w:val="PBACHeading1"/>
        <w:keepNext/>
        <w:spacing w:before="240" w:after="120"/>
        <w:outlineLvl w:val="0"/>
      </w:pPr>
      <w:bookmarkStart w:id="7" w:name="_Toc514233092"/>
      <w:r w:rsidRPr="00D8075A">
        <w:t>Background</w:t>
      </w:r>
      <w:bookmarkEnd w:id="7"/>
    </w:p>
    <w:p w:rsidR="00694239" w:rsidRPr="00D8075A" w:rsidRDefault="00694239" w:rsidP="00F717BF">
      <w:pPr>
        <w:keepNext/>
        <w:spacing w:before="240" w:after="120"/>
        <w:rPr>
          <w:b/>
          <w:sz w:val="28"/>
          <w:szCs w:val="28"/>
        </w:rPr>
      </w:pPr>
      <w:r w:rsidRPr="00D8075A">
        <w:rPr>
          <w:b/>
          <w:sz w:val="28"/>
          <w:szCs w:val="28"/>
        </w:rPr>
        <w:t>Registration status</w:t>
      </w:r>
    </w:p>
    <w:p w:rsidR="00694239" w:rsidRPr="00D8075A" w:rsidRDefault="00694239" w:rsidP="00C3432B">
      <w:pPr>
        <w:pStyle w:val="ListParagraph"/>
        <w:numPr>
          <w:ilvl w:val="1"/>
          <w:numId w:val="1"/>
        </w:numPr>
      </w:pPr>
      <w:r w:rsidRPr="00D8075A">
        <w:t xml:space="preserve">TGA status: avelumab was TGA registered on 03 January 2018 for the treatment of adults and paediatric patients 12 years and older with </w:t>
      </w:r>
      <w:proofErr w:type="spellStart"/>
      <w:r w:rsidRPr="00D8075A">
        <w:t>mMCC</w:t>
      </w:r>
      <w:proofErr w:type="spellEnd"/>
      <w:r w:rsidRPr="00D8075A">
        <w:t>.</w:t>
      </w:r>
    </w:p>
    <w:p w:rsidR="00694239" w:rsidRPr="00D8075A" w:rsidRDefault="00694239" w:rsidP="00F717BF">
      <w:pPr>
        <w:widowControl/>
        <w:spacing w:before="240" w:after="120"/>
        <w:rPr>
          <w:b/>
          <w:sz w:val="28"/>
          <w:szCs w:val="28"/>
        </w:rPr>
      </w:pPr>
      <w:r w:rsidRPr="00D8075A">
        <w:rPr>
          <w:b/>
          <w:sz w:val="28"/>
          <w:szCs w:val="28"/>
        </w:rPr>
        <w:t>Previous PBAC consideration</w:t>
      </w:r>
    </w:p>
    <w:p w:rsidR="00694239" w:rsidRPr="00D8075A" w:rsidRDefault="00694239" w:rsidP="00C3432B">
      <w:pPr>
        <w:pStyle w:val="ListParagraph"/>
        <w:numPr>
          <w:ilvl w:val="1"/>
          <w:numId w:val="1"/>
        </w:numPr>
      </w:pPr>
      <w:r w:rsidRPr="00D8075A">
        <w:t>Avelumab has not previously been considered by the PBAC for this indication.</w:t>
      </w:r>
    </w:p>
    <w:p w:rsidR="00694239" w:rsidRPr="00D8075A" w:rsidRDefault="00694239" w:rsidP="00F717BF">
      <w:pPr>
        <w:pStyle w:val="PBACHeading1"/>
        <w:spacing w:before="240" w:after="120"/>
        <w:outlineLvl w:val="0"/>
      </w:pPr>
      <w:bookmarkStart w:id="8" w:name="_Toc514233093"/>
      <w:r w:rsidRPr="00D8075A">
        <w:lastRenderedPageBreak/>
        <w:t>Population and disease</w:t>
      </w:r>
      <w:bookmarkEnd w:id="8"/>
    </w:p>
    <w:p w:rsidR="00694239" w:rsidRPr="00D8075A" w:rsidRDefault="00694239" w:rsidP="00C3432B">
      <w:pPr>
        <w:pStyle w:val="ListParagraph"/>
        <w:numPr>
          <w:ilvl w:val="1"/>
          <w:numId w:val="1"/>
        </w:numPr>
      </w:pPr>
      <w:r w:rsidRPr="00D8075A">
        <w:t>Merkel Cell Carcinoma (MCC) is a rare, aggressive skin cancer associated with poor prognosis. Currently there is a significant unmet need for patients with metastatic dise</w:t>
      </w:r>
      <w:r w:rsidR="00B6781E" w:rsidRPr="00D8075A">
        <w:t>ase.</w:t>
      </w:r>
    </w:p>
    <w:p w:rsidR="00694239" w:rsidRPr="00D8075A" w:rsidRDefault="00694239" w:rsidP="00C3432B">
      <w:pPr>
        <w:pStyle w:val="ListParagraph"/>
        <w:numPr>
          <w:ilvl w:val="1"/>
          <w:numId w:val="1"/>
        </w:numPr>
      </w:pPr>
      <w:r w:rsidRPr="00D8075A">
        <w:t>The proposed clinical management algorithm suggested that avelumab be used as a second-line and later line treatment option after patients have</w:t>
      </w:r>
      <w:r w:rsidR="00B6781E" w:rsidRPr="00D8075A">
        <w:t xml:space="preserve"> progressed using chemotherapy.</w:t>
      </w:r>
    </w:p>
    <w:p w:rsidR="00694239" w:rsidRPr="00D8075A" w:rsidRDefault="002C768E" w:rsidP="00C3432B">
      <w:pPr>
        <w:pStyle w:val="ListParagraph"/>
        <w:numPr>
          <w:ilvl w:val="1"/>
          <w:numId w:val="1"/>
        </w:numPr>
        <w:rPr>
          <w:rFonts w:eastAsia="Calibri" w:cs="Calibri"/>
          <w:snapToGrid/>
          <w:lang w:eastAsia="en-AU"/>
        </w:rPr>
      </w:pPr>
      <w:r w:rsidRPr="00D8075A">
        <w:rPr>
          <w:rFonts w:eastAsia="Calibri" w:cs="Calibri"/>
          <w:snapToGrid/>
          <w:lang w:eastAsia="en-AU"/>
        </w:rPr>
        <w:t>As noted above, t</w:t>
      </w:r>
      <w:r w:rsidR="00694239" w:rsidRPr="00D8075A">
        <w:rPr>
          <w:rFonts w:eastAsia="Calibri" w:cs="Calibri"/>
          <w:snapToGrid/>
          <w:lang w:eastAsia="en-AU"/>
        </w:rPr>
        <w:t xml:space="preserve">he submission </w:t>
      </w:r>
      <w:r w:rsidRPr="00D8075A">
        <w:rPr>
          <w:rFonts w:eastAsia="Calibri" w:cs="Calibri"/>
          <w:snapToGrid/>
          <w:lang w:eastAsia="en-AU"/>
        </w:rPr>
        <w:t xml:space="preserve">requested </w:t>
      </w:r>
      <w:r w:rsidR="00694239" w:rsidRPr="00D8075A">
        <w:rPr>
          <w:rFonts w:eastAsia="Calibri" w:cs="Calibri"/>
          <w:snapToGrid/>
          <w:lang w:eastAsia="en-AU"/>
        </w:rPr>
        <w:t>that the PBAC consider a “line agnostic PBS listing” (p24 of the submission).</w:t>
      </w:r>
      <w:r w:rsidR="00E04619" w:rsidRPr="00D8075A">
        <w:rPr>
          <w:rFonts w:eastAsia="Calibri" w:cs="Calibri"/>
          <w:snapToGrid/>
          <w:lang w:eastAsia="en-AU"/>
        </w:rPr>
        <w:t xml:space="preserve"> </w:t>
      </w:r>
    </w:p>
    <w:p w:rsidR="00EA3483" w:rsidRPr="00D8075A" w:rsidRDefault="00EA3483" w:rsidP="00EA3483">
      <w:pPr>
        <w:pStyle w:val="ListParagraph"/>
        <w:rPr>
          <w:rFonts w:eastAsia="Calibri" w:cs="Calibri"/>
          <w:i/>
          <w:snapToGrid/>
          <w:lang w:eastAsia="en-AU"/>
        </w:rPr>
      </w:pPr>
      <w:r w:rsidRPr="00D8075A">
        <w:rPr>
          <w:rFonts w:eastAsia="Calibri" w:cs="Calibri"/>
          <w:i/>
          <w:snapToGrid/>
          <w:lang w:eastAsia="en-AU"/>
        </w:rPr>
        <w:t>For more detail on PBAC’s view, see section 7 PBAC outcome.</w:t>
      </w:r>
    </w:p>
    <w:p w:rsidR="00694239" w:rsidRPr="00D8075A" w:rsidRDefault="00694239" w:rsidP="00F717BF">
      <w:pPr>
        <w:pStyle w:val="PBACHeading1"/>
        <w:keepNext/>
        <w:spacing w:before="240" w:after="120"/>
        <w:outlineLvl w:val="0"/>
      </w:pPr>
      <w:bookmarkStart w:id="9" w:name="_Toc514233094"/>
      <w:r w:rsidRPr="00D8075A">
        <w:t>Comparator</w:t>
      </w:r>
      <w:bookmarkEnd w:id="9"/>
    </w:p>
    <w:p w:rsidR="00694239" w:rsidRPr="00D8075A" w:rsidRDefault="00694239" w:rsidP="00C3432B">
      <w:pPr>
        <w:pStyle w:val="ListParagraph"/>
        <w:widowControl/>
        <w:numPr>
          <w:ilvl w:val="1"/>
          <w:numId w:val="1"/>
        </w:numPr>
        <w:rPr>
          <w:color w:val="000000" w:themeColor="text1"/>
        </w:rPr>
      </w:pPr>
      <w:r w:rsidRPr="00D8075A">
        <w:rPr>
          <w:rFonts w:cs="Calibri"/>
          <w:snapToGrid/>
          <w:color w:val="000000" w:themeColor="text1"/>
          <w:szCs w:val="24"/>
          <w:lang w:eastAsia="en-AU"/>
        </w:rPr>
        <w:t xml:space="preserve">The submission nominated current Australian standard of care as the main comparator, specifically one of three chemotherapy regimens: cyclophosphamide + doxorubicin + vincristine, carboplatin + etoposide, or cisplatin + etoposide (p17-18 of the submission). </w:t>
      </w:r>
    </w:p>
    <w:p w:rsidR="00694239" w:rsidRPr="00D8075A" w:rsidRDefault="00694239" w:rsidP="00C3432B">
      <w:pPr>
        <w:pStyle w:val="ListParagraph"/>
        <w:widowControl/>
        <w:numPr>
          <w:ilvl w:val="1"/>
          <w:numId w:val="1"/>
        </w:numPr>
        <w:rPr>
          <w:color w:val="000000" w:themeColor="text1"/>
        </w:rPr>
      </w:pPr>
      <w:r w:rsidRPr="00D8075A">
        <w:rPr>
          <w:rFonts w:cs="Calibri"/>
          <w:snapToGrid/>
          <w:color w:val="000000" w:themeColor="text1"/>
          <w:szCs w:val="24"/>
          <w:lang w:eastAsia="en-AU"/>
        </w:rPr>
        <w:t>The chemotherapy regimens were weighted in the economic model</w:t>
      </w:r>
      <w:r w:rsidR="00B6421D" w:rsidRPr="00D8075A">
        <w:rPr>
          <w:rFonts w:cs="Calibri"/>
          <w:snapToGrid/>
          <w:color w:val="000000" w:themeColor="text1"/>
          <w:szCs w:val="24"/>
          <w:lang w:eastAsia="en-AU"/>
        </w:rPr>
        <w:t xml:space="preserve">. The weights were </w:t>
      </w:r>
      <w:r w:rsidRPr="00D8075A">
        <w:rPr>
          <w:rFonts w:cs="Calibri"/>
          <w:snapToGrid/>
          <w:color w:val="000000" w:themeColor="text1"/>
          <w:szCs w:val="24"/>
          <w:lang w:eastAsia="en-AU"/>
        </w:rPr>
        <w:t xml:space="preserve">informed by </w:t>
      </w:r>
      <w:r w:rsidR="004536B8" w:rsidRPr="00D8075A">
        <w:rPr>
          <w:rFonts w:cs="Calibri"/>
          <w:snapToGrid/>
          <w:color w:val="000000" w:themeColor="text1"/>
          <w:szCs w:val="24"/>
          <w:lang w:eastAsia="en-AU"/>
        </w:rPr>
        <w:t>an Australian clinician survey.</w:t>
      </w:r>
    </w:p>
    <w:p w:rsidR="00694239" w:rsidRPr="00D8075A" w:rsidRDefault="00ED3D5F" w:rsidP="00C3432B">
      <w:pPr>
        <w:pStyle w:val="ListParagraph"/>
        <w:widowControl/>
        <w:numPr>
          <w:ilvl w:val="1"/>
          <w:numId w:val="1"/>
        </w:numPr>
        <w:rPr>
          <w:color w:val="000000" w:themeColor="text1"/>
        </w:rPr>
      </w:pPr>
      <w:r w:rsidRPr="00D8075A">
        <w:rPr>
          <w:rFonts w:cs="Calibri"/>
          <w:snapToGrid/>
          <w:color w:val="000000" w:themeColor="text1"/>
          <w:szCs w:val="24"/>
          <w:lang w:eastAsia="en-AU"/>
        </w:rPr>
        <w:t xml:space="preserve">The </w:t>
      </w:r>
      <w:r w:rsidR="00A602DE" w:rsidRPr="00D8075A">
        <w:rPr>
          <w:rFonts w:cs="Calibri"/>
          <w:snapToGrid/>
          <w:color w:val="000000" w:themeColor="text1"/>
          <w:szCs w:val="24"/>
          <w:lang w:eastAsia="en-AU"/>
        </w:rPr>
        <w:t xml:space="preserve">PBAC </w:t>
      </w:r>
      <w:r w:rsidRPr="00D8075A">
        <w:rPr>
          <w:rFonts w:cs="Calibri"/>
          <w:snapToGrid/>
          <w:color w:val="000000" w:themeColor="text1"/>
          <w:szCs w:val="24"/>
          <w:lang w:eastAsia="en-AU"/>
        </w:rPr>
        <w:t>considered t</w:t>
      </w:r>
      <w:r w:rsidR="00694239" w:rsidRPr="00D8075A">
        <w:rPr>
          <w:rFonts w:cs="Calibri"/>
          <w:snapToGrid/>
          <w:color w:val="000000" w:themeColor="text1"/>
          <w:szCs w:val="24"/>
          <w:lang w:eastAsia="en-AU"/>
        </w:rPr>
        <w:t xml:space="preserve">he main comparators nominated by the submission were reasonable. </w:t>
      </w:r>
      <w:r w:rsidR="00D8075A" w:rsidRPr="00D8075A">
        <w:rPr>
          <w:rFonts w:cs="Calibri"/>
          <w:snapToGrid/>
          <w:color w:val="000000" w:themeColor="text1"/>
          <w:szCs w:val="24"/>
          <w:lang w:eastAsia="en-AU"/>
        </w:rPr>
        <w:t>However,</w:t>
      </w:r>
      <w:r w:rsidR="00694239" w:rsidRPr="00D8075A">
        <w:rPr>
          <w:rFonts w:cs="Calibri"/>
          <w:snapToGrid/>
          <w:color w:val="000000" w:themeColor="text1"/>
          <w:szCs w:val="24"/>
          <w:lang w:eastAsia="en-AU"/>
        </w:rPr>
        <w:t xml:space="preserve"> the Australian clinician survey</w:t>
      </w:r>
      <w:r w:rsidR="001A56E1" w:rsidRPr="00D8075A">
        <w:rPr>
          <w:rFonts w:cs="Calibri"/>
          <w:snapToGrid/>
          <w:color w:val="000000" w:themeColor="text1"/>
          <w:szCs w:val="24"/>
          <w:lang w:eastAsia="en-AU"/>
        </w:rPr>
        <w:t>,</w:t>
      </w:r>
      <w:r w:rsidR="00694239" w:rsidRPr="00D8075A">
        <w:rPr>
          <w:rFonts w:cs="Calibri"/>
          <w:snapToGrid/>
          <w:color w:val="000000" w:themeColor="text1"/>
          <w:szCs w:val="24"/>
          <w:lang w:eastAsia="en-AU"/>
        </w:rPr>
        <w:t xml:space="preserve"> which informed each of the comparators and their </w:t>
      </w:r>
      <w:r w:rsidR="00694239" w:rsidRPr="0056262D">
        <w:rPr>
          <w:rFonts w:cs="Calibri"/>
          <w:snapToGrid/>
          <w:color w:val="000000" w:themeColor="text1"/>
          <w:szCs w:val="24"/>
          <w:lang w:eastAsia="en-AU"/>
        </w:rPr>
        <w:t>weighting, had a poor response rate</w:t>
      </w:r>
      <w:r w:rsidR="000663D6" w:rsidRPr="0056262D">
        <w:rPr>
          <w:rFonts w:cs="Calibri"/>
          <w:snapToGrid/>
          <w:color w:val="000000" w:themeColor="text1"/>
          <w:szCs w:val="24"/>
          <w:lang w:eastAsia="en-AU"/>
        </w:rPr>
        <w:t xml:space="preserve"> (16.5%)</w:t>
      </w:r>
      <w:r w:rsidR="000663D6" w:rsidRPr="00D8075A">
        <w:rPr>
          <w:rFonts w:cs="Calibri"/>
          <w:snapToGrid/>
          <w:color w:val="000000" w:themeColor="text1"/>
          <w:szCs w:val="24"/>
          <w:lang w:eastAsia="en-AU"/>
        </w:rPr>
        <w:t xml:space="preserve"> </w:t>
      </w:r>
      <w:r w:rsidR="00694239" w:rsidRPr="00D8075A">
        <w:rPr>
          <w:rFonts w:cs="Calibri"/>
          <w:snapToGrid/>
          <w:color w:val="000000" w:themeColor="text1"/>
          <w:szCs w:val="24"/>
          <w:lang w:eastAsia="en-AU"/>
        </w:rPr>
        <w:t xml:space="preserve">and the specialties of the </w:t>
      </w:r>
      <w:r w:rsidR="001A56E1" w:rsidRPr="00D8075A">
        <w:rPr>
          <w:rFonts w:cs="Calibri"/>
          <w:snapToGrid/>
          <w:color w:val="000000" w:themeColor="text1"/>
          <w:szCs w:val="24"/>
          <w:lang w:eastAsia="en-AU"/>
        </w:rPr>
        <w:t xml:space="preserve">clinicians were </w:t>
      </w:r>
      <w:r w:rsidR="00694239" w:rsidRPr="00D8075A">
        <w:rPr>
          <w:rFonts w:cs="Calibri"/>
          <w:snapToGrid/>
          <w:color w:val="000000" w:themeColor="text1"/>
          <w:szCs w:val="24"/>
          <w:lang w:eastAsia="en-AU"/>
        </w:rPr>
        <w:t>not specified.</w:t>
      </w:r>
    </w:p>
    <w:p w:rsidR="00EA3483" w:rsidRPr="00D8075A" w:rsidRDefault="00EA3483" w:rsidP="00EA3483">
      <w:pPr>
        <w:pStyle w:val="ListParagraph"/>
        <w:widowControl/>
        <w:rPr>
          <w:i/>
          <w:color w:val="000000" w:themeColor="text1"/>
        </w:rPr>
      </w:pPr>
      <w:r w:rsidRPr="00D8075A">
        <w:rPr>
          <w:i/>
          <w:color w:val="000000" w:themeColor="text1"/>
        </w:rPr>
        <w:t>For more detail on PBAC’s view, see section 7 PBAC outcome.</w:t>
      </w:r>
    </w:p>
    <w:p w:rsidR="00694239" w:rsidRPr="00D8075A" w:rsidRDefault="00694239" w:rsidP="00FF0935">
      <w:pPr>
        <w:pStyle w:val="PBACHeading1"/>
        <w:keepNext/>
        <w:outlineLvl w:val="0"/>
      </w:pPr>
      <w:bookmarkStart w:id="10" w:name="_Toc514233095"/>
      <w:r w:rsidRPr="00D8075A">
        <w:t>Consideration of the evidence</w:t>
      </w:r>
      <w:bookmarkEnd w:id="10"/>
    </w:p>
    <w:p w:rsidR="0060068A" w:rsidRPr="00D8075A" w:rsidRDefault="0060068A" w:rsidP="00670F37">
      <w:pPr>
        <w:spacing w:before="240" w:line="276" w:lineRule="auto"/>
        <w:outlineLvl w:val="1"/>
        <w:rPr>
          <w:rFonts w:asciiTheme="minorHAnsi" w:hAnsiTheme="minorHAnsi"/>
          <w:b/>
          <w:bCs/>
          <w:i/>
          <w:sz w:val="28"/>
          <w:szCs w:val="28"/>
        </w:rPr>
      </w:pPr>
      <w:r w:rsidRPr="00D8075A">
        <w:rPr>
          <w:rFonts w:asciiTheme="minorHAnsi" w:hAnsiTheme="minorHAnsi"/>
          <w:b/>
          <w:bCs/>
          <w:i/>
          <w:sz w:val="28"/>
          <w:szCs w:val="28"/>
        </w:rPr>
        <w:t>Sponsor hearing</w:t>
      </w:r>
    </w:p>
    <w:p w:rsidR="0060068A" w:rsidRPr="00D8075A" w:rsidRDefault="0060068A" w:rsidP="00C3432B">
      <w:pPr>
        <w:numPr>
          <w:ilvl w:val="1"/>
          <w:numId w:val="1"/>
        </w:numPr>
        <w:spacing w:after="120"/>
        <w:rPr>
          <w:rFonts w:asciiTheme="minorHAnsi" w:hAnsiTheme="minorHAnsi"/>
          <w:bCs/>
        </w:rPr>
      </w:pPr>
      <w:r w:rsidRPr="00D8075A">
        <w:rPr>
          <w:rFonts w:asciiTheme="minorHAnsi" w:hAnsiTheme="minorHAnsi"/>
          <w:bCs/>
        </w:rPr>
        <w:t xml:space="preserve">The sponsor requested a hearing for this item. The clinician </w:t>
      </w:r>
      <w:r w:rsidR="00F55E92" w:rsidRPr="00D8075A">
        <w:rPr>
          <w:rFonts w:asciiTheme="minorHAnsi" w:hAnsiTheme="minorHAnsi"/>
          <w:bCs/>
        </w:rPr>
        <w:t>highlighted that</w:t>
      </w:r>
      <w:r w:rsidR="00237A86" w:rsidRPr="00D8075A">
        <w:rPr>
          <w:rFonts w:asciiTheme="minorHAnsi" w:hAnsiTheme="minorHAnsi"/>
          <w:bCs/>
        </w:rPr>
        <w:t xml:space="preserve"> </w:t>
      </w:r>
      <w:proofErr w:type="spellStart"/>
      <w:r w:rsidR="00237A86" w:rsidRPr="00D8075A">
        <w:rPr>
          <w:rFonts w:asciiTheme="minorHAnsi" w:hAnsiTheme="minorHAnsi"/>
          <w:bCs/>
        </w:rPr>
        <w:t>mMCC</w:t>
      </w:r>
      <w:proofErr w:type="spellEnd"/>
      <w:r w:rsidR="00237A86" w:rsidRPr="00D8075A">
        <w:rPr>
          <w:rFonts w:asciiTheme="minorHAnsi" w:hAnsiTheme="minorHAnsi"/>
          <w:bCs/>
        </w:rPr>
        <w:t xml:space="preserve"> is </w:t>
      </w:r>
      <w:r w:rsidR="00C01388" w:rsidRPr="00D8075A">
        <w:rPr>
          <w:rFonts w:asciiTheme="minorHAnsi" w:hAnsiTheme="minorHAnsi"/>
          <w:bCs/>
        </w:rPr>
        <w:t xml:space="preserve">a </w:t>
      </w:r>
      <w:r w:rsidR="00237A86" w:rsidRPr="00D8075A">
        <w:rPr>
          <w:rFonts w:asciiTheme="minorHAnsi" w:hAnsiTheme="minorHAnsi"/>
          <w:bCs/>
        </w:rPr>
        <w:t>rare but aggressive</w:t>
      </w:r>
      <w:r w:rsidR="002C768E" w:rsidRPr="00D8075A">
        <w:rPr>
          <w:rFonts w:asciiTheme="minorHAnsi" w:hAnsiTheme="minorHAnsi"/>
          <w:bCs/>
        </w:rPr>
        <w:t xml:space="preserve"> cancer</w:t>
      </w:r>
      <w:r w:rsidR="00237A86" w:rsidRPr="00D8075A">
        <w:rPr>
          <w:rFonts w:asciiTheme="minorHAnsi" w:hAnsiTheme="minorHAnsi"/>
          <w:bCs/>
        </w:rPr>
        <w:t>, and noted that</w:t>
      </w:r>
      <w:r w:rsidR="00F55E92" w:rsidRPr="00D8075A">
        <w:rPr>
          <w:rFonts w:asciiTheme="minorHAnsi" w:hAnsiTheme="minorHAnsi"/>
          <w:bCs/>
        </w:rPr>
        <w:t xml:space="preserve"> chemotherapy is not a very effective therapy for </w:t>
      </w:r>
      <w:r w:rsidR="00237A86" w:rsidRPr="00D8075A">
        <w:rPr>
          <w:rFonts w:asciiTheme="minorHAnsi" w:hAnsiTheme="minorHAnsi"/>
          <w:bCs/>
        </w:rPr>
        <w:t xml:space="preserve">this </w:t>
      </w:r>
      <w:r w:rsidR="00F55E92" w:rsidRPr="00D8075A">
        <w:rPr>
          <w:rFonts w:asciiTheme="minorHAnsi" w:hAnsiTheme="minorHAnsi"/>
          <w:bCs/>
        </w:rPr>
        <w:t>patient</w:t>
      </w:r>
      <w:r w:rsidR="00237A86" w:rsidRPr="00D8075A">
        <w:rPr>
          <w:rFonts w:asciiTheme="minorHAnsi" w:hAnsiTheme="minorHAnsi"/>
          <w:bCs/>
        </w:rPr>
        <w:t xml:space="preserve"> group</w:t>
      </w:r>
      <w:r w:rsidR="00F648BD" w:rsidRPr="00D8075A">
        <w:rPr>
          <w:rFonts w:asciiTheme="minorHAnsi" w:hAnsiTheme="minorHAnsi"/>
          <w:bCs/>
        </w:rPr>
        <w:t>,</w:t>
      </w:r>
      <w:r w:rsidR="00F55E92" w:rsidRPr="00D8075A">
        <w:rPr>
          <w:rFonts w:asciiTheme="minorHAnsi" w:hAnsiTheme="minorHAnsi"/>
          <w:bCs/>
        </w:rPr>
        <w:t xml:space="preserve"> as </w:t>
      </w:r>
      <w:r w:rsidR="000662FE" w:rsidRPr="00D8075A">
        <w:rPr>
          <w:rFonts w:asciiTheme="minorHAnsi" w:hAnsiTheme="minorHAnsi"/>
          <w:bCs/>
        </w:rPr>
        <w:t xml:space="preserve">patients are unable to tolerate effective doses and the duration of effect is </w:t>
      </w:r>
      <w:r w:rsidR="00F55E92" w:rsidRPr="00D8075A">
        <w:rPr>
          <w:rFonts w:asciiTheme="minorHAnsi" w:hAnsiTheme="minorHAnsi"/>
          <w:bCs/>
        </w:rPr>
        <w:t xml:space="preserve">short. Additionally, </w:t>
      </w:r>
      <w:r w:rsidR="00237A86" w:rsidRPr="00D8075A">
        <w:rPr>
          <w:rFonts w:asciiTheme="minorHAnsi" w:hAnsiTheme="minorHAnsi"/>
          <w:bCs/>
        </w:rPr>
        <w:t xml:space="preserve">the clinician noted that </w:t>
      </w:r>
      <w:r w:rsidR="00F55E92" w:rsidRPr="00D8075A">
        <w:rPr>
          <w:rFonts w:asciiTheme="minorHAnsi" w:hAnsiTheme="minorHAnsi"/>
          <w:bCs/>
        </w:rPr>
        <w:t xml:space="preserve">as MCC generally </w:t>
      </w:r>
      <w:r w:rsidR="000662FE" w:rsidRPr="00D8075A">
        <w:rPr>
          <w:rFonts w:asciiTheme="minorHAnsi" w:hAnsiTheme="minorHAnsi"/>
          <w:bCs/>
        </w:rPr>
        <w:t>occurs in older patients</w:t>
      </w:r>
      <w:r w:rsidR="00F55E92" w:rsidRPr="00D8075A">
        <w:rPr>
          <w:rFonts w:asciiTheme="minorHAnsi" w:hAnsiTheme="minorHAnsi"/>
          <w:bCs/>
        </w:rPr>
        <w:t xml:space="preserve">, it is difficult to administer chemotherapy, particularly multiple chemotherapy treatments, </w:t>
      </w:r>
      <w:r w:rsidR="004139B6" w:rsidRPr="00D8075A">
        <w:rPr>
          <w:rFonts w:asciiTheme="minorHAnsi" w:hAnsiTheme="minorHAnsi"/>
          <w:bCs/>
        </w:rPr>
        <w:t>because</w:t>
      </w:r>
      <w:r w:rsidR="00F55E92" w:rsidRPr="00D8075A">
        <w:rPr>
          <w:rFonts w:asciiTheme="minorHAnsi" w:hAnsiTheme="minorHAnsi"/>
          <w:bCs/>
        </w:rPr>
        <w:t xml:space="preserve"> of </w:t>
      </w:r>
      <w:r w:rsidR="000662FE" w:rsidRPr="00D8075A">
        <w:rPr>
          <w:rFonts w:asciiTheme="minorHAnsi" w:hAnsiTheme="minorHAnsi"/>
          <w:bCs/>
        </w:rPr>
        <w:t>general frailty</w:t>
      </w:r>
      <w:r w:rsidR="00F55E92" w:rsidRPr="00D8075A">
        <w:rPr>
          <w:rFonts w:asciiTheme="minorHAnsi" w:hAnsiTheme="minorHAnsi"/>
          <w:bCs/>
        </w:rPr>
        <w:t xml:space="preserve"> and comorbid</w:t>
      </w:r>
      <w:r w:rsidR="00ED669C" w:rsidRPr="00D8075A">
        <w:rPr>
          <w:rFonts w:asciiTheme="minorHAnsi" w:hAnsiTheme="minorHAnsi"/>
          <w:bCs/>
        </w:rPr>
        <w:t xml:space="preserve"> diseases</w:t>
      </w:r>
      <w:r w:rsidR="00F55E92" w:rsidRPr="00D8075A">
        <w:rPr>
          <w:rFonts w:asciiTheme="minorHAnsi" w:hAnsiTheme="minorHAnsi"/>
          <w:bCs/>
        </w:rPr>
        <w:t xml:space="preserve">. </w:t>
      </w:r>
      <w:r w:rsidR="00E0544C" w:rsidRPr="00D8075A">
        <w:rPr>
          <w:rFonts w:asciiTheme="minorHAnsi" w:hAnsiTheme="minorHAnsi"/>
          <w:bCs/>
        </w:rPr>
        <w:t>On this basis</w:t>
      </w:r>
      <w:r w:rsidR="00C24D5A" w:rsidRPr="00D8075A">
        <w:rPr>
          <w:rFonts w:asciiTheme="minorHAnsi" w:hAnsiTheme="minorHAnsi"/>
          <w:bCs/>
        </w:rPr>
        <w:t xml:space="preserve"> the clinician</w:t>
      </w:r>
      <w:r w:rsidR="00237A86" w:rsidRPr="00D8075A">
        <w:rPr>
          <w:rFonts w:asciiTheme="minorHAnsi" w:hAnsiTheme="minorHAnsi"/>
          <w:bCs/>
        </w:rPr>
        <w:t xml:space="preserve"> stated a </w:t>
      </w:r>
      <w:r w:rsidR="00C24D5A" w:rsidRPr="00D8075A">
        <w:rPr>
          <w:rFonts w:asciiTheme="minorHAnsi" w:hAnsiTheme="minorHAnsi"/>
          <w:bCs/>
        </w:rPr>
        <w:t xml:space="preserve">preference </w:t>
      </w:r>
      <w:r w:rsidR="00827C43" w:rsidRPr="00D8075A">
        <w:rPr>
          <w:rFonts w:asciiTheme="minorHAnsi" w:hAnsiTheme="minorHAnsi"/>
          <w:bCs/>
        </w:rPr>
        <w:t xml:space="preserve">for </w:t>
      </w:r>
      <w:r w:rsidR="00E0544C" w:rsidRPr="00D8075A">
        <w:rPr>
          <w:rFonts w:asciiTheme="minorHAnsi" w:hAnsiTheme="minorHAnsi"/>
          <w:bCs/>
        </w:rPr>
        <w:t>the listing to allow use in the first line setting</w:t>
      </w:r>
      <w:r w:rsidR="00C24D5A" w:rsidRPr="00D8075A">
        <w:rPr>
          <w:rFonts w:asciiTheme="minorHAnsi" w:hAnsiTheme="minorHAnsi"/>
          <w:bCs/>
        </w:rPr>
        <w:t xml:space="preserve">. </w:t>
      </w:r>
      <w:r w:rsidR="00F648BD" w:rsidRPr="00D8075A">
        <w:rPr>
          <w:rFonts w:asciiTheme="minorHAnsi" w:hAnsiTheme="minorHAnsi"/>
          <w:bCs/>
        </w:rPr>
        <w:t>Emerging e</w:t>
      </w:r>
      <w:r w:rsidR="00A530D2" w:rsidRPr="00D8075A">
        <w:rPr>
          <w:rFonts w:asciiTheme="minorHAnsi" w:hAnsiTheme="minorHAnsi"/>
          <w:bCs/>
        </w:rPr>
        <w:t>vidence from the June 2018 American Society of Clinical Oncology (ASCO) Annual Meeting</w:t>
      </w:r>
      <w:r w:rsidR="00246AB6" w:rsidRPr="00D8075A">
        <w:rPr>
          <w:rFonts w:asciiTheme="minorHAnsi" w:hAnsiTheme="minorHAnsi"/>
          <w:bCs/>
        </w:rPr>
        <w:t xml:space="preserve"> was presented</w:t>
      </w:r>
      <w:r w:rsidR="00A530D2" w:rsidRPr="00D8075A">
        <w:rPr>
          <w:rFonts w:asciiTheme="minorHAnsi" w:hAnsiTheme="minorHAnsi"/>
          <w:bCs/>
        </w:rPr>
        <w:t xml:space="preserve"> </w:t>
      </w:r>
      <w:r w:rsidR="005F0138" w:rsidRPr="00D8075A">
        <w:rPr>
          <w:rFonts w:asciiTheme="minorHAnsi" w:hAnsiTheme="minorHAnsi"/>
          <w:bCs/>
        </w:rPr>
        <w:t xml:space="preserve">to the PBAC </w:t>
      </w:r>
      <w:r w:rsidR="00246AB6" w:rsidRPr="00D8075A">
        <w:rPr>
          <w:rFonts w:asciiTheme="minorHAnsi" w:hAnsiTheme="minorHAnsi"/>
          <w:bCs/>
        </w:rPr>
        <w:t xml:space="preserve">which </w:t>
      </w:r>
      <w:r w:rsidR="00A530D2" w:rsidRPr="00D8075A">
        <w:rPr>
          <w:rFonts w:asciiTheme="minorHAnsi" w:hAnsiTheme="minorHAnsi"/>
          <w:bCs/>
        </w:rPr>
        <w:t xml:space="preserve">highlighted </w:t>
      </w:r>
      <w:r w:rsidR="0015660A" w:rsidRPr="00D8075A">
        <w:rPr>
          <w:rFonts w:asciiTheme="minorHAnsi" w:hAnsiTheme="minorHAnsi"/>
          <w:bCs/>
        </w:rPr>
        <w:t xml:space="preserve">that avelumab demonstrated </w:t>
      </w:r>
      <w:r w:rsidR="00A530D2" w:rsidRPr="00D8075A">
        <w:rPr>
          <w:rFonts w:asciiTheme="minorHAnsi" w:hAnsiTheme="minorHAnsi"/>
          <w:bCs/>
        </w:rPr>
        <w:t xml:space="preserve">durable responses that </w:t>
      </w:r>
      <w:r w:rsidR="00237A86" w:rsidRPr="00D8075A">
        <w:rPr>
          <w:rFonts w:asciiTheme="minorHAnsi" w:hAnsiTheme="minorHAnsi"/>
          <w:bCs/>
        </w:rPr>
        <w:t xml:space="preserve">are </w:t>
      </w:r>
      <w:r w:rsidR="00A530D2" w:rsidRPr="00D8075A">
        <w:rPr>
          <w:rFonts w:asciiTheme="minorHAnsi" w:hAnsiTheme="minorHAnsi"/>
          <w:bCs/>
        </w:rPr>
        <w:t xml:space="preserve">not seen with </w:t>
      </w:r>
      <w:r w:rsidR="00A530D2" w:rsidRPr="00D8075A">
        <w:rPr>
          <w:rFonts w:asciiTheme="minorHAnsi" w:hAnsiTheme="minorHAnsi"/>
          <w:bCs/>
        </w:rPr>
        <w:lastRenderedPageBreak/>
        <w:t>chemotherapy</w:t>
      </w:r>
      <w:r w:rsidR="00A530D2" w:rsidRPr="00D8075A">
        <w:rPr>
          <w:rStyle w:val="FootnoteReference"/>
          <w:rFonts w:asciiTheme="minorHAnsi" w:hAnsiTheme="minorHAnsi"/>
          <w:bCs/>
        </w:rPr>
        <w:footnoteReference w:id="1"/>
      </w:r>
      <w:r w:rsidR="00A530D2" w:rsidRPr="00D8075A">
        <w:rPr>
          <w:rFonts w:asciiTheme="minorHAnsi" w:hAnsiTheme="minorHAnsi"/>
          <w:bCs/>
        </w:rPr>
        <w:t xml:space="preserve">. </w:t>
      </w:r>
      <w:r w:rsidR="0078252A" w:rsidRPr="00D8075A">
        <w:rPr>
          <w:rFonts w:asciiTheme="minorHAnsi" w:hAnsiTheme="minorHAnsi"/>
          <w:bCs/>
        </w:rPr>
        <w:t xml:space="preserve">Data from the sponsor’s global access program </w:t>
      </w:r>
      <w:r w:rsidR="00E0544C" w:rsidRPr="00D8075A">
        <w:rPr>
          <w:rFonts w:asciiTheme="minorHAnsi" w:hAnsiTheme="minorHAnsi"/>
          <w:bCs/>
        </w:rPr>
        <w:t xml:space="preserve">were </w:t>
      </w:r>
      <w:r w:rsidR="0078252A" w:rsidRPr="00D8075A">
        <w:rPr>
          <w:rFonts w:asciiTheme="minorHAnsi" w:hAnsiTheme="minorHAnsi"/>
          <w:bCs/>
        </w:rPr>
        <w:t xml:space="preserve">also presented and </w:t>
      </w:r>
      <w:r w:rsidR="00237A86" w:rsidRPr="00D8075A">
        <w:rPr>
          <w:rFonts w:asciiTheme="minorHAnsi" w:hAnsiTheme="minorHAnsi"/>
          <w:bCs/>
        </w:rPr>
        <w:t>the overall response rate (</w:t>
      </w:r>
      <w:r w:rsidR="0078252A" w:rsidRPr="00D8075A">
        <w:rPr>
          <w:rFonts w:asciiTheme="minorHAnsi" w:hAnsiTheme="minorHAnsi"/>
          <w:bCs/>
        </w:rPr>
        <w:t>ORR</w:t>
      </w:r>
      <w:r w:rsidR="00237A86" w:rsidRPr="00D8075A">
        <w:rPr>
          <w:rFonts w:asciiTheme="minorHAnsi" w:hAnsiTheme="minorHAnsi"/>
          <w:bCs/>
        </w:rPr>
        <w:t>)</w:t>
      </w:r>
      <w:r w:rsidR="0078252A" w:rsidRPr="00D8075A">
        <w:rPr>
          <w:rFonts w:asciiTheme="minorHAnsi" w:hAnsiTheme="minorHAnsi"/>
          <w:bCs/>
        </w:rPr>
        <w:t xml:space="preserve"> was 51.6%, including </w:t>
      </w:r>
      <w:r w:rsidR="00237A86" w:rsidRPr="00D8075A">
        <w:rPr>
          <w:rFonts w:asciiTheme="minorHAnsi" w:hAnsiTheme="minorHAnsi"/>
          <w:bCs/>
        </w:rPr>
        <w:t xml:space="preserve">complete response in </w:t>
      </w:r>
      <w:r w:rsidR="0078252A" w:rsidRPr="00D8075A">
        <w:rPr>
          <w:rFonts w:asciiTheme="minorHAnsi" w:hAnsiTheme="minorHAnsi"/>
          <w:bCs/>
        </w:rPr>
        <w:t>24.8% (n=39)</w:t>
      </w:r>
      <w:r w:rsidR="00237A86" w:rsidRPr="00D8075A">
        <w:rPr>
          <w:rFonts w:asciiTheme="minorHAnsi" w:hAnsiTheme="minorHAnsi"/>
          <w:bCs/>
        </w:rPr>
        <w:t xml:space="preserve"> of patients</w:t>
      </w:r>
      <w:r w:rsidR="0078252A" w:rsidRPr="00D8075A">
        <w:rPr>
          <w:rFonts w:asciiTheme="minorHAnsi" w:hAnsiTheme="minorHAnsi"/>
          <w:bCs/>
        </w:rPr>
        <w:t xml:space="preserve"> and </w:t>
      </w:r>
      <w:r w:rsidR="00237A86" w:rsidRPr="00D8075A">
        <w:rPr>
          <w:rFonts w:asciiTheme="minorHAnsi" w:hAnsiTheme="minorHAnsi"/>
          <w:bCs/>
        </w:rPr>
        <w:t xml:space="preserve">partial response </w:t>
      </w:r>
      <w:r w:rsidR="0078252A" w:rsidRPr="00D8075A">
        <w:rPr>
          <w:rFonts w:asciiTheme="minorHAnsi" w:hAnsiTheme="minorHAnsi"/>
          <w:bCs/>
        </w:rPr>
        <w:t xml:space="preserve">in 26.8% (n=42) </w:t>
      </w:r>
      <w:r w:rsidR="001E5A06" w:rsidRPr="00D8075A">
        <w:rPr>
          <w:rFonts w:asciiTheme="minorHAnsi" w:hAnsiTheme="minorHAnsi"/>
          <w:bCs/>
        </w:rPr>
        <w:t>of patients. In addition,</w:t>
      </w:r>
      <w:r w:rsidR="0078252A" w:rsidRPr="00D8075A">
        <w:rPr>
          <w:rFonts w:asciiTheme="minorHAnsi" w:hAnsiTheme="minorHAnsi"/>
          <w:bCs/>
        </w:rPr>
        <w:t xml:space="preserve"> no new safety signals were identified.</w:t>
      </w:r>
      <w:r w:rsidR="0078252A" w:rsidRPr="00D8075A">
        <w:rPr>
          <w:rStyle w:val="FootnoteReference"/>
          <w:rFonts w:asciiTheme="minorHAnsi" w:hAnsiTheme="minorHAnsi"/>
          <w:bCs/>
        </w:rPr>
        <w:footnoteReference w:id="2"/>
      </w:r>
      <w:r w:rsidR="0078252A" w:rsidRPr="00D8075A">
        <w:rPr>
          <w:rFonts w:asciiTheme="minorHAnsi" w:hAnsiTheme="minorHAnsi"/>
          <w:bCs/>
        </w:rPr>
        <w:t xml:space="preserve"> </w:t>
      </w:r>
      <w:r w:rsidR="00237A86" w:rsidRPr="00D8075A">
        <w:rPr>
          <w:rFonts w:asciiTheme="minorHAnsi" w:hAnsiTheme="minorHAnsi"/>
          <w:bCs/>
        </w:rPr>
        <w:t xml:space="preserve">When asked by the PBAC about </w:t>
      </w:r>
      <w:r w:rsidR="00C946DC" w:rsidRPr="00D8075A">
        <w:rPr>
          <w:rFonts w:asciiTheme="minorHAnsi" w:hAnsiTheme="minorHAnsi"/>
          <w:bCs/>
        </w:rPr>
        <w:t xml:space="preserve">duration of treatment, the clinician confirmed that in clinical practice, response to avelumab could be </w:t>
      </w:r>
      <w:r w:rsidR="00733DCC" w:rsidRPr="00D8075A">
        <w:rPr>
          <w:rFonts w:asciiTheme="minorHAnsi" w:hAnsiTheme="minorHAnsi"/>
          <w:bCs/>
        </w:rPr>
        <w:t xml:space="preserve">observed </w:t>
      </w:r>
      <w:r w:rsidR="00936D66" w:rsidRPr="00D8075A">
        <w:rPr>
          <w:rFonts w:asciiTheme="minorHAnsi" w:hAnsiTheme="minorHAnsi"/>
          <w:bCs/>
        </w:rPr>
        <w:t>with</w:t>
      </w:r>
      <w:r w:rsidR="00C946DC" w:rsidRPr="00D8075A">
        <w:rPr>
          <w:rFonts w:asciiTheme="minorHAnsi" w:hAnsiTheme="minorHAnsi"/>
          <w:bCs/>
        </w:rPr>
        <w:t xml:space="preserve">in 6-8 weeks </w:t>
      </w:r>
      <w:r w:rsidR="00936D66" w:rsidRPr="00D8075A">
        <w:rPr>
          <w:rFonts w:asciiTheme="minorHAnsi" w:hAnsiTheme="minorHAnsi"/>
          <w:bCs/>
        </w:rPr>
        <w:t>of</w:t>
      </w:r>
      <w:r w:rsidR="00C946DC" w:rsidRPr="00D8075A">
        <w:rPr>
          <w:rFonts w:asciiTheme="minorHAnsi" w:hAnsiTheme="minorHAnsi"/>
          <w:bCs/>
        </w:rPr>
        <w:t xml:space="preserve"> </w:t>
      </w:r>
      <w:r w:rsidR="00936D66" w:rsidRPr="00D8075A">
        <w:rPr>
          <w:rFonts w:asciiTheme="minorHAnsi" w:hAnsiTheme="minorHAnsi"/>
          <w:bCs/>
        </w:rPr>
        <w:t>commencing</w:t>
      </w:r>
      <w:r w:rsidR="00C946DC" w:rsidRPr="00D8075A">
        <w:rPr>
          <w:rFonts w:asciiTheme="minorHAnsi" w:hAnsiTheme="minorHAnsi"/>
          <w:bCs/>
        </w:rPr>
        <w:t xml:space="preserve"> treatment and there was</w:t>
      </w:r>
      <w:r w:rsidR="00936D66" w:rsidRPr="00D8075A">
        <w:rPr>
          <w:rFonts w:asciiTheme="minorHAnsi" w:hAnsiTheme="minorHAnsi"/>
          <w:bCs/>
        </w:rPr>
        <w:t xml:space="preserve"> a deepening of response over 1</w:t>
      </w:r>
      <w:r w:rsidR="00936D66" w:rsidRPr="00D8075A">
        <w:rPr>
          <w:rFonts w:asciiTheme="minorHAnsi" w:hAnsiTheme="minorHAnsi"/>
          <w:bCs/>
        </w:rPr>
        <w:noBreakHyphen/>
      </w:r>
      <w:r w:rsidR="00C946DC" w:rsidRPr="00D8075A">
        <w:rPr>
          <w:rFonts w:asciiTheme="minorHAnsi" w:hAnsiTheme="minorHAnsi"/>
          <w:bCs/>
        </w:rPr>
        <w:t xml:space="preserve">1.5 years. </w:t>
      </w:r>
      <w:r w:rsidR="00936D66" w:rsidRPr="00D8075A">
        <w:rPr>
          <w:rFonts w:asciiTheme="minorHAnsi" w:hAnsiTheme="minorHAnsi"/>
          <w:bCs/>
        </w:rPr>
        <w:t>The clinician stated that i</w:t>
      </w:r>
      <w:r w:rsidR="00C946DC" w:rsidRPr="00D8075A">
        <w:rPr>
          <w:rFonts w:asciiTheme="minorHAnsi" w:hAnsiTheme="minorHAnsi"/>
          <w:bCs/>
        </w:rPr>
        <w:t>n the maintenance setting, the ideal approach would be to treat beyond 1 year</w:t>
      </w:r>
      <w:r w:rsidR="00D84C24" w:rsidRPr="00D8075A">
        <w:rPr>
          <w:rFonts w:asciiTheme="minorHAnsi" w:hAnsiTheme="minorHAnsi"/>
          <w:bCs/>
        </w:rPr>
        <w:t xml:space="preserve"> up to about 2 years, but this wa</w:t>
      </w:r>
      <w:r w:rsidR="00C946DC" w:rsidRPr="00D8075A">
        <w:rPr>
          <w:rFonts w:asciiTheme="minorHAnsi" w:hAnsiTheme="minorHAnsi"/>
          <w:bCs/>
        </w:rPr>
        <w:t xml:space="preserve">s hard to determine as there is </w:t>
      </w:r>
      <w:r w:rsidR="00056BE3" w:rsidRPr="00D8075A">
        <w:rPr>
          <w:rFonts w:asciiTheme="minorHAnsi" w:hAnsiTheme="minorHAnsi"/>
          <w:bCs/>
        </w:rPr>
        <w:t xml:space="preserve">currently </w:t>
      </w:r>
      <w:r w:rsidR="00C946DC" w:rsidRPr="00D8075A">
        <w:rPr>
          <w:rFonts w:asciiTheme="minorHAnsi" w:hAnsiTheme="minorHAnsi"/>
          <w:bCs/>
        </w:rPr>
        <w:t>no data available to confirm this</w:t>
      </w:r>
      <w:r w:rsidR="009F4F19" w:rsidRPr="00D8075A">
        <w:rPr>
          <w:rFonts w:asciiTheme="minorHAnsi" w:hAnsiTheme="minorHAnsi"/>
          <w:bCs/>
        </w:rPr>
        <w:t xml:space="preserve"> approach</w:t>
      </w:r>
      <w:r w:rsidR="00C946DC" w:rsidRPr="00D8075A">
        <w:rPr>
          <w:rFonts w:asciiTheme="minorHAnsi" w:hAnsiTheme="minorHAnsi"/>
          <w:bCs/>
        </w:rPr>
        <w:t xml:space="preserve">. </w:t>
      </w:r>
      <w:r w:rsidR="002E73A3" w:rsidRPr="00D8075A">
        <w:rPr>
          <w:rFonts w:asciiTheme="minorHAnsi" w:hAnsiTheme="minorHAnsi"/>
          <w:bCs/>
        </w:rPr>
        <w:t xml:space="preserve">The clinician also </w:t>
      </w:r>
      <w:r w:rsidR="00246AB6" w:rsidRPr="00D8075A">
        <w:rPr>
          <w:rFonts w:asciiTheme="minorHAnsi" w:hAnsiTheme="minorHAnsi"/>
          <w:bCs/>
        </w:rPr>
        <w:t xml:space="preserve">noted </w:t>
      </w:r>
      <w:r w:rsidR="002E73A3" w:rsidRPr="00D8075A">
        <w:rPr>
          <w:rFonts w:asciiTheme="minorHAnsi" w:hAnsiTheme="minorHAnsi"/>
          <w:bCs/>
        </w:rPr>
        <w:t xml:space="preserve">that </w:t>
      </w:r>
      <w:proofErr w:type="spellStart"/>
      <w:r w:rsidR="002660A7" w:rsidRPr="00D8075A">
        <w:rPr>
          <w:rFonts w:asciiTheme="minorHAnsi" w:hAnsiTheme="minorHAnsi"/>
          <w:bCs/>
        </w:rPr>
        <w:t>pseudoprogression</w:t>
      </w:r>
      <w:proofErr w:type="spellEnd"/>
      <w:r w:rsidR="002660A7" w:rsidRPr="00D8075A">
        <w:rPr>
          <w:rFonts w:asciiTheme="minorHAnsi" w:hAnsiTheme="minorHAnsi"/>
          <w:bCs/>
        </w:rPr>
        <w:t xml:space="preserve"> is </w:t>
      </w:r>
      <w:r w:rsidR="00056BE3" w:rsidRPr="00D8075A">
        <w:rPr>
          <w:rFonts w:asciiTheme="minorHAnsi" w:hAnsiTheme="minorHAnsi"/>
          <w:bCs/>
        </w:rPr>
        <w:t xml:space="preserve">only </w:t>
      </w:r>
      <w:r w:rsidR="00C24D5A" w:rsidRPr="00D8075A">
        <w:rPr>
          <w:rFonts w:asciiTheme="minorHAnsi" w:hAnsiTheme="minorHAnsi"/>
          <w:bCs/>
        </w:rPr>
        <w:t xml:space="preserve">seen in </w:t>
      </w:r>
      <w:r w:rsidR="006F3CCC" w:rsidRPr="00D8075A">
        <w:rPr>
          <w:rFonts w:asciiTheme="minorHAnsi" w:hAnsiTheme="minorHAnsi"/>
          <w:bCs/>
        </w:rPr>
        <w:t>a small number (</w:t>
      </w:r>
      <w:r w:rsidR="00C24D5A" w:rsidRPr="00D8075A">
        <w:rPr>
          <w:rFonts w:asciiTheme="minorHAnsi" w:hAnsiTheme="minorHAnsi"/>
          <w:bCs/>
        </w:rPr>
        <w:t>1-2%</w:t>
      </w:r>
      <w:r w:rsidR="006F3CCC" w:rsidRPr="00D8075A">
        <w:rPr>
          <w:rFonts w:asciiTheme="minorHAnsi" w:hAnsiTheme="minorHAnsi"/>
          <w:bCs/>
        </w:rPr>
        <w:t>)</w:t>
      </w:r>
      <w:r w:rsidR="00C24D5A" w:rsidRPr="00D8075A">
        <w:rPr>
          <w:rFonts w:asciiTheme="minorHAnsi" w:hAnsiTheme="minorHAnsi"/>
          <w:bCs/>
        </w:rPr>
        <w:t xml:space="preserve"> of cases</w:t>
      </w:r>
      <w:r w:rsidR="00056BE3" w:rsidRPr="00D8075A">
        <w:rPr>
          <w:rFonts w:asciiTheme="minorHAnsi" w:hAnsiTheme="minorHAnsi"/>
          <w:bCs/>
        </w:rPr>
        <w:t xml:space="preserve">; and </w:t>
      </w:r>
      <w:r w:rsidR="00C24D5A" w:rsidRPr="00D8075A">
        <w:rPr>
          <w:rFonts w:asciiTheme="minorHAnsi" w:hAnsiTheme="minorHAnsi"/>
          <w:bCs/>
        </w:rPr>
        <w:t>confirmatory scans for progression could be performed 6</w:t>
      </w:r>
      <w:r w:rsidR="00056BE3" w:rsidRPr="00D8075A">
        <w:rPr>
          <w:rFonts w:asciiTheme="minorHAnsi" w:hAnsiTheme="minorHAnsi"/>
          <w:bCs/>
        </w:rPr>
        <w:t xml:space="preserve"> – </w:t>
      </w:r>
      <w:r w:rsidR="00C24D5A" w:rsidRPr="00D8075A">
        <w:rPr>
          <w:rFonts w:asciiTheme="minorHAnsi" w:hAnsiTheme="minorHAnsi"/>
          <w:bCs/>
        </w:rPr>
        <w:t>8</w:t>
      </w:r>
      <w:r w:rsidR="00056BE3" w:rsidRPr="00D8075A">
        <w:rPr>
          <w:rFonts w:asciiTheme="minorHAnsi" w:hAnsiTheme="minorHAnsi"/>
          <w:bCs/>
        </w:rPr>
        <w:t xml:space="preserve"> </w:t>
      </w:r>
      <w:r w:rsidR="001E5A06" w:rsidRPr="00D8075A">
        <w:rPr>
          <w:rFonts w:asciiTheme="minorHAnsi" w:hAnsiTheme="minorHAnsi"/>
          <w:bCs/>
        </w:rPr>
        <w:t>weeks after initially identifying possible progression</w:t>
      </w:r>
      <w:r w:rsidR="002660A7" w:rsidRPr="00D8075A">
        <w:rPr>
          <w:rFonts w:asciiTheme="minorHAnsi" w:hAnsiTheme="minorHAnsi"/>
          <w:bCs/>
        </w:rPr>
        <w:t xml:space="preserve">. </w:t>
      </w:r>
      <w:r w:rsidR="004F5515" w:rsidRPr="00D8075A">
        <w:rPr>
          <w:rFonts w:asciiTheme="minorHAnsi" w:hAnsiTheme="minorHAnsi"/>
          <w:bCs/>
        </w:rPr>
        <w:t xml:space="preserve">The clinician </w:t>
      </w:r>
      <w:r w:rsidR="004F5515" w:rsidRPr="00D8075A">
        <w:rPr>
          <w:rFonts w:asciiTheme="minorHAnsi" w:hAnsiTheme="minorHAnsi" w:cstheme="minorHAnsi"/>
          <w:bCs/>
        </w:rPr>
        <w:t>noted that approximately 50% of patients</w:t>
      </w:r>
      <w:r w:rsidR="00695CBF" w:rsidRPr="00D8075A">
        <w:rPr>
          <w:rFonts w:asciiTheme="minorHAnsi" w:hAnsiTheme="minorHAnsi" w:cstheme="minorHAnsi"/>
          <w:bCs/>
        </w:rPr>
        <w:t xml:space="preserve"> in clinical practice</w:t>
      </w:r>
      <w:r w:rsidR="004F5515" w:rsidRPr="00D8075A">
        <w:rPr>
          <w:rFonts w:asciiTheme="minorHAnsi" w:hAnsiTheme="minorHAnsi" w:cstheme="minorHAnsi"/>
          <w:bCs/>
        </w:rPr>
        <w:t xml:space="preserve"> had an ECOG performance status of </w:t>
      </w:r>
      <w:r w:rsidR="004F5515" w:rsidRPr="00D8075A">
        <w:rPr>
          <w:rStyle w:val="ilfuvd"/>
          <w:rFonts w:asciiTheme="minorHAnsi" w:hAnsiTheme="minorHAnsi" w:cstheme="minorHAnsi"/>
          <w:color w:val="222222"/>
        </w:rPr>
        <w:t>≥1, where patients with an ECOG performance status of 3 were not likely to be treated with avelumab.</w:t>
      </w:r>
      <w:r w:rsidR="00C24D5A" w:rsidRPr="00D8075A">
        <w:rPr>
          <w:rFonts w:asciiTheme="minorHAnsi" w:hAnsiTheme="minorHAnsi"/>
          <w:bCs/>
        </w:rPr>
        <w:t xml:space="preserve"> </w:t>
      </w:r>
      <w:r w:rsidRPr="00D8075A">
        <w:rPr>
          <w:rFonts w:asciiTheme="minorHAnsi" w:hAnsiTheme="minorHAnsi"/>
          <w:bCs/>
        </w:rPr>
        <w:t xml:space="preserve">The PBAC considered that the hearing was informative as it provided a clinical perspective on </w:t>
      </w:r>
      <w:r w:rsidR="00BC03AD" w:rsidRPr="00D8075A">
        <w:rPr>
          <w:rFonts w:asciiTheme="minorHAnsi" w:hAnsiTheme="minorHAnsi"/>
          <w:bCs/>
        </w:rPr>
        <w:t xml:space="preserve">treating this uncommon disease. </w:t>
      </w:r>
    </w:p>
    <w:p w:rsidR="0060068A" w:rsidRPr="00D8075A" w:rsidRDefault="0060068A" w:rsidP="00670F37">
      <w:pPr>
        <w:spacing w:before="240" w:line="276" w:lineRule="auto"/>
        <w:outlineLvl w:val="1"/>
        <w:rPr>
          <w:rFonts w:asciiTheme="minorHAnsi" w:hAnsiTheme="minorHAnsi"/>
          <w:b/>
          <w:bCs/>
          <w:i/>
          <w:sz w:val="28"/>
          <w:szCs w:val="28"/>
        </w:rPr>
      </w:pPr>
      <w:r w:rsidRPr="00D8075A">
        <w:rPr>
          <w:rFonts w:asciiTheme="minorHAnsi" w:hAnsiTheme="minorHAnsi"/>
          <w:b/>
          <w:bCs/>
          <w:i/>
          <w:sz w:val="28"/>
          <w:szCs w:val="28"/>
        </w:rPr>
        <w:t>Consumer comments</w:t>
      </w:r>
    </w:p>
    <w:p w:rsidR="0060068A" w:rsidRPr="00D8075A" w:rsidRDefault="0060068A" w:rsidP="00C3432B">
      <w:pPr>
        <w:numPr>
          <w:ilvl w:val="1"/>
          <w:numId w:val="1"/>
        </w:numPr>
        <w:spacing w:after="120"/>
        <w:rPr>
          <w:rFonts w:asciiTheme="minorHAnsi" w:hAnsiTheme="minorHAnsi"/>
          <w:bCs/>
        </w:rPr>
      </w:pPr>
      <w:r w:rsidRPr="00D8075A">
        <w:rPr>
          <w:rFonts w:asciiTheme="minorHAnsi" w:hAnsiTheme="minorHAnsi"/>
          <w:bCs/>
        </w:rPr>
        <w:t>The PBAC noted and welcom</w:t>
      </w:r>
      <w:r w:rsidR="00677C65" w:rsidRPr="00D8075A">
        <w:rPr>
          <w:rFonts w:asciiTheme="minorHAnsi" w:hAnsiTheme="minorHAnsi"/>
          <w:bCs/>
        </w:rPr>
        <w:t>ed the input from individuals (3</w:t>
      </w:r>
      <w:r w:rsidRPr="00D8075A">
        <w:rPr>
          <w:rFonts w:asciiTheme="minorHAnsi" w:hAnsiTheme="minorHAnsi"/>
          <w:bCs/>
        </w:rPr>
        <w:t>), health care professionals (</w:t>
      </w:r>
      <w:r w:rsidR="00677C65" w:rsidRPr="00D8075A">
        <w:rPr>
          <w:rFonts w:asciiTheme="minorHAnsi" w:hAnsiTheme="minorHAnsi"/>
          <w:bCs/>
        </w:rPr>
        <w:t>3) and organisations (3</w:t>
      </w:r>
      <w:r w:rsidRPr="00D8075A">
        <w:rPr>
          <w:rFonts w:asciiTheme="minorHAnsi" w:hAnsiTheme="minorHAnsi"/>
          <w:bCs/>
        </w:rPr>
        <w:t>) via the Consumer Comments facility on t</w:t>
      </w:r>
      <w:r w:rsidR="00677C65" w:rsidRPr="00D8075A">
        <w:rPr>
          <w:rFonts w:asciiTheme="minorHAnsi" w:hAnsiTheme="minorHAnsi"/>
          <w:bCs/>
        </w:rPr>
        <w:t xml:space="preserve">he PBS website. </w:t>
      </w:r>
      <w:r w:rsidRPr="00D8075A">
        <w:rPr>
          <w:rFonts w:asciiTheme="minorHAnsi" w:hAnsiTheme="minorHAnsi"/>
          <w:bCs/>
        </w:rPr>
        <w:t xml:space="preserve">The comments </w:t>
      </w:r>
      <w:r w:rsidR="00441BA5" w:rsidRPr="00D8075A">
        <w:rPr>
          <w:rFonts w:asciiTheme="minorHAnsi" w:hAnsiTheme="minorHAnsi"/>
          <w:bCs/>
        </w:rPr>
        <w:t xml:space="preserve">from the health professionals </w:t>
      </w:r>
      <w:r w:rsidRPr="00D8075A">
        <w:rPr>
          <w:rFonts w:asciiTheme="minorHAnsi" w:hAnsiTheme="minorHAnsi"/>
          <w:bCs/>
        </w:rPr>
        <w:t xml:space="preserve">described </w:t>
      </w:r>
      <w:r w:rsidR="00441BA5" w:rsidRPr="00D8075A">
        <w:rPr>
          <w:rFonts w:asciiTheme="minorHAnsi" w:hAnsiTheme="minorHAnsi"/>
          <w:bCs/>
        </w:rPr>
        <w:t>that conventional treatments are not effective in t</w:t>
      </w:r>
      <w:r w:rsidR="00EC0981" w:rsidRPr="00D8075A">
        <w:rPr>
          <w:rFonts w:asciiTheme="minorHAnsi" w:hAnsiTheme="minorHAnsi"/>
          <w:bCs/>
        </w:rPr>
        <w:t xml:space="preserve">reating </w:t>
      </w:r>
      <w:proofErr w:type="spellStart"/>
      <w:r w:rsidR="00056BE3" w:rsidRPr="00D8075A">
        <w:rPr>
          <w:rFonts w:asciiTheme="minorHAnsi" w:hAnsiTheme="minorHAnsi"/>
          <w:bCs/>
        </w:rPr>
        <w:t>m</w:t>
      </w:r>
      <w:r w:rsidR="00EC0981" w:rsidRPr="00D8075A">
        <w:rPr>
          <w:rFonts w:asciiTheme="minorHAnsi" w:hAnsiTheme="minorHAnsi"/>
          <w:bCs/>
        </w:rPr>
        <w:t>MCC</w:t>
      </w:r>
      <w:proofErr w:type="spellEnd"/>
      <w:r w:rsidR="00EC0981" w:rsidRPr="00D8075A">
        <w:rPr>
          <w:rFonts w:asciiTheme="minorHAnsi" w:hAnsiTheme="minorHAnsi"/>
          <w:bCs/>
        </w:rPr>
        <w:t xml:space="preserve"> and phase II</w:t>
      </w:r>
      <w:r w:rsidR="00441BA5" w:rsidRPr="00D8075A">
        <w:rPr>
          <w:rFonts w:asciiTheme="minorHAnsi" w:hAnsiTheme="minorHAnsi"/>
          <w:bCs/>
        </w:rPr>
        <w:t xml:space="preserve"> data demonstrate that avelumab is not only effective but also has lasting benefits</w:t>
      </w:r>
      <w:r w:rsidR="007C5DD9" w:rsidRPr="00D8075A">
        <w:rPr>
          <w:rFonts w:asciiTheme="minorHAnsi" w:hAnsiTheme="minorHAnsi"/>
          <w:bCs/>
        </w:rPr>
        <w:t>,</w:t>
      </w:r>
      <w:r w:rsidR="00441BA5" w:rsidRPr="00D8075A">
        <w:rPr>
          <w:rFonts w:asciiTheme="minorHAnsi" w:hAnsiTheme="minorHAnsi"/>
          <w:bCs/>
        </w:rPr>
        <w:t xml:space="preserve"> at or beyond</w:t>
      </w:r>
      <w:r w:rsidR="007C5DD9" w:rsidRPr="00D8075A">
        <w:rPr>
          <w:rFonts w:asciiTheme="minorHAnsi" w:hAnsiTheme="minorHAnsi"/>
          <w:bCs/>
        </w:rPr>
        <w:t>,</w:t>
      </w:r>
      <w:r w:rsidR="00441BA5" w:rsidRPr="00D8075A">
        <w:rPr>
          <w:rFonts w:asciiTheme="minorHAnsi" w:hAnsiTheme="minorHAnsi"/>
          <w:bCs/>
        </w:rPr>
        <w:t xml:space="preserve"> 1-2 years after starting therapy</w:t>
      </w:r>
      <w:r w:rsidR="007C5DD9" w:rsidRPr="00D8075A">
        <w:rPr>
          <w:rFonts w:asciiTheme="minorHAnsi" w:hAnsiTheme="minorHAnsi"/>
          <w:bCs/>
        </w:rPr>
        <w:t xml:space="preserve">. </w:t>
      </w:r>
      <w:r w:rsidR="00695CBF" w:rsidRPr="00D8075A">
        <w:rPr>
          <w:rFonts w:asciiTheme="minorHAnsi" w:hAnsiTheme="minorHAnsi"/>
          <w:bCs/>
        </w:rPr>
        <w:t>T</w:t>
      </w:r>
      <w:r w:rsidR="007C5DD9" w:rsidRPr="00D8075A">
        <w:rPr>
          <w:rFonts w:asciiTheme="minorHAnsi" w:hAnsiTheme="minorHAnsi"/>
          <w:bCs/>
        </w:rPr>
        <w:t xml:space="preserve">he comments noted that </w:t>
      </w:r>
      <w:r w:rsidR="00695CBF" w:rsidRPr="00D8075A">
        <w:rPr>
          <w:rFonts w:asciiTheme="minorHAnsi" w:hAnsiTheme="minorHAnsi"/>
          <w:bCs/>
        </w:rPr>
        <w:t>the benefits observed</w:t>
      </w:r>
      <w:r w:rsidR="00441BA5" w:rsidRPr="00D8075A">
        <w:rPr>
          <w:rFonts w:asciiTheme="minorHAnsi" w:hAnsiTheme="minorHAnsi"/>
          <w:bCs/>
        </w:rPr>
        <w:t xml:space="preserve"> are comparable to </w:t>
      </w:r>
      <w:r w:rsidR="00695CBF" w:rsidRPr="00D8075A">
        <w:rPr>
          <w:rFonts w:asciiTheme="minorHAnsi" w:hAnsiTheme="minorHAnsi"/>
          <w:bCs/>
        </w:rPr>
        <w:t xml:space="preserve">those with </w:t>
      </w:r>
      <w:r w:rsidR="00441BA5" w:rsidRPr="00D8075A">
        <w:rPr>
          <w:rFonts w:asciiTheme="minorHAnsi" w:hAnsiTheme="minorHAnsi"/>
          <w:bCs/>
        </w:rPr>
        <w:t xml:space="preserve">PD-1 inhibitors such as </w:t>
      </w:r>
      <w:proofErr w:type="spellStart"/>
      <w:r w:rsidR="00441BA5" w:rsidRPr="00D8075A">
        <w:rPr>
          <w:rFonts w:asciiTheme="minorHAnsi" w:hAnsiTheme="minorHAnsi"/>
          <w:bCs/>
        </w:rPr>
        <w:t>nivolumab</w:t>
      </w:r>
      <w:proofErr w:type="spellEnd"/>
      <w:r w:rsidR="00441BA5" w:rsidRPr="00D8075A">
        <w:rPr>
          <w:rFonts w:asciiTheme="minorHAnsi" w:hAnsiTheme="minorHAnsi"/>
          <w:bCs/>
        </w:rPr>
        <w:t xml:space="preserve"> and pembrolizumab. </w:t>
      </w:r>
      <w:r w:rsidR="007C5DD9" w:rsidRPr="00D8075A">
        <w:rPr>
          <w:rFonts w:asciiTheme="minorHAnsi" w:hAnsiTheme="minorHAnsi"/>
          <w:bCs/>
        </w:rPr>
        <w:t>The comments also stated that t</w:t>
      </w:r>
      <w:r w:rsidR="00441BA5" w:rsidRPr="00D8075A">
        <w:rPr>
          <w:rFonts w:asciiTheme="minorHAnsi" w:hAnsiTheme="minorHAnsi"/>
          <w:bCs/>
        </w:rPr>
        <w:t xml:space="preserve">here is currently a real unmet need in </w:t>
      </w:r>
      <w:r w:rsidR="002951EC" w:rsidRPr="00D8075A">
        <w:rPr>
          <w:rFonts w:asciiTheme="minorHAnsi" w:hAnsiTheme="minorHAnsi"/>
          <w:bCs/>
        </w:rPr>
        <w:t xml:space="preserve">the treatment of </w:t>
      </w:r>
      <w:r w:rsidR="00441BA5" w:rsidRPr="00D8075A">
        <w:rPr>
          <w:rFonts w:asciiTheme="minorHAnsi" w:hAnsiTheme="minorHAnsi"/>
          <w:bCs/>
        </w:rPr>
        <w:t>this rare cancer</w:t>
      </w:r>
      <w:r w:rsidR="00695CBF" w:rsidRPr="00D8075A">
        <w:rPr>
          <w:rFonts w:asciiTheme="minorHAnsi" w:hAnsiTheme="minorHAnsi"/>
          <w:bCs/>
        </w:rPr>
        <w:t xml:space="preserve"> and</w:t>
      </w:r>
      <w:r w:rsidR="00441BA5" w:rsidRPr="00D8075A">
        <w:rPr>
          <w:rFonts w:asciiTheme="minorHAnsi" w:hAnsiTheme="minorHAnsi"/>
          <w:bCs/>
        </w:rPr>
        <w:t xml:space="preserve"> therefore a first line listing is preferred. </w:t>
      </w:r>
      <w:r w:rsidR="004E30CD" w:rsidRPr="00D8075A">
        <w:rPr>
          <w:rFonts w:asciiTheme="minorHAnsi" w:hAnsiTheme="minorHAnsi"/>
          <w:bCs/>
        </w:rPr>
        <w:t xml:space="preserve">Comments from individuals </w:t>
      </w:r>
      <w:r w:rsidR="00695CBF" w:rsidRPr="00D8075A">
        <w:rPr>
          <w:rFonts w:asciiTheme="minorHAnsi" w:hAnsiTheme="minorHAnsi"/>
          <w:bCs/>
        </w:rPr>
        <w:t xml:space="preserve">noted </w:t>
      </w:r>
      <w:r w:rsidR="004E30CD" w:rsidRPr="00D8075A">
        <w:rPr>
          <w:rFonts w:asciiTheme="minorHAnsi" w:hAnsiTheme="minorHAnsi"/>
          <w:bCs/>
        </w:rPr>
        <w:t xml:space="preserve">that treatment with avelumab </w:t>
      </w:r>
      <w:r w:rsidR="00695CBF" w:rsidRPr="00D8075A">
        <w:rPr>
          <w:rFonts w:asciiTheme="minorHAnsi" w:hAnsiTheme="minorHAnsi"/>
          <w:bCs/>
        </w:rPr>
        <w:t xml:space="preserve">was associated with </w:t>
      </w:r>
      <w:r w:rsidR="004E30CD" w:rsidRPr="00D8075A">
        <w:rPr>
          <w:rFonts w:asciiTheme="minorHAnsi" w:hAnsiTheme="minorHAnsi"/>
          <w:bCs/>
        </w:rPr>
        <w:t xml:space="preserve">side effects </w:t>
      </w:r>
      <w:r w:rsidR="00695CBF" w:rsidRPr="00D8075A">
        <w:rPr>
          <w:rFonts w:asciiTheme="minorHAnsi" w:hAnsiTheme="minorHAnsi"/>
          <w:bCs/>
        </w:rPr>
        <w:t>although it was</w:t>
      </w:r>
      <w:r w:rsidR="004E30CD" w:rsidRPr="00D8075A">
        <w:rPr>
          <w:rFonts w:asciiTheme="minorHAnsi" w:hAnsiTheme="minorHAnsi"/>
          <w:bCs/>
        </w:rPr>
        <w:t xml:space="preserve"> more tolerable than chemotherapy. Additionally,</w:t>
      </w:r>
      <w:r w:rsidR="007C5DD9" w:rsidRPr="00D8075A">
        <w:rPr>
          <w:rFonts w:asciiTheme="minorHAnsi" w:hAnsiTheme="minorHAnsi"/>
          <w:bCs/>
        </w:rPr>
        <w:t xml:space="preserve"> it was noted that</w:t>
      </w:r>
      <w:r w:rsidR="004E30CD" w:rsidRPr="00D8075A">
        <w:rPr>
          <w:rFonts w:asciiTheme="minorHAnsi" w:hAnsiTheme="minorHAnsi"/>
          <w:bCs/>
        </w:rPr>
        <w:t xml:space="preserve"> there are significant out of pocket costs for patients with rare cancer</w:t>
      </w:r>
      <w:r w:rsidR="007C5DD9" w:rsidRPr="00D8075A">
        <w:rPr>
          <w:rFonts w:asciiTheme="minorHAnsi" w:hAnsiTheme="minorHAnsi"/>
          <w:bCs/>
        </w:rPr>
        <w:t>s</w:t>
      </w:r>
      <w:r w:rsidR="004E30CD" w:rsidRPr="00D8075A">
        <w:rPr>
          <w:rFonts w:asciiTheme="minorHAnsi" w:hAnsiTheme="minorHAnsi"/>
          <w:bCs/>
        </w:rPr>
        <w:t xml:space="preserve"> and having avelumab available on the PBS would help with the financial burden.</w:t>
      </w:r>
    </w:p>
    <w:p w:rsidR="0060068A" w:rsidRPr="00D8075A" w:rsidRDefault="0060068A" w:rsidP="00C3432B">
      <w:pPr>
        <w:pStyle w:val="ListParagraph"/>
        <w:numPr>
          <w:ilvl w:val="1"/>
          <w:numId w:val="1"/>
        </w:numPr>
        <w:spacing w:after="120"/>
        <w:rPr>
          <w:rFonts w:asciiTheme="minorHAnsi" w:hAnsiTheme="minorHAnsi"/>
          <w:bCs/>
        </w:rPr>
      </w:pPr>
      <w:r w:rsidRPr="00D8075A">
        <w:rPr>
          <w:rFonts w:asciiTheme="minorHAnsi" w:hAnsiTheme="minorHAnsi"/>
          <w:bCs/>
        </w:rPr>
        <w:t xml:space="preserve">The PBAC noted the advice received from </w:t>
      </w:r>
      <w:r w:rsidR="007C5DD9" w:rsidRPr="00D8075A">
        <w:rPr>
          <w:rFonts w:asciiTheme="minorHAnsi" w:hAnsiTheme="minorHAnsi"/>
          <w:bCs/>
        </w:rPr>
        <w:t xml:space="preserve">the </w:t>
      </w:r>
      <w:r w:rsidR="00F11C59" w:rsidRPr="00D8075A">
        <w:rPr>
          <w:rFonts w:asciiTheme="minorHAnsi" w:hAnsiTheme="minorHAnsi"/>
          <w:bCs/>
        </w:rPr>
        <w:t xml:space="preserve">Australia and New Zealand Melanoma Trials Group (ANZMTG), </w:t>
      </w:r>
      <w:r w:rsidR="00BD0CA7" w:rsidRPr="00D8075A">
        <w:rPr>
          <w:rFonts w:asciiTheme="minorHAnsi" w:hAnsiTheme="minorHAnsi"/>
          <w:bCs/>
        </w:rPr>
        <w:t xml:space="preserve">Rare Cancers Australia and The Unicorn Foundation </w:t>
      </w:r>
      <w:r w:rsidR="00247B05" w:rsidRPr="00D8075A">
        <w:rPr>
          <w:rFonts w:asciiTheme="minorHAnsi" w:hAnsiTheme="minorHAnsi"/>
          <w:bCs/>
        </w:rPr>
        <w:t xml:space="preserve">supporting the evidence presented in the submission for </w:t>
      </w:r>
      <w:r w:rsidR="00BD0CA7" w:rsidRPr="00D8075A">
        <w:rPr>
          <w:rFonts w:asciiTheme="minorHAnsi" w:hAnsiTheme="minorHAnsi"/>
          <w:bCs/>
        </w:rPr>
        <w:t>avelumab</w:t>
      </w:r>
      <w:r w:rsidRPr="00D8075A">
        <w:rPr>
          <w:rFonts w:asciiTheme="minorHAnsi" w:hAnsiTheme="minorHAnsi"/>
          <w:bCs/>
        </w:rPr>
        <w:t xml:space="preserve">. </w:t>
      </w:r>
      <w:r w:rsidR="00544655" w:rsidRPr="00D8075A">
        <w:rPr>
          <w:rFonts w:asciiTheme="minorHAnsi" w:hAnsiTheme="minorHAnsi"/>
          <w:bCs/>
        </w:rPr>
        <w:t>A</w:t>
      </w:r>
      <w:r w:rsidRPr="00D8075A">
        <w:rPr>
          <w:rFonts w:asciiTheme="minorHAnsi" w:hAnsiTheme="minorHAnsi"/>
          <w:bCs/>
        </w:rPr>
        <w:t xml:space="preserve">dvice </w:t>
      </w:r>
      <w:r w:rsidR="00120210" w:rsidRPr="00D8075A">
        <w:rPr>
          <w:rFonts w:asciiTheme="minorHAnsi" w:hAnsiTheme="minorHAnsi"/>
          <w:bCs/>
        </w:rPr>
        <w:t xml:space="preserve">from </w:t>
      </w:r>
      <w:r w:rsidR="00120210" w:rsidRPr="00D8075A">
        <w:rPr>
          <w:rFonts w:asciiTheme="minorHAnsi" w:hAnsiTheme="minorHAnsi" w:cstheme="minorHAnsi"/>
          <w:bCs/>
          <w:szCs w:val="24"/>
        </w:rPr>
        <w:t xml:space="preserve">ANZMTG </w:t>
      </w:r>
      <w:r w:rsidR="00544655" w:rsidRPr="00D8075A">
        <w:rPr>
          <w:rFonts w:asciiTheme="minorHAnsi" w:hAnsiTheme="minorHAnsi" w:cstheme="minorHAnsi"/>
          <w:bCs/>
          <w:szCs w:val="24"/>
        </w:rPr>
        <w:t xml:space="preserve">stated </w:t>
      </w:r>
      <w:r w:rsidR="00120210" w:rsidRPr="00D8075A">
        <w:rPr>
          <w:rFonts w:asciiTheme="minorHAnsi" w:hAnsiTheme="minorHAnsi" w:cstheme="minorHAnsi"/>
          <w:bCs/>
          <w:szCs w:val="24"/>
        </w:rPr>
        <w:t xml:space="preserve">that the data support that avelumab should be standard of care </w:t>
      </w:r>
      <w:r w:rsidR="00120210" w:rsidRPr="00D8075A">
        <w:rPr>
          <w:rFonts w:asciiTheme="minorHAnsi" w:hAnsiTheme="minorHAnsi" w:cstheme="minorHAnsi"/>
          <w:bCs/>
          <w:szCs w:val="24"/>
        </w:rPr>
        <w:lastRenderedPageBreak/>
        <w:t xml:space="preserve">therapy for </w:t>
      </w:r>
      <w:proofErr w:type="spellStart"/>
      <w:r w:rsidR="00120210" w:rsidRPr="00D8075A">
        <w:rPr>
          <w:rFonts w:asciiTheme="minorHAnsi" w:hAnsiTheme="minorHAnsi" w:cstheme="minorHAnsi"/>
          <w:bCs/>
          <w:szCs w:val="24"/>
        </w:rPr>
        <w:t>mMCC</w:t>
      </w:r>
      <w:proofErr w:type="spellEnd"/>
      <w:r w:rsidR="00120210" w:rsidRPr="00D8075A">
        <w:rPr>
          <w:rFonts w:asciiTheme="minorHAnsi" w:hAnsiTheme="minorHAnsi" w:cstheme="minorHAnsi"/>
          <w:bCs/>
          <w:szCs w:val="24"/>
        </w:rPr>
        <w:t xml:space="preserve">, including as first line therapy, </w:t>
      </w:r>
      <w:r w:rsidR="00772F64" w:rsidRPr="00D8075A">
        <w:rPr>
          <w:rFonts w:asciiTheme="minorHAnsi" w:hAnsiTheme="minorHAnsi" w:cstheme="minorHAnsi"/>
          <w:bCs/>
          <w:szCs w:val="24"/>
        </w:rPr>
        <w:t xml:space="preserve">as </w:t>
      </w:r>
      <w:r w:rsidR="00120210" w:rsidRPr="00D8075A">
        <w:rPr>
          <w:rFonts w:asciiTheme="minorHAnsi" w:hAnsiTheme="minorHAnsi" w:cstheme="minorHAnsi"/>
          <w:bCs/>
          <w:szCs w:val="24"/>
        </w:rPr>
        <w:t xml:space="preserve">it is important to note that </w:t>
      </w:r>
      <w:proofErr w:type="spellStart"/>
      <w:r w:rsidR="00120210" w:rsidRPr="00D8075A">
        <w:rPr>
          <w:rFonts w:asciiTheme="minorHAnsi" w:hAnsiTheme="minorHAnsi" w:cstheme="minorHAnsi"/>
          <w:bCs/>
          <w:szCs w:val="24"/>
        </w:rPr>
        <w:t>mMCC</w:t>
      </w:r>
      <w:proofErr w:type="spellEnd"/>
      <w:r w:rsidR="00120210" w:rsidRPr="00D8075A">
        <w:rPr>
          <w:rFonts w:asciiTheme="minorHAnsi" w:hAnsiTheme="minorHAnsi" w:cstheme="minorHAnsi"/>
          <w:bCs/>
          <w:szCs w:val="24"/>
        </w:rPr>
        <w:t xml:space="preserve"> patients can deteriorate quickly after firs</w:t>
      </w:r>
      <w:r w:rsidR="00115976" w:rsidRPr="00D8075A">
        <w:rPr>
          <w:rFonts w:asciiTheme="minorHAnsi" w:hAnsiTheme="minorHAnsi" w:cstheme="minorHAnsi"/>
          <w:bCs/>
          <w:szCs w:val="24"/>
        </w:rPr>
        <w:t>t line chemotherapy and thu</w:t>
      </w:r>
      <w:r w:rsidR="00120210" w:rsidRPr="00D8075A">
        <w:rPr>
          <w:rFonts w:asciiTheme="minorHAnsi" w:hAnsiTheme="minorHAnsi" w:cstheme="minorHAnsi"/>
          <w:bCs/>
          <w:szCs w:val="24"/>
        </w:rPr>
        <w:t>s miss their opportunity to receive second line avelumab.</w:t>
      </w:r>
      <w:r w:rsidR="00544655" w:rsidRPr="00D8075A">
        <w:rPr>
          <w:rFonts w:asciiTheme="minorHAnsi" w:hAnsiTheme="minorHAnsi" w:cstheme="minorHAnsi"/>
          <w:bCs/>
          <w:szCs w:val="24"/>
        </w:rPr>
        <w:t xml:space="preserve"> The Unicorn Foundation </w:t>
      </w:r>
      <w:r w:rsidR="00140F74" w:rsidRPr="00D8075A">
        <w:rPr>
          <w:rFonts w:asciiTheme="minorHAnsi" w:hAnsiTheme="minorHAnsi" w:cstheme="minorHAnsi"/>
          <w:bCs/>
          <w:szCs w:val="24"/>
        </w:rPr>
        <w:t>stated that the Scottish Medicines Consortium reported</w:t>
      </w:r>
      <w:r w:rsidR="00544655" w:rsidRPr="00D8075A">
        <w:rPr>
          <w:rFonts w:asciiTheme="minorHAnsi" w:hAnsiTheme="minorHAnsi" w:cstheme="minorHAnsi"/>
          <w:bCs/>
          <w:szCs w:val="24"/>
        </w:rPr>
        <w:t xml:space="preserve"> avelumab represents an active treatment option for some patients who are not fit enough to receive chemotherapy, due to its more favourable adverse effect profile</w:t>
      </w:r>
      <w:r w:rsidR="00140F74" w:rsidRPr="00D8075A">
        <w:rPr>
          <w:rFonts w:asciiTheme="minorHAnsi" w:hAnsiTheme="minorHAnsi" w:cstheme="minorHAnsi"/>
          <w:bCs/>
          <w:szCs w:val="24"/>
        </w:rPr>
        <w:t>.</w:t>
      </w:r>
      <w:r w:rsidR="00120210" w:rsidRPr="00D8075A">
        <w:rPr>
          <w:rFonts w:asciiTheme="minorHAnsi" w:hAnsiTheme="minorHAnsi" w:cstheme="minorHAnsi"/>
          <w:bCs/>
          <w:szCs w:val="24"/>
        </w:rPr>
        <w:t xml:space="preserve"> </w:t>
      </w:r>
      <w:r w:rsidR="00544655" w:rsidRPr="00D8075A">
        <w:rPr>
          <w:rFonts w:asciiTheme="minorHAnsi" w:hAnsiTheme="minorHAnsi" w:cstheme="minorHAnsi"/>
          <w:bCs/>
          <w:szCs w:val="24"/>
        </w:rPr>
        <w:t xml:space="preserve">The </w:t>
      </w:r>
      <w:r w:rsidR="00D74C79" w:rsidRPr="00D8075A">
        <w:rPr>
          <w:rFonts w:asciiTheme="minorHAnsi" w:hAnsiTheme="minorHAnsi" w:cstheme="minorHAnsi"/>
          <w:bCs/>
          <w:szCs w:val="24"/>
        </w:rPr>
        <w:t xml:space="preserve">comments also highlighted that </w:t>
      </w:r>
      <w:r w:rsidR="0080217D" w:rsidRPr="00D8075A">
        <w:rPr>
          <w:rFonts w:asciiTheme="minorHAnsi" w:hAnsiTheme="minorHAnsi" w:cstheme="minorHAnsi"/>
          <w:bCs/>
          <w:szCs w:val="24"/>
        </w:rPr>
        <w:t xml:space="preserve">access to PD-1 drugs </w:t>
      </w:r>
      <w:r w:rsidR="005A2580" w:rsidRPr="00D8075A">
        <w:rPr>
          <w:rFonts w:asciiTheme="minorHAnsi" w:hAnsiTheme="minorHAnsi" w:cstheme="minorHAnsi"/>
          <w:bCs/>
          <w:szCs w:val="24"/>
        </w:rPr>
        <w:t xml:space="preserve">for </w:t>
      </w:r>
      <w:proofErr w:type="spellStart"/>
      <w:r w:rsidR="005A2580" w:rsidRPr="00D8075A">
        <w:rPr>
          <w:rFonts w:asciiTheme="minorHAnsi" w:hAnsiTheme="minorHAnsi" w:cstheme="minorHAnsi"/>
          <w:bCs/>
          <w:szCs w:val="24"/>
        </w:rPr>
        <w:t>mMCC</w:t>
      </w:r>
      <w:proofErr w:type="spellEnd"/>
      <w:r w:rsidR="005A2580" w:rsidRPr="00D8075A">
        <w:rPr>
          <w:rFonts w:asciiTheme="minorHAnsi" w:hAnsiTheme="minorHAnsi" w:cstheme="minorHAnsi"/>
          <w:bCs/>
          <w:szCs w:val="24"/>
        </w:rPr>
        <w:t xml:space="preserve"> </w:t>
      </w:r>
      <w:r w:rsidR="00544655" w:rsidRPr="00D8075A">
        <w:rPr>
          <w:rFonts w:asciiTheme="minorHAnsi" w:hAnsiTheme="minorHAnsi" w:cstheme="minorHAnsi"/>
          <w:bCs/>
          <w:szCs w:val="24"/>
        </w:rPr>
        <w:t xml:space="preserve">is </w:t>
      </w:r>
      <w:r w:rsidR="0080217D" w:rsidRPr="00D8075A">
        <w:rPr>
          <w:rFonts w:asciiTheme="minorHAnsi" w:hAnsiTheme="minorHAnsi" w:cstheme="minorHAnsi"/>
          <w:bCs/>
          <w:szCs w:val="24"/>
        </w:rPr>
        <w:t>limited in Australia and clinical trials and compassionate access programs reach very few patients.</w:t>
      </w:r>
      <w:r w:rsidRPr="00D8075A">
        <w:rPr>
          <w:rFonts w:asciiTheme="minorHAnsi" w:hAnsiTheme="minorHAnsi" w:cstheme="minorHAnsi"/>
          <w:bCs/>
          <w:szCs w:val="24"/>
        </w:rPr>
        <w:t xml:space="preserve"> </w:t>
      </w:r>
      <w:r w:rsidR="00F34A1A" w:rsidRPr="00D8075A">
        <w:rPr>
          <w:rFonts w:asciiTheme="minorHAnsi" w:hAnsiTheme="minorHAnsi" w:cstheme="minorHAnsi"/>
          <w:bCs/>
          <w:szCs w:val="24"/>
        </w:rPr>
        <w:t xml:space="preserve">Furthermore, </w:t>
      </w:r>
      <w:r w:rsidR="00140F74" w:rsidRPr="00D8075A">
        <w:rPr>
          <w:rFonts w:asciiTheme="minorHAnsi" w:hAnsiTheme="minorHAnsi" w:cstheme="minorHAnsi"/>
          <w:bCs/>
          <w:szCs w:val="24"/>
        </w:rPr>
        <w:t xml:space="preserve">it was noted that </w:t>
      </w:r>
      <w:r w:rsidR="003B2870" w:rsidRPr="00D8075A">
        <w:rPr>
          <w:rFonts w:asciiTheme="minorHAnsi" w:hAnsiTheme="minorHAnsi" w:cstheme="minorHAnsi"/>
          <w:szCs w:val="24"/>
        </w:rPr>
        <w:t xml:space="preserve">generally </w:t>
      </w:r>
      <w:r w:rsidR="00140F74" w:rsidRPr="00D8075A">
        <w:rPr>
          <w:rFonts w:asciiTheme="minorHAnsi" w:hAnsiTheme="minorHAnsi" w:cstheme="minorHAnsi"/>
          <w:szCs w:val="24"/>
        </w:rPr>
        <w:t>patients with MCC are over 70 years of age and have suppressed immune systems who endure chemotherapy with the expectation of little success.</w:t>
      </w:r>
      <w:r w:rsidR="00F34A1A" w:rsidRPr="00D8075A">
        <w:rPr>
          <w:rFonts w:asciiTheme="minorHAnsi" w:hAnsiTheme="minorHAnsi" w:cstheme="minorHAnsi"/>
          <w:bCs/>
          <w:szCs w:val="24"/>
        </w:rPr>
        <w:t xml:space="preserve"> </w:t>
      </w:r>
    </w:p>
    <w:p w:rsidR="0060068A" w:rsidRPr="00D8075A" w:rsidRDefault="0060068A" w:rsidP="00C3432B">
      <w:pPr>
        <w:numPr>
          <w:ilvl w:val="1"/>
          <w:numId w:val="1"/>
        </w:numPr>
        <w:spacing w:after="120"/>
        <w:rPr>
          <w:rFonts w:asciiTheme="minorHAnsi" w:hAnsiTheme="minorHAnsi"/>
          <w:bCs/>
        </w:rPr>
      </w:pPr>
      <w:r w:rsidRPr="00D8075A">
        <w:rPr>
          <w:rFonts w:asciiTheme="minorHAnsi" w:hAnsiTheme="minorHAnsi"/>
          <w:bCs/>
        </w:rPr>
        <w:t xml:space="preserve">The Medical Oncology Group of Australia (MOGA) also expressed its </w:t>
      </w:r>
      <w:r w:rsidR="0077318D" w:rsidRPr="00D8075A">
        <w:rPr>
          <w:rFonts w:asciiTheme="minorHAnsi" w:hAnsiTheme="minorHAnsi"/>
          <w:bCs/>
        </w:rPr>
        <w:t xml:space="preserve">strong </w:t>
      </w:r>
      <w:r w:rsidRPr="00D8075A">
        <w:rPr>
          <w:rFonts w:asciiTheme="minorHAnsi" w:hAnsiTheme="minorHAnsi"/>
          <w:bCs/>
        </w:rPr>
        <w:t xml:space="preserve">support for the </w:t>
      </w:r>
      <w:r w:rsidR="0063054A" w:rsidRPr="00D8075A">
        <w:rPr>
          <w:rFonts w:asciiTheme="minorHAnsi" w:hAnsiTheme="minorHAnsi"/>
          <w:bCs/>
        </w:rPr>
        <w:t xml:space="preserve">avelumab </w:t>
      </w:r>
      <w:r w:rsidRPr="00D8075A">
        <w:rPr>
          <w:rFonts w:asciiTheme="minorHAnsi" w:hAnsiTheme="minorHAnsi"/>
          <w:bCs/>
        </w:rPr>
        <w:t xml:space="preserve">submission, on the basis of </w:t>
      </w:r>
      <w:r w:rsidR="0063054A" w:rsidRPr="00D8075A">
        <w:rPr>
          <w:rFonts w:asciiTheme="minorHAnsi" w:hAnsiTheme="minorHAnsi"/>
          <w:bCs/>
        </w:rPr>
        <w:t xml:space="preserve">significant unmet need in the treatment of </w:t>
      </w:r>
      <w:proofErr w:type="spellStart"/>
      <w:r w:rsidR="0063054A" w:rsidRPr="00D8075A">
        <w:rPr>
          <w:rFonts w:asciiTheme="minorHAnsi" w:hAnsiTheme="minorHAnsi"/>
          <w:bCs/>
        </w:rPr>
        <w:t>mMCC</w:t>
      </w:r>
      <w:proofErr w:type="spellEnd"/>
      <w:r w:rsidRPr="00D8075A">
        <w:rPr>
          <w:rFonts w:asciiTheme="minorHAnsi" w:hAnsiTheme="minorHAnsi"/>
          <w:bCs/>
        </w:rPr>
        <w:t xml:space="preserve">. The PBAC noted that the MOGA presented the European Society for Medical Oncology Magnitude of Clinical Benefit Scale (ESMO-MCBS) for </w:t>
      </w:r>
      <w:r w:rsidR="00D02FB6" w:rsidRPr="00D8075A">
        <w:rPr>
          <w:rFonts w:asciiTheme="minorHAnsi" w:hAnsiTheme="minorHAnsi"/>
          <w:bCs/>
        </w:rPr>
        <w:t>avelumab</w:t>
      </w:r>
      <w:r w:rsidR="00121B71" w:rsidRPr="00D8075A">
        <w:rPr>
          <w:rFonts w:asciiTheme="minorHAnsi" w:hAnsiTheme="minorHAnsi"/>
          <w:bCs/>
        </w:rPr>
        <w:t xml:space="preserve"> for first and second line treatment of </w:t>
      </w:r>
      <w:proofErr w:type="spellStart"/>
      <w:r w:rsidR="00121B71" w:rsidRPr="00D8075A">
        <w:rPr>
          <w:rFonts w:asciiTheme="minorHAnsi" w:hAnsiTheme="minorHAnsi"/>
          <w:bCs/>
        </w:rPr>
        <w:t>mMCC</w:t>
      </w:r>
      <w:proofErr w:type="spellEnd"/>
      <w:r w:rsidRPr="00D8075A">
        <w:rPr>
          <w:rFonts w:asciiTheme="minorHAnsi" w:hAnsiTheme="minorHAnsi"/>
          <w:bCs/>
        </w:rPr>
        <w:t xml:space="preserve">, which was limited to </w:t>
      </w:r>
      <w:r w:rsidR="00121B71" w:rsidRPr="00D8075A">
        <w:rPr>
          <w:rFonts w:asciiTheme="minorHAnsi" w:hAnsiTheme="minorHAnsi"/>
          <w:bCs/>
        </w:rPr>
        <w:t>3</w:t>
      </w:r>
      <w:r w:rsidRPr="00D8075A">
        <w:rPr>
          <w:rFonts w:asciiTheme="minorHAnsi" w:hAnsiTheme="minorHAnsi"/>
          <w:bCs/>
        </w:rPr>
        <w:t xml:space="preserve"> (out of a maximum of 5, where 5 and 4 represent the grades with substantial improvement)</w:t>
      </w:r>
      <w:r w:rsidR="00121B71" w:rsidRPr="00D8075A">
        <w:rPr>
          <w:rStyle w:val="FootnoteReference"/>
          <w:rFonts w:asciiTheme="minorHAnsi" w:hAnsiTheme="minorHAnsi"/>
          <w:bCs/>
        </w:rPr>
        <w:footnoteReference w:id="3"/>
      </w:r>
      <w:r w:rsidR="0077318D" w:rsidRPr="00D8075A">
        <w:rPr>
          <w:rFonts w:asciiTheme="minorHAnsi" w:hAnsiTheme="minorHAnsi"/>
          <w:bCs/>
        </w:rPr>
        <w:t>.</w:t>
      </w:r>
    </w:p>
    <w:p w:rsidR="00694239" w:rsidRPr="00D8075A" w:rsidRDefault="00694239" w:rsidP="0060068A">
      <w:pPr>
        <w:keepNext/>
        <w:spacing w:before="240" w:after="120"/>
        <w:outlineLvl w:val="1"/>
        <w:rPr>
          <w:b/>
          <w:i/>
          <w:sz w:val="28"/>
        </w:rPr>
      </w:pPr>
      <w:r w:rsidRPr="00D8075A">
        <w:rPr>
          <w:b/>
          <w:i/>
          <w:sz w:val="28"/>
        </w:rPr>
        <w:t>Clinical trials</w:t>
      </w:r>
    </w:p>
    <w:p w:rsidR="00694239" w:rsidRPr="00D8075A" w:rsidRDefault="00694239" w:rsidP="00C3432B">
      <w:pPr>
        <w:pStyle w:val="ListParagraph"/>
        <w:widowControl/>
        <w:numPr>
          <w:ilvl w:val="1"/>
          <w:numId w:val="1"/>
        </w:numPr>
        <w:rPr>
          <w:rFonts w:cs="Calibri"/>
          <w:snapToGrid/>
          <w:color w:val="000000" w:themeColor="text1"/>
          <w:szCs w:val="24"/>
          <w:lang w:eastAsia="en-AU"/>
        </w:rPr>
      </w:pPr>
      <w:r w:rsidRPr="00D8075A">
        <w:rPr>
          <w:rFonts w:cs="Calibri"/>
          <w:snapToGrid/>
          <w:color w:val="000000" w:themeColor="text1"/>
          <w:szCs w:val="24"/>
          <w:lang w:eastAsia="en-AU"/>
        </w:rPr>
        <w:t xml:space="preserve">The </w:t>
      </w:r>
      <w:r w:rsidR="00B6781E" w:rsidRPr="00D8075A">
        <w:rPr>
          <w:rFonts w:cs="Calibri"/>
          <w:snapToGrid/>
          <w:color w:val="000000" w:themeColor="text1"/>
          <w:szCs w:val="24"/>
          <w:lang w:eastAsia="en-AU"/>
        </w:rPr>
        <w:t>submission claimed that no head-</w:t>
      </w:r>
      <w:r w:rsidRPr="00D8075A">
        <w:rPr>
          <w:rFonts w:cs="Calibri"/>
          <w:snapToGrid/>
          <w:color w:val="000000" w:themeColor="text1"/>
          <w:szCs w:val="24"/>
          <w:lang w:eastAsia="en-AU"/>
        </w:rPr>
        <w:t>to</w:t>
      </w:r>
      <w:r w:rsidR="00B6781E" w:rsidRPr="00D8075A">
        <w:rPr>
          <w:rFonts w:cs="Calibri"/>
          <w:snapToGrid/>
          <w:color w:val="000000" w:themeColor="text1"/>
          <w:szCs w:val="24"/>
          <w:lang w:eastAsia="en-AU"/>
        </w:rPr>
        <w:t>-</w:t>
      </w:r>
      <w:r w:rsidRPr="00D8075A">
        <w:rPr>
          <w:rFonts w:cs="Calibri"/>
          <w:snapToGrid/>
          <w:color w:val="000000" w:themeColor="text1"/>
          <w:szCs w:val="24"/>
          <w:lang w:eastAsia="en-AU"/>
        </w:rPr>
        <w:t xml:space="preserve">head trials were available. </w:t>
      </w:r>
    </w:p>
    <w:p w:rsidR="00694239" w:rsidRPr="00D8075A" w:rsidRDefault="00694239" w:rsidP="00C3432B">
      <w:pPr>
        <w:pStyle w:val="ListParagraph"/>
        <w:widowControl/>
        <w:numPr>
          <w:ilvl w:val="1"/>
          <w:numId w:val="1"/>
        </w:numPr>
        <w:rPr>
          <w:rFonts w:cs="Calibri"/>
          <w:snapToGrid/>
          <w:color w:val="000000" w:themeColor="text1"/>
          <w:szCs w:val="24"/>
          <w:lang w:eastAsia="en-AU"/>
        </w:rPr>
      </w:pPr>
      <w:r w:rsidRPr="00D8075A">
        <w:rPr>
          <w:rFonts w:cs="Calibri"/>
          <w:snapToGrid/>
          <w:color w:val="000000" w:themeColor="text1"/>
          <w:szCs w:val="24"/>
          <w:lang w:eastAsia="en-AU"/>
        </w:rPr>
        <w:t>The submission was based on a naïve indirect comparison of one single arm, open label study of patients treated with avelumab in first</w:t>
      </w:r>
      <w:r w:rsidR="00446210" w:rsidRPr="00D8075A">
        <w:rPr>
          <w:rFonts w:cs="Calibri"/>
          <w:snapToGrid/>
          <w:color w:val="000000" w:themeColor="text1"/>
          <w:szCs w:val="24"/>
          <w:lang w:eastAsia="en-AU"/>
        </w:rPr>
        <w:t>-</w:t>
      </w:r>
      <w:r w:rsidRPr="00D8075A">
        <w:rPr>
          <w:rFonts w:cs="Calibri"/>
          <w:snapToGrid/>
          <w:color w:val="000000" w:themeColor="text1"/>
          <w:szCs w:val="24"/>
          <w:lang w:eastAsia="en-AU"/>
        </w:rPr>
        <w:t>line and second</w:t>
      </w:r>
      <w:r w:rsidR="00446210" w:rsidRPr="00D8075A">
        <w:rPr>
          <w:rFonts w:cs="Calibri"/>
          <w:snapToGrid/>
          <w:color w:val="000000" w:themeColor="text1"/>
          <w:szCs w:val="24"/>
          <w:lang w:eastAsia="en-AU"/>
        </w:rPr>
        <w:t>-</w:t>
      </w:r>
      <w:r w:rsidRPr="00D8075A">
        <w:rPr>
          <w:rFonts w:cs="Calibri"/>
          <w:snapToGrid/>
          <w:color w:val="000000" w:themeColor="text1"/>
          <w:szCs w:val="24"/>
          <w:lang w:eastAsia="en-AU"/>
        </w:rPr>
        <w:t xml:space="preserve">line </w:t>
      </w:r>
      <w:proofErr w:type="spellStart"/>
      <w:r w:rsidRPr="00D8075A">
        <w:rPr>
          <w:rFonts w:cs="Calibri"/>
          <w:snapToGrid/>
          <w:color w:val="000000" w:themeColor="text1"/>
          <w:szCs w:val="24"/>
          <w:lang w:eastAsia="en-AU"/>
        </w:rPr>
        <w:t>mMCC</w:t>
      </w:r>
      <w:proofErr w:type="spellEnd"/>
      <w:r w:rsidRPr="00D8075A">
        <w:rPr>
          <w:rFonts w:cs="Calibri"/>
          <w:snapToGrid/>
          <w:color w:val="000000" w:themeColor="text1"/>
          <w:szCs w:val="24"/>
          <w:lang w:eastAsia="en-AU"/>
        </w:rPr>
        <w:t xml:space="preserve">: JAVELIN Merkel 200 (N=162) compared to one retrospective observational cohort study of patients treated with chemotherapy: Obs001 (N=121). </w:t>
      </w:r>
    </w:p>
    <w:p w:rsidR="00694239" w:rsidRPr="00D8075A" w:rsidRDefault="00694239" w:rsidP="00C3432B">
      <w:pPr>
        <w:pStyle w:val="ListParagraph"/>
        <w:widowControl/>
        <w:numPr>
          <w:ilvl w:val="1"/>
          <w:numId w:val="1"/>
        </w:numPr>
        <w:rPr>
          <w:rFonts w:cs="Calibri"/>
          <w:snapToGrid/>
          <w:color w:val="000000" w:themeColor="text1"/>
          <w:szCs w:val="24"/>
          <w:lang w:eastAsia="en-AU"/>
        </w:rPr>
      </w:pPr>
      <w:r w:rsidRPr="00D8075A">
        <w:rPr>
          <w:rFonts w:cs="Calibri"/>
          <w:snapToGrid/>
          <w:color w:val="000000" w:themeColor="text1"/>
          <w:szCs w:val="24"/>
          <w:lang w:eastAsia="en-AU"/>
        </w:rPr>
        <w:t xml:space="preserve">The submission was also supported by </w:t>
      </w:r>
      <w:r w:rsidR="00B456A5" w:rsidRPr="00D8075A">
        <w:rPr>
          <w:rFonts w:cs="Calibri"/>
          <w:snapToGrid/>
          <w:color w:val="000000" w:themeColor="text1"/>
          <w:szCs w:val="24"/>
          <w:lang w:eastAsia="en-AU"/>
        </w:rPr>
        <w:t xml:space="preserve">an additional </w:t>
      </w:r>
      <w:r w:rsidRPr="00D8075A">
        <w:rPr>
          <w:rFonts w:cs="Calibri"/>
          <w:snapToGrid/>
          <w:color w:val="000000" w:themeColor="text1"/>
          <w:szCs w:val="24"/>
          <w:lang w:eastAsia="en-AU"/>
        </w:rPr>
        <w:t xml:space="preserve">retrospective observational cohort study: </w:t>
      </w:r>
      <w:proofErr w:type="spellStart"/>
      <w:r w:rsidRPr="00D8075A">
        <w:rPr>
          <w:rFonts w:cs="Calibri"/>
          <w:snapToGrid/>
          <w:color w:val="000000" w:themeColor="text1"/>
          <w:szCs w:val="24"/>
          <w:lang w:eastAsia="en-AU"/>
        </w:rPr>
        <w:t>Iyer</w:t>
      </w:r>
      <w:proofErr w:type="spellEnd"/>
      <w:r w:rsidRPr="00D8075A">
        <w:rPr>
          <w:rFonts w:cs="Calibri"/>
          <w:snapToGrid/>
          <w:color w:val="000000" w:themeColor="text1"/>
          <w:szCs w:val="24"/>
          <w:lang w:eastAsia="en-AU"/>
        </w:rPr>
        <w:t xml:space="preserve"> 2016 (N=30). </w:t>
      </w:r>
    </w:p>
    <w:p w:rsidR="00694239" w:rsidRPr="00D8075A" w:rsidRDefault="00694239" w:rsidP="00C3432B">
      <w:pPr>
        <w:pStyle w:val="ListParagraph"/>
        <w:widowControl/>
        <w:numPr>
          <w:ilvl w:val="1"/>
          <w:numId w:val="1"/>
        </w:numPr>
        <w:rPr>
          <w:rFonts w:cs="Calibri"/>
          <w:snapToGrid/>
          <w:color w:val="000000" w:themeColor="text1"/>
          <w:szCs w:val="24"/>
          <w:lang w:eastAsia="en-AU"/>
        </w:rPr>
      </w:pPr>
      <w:r w:rsidRPr="00D8075A">
        <w:rPr>
          <w:rFonts w:cs="Calibri"/>
          <w:snapToGrid/>
          <w:color w:val="000000" w:themeColor="text1"/>
          <w:szCs w:val="24"/>
          <w:lang w:eastAsia="en-AU"/>
        </w:rPr>
        <w:t>The first</w:t>
      </w:r>
      <w:r w:rsidR="00446210" w:rsidRPr="00D8075A">
        <w:rPr>
          <w:rFonts w:cs="Calibri"/>
          <w:snapToGrid/>
          <w:color w:val="000000" w:themeColor="text1"/>
          <w:szCs w:val="24"/>
          <w:lang w:eastAsia="en-AU"/>
        </w:rPr>
        <w:t>-</w:t>
      </w:r>
      <w:r w:rsidRPr="00D8075A">
        <w:rPr>
          <w:rFonts w:cs="Calibri"/>
          <w:snapToGrid/>
          <w:color w:val="000000" w:themeColor="text1"/>
          <w:szCs w:val="24"/>
          <w:lang w:eastAsia="en-AU"/>
        </w:rPr>
        <w:t>line cohort of the JAVELIN Merkel 200 study is still recruiting patients.</w:t>
      </w:r>
    </w:p>
    <w:p w:rsidR="00694239" w:rsidRPr="00D8075A" w:rsidRDefault="00694239" w:rsidP="00C3432B">
      <w:pPr>
        <w:pStyle w:val="ListParagraph"/>
        <w:widowControl/>
        <w:numPr>
          <w:ilvl w:val="1"/>
          <w:numId w:val="1"/>
        </w:numPr>
        <w:rPr>
          <w:rFonts w:cs="Calibri"/>
          <w:snapToGrid/>
          <w:color w:val="000000" w:themeColor="text1"/>
          <w:szCs w:val="24"/>
          <w:lang w:eastAsia="en-AU"/>
        </w:rPr>
      </w:pPr>
      <w:r w:rsidRPr="00D8075A">
        <w:rPr>
          <w:rFonts w:cs="Calibri"/>
          <w:snapToGrid/>
          <w:color w:val="000000" w:themeColor="text1"/>
          <w:szCs w:val="24"/>
          <w:lang w:eastAsia="en-AU"/>
        </w:rPr>
        <w:t xml:space="preserve">Details of the </w:t>
      </w:r>
      <w:r w:rsidR="00446210" w:rsidRPr="00D8075A">
        <w:rPr>
          <w:rFonts w:cs="Calibri"/>
          <w:snapToGrid/>
          <w:color w:val="000000" w:themeColor="text1"/>
          <w:szCs w:val="24"/>
          <w:lang w:eastAsia="en-AU"/>
        </w:rPr>
        <w:t>studies</w:t>
      </w:r>
      <w:r w:rsidRPr="00D8075A">
        <w:rPr>
          <w:rFonts w:cs="Calibri"/>
          <w:snapToGrid/>
          <w:color w:val="000000" w:themeColor="text1"/>
          <w:szCs w:val="24"/>
          <w:lang w:eastAsia="en-AU"/>
        </w:rPr>
        <w:t xml:space="preserve"> presented in the submission are provided in the table below</w:t>
      </w:r>
      <w:r w:rsidR="00446210" w:rsidRPr="00D8075A">
        <w:rPr>
          <w:rFonts w:cs="Calibri"/>
          <w:snapToGrid/>
          <w:color w:val="000000" w:themeColor="text1"/>
          <w:szCs w:val="24"/>
          <w:lang w:eastAsia="en-AU"/>
        </w:rPr>
        <w:t>.</w:t>
      </w:r>
    </w:p>
    <w:p w:rsidR="00694239" w:rsidRPr="00D8075A" w:rsidRDefault="00694239" w:rsidP="00694239">
      <w:pPr>
        <w:pStyle w:val="TableHeading"/>
      </w:pPr>
      <w:r w:rsidRPr="00D8075A">
        <w:t>Table 2</w:t>
      </w:r>
      <w:r w:rsidR="004536B8" w:rsidRPr="00D8075A">
        <w:t xml:space="preserve">: </w:t>
      </w:r>
      <w:r w:rsidR="00446210" w:rsidRPr="00D8075A">
        <w:t>Studies</w:t>
      </w:r>
      <w:r w:rsidRPr="00D8075A">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Studies and associated reports presented in the submission"/>
        <w:tblDescription w:val="Table 2: Studies and associated reports presented in the submission"/>
      </w:tblPr>
      <w:tblGrid>
        <w:gridCol w:w="1446"/>
        <w:gridCol w:w="5498"/>
        <w:gridCol w:w="2138"/>
      </w:tblGrid>
      <w:tr w:rsidR="00694239" w:rsidRPr="00D8075A" w:rsidTr="0083398B">
        <w:trPr>
          <w:tblHeader/>
        </w:trPr>
        <w:tc>
          <w:tcPr>
            <w:tcW w:w="796" w:type="pct"/>
            <w:tcBorders>
              <w:bottom w:val="single" w:sz="4" w:space="0" w:color="auto"/>
            </w:tcBorders>
            <w:vAlign w:val="center"/>
          </w:tcPr>
          <w:p w:rsidR="00694239" w:rsidRPr="00D8075A" w:rsidRDefault="00694239" w:rsidP="006B1181">
            <w:pPr>
              <w:pStyle w:val="Tabletext"/>
              <w:rPr>
                <w:b/>
              </w:rPr>
            </w:pPr>
            <w:r w:rsidRPr="00D8075A">
              <w:rPr>
                <w:b/>
              </w:rPr>
              <w:t>Trial ID</w:t>
            </w:r>
          </w:p>
        </w:tc>
        <w:tc>
          <w:tcPr>
            <w:tcW w:w="3027" w:type="pct"/>
            <w:tcBorders>
              <w:bottom w:val="single" w:sz="4" w:space="0" w:color="auto"/>
            </w:tcBorders>
            <w:vAlign w:val="center"/>
          </w:tcPr>
          <w:p w:rsidR="00694239" w:rsidRPr="00D8075A" w:rsidRDefault="00694239" w:rsidP="006B1181">
            <w:pPr>
              <w:pStyle w:val="Tabletext"/>
              <w:jc w:val="center"/>
              <w:rPr>
                <w:b/>
              </w:rPr>
            </w:pPr>
            <w:r w:rsidRPr="00D8075A">
              <w:rPr>
                <w:b/>
              </w:rPr>
              <w:t>Protocol title/ Publication title</w:t>
            </w:r>
          </w:p>
        </w:tc>
        <w:tc>
          <w:tcPr>
            <w:tcW w:w="1177" w:type="pct"/>
            <w:tcBorders>
              <w:bottom w:val="single" w:sz="4" w:space="0" w:color="auto"/>
            </w:tcBorders>
            <w:vAlign w:val="center"/>
          </w:tcPr>
          <w:p w:rsidR="00694239" w:rsidRPr="00D8075A" w:rsidRDefault="00694239" w:rsidP="006B1181">
            <w:pPr>
              <w:pStyle w:val="Tabletext"/>
              <w:jc w:val="center"/>
              <w:rPr>
                <w:b/>
              </w:rPr>
            </w:pPr>
            <w:r w:rsidRPr="00D8075A">
              <w:rPr>
                <w:b/>
              </w:rPr>
              <w:t>Publication citation</w:t>
            </w:r>
          </w:p>
        </w:tc>
      </w:tr>
      <w:tr w:rsidR="00694239" w:rsidRPr="00D8075A" w:rsidTr="0083398B">
        <w:tc>
          <w:tcPr>
            <w:tcW w:w="796" w:type="pct"/>
            <w:vMerge w:val="restart"/>
            <w:vAlign w:val="center"/>
          </w:tcPr>
          <w:p w:rsidR="00694239" w:rsidRPr="00D8075A" w:rsidRDefault="00694239" w:rsidP="00B42787">
            <w:pPr>
              <w:pStyle w:val="Tabletext"/>
              <w:rPr>
                <w:rFonts w:ascii="Times" w:hAnsi="Times"/>
              </w:rPr>
            </w:pPr>
            <w:r w:rsidRPr="00D8075A">
              <w:t>Study EMR100070003 Part A (</w:t>
            </w:r>
            <w:r w:rsidR="00B42787" w:rsidRPr="00D8075A">
              <w:t xml:space="preserve">hereafter </w:t>
            </w:r>
            <w:r w:rsidRPr="00D8075A">
              <w:t>referred to as JAVELIN Merkel 200 Part A) – 2L+</w:t>
            </w:r>
          </w:p>
        </w:tc>
        <w:tc>
          <w:tcPr>
            <w:tcW w:w="3027" w:type="pct"/>
            <w:tcBorders>
              <w:bottom w:val="nil"/>
            </w:tcBorders>
            <w:vAlign w:val="center"/>
          </w:tcPr>
          <w:p w:rsidR="00694239" w:rsidRPr="00D8075A" w:rsidRDefault="00694239" w:rsidP="006B1181">
            <w:pPr>
              <w:pStyle w:val="Tabletext"/>
              <w:rPr>
                <w:szCs w:val="18"/>
              </w:rPr>
            </w:pPr>
            <w:r w:rsidRPr="00D8075A">
              <w:rPr>
                <w:szCs w:val="18"/>
              </w:rPr>
              <w:t xml:space="preserve">EMR 100070-003 Interim CSR. A Phase II, open-label, </w:t>
            </w:r>
            <w:proofErr w:type="spellStart"/>
            <w:r w:rsidRPr="00D8075A">
              <w:rPr>
                <w:szCs w:val="18"/>
              </w:rPr>
              <w:t>multicenter</w:t>
            </w:r>
            <w:proofErr w:type="spellEnd"/>
            <w:r w:rsidRPr="00D8075A">
              <w:rPr>
                <w:szCs w:val="18"/>
              </w:rPr>
              <w:t xml:space="preserve"> trial to investigate the clinical activity and safety of avelumab (MSB0010718C) in subjects with Merkel cell carcinoma (JAVELIN Merkel 200).</w:t>
            </w:r>
          </w:p>
          <w:p w:rsidR="00694239" w:rsidRPr="00D8075A" w:rsidRDefault="00694239" w:rsidP="006B1181">
            <w:pPr>
              <w:pStyle w:val="Tabletext"/>
              <w:rPr>
                <w:szCs w:val="18"/>
              </w:rPr>
            </w:pPr>
          </w:p>
        </w:tc>
        <w:tc>
          <w:tcPr>
            <w:tcW w:w="1177" w:type="pct"/>
            <w:tcBorders>
              <w:bottom w:val="nil"/>
            </w:tcBorders>
            <w:vAlign w:val="center"/>
          </w:tcPr>
          <w:p w:rsidR="00694239" w:rsidRPr="00D8075A" w:rsidRDefault="00694239" w:rsidP="006B1181">
            <w:pPr>
              <w:pStyle w:val="Tabletext"/>
            </w:pPr>
            <w:r w:rsidRPr="00D8075A">
              <w:t>17 August 2016</w:t>
            </w:r>
          </w:p>
        </w:tc>
      </w:tr>
      <w:tr w:rsidR="00694239" w:rsidRPr="00D8075A" w:rsidTr="0083398B">
        <w:tc>
          <w:tcPr>
            <w:tcW w:w="796" w:type="pct"/>
            <w:vMerge/>
            <w:vAlign w:val="center"/>
          </w:tcPr>
          <w:p w:rsidR="00694239" w:rsidRPr="00D8075A" w:rsidRDefault="00694239" w:rsidP="006B1181">
            <w:pPr>
              <w:pStyle w:val="Tabletext"/>
            </w:pPr>
          </w:p>
        </w:tc>
        <w:tc>
          <w:tcPr>
            <w:tcW w:w="3027" w:type="pct"/>
            <w:tcBorders>
              <w:top w:val="nil"/>
              <w:bottom w:val="nil"/>
            </w:tcBorders>
            <w:vAlign w:val="center"/>
          </w:tcPr>
          <w:p w:rsidR="00694239" w:rsidRPr="00D8075A" w:rsidRDefault="00694239" w:rsidP="006B1181">
            <w:pPr>
              <w:pStyle w:val="Tabletext"/>
              <w:rPr>
                <w:szCs w:val="18"/>
              </w:rPr>
            </w:pPr>
            <w:r w:rsidRPr="00D8075A">
              <w:rPr>
                <w:szCs w:val="18"/>
              </w:rPr>
              <w:t>Addendum 1 to EMR 100070-003 CSR: 29 November 2016 (data cut-off: 3 September 2016)</w:t>
            </w:r>
          </w:p>
          <w:p w:rsidR="00694239" w:rsidRPr="00D8075A" w:rsidRDefault="00694239" w:rsidP="006B1181">
            <w:pPr>
              <w:pStyle w:val="Tabletext"/>
              <w:rPr>
                <w:szCs w:val="18"/>
              </w:rPr>
            </w:pPr>
          </w:p>
        </w:tc>
        <w:tc>
          <w:tcPr>
            <w:tcW w:w="1177" w:type="pct"/>
            <w:tcBorders>
              <w:top w:val="nil"/>
              <w:bottom w:val="nil"/>
            </w:tcBorders>
            <w:vAlign w:val="center"/>
          </w:tcPr>
          <w:p w:rsidR="00694239" w:rsidRPr="00D8075A" w:rsidRDefault="00694239" w:rsidP="006B1181">
            <w:pPr>
              <w:pStyle w:val="Tabletext"/>
            </w:pPr>
            <w:r w:rsidRPr="00D8075A">
              <w:rPr>
                <w:szCs w:val="18"/>
              </w:rPr>
              <w:t>29 November 2016</w:t>
            </w:r>
          </w:p>
        </w:tc>
      </w:tr>
      <w:tr w:rsidR="00694239" w:rsidRPr="00D8075A" w:rsidTr="0083398B">
        <w:tc>
          <w:tcPr>
            <w:tcW w:w="796" w:type="pct"/>
            <w:vMerge/>
            <w:vAlign w:val="center"/>
          </w:tcPr>
          <w:p w:rsidR="00694239" w:rsidRPr="00D8075A" w:rsidRDefault="00694239" w:rsidP="006B1181">
            <w:pPr>
              <w:pStyle w:val="Tabletext"/>
            </w:pPr>
          </w:p>
        </w:tc>
        <w:tc>
          <w:tcPr>
            <w:tcW w:w="3027" w:type="pct"/>
            <w:tcBorders>
              <w:top w:val="nil"/>
              <w:bottom w:val="nil"/>
            </w:tcBorders>
            <w:vAlign w:val="center"/>
          </w:tcPr>
          <w:p w:rsidR="00694239" w:rsidRPr="00D8075A" w:rsidRDefault="00694239" w:rsidP="006B1181">
            <w:pPr>
              <w:pStyle w:val="Tabletext"/>
              <w:rPr>
                <w:szCs w:val="18"/>
              </w:rPr>
            </w:pPr>
            <w:r w:rsidRPr="00D8075A">
              <w:rPr>
                <w:szCs w:val="18"/>
              </w:rPr>
              <w:t>Addendum 3 to EMR 100070-003 CSR: 16 June 2017 (data cut-off: 24 March 2017)</w:t>
            </w:r>
          </w:p>
          <w:p w:rsidR="00694239" w:rsidRPr="00D8075A" w:rsidRDefault="00694239" w:rsidP="006B1181">
            <w:pPr>
              <w:pStyle w:val="Tabletext"/>
              <w:rPr>
                <w:szCs w:val="18"/>
              </w:rPr>
            </w:pPr>
          </w:p>
        </w:tc>
        <w:tc>
          <w:tcPr>
            <w:tcW w:w="1177" w:type="pct"/>
            <w:tcBorders>
              <w:top w:val="nil"/>
              <w:bottom w:val="nil"/>
            </w:tcBorders>
            <w:vAlign w:val="center"/>
          </w:tcPr>
          <w:p w:rsidR="00694239" w:rsidRPr="00D8075A" w:rsidRDefault="00694239" w:rsidP="006B1181">
            <w:pPr>
              <w:pStyle w:val="Tabletext"/>
            </w:pPr>
            <w:r w:rsidRPr="00D8075A">
              <w:rPr>
                <w:szCs w:val="18"/>
              </w:rPr>
              <w:t>16 June 2017</w:t>
            </w:r>
          </w:p>
        </w:tc>
      </w:tr>
      <w:tr w:rsidR="00694239" w:rsidRPr="00D8075A" w:rsidTr="0083398B">
        <w:tc>
          <w:tcPr>
            <w:tcW w:w="796" w:type="pct"/>
            <w:vMerge/>
            <w:vAlign w:val="center"/>
          </w:tcPr>
          <w:p w:rsidR="00694239" w:rsidRPr="00D8075A" w:rsidRDefault="00694239" w:rsidP="006B1181">
            <w:pPr>
              <w:pStyle w:val="Tabletext"/>
            </w:pPr>
          </w:p>
        </w:tc>
        <w:tc>
          <w:tcPr>
            <w:tcW w:w="3027" w:type="pct"/>
            <w:tcBorders>
              <w:top w:val="nil"/>
              <w:bottom w:val="nil"/>
            </w:tcBorders>
            <w:vAlign w:val="center"/>
          </w:tcPr>
          <w:p w:rsidR="00694239" w:rsidRPr="00D8075A" w:rsidRDefault="00694239" w:rsidP="006B1181">
            <w:pPr>
              <w:pStyle w:val="Tabletext"/>
              <w:rPr>
                <w:szCs w:val="18"/>
              </w:rPr>
            </w:pPr>
            <w:r w:rsidRPr="00D8075A">
              <w:rPr>
                <w:szCs w:val="18"/>
              </w:rPr>
              <w:t>Preliminary report of the interim analysis for Study EMR 100070-003 Part A (data cut-off: 26 September 2017)</w:t>
            </w:r>
          </w:p>
          <w:p w:rsidR="00694239" w:rsidRPr="00D8075A" w:rsidRDefault="00694239" w:rsidP="006B1181">
            <w:pPr>
              <w:pStyle w:val="Tabletext"/>
              <w:rPr>
                <w:szCs w:val="18"/>
              </w:rPr>
            </w:pPr>
          </w:p>
        </w:tc>
        <w:tc>
          <w:tcPr>
            <w:tcW w:w="1177" w:type="pct"/>
            <w:tcBorders>
              <w:top w:val="nil"/>
              <w:bottom w:val="nil"/>
            </w:tcBorders>
            <w:vAlign w:val="center"/>
          </w:tcPr>
          <w:p w:rsidR="00694239" w:rsidRPr="00D8075A" w:rsidRDefault="00694239" w:rsidP="006B1181">
            <w:pPr>
              <w:pStyle w:val="Tabletext"/>
            </w:pPr>
            <w:r w:rsidRPr="00D8075A">
              <w:t>16 January 2018</w:t>
            </w:r>
          </w:p>
        </w:tc>
      </w:tr>
      <w:tr w:rsidR="00694239" w:rsidRPr="00D8075A" w:rsidTr="0083398B">
        <w:tc>
          <w:tcPr>
            <w:tcW w:w="796" w:type="pct"/>
            <w:vMerge/>
            <w:vAlign w:val="center"/>
          </w:tcPr>
          <w:p w:rsidR="00694239" w:rsidRPr="00D8075A" w:rsidRDefault="00694239" w:rsidP="006B1181">
            <w:pPr>
              <w:pStyle w:val="Tabletext"/>
            </w:pPr>
          </w:p>
        </w:tc>
        <w:tc>
          <w:tcPr>
            <w:tcW w:w="3027" w:type="pct"/>
            <w:tcBorders>
              <w:top w:val="nil"/>
              <w:bottom w:val="nil"/>
            </w:tcBorders>
            <w:vAlign w:val="center"/>
          </w:tcPr>
          <w:p w:rsidR="00694239" w:rsidRPr="00D8075A" w:rsidRDefault="00694239" w:rsidP="006B1181">
            <w:pPr>
              <w:pStyle w:val="Tabletext"/>
              <w:rPr>
                <w:szCs w:val="18"/>
              </w:rPr>
            </w:pPr>
            <w:r w:rsidRPr="00D8075A">
              <w:rPr>
                <w:szCs w:val="18"/>
              </w:rPr>
              <w:t>Kaufman HL et al. Avelumab in patients with CTX-refractory metastatic Merkel cell carcinoma: a multicentre, single-group, open-label, phase 2 trial.</w:t>
            </w:r>
          </w:p>
          <w:p w:rsidR="00694239" w:rsidRPr="00D8075A" w:rsidRDefault="00694239" w:rsidP="006B1181">
            <w:pPr>
              <w:pStyle w:val="Tabletext"/>
              <w:rPr>
                <w:szCs w:val="18"/>
              </w:rPr>
            </w:pPr>
          </w:p>
        </w:tc>
        <w:tc>
          <w:tcPr>
            <w:tcW w:w="1177" w:type="pct"/>
            <w:tcBorders>
              <w:top w:val="nil"/>
              <w:bottom w:val="nil"/>
            </w:tcBorders>
            <w:vAlign w:val="center"/>
          </w:tcPr>
          <w:p w:rsidR="00694239" w:rsidRPr="00D8075A" w:rsidRDefault="00694239" w:rsidP="006B1181">
            <w:pPr>
              <w:pStyle w:val="Tabletext"/>
            </w:pPr>
            <w:r w:rsidRPr="00D8075A">
              <w:t>The Lancet Oncology. 2016</w:t>
            </w:r>
            <w:proofErr w:type="gramStart"/>
            <w:r w:rsidRPr="00D8075A">
              <w:t>;17</w:t>
            </w:r>
            <w:proofErr w:type="gramEnd"/>
            <w:r w:rsidRPr="00D8075A">
              <w:t>(10):1374-85.</w:t>
            </w:r>
          </w:p>
        </w:tc>
      </w:tr>
      <w:tr w:rsidR="00694239" w:rsidRPr="00D8075A" w:rsidTr="0083398B">
        <w:tc>
          <w:tcPr>
            <w:tcW w:w="796" w:type="pct"/>
            <w:vMerge/>
            <w:vAlign w:val="center"/>
          </w:tcPr>
          <w:p w:rsidR="00694239" w:rsidRPr="00D8075A" w:rsidRDefault="00694239" w:rsidP="006B1181">
            <w:pPr>
              <w:pStyle w:val="Tabletext"/>
            </w:pPr>
          </w:p>
        </w:tc>
        <w:tc>
          <w:tcPr>
            <w:tcW w:w="3027" w:type="pct"/>
            <w:tcBorders>
              <w:top w:val="nil"/>
              <w:bottom w:val="nil"/>
            </w:tcBorders>
            <w:vAlign w:val="center"/>
          </w:tcPr>
          <w:p w:rsidR="00694239" w:rsidRPr="00D8075A" w:rsidRDefault="00694239" w:rsidP="006B1181">
            <w:pPr>
              <w:pStyle w:val="Tabletext"/>
              <w:rPr>
                <w:szCs w:val="18"/>
              </w:rPr>
            </w:pPr>
            <w:r w:rsidRPr="00D8075A">
              <w:rPr>
                <w:szCs w:val="18"/>
              </w:rPr>
              <w:t xml:space="preserve">Kaufman HL et al. Updated efficacy of avelumab in patients with previously treated metastatic Merkel cell carcinoma after ≥1 year of </w:t>
            </w:r>
            <w:proofErr w:type="spellStart"/>
            <w:r w:rsidRPr="00D8075A">
              <w:rPr>
                <w:szCs w:val="18"/>
              </w:rPr>
              <w:t>followup</w:t>
            </w:r>
            <w:proofErr w:type="spellEnd"/>
            <w:r w:rsidRPr="00D8075A">
              <w:rPr>
                <w:szCs w:val="18"/>
              </w:rPr>
              <w:t xml:space="preserve">: JAVELIN Merkel 200, a phase 2 clinical trial. </w:t>
            </w:r>
          </w:p>
          <w:p w:rsidR="00694239" w:rsidRPr="00D8075A" w:rsidRDefault="00694239" w:rsidP="006B1181">
            <w:pPr>
              <w:pStyle w:val="Tabletext"/>
              <w:rPr>
                <w:szCs w:val="18"/>
              </w:rPr>
            </w:pPr>
          </w:p>
        </w:tc>
        <w:tc>
          <w:tcPr>
            <w:tcW w:w="1177" w:type="pct"/>
            <w:tcBorders>
              <w:top w:val="nil"/>
              <w:bottom w:val="nil"/>
            </w:tcBorders>
            <w:vAlign w:val="center"/>
          </w:tcPr>
          <w:p w:rsidR="00694239" w:rsidRPr="00D8075A" w:rsidRDefault="00694239" w:rsidP="006B1181">
            <w:pPr>
              <w:pStyle w:val="Tabletext"/>
            </w:pPr>
            <w:r w:rsidRPr="00D8075A">
              <w:rPr>
                <w:szCs w:val="18"/>
              </w:rPr>
              <w:t xml:space="preserve">Journal for </w:t>
            </w:r>
            <w:proofErr w:type="spellStart"/>
            <w:r w:rsidRPr="00D8075A">
              <w:rPr>
                <w:szCs w:val="18"/>
              </w:rPr>
              <w:t>ImmunoTherapy</w:t>
            </w:r>
            <w:proofErr w:type="spellEnd"/>
            <w:r w:rsidRPr="00D8075A">
              <w:rPr>
                <w:szCs w:val="18"/>
              </w:rPr>
              <w:t xml:space="preserve"> of Cancer (2018) 6:7</w:t>
            </w:r>
          </w:p>
        </w:tc>
      </w:tr>
      <w:tr w:rsidR="00694239" w:rsidRPr="00D8075A" w:rsidTr="0083398B">
        <w:tc>
          <w:tcPr>
            <w:tcW w:w="796" w:type="pct"/>
            <w:vMerge/>
            <w:vAlign w:val="center"/>
          </w:tcPr>
          <w:p w:rsidR="00694239" w:rsidRPr="00D8075A" w:rsidRDefault="00694239" w:rsidP="006B1181">
            <w:pPr>
              <w:pStyle w:val="Tabletext"/>
            </w:pPr>
          </w:p>
        </w:tc>
        <w:tc>
          <w:tcPr>
            <w:tcW w:w="3027" w:type="pct"/>
            <w:tcBorders>
              <w:top w:val="nil"/>
              <w:bottom w:val="nil"/>
            </w:tcBorders>
            <w:vAlign w:val="center"/>
          </w:tcPr>
          <w:p w:rsidR="00694239" w:rsidRPr="00D8075A" w:rsidRDefault="00694239" w:rsidP="006B1181">
            <w:pPr>
              <w:pStyle w:val="Tabletext"/>
              <w:rPr>
                <w:szCs w:val="18"/>
              </w:rPr>
            </w:pPr>
            <w:proofErr w:type="spellStart"/>
            <w:r w:rsidRPr="00D8075A">
              <w:rPr>
                <w:szCs w:val="18"/>
              </w:rPr>
              <w:t>Bharmal</w:t>
            </w:r>
            <w:proofErr w:type="spellEnd"/>
            <w:r w:rsidRPr="00D8075A">
              <w:rPr>
                <w:szCs w:val="18"/>
              </w:rPr>
              <w:t xml:space="preserve">, M., F. </w:t>
            </w:r>
            <w:proofErr w:type="spellStart"/>
            <w:r w:rsidRPr="00D8075A">
              <w:rPr>
                <w:szCs w:val="18"/>
              </w:rPr>
              <w:t>Fofana</w:t>
            </w:r>
            <w:proofErr w:type="spellEnd"/>
            <w:r w:rsidRPr="00D8075A">
              <w:rPr>
                <w:szCs w:val="18"/>
              </w:rPr>
              <w:t xml:space="preserve">, C. Dias Barbosa, et al. </w:t>
            </w:r>
            <w:proofErr w:type="spellStart"/>
            <w:r w:rsidRPr="00D8075A">
              <w:rPr>
                <w:szCs w:val="18"/>
              </w:rPr>
              <w:t>Sychometric</w:t>
            </w:r>
            <w:proofErr w:type="spellEnd"/>
            <w:r w:rsidRPr="00D8075A">
              <w:rPr>
                <w:szCs w:val="18"/>
              </w:rPr>
              <w:t xml:space="preserve"> validation of the FACT-M questionnaire in patients with </w:t>
            </w:r>
            <w:proofErr w:type="spellStart"/>
            <w:r w:rsidRPr="00D8075A">
              <w:rPr>
                <w:szCs w:val="18"/>
              </w:rPr>
              <w:t>merkel</w:t>
            </w:r>
            <w:proofErr w:type="spellEnd"/>
            <w:r w:rsidRPr="00D8075A">
              <w:rPr>
                <w:szCs w:val="18"/>
              </w:rPr>
              <w:t xml:space="preserve"> cell carcinoma.</w:t>
            </w:r>
          </w:p>
          <w:p w:rsidR="00694239" w:rsidRPr="00D8075A" w:rsidRDefault="00694239" w:rsidP="006B1181">
            <w:pPr>
              <w:pStyle w:val="Tabletext"/>
              <w:rPr>
                <w:szCs w:val="18"/>
              </w:rPr>
            </w:pPr>
          </w:p>
        </w:tc>
        <w:tc>
          <w:tcPr>
            <w:tcW w:w="1177" w:type="pct"/>
            <w:tcBorders>
              <w:top w:val="nil"/>
              <w:bottom w:val="nil"/>
            </w:tcBorders>
            <w:vAlign w:val="center"/>
          </w:tcPr>
          <w:p w:rsidR="00694239" w:rsidRPr="00D8075A" w:rsidRDefault="00694239" w:rsidP="006B1181">
            <w:pPr>
              <w:pStyle w:val="Tabletext"/>
            </w:pPr>
            <w:r w:rsidRPr="00D8075A">
              <w:rPr>
                <w:szCs w:val="18"/>
              </w:rPr>
              <w:t xml:space="preserve">Value in Health 20(5): A121. </w:t>
            </w:r>
          </w:p>
        </w:tc>
      </w:tr>
      <w:tr w:rsidR="00694239" w:rsidRPr="00D8075A" w:rsidTr="0083398B">
        <w:tc>
          <w:tcPr>
            <w:tcW w:w="796" w:type="pct"/>
            <w:vMerge/>
            <w:vAlign w:val="center"/>
          </w:tcPr>
          <w:p w:rsidR="00694239" w:rsidRPr="00D8075A" w:rsidRDefault="00694239" w:rsidP="006B1181">
            <w:pPr>
              <w:pStyle w:val="Tabletext"/>
            </w:pPr>
          </w:p>
        </w:tc>
        <w:tc>
          <w:tcPr>
            <w:tcW w:w="3027" w:type="pct"/>
            <w:tcBorders>
              <w:top w:val="nil"/>
              <w:bottom w:val="nil"/>
            </w:tcBorders>
            <w:vAlign w:val="center"/>
          </w:tcPr>
          <w:p w:rsidR="00694239" w:rsidRPr="00D8075A" w:rsidRDefault="00694239" w:rsidP="006B1181">
            <w:pPr>
              <w:pStyle w:val="Tabletext"/>
              <w:rPr>
                <w:szCs w:val="18"/>
              </w:rPr>
            </w:pPr>
            <w:proofErr w:type="spellStart"/>
            <w:r w:rsidRPr="00D8075A">
              <w:rPr>
                <w:szCs w:val="18"/>
              </w:rPr>
              <w:t>Bharmal</w:t>
            </w:r>
            <w:proofErr w:type="spellEnd"/>
            <w:r w:rsidRPr="00D8075A">
              <w:rPr>
                <w:szCs w:val="18"/>
              </w:rPr>
              <w:t xml:space="preserve">, M., F. </w:t>
            </w:r>
            <w:proofErr w:type="spellStart"/>
            <w:r w:rsidRPr="00D8075A">
              <w:rPr>
                <w:szCs w:val="18"/>
              </w:rPr>
              <w:t>Fofana</w:t>
            </w:r>
            <w:proofErr w:type="spellEnd"/>
            <w:r w:rsidRPr="00D8075A">
              <w:rPr>
                <w:szCs w:val="18"/>
              </w:rPr>
              <w:t xml:space="preserve">, L. </w:t>
            </w:r>
            <w:proofErr w:type="spellStart"/>
            <w:r w:rsidRPr="00D8075A">
              <w:rPr>
                <w:szCs w:val="18"/>
              </w:rPr>
              <w:t>Mahnke</w:t>
            </w:r>
            <w:proofErr w:type="spellEnd"/>
            <w:r w:rsidRPr="00D8075A">
              <w:rPr>
                <w:szCs w:val="18"/>
              </w:rPr>
              <w:t xml:space="preserve">, et al. (2017). "Non-progression during avelumab treatment is associated with clinically relevant improvements in health-related quality of life in patients with Merkel cell carcinoma." </w:t>
            </w:r>
          </w:p>
        </w:tc>
        <w:tc>
          <w:tcPr>
            <w:tcW w:w="1177" w:type="pct"/>
            <w:tcBorders>
              <w:top w:val="nil"/>
              <w:bottom w:val="nil"/>
            </w:tcBorders>
            <w:vAlign w:val="center"/>
          </w:tcPr>
          <w:p w:rsidR="00694239" w:rsidRPr="00D8075A" w:rsidRDefault="00694239" w:rsidP="006B1181">
            <w:pPr>
              <w:pStyle w:val="Tabletext"/>
              <w:rPr>
                <w:szCs w:val="18"/>
              </w:rPr>
            </w:pPr>
            <w:r w:rsidRPr="00D8075A">
              <w:rPr>
                <w:szCs w:val="18"/>
              </w:rPr>
              <w:t>Journal of Clinical Oncology 35(15).(</w:t>
            </w:r>
            <w:proofErr w:type="spellStart"/>
            <w:r w:rsidRPr="00D8075A">
              <w:rPr>
                <w:szCs w:val="18"/>
              </w:rPr>
              <w:t>Bharmal</w:t>
            </w:r>
            <w:proofErr w:type="spellEnd"/>
            <w:r w:rsidRPr="00D8075A">
              <w:rPr>
                <w:szCs w:val="18"/>
              </w:rPr>
              <w:t xml:space="preserve"> et al. 2017b)</w:t>
            </w:r>
          </w:p>
        </w:tc>
      </w:tr>
      <w:tr w:rsidR="00694239" w:rsidRPr="00D8075A" w:rsidTr="0083398B">
        <w:tc>
          <w:tcPr>
            <w:tcW w:w="796" w:type="pct"/>
            <w:vMerge/>
            <w:vAlign w:val="center"/>
          </w:tcPr>
          <w:p w:rsidR="00694239" w:rsidRPr="00D8075A" w:rsidRDefault="00694239" w:rsidP="006B1181">
            <w:pPr>
              <w:pStyle w:val="Tabletext"/>
            </w:pPr>
          </w:p>
        </w:tc>
        <w:tc>
          <w:tcPr>
            <w:tcW w:w="3027" w:type="pct"/>
            <w:tcBorders>
              <w:top w:val="nil"/>
              <w:bottom w:val="nil"/>
            </w:tcBorders>
            <w:vAlign w:val="center"/>
          </w:tcPr>
          <w:p w:rsidR="00694239" w:rsidRPr="00D8075A" w:rsidRDefault="00694239" w:rsidP="006B1181">
            <w:pPr>
              <w:pStyle w:val="Tabletext"/>
              <w:rPr>
                <w:szCs w:val="18"/>
              </w:rPr>
            </w:pPr>
            <w:r w:rsidRPr="00D8075A">
              <w:rPr>
                <w:szCs w:val="18"/>
              </w:rPr>
              <w:t xml:space="preserve">Kaufman, H., O. Hamid, S. P. D'Angelo, et al. (2015). "A phase II, open-label, </w:t>
            </w:r>
            <w:proofErr w:type="spellStart"/>
            <w:r w:rsidRPr="00D8075A">
              <w:rPr>
                <w:szCs w:val="18"/>
              </w:rPr>
              <w:t>multicenter</w:t>
            </w:r>
            <w:proofErr w:type="spellEnd"/>
            <w:r w:rsidRPr="00D8075A">
              <w:rPr>
                <w:szCs w:val="18"/>
              </w:rPr>
              <w:t xml:space="preserve"> trial to investigate the clinical activity and safety of avelumab (MSB0010718C) in patients with metastatic Merkel cell carcinoma." </w:t>
            </w:r>
          </w:p>
        </w:tc>
        <w:tc>
          <w:tcPr>
            <w:tcW w:w="1177" w:type="pct"/>
            <w:tcBorders>
              <w:top w:val="nil"/>
              <w:bottom w:val="nil"/>
            </w:tcBorders>
            <w:vAlign w:val="center"/>
          </w:tcPr>
          <w:p w:rsidR="00694239" w:rsidRPr="00D8075A" w:rsidRDefault="00694239" w:rsidP="006B1181">
            <w:pPr>
              <w:pStyle w:val="Tabletext"/>
              <w:rPr>
                <w:szCs w:val="18"/>
              </w:rPr>
            </w:pPr>
            <w:r w:rsidRPr="00D8075A">
              <w:rPr>
                <w:szCs w:val="18"/>
              </w:rPr>
              <w:t>Journal of Clinical Oncology 33(15). (Kaufman et al. 2015)</w:t>
            </w:r>
          </w:p>
        </w:tc>
      </w:tr>
      <w:tr w:rsidR="00694239" w:rsidRPr="00D8075A" w:rsidTr="0083398B">
        <w:tc>
          <w:tcPr>
            <w:tcW w:w="796" w:type="pct"/>
            <w:vMerge/>
            <w:vAlign w:val="center"/>
          </w:tcPr>
          <w:p w:rsidR="00694239" w:rsidRPr="00D8075A" w:rsidRDefault="00694239" w:rsidP="006B1181">
            <w:pPr>
              <w:pStyle w:val="Tabletext"/>
            </w:pPr>
          </w:p>
        </w:tc>
        <w:tc>
          <w:tcPr>
            <w:tcW w:w="3027" w:type="pct"/>
            <w:tcBorders>
              <w:top w:val="nil"/>
              <w:bottom w:val="nil"/>
            </w:tcBorders>
            <w:vAlign w:val="center"/>
          </w:tcPr>
          <w:p w:rsidR="00694239" w:rsidRPr="00D8075A" w:rsidRDefault="00694239" w:rsidP="006B1181">
            <w:pPr>
              <w:pStyle w:val="Tabletext"/>
              <w:rPr>
                <w:szCs w:val="18"/>
              </w:rPr>
            </w:pPr>
            <w:r w:rsidRPr="00D8075A">
              <w:rPr>
                <w:szCs w:val="18"/>
              </w:rPr>
              <w:t xml:space="preserve">Kaufman, H., M. Hunger, L. </w:t>
            </w:r>
            <w:proofErr w:type="spellStart"/>
            <w:r w:rsidRPr="00D8075A">
              <w:rPr>
                <w:szCs w:val="18"/>
              </w:rPr>
              <w:t>Mahnke</w:t>
            </w:r>
            <w:proofErr w:type="spellEnd"/>
            <w:r w:rsidRPr="00D8075A">
              <w:rPr>
                <w:szCs w:val="18"/>
              </w:rPr>
              <w:t xml:space="preserve">, et al. (2017). "Non-progression on treatment with avelumab contributes to gains in health utility scores in patients with metastatic </w:t>
            </w:r>
            <w:proofErr w:type="spellStart"/>
            <w:r w:rsidRPr="00D8075A">
              <w:rPr>
                <w:szCs w:val="18"/>
              </w:rPr>
              <w:t>merkel</w:t>
            </w:r>
            <w:proofErr w:type="spellEnd"/>
            <w:r w:rsidRPr="00D8075A">
              <w:rPr>
                <w:szCs w:val="18"/>
              </w:rPr>
              <w:t xml:space="preserve"> cell carcinoma." </w:t>
            </w:r>
          </w:p>
        </w:tc>
        <w:tc>
          <w:tcPr>
            <w:tcW w:w="1177" w:type="pct"/>
            <w:tcBorders>
              <w:top w:val="nil"/>
              <w:bottom w:val="nil"/>
            </w:tcBorders>
            <w:vAlign w:val="center"/>
          </w:tcPr>
          <w:p w:rsidR="00694239" w:rsidRPr="00D8075A" w:rsidRDefault="00694239" w:rsidP="006B1181">
            <w:pPr>
              <w:pStyle w:val="Tabletext"/>
              <w:rPr>
                <w:szCs w:val="18"/>
              </w:rPr>
            </w:pPr>
            <w:r w:rsidRPr="00D8075A">
              <w:rPr>
                <w:szCs w:val="18"/>
              </w:rPr>
              <w:t>Value in Health 20(5): A119-A120. (Kaufman et al. 2017)</w:t>
            </w:r>
          </w:p>
        </w:tc>
      </w:tr>
      <w:tr w:rsidR="00694239" w:rsidRPr="00D8075A" w:rsidTr="0083398B">
        <w:tc>
          <w:tcPr>
            <w:tcW w:w="796" w:type="pct"/>
            <w:vMerge/>
            <w:vAlign w:val="center"/>
          </w:tcPr>
          <w:p w:rsidR="00694239" w:rsidRPr="00D8075A" w:rsidRDefault="00694239" w:rsidP="006B1181">
            <w:pPr>
              <w:pStyle w:val="Tabletext"/>
            </w:pPr>
          </w:p>
        </w:tc>
        <w:tc>
          <w:tcPr>
            <w:tcW w:w="3027" w:type="pct"/>
            <w:tcBorders>
              <w:top w:val="nil"/>
              <w:bottom w:val="nil"/>
            </w:tcBorders>
            <w:vAlign w:val="center"/>
          </w:tcPr>
          <w:p w:rsidR="00694239" w:rsidRPr="00D8075A" w:rsidRDefault="00694239" w:rsidP="006B1181">
            <w:pPr>
              <w:pStyle w:val="Tabletext"/>
              <w:rPr>
                <w:szCs w:val="18"/>
              </w:rPr>
            </w:pPr>
            <w:r w:rsidRPr="00D8075A">
              <w:rPr>
                <w:szCs w:val="18"/>
              </w:rPr>
              <w:t xml:space="preserve">Kaufman, H., M. Kraemer, C. Dias Barbosa, et al. (2016). "Patient perspectives on </w:t>
            </w:r>
            <w:proofErr w:type="spellStart"/>
            <w:r w:rsidRPr="00D8075A">
              <w:rPr>
                <w:szCs w:val="18"/>
              </w:rPr>
              <w:t>merkel</w:t>
            </w:r>
            <w:proofErr w:type="spellEnd"/>
            <w:r w:rsidRPr="00D8075A">
              <w:rPr>
                <w:szCs w:val="18"/>
              </w:rPr>
              <w:t xml:space="preserve"> cell carcinoma (MCC) and its treatment with a novel agent (avelumab): Findings from in-depth qualitative patient interviews." </w:t>
            </w:r>
          </w:p>
        </w:tc>
        <w:tc>
          <w:tcPr>
            <w:tcW w:w="1177" w:type="pct"/>
            <w:tcBorders>
              <w:top w:val="nil"/>
              <w:bottom w:val="nil"/>
            </w:tcBorders>
            <w:vAlign w:val="center"/>
          </w:tcPr>
          <w:p w:rsidR="00694239" w:rsidRPr="00D8075A" w:rsidRDefault="00694239" w:rsidP="006B1181">
            <w:pPr>
              <w:pStyle w:val="Tabletext"/>
              <w:rPr>
                <w:szCs w:val="18"/>
              </w:rPr>
            </w:pPr>
            <w:r w:rsidRPr="00D8075A">
              <w:rPr>
                <w:szCs w:val="18"/>
              </w:rPr>
              <w:t>Value in Health 19(7): A745. (Kaufman et al. 2016)</w:t>
            </w:r>
          </w:p>
        </w:tc>
      </w:tr>
      <w:tr w:rsidR="00694239" w:rsidRPr="00D8075A" w:rsidTr="0083398B">
        <w:tc>
          <w:tcPr>
            <w:tcW w:w="796" w:type="pct"/>
            <w:vMerge/>
            <w:vAlign w:val="center"/>
          </w:tcPr>
          <w:p w:rsidR="00694239" w:rsidRPr="00D8075A" w:rsidRDefault="00694239" w:rsidP="006B1181">
            <w:pPr>
              <w:pStyle w:val="Tabletext"/>
            </w:pPr>
          </w:p>
        </w:tc>
        <w:tc>
          <w:tcPr>
            <w:tcW w:w="3027" w:type="pct"/>
            <w:tcBorders>
              <w:top w:val="nil"/>
              <w:bottom w:val="nil"/>
            </w:tcBorders>
            <w:vAlign w:val="center"/>
          </w:tcPr>
          <w:p w:rsidR="00694239" w:rsidRPr="00D8075A" w:rsidRDefault="00694239" w:rsidP="006B1181">
            <w:pPr>
              <w:pStyle w:val="Tabletext"/>
              <w:rPr>
                <w:szCs w:val="18"/>
              </w:rPr>
            </w:pPr>
            <w:r w:rsidRPr="00D8075A">
              <w:rPr>
                <w:szCs w:val="18"/>
              </w:rPr>
              <w:t xml:space="preserve">Kaufman, H., J. Lambert, C. Dias Barbosa, et al. (2017). "Patient experiences with avelumab vs CTX for treating </w:t>
            </w:r>
            <w:proofErr w:type="spellStart"/>
            <w:r w:rsidRPr="00D8075A">
              <w:rPr>
                <w:szCs w:val="18"/>
              </w:rPr>
              <w:t>merkel</w:t>
            </w:r>
            <w:proofErr w:type="spellEnd"/>
            <w:r w:rsidRPr="00D8075A">
              <w:rPr>
                <w:szCs w:val="18"/>
              </w:rPr>
              <w:t xml:space="preserve"> cell carcinoma: Results from protocol specified qualitative research." </w:t>
            </w:r>
          </w:p>
        </w:tc>
        <w:tc>
          <w:tcPr>
            <w:tcW w:w="1177" w:type="pct"/>
            <w:tcBorders>
              <w:top w:val="nil"/>
              <w:bottom w:val="nil"/>
            </w:tcBorders>
            <w:vAlign w:val="center"/>
          </w:tcPr>
          <w:p w:rsidR="00694239" w:rsidRPr="00D8075A" w:rsidRDefault="00694239" w:rsidP="006B1181">
            <w:pPr>
              <w:pStyle w:val="Tabletext"/>
              <w:rPr>
                <w:szCs w:val="18"/>
              </w:rPr>
            </w:pPr>
            <w:r w:rsidRPr="00D8075A">
              <w:rPr>
                <w:szCs w:val="18"/>
              </w:rPr>
              <w:t>Journal of Clinical Oncology 35(15).</w:t>
            </w:r>
            <w:r w:rsidR="00856D74" w:rsidRPr="00D8075A">
              <w:rPr>
                <w:szCs w:val="18"/>
              </w:rPr>
              <w:t xml:space="preserve"> </w:t>
            </w:r>
            <w:r w:rsidRPr="00D8075A">
              <w:rPr>
                <w:szCs w:val="18"/>
              </w:rPr>
              <w:t>(Kaufman et al. 2017)</w:t>
            </w:r>
          </w:p>
        </w:tc>
      </w:tr>
      <w:tr w:rsidR="00694239" w:rsidRPr="00D8075A" w:rsidTr="0083398B">
        <w:tc>
          <w:tcPr>
            <w:tcW w:w="796" w:type="pct"/>
            <w:vMerge/>
            <w:vAlign w:val="center"/>
          </w:tcPr>
          <w:p w:rsidR="00694239" w:rsidRPr="00D8075A" w:rsidRDefault="00694239" w:rsidP="006B1181">
            <w:pPr>
              <w:pStyle w:val="Tabletext"/>
            </w:pPr>
          </w:p>
        </w:tc>
        <w:tc>
          <w:tcPr>
            <w:tcW w:w="3027" w:type="pct"/>
            <w:tcBorders>
              <w:top w:val="nil"/>
              <w:bottom w:val="nil"/>
            </w:tcBorders>
            <w:vAlign w:val="center"/>
          </w:tcPr>
          <w:p w:rsidR="00694239" w:rsidRPr="00D8075A" w:rsidRDefault="00694239" w:rsidP="006B1181">
            <w:pPr>
              <w:pStyle w:val="Tabletext"/>
              <w:rPr>
                <w:szCs w:val="18"/>
              </w:rPr>
            </w:pPr>
            <w:r w:rsidRPr="00D8075A">
              <w:rPr>
                <w:szCs w:val="18"/>
              </w:rPr>
              <w:t xml:space="preserve">Kaufman, H., J. S. Russell, O. Hamid, et al. (2016). "Avelumab (MSB0010718C; anti-PD-L1) in patients with metastatic Merkel cell carcinoma previously treated with CTX: Results of the phase 2 JAVELIN MERKEL 200 Merkel 200 trial." </w:t>
            </w:r>
          </w:p>
        </w:tc>
        <w:tc>
          <w:tcPr>
            <w:tcW w:w="1177" w:type="pct"/>
            <w:tcBorders>
              <w:top w:val="nil"/>
              <w:bottom w:val="nil"/>
            </w:tcBorders>
            <w:vAlign w:val="center"/>
          </w:tcPr>
          <w:p w:rsidR="00694239" w:rsidRPr="00D8075A" w:rsidRDefault="00694239" w:rsidP="006B1181">
            <w:pPr>
              <w:pStyle w:val="Tabletext"/>
              <w:rPr>
                <w:szCs w:val="18"/>
              </w:rPr>
            </w:pPr>
            <w:r w:rsidRPr="00D8075A">
              <w:rPr>
                <w:szCs w:val="18"/>
              </w:rPr>
              <w:t>Journal of Clinical Oncology 34. (Kaufman et al. 2016)</w:t>
            </w:r>
          </w:p>
        </w:tc>
      </w:tr>
      <w:tr w:rsidR="00694239" w:rsidRPr="00D8075A" w:rsidTr="0083398B">
        <w:tc>
          <w:tcPr>
            <w:tcW w:w="796" w:type="pct"/>
            <w:vMerge/>
            <w:vAlign w:val="center"/>
          </w:tcPr>
          <w:p w:rsidR="00694239" w:rsidRPr="00D8075A" w:rsidRDefault="00694239" w:rsidP="006B1181">
            <w:pPr>
              <w:pStyle w:val="Tabletext"/>
            </w:pPr>
          </w:p>
        </w:tc>
        <w:tc>
          <w:tcPr>
            <w:tcW w:w="3027" w:type="pct"/>
            <w:tcBorders>
              <w:top w:val="nil"/>
              <w:bottom w:val="nil"/>
            </w:tcBorders>
            <w:vAlign w:val="center"/>
          </w:tcPr>
          <w:p w:rsidR="00694239" w:rsidRPr="00D8075A" w:rsidRDefault="00694239" w:rsidP="006B1181">
            <w:pPr>
              <w:pStyle w:val="Tabletext"/>
              <w:rPr>
                <w:szCs w:val="18"/>
              </w:rPr>
            </w:pPr>
            <w:r w:rsidRPr="00D8075A">
              <w:rPr>
                <w:szCs w:val="18"/>
              </w:rPr>
              <w:t xml:space="preserve">Kelly, K., J. R. </w:t>
            </w:r>
            <w:proofErr w:type="spellStart"/>
            <w:r w:rsidRPr="00D8075A">
              <w:rPr>
                <w:szCs w:val="18"/>
              </w:rPr>
              <w:t>Infante</w:t>
            </w:r>
            <w:proofErr w:type="spellEnd"/>
            <w:r w:rsidRPr="00D8075A">
              <w:rPr>
                <w:szCs w:val="18"/>
              </w:rPr>
              <w:t xml:space="preserve">, M. H. Taylor, et al. (2017). "Safety profile of avelumab in patients with advanced solid </w:t>
            </w:r>
            <w:proofErr w:type="spellStart"/>
            <w:r w:rsidRPr="00D8075A">
              <w:rPr>
                <w:szCs w:val="18"/>
              </w:rPr>
              <w:t>tumors</w:t>
            </w:r>
            <w:proofErr w:type="spellEnd"/>
            <w:r w:rsidRPr="00D8075A">
              <w:rPr>
                <w:szCs w:val="18"/>
              </w:rPr>
              <w:t xml:space="preserve">: A JAVELIN MERKEL 200 pooled analysis of phase 1 and 2 data." </w:t>
            </w:r>
          </w:p>
        </w:tc>
        <w:tc>
          <w:tcPr>
            <w:tcW w:w="1177" w:type="pct"/>
            <w:tcBorders>
              <w:top w:val="nil"/>
              <w:bottom w:val="nil"/>
            </w:tcBorders>
            <w:vAlign w:val="center"/>
          </w:tcPr>
          <w:p w:rsidR="00694239" w:rsidRPr="00D8075A" w:rsidRDefault="00694239" w:rsidP="006B1181">
            <w:pPr>
              <w:pStyle w:val="Tabletext"/>
              <w:rPr>
                <w:szCs w:val="18"/>
              </w:rPr>
            </w:pPr>
            <w:r w:rsidRPr="00D8075A">
              <w:rPr>
                <w:szCs w:val="18"/>
              </w:rPr>
              <w:t>Journal of Clinical Oncology 35(15).</w:t>
            </w:r>
            <w:r w:rsidR="00856D74" w:rsidRPr="00D8075A">
              <w:rPr>
                <w:szCs w:val="18"/>
              </w:rPr>
              <w:t xml:space="preserve"> </w:t>
            </w:r>
            <w:r w:rsidRPr="00D8075A">
              <w:rPr>
                <w:szCs w:val="18"/>
              </w:rPr>
              <w:t>(Kelly et al. 2017)</w:t>
            </w:r>
          </w:p>
        </w:tc>
      </w:tr>
      <w:tr w:rsidR="00694239" w:rsidRPr="00D8075A" w:rsidTr="0083398B">
        <w:tc>
          <w:tcPr>
            <w:tcW w:w="796" w:type="pct"/>
            <w:vMerge/>
            <w:tcBorders>
              <w:bottom w:val="single" w:sz="4" w:space="0" w:color="auto"/>
            </w:tcBorders>
            <w:vAlign w:val="center"/>
          </w:tcPr>
          <w:p w:rsidR="00694239" w:rsidRPr="00D8075A" w:rsidRDefault="00694239" w:rsidP="006B1181">
            <w:pPr>
              <w:pStyle w:val="Tabletext"/>
            </w:pPr>
          </w:p>
        </w:tc>
        <w:tc>
          <w:tcPr>
            <w:tcW w:w="3027" w:type="pct"/>
            <w:tcBorders>
              <w:top w:val="nil"/>
              <w:bottom w:val="single" w:sz="4" w:space="0" w:color="auto"/>
            </w:tcBorders>
            <w:vAlign w:val="center"/>
          </w:tcPr>
          <w:p w:rsidR="00694239" w:rsidRPr="00D8075A" w:rsidRDefault="00694239" w:rsidP="006B1181">
            <w:pPr>
              <w:pStyle w:val="Tabletext"/>
              <w:rPr>
                <w:szCs w:val="18"/>
              </w:rPr>
            </w:pPr>
            <w:r w:rsidRPr="00D8075A">
              <w:rPr>
                <w:szCs w:val="18"/>
              </w:rPr>
              <w:t xml:space="preserve">Shapiro, I., H. J. Grote, V. </w:t>
            </w:r>
            <w:proofErr w:type="spellStart"/>
            <w:r w:rsidRPr="00D8075A">
              <w:rPr>
                <w:szCs w:val="18"/>
              </w:rPr>
              <w:t>D'Urso</w:t>
            </w:r>
            <w:proofErr w:type="spellEnd"/>
            <w:r w:rsidRPr="00D8075A">
              <w:rPr>
                <w:szCs w:val="18"/>
              </w:rPr>
              <w:t xml:space="preserve">, et al. (2017). "Exploratory biomarker analysis in avelumab-treated patients with metastatic Merkel cell carcinoma progressed after CTX." </w:t>
            </w:r>
          </w:p>
        </w:tc>
        <w:tc>
          <w:tcPr>
            <w:tcW w:w="1177" w:type="pct"/>
            <w:tcBorders>
              <w:top w:val="nil"/>
              <w:bottom w:val="single" w:sz="4" w:space="0" w:color="auto"/>
            </w:tcBorders>
            <w:vAlign w:val="center"/>
          </w:tcPr>
          <w:p w:rsidR="00694239" w:rsidRPr="00D8075A" w:rsidRDefault="00694239" w:rsidP="006B1181">
            <w:pPr>
              <w:pStyle w:val="Tabletext"/>
              <w:rPr>
                <w:szCs w:val="18"/>
              </w:rPr>
            </w:pPr>
            <w:r w:rsidRPr="00D8075A">
              <w:rPr>
                <w:szCs w:val="18"/>
              </w:rPr>
              <w:t>Journal of Clinical Oncology 35(15). (Shapiro et al. 2017)</w:t>
            </w:r>
          </w:p>
        </w:tc>
      </w:tr>
      <w:tr w:rsidR="00694239" w:rsidRPr="00D8075A" w:rsidTr="0083398B">
        <w:tc>
          <w:tcPr>
            <w:tcW w:w="796" w:type="pct"/>
            <w:vMerge w:val="restart"/>
            <w:tcBorders>
              <w:top w:val="single" w:sz="4" w:space="0" w:color="auto"/>
            </w:tcBorders>
            <w:vAlign w:val="center"/>
          </w:tcPr>
          <w:p w:rsidR="00694239" w:rsidRPr="00D8075A" w:rsidRDefault="00694239" w:rsidP="006B1181">
            <w:pPr>
              <w:pStyle w:val="Tabletext"/>
            </w:pPr>
            <w:r w:rsidRPr="00D8075A">
              <w:t>Study EMR100070-003 Part B</w:t>
            </w:r>
          </w:p>
          <w:p w:rsidR="00694239" w:rsidRPr="00D8075A" w:rsidRDefault="00694239" w:rsidP="006B1181">
            <w:pPr>
              <w:pStyle w:val="Tabletext"/>
            </w:pPr>
            <w:r w:rsidRPr="00D8075A">
              <w:t>(</w:t>
            </w:r>
            <w:r w:rsidR="00B42787" w:rsidRPr="00D8075A">
              <w:t>h</w:t>
            </w:r>
            <w:r w:rsidRPr="00D8075A">
              <w:t>ereafter referred to as JAVELIN Merkel 200 Part B) – 1L</w:t>
            </w:r>
          </w:p>
        </w:tc>
        <w:tc>
          <w:tcPr>
            <w:tcW w:w="3027" w:type="pct"/>
            <w:tcBorders>
              <w:top w:val="single" w:sz="4" w:space="0" w:color="auto"/>
              <w:bottom w:val="nil"/>
            </w:tcBorders>
            <w:vAlign w:val="center"/>
          </w:tcPr>
          <w:p w:rsidR="00694239" w:rsidRPr="00D8075A" w:rsidRDefault="00694239" w:rsidP="006B1181">
            <w:pPr>
              <w:pStyle w:val="Tabletext"/>
              <w:rPr>
                <w:szCs w:val="18"/>
              </w:rPr>
            </w:pPr>
            <w:r w:rsidRPr="00D8075A">
              <w:rPr>
                <w:szCs w:val="18"/>
              </w:rPr>
              <w:t>Addendum 4 to EMR 100070-003 CSR (for Part B): 15 June 2017 (data cut-off: 24 March 2017).</w:t>
            </w:r>
          </w:p>
          <w:p w:rsidR="00694239" w:rsidRPr="00D8075A" w:rsidRDefault="00694239" w:rsidP="006B1181">
            <w:pPr>
              <w:pStyle w:val="Tabletext"/>
              <w:rPr>
                <w:szCs w:val="18"/>
              </w:rPr>
            </w:pPr>
          </w:p>
        </w:tc>
        <w:tc>
          <w:tcPr>
            <w:tcW w:w="1177" w:type="pct"/>
            <w:tcBorders>
              <w:top w:val="single" w:sz="4" w:space="0" w:color="auto"/>
              <w:bottom w:val="nil"/>
            </w:tcBorders>
            <w:vAlign w:val="center"/>
          </w:tcPr>
          <w:p w:rsidR="00694239" w:rsidRPr="00D8075A" w:rsidRDefault="00694239" w:rsidP="006B1181">
            <w:pPr>
              <w:pStyle w:val="Tabletext"/>
              <w:rPr>
                <w:szCs w:val="18"/>
              </w:rPr>
            </w:pPr>
            <w:r w:rsidRPr="00D8075A">
              <w:rPr>
                <w:szCs w:val="18"/>
              </w:rPr>
              <w:t>15 June 2017</w:t>
            </w:r>
          </w:p>
        </w:tc>
      </w:tr>
      <w:tr w:rsidR="00694239" w:rsidRPr="00D8075A" w:rsidTr="0083398B">
        <w:tc>
          <w:tcPr>
            <w:tcW w:w="796" w:type="pct"/>
            <w:vMerge/>
            <w:vAlign w:val="center"/>
          </w:tcPr>
          <w:p w:rsidR="00694239" w:rsidRPr="00D8075A" w:rsidRDefault="00694239" w:rsidP="006B1181">
            <w:pPr>
              <w:pStyle w:val="Tabletext"/>
            </w:pPr>
          </w:p>
        </w:tc>
        <w:tc>
          <w:tcPr>
            <w:tcW w:w="3027" w:type="pct"/>
            <w:tcBorders>
              <w:top w:val="nil"/>
              <w:bottom w:val="nil"/>
            </w:tcBorders>
            <w:vAlign w:val="center"/>
          </w:tcPr>
          <w:p w:rsidR="00694239" w:rsidRPr="00D8075A" w:rsidRDefault="00694239" w:rsidP="006B1181">
            <w:pPr>
              <w:pStyle w:val="Tabletext"/>
              <w:rPr>
                <w:szCs w:val="18"/>
              </w:rPr>
            </w:pPr>
            <w:r w:rsidRPr="00D8075A">
              <w:rPr>
                <w:szCs w:val="18"/>
              </w:rPr>
              <w:t>Preliminary report of the interim analysis for Study EMR 100070-003 Part B (data cut-off: 26 September 2017)</w:t>
            </w:r>
          </w:p>
          <w:p w:rsidR="00694239" w:rsidRPr="00D8075A" w:rsidRDefault="00694239" w:rsidP="006B1181">
            <w:pPr>
              <w:pStyle w:val="Tabletext"/>
              <w:rPr>
                <w:szCs w:val="18"/>
              </w:rPr>
            </w:pPr>
          </w:p>
        </w:tc>
        <w:tc>
          <w:tcPr>
            <w:tcW w:w="1177" w:type="pct"/>
            <w:tcBorders>
              <w:top w:val="nil"/>
              <w:bottom w:val="nil"/>
            </w:tcBorders>
            <w:vAlign w:val="center"/>
          </w:tcPr>
          <w:p w:rsidR="00694239" w:rsidRPr="00D8075A" w:rsidRDefault="00694239" w:rsidP="006B1181">
            <w:pPr>
              <w:pStyle w:val="Tabletext"/>
              <w:rPr>
                <w:szCs w:val="18"/>
              </w:rPr>
            </w:pPr>
            <w:r w:rsidRPr="00D8075A">
              <w:rPr>
                <w:szCs w:val="18"/>
              </w:rPr>
              <w:t>11 January 2018</w:t>
            </w:r>
          </w:p>
        </w:tc>
      </w:tr>
      <w:tr w:rsidR="00694239" w:rsidRPr="00D8075A" w:rsidTr="0083398B">
        <w:tc>
          <w:tcPr>
            <w:tcW w:w="796" w:type="pct"/>
            <w:vMerge/>
            <w:tcBorders>
              <w:bottom w:val="single" w:sz="4" w:space="0" w:color="auto"/>
            </w:tcBorders>
            <w:vAlign w:val="center"/>
          </w:tcPr>
          <w:p w:rsidR="00694239" w:rsidRPr="00D8075A" w:rsidRDefault="00694239" w:rsidP="006B1181">
            <w:pPr>
              <w:pStyle w:val="Tabletext"/>
            </w:pPr>
          </w:p>
        </w:tc>
        <w:tc>
          <w:tcPr>
            <w:tcW w:w="3027" w:type="pct"/>
            <w:tcBorders>
              <w:top w:val="nil"/>
              <w:bottom w:val="single" w:sz="4" w:space="0" w:color="auto"/>
            </w:tcBorders>
            <w:vAlign w:val="center"/>
          </w:tcPr>
          <w:p w:rsidR="00694239" w:rsidRPr="00D8075A" w:rsidRDefault="00694239" w:rsidP="006B1181">
            <w:pPr>
              <w:pStyle w:val="Tabletext"/>
              <w:rPr>
                <w:szCs w:val="18"/>
              </w:rPr>
            </w:pPr>
            <w:r w:rsidRPr="00D8075A">
              <w:rPr>
                <w:szCs w:val="18"/>
              </w:rPr>
              <w:t>D'Angelo, S. P., J. Russell, J. C. Hassel, et al. (2017). First-line (1L) avelumab treatment in patients (pts) with metastatic Merkel cell carcinoma (</w:t>
            </w:r>
            <w:proofErr w:type="spellStart"/>
            <w:r w:rsidRPr="00D8075A">
              <w:rPr>
                <w:szCs w:val="18"/>
              </w:rPr>
              <w:t>mMCC</w:t>
            </w:r>
            <w:proofErr w:type="spellEnd"/>
            <w:r w:rsidRPr="00D8075A">
              <w:rPr>
                <w:szCs w:val="18"/>
              </w:rPr>
              <w:t xml:space="preserve">): Preliminary data from an ongoing study. </w:t>
            </w:r>
          </w:p>
          <w:p w:rsidR="00694239" w:rsidRPr="00D8075A" w:rsidRDefault="00694239" w:rsidP="006B1181">
            <w:pPr>
              <w:pStyle w:val="Tabletext"/>
              <w:rPr>
                <w:szCs w:val="18"/>
              </w:rPr>
            </w:pPr>
          </w:p>
        </w:tc>
        <w:tc>
          <w:tcPr>
            <w:tcW w:w="1177" w:type="pct"/>
            <w:tcBorders>
              <w:top w:val="nil"/>
              <w:bottom w:val="single" w:sz="4" w:space="0" w:color="auto"/>
            </w:tcBorders>
            <w:vAlign w:val="center"/>
          </w:tcPr>
          <w:p w:rsidR="00694239" w:rsidRPr="00D8075A" w:rsidRDefault="00694239" w:rsidP="006B1181">
            <w:pPr>
              <w:pStyle w:val="Tabletext"/>
              <w:rPr>
                <w:szCs w:val="18"/>
              </w:rPr>
            </w:pPr>
            <w:r w:rsidRPr="00D8075A">
              <w:rPr>
                <w:szCs w:val="18"/>
              </w:rPr>
              <w:t>Journal of Clinical Oncology 35(15).</w:t>
            </w:r>
          </w:p>
        </w:tc>
      </w:tr>
      <w:tr w:rsidR="00694239" w:rsidRPr="00D8075A" w:rsidTr="0083398B">
        <w:tc>
          <w:tcPr>
            <w:tcW w:w="796" w:type="pct"/>
            <w:tcBorders>
              <w:top w:val="single" w:sz="4" w:space="0" w:color="auto"/>
              <w:bottom w:val="nil"/>
            </w:tcBorders>
            <w:vAlign w:val="center"/>
          </w:tcPr>
          <w:p w:rsidR="00694239" w:rsidRPr="00D8075A" w:rsidRDefault="00694239" w:rsidP="006B1181">
            <w:pPr>
              <w:pStyle w:val="Tabletext"/>
            </w:pPr>
            <w:r w:rsidRPr="00D8075A">
              <w:lastRenderedPageBreak/>
              <w:t>Study 100070-Obs001 (hereafter referred to as Study Obs001)</w:t>
            </w:r>
          </w:p>
          <w:p w:rsidR="00694239" w:rsidRPr="00D8075A" w:rsidRDefault="00694239" w:rsidP="006B1181">
            <w:pPr>
              <w:pStyle w:val="Tabletext"/>
            </w:pPr>
            <w:r w:rsidRPr="00D8075A">
              <w:t>Part A (US) – 1L + 2L+</w:t>
            </w:r>
          </w:p>
        </w:tc>
        <w:tc>
          <w:tcPr>
            <w:tcW w:w="3027" w:type="pct"/>
            <w:tcBorders>
              <w:top w:val="single" w:sz="4" w:space="0" w:color="auto"/>
              <w:bottom w:val="nil"/>
            </w:tcBorders>
            <w:vAlign w:val="center"/>
          </w:tcPr>
          <w:p w:rsidR="00694239" w:rsidRPr="00D8075A" w:rsidRDefault="00694239" w:rsidP="006B1181">
            <w:pPr>
              <w:pStyle w:val="Tabletext"/>
              <w:rPr>
                <w:szCs w:val="18"/>
              </w:rPr>
            </w:pPr>
            <w:r w:rsidRPr="00D8075A">
              <w:rPr>
                <w:szCs w:val="18"/>
              </w:rPr>
              <w:t>Observational Study Report CSR: Retrospective Observational Study to Evaluate Treatment Outcomes in Patients with Metastatic Merkel Cell Carcinoma Following CTX</w:t>
            </w:r>
          </w:p>
        </w:tc>
        <w:tc>
          <w:tcPr>
            <w:tcW w:w="1177" w:type="pct"/>
            <w:tcBorders>
              <w:top w:val="single" w:sz="4" w:space="0" w:color="auto"/>
              <w:bottom w:val="nil"/>
            </w:tcBorders>
            <w:vAlign w:val="center"/>
          </w:tcPr>
          <w:p w:rsidR="00694239" w:rsidRPr="00D8075A" w:rsidRDefault="00694239" w:rsidP="006B1181">
            <w:pPr>
              <w:pStyle w:val="Tabletext"/>
              <w:rPr>
                <w:szCs w:val="18"/>
              </w:rPr>
            </w:pPr>
            <w:r w:rsidRPr="00D8075A">
              <w:rPr>
                <w:szCs w:val="18"/>
              </w:rPr>
              <w:t>10 August 2016</w:t>
            </w:r>
          </w:p>
        </w:tc>
      </w:tr>
      <w:tr w:rsidR="00694239" w:rsidRPr="00D8075A" w:rsidTr="0083398B">
        <w:tc>
          <w:tcPr>
            <w:tcW w:w="796" w:type="pct"/>
            <w:tcBorders>
              <w:top w:val="nil"/>
              <w:bottom w:val="nil"/>
            </w:tcBorders>
            <w:vAlign w:val="center"/>
          </w:tcPr>
          <w:p w:rsidR="00694239" w:rsidRPr="00D8075A" w:rsidRDefault="00694239" w:rsidP="006B1181">
            <w:pPr>
              <w:pStyle w:val="Tabletext"/>
            </w:pPr>
          </w:p>
        </w:tc>
        <w:tc>
          <w:tcPr>
            <w:tcW w:w="3027" w:type="pct"/>
            <w:tcBorders>
              <w:top w:val="nil"/>
              <w:bottom w:val="nil"/>
            </w:tcBorders>
            <w:vAlign w:val="center"/>
          </w:tcPr>
          <w:p w:rsidR="00694239" w:rsidRPr="00D8075A" w:rsidRDefault="00694239" w:rsidP="006B1181">
            <w:pPr>
              <w:pStyle w:val="Tabletext"/>
              <w:rPr>
                <w:szCs w:val="18"/>
              </w:rPr>
            </w:pPr>
            <w:proofErr w:type="spellStart"/>
            <w:r w:rsidRPr="00D8075A">
              <w:rPr>
                <w:szCs w:val="18"/>
              </w:rPr>
              <w:t>Cowey</w:t>
            </w:r>
            <w:proofErr w:type="spellEnd"/>
            <w:r w:rsidRPr="00D8075A">
              <w:rPr>
                <w:szCs w:val="18"/>
              </w:rPr>
              <w:t xml:space="preserve">, C. L., </w:t>
            </w:r>
            <w:proofErr w:type="spellStart"/>
            <w:r w:rsidRPr="00D8075A">
              <w:rPr>
                <w:szCs w:val="18"/>
              </w:rPr>
              <w:t>Mahnke</w:t>
            </w:r>
            <w:proofErr w:type="spellEnd"/>
            <w:r w:rsidRPr="00D8075A">
              <w:rPr>
                <w:szCs w:val="18"/>
              </w:rPr>
              <w:t xml:space="preserve">, J. </w:t>
            </w:r>
            <w:proofErr w:type="spellStart"/>
            <w:r w:rsidRPr="00D8075A">
              <w:rPr>
                <w:szCs w:val="18"/>
              </w:rPr>
              <w:t>Espirito</w:t>
            </w:r>
            <w:proofErr w:type="spellEnd"/>
            <w:r w:rsidRPr="00D8075A">
              <w:rPr>
                <w:szCs w:val="18"/>
              </w:rPr>
              <w:t>, et al. (2017). Real-world treatment outcomes in patients with metastatic Merkel cell carcinoma treated with CTX in the USA.</w:t>
            </w:r>
          </w:p>
          <w:p w:rsidR="00694239" w:rsidRPr="00D8075A" w:rsidRDefault="00694239" w:rsidP="006B1181">
            <w:pPr>
              <w:pStyle w:val="Tabletext"/>
              <w:rPr>
                <w:szCs w:val="18"/>
              </w:rPr>
            </w:pPr>
          </w:p>
        </w:tc>
        <w:tc>
          <w:tcPr>
            <w:tcW w:w="1177" w:type="pct"/>
            <w:tcBorders>
              <w:top w:val="nil"/>
              <w:bottom w:val="nil"/>
            </w:tcBorders>
            <w:vAlign w:val="center"/>
          </w:tcPr>
          <w:p w:rsidR="00694239" w:rsidRPr="00D8075A" w:rsidRDefault="00694239" w:rsidP="006B1181">
            <w:pPr>
              <w:pStyle w:val="Tabletext"/>
              <w:rPr>
                <w:szCs w:val="18"/>
              </w:rPr>
            </w:pPr>
            <w:r w:rsidRPr="00D8075A">
              <w:rPr>
                <w:szCs w:val="18"/>
              </w:rPr>
              <w:t>Future Oncology 13(19): 1699-1710.</w:t>
            </w:r>
          </w:p>
        </w:tc>
      </w:tr>
      <w:tr w:rsidR="00694239" w:rsidRPr="00D8075A" w:rsidTr="0083398B">
        <w:tc>
          <w:tcPr>
            <w:tcW w:w="796" w:type="pct"/>
            <w:tcBorders>
              <w:top w:val="nil"/>
              <w:bottom w:val="single" w:sz="4" w:space="0" w:color="auto"/>
            </w:tcBorders>
            <w:vAlign w:val="center"/>
          </w:tcPr>
          <w:p w:rsidR="00694239" w:rsidRPr="00D8075A" w:rsidRDefault="00694239" w:rsidP="006B1181">
            <w:pPr>
              <w:pStyle w:val="Tabletext"/>
            </w:pPr>
          </w:p>
        </w:tc>
        <w:tc>
          <w:tcPr>
            <w:tcW w:w="3027" w:type="pct"/>
            <w:tcBorders>
              <w:top w:val="nil"/>
              <w:bottom w:val="single" w:sz="4" w:space="0" w:color="auto"/>
            </w:tcBorders>
            <w:vAlign w:val="center"/>
          </w:tcPr>
          <w:p w:rsidR="00694239" w:rsidRPr="00D8075A" w:rsidRDefault="00694239" w:rsidP="006B1181">
            <w:pPr>
              <w:pStyle w:val="Tabletext"/>
              <w:rPr>
                <w:szCs w:val="18"/>
              </w:rPr>
            </w:pPr>
            <w:proofErr w:type="spellStart"/>
            <w:r w:rsidRPr="00D8075A">
              <w:rPr>
                <w:szCs w:val="18"/>
              </w:rPr>
              <w:t>Cowey</w:t>
            </w:r>
            <w:proofErr w:type="spellEnd"/>
            <w:r w:rsidRPr="00D8075A">
              <w:rPr>
                <w:szCs w:val="18"/>
              </w:rPr>
              <w:t xml:space="preserve">, C. L., L. </w:t>
            </w:r>
            <w:proofErr w:type="spellStart"/>
            <w:r w:rsidRPr="00D8075A">
              <w:rPr>
                <w:szCs w:val="18"/>
              </w:rPr>
              <w:t>Mahnke</w:t>
            </w:r>
            <w:proofErr w:type="spellEnd"/>
            <w:r w:rsidRPr="00D8075A">
              <w:rPr>
                <w:szCs w:val="18"/>
              </w:rPr>
              <w:t xml:space="preserve">, J. </w:t>
            </w:r>
            <w:proofErr w:type="spellStart"/>
            <w:r w:rsidRPr="00D8075A">
              <w:rPr>
                <w:szCs w:val="18"/>
              </w:rPr>
              <w:t>Espirito</w:t>
            </w:r>
            <w:proofErr w:type="spellEnd"/>
            <w:r w:rsidRPr="00D8075A">
              <w:rPr>
                <w:szCs w:val="18"/>
              </w:rPr>
              <w:t xml:space="preserve">, et al. (2017). “Real-world outcomes in patients with metastatic </w:t>
            </w:r>
            <w:proofErr w:type="spellStart"/>
            <w:r w:rsidRPr="00D8075A">
              <w:rPr>
                <w:szCs w:val="18"/>
              </w:rPr>
              <w:t>merkel</w:t>
            </w:r>
            <w:proofErr w:type="spellEnd"/>
            <w:r w:rsidRPr="00D8075A">
              <w:rPr>
                <w:szCs w:val="18"/>
              </w:rPr>
              <w:t xml:space="preserve"> cell carcinoma treated with first-line CTX in the united states: Results from a retrospective analysis.” </w:t>
            </w:r>
          </w:p>
          <w:p w:rsidR="00694239" w:rsidRPr="00D8075A" w:rsidRDefault="00694239" w:rsidP="006B1181">
            <w:pPr>
              <w:pStyle w:val="Tabletext"/>
              <w:rPr>
                <w:szCs w:val="18"/>
              </w:rPr>
            </w:pPr>
          </w:p>
        </w:tc>
        <w:tc>
          <w:tcPr>
            <w:tcW w:w="1177" w:type="pct"/>
            <w:tcBorders>
              <w:top w:val="nil"/>
              <w:bottom w:val="single" w:sz="4" w:space="0" w:color="auto"/>
            </w:tcBorders>
            <w:vAlign w:val="center"/>
          </w:tcPr>
          <w:p w:rsidR="00694239" w:rsidRPr="00D8075A" w:rsidRDefault="00694239" w:rsidP="006B1181">
            <w:pPr>
              <w:pStyle w:val="Tabletext"/>
              <w:rPr>
                <w:szCs w:val="18"/>
              </w:rPr>
            </w:pPr>
            <w:r w:rsidRPr="00D8075A">
              <w:rPr>
                <w:szCs w:val="18"/>
              </w:rPr>
              <w:t>Value in Health 20(5): A95. (</w:t>
            </w:r>
            <w:proofErr w:type="spellStart"/>
            <w:r w:rsidRPr="00D8075A">
              <w:rPr>
                <w:szCs w:val="18"/>
              </w:rPr>
              <w:t>Cowey</w:t>
            </w:r>
            <w:proofErr w:type="spellEnd"/>
            <w:r w:rsidRPr="00D8075A">
              <w:rPr>
                <w:szCs w:val="18"/>
              </w:rPr>
              <w:t xml:space="preserve"> et al. 2017)</w:t>
            </w:r>
          </w:p>
        </w:tc>
      </w:tr>
      <w:tr w:rsidR="00694239" w:rsidRPr="00D8075A" w:rsidTr="0083398B">
        <w:tc>
          <w:tcPr>
            <w:tcW w:w="796" w:type="pct"/>
            <w:tcBorders>
              <w:top w:val="nil"/>
              <w:bottom w:val="single" w:sz="4" w:space="0" w:color="auto"/>
            </w:tcBorders>
            <w:vAlign w:val="center"/>
          </w:tcPr>
          <w:p w:rsidR="00694239" w:rsidRPr="00D8075A" w:rsidRDefault="00694239" w:rsidP="006B1181">
            <w:pPr>
              <w:pStyle w:val="Tabletext"/>
            </w:pPr>
            <w:r w:rsidRPr="00D8075A">
              <w:t>Part B (Europe)– 2L+</w:t>
            </w:r>
          </w:p>
        </w:tc>
        <w:tc>
          <w:tcPr>
            <w:tcW w:w="3027" w:type="pct"/>
            <w:tcBorders>
              <w:top w:val="nil"/>
              <w:bottom w:val="single" w:sz="4" w:space="0" w:color="auto"/>
            </w:tcBorders>
            <w:vAlign w:val="center"/>
          </w:tcPr>
          <w:p w:rsidR="00694239" w:rsidRPr="00D8075A" w:rsidRDefault="00694239" w:rsidP="006B1181">
            <w:pPr>
              <w:pStyle w:val="Tabletext"/>
              <w:rPr>
                <w:szCs w:val="18"/>
              </w:rPr>
            </w:pPr>
            <w:r w:rsidRPr="00D8075A">
              <w:rPr>
                <w:szCs w:val="18"/>
              </w:rPr>
              <w:t xml:space="preserve">Becker, J. C., E. Lorenz, S. </w:t>
            </w:r>
            <w:proofErr w:type="spellStart"/>
            <w:r w:rsidRPr="00D8075A">
              <w:rPr>
                <w:szCs w:val="18"/>
              </w:rPr>
              <w:t>Ugurel</w:t>
            </w:r>
            <w:proofErr w:type="spellEnd"/>
            <w:r w:rsidRPr="00D8075A">
              <w:rPr>
                <w:szCs w:val="18"/>
              </w:rPr>
              <w:t>, et al. (2017). Evaluation of real-world treatment outcomes in patients with distant metastatic Merkel cell carcinoma following second-line chemotherapy in Europe.</w:t>
            </w:r>
          </w:p>
          <w:p w:rsidR="00694239" w:rsidRPr="00D8075A" w:rsidRDefault="00694239" w:rsidP="006B1181">
            <w:pPr>
              <w:pStyle w:val="Tabletext"/>
              <w:rPr>
                <w:szCs w:val="18"/>
              </w:rPr>
            </w:pPr>
          </w:p>
        </w:tc>
        <w:tc>
          <w:tcPr>
            <w:tcW w:w="1177" w:type="pct"/>
            <w:tcBorders>
              <w:top w:val="nil"/>
              <w:bottom w:val="single" w:sz="4" w:space="0" w:color="auto"/>
            </w:tcBorders>
            <w:vAlign w:val="center"/>
          </w:tcPr>
          <w:p w:rsidR="00694239" w:rsidRPr="00D8075A" w:rsidRDefault="00694239" w:rsidP="006B1181">
            <w:pPr>
              <w:pStyle w:val="Tabletext"/>
              <w:rPr>
                <w:szCs w:val="18"/>
              </w:rPr>
            </w:pPr>
            <w:proofErr w:type="spellStart"/>
            <w:r w:rsidRPr="00D8075A">
              <w:rPr>
                <w:szCs w:val="18"/>
              </w:rPr>
              <w:t>Oncotarget</w:t>
            </w:r>
            <w:proofErr w:type="spellEnd"/>
            <w:r w:rsidRPr="00D8075A">
              <w:rPr>
                <w:szCs w:val="18"/>
              </w:rPr>
              <w:t xml:space="preserve"> 8(45): 79731-79741. (Becker et al. 2017)</w:t>
            </w:r>
          </w:p>
        </w:tc>
      </w:tr>
      <w:tr w:rsidR="00694239" w:rsidRPr="00D8075A" w:rsidTr="0083398B">
        <w:tc>
          <w:tcPr>
            <w:tcW w:w="796" w:type="pct"/>
            <w:tcBorders>
              <w:top w:val="nil"/>
              <w:bottom w:val="single" w:sz="4" w:space="0" w:color="auto"/>
            </w:tcBorders>
          </w:tcPr>
          <w:p w:rsidR="00694239" w:rsidRPr="00D8075A" w:rsidRDefault="00694239" w:rsidP="006B1181">
            <w:pPr>
              <w:pStyle w:val="Tabletext"/>
            </w:pPr>
            <w:r w:rsidRPr="00D8075A">
              <w:t>(</w:t>
            </w:r>
            <w:proofErr w:type="spellStart"/>
            <w:r w:rsidRPr="00D8075A">
              <w:t>Iyer</w:t>
            </w:r>
            <w:proofErr w:type="spellEnd"/>
            <w:r w:rsidRPr="00D8075A">
              <w:t xml:space="preserve"> et al. 2016) – 1L +2L+</w:t>
            </w:r>
          </w:p>
        </w:tc>
        <w:tc>
          <w:tcPr>
            <w:tcW w:w="3027" w:type="pct"/>
            <w:tcBorders>
              <w:top w:val="nil"/>
              <w:bottom w:val="single" w:sz="4" w:space="0" w:color="auto"/>
            </w:tcBorders>
          </w:tcPr>
          <w:p w:rsidR="00694239" w:rsidRPr="00D8075A" w:rsidRDefault="00694239" w:rsidP="006B1181">
            <w:pPr>
              <w:pStyle w:val="Tabletext"/>
            </w:pPr>
            <w:proofErr w:type="spellStart"/>
            <w:r w:rsidRPr="00D8075A">
              <w:t>Iyer</w:t>
            </w:r>
            <w:proofErr w:type="spellEnd"/>
            <w:r w:rsidRPr="00D8075A">
              <w:t xml:space="preserve">, J. G., A. </w:t>
            </w:r>
            <w:proofErr w:type="spellStart"/>
            <w:r w:rsidRPr="00D8075A">
              <w:t>Blom</w:t>
            </w:r>
            <w:proofErr w:type="spellEnd"/>
            <w:r w:rsidRPr="00D8075A">
              <w:t xml:space="preserve">, R. Doumani, et al. (2016). Response rates and durability of CTX among 62 patients with metastatic Merkel cell carcinoma. </w:t>
            </w:r>
          </w:p>
          <w:p w:rsidR="00694239" w:rsidRPr="00D8075A" w:rsidRDefault="00694239" w:rsidP="006B1181">
            <w:pPr>
              <w:pStyle w:val="Tabletext"/>
              <w:rPr>
                <w:szCs w:val="18"/>
              </w:rPr>
            </w:pPr>
          </w:p>
        </w:tc>
        <w:tc>
          <w:tcPr>
            <w:tcW w:w="1177" w:type="pct"/>
            <w:tcBorders>
              <w:top w:val="nil"/>
              <w:bottom w:val="single" w:sz="4" w:space="0" w:color="auto"/>
            </w:tcBorders>
            <w:vAlign w:val="center"/>
          </w:tcPr>
          <w:p w:rsidR="00694239" w:rsidRPr="00D8075A" w:rsidRDefault="00694239" w:rsidP="006B1181">
            <w:pPr>
              <w:pStyle w:val="Tabletext"/>
              <w:rPr>
                <w:szCs w:val="18"/>
              </w:rPr>
            </w:pPr>
            <w:r w:rsidRPr="00D8075A">
              <w:t>Cancer Medicine 5(9): 2294-2301.</w:t>
            </w:r>
          </w:p>
        </w:tc>
      </w:tr>
    </w:tbl>
    <w:p w:rsidR="00665A53" w:rsidRPr="00D8075A" w:rsidRDefault="00661716" w:rsidP="00661716">
      <w:pPr>
        <w:pStyle w:val="TableFooter"/>
      </w:pPr>
      <w:r w:rsidRPr="00D8075A">
        <w:t>Source: Table 2.2.1, p39-41 of the submission.</w:t>
      </w:r>
    </w:p>
    <w:p w:rsidR="00694239" w:rsidRPr="00D8075A" w:rsidRDefault="00694239" w:rsidP="00C3432B">
      <w:pPr>
        <w:pStyle w:val="ListParagraph"/>
        <w:numPr>
          <w:ilvl w:val="1"/>
          <w:numId w:val="1"/>
        </w:numPr>
        <w:spacing w:before="120"/>
      </w:pPr>
      <w:r w:rsidRPr="00D8075A">
        <w:t xml:space="preserve">The key features of the studies are summarised in the table below. </w:t>
      </w:r>
    </w:p>
    <w:p w:rsidR="00694239" w:rsidRPr="00D8075A" w:rsidRDefault="00694239" w:rsidP="00043E3E">
      <w:pPr>
        <w:pStyle w:val="TableHeading"/>
        <w:keepLines/>
      </w:pPr>
      <w:r w:rsidRPr="00D8075A">
        <w:t>Table 3: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Description w:val="Table 3: Key features of the included evidence"/>
      </w:tblPr>
      <w:tblGrid>
        <w:gridCol w:w="1295"/>
        <w:gridCol w:w="846"/>
        <w:gridCol w:w="1420"/>
        <w:gridCol w:w="1128"/>
        <w:gridCol w:w="1557"/>
        <w:gridCol w:w="1130"/>
        <w:gridCol w:w="1706"/>
      </w:tblGrid>
      <w:tr w:rsidR="00694239" w:rsidRPr="00D8075A" w:rsidTr="0083398B">
        <w:trPr>
          <w:tblHeader/>
        </w:trPr>
        <w:tc>
          <w:tcPr>
            <w:tcW w:w="713" w:type="pct"/>
            <w:shd w:val="clear" w:color="auto" w:fill="auto"/>
            <w:vAlign w:val="center"/>
          </w:tcPr>
          <w:p w:rsidR="00694239" w:rsidRPr="00D8075A" w:rsidRDefault="00694239" w:rsidP="00043E3E">
            <w:pPr>
              <w:keepNext/>
              <w:keepLines/>
              <w:widowControl/>
              <w:jc w:val="left"/>
              <w:rPr>
                <w:rFonts w:ascii="Arial Narrow" w:hAnsi="Arial Narrow" w:cs="Times New Roman"/>
                <w:b/>
                <w:snapToGrid/>
                <w:sz w:val="20"/>
              </w:rPr>
            </w:pPr>
            <w:r w:rsidRPr="00D8075A">
              <w:rPr>
                <w:rFonts w:ascii="Arial Narrow" w:hAnsi="Arial Narrow" w:cs="Times New Roman"/>
                <w:b/>
                <w:snapToGrid/>
                <w:sz w:val="20"/>
              </w:rPr>
              <w:t>Trial</w:t>
            </w:r>
          </w:p>
        </w:tc>
        <w:tc>
          <w:tcPr>
            <w:tcW w:w="466" w:type="pct"/>
            <w:shd w:val="clear" w:color="auto" w:fill="auto"/>
            <w:vAlign w:val="center"/>
          </w:tcPr>
          <w:p w:rsidR="00694239" w:rsidRPr="00D8075A" w:rsidRDefault="00694239" w:rsidP="00043E3E">
            <w:pPr>
              <w:keepNext/>
              <w:keepLines/>
              <w:widowControl/>
              <w:jc w:val="center"/>
              <w:rPr>
                <w:rFonts w:ascii="Arial Narrow" w:hAnsi="Arial Narrow" w:cs="Times New Roman"/>
                <w:b/>
                <w:snapToGrid/>
                <w:sz w:val="20"/>
              </w:rPr>
            </w:pPr>
            <w:r w:rsidRPr="00D8075A">
              <w:rPr>
                <w:rFonts w:ascii="Arial Narrow" w:hAnsi="Arial Narrow" w:cs="Times New Roman"/>
                <w:b/>
                <w:snapToGrid/>
                <w:sz w:val="20"/>
              </w:rPr>
              <w:t>N</w:t>
            </w:r>
          </w:p>
        </w:tc>
        <w:tc>
          <w:tcPr>
            <w:tcW w:w="782" w:type="pct"/>
            <w:shd w:val="clear" w:color="auto" w:fill="auto"/>
            <w:vAlign w:val="center"/>
          </w:tcPr>
          <w:p w:rsidR="00694239" w:rsidRPr="00D8075A" w:rsidRDefault="00694239" w:rsidP="00043E3E">
            <w:pPr>
              <w:keepNext/>
              <w:keepLines/>
              <w:widowControl/>
              <w:jc w:val="center"/>
              <w:rPr>
                <w:rFonts w:ascii="Arial Narrow" w:hAnsi="Arial Narrow" w:cs="Times New Roman"/>
                <w:b/>
                <w:snapToGrid/>
                <w:sz w:val="20"/>
              </w:rPr>
            </w:pPr>
            <w:r w:rsidRPr="00D8075A">
              <w:rPr>
                <w:rFonts w:ascii="Arial Narrow" w:hAnsi="Arial Narrow" w:cs="Times New Roman"/>
                <w:b/>
                <w:snapToGrid/>
                <w:sz w:val="20"/>
              </w:rPr>
              <w:t>Design/ duration</w:t>
            </w:r>
          </w:p>
        </w:tc>
        <w:tc>
          <w:tcPr>
            <w:tcW w:w="621" w:type="pct"/>
            <w:shd w:val="clear" w:color="auto" w:fill="auto"/>
            <w:vAlign w:val="center"/>
          </w:tcPr>
          <w:p w:rsidR="00694239" w:rsidRPr="00D8075A" w:rsidRDefault="00694239" w:rsidP="00043E3E">
            <w:pPr>
              <w:keepNext/>
              <w:keepLines/>
              <w:widowControl/>
              <w:jc w:val="center"/>
              <w:rPr>
                <w:rFonts w:ascii="Arial Narrow" w:hAnsi="Arial Narrow" w:cs="Times New Roman"/>
                <w:b/>
                <w:snapToGrid/>
                <w:sz w:val="20"/>
              </w:rPr>
            </w:pPr>
            <w:r w:rsidRPr="00D8075A">
              <w:rPr>
                <w:rFonts w:ascii="Arial Narrow" w:hAnsi="Arial Narrow" w:cs="Times New Roman"/>
                <w:b/>
                <w:snapToGrid/>
                <w:sz w:val="20"/>
              </w:rPr>
              <w:t>Risk of bias</w:t>
            </w:r>
          </w:p>
        </w:tc>
        <w:tc>
          <w:tcPr>
            <w:tcW w:w="857" w:type="pct"/>
            <w:shd w:val="clear" w:color="auto" w:fill="auto"/>
            <w:vAlign w:val="center"/>
          </w:tcPr>
          <w:p w:rsidR="00694239" w:rsidRPr="00D8075A" w:rsidRDefault="00694239" w:rsidP="00043E3E">
            <w:pPr>
              <w:keepNext/>
              <w:keepLines/>
              <w:widowControl/>
              <w:jc w:val="center"/>
              <w:rPr>
                <w:rFonts w:ascii="Arial Narrow" w:hAnsi="Arial Narrow" w:cs="Times New Roman"/>
                <w:b/>
                <w:snapToGrid/>
                <w:sz w:val="20"/>
              </w:rPr>
            </w:pPr>
            <w:r w:rsidRPr="00D8075A">
              <w:rPr>
                <w:rFonts w:ascii="Arial Narrow" w:hAnsi="Arial Narrow" w:cs="Times New Roman"/>
                <w:b/>
                <w:snapToGrid/>
                <w:sz w:val="20"/>
              </w:rPr>
              <w:t>Patient population</w:t>
            </w:r>
          </w:p>
        </w:tc>
        <w:tc>
          <w:tcPr>
            <w:tcW w:w="622" w:type="pct"/>
            <w:shd w:val="clear" w:color="auto" w:fill="auto"/>
            <w:vAlign w:val="center"/>
          </w:tcPr>
          <w:p w:rsidR="00694239" w:rsidRPr="00D8075A" w:rsidRDefault="00694239" w:rsidP="00043E3E">
            <w:pPr>
              <w:keepNext/>
              <w:keepLines/>
              <w:widowControl/>
              <w:jc w:val="center"/>
              <w:rPr>
                <w:rFonts w:ascii="Arial Narrow" w:hAnsi="Arial Narrow" w:cs="Times New Roman"/>
                <w:b/>
                <w:snapToGrid/>
                <w:sz w:val="20"/>
              </w:rPr>
            </w:pPr>
            <w:r w:rsidRPr="00D8075A">
              <w:rPr>
                <w:rFonts w:ascii="Arial Narrow" w:hAnsi="Arial Narrow" w:cs="Times New Roman"/>
                <w:b/>
                <w:snapToGrid/>
                <w:sz w:val="20"/>
              </w:rPr>
              <w:t>Outcome(s)</w:t>
            </w:r>
          </w:p>
        </w:tc>
        <w:tc>
          <w:tcPr>
            <w:tcW w:w="939" w:type="pct"/>
            <w:shd w:val="clear" w:color="auto" w:fill="auto"/>
            <w:vAlign w:val="center"/>
          </w:tcPr>
          <w:p w:rsidR="00694239" w:rsidRPr="00D8075A" w:rsidRDefault="00694239" w:rsidP="00043E3E">
            <w:pPr>
              <w:keepNext/>
              <w:keepLines/>
              <w:widowControl/>
              <w:jc w:val="center"/>
              <w:rPr>
                <w:rFonts w:ascii="Arial Narrow" w:hAnsi="Arial Narrow" w:cs="Times New Roman"/>
                <w:b/>
                <w:snapToGrid/>
                <w:sz w:val="20"/>
              </w:rPr>
            </w:pPr>
            <w:r w:rsidRPr="00D8075A">
              <w:rPr>
                <w:rFonts w:ascii="Arial Narrow" w:hAnsi="Arial Narrow" w:cs="Times New Roman"/>
                <w:b/>
                <w:snapToGrid/>
                <w:sz w:val="20"/>
              </w:rPr>
              <w:t>Use in modelled evaluation</w:t>
            </w:r>
          </w:p>
        </w:tc>
      </w:tr>
      <w:tr w:rsidR="00694239" w:rsidRPr="00D8075A" w:rsidTr="0083398B">
        <w:tc>
          <w:tcPr>
            <w:tcW w:w="5000" w:type="pct"/>
            <w:gridSpan w:val="7"/>
            <w:shd w:val="clear" w:color="auto" w:fill="auto"/>
            <w:vAlign w:val="center"/>
          </w:tcPr>
          <w:p w:rsidR="00694239" w:rsidRPr="00D8075A" w:rsidRDefault="00661716" w:rsidP="00043E3E">
            <w:pPr>
              <w:keepNext/>
              <w:keepLines/>
              <w:widowControl/>
              <w:jc w:val="left"/>
              <w:rPr>
                <w:rFonts w:ascii="Arial Narrow" w:hAnsi="Arial Narrow" w:cs="Times New Roman"/>
                <w:b/>
                <w:snapToGrid/>
                <w:sz w:val="20"/>
              </w:rPr>
            </w:pPr>
            <w:r w:rsidRPr="00D8075A">
              <w:rPr>
                <w:rFonts w:ascii="Arial Narrow" w:hAnsi="Arial Narrow" w:cs="Times New Roman"/>
                <w:b/>
                <w:snapToGrid/>
                <w:sz w:val="20"/>
              </w:rPr>
              <w:t>A</w:t>
            </w:r>
            <w:r w:rsidR="00694239" w:rsidRPr="00D8075A">
              <w:rPr>
                <w:rFonts w:ascii="Arial Narrow" w:hAnsi="Arial Narrow" w:cs="Times New Roman"/>
                <w:b/>
                <w:snapToGrid/>
                <w:sz w:val="20"/>
              </w:rPr>
              <w:t>velumab</w:t>
            </w:r>
          </w:p>
        </w:tc>
      </w:tr>
      <w:tr w:rsidR="00694239" w:rsidRPr="00D8075A" w:rsidTr="0083398B">
        <w:tc>
          <w:tcPr>
            <w:tcW w:w="713" w:type="pct"/>
            <w:shd w:val="clear" w:color="auto" w:fill="auto"/>
            <w:vAlign w:val="center"/>
          </w:tcPr>
          <w:p w:rsidR="00694239" w:rsidRPr="00D8075A" w:rsidRDefault="00694239" w:rsidP="00043E3E">
            <w:pPr>
              <w:keepNext/>
              <w:keepLines/>
              <w:widowControl/>
              <w:jc w:val="left"/>
              <w:rPr>
                <w:rFonts w:ascii="Arial Narrow" w:hAnsi="Arial Narrow" w:cs="Times New Roman"/>
                <w:snapToGrid/>
                <w:sz w:val="20"/>
              </w:rPr>
            </w:pPr>
            <w:r w:rsidRPr="00D8075A">
              <w:rPr>
                <w:rFonts w:ascii="Arial Narrow" w:hAnsi="Arial Narrow" w:cs="Times New Roman"/>
                <w:snapToGrid/>
                <w:sz w:val="20"/>
              </w:rPr>
              <w:t>JAVELIN Merkel 200 Part A – 2L</w:t>
            </w:r>
          </w:p>
        </w:tc>
        <w:tc>
          <w:tcPr>
            <w:tcW w:w="466"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88</w:t>
            </w:r>
          </w:p>
        </w:tc>
        <w:tc>
          <w:tcPr>
            <w:tcW w:w="782"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OL, SA</w:t>
            </w:r>
          </w:p>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18 months follow-up</w:t>
            </w:r>
          </w:p>
        </w:tc>
        <w:tc>
          <w:tcPr>
            <w:tcW w:w="621"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High</w:t>
            </w:r>
          </w:p>
        </w:tc>
        <w:tc>
          <w:tcPr>
            <w:tcW w:w="857"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Failed chemotherapy</w:t>
            </w:r>
          </w:p>
        </w:tc>
        <w:tc>
          <w:tcPr>
            <w:tcW w:w="622"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ORR, PFS, OS</w:t>
            </w:r>
          </w:p>
        </w:tc>
        <w:tc>
          <w:tcPr>
            <w:tcW w:w="939"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PFS, OS</w:t>
            </w:r>
          </w:p>
        </w:tc>
      </w:tr>
      <w:tr w:rsidR="00694239" w:rsidRPr="00D8075A" w:rsidTr="0083398B">
        <w:tc>
          <w:tcPr>
            <w:tcW w:w="713" w:type="pct"/>
            <w:shd w:val="clear" w:color="auto" w:fill="auto"/>
            <w:vAlign w:val="center"/>
          </w:tcPr>
          <w:p w:rsidR="00694239" w:rsidRPr="00D8075A" w:rsidRDefault="00694239" w:rsidP="00043E3E">
            <w:pPr>
              <w:keepNext/>
              <w:keepLines/>
              <w:widowControl/>
              <w:jc w:val="left"/>
              <w:rPr>
                <w:rFonts w:ascii="Arial Narrow" w:hAnsi="Arial Narrow" w:cs="Times New Roman"/>
                <w:snapToGrid/>
                <w:sz w:val="20"/>
              </w:rPr>
            </w:pPr>
            <w:r w:rsidRPr="00D8075A">
              <w:rPr>
                <w:rFonts w:ascii="Arial Narrow" w:hAnsi="Arial Narrow" w:cs="Times New Roman"/>
                <w:snapToGrid/>
                <w:sz w:val="20"/>
              </w:rPr>
              <w:t>JAVELIN Merkel 200 Part B – 1L</w:t>
            </w:r>
          </w:p>
        </w:tc>
        <w:tc>
          <w:tcPr>
            <w:tcW w:w="466"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50</w:t>
            </w:r>
          </w:p>
        </w:tc>
        <w:tc>
          <w:tcPr>
            <w:tcW w:w="782"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OL, SA</w:t>
            </w:r>
          </w:p>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3 months follow-up</w:t>
            </w:r>
          </w:p>
        </w:tc>
        <w:tc>
          <w:tcPr>
            <w:tcW w:w="621"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High</w:t>
            </w:r>
          </w:p>
        </w:tc>
        <w:tc>
          <w:tcPr>
            <w:tcW w:w="857"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Treatment naïve</w:t>
            </w:r>
          </w:p>
        </w:tc>
        <w:tc>
          <w:tcPr>
            <w:tcW w:w="622"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ORR, PFS, OS</w:t>
            </w:r>
          </w:p>
        </w:tc>
        <w:tc>
          <w:tcPr>
            <w:tcW w:w="939"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1L was not modelled</w:t>
            </w:r>
          </w:p>
        </w:tc>
      </w:tr>
      <w:tr w:rsidR="00694239" w:rsidRPr="00D8075A" w:rsidTr="0083398B">
        <w:tc>
          <w:tcPr>
            <w:tcW w:w="5000" w:type="pct"/>
            <w:gridSpan w:val="7"/>
            <w:shd w:val="clear" w:color="auto" w:fill="auto"/>
            <w:vAlign w:val="center"/>
          </w:tcPr>
          <w:p w:rsidR="00694239" w:rsidRPr="00D8075A" w:rsidRDefault="00661716" w:rsidP="00043E3E">
            <w:pPr>
              <w:keepNext/>
              <w:keepLines/>
              <w:widowControl/>
              <w:jc w:val="left"/>
              <w:rPr>
                <w:rFonts w:ascii="Arial Narrow" w:hAnsi="Arial Narrow" w:cs="Times New Roman"/>
                <w:snapToGrid/>
                <w:sz w:val="20"/>
              </w:rPr>
            </w:pPr>
            <w:r w:rsidRPr="00D8075A">
              <w:rPr>
                <w:rFonts w:ascii="Arial Narrow" w:hAnsi="Arial Narrow" w:cs="Times New Roman"/>
                <w:b/>
                <w:snapToGrid/>
                <w:sz w:val="20"/>
              </w:rPr>
              <w:t>C</w:t>
            </w:r>
            <w:r w:rsidR="00694239" w:rsidRPr="00D8075A">
              <w:rPr>
                <w:rFonts w:ascii="Arial Narrow" w:hAnsi="Arial Narrow" w:cs="Times New Roman"/>
                <w:b/>
                <w:snapToGrid/>
                <w:sz w:val="20"/>
              </w:rPr>
              <w:t>hemotherapy</w:t>
            </w:r>
          </w:p>
        </w:tc>
      </w:tr>
      <w:tr w:rsidR="00694239" w:rsidRPr="00D8075A" w:rsidTr="0083398B">
        <w:tc>
          <w:tcPr>
            <w:tcW w:w="713" w:type="pct"/>
            <w:shd w:val="clear" w:color="auto" w:fill="auto"/>
            <w:vAlign w:val="center"/>
          </w:tcPr>
          <w:p w:rsidR="00694239" w:rsidRPr="00D8075A" w:rsidRDefault="00694239" w:rsidP="00043E3E">
            <w:pPr>
              <w:keepNext/>
              <w:keepLines/>
              <w:widowControl/>
              <w:jc w:val="left"/>
              <w:rPr>
                <w:rFonts w:ascii="Arial Narrow" w:hAnsi="Arial Narrow" w:cs="Times New Roman"/>
                <w:snapToGrid/>
                <w:sz w:val="20"/>
              </w:rPr>
            </w:pPr>
            <w:r w:rsidRPr="00D8075A">
              <w:rPr>
                <w:rFonts w:ascii="Arial Narrow" w:hAnsi="Arial Narrow" w:cs="Times New Roman"/>
                <w:snapToGrid/>
                <w:sz w:val="20"/>
              </w:rPr>
              <w:t>Study Obs001 Part A – 1L &amp; 2L</w:t>
            </w:r>
          </w:p>
        </w:tc>
        <w:tc>
          <w:tcPr>
            <w:tcW w:w="466"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14</w:t>
            </w:r>
          </w:p>
        </w:tc>
        <w:tc>
          <w:tcPr>
            <w:tcW w:w="782"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RC*, OL, SA</w:t>
            </w:r>
          </w:p>
        </w:tc>
        <w:tc>
          <w:tcPr>
            <w:tcW w:w="621"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High</w:t>
            </w:r>
          </w:p>
        </w:tc>
        <w:tc>
          <w:tcPr>
            <w:tcW w:w="857"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Treatment naïve (1L)</w:t>
            </w:r>
          </w:p>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Failed chemotherapy (2L)</w:t>
            </w:r>
          </w:p>
        </w:tc>
        <w:tc>
          <w:tcPr>
            <w:tcW w:w="622"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ORR, PFS, OS</w:t>
            </w:r>
          </w:p>
        </w:tc>
        <w:tc>
          <w:tcPr>
            <w:tcW w:w="939"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PFS, OS</w:t>
            </w:r>
          </w:p>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1L was not modelled</w:t>
            </w:r>
          </w:p>
        </w:tc>
      </w:tr>
      <w:tr w:rsidR="00694239" w:rsidRPr="00D8075A" w:rsidTr="0083398B">
        <w:tc>
          <w:tcPr>
            <w:tcW w:w="713" w:type="pct"/>
            <w:shd w:val="clear" w:color="auto" w:fill="auto"/>
            <w:vAlign w:val="center"/>
          </w:tcPr>
          <w:p w:rsidR="00694239" w:rsidRPr="00D8075A" w:rsidRDefault="00694239" w:rsidP="00043E3E">
            <w:pPr>
              <w:keepNext/>
              <w:keepLines/>
              <w:widowControl/>
              <w:jc w:val="left"/>
              <w:rPr>
                <w:rFonts w:ascii="Arial Narrow" w:hAnsi="Arial Narrow" w:cs="Times New Roman"/>
                <w:snapToGrid/>
                <w:sz w:val="20"/>
              </w:rPr>
            </w:pPr>
            <w:r w:rsidRPr="00D8075A">
              <w:rPr>
                <w:rFonts w:ascii="Arial Narrow" w:hAnsi="Arial Narrow" w:cs="Times New Roman"/>
                <w:snapToGrid/>
                <w:sz w:val="20"/>
              </w:rPr>
              <w:t>Study Obs001 Part B – 2L</w:t>
            </w:r>
          </w:p>
        </w:tc>
        <w:tc>
          <w:tcPr>
            <w:tcW w:w="466"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29</w:t>
            </w:r>
          </w:p>
        </w:tc>
        <w:tc>
          <w:tcPr>
            <w:tcW w:w="782"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RC*, OL, SA</w:t>
            </w:r>
          </w:p>
        </w:tc>
        <w:tc>
          <w:tcPr>
            <w:tcW w:w="621"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High</w:t>
            </w:r>
          </w:p>
        </w:tc>
        <w:tc>
          <w:tcPr>
            <w:tcW w:w="857"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Failed chemotherapy (2L)</w:t>
            </w:r>
          </w:p>
        </w:tc>
        <w:tc>
          <w:tcPr>
            <w:tcW w:w="622"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ORR, PFS, OS</w:t>
            </w:r>
          </w:p>
        </w:tc>
        <w:tc>
          <w:tcPr>
            <w:tcW w:w="939"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PFS, OS</w:t>
            </w:r>
          </w:p>
        </w:tc>
      </w:tr>
      <w:tr w:rsidR="00694239" w:rsidRPr="00D8075A" w:rsidTr="0083398B">
        <w:tc>
          <w:tcPr>
            <w:tcW w:w="713" w:type="pct"/>
            <w:shd w:val="clear" w:color="auto" w:fill="auto"/>
            <w:vAlign w:val="center"/>
          </w:tcPr>
          <w:p w:rsidR="00694239" w:rsidRPr="00D8075A" w:rsidRDefault="00694239" w:rsidP="00043E3E">
            <w:pPr>
              <w:keepNext/>
              <w:keepLines/>
              <w:widowControl/>
              <w:jc w:val="left"/>
              <w:rPr>
                <w:rFonts w:ascii="Arial Narrow" w:hAnsi="Arial Narrow" w:cs="Times New Roman"/>
                <w:snapToGrid/>
                <w:sz w:val="20"/>
              </w:rPr>
            </w:pPr>
            <w:proofErr w:type="spellStart"/>
            <w:r w:rsidRPr="00D8075A">
              <w:rPr>
                <w:rFonts w:ascii="Arial Narrow" w:hAnsi="Arial Narrow" w:cs="Times New Roman"/>
                <w:snapToGrid/>
                <w:sz w:val="20"/>
              </w:rPr>
              <w:t>Iyer</w:t>
            </w:r>
            <w:proofErr w:type="spellEnd"/>
            <w:r w:rsidRPr="00D8075A">
              <w:rPr>
                <w:rFonts w:ascii="Arial Narrow" w:hAnsi="Arial Narrow" w:cs="Times New Roman"/>
                <w:snapToGrid/>
                <w:sz w:val="20"/>
              </w:rPr>
              <w:t xml:space="preserve"> 2016 – 1L &amp; 2L</w:t>
            </w:r>
          </w:p>
        </w:tc>
        <w:tc>
          <w:tcPr>
            <w:tcW w:w="466"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30</w:t>
            </w:r>
          </w:p>
        </w:tc>
        <w:tc>
          <w:tcPr>
            <w:tcW w:w="782"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RC*, OL, SA</w:t>
            </w:r>
          </w:p>
        </w:tc>
        <w:tc>
          <w:tcPr>
            <w:tcW w:w="621"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High</w:t>
            </w:r>
          </w:p>
        </w:tc>
        <w:tc>
          <w:tcPr>
            <w:tcW w:w="857"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Treatment naïve (1L)</w:t>
            </w:r>
          </w:p>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Failed chemotherapy (2L)</w:t>
            </w:r>
          </w:p>
        </w:tc>
        <w:tc>
          <w:tcPr>
            <w:tcW w:w="622"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ORR, PFS, OS</w:t>
            </w:r>
          </w:p>
        </w:tc>
        <w:tc>
          <w:tcPr>
            <w:tcW w:w="939" w:type="pct"/>
            <w:shd w:val="clear" w:color="auto" w:fill="auto"/>
            <w:vAlign w:val="center"/>
          </w:tcPr>
          <w:p w:rsidR="00694239" w:rsidRPr="00D8075A" w:rsidRDefault="00694239" w:rsidP="00043E3E">
            <w:pPr>
              <w:keepNext/>
              <w:keepLines/>
              <w:widowControl/>
              <w:jc w:val="center"/>
              <w:rPr>
                <w:rFonts w:ascii="Arial Narrow" w:hAnsi="Arial Narrow" w:cs="Times New Roman"/>
                <w:snapToGrid/>
                <w:sz w:val="20"/>
              </w:rPr>
            </w:pPr>
            <w:r w:rsidRPr="00D8075A">
              <w:rPr>
                <w:rFonts w:ascii="Arial Narrow" w:hAnsi="Arial Narrow" w:cs="Times New Roman"/>
                <w:snapToGrid/>
                <w:sz w:val="20"/>
              </w:rPr>
              <w:t>PFS, OS</w:t>
            </w:r>
          </w:p>
        </w:tc>
      </w:tr>
    </w:tbl>
    <w:p w:rsidR="00694239" w:rsidRPr="00D8075A" w:rsidRDefault="00694239" w:rsidP="00043E3E">
      <w:pPr>
        <w:keepNext/>
        <w:keepLines/>
        <w:rPr>
          <w:rFonts w:ascii="Arial Narrow" w:hAnsi="Arial Narrow"/>
          <w:sz w:val="18"/>
        </w:rPr>
      </w:pPr>
      <w:r w:rsidRPr="00D8075A">
        <w:rPr>
          <w:rFonts w:ascii="Arial Narrow" w:hAnsi="Arial Narrow"/>
          <w:sz w:val="18"/>
        </w:rPr>
        <w:t xml:space="preserve">2L: </w:t>
      </w:r>
      <w:r w:rsidR="00A51F00" w:rsidRPr="00D8075A">
        <w:rPr>
          <w:rFonts w:ascii="Arial Narrow" w:hAnsi="Arial Narrow"/>
          <w:sz w:val="18"/>
        </w:rPr>
        <w:t>second-line</w:t>
      </w:r>
      <w:r w:rsidRPr="00D8075A">
        <w:rPr>
          <w:rFonts w:ascii="Arial Narrow" w:hAnsi="Arial Narrow"/>
          <w:sz w:val="18"/>
        </w:rPr>
        <w:t>; OL</w:t>
      </w:r>
      <w:r w:rsidR="00446210" w:rsidRPr="00D8075A">
        <w:rPr>
          <w:rFonts w:ascii="Arial Narrow" w:hAnsi="Arial Narrow"/>
          <w:sz w:val="18"/>
        </w:rPr>
        <w:t xml:space="preserve">: </w:t>
      </w:r>
      <w:r w:rsidRPr="00D8075A">
        <w:rPr>
          <w:rFonts w:ascii="Arial Narrow" w:hAnsi="Arial Narrow"/>
          <w:sz w:val="18"/>
        </w:rPr>
        <w:t xml:space="preserve">open label; SA: single arm; ORR: overall response rate; PFS: progression free survival; OS: overall survival; 1L: </w:t>
      </w:r>
      <w:r w:rsidR="00F05D9E" w:rsidRPr="00D8075A">
        <w:rPr>
          <w:rFonts w:ascii="Arial Narrow" w:hAnsi="Arial Narrow"/>
          <w:sz w:val="18"/>
        </w:rPr>
        <w:t>first-line</w:t>
      </w:r>
      <w:r w:rsidRPr="00D8075A">
        <w:rPr>
          <w:rFonts w:ascii="Arial Narrow" w:hAnsi="Arial Narrow"/>
          <w:sz w:val="18"/>
        </w:rPr>
        <w:t>; RC: retrospective cohort; MC</w:t>
      </w:r>
      <w:r w:rsidR="00446210" w:rsidRPr="00D8075A">
        <w:rPr>
          <w:rFonts w:ascii="Arial Narrow" w:hAnsi="Arial Narrow"/>
          <w:sz w:val="18"/>
        </w:rPr>
        <w:t xml:space="preserve">: </w:t>
      </w:r>
      <w:r w:rsidRPr="00D8075A">
        <w:rPr>
          <w:rFonts w:ascii="Arial Narrow" w:hAnsi="Arial Narrow"/>
          <w:sz w:val="18"/>
        </w:rPr>
        <w:t>multi-centre; OS</w:t>
      </w:r>
      <w:r w:rsidR="00446210" w:rsidRPr="00D8075A">
        <w:rPr>
          <w:rFonts w:ascii="Arial Narrow" w:hAnsi="Arial Narrow"/>
          <w:sz w:val="18"/>
        </w:rPr>
        <w:t xml:space="preserve">: </w:t>
      </w:r>
      <w:r w:rsidRPr="00D8075A">
        <w:rPr>
          <w:rFonts w:ascii="Arial Narrow" w:hAnsi="Arial Narrow"/>
          <w:sz w:val="18"/>
        </w:rPr>
        <w:t>overall survival; PFS</w:t>
      </w:r>
      <w:r w:rsidR="00446210" w:rsidRPr="00D8075A">
        <w:rPr>
          <w:rFonts w:ascii="Arial Narrow" w:hAnsi="Arial Narrow"/>
          <w:sz w:val="18"/>
        </w:rPr>
        <w:t xml:space="preserve">: </w:t>
      </w:r>
      <w:r w:rsidRPr="00D8075A">
        <w:rPr>
          <w:rFonts w:ascii="Arial Narrow" w:hAnsi="Arial Narrow"/>
          <w:sz w:val="18"/>
        </w:rPr>
        <w:t>progression-free survival; R</w:t>
      </w:r>
      <w:r w:rsidR="00446210" w:rsidRPr="00D8075A">
        <w:rPr>
          <w:rFonts w:ascii="Arial Narrow" w:hAnsi="Arial Narrow"/>
          <w:sz w:val="18"/>
        </w:rPr>
        <w:t xml:space="preserve">: </w:t>
      </w:r>
      <w:r w:rsidRPr="00D8075A">
        <w:rPr>
          <w:rFonts w:ascii="Arial Narrow" w:hAnsi="Arial Narrow"/>
          <w:sz w:val="18"/>
        </w:rPr>
        <w:t>randomised.</w:t>
      </w:r>
    </w:p>
    <w:p w:rsidR="00694239" w:rsidRPr="00D8075A" w:rsidRDefault="00694239" w:rsidP="00043E3E">
      <w:pPr>
        <w:keepNext/>
        <w:keepLines/>
        <w:rPr>
          <w:rFonts w:ascii="Arial Narrow" w:hAnsi="Arial Narrow"/>
          <w:sz w:val="18"/>
        </w:rPr>
      </w:pPr>
      <w:r w:rsidRPr="00D8075A">
        <w:rPr>
          <w:rFonts w:ascii="Arial Narrow" w:hAnsi="Arial Narrow"/>
          <w:sz w:val="18"/>
        </w:rPr>
        <w:t>*Studies were based on real world clinical practice and did not have a defined period of follow up.</w:t>
      </w:r>
    </w:p>
    <w:p w:rsidR="00694239" w:rsidRPr="00D8075A" w:rsidRDefault="00694239" w:rsidP="00694239">
      <w:pPr>
        <w:rPr>
          <w:rFonts w:ascii="Arial Narrow" w:hAnsi="Arial Narrow"/>
          <w:sz w:val="20"/>
        </w:rPr>
      </w:pPr>
      <w:r w:rsidRPr="00D8075A">
        <w:rPr>
          <w:rFonts w:ascii="Arial Narrow" w:hAnsi="Arial Narrow"/>
          <w:sz w:val="18"/>
        </w:rPr>
        <w:t>Source: Compiled during the evaluation</w:t>
      </w:r>
      <w:r w:rsidR="00F91D77" w:rsidRPr="00D8075A">
        <w:rPr>
          <w:rFonts w:ascii="Arial Narrow" w:hAnsi="Arial Narrow"/>
          <w:sz w:val="18"/>
        </w:rPr>
        <w:t>.</w:t>
      </w:r>
    </w:p>
    <w:p w:rsidR="00661716" w:rsidRPr="00D8075A" w:rsidRDefault="00661716" w:rsidP="00C3432B">
      <w:pPr>
        <w:pStyle w:val="ListParagraph"/>
        <w:widowControl/>
        <w:numPr>
          <w:ilvl w:val="1"/>
          <w:numId w:val="1"/>
        </w:numPr>
        <w:spacing w:before="120"/>
        <w:rPr>
          <w:rFonts w:cs="Calibri"/>
          <w:snapToGrid/>
          <w:color w:val="000000" w:themeColor="text1"/>
          <w:szCs w:val="24"/>
          <w:lang w:eastAsia="en-AU"/>
        </w:rPr>
      </w:pPr>
      <w:r w:rsidRPr="00D8075A">
        <w:rPr>
          <w:rFonts w:cs="Calibri"/>
          <w:snapToGrid/>
          <w:color w:val="000000" w:themeColor="text1"/>
          <w:szCs w:val="24"/>
          <w:lang w:eastAsia="en-AU"/>
        </w:rPr>
        <w:t xml:space="preserve">No patient matching </w:t>
      </w:r>
      <w:r w:rsidR="00B61B67" w:rsidRPr="00D8075A">
        <w:rPr>
          <w:rFonts w:cs="Calibri"/>
          <w:snapToGrid/>
          <w:color w:val="000000" w:themeColor="text1"/>
          <w:szCs w:val="24"/>
          <w:lang w:eastAsia="en-AU"/>
        </w:rPr>
        <w:t xml:space="preserve">across the studies </w:t>
      </w:r>
      <w:r w:rsidRPr="00D8075A">
        <w:rPr>
          <w:rFonts w:cs="Calibri"/>
          <w:snapToGrid/>
          <w:color w:val="000000" w:themeColor="text1"/>
          <w:szCs w:val="24"/>
          <w:lang w:eastAsia="en-AU"/>
        </w:rPr>
        <w:t xml:space="preserve">was conducted in the submission. Instead </w:t>
      </w:r>
      <w:r w:rsidR="00B61B67" w:rsidRPr="00D8075A">
        <w:rPr>
          <w:rFonts w:cs="Calibri"/>
          <w:snapToGrid/>
          <w:color w:val="000000" w:themeColor="text1"/>
          <w:szCs w:val="24"/>
          <w:lang w:eastAsia="en-AU"/>
        </w:rPr>
        <w:t xml:space="preserve">it was claimed that </w:t>
      </w:r>
      <w:r w:rsidRPr="00D8075A">
        <w:rPr>
          <w:rFonts w:cs="Calibri"/>
          <w:snapToGrid/>
          <w:color w:val="000000" w:themeColor="text1"/>
          <w:szCs w:val="24"/>
          <w:lang w:eastAsia="en-AU"/>
        </w:rPr>
        <w:t>Study Obs001 used similar inclusion and exclusion criteria as the JAVELIN Merkel 200 study</w:t>
      </w:r>
      <w:r w:rsidR="00B61B67" w:rsidRPr="00D8075A">
        <w:rPr>
          <w:rFonts w:cs="Calibri"/>
          <w:snapToGrid/>
          <w:color w:val="000000" w:themeColor="text1"/>
          <w:szCs w:val="24"/>
          <w:lang w:eastAsia="en-AU"/>
        </w:rPr>
        <w:t xml:space="preserve"> and</w:t>
      </w:r>
      <w:r w:rsidRPr="00D8075A">
        <w:rPr>
          <w:rFonts w:cs="Calibri"/>
          <w:snapToGrid/>
          <w:color w:val="000000" w:themeColor="text1"/>
          <w:szCs w:val="24"/>
          <w:lang w:eastAsia="en-AU"/>
        </w:rPr>
        <w:t xml:space="preserve"> that patient characteristics were not prognostic of </w:t>
      </w:r>
      <w:r w:rsidRPr="00D8075A">
        <w:rPr>
          <w:rFonts w:cs="Calibri"/>
          <w:snapToGrid/>
          <w:color w:val="000000" w:themeColor="text1"/>
          <w:szCs w:val="24"/>
          <w:lang w:eastAsia="en-AU"/>
        </w:rPr>
        <w:lastRenderedPageBreak/>
        <w:t xml:space="preserve">outcome (p100 of the submission). </w:t>
      </w:r>
      <w:r w:rsidRPr="00D8075A">
        <w:t>However, there were differences between the inclusion/exclusion criteria and baseline characteristics of patients in each of the studies (i.e. ECOG performance status, exclusion of patients with significant co-morbidities, life expectancy of at least 12 weeks at time of recruitment).</w:t>
      </w:r>
    </w:p>
    <w:p w:rsidR="00661716" w:rsidRPr="00D8075A" w:rsidRDefault="00661716" w:rsidP="00C3432B">
      <w:pPr>
        <w:pStyle w:val="ListParagraph"/>
        <w:widowControl/>
        <w:numPr>
          <w:ilvl w:val="1"/>
          <w:numId w:val="1"/>
        </w:numPr>
        <w:rPr>
          <w:rFonts w:cs="Calibri"/>
          <w:snapToGrid/>
          <w:color w:val="000000" w:themeColor="text1"/>
          <w:szCs w:val="24"/>
          <w:lang w:eastAsia="en-AU"/>
        </w:rPr>
      </w:pPr>
      <w:r w:rsidRPr="00D8075A">
        <w:rPr>
          <w:rFonts w:cs="Calibri"/>
          <w:snapToGrid/>
          <w:color w:val="000000" w:themeColor="text1"/>
          <w:szCs w:val="24"/>
          <w:lang w:eastAsia="en-AU"/>
        </w:rPr>
        <w:t xml:space="preserve">Patient matching was requested during the equivalent National Institute for Health and Care Excellence (NICE) </w:t>
      </w:r>
      <w:r w:rsidR="002C23D9" w:rsidRPr="00D8075A">
        <w:rPr>
          <w:rFonts w:cs="Calibri"/>
          <w:snapToGrid/>
          <w:color w:val="000000" w:themeColor="text1"/>
          <w:szCs w:val="24"/>
          <w:lang w:eastAsia="en-AU"/>
        </w:rPr>
        <w:t xml:space="preserve">assessment </w:t>
      </w:r>
      <w:r w:rsidRPr="00D8075A">
        <w:rPr>
          <w:rFonts w:cs="Calibri"/>
          <w:snapToGrid/>
          <w:color w:val="000000" w:themeColor="text1"/>
          <w:szCs w:val="24"/>
          <w:lang w:eastAsia="en-AU"/>
        </w:rPr>
        <w:t xml:space="preserve">in the United Kingdom, however </w:t>
      </w:r>
      <w:r w:rsidR="00FE557E" w:rsidRPr="00D8075A">
        <w:rPr>
          <w:rFonts w:cs="Calibri"/>
          <w:snapToGrid/>
          <w:color w:val="000000" w:themeColor="text1"/>
          <w:szCs w:val="24"/>
          <w:lang w:eastAsia="en-AU"/>
        </w:rPr>
        <w:t xml:space="preserve">it was noted in the evaluation that </w:t>
      </w:r>
      <w:r w:rsidRPr="00D8075A">
        <w:rPr>
          <w:rFonts w:cs="Calibri"/>
          <w:snapToGrid/>
          <w:color w:val="000000" w:themeColor="text1"/>
          <w:szCs w:val="24"/>
          <w:lang w:eastAsia="en-AU"/>
        </w:rPr>
        <w:t>patients were not matched on enough baseline patient characteristics (e.g. ECOG status, baseline disease severity) for the groups to be sufficiently matched.</w:t>
      </w:r>
      <w:r w:rsidR="002756C8" w:rsidRPr="00D8075A">
        <w:rPr>
          <w:rFonts w:cs="Calibri"/>
          <w:snapToGrid/>
          <w:color w:val="000000" w:themeColor="text1"/>
          <w:szCs w:val="24"/>
          <w:lang w:eastAsia="en-AU"/>
        </w:rPr>
        <w:t xml:space="preserve"> The PSCR stated that matching reduced the number of patients in JAVELIN Merkel 200 from 88 to 54, and that this analysis showed </w:t>
      </w:r>
      <w:r w:rsidR="00012B87" w:rsidRPr="00D8075A">
        <w:rPr>
          <w:rFonts w:cs="Calibri"/>
          <w:snapToGrid/>
          <w:color w:val="000000" w:themeColor="text1"/>
          <w:szCs w:val="24"/>
          <w:lang w:eastAsia="en-AU"/>
        </w:rPr>
        <w:t xml:space="preserve">increased </w:t>
      </w:r>
      <w:r w:rsidR="002756C8" w:rsidRPr="00D8075A">
        <w:rPr>
          <w:rFonts w:cs="Calibri"/>
          <w:snapToGrid/>
          <w:color w:val="000000" w:themeColor="text1"/>
          <w:szCs w:val="24"/>
          <w:lang w:eastAsia="en-AU"/>
        </w:rPr>
        <w:t xml:space="preserve">PFS and OS for matched patients. </w:t>
      </w:r>
    </w:p>
    <w:p w:rsidR="001E3264" w:rsidRPr="00D8075A" w:rsidRDefault="004033C8" w:rsidP="00C3432B">
      <w:pPr>
        <w:widowControl/>
        <w:numPr>
          <w:ilvl w:val="1"/>
          <w:numId w:val="1"/>
        </w:numPr>
        <w:spacing w:after="160"/>
      </w:pPr>
      <w:r w:rsidRPr="00D8075A">
        <w:t>The ESC considered that o</w:t>
      </w:r>
      <w:r w:rsidR="001E3264" w:rsidRPr="00D8075A">
        <w:t>verall the risk of bias across the studies is considered to be high due to a high risk of confounding caused by the studies not being randomised, differences in observed and (potentially) unobserved confounders, a lack of blinding of patients, investigators and assessors, and differences in study design and outcome assessments.</w:t>
      </w:r>
    </w:p>
    <w:p w:rsidR="001E3264" w:rsidRPr="00D8075A" w:rsidRDefault="001E3264" w:rsidP="00C3432B">
      <w:pPr>
        <w:pStyle w:val="ListParagraph"/>
        <w:widowControl/>
        <w:numPr>
          <w:ilvl w:val="1"/>
          <w:numId w:val="1"/>
        </w:numPr>
        <w:rPr>
          <w:rFonts w:cs="Calibri"/>
          <w:snapToGrid/>
          <w:color w:val="000000" w:themeColor="text1"/>
          <w:szCs w:val="24"/>
          <w:lang w:eastAsia="en-AU"/>
        </w:rPr>
      </w:pPr>
      <w:r w:rsidRPr="00D8075A">
        <w:rPr>
          <w:rFonts w:cs="Calibri"/>
          <w:snapToGrid/>
          <w:color w:val="000000" w:themeColor="text1"/>
          <w:szCs w:val="24"/>
          <w:lang w:eastAsia="en-AU"/>
        </w:rPr>
        <w:t>Furthermore, the sample sizes in the studies w</w:t>
      </w:r>
      <w:r w:rsidR="00266B26" w:rsidRPr="00D8075A">
        <w:rPr>
          <w:rFonts w:cs="Calibri"/>
          <w:snapToGrid/>
          <w:color w:val="000000" w:themeColor="text1"/>
          <w:szCs w:val="24"/>
          <w:lang w:eastAsia="en-AU"/>
        </w:rPr>
        <w:t>ere</w:t>
      </w:r>
      <w:r w:rsidRPr="00D8075A">
        <w:rPr>
          <w:rFonts w:cs="Calibri"/>
          <w:snapToGrid/>
          <w:color w:val="000000" w:themeColor="text1"/>
          <w:szCs w:val="24"/>
          <w:lang w:eastAsia="en-AU"/>
        </w:rPr>
        <w:t xml:space="preserve"> low, which increases the uncertainty in the results.</w:t>
      </w:r>
    </w:p>
    <w:p w:rsidR="00694239" w:rsidRPr="00D8075A" w:rsidRDefault="00694239" w:rsidP="00F717BF">
      <w:pPr>
        <w:pStyle w:val="Heading2"/>
        <w:spacing w:before="240" w:after="120"/>
      </w:pPr>
      <w:bookmarkStart w:id="11" w:name="_Toc514233096"/>
      <w:r w:rsidRPr="00D8075A">
        <w:t>Comparative effectiveness</w:t>
      </w:r>
      <w:bookmarkEnd w:id="11"/>
    </w:p>
    <w:p w:rsidR="00694239" w:rsidRPr="00D8075A" w:rsidRDefault="00694239" w:rsidP="00C3432B">
      <w:pPr>
        <w:widowControl/>
        <w:numPr>
          <w:ilvl w:val="1"/>
          <w:numId w:val="1"/>
        </w:numPr>
        <w:spacing w:after="160"/>
        <w:jc w:val="left"/>
        <w:sectPr w:rsidR="00694239" w:rsidRPr="00D8075A" w:rsidSect="00ED3D5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pPr>
      <w:r w:rsidRPr="00D8075A">
        <w:t>The ORR, PFS and OS results from the indirect c</w:t>
      </w:r>
      <w:r w:rsidR="001E3264" w:rsidRPr="00D8075A">
        <w:t>omparison are presented in T</w:t>
      </w:r>
      <w:r w:rsidRPr="00D8075A">
        <w:t>ables 4</w:t>
      </w:r>
      <w:r w:rsidR="001E3264" w:rsidRPr="00D8075A">
        <w:t xml:space="preserve"> to </w:t>
      </w:r>
      <w:r w:rsidRPr="00D8075A">
        <w:t>6, and Figure 1.</w:t>
      </w:r>
    </w:p>
    <w:p w:rsidR="00694239" w:rsidRPr="00D8075A" w:rsidRDefault="00694239" w:rsidP="00694239">
      <w:pPr>
        <w:pStyle w:val="TableHeading"/>
        <w:spacing w:before="0" w:after="0"/>
      </w:pPr>
      <w:r w:rsidRPr="00D8075A">
        <w:lastRenderedPageBreak/>
        <w:t xml:space="preserve">Table 4: Response </w:t>
      </w:r>
      <w:r w:rsidR="009608DE" w:rsidRPr="00D8075A">
        <w:t>r</w:t>
      </w:r>
      <w:r w:rsidRPr="00D8075A">
        <w:t>ate</w:t>
      </w:r>
      <w:r w:rsidR="009608DE" w:rsidRPr="00D8075A">
        <w:t>s</w:t>
      </w:r>
      <w:r w:rsidRPr="00D8075A">
        <w:t xml:space="preserve"> across the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0E3"/>
        <w:tblCellMar>
          <w:left w:w="450" w:type="dxa"/>
          <w:right w:w="450" w:type="dxa"/>
        </w:tblCellMar>
        <w:tblLook w:val="04A0" w:firstRow="1" w:lastRow="0" w:firstColumn="1" w:lastColumn="0" w:noHBand="0" w:noVBand="1"/>
        <w:tblCaption w:val="Table 4: Response rates across the studies"/>
        <w:tblDescription w:val="Table 4: Response rates across the studies"/>
      </w:tblPr>
      <w:tblGrid>
        <w:gridCol w:w="2798"/>
        <w:gridCol w:w="2833"/>
        <w:gridCol w:w="3454"/>
        <w:gridCol w:w="1983"/>
        <w:gridCol w:w="1318"/>
        <w:gridCol w:w="2067"/>
      </w:tblGrid>
      <w:tr w:rsidR="009608DE" w:rsidRPr="00D8075A" w:rsidTr="0083398B">
        <w:trPr>
          <w:tblHeader/>
        </w:trPr>
        <w:tc>
          <w:tcPr>
            <w:tcW w:w="968" w:type="pct"/>
            <w:vMerge w:val="restart"/>
            <w:shd w:val="clear" w:color="auto" w:fill="auto"/>
            <w:tcMar>
              <w:top w:w="45" w:type="dxa"/>
              <w:left w:w="45" w:type="dxa"/>
              <w:bottom w:w="45" w:type="dxa"/>
              <w:right w:w="45" w:type="dxa"/>
            </w:tcMar>
            <w:vAlign w:val="center"/>
          </w:tcPr>
          <w:p w:rsidR="009608DE" w:rsidRPr="00D8075A" w:rsidRDefault="009608DE" w:rsidP="00B61512">
            <w:pPr>
              <w:widowControl/>
              <w:jc w:val="center"/>
              <w:rPr>
                <w:rFonts w:ascii="Arial Narrow" w:hAnsi="Arial Narrow" w:cs="Times New Roman"/>
                <w:b/>
                <w:snapToGrid/>
                <w:sz w:val="20"/>
                <w:lang w:eastAsia="en-AU"/>
              </w:rPr>
            </w:pPr>
          </w:p>
        </w:tc>
        <w:tc>
          <w:tcPr>
            <w:tcW w:w="2175" w:type="pct"/>
            <w:gridSpan w:val="2"/>
            <w:shd w:val="clear" w:color="auto" w:fill="auto"/>
            <w:vAlign w:val="center"/>
          </w:tcPr>
          <w:p w:rsidR="009608DE" w:rsidRPr="00D8075A" w:rsidRDefault="009608DE" w:rsidP="00B61512">
            <w:pPr>
              <w:widowControl/>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Avelumab</w:t>
            </w:r>
          </w:p>
        </w:tc>
        <w:tc>
          <w:tcPr>
            <w:tcW w:w="1142" w:type="pct"/>
            <w:gridSpan w:val="2"/>
            <w:vAlign w:val="center"/>
          </w:tcPr>
          <w:p w:rsidR="009608DE" w:rsidRPr="00D8075A" w:rsidRDefault="009608DE" w:rsidP="00B61512">
            <w:pPr>
              <w:widowControl/>
              <w:ind w:left="-384"/>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Study Obs001</w:t>
            </w:r>
          </w:p>
          <w:p w:rsidR="009608DE" w:rsidRPr="00D8075A" w:rsidRDefault="009608DE" w:rsidP="00B61512">
            <w:pPr>
              <w:widowControl/>
              <w:ind w:left="-384"/>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Immunocompetent</w:t>
            </w:r>
          </w:p>
        </w:tc>
        <w:tc>
          <w:tcPr>
            <w:tcW w:w="715" w:type="pct"/>
            <w:vAlign w:val="center"/>
          </w:tcPr>
          <w:p w:rsidR="009608DE" w:rsidRPr="00D8075A" w:rsidRDefault="009608DE" w:rsidP="00B61512">
            <w:pPr>
              <w:widowControl/>
              <w:jc w:val="center"/>
              <w:rPr>
                <w:rFonts w:ascii="Arial Narrow" w:hAnsi="Arial Narrow" w:cs="Times New Roman"/>
                <w:b/>
                <w:snapToGrid/>
                <w:sz w:val="20"/>
                <w:lang w:eastAsia="en-AU"/>
              </w:rPr>
            </w:pPr>
            <w:proofErr w:type="spellStart"/>
            <w:r w:rsidRPr="00D8075A">
              <w:rPr>
                <w:rFonts w:ascii="Arial Narrow" w:hAnsi="Arial Narrow" w:cs="Times New Roman"/>
                <w:b/>
                <w:snapToGrid/>
                <w:sz w:val="20"/>
                <w:lang w:eastAsia="en-AU"/>
              </w:rPr>
              <w:t>Iyer</w:t>
            </w:r>
            <w:proofErr w:type="spellEnd"/>
            <w:r w:rsidRPr="00D8075A">
              <w:rPr>
                <w:rFonts w:ascii="Arial Narrow" w:hAnsi="Arial Narrow" w:cs="Times New Roman"/>
                <w:b/>
                <w:snapToGrid/>
                <w:sz w:val="20"/>
                <w:lang w:eastAsia="en-AU"/>
              </w:rPr>
              <w:t xml:space="preserve"> 2016</w:t>
            </w:r>
          </w:p>
          <w:p w:rsidR="009608DE" w:rsidRPr="00D8075A" w:rsidRDefault="009608DE" w:rsidP="00B61512">
            <w:pPr>
              <w:widowControl/>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N=30</w:t>
            </w:r>
          </w:p>
        </w:tc>
      </w:tr>
      <w:tr w:rsidR="009608DE" w:rsidRPr="00D8075A" w:rsidTr="0083398B">
        <w:trPr>
          <w:trHeight w:val="124"/>
          <w:tblHeader/>
        </w:trPr>
        <w:tc>
          <w:tcPr>
            <w:tcW w:w="968" w:type="pct"/>
            <w:vMerge/>
            <w:shd w:val="clear" w:color="auto" w:fill="auto"/>
            <w:tcMar>
              <w:top w:w="45" w:type="dxa"/>
              <w:left w:w="45" w:type="dxa"/>
              <w:bottom w:w="45" w:type="dxa"/>
              <w:right w:w="45" w:type="dxa"/>
            </w:tcMar>
            <w:vAlign w:val="center"/>
          </w:tcPr>
          <w:p w:rsidR="009608DE" w:rsidRPr="00D8075A" w:rsidRDefault="009608DE" w:rsidP="00B61512">
            <w:pPr>
              <w:widowControl/>
              <w:jc w:val="center"/>
              <w:rPr>
                <w:rFonts w:ascii="Arial Narrow" w:hAnsi="Arial Narrow" w:cs="Times New Roman"/>
                <w:b/>
                <w:snapToGrid/>
                <w:sz w:val="20"/>
                <w:lang w:eastAsia="en-AU"/>
              </w:rPr>
            </w:pPr>
          </w:p>
        </w:tc>
        <w:tc>
          <w:tcPr>
            <w:tcW w:w="980" w:type="pct"/>
            <w:shd w:val="clear" w:color="auto" w:fill="auto"/>
            <w:tcMar>
              <w:top w:w="45" w:type="dxa"/>
              <w:left w:w="45" w:type="dxa"/>
              <w:bottom w:w="45" w:type="dxa"/>
              <w:right w:w="45" w:type="dxa"/>
            </w:tcMar>
            <w:vAlign w:val="center"/>
          </w:tcPr>
          <w:p w:rsidR="009608DE" w:rsidRPr="00D8075A" w:rsidRDefault="009608DE" w:rsidP="00B61512">
            <w:pPr>
              <w:widowControl/>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JAVELIN Merkel 200 Part A</w:t>
            </w:r>
          </w:p>
          <w:p w:rsidR="009608DE" w:rsidRPr="00D8075A" w:rsidRDefault="009608DE" w:rsidP="00B61512">
            <w:pPr>
              <w:widowControl/>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 xml:space="preserve">18 </w:t>
            </w:r>
            <w:proofErr w:type="spellStart"/>
            <w:r w:rsidRPr="00D8075A">
              <w:rPr>
                <w:rFonts w:ascii="Arial Narrow" w:hAnsi="Arial Narrow" w:cs="Times New Roman"/>
                <w:b/>
                <w:snapToGrid/>
                <w:sz w:val="20"/>
                <w:lang w:eastAsia="en-AU"/>
              </w:rPr>
              <w:t>mth</w:t>
            </w:r>
            <w:proofErr w:type="spellEnd"/>
            <w:r w:rsidRPr="00D8075A">
              <w:rPr>
                <w:rFonts w:ascii="Arial Narrow" w:hAnsi="Arial Narrow" w:cs="Times New Roman"/>
                <w:b/>
                <w:snapToGrid/>
                <w:sz w:val="20"/>
                <w:lang w:eastAsia="en-AU"/>
              </w:rPr>
              <w:t xml:space="preserve"> follow-up</w:t>
            </w:r>
          </w:p>
          <w:p w:rsidR="009608DE" w:rsidRPr="00D8075A" w:rsidRDefault="009608DE" w:rsidP="00B61512">
            <w:pPr>
              <w:widowControl/>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ITT</w:t>
            </w:r>
          </w:p>
          <w:p w:rsidR="009608DE" w:rsidRPr="00D8075A" w:rsidRDefault="009608DE" w:rsidP="00B61512">
            <w:pPr>
              <w:widowControl/>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N=88</w:t>
            </w:r>
          </w:p>
        </w:tc>
        <w:tc>
          <w:tcPr>
            <w:tcW w:w="1195" w:type="pct"/>
            <w:vAlign w:val="center"/>
          </w:tcPr>
          <w:p w:rsidR="009608DE" w:rsidRPr="00D8075A" w:rsidRDefault="009608DE" w:rsidP="00B61512">
            <w:pPr>
              <w:widowControl/>
              <w:ind w:left="-418" w:right="-312"/>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JAVELIN Merkel 200 Part A</w:t>
            </w:r>
          </w:p>
          <w:p w:rsidR="009608DE" w:rsidRPr="00D8075A" w:rsidRDefault="009608DE" w:rsidP="00B61512">
            <w:pPr>
              <w:widowControl/>
              <w:ind w:left="-420" w:right="-310"/>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 xml:space="preserve">24 </w:t>
            </w:r>
            <w:proofErr w:type="spellStart"/>
            <w:r w:rsidRPr="00D8075A">
              <w:rPr>
                <w:rFonts w:ascii="Arial Narrow" w:hAnsi="Arial Narrow" w:cs="Times New Roman"/>
                <w:b/>
                <w:snapToGrid/>
                <w:sz w:val="20"/>
                <w:lang w:eastAsia="en-AU"/>
              </w:rPr>
              <w:t>mth</w:t>
            </w:r>
            <w:proofErr w:type="spellEnd"/>
            <w:r w:rsidRPr="00D8075A">
              <w:rPr>
                <w:rFonts w:ascii="Arial Narrow" w:hAnsi="Arial Narrow" w:cs="Times New Roman"/>
                <w:b/>
                <w:snapToGrid/>
                <w:sz w:val="20"/>
                <w:lang w:eastAsia="en-AU"/>
              </w:rPr>
              <w:t xml:space="preserve"> follow-up ITT</w:t>
            </w:r>
          </w:p>
          <w:p w:rsidR="009608DE" w:rsidRPr="00D8075A" w:rsidRDefault="009608DE" w:rsidP="00B61512">
            <w:pPr>
              <w:widowControl/>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N=88</w:t>
            </w:r>
          </w:p>
        </w:tc>
        <w:tc>
          <w:tcPr>
            <w:tcW w:w="686" w:type="pct"/>
            <w:vAlign w:val="center"/>
          </w:tcPr>
          <w:p w:rsidR="009608DE" w:rsidRPr="00D8075A" w:rsidRDefault="009608DE" w:rsidP="00B61512">
            <w:pPr>
              <w:widowControl/>
              <w:ind w:left="-384"/>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Part A (US)</w:t>
            </w:r>
          </w:p>
          <w:p w:rsidR="009608DE" w:rsidRPr="00D8075A" w:rsidRDefault="009608DE" w:rsidP="00B61512">
            <w:pPr>
              <w:widowControl/>
              <w:ind w:left="-384"/>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N=14</w:t>
            </w:r>
          </w:p>
        </w:tc>
        <w:tc>
          <w:tcPr>
            <w:tcW w:w="456" w:type="pct"/>
            <w:shd w:val="clear" w:color="auto" w:fill="auto"/>
            <w:tcMar>
              <w:top w:w="45" w:type="dxa"/>
              <w:left w:w="45" w:type="dxa"/>
              <w:bottom w:w="45" w:type="dxa"/>
              <w:right w:w="45" w:type="dxa"/>
            </w:tcMar>
            <w:vAlign w:val="center"/>
          </w:tcPr>
          <w:p w:rsidR="009608DE" w:rsidRPr="00D8075A" w:rsidRDefault="009608DE" w:rsidP="00B61512">
            <w:pPr>
              <w:widowControl/>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Part B (EU)</w:t>
            </w:r>
          </w:p>
          <w:p w:rsidR="009608DE" w:rsidRPr="00D8075A" w:rsidRDefault="009608DE" w:rsidP="00B61512">
            <w:pPr>
              <w:widowControl/>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N=29</w:t>
            </w:r>
          </w:p>
        </w:tc>
        <w:tc>
          <w:tcPr>
            <w:tcW w:w="715" w:type="pct"/>
            <w:shd w:val="clear" w:color="auto" w:fill="auto"/>
            <w:tcMar>
              <w:top w:w="45" w:type="dxa"/>
              <w:left w:w="45" w:type="dxa"/>
              <w:bottom w:w="45" w:type="dxa"/>
              <w:right w:w="45" w:type="dxa"/>
            </w:tcMar>
            <w:vAlign w:val="center"/>
          </w:tcPr>
          <w:p w:rsidR="009608DE" w:rsidRPr="00D8075A" w:rsidRDefault="009608DE" w:rsidP="00B61512">
            <w:pPr>
              <w:widowControl/>
              <w:jc w:val="center"/>
              <w:rPr>
                <w:rFonts w:ascii="Arial Narrow" w:hAnsi="Arial Narrow" w:cs="Times New Roman"/>
                <w:b/>
                <w:snapToGrid/>
                <w:sz w:val="20"/>
                <w:lang w:eastAsia="en-AU"/>
              </w:rPr>
            </w:pPr>
          </w:p>
        </w:tc>
      </w:tr>
      <w:tr w:rsidR="009608DE" w:rsidRPr="00D8075A" w:rsidTr="0083398B">
        <w:tc>
          <w:tcPr>
            <w:tcW w:w="968" w:type="pct"/>
            <w:shd w:val="clear" w:color="auto" w:fill="FFFFFF"/>
            <w:tcMar>
              <w:top w:w="45" w:type="dxa"/>
              <w:left w:w="45" w:type="dxa"/>
              <w:bottom w:w="45" w:type="dxa"/>
              <w:right w:w="45" w:type="dxa"/>
            </w:tcMar>
            <w:hideMark/>
          </w:tcPr>
          <w:p w:rsidR="009608DE" w:rsidRPr="00D8075A" w:rsidRDefault="009608DE" w:rsidP="00B61512">
            <w:pPr>
              <w:widowControl/>
              <w:jc w:val="left"/>
              <w:rPr>
                <w:rFonts w:ascii="Arial Narrow" w:hAnsi="Arial Narrow" w:cs="Times New Roman"/>
                <w:b/>
                <w:snapToGrid/>
                <w:sz w:val="20"/>
                <w:lang w:eastAsia="en-AU"/>
              </w:rPr>
            </w:pPr>
            <w:r w:rsidRPr="00D8075A">
              <w:rPr>
                <w:rFonts w:ascii="Arial Narrow" w:hAnsi="Arial Narrow" w:cs="Times New Roman"/>
                <w:b/>
                <w:snapToGrid/>
                <w:sz w:val="20"/>
                <w:lang w:eastAsia="en-AU"/>
              </w:rPr>
              <w:t>BOR per RECIST 1.1, n (%)</w:t>
            </w:r>
          </w:p>
          <w:p w:rsidR="009608DE" w:rsidRPr="00D8075A" w:rsidRDefault="009608DE" w:rsidP="00B61512">
            <w:pPr>
              <w:widowControl/>
              <w:tabs>
                <w:tab w:val="left" w:pos="175"/>
              </w:tabs>
              <w:jc w:val="left"/>
              <w:rPr>
                <w:rFonts w:ascii="Arial Narrow" w:hAnsi="Arial Narrow" w:cs="Times New Roman"/>
                <w:snapToGrid/>
                <w:sz w:val="20"/>
                <w:lang w:eastAsia="en-AU"/>
              </w:rPr>
            </w:pPr>
            <w:r w:rsidRPr="00D8075A">
              <w:rPr>
                <w:rFonts w:ascii="Arial Narrow" w:hAnsi="Arial Narrow" w:cs="Times New Roman"/>
                <w:b/>
                <w:snapToGrid/>
                <w:sz w:val="20"/>
                <w:lang w:eastAsia="en-AU"/>
              </w:rPr>
              <w:tab/>
            </w:r>
            <w:r w:rsidRPr="00D8075A">
              <w:rPr>
                <w:rFonts w:ascii="Arial Narrow" w:hAnsi="Arial Narrow" w:cs="Times New Roman"/>
                <w:snapToGrid/>
                <w:sz w:val="20"/>
                <w:lang w:eastAsia="en-AU"/>
              </w:rPr>
              <w:t>CR</w:t>
            </w:r>
          </w:p>
          <w:p w:rsidR="009608DE" w:rsidRPr="00D8075A" w:rsidRDefault="009608DE" w:rsidP="00B61512">
            <w:pPr>
              <w:widowControl/>
              <w:tabs>
                <w:tab w:val="left" w:pos="175"/>
              </w:tabs>
              <w:jc w:val="left"/>
              <w:rPr>
                <w:rFonts w:ascii="Arial Narrow" w:hAnsi="Arial Narrow" w:cs="Times New Roman"/>
                <w:snapToGrid/>
                <w:sz w:val="20"/>
                <w:lang w:eastAsia="en-AU"/>
              </w:rPr>
            </w:pPr>
            <w:r w:rsidRPr="00D8075A">
              <w:rPr>
                <w:rFonts w:ascii="Arial Narrow" w:hAnsi="Arial Narrow" w:cs="Times New Roman"/>
                <w:snapToGrid/>
                <w:sz w:val="20"/>
                <w:lang w:eastAsia="en-AU"/>
              </w:rPr>
              <w:tab/>
              <w:t>PR</w:t>
            </w:r>
          </w:p>
          <w:p w:rsidR="009608DE" w:rsidRPr="00D8075A" w:rsidRDefault="009608DE" w:rsidP="00B61512">
            <w:pPr>
              <w:widowControl/>
              <w:tabs>
                <w:tab w:val="left" w:pos="175"/>
              </w:tabs>
              <w:jc w:val="left"/>
              <w:rPr>
                <w:rFonts w:ascii="Arial Narrow" w:hAnsi="Arial Narrow" w:cs="Times New Roman"/>
                <w:snapToGrid/>
                <w:sz w:val="20"/>
                <w:lang w:eastAsia="en-AU"/>
              </w:rPr>
            </w:pPr>
            <w:r w:rsidRPr="00D8075A">
              <w:rPr>
                <w:rFonts w:ascii="Arial Narrow" w:hAnsi="Arial Narrow" w:cs="Times New Roman"/>
                <w:snapToGrid/>
                <w:sz w:val="20"/>
                <w:lang w:eastAsia="en-AU"/>
              </w:rPr>
              <w:tab/>
              <w:t>SD</w:t>
            </w:r>
          </w:p>
          <w:p w:rsidR="009608DE" w:rsidRPr="00D8075A" w:rsidRDefault="009608DE" w:rsidP="00B61512">
            <w:pPr>
              <w:widowControl/>
              <w:tabs>
                <w:tab w:val="left" w:pos="175"/>
              </w:tabs>
              <w:jc w:val="left"/>
              <w:rPr>
                <w:rFonts w:ascii="Arial Narrow" w:hAnsi="Arial Narrow" w:cs="Times New Roman"/>
                <w:snapToGrid/>
                <w:sz w:val="20"/>
                <w:lang w:eastAsia="en-AU"/>
              </w:rPr>
            </w:pPr>
            <w:r w:rsidRPr="00D8075A">
              <w:rPr>
                <w:rFonts w:ascii="Arial Narrow" w:hAnsi="Arial Narrow" w:cs="Times New Roman"/>
                <w:snapToGrid/>
                <w:sz w:val="20"/>
                <w:lang w:eastAsia="en-AU"/>
              </w:rPr>
              <w:tab/>
              <w:t>PD</w:t>
            </w:r>
          </w:p>
          <w:p w:rsidR="009608DE" w:rsidRPr="00D8075A" w:rsidRDefault="009608DE" w:rsidP="00B61512">
            <w:pPr>
              <w:widowControl/>
              <w:tabs>
                <w:tab w:val="left" w:pos="175"/>
              </w:tabs>
              <w:jc w:val="left"/>
              <w:rPr>
                <w:rFonts w:ascii="Arial Narrow" w:hAnsi="Arial Narrow" w:cs="Times New Roman"/>
                <w:snapToGrid/>
                <w:sz w:val="20"/>
                <w:lang w:eastAsia="en-AU"/>
              </w:rPr>
            </w:pPr>
            <w:r w:rsidRPr="00D8075A">
              <w:rPr>
                <w:rFonts w:ascii="Arial Narrow" w:hAnsi="Arial Narrow" w:cs="Times New Roman"/>
                <w:snapToGrid/>
                <w:sz w:val="20"/>
                <w:lang w:eastAsia="en-AU"/>
              </w:rPr>
              <w:tab/>
              <w:t>Not evaluable</w:t>
            </w:r>
          </w:p>
        </w:tc>
        <w:tc>
          <w:tcPr>
            <w:tcW w:w="980" w:type="pct"/>
            <w:shd w:val="clear" w:color="auto" w:fill="FFFFFF"/>
            <w:tcMar>
              <w:top w:w="45" w:type="dxa"/>
              <w:left w:w="45" w:type="dxa"/>
              <w:bottom w:w="45" w:type="dxa"/>
              <w:right w:w="45" w:type="dxa"/>
            </w:tcMar>
            <w:vAlign w:val="center"/>
            <w:hideMark/>
          </w:tcPr>
          <w:p w:rsidR="009608DE" w:rsidRPr="00D8075A" w:rsidRDefault="009608DE" w:rsidP="00B61512">
            <w:pPr>
              <w:widowControl/>
              <w:jc w:val="center"/>
              <w:rPr>
                <w:rFonts w:ascii="Arial Narrow" w:hAnsi="Arial Narrow" w:cs="Times New Roman"/>
                <w:iCs/>
                <w:snapToGrid/>
                <w:sz w:val="20"/>
                <w:bdr w:val="none" w:sz="0" w:space="0" w:color="auto" w:frame="1"/>
                <w:lang w:eastAsia="en-AU"/>
              </w:rPr>
            </w:pPr>
          </w:p>
          <w:p w:rsidR="009608DE" w:rsidRPr="00D8075A" w:rsidRDefault="009608DE" w:rsidP="00B61512">
            <w:pPr>
              <w:widowControl/>
              <w:jc w:val="center"/>
              <w:rPr>
                <w:rFonts w:ascii="Arial Narrow" w:hAnsi="Arial Narrow" w:cs="Times New Roman"/>
                <w:iCs/>
                <w:snapToGrid/>
                <w:sz w:val="20"/>
                <w:bdr w:val="none" w:sz="0" w:space="0" w:color="auto" w:frame="1"/>
                <w:lang w:eastAsia="en-AU"/>
              </w:rPr>
            </w:pPr>
            <w:r w:rsidRPr="00D8075A">
              <w:rPr>
                <w:rFonts w:ascii="Arial Narrow" w:hAnsi="Arial Narrow" w:cs="Times New Roman"/>
                <w:iCs/>
                <w:snapToGrid/>
                <w:sz w:val="20"/>
                <w:bdr w:val="none" w:sz="0" w:space="0" w:color="auto" w:frame="1"/>
                <w:lang w:eastAsia="en-AU"/>
              </w:rPr>
              <w:t>10 (11.4)</w:t>
            </w:r>
          </w:p>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19 ( 21.6)</w:t>
            </w:r>
          </w:p>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9 (10.2)</w:t>
            </w:r>
          </w:p>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32 (36.4)</w:t>
            </w:r>
          </w:p>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18 (20.5)</w:t>
            </w:r>
          </w:p>
        </w:tc>
        <w:tc>
          <w:tcPr>
            <w:tcW w:w="1195" w:type="pct"/>
            <w:shd w:val="clear" w:color="auto" w:fill="auto"/>
            <w:vAlign w:val="center"/>
          </w:tcPr>
          <w:p w:rsidR="009608DE" w:rsidRPr="00D8075A" w:rsidRDefault="009608DE" w:rsidP="00B61512">
            <w:pPr>
              <w:widowControl/>
              <w:jc w:val="center"/>
              <w:rPr>
                <w:rFonts w:ascii="Arial Narrow" w:hAnsi="Arial Narrow" w:cs="Times New Roman"/>
                <w:iCs/>
                <w:snapToGrid/>
                <w:sz w:val="20"/>
                <w:bdr w:val="none" w:sz="0" w:space="0" w:color="auto" w:frame="1"/>
                <w:lang w:eastAsia="en-AU"/>
              </w:rPr>
            </w:pPr>
          </w:p>
          <w:p w:rsidR="009608DE" w:rsidRPr="00D8075A" w:rsidRDefault="009608DE" w:rsidP="00B61512">
            <w:pPr>
              <w:widowControl/>
              <w:ind w:left="-418" w:right="-312"/>
              <w:jc w:val="center"/>
              <w:rPr>
                <w:rFonts w:ascii="Arial Narrow" w:hAnsi="Arial Narrow" w:cs="Times New Roman"/>
                <w:iCs/>
                <w:snapToGrid/>
                <w:sz w:val="20"/>
                <w:bdr w:val="none" w:sz="0" w:space="0" w:color="auto" w:frame="1"/>
                <w:lang w:eastAsia="en-AU"/>
              </w:rPr>
            </w:pPr>
            <w:r w:rsidRPr="00D8075A">
              <w:rPr>
                <w:rFonts w:ascii="Arial Narrow" w:hAnsi="Arial Narrow" w:cs="Times New Roman"/>
                <w:iCs/>
                <w:snapToGrid/>
                <w:sz w:val="20"/>
                <w:bdr w:val="none" w:sz="0" w:space="0" w:color="auto" w:frame="1"/>
                <w:lang w:eastAsia="en-AU"/>
              </w:rPr>
              <w:t>10 (11.4)</w:t>
            </w:r>
          </w:p>
          <w:p w:rsidR="009608DE" w:rsidRPr="00D8075A" w:rsidRDefault="009608DE" w:rsidP="00B61512">
            <w:pPr>
              <w:widowControl/>
              <w:ind w:left="-418" w:right="-312"/>
              <w:jc w:val="center"/>
              <w:rPr>
                <w:rFonts w:ascii="Arial Narrow" w:hAnsi="Arial Narrow" w:cs="Times New Roman"/>
                <w:snapToGrid/>
                <w:sz w:val="20"/>
                <w:lang w:eastAsia="en-AU"/>
              </w:rPr>
            </w:pPr>
            <w:r w:rsidRPr="00D8075A">
              <w:rPr>
                <w:rFonts w:ascii="Arial Narrow" w:hAnsi="Arial Narrow" w:cs="Times New Roman"/>
                <w:snapToGrid/>
                <w:sz w:val="20"/>
                <w:lang w:eastAsia="en-AU"/>
              </w:rPr>
              <w:t>19 ( 21.6)</w:t>
            </w:r>
          </w:p>
          <w:p w:rsidR="009608DE" w:rsidRPr="00D8075A" w:rsidRDefault="009608DE" w:rsidP="00B61512">
            <w:pPr>
              <w:widowControl/>
              <w:ind w:left="-384" w:right="-454"/>
              <w:jc w:val="center"/>
              <w:rPr>
                <w:rFonts w:ascii="Arial Narrow" w:hAnsi="Arial Narrow" w:cs="Times New Roman"/>
                <w:snapToGrid/>
                <w:sz w:val="20"/>
                <w:lang w:eastAsia="en-AU"/>
              </w:rPr>
            </w:pPr>
            <w:r w:rsidRPr="00D8075A">
              <w:rPr>
                <w:rFonts w:ascii="Arial Narrow" w:hAnsi="Arial Narrow" w:cs="Times New Roman"/>
                <w:snapToGrid/>
                <w:sz w:val="20"/>
                <w:lang w:eastAsia="en-AU"/>
              </w:rPr>
              <w:t>NR</w:t>
            </w:r>
          </w:p>
          <w:p w:rsidR="009608DE" w:rsidRPr="00D8075A" w:rsidRDefault="009608DE" w:rsidP="00B61512">
            <w:pPr>
              <w:widowControl/>
              <w:ind w:left="-384" w:right="-454"/>
              <w:jc w:val="center"/>
              <w:rPr>
                <w:rFonts w:ascii="Arial Narrow" w:hAnsi="Arial Narrow" w:cs="Times New Roman"/>
                <w:snapToGrid/>
                <w:sz w:val="20"/>
                <w:lang w:eastAsia="en-AU"/>
              </w:rPr>
            </w:pPr>
            <w:r w:rsidRPr="00D8075A">
              <w:rPr>
                <w:rFonts w:ascii="Arial Narrow" w:hAnsi="Arial Narrow" w:cs="Times New Roman"/>
                <w:snapToGrid/>
                <w:sz w:val="20"/>
                <w:lang w:eastAsia="en-AU"/>
              </w:rPr>
              <w:t>NR</w:t>
            </w:r>
          </w:p>
          <w:p w:rsidR="009608DE" w:rsidRPr="00D8075A" w:rsidRDefault="009608DE" w:rsidP="00B61512">
            <w:pPr>
              <w:widowControl/>
              <w:ind w:left="-384" w:right="-454"/>
              <w:jc w:val="center"/>
              <w:rPr>
                <w:rFonts w:ascii="Arial Narrow" w:hAnsi="Arial Narrow" w:cs="Times New Roman"/>
                <w:snapToGrid/>
                <w:sz w:val="20"/>
                <w:lang w:eastAsia="en-AU"/>
              </w:rPr>
            </w:pPr>
            <w:r w:rsidRPr="00D8075A">
              <w:rPr>
                <w:rFonts w:ascii="Arial Narrow" w:hAnsi="Arial Narrow" w:cs="Times New Roman"/>
                <w:snapToGrid/>
                <w:sz w:val="20"/>
                <w:lang w:eastAsia="en-AU"/>
              </w:rPr>
              <w:t>NR</w:t>
            </w:r>
          </w:p>
        </w:tc>
        <w:tc>
          <w:tcPr>
            <w:tcW w:w="686" w:type="pct"/>
            <w:shd w:val="clear" w:color="auto" w:fill="FFFFFF"/>
            <w:vAlign w:val="center"/>
          </w:tcPr>
          <w:p w:rsidR="009608DE" w:rsidRPr="00D8075A" w:rsidRDefault="009608DE" w:rsidP="00B61512">
            <w:pPr>
              <w:widowControl/>
              <w:ind w:left="-384"/>
              <w:jc w:val="center"/>
              <w:rPr>
                <w:rFonts w:ascii="Arial Narrow" w:hAnsi="Arial Narrow" w:cs="Times New Roman"/>
                <w:snapToGrid/>
                <w:sz w:val="20"/>
                <w:lang w:eastAsia="en-AU"/>
              </w:rPr>
            </w:pPr>
          </w:p>
          <w:p w:rsidR="009608DE" w:rsidRPr="00D8075A" w:rsidRDefault="009608DE" w:rsidP="00B61512">
            <w:pPr>
              <w:widowControl/>
              <w:ind w:left="-384"/>
              <w:jc w:val="center"/>
              <w:rPr>
                <w:rFonts w:ascii="Arial Narrow" w:hAnsi="Arial Narrow" w:cs="Times New Roman"/>
                <w:snapToGrid/>
                <w:sz w:val="20"/>
                <w:lang w:eastAsia="en-AU"/>
              </w:rPr>
            </w:pPr>
            <w:r w:rsidRPr="00D8075A">
              <w:rPr>
                <w:rFonts w:ascii="Arial Narrow" w:hAnsi="Arial Narrow" w:cs="Times New Roman"/>
                <w:snapToGrid/>
                <w:sz w:val="20"/>
                <w:lang w:eastAsia="en-AU"/>
              </w:rPr>
              <w:t>0</w:t>
            </w:r>
          </w:p>
          <w:p w:rsidR="009608DE" w:rsidRPr="00D8075A" w:rsidRDefault="009608DE" w:rsidP="00B61512">
            <w:pPr>
              <w:widowControl/>
              <w:ind w:left="-384"/>
              <w:jc w:val="center"/>
              <w:rPr>
                <w:rFonts w:ascii="Arial Narrow" w:hAnsi="Arial Narrow" w:cs="Times New Roman"/>
                <w:snapToGrid/>
                <w:sz w:val="20"/>
                <w:lang w:eastAsia="en-AU"/>
              </w:rPr>
            </w:pPr>
            <w:r w:rsidRPr="00D8075A">
              <w:rPr>
                <w:rFonts w:ascii="Arial Narrow" w:hAnsi="Arial Narrow" w:cs="Times New Roman"/>
                <w:snapToGrid/>
                <w:sz w:val="20"/>
                <w:lang w:eastAsia="en-AU"/>
              </w:rPr>
              <w:t>4 (28.6)</w:t>
            </w:r>
          </w:p>
          <w:p w:rsidR="009608DE" w:rsidRPr="00D8075A" w:rsidRDefault="009608DE" w:rsidP="00B61512">
            <w:pPr>
              <w:widowControl/>
              <w:ind w:left="-384"/>
              <w:jc w:val="center"/>
              <w:rPr>
                <w:rFonts w:ascii="Arial Narrow" w:hAnsi="Arial Narrow" w:cs="Times New Roman"/>
                <w:snapToGrid/>
                <w:sz w:val="20"/>
                <w:lang w:eastAsia="en-AU"/>
              </w:rPr>
            </w:pPr>
            <w:r w:rsidRPr="00D8075A">
              <w:rPr>
                <w:rFonts w:ascii="Arial Narrow" w:hAnsi="Arial Narrow" w:cs="Times New Roman"/>
                <w:snapToGrid/>
                <w:sz w:val="20"/>
                <w:lang w:eastAsia="en-AU"/>
              </w:rPr>
              <w:t>2 (14.3)</w:t>
            </w:r>
          </w:p>
          <w:p w:rsidR="009608DE" w:rsidRPr="00D8075A" w:rsidRDefault="009608DE" w:rsidP="00B61512">
            <w:pPr>
              <w:widowControl/>
              <w:ind w:left="-384"/>
              <w:jc w:val="center"/>
              <w:rPr>
                <w:rFonts w:ascii="Arial Narrow" w:hAnsi="Arial Narrow" w:cs="Times New Roman"/>
                <w:snapToGrid/>
                <w:sz w:val="20"/>
                <w:lang w:eastAsia="en-AU"/>
              </w:rPr>
            </w:pPr>
            <w:r w:rsidRPr="00D8075A">
              <w:rPr>
                <w:rFonts w:ascii="Arial Narrow" w:hAnsi="Arial Narrow" w:cs="Times New Roman"/>
                <w:snapToGrid/>
                <w:sz w:val="20"/>
                <w:lang w:eastAsia="en-AU"/>
              </w:rPr>
              <w:t>5 (35.7)</w:t>
            </w:r>
          </w:p>
          <w:p w:rsidR="009608DE" w:rsidRPr="00D8075A" w:rsidRDefault="009608DE" w:rsidP="00B61512">
            <w:pPr>
              <w:widowControl/>
              <w:ind w:left="-384"/>
              <w:jc w:val="center"/>
              <w:rPr>
                <w:rFonts w:ascii="Arial Narrow" w:hAnsi="Arial Narrow" w:cs="Times New Roman"/>
                <w:snapToGrid/>
                <w:sz w:val="20"/>
                <w:lang w:eastAsia="en-AU"/>
              </w:rPr>
            </w:pPr>
            <w:r w:rsidRPr="00D8075A">
              <w:rPr>
                <w:rFonts w:ascii="Arial Narrow" w:hAnsi="Arial Narrow" w:cs="Times New Roman"/>
                <w:snapToGrid/>
                <w:sz w:val="20"/>
                <w:lang w:eastAsia="en-AU"/>
              </w:rPr>
              <w:t>3 (21.4)</w:t>
            </w:r>
          </w:p>
        </w:tc>
        <w:tc>
          <w:tcPr>
            <w:tcW w:w="456" w:type="pct"/>
            <w:shd w:val="clear" w:color="auto" w:fill="FFFFFF"/>
            <w:tcMar>
              <w:top w:w="45" w:type="dxa"/>
              <w:left w:w="45" w:type="dxa"/>
              <w:bottom w:w="45" w:type="dxa"/>
              <w:right w:w="45" w:type="dxa"/>
            </w:tcMar>
            <w:vAlign w:val="center"/>
            <w:hideMark/>
          </w:tcPr>
          <w:p w:rsidR="009608DE" w:rsidRPr="00D8075A" w:rsidRDefault="009608DE" w:rsidP="00B61512">
            <w:pPr>
              <w:widowControl/>
              <w:jc w:val="center"/>
              <w:rPr>
                <w:rFonts w:ascii="Arial Narrow" w:hAnsi="Arial Narrow" w:cs="Times New Roman"/>
                <w:snapToGrid/>
                <w:sz w:val="20"/>
                <w:lang w:eastAsia="en-AU"/>
              </w:rPr>
            </w:pPr>
          </w:p>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0</w:t>
            </w:r>
          </w:p>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3 (10.3)</w:t>
            </w:r>
          </w:p>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3 (10.3)</w:t>
            </w:r>
          </w:p>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23 (79.3)</w:t>
            </w:r>
          </w:p>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0</w:t>
            </w:r>
          </w:p>
        </w:tc>
        <w:tc>
          <w:tcPr>
            <w:tcW w:w="715" w:type="pct"/>
            <w:shd w:val="clear" w:color="auto" w:fill="FFFFFF"/>
            <w:tcMar>
              <w:top w:w="45" w:type="dxa"/>
              <w:left w:w="45" w:type="dxa"/>
              <w:bottom w:w="45" w:type="dxa"/>
              <w:right w:w="45" w:type="dxa"/>
            </w:tcMar>
            <w:vAlign w:val="center"/>
            <w:hideMark/>
          </w:tcPr>
          <w:p w:rsidR="009608DE" w:rsidRPr="00D8075A" w:rsidRDefault="009608DE" w:rsidP="00B61512">
            <w:pPr>
              <w:widowControl/>
              <w:jc w:val="center"/>
              <w:rPr>
                <w:rFonts w:ascii="Arial Narrow" w:hAnsi="Arial Narrow" w:cs="Times New Roman"/>
                <w:snapToGrid/>
                <w:sz w:val="20"/>
                <w:lang w:eastAsia="en-AU"/>
              </w:rPr>
            </w:pPr>
          </w:p>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1 (3.3)</w:t>
            </w:r>
          </w:p>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6 (20.0)</w:t>
            </w:r>
          </w:p>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1 (3.3)</w:t>
            </w:r>
          </w:p>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22 (73.3)</w:t>
            </w:r>
          </w:p>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0</w:t>
            </w:r>
          </w:p>
        </w:tc>
      </w:tr>
      <w:tr w:rsidR="009608DE" w:rsidRPr="00D8075A" w:rsidTr="0083398B">
        <w:tc>
          <w:tcPr>
            <w:tcW w:w="968" w:type="pct"/>
            <w:shd w:val="clear" w:color="auto" w:fill="FFFFFF"/>
            <w:tcMar>
              <w:top w:w="45" w:type="dxa"/>
              <w:left w:w="45" w:type="dxa"/>
              <w:bottom w:w="45" w:type="dxa"/>
              <w:right w:w="45" w:type="dxa"/>
            </w:tcMar>
            <w:hideMark/>
          </w:tcPr>
          <w:p w:rsidR="009608DE" w:rsidRPr="00D8075A" w:rsidRDefault="009608DE" w:rsidP="00B61512">
            <w:pPr>
              <w:widowControl/>
              <w:jc w:val="left"/>
              <w:rPr>
                <w:rFonts w:ascii="Arial Narrow" w:hAnsi="Arial Narrow" w:cs="Times New Roman"/>
                <w:b/>
                <w:snapToGrid/>
                <w:sz w:val="20"/>
                <w:lang w:eastAsia="en-AU"/>
              </w:rPr>
            </w:pPr>
            <w:r w:rsidRPr="00D8075A">
              <w:rPr>
                <w:rFonts w:ascii="Arial Narrow" w:hAnsi="Arial Narrow" w:cs="Times New Roman"/>
                <w:b/>
                <w:snapToGrid/>
                <w:sz w:val="20"/>
                <w:lang w:eastAsia="en-AU"/>
              </w:rPr>
              <w:t xml:space="preserve">ORR, </w:t>
            </w:r>
          </w:p>
          <w:p w:rsidR="009608DE" w:rsidRPr="00D8075A" w:rsidRDefault="009608DE" w:rsidP="00B61512">
            <w:pPr>
              <w:widowControl/>
              <w:jc w:val="left"/>
              <w:rPr>
                <w:rFonts w:ascii="Arial Narrow" w:hAnsi="Arial Narrow" w:cs="Times New Roman"/>
                <w:b/>
                <w:snapToGrid/>
                <w:sz w:val="20"/>
                <w:lang w:eastAsia="en-AU"/>
              </w:rPr>
            </w:pPr>
            <w:proofErr w:type="gramStart"/>
            <w:r w:rsidRPr="00D8075A">
              <w:rPr>
                <w:rFonts w:ascii="Arial Narrow" w:hAnsi="Arial Narrow" w:cs="Times New Roman"/>
                <w:snapToGrid/>
                <w:sz w:val="20"/>
                <w:lang w:eastAsia="en-AU"/>
              </w:rPr>
              <w:t>N(</w:t>
            </w:r>
            <w:proofErr w:type="gramEnd"/>
            <w:r w:rsidRPr="00D8075A">
              <w:rPr>
                <w:rFonts w:ascii="Arial Narrow" w:hAnsi="Arial Narrow" w:cs="Times New Roman"/>
                <w:snapToGrid/>
                <w:sz w:val="20"/>
                <w:lang w:eastAsia="en-AU"/>
              </w:rPr>
              <w:t>%) (95% CI)</w:t>
            </w:r>
          </w:p>
        </w:tc>
        <w:tc>
          <w:tcPr>
            <w:tcW w:w="980" w:type="pct"/>
            <w:shd w:val="clear" w:color="auto" w:fill="FFFFFF"/>
            <w:tcMar>
              <w:top w:w="45" w:type="dxa"/>
              <w:left w:w="45" w:type="dxa"/>
              <w:bottom w:w="45" w:type="dxa"/>
              <w:right w:w="45" w:type="dxa"/>
            </w:tcMar>
            <w:vAlign w:val="center"/>
            <w:hideMark/>
          </w:tcPr>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29 (33.0)</w:t>
            </w:r>
          </w:p>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(23.3, 43.8)</w:t>
            </w:r>
          </w:p>
        </w:tc>
        <w:tc>
          <w:tcPr>
            <w:tcW w:w="1195" w:type="pct"/>
            <w:shd w:val="clear" w:color="auto" w:fill="FFFFFF"/>
            <w:vAlign w:val="center"/>
          </w:tcPr>
          <w:p w:rsidR="009608DE" w:rsidRPr="00D8075A" w:rsidRDefault="009608DE" w:rsidP="00B61512">
            <w:pPr>
              <w:widowControl/>
              <w:ind w:right="-312" w:hanging="418"/>
              <w:jc w:val="center"/>
              <w:rPr>
                <w:rFonts w:ascii="Arial Narrow" w:hAnsi="Arial Narrow" w:cs="Times New Roman"/>
                <w:snapToGrid/>
                <w:sz w:val="20"/>
                <w:lang w:eastAsia="en-AU"/>
              </w:rPr>
            </w:pPr>
            <w:r w:rsidRPr="00D8075A">
              <w:rPr>
                <w:rFonts w:ascii="Arial Narrow" w:hAnsi="Arial Narrow" w:cs="Times New Roman"/>
                <w:snapToGrid/>
                <w:sz w:val="20"/>
                <w:lang w:eastAsia="en-AU"/>
              </w:rPr>
              <w:t>29 (33.0)</w:t>
            </w:r>
          </w:p>
          <w:p w:rsidR="009608DE" w:rsidRPr="00D8075A" w:rsidRDefault="009608DE" w:rsidP="00B61512">
            <w:pPr>
              <w:widowControl/>
              <w:tabs>
                <w:tab w:val="left" w:pos="1142"/>
              </w:tabs>
              <w:ind w:left="-384" w:right="-454"/>
              <w:jc w:val="center"/>
              <w:rPr>
                <w:rFonts w:ascii="Arial Narrow" w:hAnsi="Arial Narrow" w:cs="Times New Roman"/>
                <w:snapToGrid/>
                <w:sz w:val="20"/>
                <w:lang w:eastAsia="en-AU"/>
              </w:rPr>
            </w:pPr>
            <w:r w:rsidRPr="00D8075A">
              <w:rPr>
                <w:rFonts w:ascii="Arial Narrow" w:hAnsi="Arial Narrow" w:cs="Times New Roman"/>
                <w:snapToGrid/>
                <w:sz w:val="20"/>
                <w:lang w:eastAsia="en-AU"/>
              </w:rPr>
              <w:t>(23.3, 43.8)</w:t>
            </w:r>
          </w:p>
        </w:tc>
        <w:tc>
          <w:tcPr>
            <w:tcW w:w="686" w:type="pct"/>
            <w:shd w:val="clear" w:color="auto" w:fill="FFFFFF"/>
            <w:vAlign w:val="center"/>
          </w:tcPr>
          <w:p w:rsidR="009608DE" w:rsidRPr="00D8075A" w:rsidRDefault="009608DE" w:rsidP="00B61512">
            <w:pPr>
              <w:widowControl/>
              <w:ind w:left="-384"/>
              <w:jc w:val="center"/>
              <w:rPr>
                <w:rFonts w:ascii="Arial Narrow" w:hAnsi="Arial Narrow" w:cs="Times New Roman"/>
                <w:snapToGrid/>
                <w:sz w:val="20"/>
                <w:lang w:eastAsia="en-AU"/>
              </w:rPr>
            </w:pPr>
            <w:r w:rsidRPr="00D8075A">
              <w:rPr>
                <w:rFonts w:ascii="Arial Narrow" w:hAnsi="Arial Narrow" w:cs="Times New Roman"/>
                <w:snapToGrid/>
                <w:sz w:val="20"/>
                <w:lang w:eastAsia="en-AU"/>
              </w:rPr>
              <w:t>(28.6)</w:t>
            </w:r>
          </w:p>
          <w:p w:rsidR="009608DE" w:rsidRPr="00D8075A" w:rsidRDefault="009608DE" w:rsidP="00B61512">
            <w:pPr>
              <w:widowControl/>
              <w:ind w:left="-384"/>
              <w:jc w:val="center"/>
              <w:rPr>
                <w:rFonts w:ascii="Arial Narrow" w:hAnsi="Arial Narrow" w:cs="Times New Roman"/>
                <w:snapToGrid/>
                <w:sz w:val="20"/>
                <w:lang w:eastAsia="en-AU"/>
              </w:rPr>
            </w:pPr>
            <w:r w:rsidRPr="00D8075A">
              <w:rPr>
                <w:rFonts w:ascii="Arial Narrow" w:hAnsi="Arial Narrow" w:cs="Times New Roman"/>
                <w:snapToGrid/>
                <w:sz w:val="20"/>
                <w:lang w:eastAsia="en-AU"/>
              </w:rPr>
              <w:t>(8.4, 58.1)</w:t>
            </w:r>
          </w:p>
        </w:tc>
        <w:tc>
          <w:tcPr>
            <w:tcW w:w="456" w:type="pct"/>
            <w:shd w:val="clear" w:color="auto" w:fill="FFFFFF"/>
            <w:tcMar>
              <w:top w:w="45" w:type="dxa"/>
              <w:left w:w="45" w:type="dxa"/>
              <w:bottom w:w="45" w:type="dxa"/>
              <w:right w:w="45" w:type="dxa"/>
            </w:tcMar>
            <w:vAlign w:val="center"/>
            <w:hideMark/>
          </w:tcPr>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(10.3)</w:t>
            </w:r>
          </w:p>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(2.2, 27.4)</w:t>
            </w:r>
          </w:p>
        </w:tc>
        <w:tc>
          <w:tcPr>
            <w:tcW w:w="715" w:type="pct"/>
            <w:shd w:val="clear" w:color="auto" w:fill="FFFFFF"/>
            <w:tcMar>
              <w:top w:w="45" w:type="dxa"/>
              <w:left w:w="45" w:type="dxa"/>
              <w:bottom w:w="45" w:type="dxa"/>
              <w:right w:w="45" w:type="dxa"/>
            </w:tcMar>
            <w:vAlign w:val="center"/>
            <w:hideMark/>
          </w:tcPr>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7 (23.3)</w:t>
            </w:r>
          </w:p>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(9.9. 42.3)</w:t>
            </w:r>
          </w:p>
        </w:tc>
      </w:tr>
      <w:tr w:rsidR="009608DE" w:rsidRPr="00D8075A" w:rsidTr="0083398B">
        <w:tc>
          <w:tcPr>
            <w:tcW w:w="968" w:type="pct"/>
            <w:shd w:val="clear" w:color="auto" w:fill="FFFFFF"/>
            <w:tcMar>
              <w:top w:w="45" w:type="dxa"/>
              <w:left w:w="45" w:type="dxa"/>
              <w:bottom w:w="45" w:type="dxa"/>
              <w:right w:w="45" w:type="dxa"/>
            </w:tcMar>
          </w:tcPr>
          <w:p w:rsidR="009608DE" w:rsidRPr="00D8075A" w:rsidRDefault="009608DE" w:rsidP="00B61512">
            <w:pPr>
              <w:widowControl/>
              <w:jc w:val="left"/>
              <w:rPr>
                <w:rFonts w:ascii="Arial Narrow" w:hAnsi="Arial Narrow" w:cs="Times New Roman"/>
                <w:b/>
                <w:snapToGrid/>
                <w:sz w:val="20"/>
                <w:lang w:eastAsia="en-AU"/>
              </w:rPr>
            </w:pPr>
            <w:r w:rsidRPr="00D8075A">
              <w:rPr>
                <w:rFonts w:ascii="Arial Narrow" w:hAnsi="Arial Narrow" w:cs="Times New Roman"/>
                <w:b/>
                <w:snapToGrid/>
                <w:sz w:val="20"/>
                <w:lang w:eastAsia="en-AU"/>
              </w:rPr>
              <w:t>Median DOR</w:t>
            </w:r>
          </w:p>
          <w:p w:rsidR="009608DE" w:rsidRPr="00D8075A" w:rsidRDefault="009608DE" w:rsidP="00B61512">
            <w:pPr>
              <w:widowControl/>
              <w:tabs>
                <w:tab w:val="left" w:pos="200"/>
              </w:tabs>
              <w:jc w:val="left"/>
              <w:rPr>
                <w:rFonts w:ascii="Arial Narrow" w:hAnsi="Arial Narrow" w:cs="Times New Roman"/>
                <w:snapToGrid/>
                <w:sz w:val="20"/>
                <w:lang w:eastAsia="en-AU"/>
              </w:rPr>
            </w:pPr>
            <w:r w:rsidRPr="00D8075A">
              <w:rPr>
                <w:rFonts w:ascii="Arial Narrow" w:hAnsi="Arial Narrow" w:cs="Times New Roman"/>
                <w:snapToGrid/>
                <w:sz w:val="20"/>
                <w:lang w:eastAsia="en-AU"/>
              </w:rPr>
              <w:t>Median (months) (95% CI)</w:t>
            </w:r>
          </w:p>
        </w:tc>
        <w:tc>
          <w:tcPr>
            <w:tcW w:w="980" w:type="pct"/>
            <w:shd w:val="clear" w:color="auto" w:fill="FFFFFF"/>
            <w:tcMar>
              <w:top w:w="45" w:type="dxa"/>
              <w:left w:w="45" w:type="dxa"/>
              <w:bottom w:w="45" w:type="dxa"/>
              <w:right w:w="45" w:type="dxa"/>
            </w:tcMar>
            <w:vAlign w:val="center"/>
          </w:tcPr>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NE (18.0,NE)</w:t>
            </w:r>
          </w:p>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[N=29 responders]</w:t>
            </w:r>
          </w:p>
        </w:tc>
        <w:tc>
          <w:tcPr>
            <w:tcW w:w="1195" w:type="pct"/>
            <w:shd w:val="clear" w:color="auto" w:fill="FFFFFF"/>
            <w:vAlign w:val="center"/>
          </w:tcPr>
          <w:p w:rsidR="009608DE" w:rsidRPr="00D8075A" w:rsidRDefault="009608DE" w:rsidP="00B61512">
            <w:pPr>
              <w:widowControl/>
              <w:ind w:left="-418" w:right="-312"/>
              <w:jc w:val="center"/>
              <w:rPr>
                <w:rFonts w:ascii="Arial Narrow" w:hAnsi="Arial Narrow" w:cs="Times New Roman"/>
                <w:snapToGrid/>
                <w:sz w:val="20"/>
                <w:lang w:eastAsia="en-AU"/>
              </w:rPr>
            </w:pPr>
            <w:r w:rsidRPr="00D8075A">
              <w:rPr>
                <w:rFonts w:ascii="Arial Narrow" w:hAnsi="Arial Narrow" w:cs="Times New Roman"/>
                <w:snapToGrid/>
                <w:sz w:val="20"/>
                <w:lang w:eastAsia="en-AU"/>
              </w:rPr>
              <w:t>NE (18.0,NE)</w:t>
            </w:r>
          </w:p>
          <w:p w:rsidR="009608DE" w:rsidRPr="00D8075A" w:rsidRDefault="009608DE" w:rsidP="00B61512">
            <w:pPr>
              <w:widowControl/>
              <w:ind w:left="-384" w:right="-309"/>
              <w:jc w:val="center"/>
              <w:rPr>
                <w:rFonts w:ascii="Arial Narrow" w:hAnsi="Arial Narrow" w:cs="Times New Roman"/>
                <w:snapToGrid/>
                <w:sz w:val="20"/>
                <w:lang w:eastAsia="en-AU"/>
              </w:rPr>
            </w:pPr>
            <w:r w:rsidRPr="00D8075A">
              <w:rPr>
                <w:rFonts w:ascii="Arial Narrow" w:hAnsi="Arial Narrow" w:cs="Times New Roman"/>
                <w:snapToGrid/>
                <w:sz w:val="20"/>
                <w:lang w:eastAsia="en-AU"/>
              </w:rPr>
              <w:t>[N=29 responders]</w:t>
            </w:r>
          </w:p>
        </w:tc>
        <w:tc>
          <w:tcPr>
            <w:tcW w:w="686" w:type="pct"/>
            <w:shd w:val="clear" w:color="auto" w:fill="FFFFFF"/>
            <w:vAlign w:val="center"/>
          </w:tcPr>
          <w:p w:rsidR="009608DE" w:rsidRPr="00D8075A" w:rsidRDefault="009608DE" w:rsidP="00B61512">
            <w:pPr>
              <w:widowControl/>
              <w:ind w:left="-384" w:right="-350"/>
              <w:jc w:val="center"/>
              <w:rPr>
                <w:rFonts w:ascii="Arial Narrow" w:hAnsi="Arial Narrow" w:cs="Times New Roman"/>
                <w:snapToGrid/>
                <w:sz w:val="20"/>
                <w:lang w:eastAsia="en-AU"/>
              </w:rPr>
            </w:pPr>
            <w:r w:rsidRPr="00D8075A">
              <w:rPr>
                <w:rFonts w:ascii="Arial Narrow" w:hAnsi="Arial Narrow" w:cs="Times New Roman"/>
                <w:snapToGrid/>
                <w:sz w:val="20"/>
                <w:lang w:eastAsia="en-AU"/>
              </w:rPr>
              <w:t>1.7 (0.5, 3.0)</w:t>
            </w:r>
          </w:p>
        </w:tc>
        <w:tc>
          <w:tcPr>
            <w:tcW w:w="456" w:type="pct"/>
            <w:shd w:val="clear" w:color="auto" w:fill="FFFFFF"/>
            <w:tcMar>
              <w:top w:w="45" w:type="dxa"/>
              <w:left w:w="45" w:type="dxa"/>
              <w:bottom w:w="45" w:type="dxa"/>
              <w:right w:w="45" w:type="dxa"/>
            </w:tcMar>
            <w:vAlign w:val="center"/>
          </w:tcPr>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1.9 (1.3, 2.1)</w:t>
            </w:r>
          </w:p>
        </w:tc>
        <w:tc>
          <w:tcPr>
            <w:tcW w:w="715" w:type="pct"/>
            <w:shd w:val="clear" w:color="auto" w:fill="FFFFFF"/>
            <w:tcMar>
              <w:top w:w="45" w:type="dxa"/>
              <w:left w:w="45" w:type="dxa"/>
              <w:bottom w:w="45" w:type="dxa"/>
              <w:right w:w="45" w:type="dxa"/>
            </w:tcMar>
            <w:vAlign w:val="center"/>
          </w:tcPr>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3.3</w:t>
            </w:r>
          </w:p>
        </w:tc>
      </w:tr>
      <w:tr w:rsidR="009608DE" w:rsidRPr="00D8075A" w:rsidTr="0083398B">
        <w:trPr>
          <w:trHeight w:val="25"/>
        </w:trPr>
        <w:tc>
          <w:tcPr>
            <w:tcW w:w="968" w:type="pct"/>
            <w:shd w:val="clear" w:color="auto" w:fill="FFFFFF"/>
            <w:tcMar>
              <w:top w:w="45" w:type="dxa"/>
              <w:left w:w="45" w:type="dxa"/>
              <w:bottom w:w="45" w:type="dxa"/>
              <w:right w:w="45" w:type="dxa"/>
            </w:tcMar>
          </w:tcPr>
          <w:p w:rsidR="009608DE" w:rsidRPr="00D8075A" w:rsidRDefault="009608DE" w:rsidP="00B61512">
            <w:pPr>
              <w:widowControl/>
              <w:jc w:val="left"/>
              <w:rPr>
                <w:rFonts w:ascii="Arial Narrow" w:hAnsi="Arial Narrow" w:cs="Times New Roman"/>
                <w:b/>
                <w:snapToGrid/>
                <w:sz w:val="20"/>
                <w:lang w:eastAsia="en-AU"/>
              </w:rPr>
            </w:pPr>
            <w:r w:rsidRPr="00D8075A">
              <w:rPr>
                <w:rFonts w:ascii="Arial Narrow" w:hAnsi="Arial Narrow" w:cs="Times New Roman"/>
                <w:b/>
                <w:snapToGrid/>
                <w:sz w:val="20"/>
                <w:lang w:eastAsia="en-AU"/>
              </w:rPr>
              <w:t>DRR</w:t>
            </w:r>
          </w:p>
          <w:p w:rsidR="009608DE" w:rsidRPr="00D8075A" w:rsidRDefault="009608DE" w:rsidP="00B61512">
            <w:pPr>
              <w:widowControl/>
              <w:jc w:val="left"/>
              <w:rPr>
                <w:rFonts w:ascii="Arial Narrow" w:hAnsi="Arial Narrow" w:cs="Times New Roman"/>
                <w:b/>
                <w:snapToGrid/>
                <w:sz w:val="20"/>
                <w:lang w:eastAsia="en-AU"/>
              </w:rPr>
            </w:pPr>
            <w:r w:rsidRPr="00D8075A">
              <w:rPr>
                <w:rFonts w:ascii="Arial Narrow" w:hAnsi="Arial Narrow" w:cs="Times New Roman"/>
                <w:snapToGrid/>
                <w:sz w:val="20"/>
                <w:lang w:eastAsia="en-AU"/>
              </w:rPr>
              <w:t xml:space="preserve">- 6 </w:t>
            </w:r>
            <w:proofErr w:type="spellStart"/>
            <w:r w:rsidRPr="00D8075A">
              <w:rPr>
                <w:rFonts w:ascii="Arial Narrow" w:hAnsi="Arial Narrow" w:cs="Times New Roman"/>
                <w:snapToGrid/>
                <w:sz w:val="20"/>
                <w:lang w:eastAsia="en-AU"/>
              </w:rPr>
              <w:t>mths</w:t>
            </w:r>
            <w:proofErr w:type="spellEnd"/>
            <w:r w:rsidRPr="00D8075A">
              <w:rPr>
                <w:rFonts w:ascii="Arial Narrow" w:hAnsi="Arial Narrow" w:cs="Times New Roman"/>
                <w:snapToGrid/>
                <w:sz w:val="20"/>
                <w:lang w:eastAsia="en-AU"/>
              </w:rPr>
              <w:t>, % (95% CI)</w:t>
            </w:r>
          </w:p>
        </w:tc>
        <w:tc>
          <w:tcPr>
            <w:tcW w:w="980" w:type="pct"/>
            <w:shd w:val="clear" w:color="auto" w:fill="FFFFFF"/>
            <w:tcMar>
              <w:top w:w="45" w:type="dxa"/>
              <w:left w:w="45" w:type="dxa"/>
              <w:bottom w:w="45" w:type="dxa"/>
              <w:right w:w="45" w:type="dxa"/>
            </w:tcMar>
            <w:vAlign w:val="center"/>
          </w:tcPr>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30.6</w:t>
            </w:r>
          </w:p>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(21.0, 40.3)</w:t>
            </w:r>
          </w:p>
        </w:tc>
        <w:tc>
          <w:tcPr>
            <w:tcW w:w="1195" w:type="pct"/>
            <w:shd w:val="clear" w:color="auto" w:fill="FFFFFF"/>
          </w:tcPr>
          <w:p w:rsidR="009608DE" w:rsidRPr="00D8075A" w:rsidRDefault="009608DE" w:rsidP="00B61512">
            <w:pPr>
              <w:widowControl/>
              <w:tabs>
                <w:tab w:val="left" w:pos="1437"/>
              </w:tabs>
              <w:ind w:left="-384" w:right="-431"/>
              <w:jc w:val="center"/>
              <w:rPr>
                <w:rFonts w:ascii="Arial Narrow" w:hAnsi="Arial Narrow" w:cs="Times New Roman"/>
                <w:snapToGrid/>
                <w:sz w:val="20"/>
                <w:lang w:eastAsia="en-AU"/>
              </w:rPr>
            </w:pPr>
          </w:p>
          <w:p w:rsidR="009608DE" w:rsidRPr="00D8075A" w:rsidRDefault="009608DE" w:rsidP="00B61512">
            <w:pPr>
              <w:widowControl/>
              <w:tabs>
                <w:tab w:val="left" w:pos="1437"/>
              </w:tabs>
              <w:ind w:left="-384" w:right="-431"/>
              <w:jc w:val="center"/>
              <w:rPr>
                <w:rFonts w:ascii="Arial Narrow" w:hAnsi="Arial Narrow" w:cs="Times New Roman"/>
                <w:snapToGrid/>
                <w:sz w:val="20"/>
                <w:lang w:eastAsia="en-AU"/>
              </w:rPr>
            </w:pPr>
            <w:r w:rsidRPr="00D8075A">
              <w:rPr>
                <w:rFonts w:ascii="Arial Narrow" w:hAnsi="Arial Narrow" w:cs="Times New Roman"/>
                <w:snapToGrid/>
                <w:sz w:val="20"/>
                <w:lang w:eastAsia="en-AU"/>
              </w:rPr>
              <w:t>NR</w:t>
            </w:r>
          </w:p>
        </w:tc>
        <w:tc>
          <w:tcPr>
            <w:tcW w:w="686" w:type="pct"/>
            <w:shd w:val="clear" w:color="auto" w:fill="FFFFFF"/>
            <w:vAlign w:val="center"/>
          </w:tcPr>
          <w:p w:rsidR="009608DE" w:rsidRPr="00D8075A" w:rsidRDefault="009608DE" w:rsidP="00B61512">
            <w:pPr>
              <w:widowControl/>
              <w:ind w:left="-384" w:right="-350"/>
              <w:jc w:val="center"/>
              <w:rPr>
                <w:rFonts w:ascii="Arial Narrow" w:hAnsi="Arial Narrow" w:cs="Times New Roman"/>
                <w:snapToGrid/>
                <w:sz w:val="20"/>
                <w:lang w:eastAsia="en-AU"/>
              </w:rPr>
            </w:pPr>
            <w:r w:rsidRPr="00D8075A">
              <w:rPr>
                <w:rFonts w:ascii="Arial Narrow" w:hAnsi="Arial Narrow" w:cs="Times New Roman"/>
                <w:snapToGrid/>
                <w:sz w:val="20"/>
                <w:lang w:eastAsia="en-AU"/>
              </w:rPr>
              <w:t>0</w:t>
            </w:r>
          </w:p>
          <w:p w:rsidR="009608DE" w:rsidRPr="00D8075A" w:rsidRDefault="009608DE" w:rsidP="00B61512">
            <w:pPr>
              <w:widowControl/>
              <w:ind w:left="-384"/>
              <w:jc w:val="center"/>
              <w:rPr>
                <w:rFonts w:ascii="Arial Narrow" w:hAnsi="Arial Narrow" w:cs="Times New Roman"/>
                <w:snapToGrid/>
                <w:sz w:val="20"/>
                <w:lang w:eastAsia="en-AU"/>
              </w:rPr>
            </w:pPr>
            <w:r w:rsidRPr="00D8075A">
              <w:rPr>
                <w:rFonts w:ascii="Arial Narrow" w:hAnsi="Arial Narrow" w:cs="Times New Roman"/>
                <w:snapToGrid/>
                <w:sz w:val="20"/>
                <w:lang w:eastAsia="en-AU"/>
              </w:rPr>
              <w:t>(0.0, 23.2)</w:t>
            </w:r>
          </w:p>
        </w:tc>
        <w:tc>
          <w:tcPr>
            <w:tcW w:w="456" w:type="pct"/>
            <w:shd w:val="clear" w:color="auto" w:fill="FFFFFF"/>
            <w:tcMar>
              <w:top w:w="45" w:type="dxa"/>
              <w:left w:w="45" w:type="dxa"/>
              <w:bottom w:w="45" w:type="dxa"/>
              <w:right w:w="45" w:type="dxa"/>
            </w:tcMar>
            <w:vAlign w:val="center"/>
          </w:tcPr>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0</w:t>
            </w:r>
          </w:p>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(0.0, 11.9)</w:t>
            </w:r>
          </w:p>
        </w:tc>
        <w:tc>
          <w:tcPr>
            <w:tcW w:w="715" w:type="pct"/>
            <w:shd w:val="clear" w:color="auto" w:fill="FFFFFF"/>
            <w:tcMar>
              <w:top w:w="45" w:type="dxa"/>
              <w:left w:w="45" w:type="dxa"/>
              <w:bottom w:w="45" w:type="dxa"/>
              <w:right w:w="45" w:type="dxa"/>
            </w:tcMar>
            <w:vAlign w:val="center"/>
          </w:tcPr>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6.7</w:t>
            </w:r>
          </w:p>
          <w:p w:rsidR="009608DE" w:rsidRPr="00D8075A" w:rsidRDefault="009608DE" w:rsidP="00B61512">
            <w:pPr>
              <w:widowControl/>
              <w:jc w:val="center"/>
              <w:rPr>
                <w:rFonts w:ascii="Arial Narrow" w:hAnsi="Arial Narrow" w:cs="Times New Roman"/>
                <w:snapToGrid/>
                <w:sz w:val="20"/>
                <w:lang w:eastAsia="en-AU"/>
              </w:rPr>
            </w:pPr>
            <w:r w:rsidRPr="00D8075A">
              <w:rPr>
                <w:rFonts w:ascii="Arial Narrow" w:hAnsi="Arial Narrow" w:cs="Times New Roman"/>
                <w:snapToGrid/>
                <w:sz w:val="20"/>
                <w:lang w:eastAsia="en-AU"/>
              </w:rPr>
              <w:t>(0.8, 22.1)</w:t>
            </w:r>
          </w:p>
        </w:tc>
      </w:tr>
    </w:tbl>
    <w:p w:rsidR="009608DE" w:rsidRPr="00D8075A" w:rsidRDefault="009608DE" w:rsidP="009608DE">
      <w:pPr>
        <w:rPr>
          <w:rFonts w:ascii="Arial Narrow" w:hAnsi="Arial Narrow"/>
          <w:sz w:val="18"/>
        </w:rPr>
      </w:pPr>
      <w:r w:rsidRPr="00D8075A">
        <w:rPr>
          <w:rFonts w:ascii="Arial Narrow" w:hAnsi="Arial Narrow"/>
          <w:sz w:val="18"/>
        </w:rPr>
        <w:t>BOR: best overall response; RECIST: response evaluation criteria in solid tumours; CR: complete response; PR: partial response; SD: stable disease; PD: progressive disease; ITT: intent to treat; US: United States; EU: Europe; ORR: objective response rate; DOR: duration of response; DRR: durable response rate; NE: not evaluable; NR: not reported</w:t>
      </w:r>
    </w:p>
    <w:p w:rsidR="009608DE" w:rsidRPr="00D8075A" w:rsidRDefault="009608DE" w:rsidP="009608DE">
      <w:pPr>
        <w:rPr>
          <w:rFonts w:ascii="Arial Narrow" w:hAnsi="Arial Narrow"/>
          <w:sz w:val="18"/>
        </w:rPr>
      </w:pPr>
      <w:r w:rsidRPr="00D8075A">
        <w:rPr>
          <w:rFonts w:ascii="Arial Narrow" w:hAnsi="Arial Narrow"/>
          <w:sz w:val="18"/>
        </w:rPr>
        <w:t>Source: Table 2.6.1, p103 of the submission</w:t>
      </w:r>
    </w:p>
    <w:p w:rsidR="009608DE" w:rsidRPr="00D8075A" w:rsidRDefault="009608DE" w:rsidP="009608DE">
      <w:pPr>
        <w:rPr>
          <w:rFonts w:ascii="Arial Narrow" w:hAnsi="Arial Narrow"/>
          <w:sz w:val="18"/>
        </w:rPr>
      </w:pPr>
    </w:p>
    <w:p w:rsidR="009608DE" w:rsidRPr="00D8075A" w:rsidRDefault="009608DE" w:rsidP="009608DE">
      <w:pPr>
        <w:rPr>
          <w:rFonts w:ascii="Arial Narrow" w:hAnsi="Arial Narrow"/>
          <w:sz w:val="18"/>
        </w:rPr>
        <w:sectPr w:rsidR="009608DE" w:rsidRPr="00D8075A" w:rsidSect="006B1181">
          <w:pgSz w:w="16838" w:h="11906" w:orient="landscape"/>
          <w:pgMar w:top="1440" w:right="1440" w:bottom="1440" w:left="1440" w:header="708" w:footer="708" w:gutter="0"/>
          <w:cols w:space="708"/>
          <w:docGrid w:linePitch="360"/>
        </w:sectPr>
      </w:pPr>
    </w:p>
    <w:p w:rsidR="009608DE" w:rsidRPr="00D8075A" w:rsidRDefault="009608DE" w:rsidP="009608DE">
      <w:pPr>
        <w:keepNext/>
        <w:widowControl/>
        <w:jc w:val="left"/>
        <w:rPr>
          <w:rFonts w:ascii="Arial Narrow" w:hAnsi="Arial Narrow" w:cs="Arial Narrow"/>
          <w:b/>
          <w:bCs/>
          <w:snapToGrid/>
          <w:sz w:val="20"/>
        </w:rPr>
      </w:pPr>
      <w:r w:rsidRPr="00D8075A">
        <w:rPr>
          <w:rFonts w:ascii="Arial Narrow" w:hAnsi="Arial Narrow" w:cs="Arial Narrow"/>
          <w:b/>
          <w:bCs/>
          <w:snapToGrid/>
          <w:sz w:val="20"/>
        </w:rPr>
        <w:lastRenderedPageBreak/>
        <w:t>Table 5: Progression Free Survival across the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0E3"/>
        <w:tblCellMar>
          <w:left w:w="57" w:type="dxa"/>
          <w:right w:w="57" w:type="dxa"/>
        </w:tblCellMar>
        <w:tblLook w:val="04A0" w:firstRow="1" w:lastRow="0" w:firstColumn="1" w:lastColumn="0" w:noHBand="0" w:noVBand="1"/>
        <w:tblCaption w:val="Table 5: Progression Free Survival across the studies"/>
        <w:tblDescription w:val="Table 5: Progression Free Survival across the studies"/>
      </w:tblPr>
      <w:tblGrid>
        <w:gridCol w:w="1555"/>
        <w:gridCol w:w="1898"/>
        <w:gridCol w:w="1127"/>
        <w:gridCol w:w="1134"/>
        <w:gridCol w:w="1134"/>
        <w:gridCol w:w="1136"/>
        <w:gridCol w:w="1145"/>
      </w:tblGrid>
      <w:tr w:rsidR="009608DE" w:rsidRPr="00D8075A" w:rsidTr="0083398B">
        <w:trPr>
          <w:trHeight w:val="20"/>
          <w:tblHeader/>
        </w:trPr>
        <w:tc>
          <w:tcPr>
            <w:tcW w:w="852" w:type="pct"/>
            <w:vMerge w:val="restart"/>
            <w:shd w:val="clear" w:color="auto" w:fill="auto"/>
            <w:tcMar>
              <w:top w:w="45" w:type="dxa"/>
              <w:left w:w="45" w:type="dxa"/>
              <w:bottom w:w="45" w:type="dxa"/>
              <w:right w:w="45" w:type="dxa"/>
            </w:tcMar>
            <w:vAlign w:val="bottom"/>
            <w:hideMark/>
          </w:tcPr>
          <w:p w:rsidR="009608DE" w:rsidRPr="00D8075A" w:rsidRDefault="009608DE" w:rsidP="00B61512">
            <w:pPr>
              <w:widowControl/>
              <w:contextualSpacing/>
              <w:jc w:val="left"/>
              <w:rPr>
                <w:rFonts w:ascii="Arial Narrow" w:hAnsi="Arial Narrow" w:cs="Times New Roman"/>
                <w:b/>
                <w:snapToGrid/>
                <w:sz w:val="20"/>
                <w:lang w:eastAsia="en-AU"/>
              </w:rPr>
            </w:pPr>
            <w:r w:rsidRPr="00D8075A">
              <w:rPr>
                <w:rFonts w:ascii="Arial Narrow" w:hAnsi="Arial Narrow" w:cs="Times New Roman"/>
                <w:b/>
                <w:snapToGrid/>
                <w:sz w:val="20"/>
                <w:lang w:eastAsia="en-AU"/>
              </w:rPr>
              <w:t>PFS</w:t>
            </w:r>
          </w:p>
        </w:tc>
        <w:tc>
          <w:tcPr>
            <w:tcW w:w="1040" w:type="pct"/>
            <w:shd w:val="clear" w:color="auto" w:fill="auto"/>
            <w:vAlign w:val="bottom"/>
          </w:tcPr>
          <w:p w:rsidR="009608DE" w:rsidRPr="00D8075A" w:rsidRDefault="009608DE" w:rsidP="00B61512">
            <w:pPr>
              <w:widowControl/>
              <w:contextualSpacing/>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Avelumab</w:t>
            </w:r>
          </w:p>
        </w:tc>
        <w:tc>
          <w:tcPr>
            <w:tcW w:w="3109" w:type="pct"/>
            <w:gridSpan w:val="5"/>
            <w:shd w:val="clear" w:color="auto" w:fill="auto"/>
            <w:vAlign w:val="bottom"/>
          </w:tcPr>
          <w:p w:rsidR="009608DE" w:rsidRPr="00D8075A" w:rsidRDefault="009608DE" w:rsidP="00B61512">
            <w:pPr>
              <w:contextualSpacing/>
              <w:jc w:val="center"/>
              <w:rPr>
                <w:rFonts w:ascii="Arial Narrow" w:hAnsi="Arial Narrow"/>
                <w:b/>
                <w:sz w:val="20"/>
                <w:szCs w:val="20"/>
                <w:lang w:eastAsia="en-AU"/>
              </w:rPr>
            </w:pPr>
            <w:r w:rsidRPr="00D8075A">
              <w:rPr>
                <w:rFonts w:ascii="Arial Narrow" w:hAnsi="Arial Narrow"/>
                <w:b/>
                <w:sz w:val="20"/>
                <w:szCs w:val="20"/>
                <w:lang w:eastAsia="en-AU"/>
              </w:rPr>
              <w:t>CTX</w:t>
            </w:r>
          </w:p>
        </w:tc>
      </w:tr>
      <w:tr w:rsidR="009608DE" w:rsidRPr="00D8075A" w:rsidTr="0083398B">
        <w:trPr>
          <w:trHeight w:val="422"/>
          <w:tblHeader/>
        </w:trPr>
        <w:tc>
          <w:tcPr>
            <w:tcW w:w="852" w:type="pct"/>
            <w:vMerge/>
            <w:shd w:val="clear" w:color="auto" w:fill="auto"/>
            <w:tcMar>
              <w:top w:w="45" w:type="dxa"/>
              <w:left w:w="45" w:type="dxa"/>
              <w:bottom w:w="45" w:type="dxa"/>
              <w:right w:w="45" w:type="dxa"/>
            </w:tcMar>
            <w:vAlign w:val="bottom"/>
          </w:tcPr>
          <w:p w:rsidR="009608DE" w:rsidRPr="00D8075A" w:rsidRDefault="009608DE" w:rsidP="00B61512">
            <w:pPr>
              <w:widowControl/>
              <w:contextualSpacing/>
              <w:jc w:val="left"/>
              <w:rPr>
                <w:rFonts w:ascii="Arial Narrow" w:hAnsi="Arial Narrow" w:cs="Times New Roman"/>
                <w:b/>
                <w:snapToGrid/>
                <w:sz w:val="20"/>
                <w:lang w:eastAsia="en-AU"/>
              </w:rPr>
            </w:pPr>
          </w:p>
        </w:tc>
        <w:tc>
          <w:tcPr>
            <w:tcW w:w="1040" w:type="pct"/>
            <w:vMerge w:val="restart"/>
            <w:shd w:val="clear" w:color="auto" w:fill="auto"/>
            <w:tcMar>
              <w:top w:w="45" w:type="dxa"/>
              <w:left w:w="45" w:type="dxa"/>
              <w:bottom w:w="45" w:type="dxa"/>
              <w:right w:w="45" w:type="dxa"/>
            </w:tcMar>
          </w:tcPr>
          <w:p w:rsidR="009608DE" w:rsidRPr="00D8075A" w:rsidRDefault="009608DE" w:rsidP="00B61512">
            <w:pPr>
              <w:widowControl/>
              <w:contextualSpacing/>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JAVELIN Merkel 200 Part A</w:t>
            </w:r>
          </w:p>
          <w:p w:rsidR="009608DE" w:rsidRPr="00D8075A" w:rsidRDefault="009608DE" w:rsidP="00B61512">
            <w:pPr>
              <w:widowControl/>
              <w:contextualSpacing/>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24 month follow-up</w:t>
            </w:r>
          </w:p>
          <w:p w:rsidR="009608DE" w:rsidRPr="00D8075A" w:rsidRDefault="009608DE" w:rsidP="00B61512">
            <w:pPr>
              <w:widowControl/>
              <w:contextualSpacing/>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ITT</w:t>
            </w:r>
          </w:p>
          <w:p w:rsidR="009608DE" w:rsidRPr="00D8075A" w:rsidRDefault="009608DE" w:rsidP="00B61512">
            <w:pPr>
              <w:widowControl/>
              <w:contextualSpacing/>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N=88</w:t>
            </w:r>
          </w:p>
        </w:tc>
        <w:tc>
          <w:tcPr>
            <w:tcW w:w="1238" w:type="pct"/>
            <w:gridSpan w:val="2"/>
          </w:tcPr>
          <w:p w:rsidR="009608DE" w:rsidRPr="00D8075A" w:rsidRDefault="009608DE" w:rsidP="00B61512">
            <w:pPr>
              <w:widowControl/>
              <w:ind w:left="-384" w:right="-386"/>
              <w:contextualSpacing/>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Study Obs001</w:t>
            </w:r>
          </w:p>
          <w:p w:rsidR="009608DE" w:rsidRPr="00D8075A" w:rsidRDefault="009608DE" w:rsidP="00B61512">
            <w:pPr>
              <w:widowControl/>
              <w:ind w:left="-384" w:right="-307"/>
              <w:contextualSpacing/>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All Qualified</w:t>
            </w:r>
          </w:p>
        </w:tc>
        <w:tc>
          <w:tcPr>
            <w:tcW w:w="1243" w:type="pct"/>
            <w:gridSpan w:val="2"/>
            <w:shd w:val="clear" w:color="auto" w:fill="auto"/>
            <w:tcMar>
              <w:top w:w="45" w:type="dxa"/>
              <w:left w:w="45" w:type="dxa"/>
              <w:bottom w:w="45" w:type="dxa"/>
              <w:right w:w="45" w:type="dxa"/>
            </w:tcMar>
          </w:tcPr>
          <w:p w:rsidR="009608DE" w:rsidRPr="00D8075A" w:rsidRDefault="009608DE" w:rsidP="00B61512">
            <w:pPr>
              <w:widowControl/>
              <w:ind w:left="96"/>
              <w:contextualSpacing/>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Study Obs001</w:t>
            </w:r>
          </w:p>
          <w:p w:rsidR="009608DE" w:rsidRPr="00D8075A" w:rsidRDefault="009608DE" w:rsidP="00B61512">
            <w:pPr>
              <w:widowControl/>
              <w:contextualSpacing/>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Immunocompetent</w:t>
            </w:r>
          </w:p>
        </w:tc>
        <w:tc>
          <w:tcPr>
            <w:tcW w:w="627" w:type="pct"/>
            <w:vMerge w:val="restart"/>
            <w:vAlign w:val="center"/>
          </w:tcPr>
          <w:p w:rsidR="009608DE" w:rsidRPr="00D8075A" w:rsidRDefault="009608DE" w:rsidP="00B61512">
            <w:pPr>
              <w:widowControl/>
              <w:ind w:left="-375" w:right="-421"/>
              <w:contextualSpacing/>
              <w:jc w:val="center"/>
              <w:rPr>
                <w:rFonts w:ascii="Arial Narrow" w:hAnsi="Arial Narrow" w:cs="Times New Roman"/>
                <w:b/>
                <w:snapToGrid/>
                <w:sz w:val="20"/>
                <w:lang w:eastAsia="en-AU"/>
              </w:rPr>
            </w:pPr>
            <w:proofErr w:type="spellStart"/>
            <w:r w:rsidRPr="00D8075A">
              <w:rPr>
                <w:rFonts w:ascii="Arial Narrow" w:hAnsi="Arial Narrow" w:cs="Times New Roman"/>
                <w:b/>
                <w:snapToGrid/>
                <w:sz w:val="20"/>
                <w:lang w:eastAsia="en-AU"/>
              </w:rPr>
              <w:t>Iyer</w:t>
            </w:r>
            <w:proofErr w:type="spellEnd"/>
            <w:r w:rsidRPr="00D8075A">
              <w:rPr>
                <w:rFonts w:ascii="Arial Narrow" w:hAnsi="Arial Narrow" w:cs="Times New Roman"/>
                <w:b/>
                <w:snapToGrid/>
                <w:sz w:val="20"/>
                <w:lang w:eastAsia="en-AU"/>
              </w:rPr>
              <w:t xml:space="preserve"> 2016</w:t>
            </w:r>
          </w:p>
          <w:p w:rsidR="009608DE" w:rsidRPr="00D8075A" w:rsidRDefault="009608DE" w:rsidP="00B61512">
            <w:pPr>
              <w:widowControl/>
              <w:ind w:left="-399" w:right="-365"/>
              <w:contextualSpacing/>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N=30</w:t>
            </w:r>
            <w:r w:rsidRPr="00D8075A">
              <w:rPr>
                <w:rFonts w:ascii="Arial Narrow" w:hAnsi="Arial Narrow" w:cs="Times New Roman"/>
                <w:b/>
                <w:snapToGrid/>
                <w:sz w:val="20"/>
                <w:vertAlign w:val="superscript"/>
                <w:lang w:eastAsia="en-AU"/>
              </w:rPr>
              <w:t>b</w:t>
            </w:r>
          </w:p>
        </w:tc>
      </w:tr>
      <w:tr w:rsidR="009608DE" w:rsidRPr="00D8075A" w:rsidTr="0083398B">
        <w:trPr>
          <w:trHeight w:val="74"/>
          <w:tblHeader/>
        </w:trPr>
        <w:tc>
          <w:tcPr>
            <w:tcW w:w="852" w:type="pct"/>
            <w:vMerge/>
            <w:shd w:val="clear" w:color="auto" w:fill="auto"/>
            <w:tcMar>
              <w:top w:w="45" w:type="dxa"/>
              <w:left w:w="45" w:type="dxa"/>
              <w:bottom w:w="45" w:type="dxa"/>
              <w:right w:w="45" w:type="dxa"/>
            </w:tcMar>
            <w:vAlign w:val="bottom"/>
          </w:tcPr>
          <w:p w:rsidR="009608DE" w:rsidRPr="00D8075A" w:rsidRDefault="009608DE" w:rsidP="00B61512">
            <w:pPr>
              <w:widowControl/>
              <w:contextualSpacing/>
              <w:jc w:val="left"/>
              <w:rPr>
                <w:rFonts w:ascii="Arial Narrow" w:hAnsi="Arial Narrow" w:cs="Times New Roman"/>
                <w:b/>
                <w:snapToGrid/>
                <w:sz w:val="20"/>
                <w:lang w:eastAsia="en-AU"/>
              </w:rPr>
            </w:pPr>
          </w:p>
        </w:tc>
        <w:tc>
          <w:tcPr>
            <w:tcW w:w="1040" w:type="pct"/>
            <w:vMerge/>
            <w:shd w:val="clear" w:color="auto" w:fill="auto"/>
            <w:tcMar>
              <w:top w:w="45" w:type="dxa"/>
              <w:left w:w="45" w:type="dxa"/>
              <w:bottom w:w="45" w:type="dxa"/>
              <w:right w:w="45" w:type="dxa"/>
            </w:tcMar>
          </w:tcPr>
          <w:p w:rsidR="009608DE" w:rsidRPr="00D8075A" w:rsidRDefault="009608DE" w:rsidP="00B61512">
            <w:pPr>
              <w:widowControl/>
              <w:contextualSpacing/>
              <w:jc w:val="center"/>
              <w:rPr>
                <w:rFonts w:ascii="Arial Narrow" w:hAnsi="Arial Narrow" w:cs="Times New Roman"/>
                <w:b/>
                <w:snapToGrid/>
                <w:sz w:val="20"/>
                <w:lang w:eastAsia="en-AU"/>
              </w:rPr>
            </w:pPr>
          </w:p>
        </w:tc>
        <w:tc>
          <w:tcPr>
            <w:tcW w:w="617" w:type="pct"/>
          </w:tcPr>
          <w:p w:rsidR="009608DE" w:rsidRPr="00D8075A" w:rsidRDefault="009608DE" w:rsidP="00B61512">
            <w:pPr>
              <w:widowControl/>
              <w:ind w:left="-384" w:right="-386"/>
              <w:contextualSpacing/>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Part A (US)</w:t>
            </w:r>
          </w:p>
          <w:p w:rsidR="009608DE" w:rsidRPr="00D8075A" w:rsidRDefault="009608DE" w:rsidP="00B61512">
            <w:pPr>
              <w:widowControl/>
              <w:ind w:left="-384" w:right="-304"/>
              <w:contextualSpacing/>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N=20</w:t>
            </w:r>
          </w:p>
        </w:tc>
        <w:tc>
          <w:tcPr>
            <w:tcW w:w="621" w:type="pct"/>
          </w:tcPr>
          <w:p w:rsidR="009608DE" w:rsidRPr="00D8075A" w:rsidRDefault="009608DE" w:rsidP="00B61512">
            <w:pPr>
              <w:widowControl/>
              <w:ind w:left="-309" w:right="-305"/>
              <w:contextualSpacing/>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Part B (EU)</w:t>
            </w:r>
          </w:p>
          <w:p w:rsidR="009608DE" w:rsidRPr="00D8075A" w:rsidRDefault="009608DE" w:rsidP="00B61512">
            <w:pPr>
              <w:widowControl/>
              <w:ind w:left="-309" w:right="-305"/>
              <w:contextualSpacing/>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N=30</w:t>
            </w:r>
          </w:p>
        </w:tc>
        <w:tc>
          <w:tcPr>
            <w:tcW w:w="621" w:type="pct"/>
            <w:shd w:val="clear" w:color="auto" w:fill="auto"/>
            <w:tcMar>
              <w:top w:w="45" w:type="dxa"/>
              <w:left w:w="45" w:type="dxa"/>
              <w:bottom w:w="45" w:type="dxa"/>
              <w:right w:w="45" w:type="dxa"/>
            </w:tcMar>
          </w:tcPr>
          <w:p w:rsidR="009608DE" w:rsidRPr="00D8075A" w:rsidRDefault="009608DE" w:rsidP="00B61512">
            <w:pPr>
              <w:widowControl/>
              <w:ind w:left="92"/>
              <w:contextualSpacing/>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Part A (US)</w:t>
            </w:r>
          </w:p>
          <w:p w:rsidR="009608DE" w:rsidRPr="00D8075A" w:rsidRDefault="009608DE" w:rsidP="00B61512">
            <w:pPr>
              <w:widowControl/>
              <w:ind w:left="92"/>
              <w:contextualSpacing/>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N=14</w:t>
            </w:r>
          </w:p>
        </w:tc>
        <w:tc>
          <w:tcPr>
            <w:tcW w:w="622" w:type="pct"/>
            <w:shd w:val="clear" w:color="auto" w:fill="auto"/>
          </w:tcPr>
          <w:p w:rsidR="009608DE" w:rsidRPr="00D8075A" w:rsidRDefault="009608DE" w:rsidP="00B61512">
            <w:pPr>
              <w:widowControl/>
              <w:ind w:left="-353" w:right="-383"/>
              <w:contextualSpacing/>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Part B (EU)</w:t>
            </w:r>
          </w:p>
          <w:p w:rsidR="009608DE" w:rsidRPr="00D8075A" w:rsidRDefault="009608DE" w:rsidP="00B61512">
            <w:pPr>
              <w:widowControl/>
              <w:ind w:left="-353" w:right="-383"/>
              <w:contextualSpacing/>
              <w:jc w:val="center"/>
              <w:rPr>
                <w:rFonts w:ascii="Arial Narrow" w:hAnsi="Arial Narrow" w:cs="Times New Roman"/>
                <w:b/>
                <w:snapToGrid/>
                <w:sz w:val="20"/>
                <w:lang w:eastAsia="en-AU"/>
              </w:rPr>
            </w:pPr>
            <w:r w:rsidRPr="00D8075A">
              <w:rPr>
                <w:rFonts w:ascii="Arial Narrow" w:hAnsi="Arial Narrow" w:cs="Times New Roman"/>
                <w:b/>
                <w:snapToGrid/>
                <w:sz w:val="20"/>
                <w:lang w:eastAsia="en-AU"/>
              </w:rPr>
              <w:t>N=29</w:t>
            </w:r>
          </w:p>
        </w:tc>
        <w:tc>
          <w:tcPr>
            <w:tcW w:w="627" w:type="pct"/>
            <w:vMerge/>
            <w:vAlign w:val="center"/>
          </w:tcPr>
          <w:p w:rsidR="009608DE" w:rsidRPr="00D8075A" w:rsidRDefault="009608DE" w:rsidP="00B61512">
            <w:pPr>
              <w:widowControl/>
              <w:ind w:left="-375" w:right="-421"/>
              <w:contextualSpacing/>
              <w:jc w:val="center"/>
              <w:rPr>
                <w:rFonts w:ascii="Arial Narrow" w:hAnsi="Arial Narrow" w:cs="Times New Roman"/>
                <w:b/>
                <w:snapToGrid/>
                <w:sz w:val="20"/>
                <w:lang w:eastAsia="en-AU"/>
              </w:rPr>
            </w:pPr>
          </w:p>
        </w:tc>
      </w:tr>
      <w:tr w:rsidR="009608DE" w:rsidRPr="00D8075A" w:rsidTr="0083398B">
        <w:trPr>
          <w:trHeight w:val="570"/>
        </w:trPr>
        <w:tc>
          <w:tcPr>
            <w:tcW w:w="852" w:type="pct"/>
            <w:shd w:val="clear" w:color="auto" w:fill="FFFFFF"/>
            <w:tcMar>
              <w:top w:w="45" w:type="dxa"/>
              <w:left w:w="45" w:type="dxa"/>
              <w:bottom w:w="45" w:type="dxa"/>
              <w:right w:w="45" w:type="dxa"/>
            </w:tcMar>
            <w:hideMark/>
          </w:tcPr>
          <w:p w:rsidR="009608DE" w:rsidRPr="00D8075A" w:rsidRDefault="009608DE" w:rsidP="00B61512">
            <w:pPr>
              <w:widowControl/>
              <w:tabs>
                <w:tab w:val="left" w:pos="175"/>
              </w:tabs>
              <w:contextualSpacing/>
              <w:jc w:val="left"/>
              <w:rPr>
                <w:rFonts w:ascii="Arial Narrow" w:hAnsi="Arial Narrow" w:cs="Times New Roman"/>
                <w:b/>
                <w:snapToGrid/>
                <w:sz w:val="20"/>
                <w:lang w:eastAsia="en-AU"/>
              </w:rPr>
            </w:pPr>
            <w:r w:rsidRPr="00D8075A">
              <w:rPr>
                <w:rFonts w:ascii="Arial Narrow" w:hAnsi="Arial Narrow" w:cs="Times New Roman"/>
                <w:b/>
                <w:snapToGrid/>
                <w:sz w:val="20"/>
                <w:lang w:eastAsia="en-AU"/>
              </w:rPr>
              <w:t>Median PFS</w:t>
            </w:r>
          </w:p>
          <w:p w:rsidR="009608DE" w:rsidRPr="00D8075A" w:rsidRDefault="009608DE" w:rsidP="00B61512">
            <w:pPr>
              <w:widowControl/>
              <w:tabs>
                <w:tab w:val="left" w:pos="175"/>
              </w:tabs>
              <w:contextualSpacing/>
              <w:jc w:val="left"/>
              <w:rPr>
                <w:rFonts w:ascii="Arial Narrow" w:hAnsi="Arial Narrow" w:cs="Times New Roman"/>
                <w:snapToGrid/>
                <w:sz w:val="20"/>
                <w:lang w:eastAsia="en-AU"/>
              </w:rPr>
            </w:pPr>
            <w:r w:rsidRPr="00D8075A">
              <w:rPr>
                <w:rFonts w:ascii="Arial Narrow" w:hAnsi="Arial Narrow" w:cs="Times New Roman"/>
                <w:snapToGrid/>
                <w:sz w:val="20"/>
                <w:lang w:eastAsia="en-AU"/>
              </w:rPr>
              <w:t>Months (95% CI)</w:t>
            </w:r>
          </w:p>
          <w:p w:rsidR="009608DE" w:rsidRPr="00D8075A" w:rsidRDefault="009608DE" w:rsidP="00B61512">
            <w:pPr>
              <w:widowControl/>
              <w:tabs>
                <w:tab w:val="left" w:pos="175"/>
              </w:tabs>
              <w:contextualSpacing/>
              <w:jc w:val="left"/>
              <w:rPr>
                <w:rFonts w:ascii="Arial Narrow" w:hAnsi="Arial Narrow" w:cs="Times New Roman"/>
                <w:snapToGrid/>
                <w:sz w:val="20"/>
                <w:lang w:eastAsia="en-AU"/>
              </w:rPr>
            </w:pPr>
            <w:r w:rsidRPr="00D8075A">
              <w:rPr>
                <w:rFonts w:ascii="Arial Narrow" w:hAnsi="Arial Narrow" w:cs="Times New Roman"/>
                <w:snapToGrid/>
                <w:sz w:val="20"/>
                <w:lang w:eastAsia="en-AU"/>
              </w:rPr>
              <w:t>Min, max</w:t>
            </w:r>
          </w:p>
        </w:tc>
        <w:tc>
          <w:tcPr>
            <w:tcW w:w="1040" w:type="pct"/>
            <w:shd w:val="clear" w:color="auto" w:fill="FFFFFF"/>
            <w:tcMar>
              <w:top w:w="45" w:type="dxa"/>
              <w:left w:w="45" w:type="dxa"/>
              <w:bottom w:w="45" w:type="dxa"/>
              <w:right w:w="45" w:type="dxa"/>
            </w:tcMar>
          </w:tcPr>
          <w:p w:rsidR="009608DE" w:rsidRPr="00D8075A" w:rsidRDefault="009608DE" w:rsidP="00B61512">
            <w:pPr>
              <w:widowControl/>
              <w:contextualSpacing/>
              <w:jc w:val="center"/>
              <w:rPr>
                <w:rFonts w:ascii="Arial Narrow" w:hAnsi="Arial Narrow" w:cs="Times New Roman"/>
                <w:snapToGrid/>
                <w:sz w:val="20"/>
                <w:lang w:eastAsia="en-AU"/>
              </w:rPr>
            </w:pPr>
          </w:p>
          <w:p w:rsidR="009608DE" w:rsidRPr="00D8075A" w:rsidRDefault="009608DE" w:rsidP="00B61512">
            <w:pPr>
              <w:widowControl/>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2.7 (1.4, 6.9)</w:t>
            </w:r>
          </w:p>
          <w:p w:rsidR="009608DE" w:rsidRPr="00D8075A" w:rsidRDefault="009608DE" w:rsidP="00B61512">
            <w:pPr>
              <w:widowControl/>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0.03, 35.9+</w:t>
            </w:r>
          </w:p>
        </w:tc>
        <w:tc>
          <w:tcPr>
            <w:tcW w:w="617" w:type="pct"/>
            <w:shd w:val="clear" w:color="auto" w:fill="FFFFFF"/>
          </w:tcPr>
          <w:p w:rsidR="009608DE" w:rsidRPr="00D8075A" w:rsidRDefault="009608DE" w:rsidP="00B61512">
            <w:pPr>
              <w:widowControl/>
              <w:contextualSpacing/>
              <w:jc w:val="center"/>
              <w:rPr>
                <w:rFonts w:ascii="Arial Narrow" w:hAnsi="Arial Narrow" w:cs="Times New Roman"/>
                <w:snapToGrid/>
                <w:sz w:val="20"/>
                <w:lang w:eastAsia="en-AU"/>
              </w:rPr>
            </w:pPr>
          </w:p>
          <w:p w:rsidR="009608DE" w:rsidRPr="00D8075A" w:rsidRDefault="009608DE" w:rsidP="00B61512">
            <w:pPr>
              <w:widowControl/>
              <w:ind w:left="-405" w:right="-386"/>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2.1 (1.0, 3.2)</w:t>
            </w:r>
          </w:p>
        </w:tc>
        <w:tc>
          <w:tcPr>
            <w:tcW w:w="621" w:type="pct"/>
            <w:shd w:val="clear" w:color="auto" w:fill="FFFFFF"/>
            <w:tcMar>
              <w:top w:w="45" w:type="dxa"/>
              <w:left w:w="45" w:type="dxa"/>
              <w:bottom w:w="45" w:type="dxa"/>
              <w:right w:w="45" w:type="dxa"/>
            </w:tcMar>
          </w:tcPr>
          <w:p w:rsidR="009608DE" w:rsidRPr="00D8075A" w:rsidRDefault="009608DE" w:rsidP="00B61512">
            <w:pPr>
              <w:widowControl/>
              <w:contextualSpacing/>
              <w:jc w:val="center"/>
              <w:rPr>
                <w:rFonts w:ascii="Arial Narrow" w:hAnsi="Arial Narrow" w:cs="Times New Roman"/>
                <w:snapToGrid/>
                <w:sz w:val="20"/>
                <w:lang w:eastAsia="en-AU"/>
              </w:rPr>
            </w:pPr>
          </w:p>
          <w:p w:rsidR="009608DE" w:rsidRPr="00D8075A" w:rsidRDefault="009608DE" w:rsidP="00B61512">
            <w:pPr>
              <w:widowControl/>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3.0 (2.6, 3.1)</w:t>
            </w:r>
          </w:p>
        </w:tc>
        <w:tc>
          <w:tcPr>
            <w:tcW w:w="621" w:type="pct"/>
            <w:shd w:val="clear" w:color="auto" w:fill="FFFFFF"/>
            <w:tcMar>
              <w:top w:w="45" w:type="dxa"/>
              <w:left w:w="45" w:type="dxa"/>
              <w:bottom w:w="45" w:type="dxa"/>
              <w:right w:w="45" w:type="dxa"/>
            </w:tcMar>
          </w:tcPr>
          <w:p w:rsidR="009608DE" w:rsidRPr="00D8075A" w:rsidRDefault="009608DE" w:rsidP="00B61512">
            <w:pPr>
              <w:widowControl/>
              <w:contextualSpacing/>
              <w:jc w:val="center"/>
              <w:rPr>
                <w:rFonts w:ascii="Arial Narrow" w:hAnsi="Arial Narrow" w:cs="Times New Roman"/>
                <w:snapToGrid/>
                <w:sz w:val="20"/>
                <w:lang w:eastAsia="en-AU"/>
              </w:rPr>
            </w:pPr>
          </w:p>
          <w:p w:rsidR="009608DE" w:rsidRPr="00D8075A" w:rsidRDefault="009608DE" w:rsidP="00B61512">
            <w:pPr>
              <w:widowControl/>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2.2 (1.2, 3.5)</w:t>
            </w:r>
          </w:p>
        </w:tc>
        <w:tc>
          <w:tcPr>
            <w:tcW w:w="622" w:type="pct"/>
            <w:shd w:val="clear" w:color="auto" w:fill="FFFFFF"/>
          </w:tcPr>
          <w:p w:rsidR="009608DE" w:rsidRPr="00D8075A" w:rsidRDefault="009608DE" w:rsidP="00B61512">
            <w:pPr>
              <w:widowControl/>
              <w:ind w:left="-361" w:right="-375"/>
              <w:contextualSpacing/>
              <w:jc w:val="center"/>
              <w:rPr>
                <w:rFonts w:ascii="Arial Narrow" w:hAnsi="Arial Narrow" w:cs="Times New Roman"/>
                <w:snapToGrid/>
                <w:sz w:val="20"/>
                <w:lang w:eastAsia="en-AU"/>
              </w:rPr>
            </w:pPr>
          </w:p>
          <w:p w:rsidR="009608DE" w:rsidRPr="00D8075A" w:rsidRDefault="009608DE" w:rsidP="00B61512">
            <w:pPr>
              <w:widowControl/>
              <w:ind w:left="-361" w:right="-375"/>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3.0 (2.5, 3.2)</w:t>
            </w:r>
          </w:p>
        </w:tc>
        <w:tc>
          <w:tcPr>
            <w:tcW w:w="627" w:type="pct"/>
            <w:shd w:val="clear" w:color="auto" w:fill="FFFFFF"/>
          </w:tcPr>
          <w:p w:rsidR="009608DE" w:rsidRPr="00D8075A" w:rsidRDefault="009608DE" w:rsidP="00B61512">
            <w:pPr>
              <w:widowControl/>
              <w:contextualSpacing/>
              <w:jc w:val="center"/>
              <w:rPr>
                <w:rFonts w:ascii="Arial Narrow" w:hAnsi="Arial Narrow" w:cs="Times New Roman"/>
                <w:snapToGrid/>
                <w:sz w:val="20"/>
                <w:lang w:eastAsia="en-AU"/>
              </w:rPr>
            </w:pPr>
          </w:p>
          <w:p w:rsidR="009608DE" w:rsidRPr="00D8075A" w:rsidRDefault="009608DE" w:rsidP="00B61512">
            <w:pPr>
              <w:widowControl/>
              <w:ind w:left="-383" w:right="-415"/>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2.0 (1.3, 2.7)</w:t>
            </w:r>
          </w:p>
          <w:p w:rsidR="009608DE" w:rsidRPr="00D8075A" w:rsidRDefault="009608DE" w:rsidP="00B61512">
            <w:pPr>
              <w:widowControl/>
              <w:ind w:left="-383" w:right="-415"/>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(61 days)</w:t>
            </w:r>
          </w:p>
        </w:tc>
      </w:tr>
      <w:tr w:rsidR="009608DE" w:rsidRPr="00D8075A" w:rsidTr="0083398B">
        <w:tc>
          <w:tcPr>
            <w:tcW w:w="852" w:type="pct"/>
            <w:shd w:val="clear" w:color="auto" w:fill="FFFFFF"/>
            <w:tcMar>
              <w:top w:w="45" w:type="dxa"/>
              <w:left w:w="45" w:type="dxa"/>
              <w:bottom w:w="45" w:type="dxa"/>
              <w:right w:w="45" w:type="dxa"/>
            </w:tcMar>
            <w:vAlign w:val="center"/>
            <w:hideMark/>
          </w:tcPr>
          <w:p w:rsidR="009608DE" w:rsidRPr="00D8075A" w:rsidRDefault="009608DE" w:rsidP="0066113E">
            <w:pPr>
              <w:widowControl/>
              <w:contextualSpacing/>
              <w:jc w:val="left"/>
              <w:rPr>
                <w:rFonts w:ascii="Arial Narrow" w:hAnsi="Arial Narrow" w:cs="Times New Roman"/>
                <w:snapToGrid/>
                <w:sz w:val="20"/>
                <w:lang w:eastAsia="en-AU"/>
              </w:rPr>
            </w:pPr>
            <w:r w:rsidRPr="00D8075A">
              <w:rPr>
                <w:rFonts w:ascii="Arial Narrow" w:hAnsi="Arial Narrow" w:cs="Times New Roman"/>
                <w:snapToGrid/>
                <w:sz w:val="20"/>
                <w:lang w:eastAsia="en-AU"/>
              </w:rPr>
              <w:t>6-mth PFS rate by KM, % (95% CI)</w:t>
            </w:r>
          </w:p>
        </w:tc>
        <w:tc>
          <w:tcPr>
            <w:tcW w:w="1040" w:type="pct"/>
            <w:shd w:val="clear" w:color="auto" w:fill="FFFFFF"/>
            <w:tcMar>
              <w:top w:w="45" w:type="dxa"/>
              <w:left w:w="45" w:type="dxa"/>
              <w:bottom w:w="45" w:type="dxa"/>
              <w:right w:w="45" w:type="dxa"/>
            </w:tcMar>
            <w:vAlign w:val="center"/>
          </w:tcPr>
          <w:p w:rsidR="009608DE" w:rsidRPr="00D8075A" w:rsidRDefault="009608DE" w:rsidP="0066113E">
            <w:pPr>
              <w:widowControl/>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40 (29, 50)</w:t>
            </w:r>
          </w:p>
        </w:tc>
        <w:tc>
          <w:tcPr>
            <w:tcW w:w="617" w:type="pct"/>
            <w:shd w:val="clear" w:color="auto" w:fill="FFFFFF"/>
            <w:vAlign w:val="center"/>
          </w:tcPr>
          <w:p w:rsidR="009608DE" w:rsidRPr="00D8075A" w:rsidRDefault="009608DE" w:rsidP="0066113E">
            <w:pPr>
              <w:widowControl/>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0</w:t>
            </w:r>
          </w:p>
        </w:tc>
        <w:tc>
          <w:tcPr>
            <w:tcW w:w="621" w:type="pct"/>
            <w:shd w:val="clear" w:color="auto" w:fill="FFFFFF"/>
            <w:tcMar>
              <w:top w:w="45" w:type="dxa"/>
              <w:left w:w="45" w:type="dxa"/>
              <w:bottom w:w="45" w:type="dxa"/>
              <w:right w:w="45" w:type="dxa"/>
            </w:tcMar>
            <w:vAlign w:val="center"/>
          </w:tcPr>
          <w:p w:rsidR="009608DE" w:rsidRPr="00D8075A" w:rsidRDefault="009608DE" w:rsidP="0066113E">
            <w:pPr>
              <w:widowControl/>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2.9 (0.2,13.0)</w:t>
            </w:r>
          </w:p>
        </w:tc>
        <w:tc>
          <w:tcPr>
            <w:tcW w:w="621" w:type="pct"/>
            <w:shd w:val="clear" w:color="auto" w:fill="FFFFFF"/>
            <w:tcMar>
              <w:top w:w="45" w:type="dxa"/>
              <w:left w:w="45" w:type="dxa"/>
              <w:bottom w:w="45" w:type="dxa"/>
              <w:right w:w="45" w:type="dxa"/>
            </w:tcMar>
            <w:vAlign w:val="center"/>
          </w:tcPr>
          <w:p w:rsidR="009608DE" w:rsidRPr="00D8075A" w:rsidRDefault="009608DE" w:rsidP="0066113E">
            <w:pPr>
              <w:widowControl/>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0</w:t>
            </w:r>
          </w:p>
        </w:tc>
        <w:tc>
          <w:tcPr>
            <w:tcW w:w="622" w:type="pct"/>
            <w:shd w:val="clear" w:color="auto" w:fill="FFFFFF"/>
            <w:vAlign w:val="center"/>
          </w:tcPr>
          <w:p w:rsidR="009608DE" w:rsidRPr="00D8075A" w:rsidRDefault="009608DE" w:rsidP="0066113E">
            <w:pPr>
              <w:widowControl/>
              <w:ind w:left="-446" w:right="-432"/>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3.4 (0.3, 14.9)</w:t>
            </w:r>
          </w:p>
        </w:tc>
        <w:tc>
          <w:tcPr>
            <w:tcW w:w="627" w:type="pct"/>
            <w:shd w:val="clear" w:color="auto" w:fill="FFFFFF"/>
            <w:vAlign w:val="center"/>
          </w:tcPr>
          <w:p w:rsidR="009608DE" w:rsidRPr="00D8075A" w:rsidRDefault="009608DE" w:rsidP="0066113E">
            <w:pPr>
              <w:widowControl/>
              <w:ind w:left="-326" w:right="-329"/>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13 (4, 28)</w:t>
            </w:r>
          </w:p>
        </w:tc>
      </w:tr>
      <w:tr w:rsidR="009608DE" w:rsidRPr="00D8075A" w:rsidTr="0083398B">
        <w:trPr>
          <w:trHeight w:val="25"/>
        </w:trPr>
        <w:tc>
          <w:tcPr>
            <w:tcW w:w="852" w:type="pct"/>
            <w:shd w:val="clear" w:color="auto" w:fill="FFFFFF"/>
            <w:tcMar>
              <w:top w:w="45" w:type="dxa"/>
              <w:left w:w="45" w:type="dxa"/>
              <w:bottom w:w="45" w:type="dxa"/>
              <w:right w:w="45" w:type="dxa"/>
            </w:tcMar>
            <w:vAlign w:val="center"/>
          </w:tcPr>
          <w:p w:rsidR="009608DE" w:rsidRPr="00D8075A" w:rsidRDefault="009608DE" w:rsidP="0066113E">
            <w:pPr>
              <w:widowControl/>
              <w:tabs>
                <w:tab w:val="left" w:pos="200"/>
              </w:tabs>
              <w:contextualSpacing/>
              <w:jc w:val="left"/>
              <w:rPr>
                <w:rFonts w:ascii="Arial Narrow" w:hAnsi="Arial Narrow" w:cs="Times New Roman"/>
                <w:snapToGrid/>
                <w:sz w:val="20"/>
                <w:lang w:eastAsia="en-AU"/>
              </w:rPr>
            </w:pPr>
            <w:r w:rsidRPr="00D8075A">
              <w:rPr>
                <w:rFonts w:ascii="Arial Narrow" w:hAnsi="Arial Narrow" w:cs="Times New Roman"/>
                <w:snapToGrid/>
                <w:sz w:val="20"/>
                <w:lang w:eastAsia="en-AU"/>
              </w:rPr>
              <w:t>12-mth PFS rate by KM, % (95% CI)</w:t>
            </w:r>
          </w:p>
        </w:tc>
        <w:tc>
          <w:tcPr>
            <w:tcW w:w="1040" w:type="pct"/>
            <w:shd w:val="clear" w:color="auto" w:fill="FFFFFF"/>
            <w:tcMar>
              <w:top w:w="45" w:type="dxa"/>
              <w:left w:w="45" w:type="dxa"/>
              <w:bottom w:w="45" w:type="dxa"/>
              <w:right w:w="45" w:type="dxa"/>
            </w:tcMar>
            <w:vAlign w:val="center"/>
          </w:tcPr>
          <w:p w:rsidR="009608DE" w:rsidRPr="00D8075A" w:rsidRDefault="009608DE" w:rsidP="0066113E">
            <w:pPr>
              <w:widowControl/>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29 (19, 39)</w:t>
            </w:r>
          </w:p>
        </w:tc>
        <w:tc>
          <w:tcPr>
            <w:tcW w:w="617" w:type="pct"/>
            <w:shd w:val="clear" w:color="auto" w:fill="FFFFFF"/>
            <w:vAlign w:val="center"/>
          </w:tcPr>
          <w:p w:rsidR="009608DE" w:rsidRPr="00D8075A" w:rsidRDefault="009608DE" w:rsidP="0066113E">
            <w:pPr>
              <w:widowControl/>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0</w:t>
            </w:r>
          </w:p>
        </w:tc>
        <w:tc>
          <w:tcPr>
            <w:tcW w:w="621" w:type="pct"/>
            <w:shd w:val="clear" w:color="auto" w:fill="FFFFFF"/>
            <w:tcMar>
              <w:top w:w="45" w:type="dxa"/>
              <w:left w:w="45" w:type="dxa"/>
              <w:bottom w:w="45" w:type="dxa"/>
              <w:right w:w="45" w:type="dxa"/>
            </w:tcMar>
            <w:vAlign w:val="center"/>
          </w:tcPr>
          <w:p w:rsidR="009608DE" w:rsidRPr="00D8075A" w:rsidRDefault="009608DE" w:rsidP="0066113E">
            <w:pPr>
              <w:widowControl/>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0</w:t>
            </w:r>
          </w:p>
        </w:tc>
        <w:tc>
          <w:tcPr>
            <w:tcW w:w="621" w:type="pct"/>
            <w:shd w:val="clear" w:color="auto" w:fill="FFFFFF"/>
            <w:tcMar>
              <w:top w:w="45" w:type="dxa"/>
              <w:left w:w="45" w:type="dxa"/>
              <w:bottom w:w="45" w:type="dxa"/>
              <w:right w:w="45" w:type="dxa"/>
            </w:tcMar>
            <w:vAlign w:val="center"/>
          </w:tcPr>
          <w:p w:rsidR="009608DE" w:rsidRPr="00D8075A" w:rsidRDefault="009608DE" w:rsidP="0066113E">
            <w:pPr>
              <w:widowControl/>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0</w:t>
            </w:r>
          </w:p>
        </w:tc>
        <w:tc>
          <w:tcPr>
            <w:tcW w:w="622" w:type="pct"/>
            <w:shd w:val="clear" w:color="auto" w:fill="FFFFFF"/>
            <w:vAlign w:val="center"/>
          </w:tcPr>
          <w:p w:rsidR="009608DE" w:rsidRPr="00D8075A" w:rsidRDefault="009608DE" w:rsidP="0066113E">
            <w:pPr>
              <w:widowControl/>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0</w:t>
            </w:r>
          </w:p>
        </w:tc>
        <w:tc>
          <w:tcPr>
            <w:tcW w:w="627" w:type="pct"/>
            <w:shd w:val="clear" w:color="auto" w:fill="FFFFFF"/>
            <w:vAlign w:val="center"/>
          </w:tcPr>
          <w:p w:rsidR="009608DE" w:rsidRPr="00D8075A" w:rsidRDefault="009608DE" w:rsidP="0066113E">
            <w:pPr>
              <w:widowControl/>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0</w:t>
            </w:r>
          </w:p>
        </w:tc>
      </w:tr>
      <w:tr w:rsidR="009608DE" w:rsidRPr="00D8075A" w:rsidTr="0083398B">
        <w:trPr>
          <w:trHeight w:val="25"/>
        </w:trPr>
        <w:tc>
          <w:tcPr>
            <w:tcW w:w="852" w:type="pct"/>
            <w:shd w:val="clear" w:color="auto" w:fill="FFFFFF"/>
            <w:tcMar>
              <w:top w:w="45" w:type="dxa"/>
              <w:left w:w="45" w:type="dxa"/>
              <w:bottom w:w="45" w:type="dxa"/>
              <w:right w:w="45" w:type="dxa"/>
            </w:tcMar>
            <w:vAlign w:val="center"/>
          </w:tcPr>
          <w:p w:rsidR="009608DE" w:rsidRPr="00D8075A" w:rsidRDefault="009608DE" w:rsidP="0066113E">
            <w:pPr>
              <w:widowControl/>
              <w:contextualSpacing/>
              <w:jc w:val="left"/>
              <w:rPr>
                <w:rFonts w:ascii="Arial Narrow" w:hAnsi="Arial Narrow" w:cs="Times New Roman"/>
                <w:snapToGrid/>
                <w:sz w:val="20"/>
                <w:lang w:eastAsia="en-AU"/>
              </w:rPr>
            </w:pPr>
            <w:r w:rsidRPr="00D8075A">
              <w:rPr>
                <w:rFonts w:ascii="Arial Narrow" w:hAnsi="Arial Narrow" w:cs="Times New Roman"/>
                <w:snapToGrid/>
                <w:sz w:val="20"/>
                <w:lang w:eastAsia="en-AU"/>
              </w:rPr>
              <w:t>15-mth PFS rate by KM, % (95% CI)</w:t>
            </w:r>
          </w:p>
        </w:tc>
        <w:tc>
          <w:tcPr>
            <w:tcW w:w="1040" w:type="pct"/>
            <w:shd w:val="clear" w:color="auto" w:fill="FFFFFF"/>
            <w:tcMar>
              <w:top w:w="45" w:type="dxa"/>
              <w:left w:w="45" w:type="dxa"/>
              <w:bottom w:w="45" w:type="dxa"/>
              <w:right w:w="45" w:type="dxa"/>
            </w:tcMar>
            <w:vAlign w:val="center"/>
          </w:tcPr>
          <w:p w:rsidR="009608DE" w:rsidRPr="00D8075A" w:rsidRDefault="009608DE" w:rsidP="0066113E">
            <w:pPr>
              <w:widowControl/>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29 (19, 39)</w:t>
            </w:r>
          </w:p>
        </w:tc>
        <w:tc>
          <w:tcPr>
            <w:tcW w:w="617" w:type="pct"/>
            <w:shd w:val="clear" w:color="auto" w:fill="FFFFFF"/>
            <w:vAlign w:val="center"/>
          </w:tcPr>
          <w:p w:rsidR="009608DE" w:rsidRPr="00D8075A" w:rsidRDefault="009608DE" w:rsidP="0066113E">
            <w:pPr>
              <w:widowControl/>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w:t>
            </w:r>
          </w:p>
        </w:tc>
        <w:tc>
          <w:tcPr>
            <w:tcW w:w="621" w:type="pct"/>
            <w:shd w:val="clear" w:color="auto" w:fill="FFFFFF"/>
            <w:tcMar>
              <w:top w:w="45" w:type="dxa"/>
              <w:left w:w="45" w:type="dxa"/>
              <w:bottom w:w="45" w:type="dxa"/>
              <w:right w:w="45" w:type="dxa"/>
            </w:tcMar>
            <w:vAlign w:val="center"/>
          </w:tcPr>
          <w:p w:rsidR="009608DE" w:rsidRPr="00D8075A" w:rsidRDefault="009608DE" w:rsidP="0066113E">
            <w:pPr>
              <w:widowControl/>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w:t>
            </w:r>
          </w:p>
        </w:tc>
        <w:tc>
          <w:tcPr>
            <w:tcW w:w="621" w:type="pct"/>
            <w:shd w:val="clear" w:color="auto" w:fill="FFFFFF"/>
            <w:tcMar>
              <w:top w:w="45" w:type="dxa"/>
              <w:left w:w="45" w:type="dxa"/>
              <w:bottom w:w="45" w:type="dxa"/>
              <w:right w:w="45" w:type="dxa"/>
            </w:tcMar>
            <w:vAlign w:val="center"/>
          </w:tcPr>
          <w:p w:rsidR="009608DE" w:rsidRPr="00D8075A" w:rsidRDefault="009608DE" w:rsidP="0066113E">
            <w:pPr>
              <w:widowControl/>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w:t>
            </w:r>
          </w:p>
        </w:tc>
        <w:tc>
          <w:tcPr>
            <w:tcW w:w="622" w:type="pct"/>
            <w:shd w:val="clear" w:color="auto" w:fill="FFFFFF"/>
            <w:vAlign w:val="center"/>
          </w:tcPr>
          <w:p w:rsidR="009608DE" w:rsidRPr="00D8075A" w:rsidRDefault="009608DE" w:rsidP="0066113E">
            <w:pPr>
              <w:widowControl/>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w:t>
            </w:r>
          </w:p>
        </w:tc>
        <w:tc>
          <w:tcPr>
            <w:tcW w:w="627" w:type="pct"/>
            <w:shd w:val="clear" w:color="auto" w:fill="FFFFFF"/>
            <w:vAlign w:val="center"/>
          </w:tcPr>
          <w:p w:rsidR="009608DE" w:rsidRPr="00D8075A" w:rsidRDefault="009608DE" w:rsidP="0066113E">
            <w:pPr>
              <w:widowControl/>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0</w:t>
            </w:r>
          </w:p>
        </w:tc>
      </w:tr>
      <w:tr w:rsidR="009608DE" w:rsidRPr="00D8075A" w:rsidTr="0083398B">
        <w:tc>
          <w:tcPr>
            <w:tcW w:w="852" w:type="pct"/>
            <w:shd w:val="clear" w:color="auto" w:fill="FFFFFF"/>
            <w:tcMar>
              <w:top w:w="45" w:type="dxa"/>
              <w:left w:w="45" w:type="dxa"/>
              <w:bottom w:w="45" w:type="dxa"/>
              <w:right w:w="45" w:type="dxa"/>
            </w:tcMar>
            <w:vAlign w:val="center"/>
          </w:tcPr>
          <w:p w:rsidR="009608DE" w:rsidRPr="00D8075A" w:rsidRDefault="009608DE" w:rsidP="0066113E">
            <w:pPr>
              <w:widowControl/>
              <w:contextualSpacing/>
              <w:jc w:val="left"/>
              <w:rPr>
                <w:rFonts w:ascii="Arial Narrow" w:hAnsi="Arial Narrow" w:cs="Times New Roman"/>
                <w:snapToGrid/>
                <w:sz w:val="20"/>
                <w:lang w:eastAsia="en-AU"/>
              </w:rPr>
            </w:pPr>
            <w:r w:rsidRPr="00D8075A">
              <w:rPr>
                <w:rFonts w:ascii="Arial Narrow" w:hAnsi="Arial Narrow" w:cs="Times New Roman"/>
                <w:snapToGrid/>
                <w:sz w:val="20"/>
                <w:lang w:eastAsia="en-AU"/>
              </w:rPr>
              <w:t>24-month PFS rate by KM, % (95% CI)</w:t>
            </w:r>
          </w:p>
        </w:tc>
        <w:tc>
          <w:tcPr>
            <w:tcW w:w="1040" w:type="pct"/>
            <w:shd w:val="clear" w:color="auto" w:fill="FFFFFF"/>
            <w:tcMar>
              <w:top w:w="45" w:type="dxa"/>
              <w:left w:w="45" w:type="dxa"/>
              <w:bottom w:w="45" w:type="dxa"/>
              <w:right w:w="45" w:type="dxa"/>
            </w:tcMar>
            <w:vAlign w:val="center"/>
          </w:tcPr>
          <w:p w:rsidR="009608DE" w:rsidRPr="00D8075A" w:rsidRDefault="009608DE" w:rsidP="0066113E">
            <w:pPr>
              <w:widowControl/>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26 (16, 36)</w:t>
            </w:r>
          </w:p>
        </w:tc>
        <w:tc>
          <w:tcPr>
            <w:tcW w:w="617" w:type="pct"/>
            <w:shd w:val="clear" w:color="auto" w:fill="FFFFFF"/>
            <w:vAlign w:val="center"/>
          </w:tcPr>
          <w:p w:rsidR="009608DE" w:rsidRPr="00D8075A" w:rsidRDefault="009608DE" w:rsidP="0066113E">
            <w:pPr>
              <w:widowControl/>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w:t>
            </w:r>
          </w:p>
        </w:tc>
        <w:tc>
          <w:tcPr>
            <w:tcW w:w="621" w:type="pct"/>
            <w:shd w:val="clear" w:color="auto" w:fill="FFFFFF"/>
            <w:tcMar>
              <w:top w:w="45" w:type="dxa"/>
              <w:left w:w="45" w:type="dxa"/>
              <w:bottom w:w="45" w:type="dxa"/>
              <w:right w:w="45" w:type="dxa"/>
            </w:tcMar>
            <w:vAlign w:val="center"/>
          </w:tcPr>
          <w:p w:rsidR="009608DE" w:rsidRPr="00D8075A" w:rsidRDefault="009608DE" w:rsidP="0066113E">
            <w:pPr>
              <w:widowControl/>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w:t>
            </w:r>
          </w:p>
        </w:tc>
        <w:tc>
          <w:tcPr>
            <w:tcW w:w="621" w:type="pct"/>
            <w:shd w:val="clear" w:color="auto" w:fill="FFFFFF"/>
            <w:tcMar>
              <w:top w:w="45" w:type="dxa"/>
              <w:left w:w="45" w:type="dxa"/>
              <w:bottom w:w="45" w:type="dxa"/>
              <w:right w:w="45" w:type="dxa"/>
            </w:tcMar>
            <w:vAlign w:val="center"/>
          </w:tcPr>
          <w:p w:rsidR="009608DE" w:rsidRPr="00D8075A" w:rsidRDefault="009608DE" w:rsidP="0066113E">
            <w:pPr>
              <w:widowControl/>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w:t>
            </w:r>
          </w:p>
        </w:tc>
        <w:tc>
          <w:tcPr>
            <w:tcW w:w="622" w:type="pct"/>
            <w:shd w:val="clear" w:color="auto" w:fill="FFFFFF"/>
            <w:vAlign w:val="center"/>
          </w:tcPr>
          <w:p w:rsidR="009608DE" w:rsidRPr="00D8075A" w:rsidRDefault="009608DE" w:rsidP="0066113E">
            <w:pPr>
              <w:widowControl/>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w:t>
            </w:r>
          </w:p>
        </w:tc>
        <w:tc>
          <w:tcPr>
            <w:tcW w:w="627" w:type="pct"/>
            <w:shd w:val="clear" w:color="auto" w:fill="FFFFFF"/>
            <w:vAlign w:val="center"/>
          </w:tcPr>
          <w:p w:rsidR="009608DE" w:rsidRPr="00D8075A" w:rsidRDefault="009608DE" w:rsidP="0066113E">
            <w:pPr>
              <w:widowControl/>
              <w:contextualSpacing/>
              <w:jc w:val="center"/>
              <w:rPr>
                <w:rFonts w:ascii="Arial Narrow" w:hAnsi="Arial Narrow" w:cs="Times New Roman"/>
                <w:snapToGrid/>
                <w:sz w:val="20"/>
                <w:lang w:eastAsia="en-AU"/>
              </w:rPr>
            </w:pPr>
            <w:r w:rsidRPr="00D8075A">
              <w:rPr>
                <w:rFonts w:ascii="Arial Narrow" w:hAnsi="Arial Narrow" w:cs="Times New Roman"/>
                <w:snapToGrid/>
                <w:sz w:val="20"/>
                <w:lang w:eastAsia="en-AU"/>
              </w:rPr>
              <w:t>-</w:t>
            </w:r>
          </w:p>
        </w:tc>
      </w:tr>
    </w:tbl>
    <w:p w:rsidR="009608DE" w:rsidRPr="00D8075A" w:rsidRDefault="009608DE" w:rsidP="009608DE">
      <w:pPr>
        <w:rPr>
          <w:rFonts w:ascii="Arial Narrow" w:hAnsi="Arial Narrow"/>
          <w:sz w:val="18"/>
        </w:rPr>
      </w:pPr>
      <w:r w:rsidRPr="00D8075A">
        <w:rPr>
          <w:rFonts w:ascii="Arial Narrow" w:hAnsi="Arial Narrow"/>
          <w:sz w:val="18"/>
        </w:rPr>
        <w:t>PFS: progression free survival; ITT: intent to treat; US: United States; EU: Europe; KM: Kaplan-Meier estimate; CI: confidence interval.</w:t>
      </w:r>
    </w:p>
    <w:p w:rsidR="009608DE" w:rsidRPr="00D8075A" w:rsidRDefault="009608DE" w:rsidP="009608DE">
      <w:pPr>
        <w:rPr>
          <w:rFonts w:ascii="Arial Narrow" w:hAnsi="Arial Narrow"/>
          <w:sz w:val="18"/>
        </w:rPr>
      </w:pPr>
      <w:r w:rsidRPr="00D8075A">
        <w:rPr>
          <w:rFonts w:ascii="Arial Narrow" w:hAnsi="Arial Narrow"/>
          <w:sz w:val="18"/>
        </w:rPr>
        <w:t>Source: Table 2.6.3, p108 of the submission.</w:t>
      </w:r>
    </w:p>
    <w:p w:rsidR="00F05D9E" w:rsidRPr="00D8075A" w:rsidRDefault="00F05D9E">
      <w:pPr>
        <w:widowControl/>
        <w:jc w:val="left"/>
        <w:rPr>
          <w:rFonts w:ascii="Arial Narrow" w:hAnsi="Arial Narrow"/>
          <w:sz w:val="18"/>
        </w:rPr>
      </w:pPr>
    </w:p>
    <w:p w:rsidR="009608DE" w:rsidRPr="00D8075A" w:rsidRDefault="009608DE" w:rsidP="009608DE">
      <w:pPr>
        <w:keepNext/>
        <w:rPr>
          <w:rFonts w:ascii="Arial Narrow" w:hAnsi="Arial Narrow" w:cs="Arial Narrow"/>
          <w:b/>
          <w:bCs/>
          <w:snapToGrid/>
          <w:sz w:val="20"/>
        </w:rPr>
      </w:pPr>
      <w:r w:rsidRPr="00D8075A">
        <w:rPr>
          <w:rFonts w:ascii="Arial Narrow" w:hAnsi="Arial Narrow" w:cs="Arial Narrow"/>
          <w:b/>
          <w:bCs/>
          <w:snapToGrid/>
          <w:sz w:val="20"/>
        </w:rPr>
        <w:t>Table 6: Overall Survival results across the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0E3"/>
        <w:tblCellMar>
          <w:left w:w="57" w:type="dxa"/>
          <w:right w:w="57" w:type="dxa"/>
        </w:tblCellMar>
        <w:tblLook w:val="04A0" w:firstRow="1" w:lastRow="0" w:firstColumn="1" w:lastColumn="0" w:noHBand="0" w:noVBand="1"/>
        <w:tblCaption w:val="Table 6: Overall Survival results across the studies"/>
        <w:tblDescription w:val="Table 6: Overall Survival results across the studies"/>
      </w:tblPr>
      <w:tblGrid>
        <w:gridCol w:w="1576"/>
        <w:gridCol w:w="1378"/>
        <w:gridCol w:w="1404"/>
        <w:gridCol w:w="865"/>
        <w:gridCol w:w="842"/>
        <w:gridCol w:w="964"/>
        <w:gridCol w:w="1019"/>
        <w:gridCol w:w="1081"/>
      </w:tblGrid>
      <w:tr w:rsidR="009608DE" w:rsidRPr="00D8075A" w:rsidTr="0083398B">
        <w:trPr>
          <w:trHeight w:val="20"/>
          <w:tblHeader/>
        </w:trPr>
        <w:tc>
          <w:tcPr>
            <w:tcW w:w="863" w:type="pct"/>
            <w:vMerge w:val="restart"/>
            <w:shd w:val="clear" w:color="auto" w:fill="auto"/>
            <w:tcMar>
              <w:top w:w="45" w:type="dxa"/>
              <w:left w:w="45" w:type="dxa"/>
              <w:bottom w:w="45" w:type="dxa"/>
              <w:right w:w="45" w:type="dxa"/>
            </w:tcMar>
            <w:vAlign w:val="bottom"/>
            <w:hideMark/>
          </w:tcPr>
          <w:p w:rsidR="009608DE" w:rsidRPr="00D8075A" w:rsidRDefault="009608DE" w:rsidP="00B61512">
            <w:pPr>
              <w:widowControl/>
              <w:contextualSpacing/>
              <w:jc w:val="left"/>
              <w:rPr>
                <w:rFonts w:ascii="Arial Narrow" w:hAnsi="Arial Narrow" w:cs="Times New Roman"/>
                <w:b/>
                <w:snapToGrid/>
                <w:sz w:val="20"/>
                <w:szCs w:val="20"/>
                <w:lang w:eastAsia="en-AU"/>
              </w:rPr>
            </w:pPr>
            <w:r w:rsidRPr="00D8075A">
              <w:rPr>
                <w:rFonts w:ascii="Arial Narrow" w:hAnsi="Arial Narrow" w:cs="Times New Roman"/>
                <w:b/>
                <w:snapToGrid/>
                <w:sz w:val="20"/>
                <w:szCs w:val="20"/>
                <w:lang w:eastAsia="en-AU"/>
              </w:rPr>
              <w:t>OS</w:t>
            </w:r>
          </w:p>
        </w:tc>
        <w:tc>
          <w:tcPr>
            <w:tcW w:w="1524" w:type="pct"/>
            <w:gridSpan w:val="2"/>
            <w:shd w:val="clear" w:color="auto" w:fill="auto"/>
            <w:vAlign w:val="bottom"/>
          </w:tcPr>
          <w:p w:rsidR="009608DE" w:rsidRPr="00D8075A" w:rsidRDefault="009608DE" w:rsidP="00B61512">
            <w:pPr>
              <w:widowControl/>
              <w:contextualSpacing/>
              <w:jc w:val="center"/>
              <w:rPr>
                <w:rFonts w:ascii="Arial Narrow" w:hAnsi="Arial Narrow" w:cs="Times New Roman"/>
                <w:b/>
                <w:snapToGrid/>
                <w:sz w:val="20"/>
                <w:szCs w:val="20"/>
                <w:lang w:eastAsia="en-AU"/>
              </w:rPr>
            </w:pPr>
            <w:r w:rsidRPr="00D8075A">
              <w:rPr>
                <w:rFonts w:ascii="Arial Narrow" w:hAnsi="Arial Narrow" w:cs="Times New Roman"/>
                <w:b/>
                <w:snapToGrid/>
                <w:sz w:val="20"/>
                <w:szCs w:val="20"/>
                <w:lang w:eastAsia="en-AU"/>
              </w:rPr>
              <w:t>Avelumab</w:t>
            </w:r>
          </w:p>
        </w:tc>
        <w:tc>
          <w:tcPr>
            <w:tcW w:w="2613" w:type="pct"/>
            <w:gridSpan w:val="5"/>
          </w:tcPr>
          <w:p w:rsidR="009608DE" w:rsidRPr="00D8075A" w:rsidRDefault="009608DE" w:rsidP="00B61512">
            <w:pPr>
              <w:widowControl/>
              <w:contextualSpacing/>
              <w:jc w:val="center"/>
              <w:rPr>
                <w:rFonts w:ascii="Arial Narrow" w:hAnsi="Arial Narrow" w:cs="Times New Roman"/>
                <w:b/>
                <w:snapToGrid/>
                <w:sz w:val="20"/>
                <w:szCs w:val="20"/>
                <w:lang w:eastAsia="en-AU"/>
              </w:rPr>
            </w:pPr>
            <w:r w:rsidRPr="00D8075A">
              <w:rPr>
                <w:rFonts w:ascii="Arial Narrow" w:hAnsi="Arial Narrow" w:cs="Times New Roman"/>
                <w:b/>
                <w:snapToGrid/>
                <w:sz w:val="20"/>
                <w:szCs w:val="20"/>
                <w:lang w:eastAsia="en-AU"/>
              </w:rPr>
              <w:t>CTX</w:t>
            </w:r>
          </w:p>
        </w:tc>
      </w:tr>
      <w:tr w:rsidR="009608DE" w:rsidRPr="00D8075A" w:rsidTr="0083398B">
        <w:trPr>
          <w:trHeight w:val="20"/>
          <w:tblHeader/>
        </w:trPr>
        <w:tc>
          <w:tcPr>
            <w:tcW w:w="863" w:type="pct"/>
            <w:vMerge/>
            <w:shd w:val="clear" w:color="auto" w:fill="auto"/>
            <w:tcMar>
              <w:top w:w="45" w:type="dxa"/>
              <w:left w:w="45" w:type="dxa"/>
              <w:bottom w:w="45" w:type="dxa"/>
              <w:right w:w="45" w:type="dxa"/>
            </w:tcMar>
            <w:vAlign w:val="bottom"/>
          </w:tcPr>
          <w:p w:rsidR="009608DE" w:rsidRPr="00D8075A" w:rsidRDefault="009608DE" w:rsidP="00B61512">
            <w:pPr>
              <w:widowControl/>
              <w:contextualSpacing/>
              <w:jc w:val="left"/>
              <w:rPr>
                <w:rFonts w:ascii="Arial Narrow" w:hAnsi="Arial Narrow" w:cs="Times New Roman"/>
                <w:b/>
                <w:snapToGrid/>
                <w:sz w:val="20"/>
                <w:szCs w:val="20"/>
                <w:lang w:eastAsia="en-AU"/>
              </w:rPr>
            </w:pPr>
          </w:p>
        </w:tc>
        <w:tc>
          <w:tcPr>
            <w:tcW w:w="755" w:type="pct"/>
            <w:vMerge w:val="restart"/>
            <w:shd w:val="clear" w:color="auto" w:fill="auto"/>
            <w:tcMar>
              <w:top w:w="45" w:type="dxa"/>
              <w:left w:w="45" w:type="dxa"/>
              <w:bottom w:w="45" w:type="dxa"/>
              <w:right w:w="45" w:type="dxa"/>
            </w:tcMar>
          </w:tcPr>
          <w:p w:rsidR="009608DE" w:rsidRPr="00D8075A" w:rsidRDefault="009608DE" w:rsidP="00B61512">
            <w:pPr>
              <w:widowControl/>
              <w:contextualSpacing/>
              <w:jc w:val="center"/>
              <w:rPr>
                <w:rFonts w:ascii="Arial Narrow" w:hAnsi="Arial Narrow" w:cs="Times New Roman"/>
                <w:b/>
                <w:snapToGrid/>
                <w:sz w:val="20"/>
                <w:szCs w:val="20"/>
                <w:lang w:eastAsia="en-AU"/>
              </w:rPr>
            </w:pPr>
            <w:r w:rsidRPr="00D8075A">
              <w:rPr>
                <w:rFonts w:ascii="Arial Narrow" w:hAnsi="Arial Narrow" w:cs="Times New Roman"/>
                <w:b/>
                <w:snapToGrid/>
                <w:sz w:val="20"/>
                <w:szCs w:val="20"/>
                <w:lang w:eastAsia="en-AU"/>
              </w:rPr>
              <w:t>JAVELIN Merkel 200 Part A</w:t>
            </w:r>
          </w:p>
          <w:p w:rsidR="009608DE" w:rsidRPr="00D8075A" w:rsidRDefault="009608DE" w:rsidP="00B61512">
            <w:pPr>
              <w:widowControl/>
              <w:contextualSpacing/>
              <w:jc w:val="center"/>
              <w:rPr>
                <w:rFonts w:ascii="Arial Narrow" w:hAnsi="Arial Narrow" w:cs="Times New Roman"/>
                <w:b/>
                <w:snapToGrid/>
                <w:sz w:val="20"/>
                <w:szCs w:val="20"/>
                <w:lang w:eastAsia="en-AU"/>
              </w:rPr>
            </w:pPr>
            <w:r w:rsidRPr="00D8075A">
              <w:rPr>
                <w:rFonts w:ascii="Arial Narrow" w:hAnsi="Arial Narrow" w:cs="Times New Roman"/>
                <w:b/>
                <w:snapToGrid/>
                <w:sz w:val="20"/>
                <w:szCs w:val="20"/>
                <w:lang w:eastAsia="en-AU"/>
              </w:rPr>
              <w:t xml:space="preserve">18-month follow-up </w:t>
            </w:r>
          </w:p>
          <w:p w:rsidR="009608DE" w:rsidRPr="00D8075A" w:rsidRDefault="009608DE" w:rsidP="00B61512">
            <w:pPr>
              <w:widowControl/>
              <w:contextualSpacing/>
              <w:jc w:val="center"/>
              <w:rPr>
                <w:rFonts w:ascii="Arial Narrow" w:hAnsi="Arial Narrow" w:cs="Times New Roman"/>
                <w:b/>
                <w:snapToGrid/>
                <w:sz w:val="20"/>
                <w:szCs w:val="20"/>
                <w:lang w:eastAsia="en-AU"/>
              </w:rPr>
            </w:pPr>
            <w:r w:rsidRPr="00D8075A">
              <w:rPr>
                <w:rFonts w:ascii="Arial Narrow" w:hAnsi="Arial Narrow" w:cs="Times New Roman"/>
                <w:b/>
                <w:snapToGrid/>
                <w:sz w:val="20"/>
                <w:szCs w:val="20"/>
                <w:lang w:eastAsia="en-AU"/>
              </w:rPr>
              <w:t>N=88</w:t>
            </w:r>
          </w:p>
        </w:tc>
        <w:tc>
          <w:tcPr>
            <w:tcW w:w="768" w:type="pct"/>
            <w:vMerge w:val="restart"/>
          </w:tcPr>
          <w:p w:rsidR="009608DE" w:rsidRPr="00D8075A" w:rsidRDefault="009608DE" w:rsidP="00B61512">
            <w:pPr>
              <w:widowControl/>
              <w:contextualSpacing/>
              <w:jc w:val="center"/>
              <w:rPr>
                <w:rFonts w:ascii="Arial Narrow" w:hAnsi="Arial Narrow" w:cs="Times New Roman"/>
                <w:b/>
                <w:snapToGrid/>
                <w:sz w:val="20"/>
                <w:szCs w:val="20"/>
                <w:lang w:eastAsia="en-AU"/>
              </w:rPr>
            </w:pPr>
            <w:r w:rsidRPr="00D8075A">
              <w:rPr>
                <w:rFonts w:ascii="Arial Narrow" w:hAnsi="Arial Narrow" w:cs="Times New Roman"/>
                <w:b/>
                <w:snapToGrid/>
                <w:sz w:val="20"/>
                <w:szCs w:val="20"/>
                <w:lang w:eastAsia="en-AU"/>
              </w:rPr>
              <w:t>JAVELIN Merkel 200 Part A</w:t>
            </w:r>
          </w:p>
          <w:p w:rsidR="009608DE" w:rsidRPr="00D8075A" w:rsidRDefault="009608DE" w:rsidP="00B61512">
            <w:pPr>
              <w:widowControl/>
              <w:contextualSpacing/>
              <w:jc w:val="center"/>
              <w:rPr>
                <w:rFonts w:ascii="Arial Narrow" w:hAnsi="Arial Narrow" w:cs="Times New Roman"/>
                <w:b/>
                <w:snapToGrid/>
                <w:sz w:val="20"/>
                <w:szCs w:val="20"/>
                <w:lang w:eastAsia="en-AU"/>
              </w:rPr>
            </w:pPr>
            <w:r w:rsidRPr="00D8075A">
              <w:rPr>
                <w:rFonts w:ascii="Arial Narrow" w:hAnsi="Arial Narrow" w:cs="Times New Roman"/>
                <w:b/>
                <w:snapToGrid/>
                <w:sz w:val="20"/>
                <w:szCs w:val="20"/>
                <w:lang w:eastAsia="en-AU"/>
              </w:rPr>
              <w:t xml:space="preserve">24-month follow-up </w:t>
            </w:r>
          </w:p>
          <w:p w:rsidR="009608DE" w:rsidRPr="00D8075A" w:rsidRDefault="009608DE" w:rsidP="00B61512">
            <w:pPr>
              <w:widowControl/>
              <w:contextualSpacing/>
              <w:jc w:val="center"/>
              <w:rPr>
                <w:rFonts w:ascii="Arial Narrow" w:hAnsi="Arial Narrow" w:cs="Times New Roman"/>
                <w:b/>
                <w:snapToGrid/>
                <w:sz w:val="20"/>
                <w:szCs w:val="20"/>
                <w:lang w:eastAsia="en-AU"/>
              </w:rPr>
            </w:pPr>
            <w:r w:rsidRPr="00D8075A">
              <w:rPr>
                <w:rFonts w:ascii="Arial Narrow" w:hAnsi="Arial Narrow" w:cs="Times New Roman"/>
                <w:b/>
                <w:snapToGrid/>
                <w:sz w:val="20"/>
                <w:szCs w:val="20"/>
                <w:lang w:eastAsia="en-AU"/>
              </w:rPr>
              <w:t>N=88</w:t>
            </w:r>
          </w:p>
        </w:tc>
        <w:tc>
          <w:tcPr>
            <w:tcW w:w="934" w:type="pct"/>
            <w:gridSpan w:val="2"/>
          </w:tcPr>
          <w:p w:rsidR="009608DE" w:rsidRPr="00D8075A" w:rsidRDefault="009608DE" w:rsidP="00B61512">
            <w:pPr>
              <w:widowControl/>
              <w:ind w:left="-384"/>
              <w:contextualSpacing/>
              <w:jc w:val="center"/>
              <w:rPr>
                <w:rFonts w:ascii="Arial Narrow" w:hAnsi="Arial Narrow" w:cs="Times New Roman"/>
                <w:b/>
                <w:snapToGrid/>
                <w:sz w:val="20"/>
                <w:szCs w:val="20"/>
                <w:lang w:eastAsia="en-AU"/>
              </w:rPr>
            </w:pPr>
            <w:r w:rsidRPr="00D8075A">
              <w:rPr>
                <w:rFonts w:ascii="Arial Narrow" w:hAnsi="Arial Narrow" w:cs="Times New Roman"/>
                <w:b/>
                <w:snapToGrid/>
                <w:sz w:val="20"/>
                <w:szCs w:val="20"/>
                <w:lang w:eastAsia="en-AU"/>
              </w:rPr>
              <w:t>Study Obs001</w:t>
            </w:r>
          </w:p>
          <w:p w:rsidR="009608DE" w:rsidRPr="00D8075A" w:rsidRDefault="009608DE" w:rsidP="00B61512">
            <w:pPr>
              <w:widowControl/>
              <w:contextualSpacing/>
              <w:jc w:val="center"/>
              <w:rPr>
                <w:rFonts w:ascii="Arial Narrow" w:hAnsi="Arial Narrow" w:cs="Times New Roman"/>
                <w:b/>
                <w:snapToGrid/>
                <w:sz w:val="20"/>
                <w:szCs w:val="20"/>
                <w:lang w:eastAsia="en-AU"/>
              </w:rPr>
            </w:pPr>
            <w:r w:rsidRPr="00D8075A">
              <w:rPr>
                <w:rFonts w:ascii="Arial Narrow" w:hAnsi="Arial Narrow" w:cs="Times New Roman"/>
                <w:b/>
                <w:snapToGrid/>
                <w:sz w:val="20"/>
                <w:szCs w:val="20"/>
                <w:lang w:eastAsia="en-AU"/>
              </w:rPr>
              <w:t>All Qualified</w:t>
            </w:r>
          </w:p>
        </w:tc>
        <w:tc>
          <w:tcPr>
            <w:tcW w:w="1086" w:type="pct"/>
            <w:gridSpan w:val="2"/>
            <w:shd w:val="clear" w:color="auto" w:fill="auto"/>
            <w:tcMar>
              <w:top w:w="45" w:type="dxa"/>
              <w:left w:w="45" w:type="dxa"/>
              <w:bottom w:w="45" w:type="dxa"/>
              <w:right w:w="45" w:type="dxa"/>
            </w:tcMar>
          </w:tcPr>
          <w:p w:rsidR="009608DE" w:rsidRPr="00D8075A" w:rsidRDefault="009608DE" w:rsidP="00B61512">
            <w:pPr>
              <w:widowControl/>
              <w:ind w:left="-384"/>
              <w:contextualSpacing/>
              <w:jc w:val="center"/>
              <w:rPr>
                <w:rFonts w:ascii="Arial Narrow" w:hAnsi="Arial Narrow" w:cs="Times New Roman"/>
                <w:b/>
                <w:snapToGrid/>
                <w:sz w:val="20"/>
                <w:szCs w:val="20"/>
                <w:lang w:eastAsia="en-AU"/>
              </w:rPr>
            </w:pPr>
            <w:r w:rsidRPr="00D8075A">
              <w:rPr>
                <w:rFonts w:ascii="Arial Narrow" w:hAnsi="Arial Narrow" w:cs="Times New Roman"/>
                <w:b/>
                <w:snapToGrid/>
                <w:sz w:val="20"/>
                <w:szCs w:val="20"/>
                <w:lang w:eastAsia="en-AU"/>
              </w:rPr>
              <w:t>Study Obs001</w:t>
            </w:r>
          </w:p>
          <w:p w:rsidR="009608DE" w:rsidRPr="00D8075A" w:rsidRDefault="009608DE" w:rsidP="00B61512">
            <w:pPr>
              <w:widowControl/>
              <w:contextualSpacing/>
              <w:jc w:val="center"/>
              <w:rPr>
                <w:rFonts w:ascii="Arial Narrow" w:hAnsi="Arial Narrow" w:cs="Times New Roman"/>
                <w:b/>
                <w:snapToGrid/>
                <w:sz w:val="20"/>
                <w:szCs w:val="20"/>
                <w:lang w:eastAsia="en-AU"/>
              </w:rPr>
            </w:pPr>
            <w:proofErr w:type="spellStart"/>
            <w:r w:rsidRPr="00D8075A">
              <w:rPr>
                <w:rFonts w:ascii="Arial Narrow" w:hAnsi="Arial Narrow" w:cs="Times New Roman"/>
                <w:b/>
                <w:snapToGrid/>
                <w:sz w:val="20"/>
                <w:szCs w:val="20"/>
                <w:lang w:eastAsia="en-AU"/>
              </w:rPr>
              <w:t>Immunocompetent</w:t>
            </w:r>
            <w:r w:rsidRPr="00D8075A">
              <w:rPr>
                <w:rFonts w:ascii="Arial Narrow" w:hAnsi="Arial Narrow" w:cs="Times New Roman"/>
                <w:b/>
                <w:snapToGrid/>
                <w:sz w:val="20"/>
                <w:szCs w:val="20"/>
                <w:vertAlign w:val="superscript"/>
                <w:lang w:eastAsia="en-AU"/>
              </w:rPr>
              <w:t>d</w:t>
            </w:r>
            <w:proofErr w:type="spellEnd"/>
          </w:p>
        </w:tc>
        <w:tc>
          <w:tcPr>
            <w:tcW w:w="593" w:type="pct"/>
            <w:vMerge w:val="restart"/>
          </w:tcPr>
          <w:p w:rsidR="009608DE" w:rsidRPr="00D8075A" w:rsidRDefault="009608DE" w:rsidP="00B61512">
            <w:pPr>
              <w:widowControl/>
              <w:contextualSpacing/>
              <w:jc w:val="center"/>
              <w:rPr>
                <w:rFonts w:ascii="Arial Narrow" w:hAnsi="Arial Narrow" w:cs="Times New Roman"/>
                <w:b/>
                <w:snapToGrid/>
                <w:sz w:val="20"/>
                <w:szCs w:val="20"/>
                <w:lang w:eastAsia="en-AU"/>
              </w:rPr>
            </w:pPr>
            <w:proofErr w:type="spellStart"/>
            <w:r w:rsidRPr="00D8075A">
              <w:rPr>
                <w:rFonts w:ascii="Arial Narrow" w:hAnsi="Arial Narrow" w:cs="Times New Roman"/>
                <w:b/>
                <w:snapToGrid/>
                <w:sz w:val="20"/>
                <w:szCs w:val="20"/>
                <w:lang w:eastAsia="en-AU"/>
              </w:rPr>
              <w:t>Iyer</w:t>
            </w:r>
            <w:proofErr w:type="spellEnd"/>
            <w:r w:rsidRPr="00D8075A">
              <w:rPr>
                <w:rFonts w:ascii="Arial Narrow" w:hAnsi="Arial Narrow" w:cs="Times New Roman"/>
                <w:b/>
                <w:snapToGrid/>
                <w:sz w:val="20"/>
                <w:szCs w:val="20"/>
                <w:lang w:eastAsia="en-AU"/>
              </w:rPr>
              <w:t xml:space="preserve"> 2016 (2L)</w:t>
            </w:r>
          </w:p>
          <w:p w:rsidR="009608DE" w:rsidRPr="00D8075A" w:rsidRDefault="009608DE" w:rsidP="00B61512">
            <w:pPr>
              <w:widowControl/>
              <w:contextualSpacing/>
              <w:jc w:val="center"/>
              <w:rPr>
                <w:rFonts w:ascii="Arial Narrow" w:hAnsi="Arial Narrow" w:cs="Times New Roman"/>
                <w:b/>
                <w:snapToGrid/>
                <w:sz w:val="20"/>
                <w:szCs w:val="20"/>
                <w:lang w:eastAsia="en-AU"/>
              </w:rPr>
            </w:pPr>
            <w:r w:rsidRPr="00D8075A">
              <w:rPr>
                <w:rFonts w:ascii="Arial Narrow" w:hAnsi="Arial Narrow" w:cs="Times New Roman"/>
                <w:b/>
                <w:snapToGrid/>
                <w:sz w:val="20"/>
                <w:szCs w:val="20"/>
                <w:lang w:eastAsia="en-AU"/>
              </w:rPr>
              <w:t>All patients</w:t>
            </w:r>
          </w:p>
          <w:p w:rsidR="009608DE" w:rsidRPr="00D8075A" w:rsidRDefault="009608DE" w:rsidP="00B61512">
            <w:pPr>
              <w:widowControl/>
              <w:contextualSpacing/>
              <w:jc w:val="center"/>
              <w:rPr>
                <w:rFonts w:ascii="Arial Narrow" w:hAnsi="Arial Narrow" w:cs="Times New Roman"/>
                <w:b/>
                <w:snapToGrid/>
                <w:sz w:val="20"/>
                <w:szCs w:val="20"/>
                <w:lang w:eastAsia="en-AU"/>
              </w:rPr>
            </w:pPr>
            <w:r w:rsidRPr="00D8075A">
              <w:rPr>
                <w:rFonts w:ascii="Arial Narrow" w:hAnsi="Arial Narrow" w:cs="Times New Roman"/>
                <w:b/>
                <w:snapToGrid/>
                <w:sz w:val="20"/>
                <w:szCs w:val="20"/>
                <w:lang w:eastAsia="en-AU"/>
              </w:rPr>
              <w:t>N=30</w:t>
            </w:r>
            <w:r w:rsidRPr="00D8075A">
              <w:rPr>
                <w:rFonts w:ascii="Arial Narrow" w:hAnsi="Arial Narrow" w:cs="Times New Roman"/>
                <w:b/>
                <w:snapToGrid/>
                <w:sz w:val="20"/>
                <w:szCs w:val="20"/>
                <w:vertAlign w:val="superscript"/>
                <w:lang w:eastAsia="en-AU"/>
              </w:rPr>
              <w:t>a</w:t>
            </w:r>
          </w:p>
        </w:tc>
      </w:tr>
      <w:tr w:rsidR="009608DE" w:rsidRPr="00D8075A" w:rsidTr="0083398B">
        <w:trPr>
          <w:trHeight w:val="749"/>
          <w:tblHeader/>
        </w:trPr>
        <w:tc>
          <w:tcPr>
            <w:tcW w:w="863" w:type="pct"/>
            <w:vMerge/>
            <w:shd w:val="clear" w:color="auto" w:fill="auto"/>
            <w:tcMar>
              <w:top w:w="45" w:type="dxa"/>
              <w:left w:w="45" w:type="dxa"/>
              <w:bottom w:w="45" w:type="dxa"/>
              <w:right w:w="45" w:type="dxa"/>
            </w:tcMar>
            <w:vAlign w:val="bottom"/>
          </w:tcPr>
          <w:p w:rsidR="009608DE" w:rsidRPr="00D8075A" w:rsidRDefault="009608DE" w:rsidP="00B61512">
            <w:pPr>
              <w:widowControl/>
              <w:contextualSpacing/>
              <w:jc w:val="left"/>
              <w:rPr>
                <w:rFonts w:ascii="Arial Narrow" w:hAnsi="Arial Narrow" w:cs="Times New Roman"/>
                <w:b/>
                <w:snapToGrid/>
                <w:sz w:val="20"/>
                <w:szCs w:val="20"/>
                <w:lang w:eastAsia="en-AU"/>
              </w:rPr>
            </w:pPr>
          </w:p>
        </w:tc>
        <w:tc>
          <w:tcPr>
            <w:tcW w:w="755" w:type="pct"/>
            <w:vMerge/>
            <w:shd w:val="clear" w:color="auto" w:fill="auto"/>
            <w:tcMar>
              <w:top w:w="45" w:type="dxa"/>
              <w:left w:w="45" w:type="dxa"/>
              <w:bottom w:w="45" w:type="dxa"/>
              <w:right w:w="45" w:type="dxa"/>
            </w:tcMar>
          </w:tcPr>
          <w:p w:rsidR="009608DE" w:rsidRPr="00D8075A" w:rsidRDefault="009608DE" w:rsidP="00B61512">
            <w:pPr>
              <w:widowControl/>
              <w:contextualSpacing/>
              <w:jc w:val="center"/>
              <w:rPr>
                <w:rFonts w:ascii="Arial Narrow" w:hAnsi="Arial Narrow" w:cs="Times New Roman"/>
                <w:b/>
                <w:snapToGrid/>
                <w:sz w:val="20"/>
                <w:szCs w:val="20"/>
                <w:lang w:eastAsia="en-AU"/>
              </w:rPr>
            </w:pPr>
          </w:p>
        </w:tc>
        <w:tc>
          <w:tcPr>
            <w:tcW w:w="768" w:type="pct"/>
            <w:vMerge/>
          </w:tcPr>
          <w:p w:rsidR="009608DE" w:rsidRPr="00D8075A" w:rsidRDefault="009608DE" w:rsidP="00B61512">
            <w:pPr>
              <w:widowControl/>
              <w:contextualSpacing/>
              <w:jc w:val="center"/>
              <w:rPr>
                <w:rFonts w:ascii="Arial Narrow" w:hAnsi="Arial Narrow" w:cs="Times New Roman"/>
                <w:b/>
                <w:snapToGrid/>
                <w:sz w:val="20"/>
                <w:szCs w:val="20"/>
                <w:lang w:eastAsia="en-AU"/>
              </w:rPr>
            </w:pPr>
          </w:p>
        </w:tc>
        <w:tc>
          <w:tcPr>
            <w:tcW w:w="474" w:type="pct"/>
            <w:vAlign w:val="center"/>
          </w:tcPr>
          <w:p w:rsidR="009608DE" w:rsidRPr="00D8075A" w:rsidRDefault="009608DE" w:rsidP="00B61512">
            <w:pPr>
              <w:widowControl/>
              <w:contextualSpacing/>
              <w:jc w:val="center"/>
              <w:rPr>
                <w:rFonts w:ascii="Arial Narrow" w:hAnsi="Arial Narrow" w:cs="Times New Roman"/>
                <w:b/>
                <w:snapToGrid/>
                <w:sz w:val="20"/>
                <w:szCs w:val="20"/>
                <w:lang w:eastAsia="en-AU"/>
              </w:rPr>
            </w:pPr>
            <w:r w:rsidRPr="00D8075A">
              <w:rPr>
                <w:rFonts w:ascii="Arial Narrow" w:hAnsi="Arial Narrow" w:cs="Times New Roman"/>
                <w:b/>
                <w:snapToGrid/>
                <w:sz w:val="20"/>
                <w:szCs w:val="20"/>
                <w:lang w:eastAsia="en-AU"/>
              </w:rPr>
              <w:t>Part A (US)</w:t>
            </w:r>
          </w:p>
          <w:p w:rsidR="009608DE" w:rsidRPr="00D8075A" w:rsidRDefault="009608DE" w:rsidP="00B61512">
            <w:pPr>
              <w:widowControl/>
              <w:contextualSpacing/>
              <w:jc w:val="center"/>
              <w:rPr>
                <w:rFonts w:ascii="Arial Narrow" w:hAnsi="Arial Narrow" w:cs="Times New Roman"/>
                <w:b/>
                <w:snapToGrid/>
                <w:sz w:val="20"/>
                <w:szCs w:val="20"/>
                <w:lang w:eastAsia="en-AU"/>
              </w:rPr>
            </w:pPr>
            <w:r w:rsidRPr="00D8075A">
              <w:rPr>
                <w:rFonts w:ascii="Arial Narrow" w:hAnsi="Arial Narrow" w:cs="Times New Roman"/>
                <w:b/>
                <w:snapToGrid/>
                <w:sz w:val="20"/>
                <w:szCs w:val="20"/>
                <w:lang w:eastAsia="en-AU"/>
              </w:rPr>
              <w:t>N=20</w:t>
            </w:r>
          </w:p>
        </w:tc>
        <w:tc>
          <w:tcPr>
            <w:tcW w:w="461" w:type="pct"/>
            <w:vAlign w:val="center"/>
          </w:tcPr>
          <w:p w:rsidR="009608DE" w:rsidRPr="00D8075A" w:rsidRDefault="009608DE" w:rsidP="00B61512">
            <w:pPr>
              <w:widowControl/>
              <w:contextualSpacing/>
              <w:jc w:val="center"/>
              <w:rPr>
                <w:rFonts w:ascii="Arial Narrow" w:hAnsi="Arial Narrow" w:cs="Times New Roman"/>
                <w:b/>
                <w:snapToGrid/>
                <w:sz w:val="20"/>
                <w:szCs w:val="20"/>
                <w:lang w:eastAsia="en-AU"/>
              </w:rPr>
            </w:pPr>
            <w:r w:rsidRPr="00D8075A">
              <w:rPr>
                <w:rFonts w:ascii="Arial Narrow" w:hAnsi="Arial Narrow" w:cs="Times New Roman"/>
                <w:b/>
                <w:snapToGrid/>
                <w:sz w:val="20"/>
                <w:szCs w:val="20"/>
                <w:lang w:eastAsia="en-AU"/>
              </w:rPr>
              <w:t>Part B (EU)</w:t>
            </w:r>
          </w:p>
          <w:p w:rsidR="009608DE" w:rsidRPr="00D8075A" w:rsidRDefault="009608DE" w:rsidP="00B61512">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b/>
                <w:snapToGrid/>
                <w:sz w:val="20"/>
                <w:szCs w:val="20"/>
                <w:lang w:eastAsia="en-AU"/>
              </w:rPr>
              <w:t>N=30</w:t>
            </w:r>
          </w:p>
        </w:tc>
        <w:tc>
          <w:tcPr>
            <w:tcW w:w="528" w:type="pct"/>
            <w:shd w:val="clear" w:color="auto" w:fill="auto"/>
            <w:tcMar>
              <w:top w:w="45" w:type="dxa"/>
              <w:left w:w="45" w:type="dxa"/>
              <w:bottom w:w="45" w:type="dxa"/>
              <w:right w:w="45" w:type="dxa"/>
            </w:tcMar>
            <w:vAlign w:val="center"/>
          </w:tcPr>
          <w:p w:rsidR="009608DE" w:rsidRPr="00D8075A" w:rsidRDefault="009608DE" w:rsidP="00B61512">
            <w:pPr>
              <w:widowControl/>
              <w:ind w:left="-45"/>
              <w:contextualSpacing/>
              <w:jc w:val="center"/>
              <w:rPr>
                <w:rFonts w:ascii="Arial Narrow" w:hAnsi="Arial Narrow" w:cs="Times New Roman"/>
                <w:b/>
                <w:snapToGrid/>
                <w:sz w:val="20"/>
                <w:szCs w:val="20"/>
                <w:lang w:eastAsia="en-AU"/>
              </w:rPr>
            </w:pPr>
            <w:r w:rsidRPr="00D8075A">
              <w:rPr>
                <w:rFonts w:ascii="Arial Narrow" w:hAnsi="Arial Narrow" w:cs="Times New Roman"/>
                <w:b/>
                <w:snapToGrid/>
                <w:sz w:val="20"/>
                <w:szCs w:val="20"/>
                <w:lang w:eastAsia="en-AU"/>
              </w:rPr>
              <w:t>Part A (US)</w:t>
            </w:r>
          </w:p>
          <w:p w:rsidR="009608DE" w:rsidRPr="00D8075A" w:rsidRDefault="009608DE" w:rsidP="00B61512">
            <w:pPr>
              <w:widowControl/>
              <w:ind w:left="-45"/>
              <w:contextualSpacing/>
              <w:jc w:val="center"/>
              <w:rPr>
                <w:rFonts w:ascii="Arial Narrow" w:hAnsi="Arial Narrow" w:cs="Times New Roman"/>
                <w:b/>
                <w:snapToGrid/>
                <w:sz w:val="20"/>
                <w:szCs w:val="20"/>
                <w:lang w:eastAsia="en-AU"/>
              </w:rPr>
            </w:pPr>
            <w:r w:rsidRPr="00D8075A">
              <w:rPr>
                <w:rFonts w:ascii="Arial Narrow" w:hAnsi="Arial Narrow" w:cs="Times New Roman"/>
                <w:b/>
                <w:snapToGrid/>
                <w:sz w:val="20"/>
                <w:szCs w:val="20"/>
                <w:lang w:eastAsia="en-AU"/>
              </w:rPr>
              <w:t>N=14</w:t>
            </w:r>
          </w:p>
        </w:tc>
        <w:tc>
          <w:tcPr>
            <w:tcW w:w="558" w:type="pct"/>
            <w:shd w:val="clear" w:color="auto" w:fill="auto"/>
            <w:vAlign w:val="center"/>
          </w:tcPr>
          <w:p w:rsidR="009608DE" w:rsidRPr="00D8075A" w:rsidRDefault="009608DE" w:rsidP="00B61512">
            <w:pPr>
              <w:widowControl/>
              <w:contextualSpacing/>
              <w:jc w:val="center"/>
              <w:rPr>
                <w:rFonts w:ascii="Arial Narrow" w:hAnsi="Arial Narrow" w:cs="Times New Roman"/>
                <w:b/>
                <w:snapToGrid/>
                <w:sz w:val="20"/>
                <w:szCs w:val="20"/>
                <w:lang w:eastAsia="en-AU"/>
              </w:rPr>
            </w:pPr>
            <w:r w:rsidRPr="00D8075A">
              <w:rPr>
                <w:rFonts w:ascii="Arial Narrow" w:hAnsi="Arial Narrow" w:cs="Times New Roman"/>
                <w:b/>
                <w:snapToGrid/>
                <w:sz w:val="20"/>
                <w:szCs w:val="20"/>
                <w:lang w:eastAsia="en-AU"/>
              </w:rPr>
              <w:t>Part B (EU)</w:t>
            </w:r>
          </w:p>
          <w:p w:rsidR="009608DE" w:rsidRPr="00D8075A" w:rsidRDefault="009608DE" w:rsidP="00B61512">
            <w:pPr>
              <w:widowControl/>
              <w:contextualSpacing/>
              <w:jc w:val="center"/>
              <w:rPr>
                <w:rFonts w:ascii="Arial Narrow" w:hAnsi="Arial Narrow" w:cs="Times New Roman"/>
                <w:b/>
                <w:snapToGrid/>
                <w:sz w:val="20"/>
                <w:szCs w:val="20"/>
                <w:lang w:eastAsia="en-AU"/>
              </w:rPr>
            </w:pPr>
            <w:r w:rsidRPr="00D8075A">
              <w:rPr>
                <w:rFonts w:ascii="Arial Narrow" w:hAnsi="Arial Narrow" w:cs="Times New Roman"/>
                <w:b/>
                <w:snapToGrid/>
                <w:sz w:val="20"/>
                <w:szCs w:val="20"/>
                <w:lang w:eastAsia="en-AU"/>
              </w:rPr>
              <w:t>N=29</w:t>
            </w:r>
          </w:p>
        </w:tc>
        <w:tc>
          <w:tcPr>
            <w:tcW w:w="593" w:type="pct"/>
            <w:vMerge/>
          </w:tcPr>
          <w:p w:rsidR="009608DE" w:rsidRPr="00D8075A" w:rsidRDefault="009608DE" w:rsidP="00B61512">
            <w:pPr>
              <w:widowControl/>
              <w:contextualSpacing/>
              <w:jc w:val="center"/>
              <w:rPr>
                <w:rFonts w:ascii="Arial Narrow" w:hAnsi="Arial Narrow" w:cs="Times New Roman"/>
                <w:b/>
                <w:snapToGrid/>
                <w:sz w:val="20"/>
                <w:szCs w:val="20"/>
                <w:lang w:eastAsia="en-AU"/>
              </w:rPr>
            </w:pPr>
          </w:p>
        </w:tc>
      </w:tr>
      <w:tr w:rsidR="009608DE" w:rsidRPr="00D8075A" w:rsidTr="0083398B">
        <w:trPr>
          <w:trHeight w:val="192"/>
        </w:trPr>
        <w:tc>
          <w:tcPr>
            <w:tcW w:w="863" w:type="pct"/>
            <w:shd w:val="clear" w:color="auto" w:fill="FFFFFF"/>
            <w:tcMar>
              <w:top w:w="45" w:type="dxa"/>
              <w:left w:w="45" w:type="dxa"/>
              <w:bottom w:w="45" w:type="dxa"/>
              <w:right w:w="45" w:type="dxa"/>
            </w:tcMar>
            <w:hideMark/>
          </w:tcPr>
          <w:p w:rsidR="009608DE" w:rsidRPr="00D8075A" w:rsidRDefault="009608DE" w:rsidP="00B61512">
            <w:pPr>
              <w:widowControl/>
              <w:tabs>
                <w:tab w:val="left" w:pos="175"/>
              </w:tabs>
              <w:contextualSpacing/>
              <w:jc w:val="left"/>
              <w:rPr>
                <w:rFonts w:ascii="Arial Narrow" w:hAnsi="Arial Narrow" w:cs="Times New Roman"/>
                <w:b/>
                <w:snapToGrid/>
                <w:sz w:val="20"/>
                <w:szCs w:val="20"/>
                <w:lang w:eastAsia="en-AU"/>
              </w:rPr>
            </w:pPr>
            <w:r w:rsidRPr="00D8075A">
              <w:rPr>
                <w:rFonts w:ascii="Arial Narrow" w:hAnsi="Arial Narrow" w:cs="Times New Roman"/>
                <w:b/>
                <w:snapToGrid/>
                <w:sz w:val="20"/>
                <w:szCs w:val="20"/>
                <w:lang w:eastAsia="en-AU"/>
              </w:rPr>
              <w:t>Median OS</w:t>
            </w:r>
          </w:p>
          <w:p w:rsidR="009608DE" w:rsidRPr="00D8075A" w:rsidRDefault="009608DE" w:rsidP="00B61512">
            <w:pPr>
              <w:widowControl/>
              <w:tabs>
                <w:tab w:val="left" w:pos="175"/>
              </w:tabs>
              <w:contextualSpacing/>
              <w:jc w:val="left"/>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Months (95% CI)</w:t>
            </w:r>
          </w:p>
          <w:p w:rsidR="009608DE" w:rsidRPr="00D8075A" w:rsidRDefault="009608DE" w:rsidP="00B61512">
            <w:pPr>
              <w:widowControl/>
              <w:tabs>
                <w:tab w:val="left" w:pos="175"/>
              </w:tabs>
              <w:contextualSpacing/>
              <w:jc w:val="left"/>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ab/>
              <w:t>Min, max</w:t>
            </w:r>
          </w:p>
        </w:tc>
        <w:tc>
          <w:tcPr>
            <w:tcW w:w="755" w:type="pct"/>
            <w:shd w:val="clear" w:color="auto" w:fill="FFFFFF"/>
            <w:tcMar>
              <w:top w:w="45" w:type="dxa"/>
              <w:left w:w="45" w:type="dxa"/>
              <w:bottom w:w="45" w:type="dxa"/>
              <w:right w:w="45" w:type="dxa"/>
            </w:tcMar>
          </w:tcPr>
          <w:p w:rsidR="009608DE" w:rsidRPr="00D8075A" w:rsidRDefault="009608DE" w:rsidP="00B61512">
            <w:pPr>
              <w:widowControl/>
              <w:contextualSpacing/>
              <w:jc w:val="center"/>
              <w:rPr>
                <w:rFonts w:ascii="Arial Narrow" w:hAnsi="Arial Narrow" w:cs="Times New Roman"/>
                <w:snapToGrid/>
                <w:sz w:val="20"/>
                <w:szCs w:val="20"/>
                <w:lang w:eastAsia="en-AU"/>
              </w:rPr>
            </w:pPr>
          </w:p>
          <w:p w:rsidR="009608DE" w:rsidRPr="00D8075A" w:rsidRDefault="009608DE" w:rsidP="00B61512">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12.6 (7.5, 19.0)</w:t>
            </w:r>
          </w:p>
          <w:p w:rsidR="009608DE" w:rsidRPr="00D8075A" w:rsidRDefault="009608DE" w:rsidP="00B61512">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0.4, 30.1</w:t>
            </w:r>
          </w:p>
        </w:tc>
        <w:tc>
          <w:tcPr>
            <w:tcW w:w="768" w:type="pct"/>
            <w:shd w:val="clear" w:color="auto" w:fill="FFFFFF"/>
          </w:tcPr>
          <w:p w:rsidR="009608DE" w:rsidRPr="00D8075A" w:rsidRDefault="009608DE" w:rsidP="00B61512">
            <w:pPr>
              <w:widowControl/>
              <w:contextualSpacing/>
              <w:jc w:val="center"/>
              <w:rPr>
                <w:rFonts w:ascii="Arial Narrow" w:hAnsi="Arial Narrow" w:cs="Times New Roman"/>
                <w:snapToGrid/>
                <w:sz w:val="20"/>
                <w:szCs w:val="20"/>
                <w:lang w:eastAsia="en-AU"/>
              </w:rPr>
            </w:pPr>
          </w:p>
          <w:p w:rsidR="009608DE" w:rsidRPr="00D8075A" w:rsidRDefault="009608DE" w:rsidP="00B61512">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12.6 (7.5, 17.1)</w:t>
            </w:r>
          </w:p>
          <w:p w:rsidR="009608DE" w:rsidRPr="00D8075A" w:rsidRDefault="009608DE" w:rsidP="00B61512">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0.4, 35.9+</w:t>
            </w:r>
          </w:p>
        </w:tc>
        <w:tc>
          <w:tcPr>
            <w:tcW w:w="474" w:type="pct"/>
            <w:shd w:val="clear" w:color="auto" w:fill="FFFFFF"/>
          </w:tcPr>
          <w:p w:rsidR="009608DE" w:rsidRPr="00D8075A" w:rsidRDefault="009608DE" w:rsidP="00B61512">
            <w:pPr>
              <w:widowControl/>
              <w:contextualSpacing/>
              <w:jc w:val="center"/>
              <w:rPr>
                <w:rFonts w:ascii="Arial Narrow" w:hAnsi="Arial Narrow" w:cs="Times New Roman"/>
                <w:snapToGrid/>
                <w:sz w:val="20"/>
                <w:szCs w:val="20"/>
                <w:lang w:eastAsia="en-AU"/>
              </w:rPr>
            </w:pPr>
          </w:p>
          <w:p w:rsidR="009608DE" w:rsidRPr="00D8075A" w:rsidRDefault="009608DE" w:rsidP="00B61512">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4.4 (2.2, 6.2)</w:t>
            </w:r>
          </w:p>
        </w:tc>
        <w:tc>
          <w:tcPr>
            <w:tcW w:w="461" w:type="pct"/>
            <w:shd w:val="clear" w:color="auto" w:fill="FFFFFF"/>
            <w:tcMar>
              <w:top w:w="45" w:type="dxa"/>
              <w:left w:w="45" w:type="dxa"/>
              <w:bottom w:w="45" w:type="dxa"/>
              <w:right w:w="45" w:type="dxa"/>
            </w:tcMar>
          </w:tcPr>
          <w:p w:rsidR="009608DE" w:rsidRPr="00D8075A" w:rsidRDefault="009608DE" w:rsidP="00B61512">
            <w:pPr>
              <w:widowControl/>
              <w:contextualSpacing/>
              <w:jc w:val="center"/>
              <w:rPr>
                <w:rFonts w:ascii="Arial Narrow" w:hAnsi="Arial Narrow" w:cs="Times New Roman"/>
                <w:snapToGrid/>
                <w:sz w:val="20"/>
                <w:szCs w:val="20"/>
                <w:lang w:eastAsia="en-AU"/>
              </w:rPr>
            </w:pPr>
          </w:p>
          <w:p w:rsidR="009608DE" w:rsidRPr="00D8075A" w:rsidRDefault="009608DE" w:rsidP="00B61512">
            <w:pPr>
              <w:widowControl/>
              <w:ind w:hanging="83"/>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5.3 (4.3, 5.8)</w:t>
            </w:r>
          </w:p>
        </w:tc>
        <w:tc>
          <w:tcPr>
            <w:tcW w:w="528" w:type="pct"/>
            <w:shd w:val="clear" w:color="auto" w:fill="FFFFFF"/>
            <w:tcMar>
              <w:top w:w="45" w:type="dxa"/>
              <w:left w:w="45" w:type="dxa"/>
              <w:bottom w:w="45" w:type="dxa"/>
              <w:right w:w="45" w:type="dxa"/>
            </w:tcMar>
          </w:tcPr>
          <w:p w:rsidR="009608DE" w:rsidRPr="00D8075A" w:rsidRDefault="009608DE" w:rsidP="00B61512">
            <w:pPr>
              <w:widowControl/>
              <w:ind w:left="-45"/>
              <w:contextualSpacing/>
              <w:jc w:val="center"/>
              <w:rPr>
                <w:rFonts w:ascii="Arial Narrow" w:hAnsi="Arial Narrow" w:cs="Times New Roman"/>
                <w:snapToGrid/>
                <w:sz w:val="20"/>
                <w:szCs w:val="20"/>
                <w:lang w:eastAsia="en-AU"/>
              </w:rPr>
            </w:pPr>
          </w:p>
          <w:p w:rsidR="009608DE" w:rsidRPr="00D8075A" w:rsidRDefault="009608DE" w:rsidP="00B61512">
            <w:pPr>
              <w:widowControl/>
              <w:ind w:left="-45"/>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4.3 (2.1, 6.2)</w:t>
            </w:r>
          </w:p>
        </w:tc>
        <w:tc>
          <w:tcPr>
            <w:tcW w:w="558" w:type="pct"/>
            <w:shd w:val="clear" w:color="auto" w:fill="FFFFFF"/>
          </w:tcPr>
          <w:p w:rsidR="009608DE" w:rsidRPr="00D8075A" w:rsidRDefault="009608DE" w:rsidP="00B61512">
            <w:pPr>
              <w:widowControl/>
              <w:contextualSpacing/>
              <w:jc w:val="center"/>
              <w:rPr>
                <w:rFonts w:ascii="Arial Narrow" w:hAnsi="Arial Narrow" w:cs="Times New Roman"/>
                <w:snapToGrid/>
                <w:sz w:val="20"/>
                <w:szCs w:val="20"/>
                <w:lang w:eastAsia="en-AU"/>
              </w:rPr>
            </w:pPr>
          </w:p>
          <w:p w:rsidR="009608DE" w:rsidRPr="00D8075A" w:rsidRDefault="009608DE" w:rsidP="00B61512">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5.3 (4.3, 6.0)</w:t>
            </w:r>
          </w:p>
        </w:tc>
        <w:tc>
          <w:tcPr>
            <w:tcW w:w="593" w:type="pct"/>
            <w:shd w:val="clear" w:color="auto" w:fill="FFFFFF"/>
          </w:tcPr>
          <w:p w:rsidR="009608DE" w:rsidRPr="00D8075A" w:rsidRDefault="009608DE" w:rsidP="00B61512">
            <w:pPr>
              <w:widowControl/>
              <w:contextualSpacing/>
              <w:jc w:val="center"/>
              <w:rPr>
                <w:rFonts w:ascii="Arial Narrow" w:hAnsi="Arial Narrow" w:cs="Times New Roman"/>
                <w:snapToGrid/>
                <w:sz w:val="20"/>
                <w:szCs w:val="20"/>
                <w:lang w:eastAsia="en-AU"/>
              </w:rPr>
            </w:pPr>
          </w:p>
          <w:p w:rsidR="009608DE" w:rsidRPr="00D8075A" w:rsidRDefault="009608DE" w:rsidP="00B61512">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5.7</w:t>
            </w:r>
          </w:p>
          <w:p w:rsidR="009608DE" w:rsidRPr="00D8075A" w:rsidRDefault="009608DE" w:rsidP="00B61512">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35 days – 2.4 years</w:t>
            </w:r>
          </w:p>
        </w:tc>
      </w:tr>
      <w:tr w:rsidR="009608DE" w:rsidRPr="00D8075A" w:rsidTr="0083398B">
        <w:tc>
          <w:tcPr>
            <w:tcW w:w="863" w:type="pct"/>
            <w:shd w:val="clear" w:color="auto" w:fill="FFFFFF"/>
            <w:tcMar>
              <w:top w:w="45" w:type="dxa"/>
              <w:left w:w="45" w:type="dxa"/>
              <w:bottom w:w="45" w:type="dxa"/>
              <w:right w:w="45" w:type="dxa"/>
            </w:tcMar>
            <w:vAlign w:val="center"/>
            <w:hideMark/>
          </w:tcPr>
          <w:p w:rsidR="009608DE" w:rsidRPr="00D8075A" w:rsidRDefault="009608DE" w:rsidP="0066113E">
            <w:pPr>
              <w:widowControl/>
              <w:contextualSpacing/>
              <w:jc w:val="left"/>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6-month OS rate by KM, % (95% CI)</w:t>
            </w:r>
          </w:p>
        </w:tc>
        <w:tc>
          <w:tcPr>
            <w:tcW w:w="755" w:type="pct"/>
            <w:shd w:val="clear" w:color="auto" w:fill="FFFFFF"/>
            <w:tcMar>
              <w:top w:w="45" w:type="dxa"/>
              <w:left w:w="45" w:type="dxa"/>
              <w:bottom w:w="45" w:type="dxa"/>
              <w:right w:w="45" w:type="dxa"/>
            </w:tcMar>
            <w:vAlign w:val="center"/>
            <w:hideMark/>
          </w:tcPr>
          <w:p w:rsidR="009608DE" w:rsidRPr="00D8075A" w:rsidRDefault="009608DE" w:rsidP="0066113E">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70 (59, 78)</w:t>
            </w:r>
          </w:p>
        </w:tc>
        <w:tc>
          <w:tcPr>
            <w:tcW w:w="768" w:type="pct"/>
            <w:shd w:val="clear" w:color="auto" w:fill="FFFFFF"/>
            <w:vAlign w:val="center"/>
          </w:tcPr>
          <w:p w:rsidR="009608DE" w:rsidRPr="00D8075A" w:rsidRDefault="009608DE" w:rsidP="0066113E">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70 (59, 78)</w:t>
            </w:r>
          </w:p>
        </w:tc>
        <w:tc>
          <w:tcPr>
            <w:tcW w:w="474" w:type="pct"/>
            <w:shd w:val="clear" w:color="auto" w:fill="FFFFFF"/>
            <w:vAlign w:val="center"/>
          </w:tcPr>
          <w:p w:rsidR="009608DE" w:rsidRPr="00D8075A" w:rsidRDefault="009608DE" w:rsidP="0066113E">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30.2 (11.6, 51.4)</w:t>
            </w:r>
          </w:p>
        </w:tc>
        <w:tc>
          <w:tcPr>
            <w:tcW w:w="461" w:type="pct"/>
            <w:shd w:val="clear" w:color="auto" w:fill="FFFFFF"/>
            <w:tcMar>
              <w:top w:w="45" w:type="dxa"/>
              <w:left w:w="45" w:type="dxa"/>
              <w:bottom w:w="45" w:type="dxa"/>
              <w:right w:w="45" w:type="dxa"/>
            </w:tcMar>
            <w:vAlign w:val="center"/>
          </w:tcPr>
          <w:p w:rsidR="009608DE" w:rsidRPr="00D8075A" w:rsidRDefault="009608DE" w:rsidP="0066113E">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26.4 (13.1, 41.8)</w:t>
            </w:r>
          </w:p>
        </w:tc>
        <w:tc>
          <w:tcPr>
            <w:tcW w:w="528" w:type="pct"/>
            <w:shd w:val="clear" w:color="auto" w:fill="FFFFFF"/>
            <w:tcMar>
              <w:top w:w="45" w:type="dxa"/>
              <w:left w:w="45" w:type="dxa"/>
              <w:bottom w:w="45" w:type="dxa"/>
              <w:right w:w="45" w:type="dxa"/>
            </w:tcMar>
            <w:vAlign w:val="center"/>
          </w:tcPr>
          <w:p w:rsidR="009608DE" w:rsidRPr="00D8075A" w:rsidRDefault="009608DE" w:rsidP="0066113E">
            <w:pPr>
              <w:widowControl/>
              <w:ind w:left="-45"/>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26.8 (7.3, 51.5)</w:t>
            </w:r>
          </w:p>
        </w:tc>
        <w:tc>
          <w:tcPr>
            <w:tcW w:w="558" w:type="pct"/>
            <w:shd w:val="clear" w:color="auto" w:fill="FFFFFF"/>
            <w:vAlign w:val="center"/>
          </w:tcPr>
          <w:p w:rsidR="009608DE" w:rsidRPr="00D8075A" w:rsidRDefault="009608DE" w:rsidP="0066113E">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27.5 (13.0, 44.2)</w:t>
            </w:r>
          </w:p>
        </w:tc>
        <w:tc>
          <w:tcPr>
            <w:tcW w:w="593" w:type="pct"/>
            <w:shd w:val="clear" w:color="auto" w:fill="FFFFFF"/>
            <w:vAlign w:val="center"/>
          </w:tcPr>
          <w:p w:rsidR="009608DE" w:rsidRPr="00D8075A" w:rsidRDefault="009608DE" w:rsidP="0066113E">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NR</w:t>
            </w:r>
          </w:p>
        </w:tc>
      </w:tr>
      <w:tr w:rsidR="009608DE" w:rsidRPr="00D8075A" w:rsidTr="0083398B">
        <w:tc>
          <w:tcPr>
            <w:tcW w:w="863" w:type="pct"/>
            <w:shd w:val="clear" w:color="auto" w:fill="FFFFFF"/>
            <w:tcMar>
              <w:top w:w="45" w:type="dxa"/>
              <w:left w:w="45" w:type="dxa"/>
              <w:bottom w:w="45" w:type="dxa"/>
              <w:right w:w="45" w:type="dxa"/>
            </w:tcMar>
            <w:vAlign w:val="center"/>
          </w:tcPr>
          <w:p w:rsidR="009608DE" w:rsidRPr="00D8075A" w:rsidRDefault="009608DE" w:rsidP="0066113E">
            <w:pPr>
              <w:widowControl/>
              <w:tabs>
                <w:tab w:val="left" w:pos="200"/>
              </w:tabs>
              <w:contextualSpacing/>
              <w:jc w:val="left"/>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12-month OS rate by KM, % (95% CI)</w:t>
            </w:r>
          </w:p>
        </w:tc>
        <w:tc>
          <w:tcPr>
            <w:tcW w:w="755" w:type="pct"/>
            <w:shd w:val="clear" w:color="auto" w:fill="FFFFFF"/>
            <w:tcMar>
              <w:top w:w="45" w:type="dxa"/>
              <w:left w:w="45" w:type="dxa"/>
              <w:bottom w:w="45" w:type="dxa"/>
              <w:right w:w="45" w:type="dxa"/>
            </w:tcMar>
            <w:vAlign w:val="center"/>
          </w:tcPr>
          <w:p w:rsidR="009608DE" w:rsidRPr="00D8075A" w:rsidRDefault="009608DE" w:rsidP="0066113E">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51 (40, 61)</w:t>
            </w:r>
          </w:p>
        </w:tc>
        <w:tc>
          <w:tcPr>
            <w:tcW w:w="768" w:type="pct"/>
            <w:shd w:val="clear" w:color="auto" w:fill="FFFFFF"/>
            <w:vAlign w:val="center"/>
          </w:tcPr>
          <w:p w:rsidR="009608DE" w:rsidRPr="00D8075A" w:rsidRDefault="009608DE" w:rsidP="0066113E">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50 (39, 60)</w:t>
            </w:r>
          </w:p>
        </w:tc>
        <w:tc>
          <w:tcPr>
            <w:tcW w:w="474" w:type="pct"/>
            <w:shd w:val="clear" w:color="auto" w:fill="FFFFFF"/>
            <w:vAlign w:val="center"/>
          </w:tcPr>
          <w:p w:rsidR="009608DE" w:rsidRPr="00D8075A" w:rsidRDefault="009608DE" w:rsidP="0066113E">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0</w:t>
            </w:r>
          </w:p>
        </w:tc>
        <w:tc>
          <w:tcPr>
            <w:tcW w:w="461" w:type="pct"/>
            <w:shd w:val="clear" w:color="auto" w:fill="FFFFFF"/>
            <w:tcMar>
              <w:top w:w="45" w:type="dxa"/>
              <w:left w:w="45" w:type="dxa"/>
              <w:bottom w:w="45" w:type="dxa"/>
              <w:right w:w="45" w:type="dxa"/>
            </w:tcMar>
            <w:vAlign w:val="center"/>
          </w:tcPr>
          <w:p w:rsidR="009608DE" w:rsidRPr="00D8075A" w:rsidRDefault="009608DE" w:rsidP="0066113E">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0</w:t>
            </w:r>
          </w:p>
        </w:tc>
        <w:tc>
          <w:tcPr>
            <w:tcW w:w="528" w:type="pct"/>
            <w:shd w:val="clear" w:color="auto" w:fill="FFFFFF"/>
            <w:tcMar>
              <w:top w:w="45" w:type="dxa"/>
              <w:left w:w="45" w:type="dxa"/>
              <w:bottom w:w="45" w:type="dxa"/>
              <w:right w:w="45" w:type="dxa"/>
            </w:tcMar>
            <w:vAlign w:val="center"/>
          </w:tcPr>
          <w:p w:rsidR="009608DE" w:rsidRPr="00D8075A" w:rsidRDefault="009608DE" w:rsidP="0066113E">
            <w:pPr>
              <w:widowControl/>
              <w:ind w:left="-45"/>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0</w:t>
            </w:r>
          </w:p>
        </w:tc>
        <w:tc>
          <w:tcPr>
            <w:tcW w:w="558" w:type="pct"/>
            <w:shd w:val="clear" w:color="auto" w:fill="FFFFFF"/>
            <w:vAlign w:val="center"/>
          </w:tcPr>
          <w:p w:rsidR="009608DE" w:rsidRPr="00D8075A" w:rsidRDefault="009608DE" w:rsidP="0066113E">
            <w:pPr>
              <w:contextualSpacing/>
              <w:jc w:val="center"/>
              <w:rPr>
                <w:rFonts w:ascii="Arial Narrow" w:hAnsi="Arial Narrow"/>
                <w:sz w:val="20"/>
                <w:szCs w:val="20"/>
                <w:lang w:eastAsia="en-AU"/>
              </w:rPr>
            </w:pPr>
            <w:r w:rsidRPr="00D8075A">
              <w:rPr>
                <w:rFonts w:ascii="Arial Narrow" w:hAnsi="Arial Narrow"/>
                <w:sz w:val="20"/>
                <w:szCs w:val="20"/>
                <w:lang w:eastAsia="en-AU"/>
              </w:rPr>
              <w:t>0</w:t>
            </w:r>
          </w:p>
        </w:tc>
        <w:tc>
          <w:tcPr>
            <w:tcW w:w="593" w:type="pct"/>
            <w:shd w:val="clear" w:color="auto" w:fill="FFFFFF"/>
            <w:vAlign w:val="center"/>
          </w:tcPr>
          <w:p w:rsidR="009608DE" w:rsidRPr="00D8075A" w:rsidRDefault="009608DE" w:rsidP="0066113E">
            <w:pPr>
              <w:contextualSpacing/>
              <w:jc w:val="center"/>
              <w:rPr>
                <w:rFonts w:ascii="Arial Narrow" w:hAnsi="Arial Narrow"/>
                <w:sz w:val="20"/>
                <w:szCs w:val="20"/>
                <w:lang w:eastAsia="en-AU"/>
              </w:rPr>
            </w:pPr>
            <w:r w:rsidRPr="00D8075A">
              <w:rPr>
                <w:rFonts w:ascii="Arial Narrow" w:hAnsi="Arial Narrow"/>
                <w:sz w:val="20"/>
                <w:szCs w:val="20"/>
                <w:lang w:eastAsia="en-AU"/>
              </w:rPr>
              <w:t>NR</w:t>
            </w:r>
          </w:p>
        </w:tc>
      </w:tr>
      <w:tr w:rsidR="009608DE" w:rsidRPr="00D8075A" w:rsidTr="0083398B">
        <w:tc>
          <w:tcPr>
            <w:tcW w:w="863" w:type="pct"/>
            <w:shd w:val="clear" w:color="auto" w:fill="FFFFFF"/>
            <w:tcMar>
              <w:top w:w="45" w:type="dxa"/>
              <w:left w:w="45" w:type="dxa"/>
              <w:bottom w:w="45" w:type="dxa"/>
              <w:right w:w="45" w:type="dxa"/>
            </w:tcMar>
            <w:vAlign w:val="center"/>
          </w:tcPr>
          <w:p w:rsidR="009608DE" w:rsidRPr="00D8075A" w:rsidRDefault="009608DE" w:rsidP="0066113E">
            <w:pPr>
              <w:widowControl/>
              <w:contextualSpacing/>
              <w:jc w:val="left"/>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15-month OS rate by KM, % (95% CI)</w:t>
            </w:r>
          </w:p>
        </w:tc>
        <w:tc>
          <w:tcPr>
            <w:tcW w:w="755" w:type="pct"/>
            <w:shd w:val="clear" w:color="auto" w:fill="FFFFFF"/>
            <w:tcMar>
              <w:top w:w="45" w:type="dxa"/>
              <w:left w:w="45" w:type="dxa"/>
              <w:bottom w:w="45" w:type="dxa"/>
              <w:right w:w="45" w:type="dxa"/>
            </w:tcMar>
            <w:vAlign w:val="center"/>
          </w:tcPr>
          <w:p w:rsidR="009608DE" w:rsidRPr="00D8075A" w:rsidRDefault="009608DE" w:rsidP="0066113E">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rPr>
              <w:t>44 (33-54)</w:t>
            </w:r>
          </w:p>
        </w:tc>
        <w:tc>
          <w:tcPr>
            <w:tcW w:w="768" w:type="pct"/>
            <w:shd w:val="clear" w:color="auto" w:fill="FFFFFF"/>
            <w:vAlign w:val="center"/>
          </w:tcPr>
          <w:p w:rsidR="009608DE" w:rsidRPr="00D8075A" w:rsidRDefault="009608DE" w:rsidP="0066113E">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43 (32, 53)</w:t>
            </w:r>
          </w:p>
        </w:tc>
        <w:tc>
          <w:tcPr>
            <w:tcW w:w="474" w:type="pct"/>
            <w:shd w:val="clear" w:color="auto" w:fill="FFFFFF"/>
            <w:vAlign w:val="center"/>
          </w:tcPr>
          <w:p w:rsidR="009608DE" w:rsidRPr="00D8075A" w:rsidRDefault="009608DE" w:rsidP="0066113E">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NR</w:t>
            </w:r>
          </w:p>
        </w:tc>
        <w:tc>
          <w:tcPr>
            <w:tcW w:w="461" w:type="pct"/>
            <w:shd w:val="clear" w:color="auto" w:fill="FFFFFF"/>
            <w:tcMar>
              <w:top w:w="45" w:type="dxa"/>
              <w:left w:w="45" w:type="dxa"/>
              <w:bottom w:w="45" w:type="dxa"/>
              <w:right w:w="45" w:type="dxa"/>
            </w:tcMar>
            <w:vAlign w:val="center"/>
          </w:tcPr>
          <w:p w:rsidR="009608DE" w:rsidRPr="00D8075A" w:rsidRDefault="009608DE" w:rsidP="0066113E">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NR</w:t>
            </w:r>
          </w:p>
        </w:tc>
        <w:tc>
          <w:tcPr>
            <w:tcW w:w="528" w:type="pct"/>
            <w:shd w:val="clear" w:color="auto" w:fill="FFFFFF"/>
            <w:tcMar>
              <w:top w:w="45" w:type="dxa"/>
              <w:left w:w="45" w:type="dxa"/>
              <w:bottom w:w="45" w:type="dxa"/>
              <w:right w:w="45" w:type="dxa"/>
            </w:tcMar>
            <w:vAlign w:val="center"/>
          </w:tcPr>
          <w:p w:rsidR="009608DE" w:rsidRPr="00D8075A" w:rsidRDefault="009608DE" w:rsidP="0066113E">
            <w:pPr>
              <w:widowControl/>
              <w:tabs>
                <w:tab w:val="left" w:pos="1437"/>
              </w:tabs>
              <w:ind w:left="-45"/>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NR</w:t>
            </w:r>
          </w:p>
        </w:tc>
        <w:tc>
          <w:tcPr>
            <w:tcW w:w="558" w:type="pct"/>
            <w:shd w:val="clear" w:color="auto" w:fill="FFFFFF"/>
            <w:vAlign w:val="center"/>
          </w:tcPr>
          <w:p w:rsidR="009608DE" w:rsidRPr="00D8075A" w:rsidRDefault="009608DE" w:rsidP="0066113E">
            <w:pPr>
              <w:contextualSpacing/>
              <w:jc w:val="center"/>
              <w:rPr>
                <w:rFonts w:ascii="Arial Narrow" w:hAnsi="Arial Narrow"/>
                <w:sz w:val="20"/>
                <w:szCs w:val="20"/>
                <w:lang w:eastAsia="en-AU"/>
              </w:rPr>
            </w:pPr>
            <w:r w:rsidRPr="00D8075A">
              <w:rPr>
                <w:rFonts w:ascii="Arial Narrow" w:hAnsi="Arial Narrow"/>
                <w:sz w:val="20"/>
                <w:szCs w:val="20"/>
                <w:lang w:eastAsia="en-AU"/>
              </w:rPr>
              <w:t>NR</w:t>
            </w:r>
          </w:p>
        </w:tc>
        <w:tc>
          <w:tcPr>
            <w:tcW w:w="593" w:type="pct"/>
            <w:shd w:val="clear" w:color="auto" w:fill="FFFFFF"/>
            <w:vAlign w:val="center"/>
          </w:tcPr>
          <w:p w:rsidR="009608DE" w:rsidRPr="00D8075A" w:rsidRDefault="009608DE" w:rsidP="0066113E">
            <w:pPr>
              <w:contextualSpacing/>
              <w:jc w:val="center"/>
              <w:rPr>
                <w:rFonts w:ascii="Arial Narrow" w:hAnsi="Arial Narrow"/>
                <w:sz w:val="20"/>
                <w:szCs w:val="20"/>
                <w:lang w:eastAsia="en-AU"/>
              </w:rPr>
            </w:pPr>
            <w:r w:rsidRPr="00D8075A">
              <w:rPr>
                <w:rFonts w:ascii="Arial Narrow" w:hAnsi="Arial Narrow"/>
                <w:sz w:val="20"/>
                <w:szCs w:val="20"/>
                <w:lang w:eastAsia="en-AU"/>
              </w:rPr>
              <w:t>NR</w:t>
            </w:r>
          </w:p>
        </w:tc>
      </w:tr>
      <w:tr w:rsidR="009608DE" w:rsidRPr="00D8075A" w:rsidTr="0083398B">
        <w:tc>
          <w:tcPr>
            <w:tcW w:w="863" w:type="pct"/>
            <w:shd w:val="clear" w:color="auto" w:fill="FFFFFF"/>
            <w:tcMar>
              <w:top w:w="45" w:type="dxa"/>
              <w:left w:w="45" w:type="dxa"/>
              <w:bottom w:w="45" w:type="dxa"/>
              <w:right w:w="45" w:type="dxa"/>
            </w:tcMar>
            <w:vAlign w:val="center"/>
          </w:tcPr>
          <w:p w:rsidR="009608DE" w:rsidRPr="00D8075A" w:rsidRDefault="009608DE" w:rsidP="0066113E">
            <w:pPr>
              <w:widowControl/>
              <w:contextualSpacing/>
              <w:jc w:val="left"/>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18-month OS rate by KM, % (95% CI)</w:t>
            </w:r>
          </w:p>
        </w:tc>
        <w:tc>
          <w:tcPr>
            <w:tcW w:w="755" w:type="pct"/>
            <w:shd w:val="clear" w:color="auto" w:fill="FFFFFF"/>
            <w:tcMar>
              <w:top w:w="45" w:type="dxa"/>
              <w:left w:w="45" w:type="dxa"/>
              <w:bottom w:w="45" w:type="dxa"/>
              <w:right w:w="45" w:type="dxa"/>
            </w:tcMar>
            <w:vAlign w:val="center"/>
          </w:tcPr>
          <w:p w:rsidR="009608DE" w:rsidRPr="00D8075A" w:rsidRDefault="009608DE" w:rsidP="0066113E">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rPr>
              <w:t>40 (29-50)</w:t>
            </w:r>
          </w:p>
        </w:tc>
        <w:tc>
          <w:tcPr>
            <w:tcW w:w="768" w:type="pct"/>
            <w:shd w:val="clear" w:color="auto" w:fill="FFFFFF"/>
            <w:vAlign w:val="center"/>
          </w:tcPr>
          <w:p w:rsidR="009608DE" w:rsidRPr="00D8075A" w:rsidRDefault="009608DE" w:rsidP="0066113E">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rPr>
              <w:t>39 (29-49)</w:t>
            </w:r>
          </w:p>
        </w:tc>
        <w:tc>
          <w:tcPr>
            <w:tcW w:w="474" w:type="pct"/>
            <w:shd w:val="clear" w:color="auto" w:fill="FFFFFF"/>
            <w:vAlign w:val="center"/>
          </w:tcPr>
          <w:p w:rsidR="009608DE" w:rsidRPr="00D8075A" w:rsidRDefault="009608DE" w:rsidP="0066113E">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NR</w:t>
            </w:r>
          </w:p>
        </w:tc>
        <w:tc>
          <w:tcPr>
            <w:tcW w:w="461" w:type="pct"/>
            <w:shd w:val="clear" w:color="auto" w:fill="FFFFFF"/>
            <w:tcMar>
              <w:top w:w="45" w:type="dxa"/>
              <w:left w:w="45" w:type="dxa"/>
              <w:bottom w:w="45" w:type="dxa"/>
              <w:right w:w="45" w:type="dxa"/>
            </w:tcMar>
            <w:vAlign w:val="center"/>
          </w:tcPr>
          <w:p w:rsidR="009608DE" w:rsidRPr="00D8075A" w:rsidRDefault="009608DE" w:rsidP="0066113E">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NR</w:t>
            </w:r>
          </w:p>
        </w:tc>
        <w:tc>
          <w:tcPr>
            <w:tcW w:w="528" w:type="pct"/>
            <w:shd w:val="clear" w:color="auto" w:fill="FFFFFF"/>
            <w:tcMar>
              <w:top w:w="45" w:type="dxa"/>
              <w:left w:w="45" w:type="dxa"/>
              <w:bottom w:w="45" w:type="dxa"/>
              <w:right w:w="45" w:type="dxa"/>
            </w:tcMar>
            <w:vAlign w:val="center"/>
          </w:tcPr>
          <w:p w:rsidR="009608DE" w:rsidRPr="00D8075A" w:rsidRDefault="009608DE" w:rsidP="0066113E">
            <w:pPr>
              <w:ind w:left="-45"/>
              <w:contextualSpacing/>
              <w:jc w:val="center"/>
              <w:rPr>
                <w:rFonts w:ascii="Arial Narrow" w:hAnsi="Arial Narrow"/>
                <w:sz w:val="20"/>
                <w:szCs w:val="20"/>
              </w:rPr>
            </w:pPr>
            <w:r w:rsidRPr="00D8075A">
              <w:rPr>
                <w:rFonts w:ascii="Arial Narrow" w:hAnsi="Arial Narrow"/>
                <w:sz w:val="20"/>
                <w:szCs w:val="20"/>
                <w:lang w:eastAsia="en-AU"/>
              </w:rPr>
              <w:t>NR</w:t>
            </w:r>
          </w:p>
        </w:tc>
        <w:tc>
          <w:tcPr>
            <w:tcW w:w="558" w:type="pct"/>
            <w:shd w:val="clear" w:color="auto" w:fill="FFFFFF"/>
            <w:vAlign w:val="center"/>
          </w:tcPr>
          <w:p w:rsidR="009608DE" w:rsidRPr="00D8075A" w:rsidRDefault="009608DE" w:rsidP="0066113E">
            <w:pPr>
              <w:contextualSpacing/>
              <w:jc w:val="center"/>
              <w:rPr>
                <w:rFonts w:ascii="Arial Narrow" w:hAnsi="Arial Narrow"/>
                <w:sz w:val="20"/>
                <w:szCs w:val="20"/>
              </w:rPr>
            </w:pPr>
            <w:r w:rsidRPr="00D8075A">
              <w:rPr>
                <w:rFonts w:ascii="Arial Narrow" w:hAnsi="Arial Narrow"/>
                <w:sz w:val="20"/>
                <w:szCs w:val="20"/>
                <w:lang w:eastAsia="en-AU"/>
              </w:rPr>
              <w:t>NR</w:t>
            </w:r>
          </w:p>
        </w:tc>
        <w:tc>
          <w:tcPr>
            <w:tcW w:w="593" w:type="pct"/>
            <w:shd w:val="clear" w:color="auto" w:fill="FFFFFF"/>
            <w:vAlign w:val="center"/>
          </w:tcPr>
          <w:p w:rsidR="009608DE" w:rsidRPr="00D8075A" w:rsidRDefault="009608DE" w:rsidP="0066113E">
            <w:pPr>
              <w:contextualSpacing/>
              <w:jc w:val="center"/>
              <w:rPr>
                <w:rFonts w:ascii="Arial Narrow" w:hAnsi="Arial Narrow"/>
                <w:sz w:val="20"/>
                <w:szCs w:val="20"/>
                <w:lang w:eastAsia="en-AU"/>
              </w:rPr>
            </w:pPr>
            <w:r w:rsidRPr="00D8075A">
              <w:rPr>
                <w:rFonts w:ascii="Arial Narrow" w:hAnsi="Arial Narrow"/>
                <w:sz w:val="20"/>
                <w:szCs w:val="20"/>
                <w:lang w:eastAsia="en-AU"/>
              </w:rPr>
              <w:t>NR</w:t>
            </w:r>
          </w:p>
        </w:tc>
      </w:tr>
      <w:tr w:rsidR="009608DE" w:rsidRPr="00D8075A" w:rsidTr="0083398B">
        <w:tc>
          <w:tcPr>
            <w:tcW w:w="863" w:type="pct"/>
            <w:shd w:val="clear" w:color="auto" w:fill="FFFFFF"/>
            <w:tcMar>
              <w:top w:w="45" w:type="dxa"/>
              <w:left w:w="45" w:type="dxa"/>
              <w:bottom w:w="45" w:type="dxa"/>
              <w:right w:w="45" w:type="dxa"/>
            </w:tcMar>
            <w:vAlign w:val="center"/>
          </w:tcPr>
          <w:p w:rsidR="009608DE" w:rsidRPr="00D8075A" w:rsidRDefault="009608DE" w:rsidP="0066113E">
            <w:pPr>
              <w:widowControl/>
              <w:contextualSpacing/>
              <w:jc w:val="left"/>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24-month OS rate by KM, % (95% CI)</w:t>
            </w:r>
          </w:p>
        </w:tc>
        <w:tc>
          <w:tcPr>
            <w:tcW w:w="755" w:type="pct"/>
            <w:shd w:val="clear" w:color="auto" w:fill="FFFFFF"/>
            <w:tcMar>
              <w:top w:w="45" w:type="dxa"/>
              <w:left w:w="45" w:type="dxa"/>
              <w:bottom w:w="45" w:type="dxa"/>
              <w:right w:w="45" w:type="dxa"/>
            </w:tcMar>
            <w:vAlign w:val="center"/>
          </w:tcPr>
          <w:p w:rsidR="009608DE" w:rsidRPr="00D8075A" w:rsidRDefault="009608DE" w:rsidP="0066113E">
            <w:pPr>
              <w:widowControl/>
              <w:contextualSpacing/>
              <w:jc w:val="center"/>
              <w:rPr>
                <w:rFonts w:ascii="Arial Narrow" w:hAnsi="Arial Narrow" w:cs="Times New Roman"/>
                <w:snapToGrid/>
                <w:sz w:val="20"/>
                <w:szCs w:val="20"/>
              </w:rPr>
            </w:pPr>
            <w:r w:rsidRPr="00D8075A">
              <w:rPr>
                <w:rFonts w:ascii="Arial Narrow" w:hAnsi="Arial Narrow" w:cs="Times New Roman"/>
                <w:snapToGrid/>
                <w:sz w:val="20"/>
                <w:szCs w:val="20"/>
              </w:rPr>
              <w:t>-</w:t>
            </w:r>
          </w:p>
        </w:tc>
        <w:tc>
          <w:tcPr>
            <w:tcW w:w="768" w:type="pct"/>
            <w:shd w:val="clear" w:color="auto" w:fill="FFFFFF"/>
            <w:vAlign w:val="center"/>
          </w:tcPr>
          <w:p w:rsidR="009608DE" w:rsidRPr="00D8075A" w:rsidRDefault="009608DE" w:rsidP="0066113E">
            <w:pPr>
              <w:widowControl/>
              <w:contextualSpacing/>
              <w:jc w:val="center"/>
              <w:rPr>
                <w:rFonts w:ascii="Arial Narrow" w:hAnsi="Arial Narrow" w:cs="Times New Roman"/>
                <w:snapToGrid/>
                <w:sz w:val="20"/>
                <w:szCs w:val="20"/>
              </w:rPr>
            </w:pPr>
            <w:r w:rsidRPr="00D8075A">
              <w:rPr>
                <w:rFonts w:ascii="Arial Narrow" w:hAnsi="Arial Narrow" w:cs="Times New Roman"/>
                <w:snapToGrid/>
                <w:sz w:val="20"/>
                <w:szCs w:val="20"/>
              </w:rPr>
              <w:t>36 (26-46)</w:t>
            </w:r>
          </w:p>
        </w:tc>
        <w:tc>
          <w:tcPr>
            <w:tcW w:w="474" w:type="pct"/>
            <w:shd w:val="clear" w:color="auto" w:fill="FFFFFF"/>
            <w:vAlign w:val="center"/>
          </w:tcPr>
          <w:p w:rsidR="009608DE" w:rsidRPr="00D8075A" w:rsidRDefault="009608DE" w:rsidP="0066113E">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NR</w:t>
            </w:r>
          </w:p>
        </w:tc>
        <w:tc>
          <w:tcPr>
            <w:tcW w:w="461" w:type="pct"/>
            <w:shd w:val="clear" w:color="auto" w:fill="FFFFFF"/>
            <w:tcMar>
              <w:top w:w="45" w:type="dxa"/>
              <w:left w:w="45" w:type="dxa"/>
              <w:bottom w:w="45" w:type="dxa"/>
              <w:right w:w="45" w:type="dxa"/>
            </w:tcMar>
            <w:vAlign w:val="center"/>
          </w:tcPr>
          <w:p w:rsidR="009608DE" w:rsidRPr="00D8075A" w:rsidRDefault="009608DE" w:rsidP="0066113E">
            <w:pPr>
              <w:widowControl/>
              <w:contextualSpacing/>
              <w:jc w:val="center"/>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NR</w:t>
            </w:r>
          </w:p>
        </w:tc>
        <w:tc>
          <w:tcPr>
            <w:tcW w:w="528" w:type="pct"/>
            <w:shd w:val="clear" w:color="auto" w:fill="FFFFFF"/>
            <w:tcMar>
              <w:top w:w="45" w:type="dxa"/>
              <w:left w:w="45" w:type="dxa"/>
              <w:bottom w:w="45" w:type="dxa"/>
              <w:right w:w="45" w:type="dxa"/>
            </w:tcMar>
            <w:vAlign w:val="center"/>
          </w:tcPr>
          <w:p w:rsidR="009608DE" w:rsidRPr="00D8075A" w:rsidRDefault="009608DE" w:rsidP="0066113E">
            <w:pPr>
              <w:ind w:left="-45"/>
              <w:contextualSpacing/>
              <w:jc w:val="center"/>
              <w:rPr>
                <w:rFonts w:ascii="Arial Narrow" w:hAnsi="Arial Narrow"/>
                <w:sz w:val="20"/>
                <w:szCs w:val="20"/>
              </w:rPr>
            </w:pPr>
            <w:r w:rsidRPr="00D8075A">
              <w:rPr>
                <w:rFonts w:ascii="Arial Narrow" w:hAnsi="Arial Narrow"/>
                <w:sz w:val="20"/>
                <w:szCs w:val="20"/>
                <w:lang w:eastAsia="en-AU"/>
              </w:rPr>
              <w:t>NR</w:t>
            </w:r>
          </w:p>
        </w:tc>
        <w:tc>
          <w:tcPr>
            <w:tcW w:w="558" w:type="pct"/>
            <w:shd w:val="clear" w:color="auto" w:fill="FFFFFF"/>
            <w:vAlign w:val="center"/>
          </w:tcPr>
          <w:p w:rsidR="009608DE" w:rsidRPr="00D8075A" w:rsidRDefault="009608DE" w:rsidP="0066113E">
            <w:pPr>
              <w:contextualSpacing/>
              <w:jc w:val="center"/>
              <w:rPr>
                <w:rFonts w:ascii="Arial Narrow" w:hAnsi="Arial Narrow"/>
                <w:sz w:val="20"/>
                <w:szCs w:val="20"/>
              </w:rPr>
            </w:pPr>
            <w:r w:rsidRPr="00D8075A">
              <w:rPr>
                <w:rFonts w:ascii="Arial Narrow" w:hAnsi="Arial Narrow"/>
                <w:sz w:val="20"/>
                <w:szCs w:val="20"/>
                <w:lang w:eastAsia="en-AU"/>
              </w:rPr>
              <w:t>NR</w:t>
            </w:r>
          </w:p>
        </w:tc>
        <w:tc>
          <w:tcPr>
            <w:tcW w:w="593" w:type="pct"/>
            <w:shd w:val="clear" w:color="auto" w:fill="FFFFFF"/>
            <w:vAlign w:val="center"/>
          </w:tcPr>
          <w:p w:rsidR="009608DE" w:rsidRPr="00D8075A" w:rsidRDefault="009608DE" w:rsidP="0066113E">
            <w:pPr>
              <w:contextualSpacing/>
              <w:jc w:val="center"/>
              <w:rPr>
                <w:rFonts w:ascii="Arial Narrow" w:hAnsi="Arial Narrow"/>
                <w:sz w:val="20"/>
                <w:szCs w:val="20"/>
                <w:lang w:eastAsia="en-AU"/>
              </w:rPr>
            </w:pPr>
            <w:r w:rsidRPr="00D8075A">
              <w:rPr>
                <w:rFonts w:ascii="Arial Narrow" w:hAnsi="Arial Narrow"/>
                <w:sz w:val="20"/>
                <w:szCs w:val="20"/>
                <w:lang w:eastAsia="en-AU"/>
              </w:rPr>
              <w:t>NR</w:t>
            </w:r>
          </w:p>
        </w:tc>
      </w:tr>
    </w:tbl>
    <w:p w:rsidR="009608DE" w:rsidRPr="00D8075A" w:rsidRDefault="009608DE" w:rsidP="009608DE">
      <w:pPr>
        <w:rPr>
          <w:rFonts w:ascii="Arial Narrow" w:hAnsi="Arial Narrow"/>
          <w:sz w:val="18"/>
        </w:rPr>
      </w:pPr>
      <w:r w:rsidRPr="00D8075A">
        <w:rPr>
          <w:rFonts w:ascii="Arial Narrow" w:hAnsi="Arial Narrow"/>
          <w:sz w:val="18"/>
        </w:rPr>
        <w:t>OS: overall survival; US: United States; EU: Europe; KM: Kaplan-Meier estimate; CI: confidence interval; NR: not reported</w:t>
      </w:r>
    </w:p>
    <w:p w:rsidR="009608DE" w:rsidRPr="00D8075A" w:rsidRDefault="009608DE" w:rsidP="009608DE">
      <w:pPr>
        <w:rPr>
          <w:rFonts w:ascii="Arial Narrow" w:hAnsi="Arial Narrow"/>
          <w:sz w:val="18"/>
        </w:rPr>
      </w:pPr>
      <w:r w:rsidRPr="00D8075A">
        <w:rPr>
          <w:rFonts w:ascii="Arial Narrow" w:hAnsi="Arial Narrow"/>
          <w:sz w:val="18"/>
        </w:rPr>
        <w:t>Source: Table 2.6.5, p112 of the submission</w:t>
      </w:r>
    </w:p>
    <w:p w:rsidR="009608DE" w:rsidRPr="00D8075A" w:rsidRDefault="009608DE" w:rsidP="009608DE">
      <w:pPr>
        <w:rPr>
          <w:rFonts w:ascii="Arial Narrow" w:hAnsi="Arial Narrow"/>
          <w:sz w:val="18"/>
        </w:rPr>
      </w:pPr>
    </w:p>
    <w:p w:rsidR="00F05D9E" w:rsidRPr="00D8075A" w:rsidRDefault="00F05D9E" w:rsidP="00F05D9E">
      <w:pPr>
        <w:pStyle w:val="TableHeading"/>
        <w:rPr>
          <w:lang w:eastAsia="en-AU"/>
        </w:rPr>
      </w:pPr>
      <w:r w:rsidRPr="00D8075A">
        <w:rPr>
          <w:lang w:eastAsia="en-AU"/>
        </w:rPr>
        <w:lastRenderedPageBreak/>
        <w:t>Figure 1: Kaplan Meier PFS estimates across the studies</w:t>
      </w:r>
    </w:p>
    <w:p w:rsidR="00F05D9E" w:rsidRPr="00D8075A" w:rsidRDefault="00F05D9E" w:rsidP="00F05D9E">
      <w:pPr>
        <w:pStyle w:val="TableHeading"/>
        <w:rPr>
          <w:lang w:eastAsia="en-AU"/>
        </w:rPr>
      </w:pPr>
      <w:r w:rsidRPr="00D8075A">
        <w:rPr>
          <w:noProof/>
          <w:sz w:val="18"/>
          <w:lang w:eastAsia="en-AU"/>
        </w:rPr>
        <w:drawing>
          <wp:inline distT="0" distB="0" distL="0" distR="0" wp14:anchorId="14143F02" wp14:editId="67C1F5B5">
            <wp:extent cx="4925987" cy="3124200"/>
            <wp:effectExtent l="19050" t="19050" r="27305" b="19050"/>
            <wp:docPr id="10" name="Picture 10" descr="Figure 1: Kaplan Meier PFS estimates across the studies" title="Kaplan Meier PFS estimates across the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29300" cy="3126301"/>
                    </a:xfrm>
                    <a:prstGeom prst="rect">
                      <a:avLst/>
                    </a:prstGeom>
                    <a:ln>
                      <a:solidFill>
                        <a:sysClr val="windowText" lastClr="000000"/>
                      </a:solidFill>
                    </a:ln>
                  </pic:spPr>
                </pic:pic>
              </a:graphicData>
            </a:graphic>
          </wp:inline>
        </w:drawing>
      </w:r>
    </w:p>
    <w:p w:rsidR="00F05D9E" w:rsidRPr="00D8075A" w:rsidRDefault="00F05D9E" w:rsidP="00F05D9E">
      <w:pPr>
        <w:rPr>
          <w:rFonts w:ascii="Arial Narrow" w:hAnsi="Arial Narrow"/>
          <w:sz w:val="18"/>
        </w:rPr>
      </w:pPr>
      <w:r w:rsidRPr="00D8075A">
        <w:rPr>
          <w:rFonts w:ascii="Arial Narrow" w:hAnsi="Arial Narrow"/>
          <w:sz w:val="18"/>
        </w:rPr>
        <w:t>Source: Figure 2.6.1, p107 of the submission.</w:t>
      </w:r>
    </w:p>
    <w:p w:rsidR="00F05D9E" w:rsidRPr="00D8075A" w:rsidRDefault="00F05D9E" w:rsidP="00F05D9E"/>
    <w:p w:rsidR="005137CB" w:rsidRPr="00D8075A" w:rsidRDefault="00140966" w:rsidP="00C3432B">
      <w:pPr>
        <w:pStyle w:val="ListParagraph"/>
        <w:widowControl/>
        <w:numPr>
          <w:ilvl w:val="1"/>
          <w:numId w:val="1"/>
        </w:numPr>
      </w:pPr>
      <w:r w:rsidRPr="00D8075A">
        <w:t xml:space="preserve">The ESC </w:t>
      </w:r>
      <w:r w:rsidR="00CC68F5" w:rsidRPr="00D8075A">
        <w:t xml:space="preserve">noted </w:t>
      </w:r>
      <w:r w:rsidRPr="00D8075A">
        <w:t>that the Kaplan-Meier curve</w:t>
      </w:r>
      <w:r w:rsidR="00F17AF0" w:rsidRPr="00D8075A">
        <w:t>s</w:t>
      </w:r>
      <w:r w:rsidRPr="00D8075A">
        <w:t xml:space="preserve"> suggest there </w:t>
      </w:r>
      <w:r w:rsidR="00CC68F5" w:rsidRPr="00D8075A">
        <w:t>were</w:t>
      </w:r>
      <w:r w:rsidRPr="00D8075A">
        <w:t xml:space="preserve"> different cohorts of patients within the trial</w:t>
      </w:r>
      <w:r w:rsidR="00CC68F5" w:rsidRPr="00D8075A">
        <w:t xml:space="preserve"> (responders/non-responders) and that</w:t>
      </w:r>
      <w:r w:rsidR="004F6AAC" w:rsidRPr="00D8075A">
        <w:t xml:space="preserve"> it app</w:t>
      </w:r>
      <w:r w:rsidR="00F17AF0" w:rsidRPr="00D8075A">
        <w:t xml:space="preserve">eared </w:t>
      </w:r>
      <w:r w:rsidR="004F6AAC" w:rsidRPr="00D8075A">
        <w:t xml:space="preserve">there was a prolonged benefit in patients </w:t>
      </w:r>
      <w:r w:rsidR="00012B87" w:rsidRPr="00D8075A">
        <w:t xml:space="preserve">who </w:t>
      </w:r>
      <w:r w:rsidR="004F6AAC" w:rsidRPr="00D8075A">
        <w:t>respond</w:t>
      </w:r>
      <w:r w:rsidR="0051113B" w:rsidRPr="00D8075A">
        <w:t>ed</w:t>
      </w:r>
      <w:r w:rsidR="004F6AAC" w:rsidRPr="00D8075A">
        <w:t xml:space="preserve"> to avelumab. </w:t>
      </w:r>
    </w:p>
    <w:p w:rsidR="009608DE" w:rsidRPr="00D8075A" w:rsidRDefault="009608DE" w:rsidP="00C3432B">
      <w:pPr>
        <w:pStyle w:val="ListParagraph"/>
        <w:widowControl/>
        <w:numPr>
          <w:ilvl w:val="1"/>
          <w:numId w:val="1"/>
        </w:numPr>
      </w:pPr>
      <w:r w:rsidRPr="005050A4">
        <w:t>The submission presented quality of life data using a Visual Analogue Scale (VAS), the EQ-5D Five Level (EQ-5D-5L) and the Functional Assessment of Cancer Therapy – Melanoma (FACT-M) questionnaires. The questionnaires had an approximate response rate of 80% at baseline, which decreased to 60% throughout the treatment period and 34%</w:t>
      </w:r>
      <w:r w:rsidRPr="00D8075A">
        <w:t xml:space="preserve"> at the End of Treatment period (p87 of the submission). The submission reported no major change of subject health status over the study period using the VAS and EQ-5D-5L, and </w:t>
      </w:r>
      <w:r w:rsidR="00012B87" w:rsidRPr="00D8075A">
        <w:t xml:space="preserve">small </w:t>
      </w:r>
      <w:r w:rsidRPr="00D8075A">
        <w:t>positive score changes in the FACT-M Trial Outcome Index, FACT G Total, and FACT-M Total scores.</w:t>
      </w:r>
    </w:p>
    <w:p w:rsidR="009608DE" w:rsidRPr="00D8075A" w:rsidRDefault="009608DE" w:rsidP="00C3432B">
      <w:pPr>
        <w:pStyle w:val="ListParagraph"/>
        <w:widowControl/>
        <w:numPr>
          <w:ilvl w:val="1"/>
          <w:numId w:val="1"/>
        </w:numPr>
      </w:pPr>
      <w:r w:rsidRPr="00D8075A">
        <w:t xml:space="preserve">There appeared to be an increase in VAS scores along with the FACT-M Trial Outcome Index, FACT-G Total, and FACT-M Total scores over the course of the treatment period. </w:t>
      </w:r>
      <w:r w:rsidR="00E26C9A" w:rsidRPr="00D8075A">
        <w:t>This is likely a reflection of a higher proportion of patients who respond to avelumab remaining on treatment.</w:t>
      </w:r>
    </w:p>
    <w:p w:rsidR="00694239" w:rsidRPr="00D8075A" w:rsidRDefault="00694239" w:rsidP="00F717BF">
      <w:pPr>
        <w:pStyle w:val="Heading2"/>
        <w:spacing w:before="240" w:after="120"/>
      </w:pPr>
      <w:bookmarkStart w:id="12" w:name="_Toc514233097"/>
      <w:r w:rsidRPr="00D8075A">
        <w:t>Comparative harms</w:t>
      </w:r>
      <w:bookmarkEnd w:id="12"/>
    </w:p>
    <w:p w:rsidR="00694239" w:rsidRPr="00D8075A" w:rsidRDefault="00012B87" w:rsidP="00C3432B">
      <w:pPr>
        <w:pStyle w:val="ListParagraph"/>
        <w:widowControl/>
        <w:numPr>
          <w:ilvl w:val="1"/>
          <w:numId w:val="1"/>
        </w:numPr>
      </w:pPr>
      <w:r w:rsidRPr="00D8075A">
        <w:t xml:space="preserve">Only safety information for avelumab was reported in the submission. </w:t>
      </w:r>
      <w:r w:rsidR="00694239" w:rsidRPr="00D8075A">
        <w:t xml:space="preserve">The submission did not make an indirect comparison of harms between avelumab and chemotherapy. An indirect comparison to chemotherapy could not be made based </w:t>
      </w:r>
      <w:r w:rsidR="00694239" w:rsidRPr="00D8075A">
        <w:lastRenderedPageBreak/>
        <w:t xml:space="preserve">on the retrospective descriptive study designs of Study Obs001 and </w:t>
      </w:r>
      <w:proofErr w:type="spellStart"/>
      <w:r w:rsidR="00694239" w:rsidRPr="00D8075A">
        <w:t>Iyer</w:t>
      </w:r>
      <w:proofErr w:type="spellEnd"/>
      <w:r w:rsidR="00F91D77" w:rsidRPr="00D8075A">
        <w:t xml:space="preserve"> (</w:t>
      </w:r>
      <w:r w:rsidR="00694239" w:rsidRPr="00D8075A">
        <w:t>2016</w:t>
      </w:r>
      <w:r w:rsidR="00F91D77" w:rsidRPr="00D8075A">
        <w:t>)</w:t>
      </w:r>
      <w:r w:rsidR="00694239" w:rsidRPr="00D8075A">
        <w:t xml:space="preserve">, which did not collect safety information. </w:t>
      </w:r>
    </w:p>
    <w:p w:rsidR="00694239" w:rsidRPr="00D8075A" w:rsidRDefault="00694239" w:rsidP="00C3432B">
      <w:pPr>
        <w:pStyle w:val="ListParagraph"/>
        <w:widowControl/>
        <w:numPr>
          <w:ilvl w:val="1"/>
          <w:numId w:val="1"/>
        </w:numPr>
      </w:pPr>
      <w:r w:rsidRPr="00D8075A">
        <w:t>An overview of the safety information from the JAVELIN Merkel 200 study is presented in Table 7.</w:t>
      </w:r>
    </w:p>
    <w:p w:rsidR="00694239" w:rsidRPr="00D8075A" w:rsidRDefault="00694239" w:rsidP="00694239">
      <w:pPr>
        <w:keepNext/>
        <w:widowControl/>
        <w:spacing w:before="40" w:after="40"/>
        <w:jc w:val="left"/>
        <w:rPr>
          <w:rFonts w:ascii="Arial Narrow" w:hAnsi="Arial Narrow" w:cs="Arial Narrow"/>
          <w:b/>
          <w:bCs/>
          <w:snapToGrid/>
          <w:sz w:val="20"/>
        </w:rPr>
      </w:pPr>
      <w:r w:rsidRPr="00D8075A">
        <w:rPr>
          <w:rFonts w:ascii="Arial Narrow" w:hAnsi="Arial Narrow" w:cs="Arial Narrow"/>
          <w:b/>
          <w:bCs/>
          <w:snapToGrid/>
          <w:sz w:val="20"/>
        </w:rPr>
        <w:t xml:space="preserve">Table 7: Overview of adverse events in JAVELIN Merkel 200 </w:t>
      </w:r>
      <w:r w:rsidR="00446210" w:rsidRPr="00D8075A">
        <w:rPr>
          <w:rFonts w:ascii="Arial Narrow" w:hAnsi="Arial Narrow" w:cs="Arial Narrow"/>
          <w:b/>
          <w:bCs/>
          <w:snapToGrid/>
          <w:sz w:val="20"/>
        </w:rPr>
        <w:t>study</w:t>
      </w:r>
      <w:r w:rsidRPr="00D8075A">
        <w:rPr>
          <w:rFonts w:ascii="Arial Narrow" w:hAnsi="Arial Narrow" w:cs="Arial Narrow"/>
          <w:b/>
          <w:bCs/>
          <w:snapToGrid/>
          <w:sz w:val="20"/>
        </w:rPr>
        <w:t xml:space="preserve"> (24 month follow-up)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Overview of adverse events in JAVELIN Merkel 200 study (24 month follow-up)"/>
        <w:tblDescription w:val="Table 7: Overview of adverse events in JAVELIN Merkel 200 study (24 month follow-up)"/>
      </w:tblPr>
      <w:tblGrid>
        <w:gridCol w:w="4073"/>
        <w:gridCol w:w="2584"/>
        <w:gridCol w:w="2586"/>
      </w:tblGrid>
      <w:tr w:rsidR="00694239" w:rsidRPr="00D8075A" w:rsidTr="0083398B">
        <w:tc>
          <w:tcPr>
            <w:tcW w:w="2203" w:type="pct"/>
            <w:tcBorders>
              <w:top w:val="single" w:sz="4" w:space="0" w:color="auto"/>
              <w:left w:val="single" w:sz="4" w:space="0" w:color="auto"/>
              <w:bottom w:val="nil"/>
              <w:right w:val="single" w:sz="4" w:space="0" w:color="auto"/>
            </w:tcBorders>
            <w:hideMark/>
          </w:tcPr>
          <w:p w:rsidR="00694239" w:rsidRPr="00D8075A" w:rsidRDefault="00694239" w:rsidP="006B1181">
            <w:pPr>
              <w:keepNext/>
              <w:widowControl/>
              <w:adjustRightInd w:val="0"/>
              <w:snapToGrid w:val="0"/>
              <w:jc w:val="left"/>
              <w:rPr>
                <w:rFonts w:ascii="Arial Narrow" w:eastAsia="SimSun" w:hAnsi="Arial Narrow" w:cs="Times New Roman"/>
                <w:b/>
                <w:snapToGrid/>
                <w:sz w:val="20"/>
                <w:shd w:val="clear" w:color="auto" w:fill="FFFFFF"/>
              </w:rPr>
            </w:pPr>
            <w:r w:rsidRPr="00D8075A">
              <w:rPr>
                <w:rFonts w:ascii="Arial Narrow" w:eastAsia="SimSun" w:hAnsi="Arial Narrow" w:cs="Times New Roman"/>
                <w:b/>
                <w:snapToGrid/>
                <w:sz w:val="20"/>
                <w:shd w:val="clear" w:color="auto" w:fill="FFFFFF"/>
              </w:rPr>
              <w:t>Number of Subjects with any:</w:t>
            </w:r>
          </w:p>
        </w:tc>
        <w:tc>
          <w:tcPr>
            <w:tcW w:w="1398" w:type="pct"/>
            <w:tcBorders>
              <w:top w:val="single" w:sz="4" w:space="0" w:color="auto"/>
              <w:left w:val="single" w:sz="4" w:space="0" w:color="auto"/>
              <w:bottom w:val="single" w:sz="4" w:space="0" w:color="auto"/>
              <w:right w:val="single" w:sz="4" w:space="0" w:color="auto"/>
            </w:tcBorders>
            <w:hideMark/>
          </w:tcPr>
          <w:p w:rsidR="00694239" w:rsidRPr="00D8075A" w:rsidRDefault="00694239" w:rsidP="006B1181">
            <w:pPr>
              <w:keepNext/>
              <w:widowControl/>
              <w:adjustRightInd w:val="0"/>
              <w:snapToGrid w:val="0"/>
              <w:jc w:val="center"/>
              <w:rPr>
                <w:rFonts w:ascii="Arial Narrow" w:eastAsia="SimSun" w:hAnsi="Arial Narrow" w:cs="Times New Roman"/>
                <w:b/>
                <w:snapToGrid/>
                <w:sz w:val="20"/>
                <w:shd w:val="clear" w:color="auto" w:fill="FFFFFF"/>
              </w:rPr>
            </w:pPr>
            <w:r w:rsidRPr="00D8075A">
              <w:rPr>
                <w:rFonts w:ascii="Arial Narrow" w:eastAsia="SimSun" w:hAnsi="Arial Narrow" w:cs="Times New Roman"/>
                <w:b/>
                <w:snapToGrid/>
                <w:sz w:val="20"/>
                <w:shd w:val="clear" w:color="auto" w:fill="FFFFFF"/>
              </w:rPr>
              <w:t>Second-line MCC (Part A)</w:t>
            </w:r>
          </w:p>
          <w:p w:rsidR="00694239" w:rsidRPr="00D8075A" w:rsidRDefault="00694239" w:rsidP="006B1181">
            <w:pPr>
              <w:keepNext/>
              <w:widowControl/>
              <w:adjustRightInd w:val="0"/>
              <w:snapToGrid w:val="0"/>
              <w:jc w:val="center"/>
              <w:rPr>
                <w:rFonts w:ascii="Arial Narrow" w:eastAsia="SimSun" w:hAnsi="Arial Narrow" w:cs="Times New Roman"/>
                <w:b/>
                <w:snapToGrid/>
                <w:sz w:val="20"/>
                <w:shd w:val="clear" w:color="auto" w:fill="FFFFFF"/>
              </w:rPr>
            </w:pPr>
            <w:r w:rsidRPr="00D8075A">
              <w:rPr>
                <w:rFonts w:ascii="Arial Narrow" w:eastAsia="SimSun" w:hAnsi="Arial Narrow" w:cs="Times New Roman"/>
                <w:b/>
                <w:snapToGrid/>
                <w:sz w:val="20"/>
                <w:shd w:val="clear" w:color="auto" w:fill="FFFFFF"/>
              </w:rPr>
              <w:t xml:space="preserve">24-month follow-up </w:t>
            </w:r>
          </w:p>
          <w:p w:rsidR="00694239" w:rsidRPr="00D8075A" w:rsidRDefault="00694239" w:rsidP="006B1181">
            <w:pPr>
              <w:keepNext/>
              <w:widowControl/>
              <w:adjustRightInd w:val="0"/>
              <w:snapToGrid w:val="0"/>
              <w:jc w:val="center"/>
              <w:rPr>
                <w:rFonts w:ascii="Arial Narrow" w:eastAsia="SimSun" w:hAnsi="Arial Narrow" w:cs="Times New Roman"/>
                <w:b/>
                <w:snapToGrid/>
                <w:sz w:val="20"/>
                <w:shd w:val="clear" w:color="auto" w:fill="FFFFFF"/>
              </w:rPr>
            </w:pPr>
            <w:r w:rsidRPr="00D8075A">
              <w:rPr>
                <w:rFonts w:ascii="Arial Narrow" w:eastAsia="SimSun" w:hAnsi="Arial Narrow" w:cs="Times New Roman"/>
                <w:b/>
                <w:snapToGrid/>
                <w:sz w:val="20"/>
                <w:shd w:val="clear" w:color="auto" w:fill="FFFFFF"/>
              </w:rPr>
              <w:t>N=88</w:t>
            </w:r>
          </w:p>
        </w:tc>
        <w:tc>
          <w:tcPr>
            <w:tcW w:w="1399" w:type="pct"/>
            <w:tcBorders>
              <w:top w:val="single" w:sz="4" w:space="0" w:color="auto"/>
              <w:left w:val="single" w:sz="4" w:space="0" w:color="auto"/>
              <w:bottom w:val="single" w:sz="4" w:space="0" w:color="auto"/>
              <w:right w:val="single" w:sz="4" w:space="0" w:color="auto"/>
            </w:tcBorders>
          </w:tcPr>
          <w:p w:rsidR="00694239" w:rsidRPr="00D8075A" w:rsidRDefault="00694239" w:rsidP="006B1181">
            <w:pPr>
              <w:keepNext/>
              <w:widowControl/>
              <w:adjustRightInd w:val="0"/>
              <w:snapToGrid w:val="0"/>
              <w:jc w:val="center"/>
              <w:rPr>
                <w:rFonts w:ascii="Arial Narrow" w:eastAsia="SimSun" w:hAnsi="Arial Narrow" w:cs="Times New Roman"/>
                <w:b/>
                <w:snapToGrid/>
                <w:sz w:val="20"/>
                <w:shd w:val="clear" w:color="auto" w:fill="FFFFFF"/>
              </w:rPr>
            </w:pPr>
            <w:r w:rsidRPr="00D8075A">
              <w:rPr>
                <w:rFonts w:ascii="Arial Narrow" w:eastAsia="SimSun" w:hAnsi="Arial Narrow" w:cs="Times New Roman"/>
                <w:b/>
                <w:snapToGrid/>
                <w:sz w:val="20"/>
                <w:shd w:val="clear" w:color="auto" w:fill="FFFFFF"/>
              </w:rPr>
              <w:t>First-line MCC (Part B)</w:t>
            </w:r>
          </w:p>
          <w:p w:rsidR="00694239" w:rsidRPr="00D8075A" w:rsidRDefault="00694239" w:rsidP="006B1181">
            <w:pPr>
              <w:keepNext/>
              <w:widowControl/>
              <w:adjustRightInd w:val="0"/>
              <w:snapToGrid w:val="0"/>
              <w:jc w:val="center"/>
              <w:rPr>
                <w:rFonts w:ascii="Arial Narrow" w:eastAsia="SimSun" w:hAnsi="Arial Narrow" w:cs="Times New Roman"/>
                <w:b/>
                <w:snapToGrid/>
                <w:sz w:val="20"/>
                <w:shd w:val="clear" w:color="auto" w:fill="FFFFFF"/>
              </w:rPr>
            </w:pPr>
            <w:r w:rsidRPr="00D8075A">
              <w:rPr>
                <w:rFonts w:ascii="Arial Narrow" w:eastAsia="SimSun" w:hAnsi="Arial Narrow" w:cs="Times New Roman"/>
                <w:b/>
                <w:snapToGrid/>
                <w:sz w:val="20"/>
                <w:shd w:val="clear" w:color="auto" w:fill="FFFFFF"/>
              </w:rPr>
              <w:t xml:space="preserve">3-month follow-up </w:t>
            </w:r>
          </w:p>
          <w:p w:rsidR="00694239" w:rsidRPr="00D8075A" w:rsidRDefault="00694239" w:rsidP="006B1181">
            <w:pPr>
              <w:keepNext/>
              <w:widowControl/>
              <w:adjustRightInd w:val="0"/>
              <w:snapToGrid w:val="0"/>
              <w:jc w:val="center"/>
              <w:rPr>
                <w:rFonts w:ascii="Arial Narrow" w:eastAsia="SimSun" w:hAnsi="Arial Narrow" w:cs="Times New Roman"/>
                <w:b/>
                <w:snapToGrid/>
                <w:sz w:val="20"/>
                <w:shd w:val="clear" w:color="auto" w:fill="FFFFFF"/>
              </w:rPr>
            </w:pPr>
            <w:r w:rsidRPr="00D8075A">
              <w:rPr>
                <w:rFonts w:ascii="Arial Narrow" w:eastAsia="SimSun" w:hAnsi="Arial Narrow" w:cs="Times New Roman"/>
                <w:b/>
                <w:snapToGrid/>
                <w:sz w:val="20"/>
                <w:shd w:val="clear" w:color="auto" w:fill="FFFFFF"/>
              </w:rPr>
              <w:t>N = 74</w:t>
            </w:r>
          </w:p>
        </w:tc>
      </w:tr>
      <w:tr w:rsidR="00694239" w:rsidRPr="00D8075A" w:rsidTr="0083398B">
        <w:tc>
          <w:tcPr>
            <w:tcW w:w="2203" w:type="pct"/>
            <w:tcBorders>
              <w:top w:val="nil"/>
              <w:left w:val="single" w:sz="4" w:space="0" w:color="auto"/>
              <w:bottom w:val="single" w:sz="4" w:space="0" w:color="auto"/>
              <w:right w:val="single" w:sz="4" w:space="0" w:color="auto"/>
            </w:tcBorders>
          </w:tcPr>
          <w:p w:rsidR="00694239" w:rsidRPr="00D8075A" w:rsidRDefault="00694239" w:rsidP="006B1181">
            <w:pPr>
              <w:keepNext/>
              <w:widowControl/>
              <w:adjustRightInd w:val="0"/>
              <w:snapToGrid w:val="0"/>
              <w:jc w:val="left"/>
              <w:rPr>
                <w:rFonts w:ascii="Arial Narrow" w:eastAsia="SimSun" w:hAnsi="Arial Narrow" w:cs="Times New Roman"/>
                <w:snapToGrid/>
                <w:sz w:val="20"/>
                <w:shd w:val="clear" w:color="auto" w:fill="FFFFFF"/>
              </w:rPr>
            </w:pPr>
          </w:p>
        </w:tc>
        <w:tc>
          <w:tcPr>
            <w:tcW w:w="1398" w:type="pct"/>
            <w:tcBorders>
              <w:top w:val="single" w:sz="4" w:space="0" w:color="auto"/>
              <w:left w:val="single" w:sz="4" w:space="0" w:color="auto"/>
              <w:bottom w:val="single" w:sz="4" w:space="0" w:color="auto"/>
              <w:right w:val="single" w:sz="4" w:space="0" w:color="auto"/>
            </w:tcBorders>
            <w:hideMark/>
          </w:tcPr>
          <w:p w:rsidR="00694239" w:rsidRPr="00D8075A" w:rsidRDefault="00694239" w:rsidP="006B1181">
            <w:pPr>
              <w:keepNext/>
              <w:widowControl/>
              <w:adjustRightInd w:val="0"/>
              <w:snapToGrid w:val="0"/>
              <w:jc w:val="center"/>
              <w:rPr>
                <w:rFonts w:ascii="Arial Narrow" w:eastAsia="SimSun" w:hAnsi="Arial Narrow" w:cs="Times New Roman"/>
                <w:snapToGrid/>
                <w:sz w:val="20"/>
                <w:shd w:val="clear" w:color="auto" w:fill="FFFFFF"/>
              </w:rPr>
            </w:pPr>
            <w:proofErr w:type="gramStart"/>
            <w:r w:rsidRPr="00D8075A">
              <w:rPr>
                <w:rFonts w:ascii="Arial Narrow" w:eastAsia="SimSun" w:hAnsi="Arial Narrow" w:cs="Times New Roman"/>
                <w:snapToGrid/>
                <w:sz w:val="20"/>
                <w:shd w:val="clear" w:color="auto" w:fill="FFFFFF"/>
              </w:rPr>
              <w:t>n</w:t>
            </w:r>
            <w:proofErr w:type="gramEnd"/>
            <w:r w:rsidRPr="00D8075A">
              <w:rPr>
                <w:rFonts w:ascii="Arial Narrow" w:eastAsia="SimSun" w:hAnsi="Arial Narrow" w:cs="Times New Roman"/>
                <w:snapToGrid/>
                <w:sz w:val="20"/>
                <w:shd w:val="clear" w:color="auto" w:fill="FFFFFF"/>
              </w:rPr>
              <w:t xml:space="preserve"> (%)</w:t>
            </w:r>
          </w:p>
        </w:tc>
        <w:tc>
          <w:tcPr>
            <w:tcW w:w="1399" w:type="pct"/>
            <w:tcBorders>
              <w:top w:val="single" w:sz="4" w:space="0" w:color="auto"/>
              <w:left w:val="single" w:sz="4" w:space="0" w:color="auto"/>
              <w:bottom w:val="single" w:sz="4" w:space="0" w:color="auto"/>
              <w:right w:val="single" w:sz="4" w:space="0" w:color="auto"/>
            </w:tcBorders>
          </w:tcPr>
          <w:p w:rsidR="00694239" w:rsidRPr="00D8075A" w:rsidRDefault="00694239" w:rsidP="006B1181">
            <w:pPr>
              <w:keepNext/>
              <w:widowControl/>
              <w:adjustRightInd w:val="0"/>
              <w:snapToGrid w:val="0"/>
              <w:jc w:val="center"/>
              <w:rPr>
                <w:rFonts w:ascii="Arial Narrow" w:eastAsia="SimSun" w:hAnsi="Arial Narrow" w:cs="Times New Roman"/>
                <w:snapToGrid/>
                <w:sz w:val="20"/>
                <w:shd w:val="clear" w:color="auto" w:fill="FFFFFF"/>
              </w:rPr>
            </w:pPr>
            <w:proofErr w:type="gramStart"/>
            <w:r w:rsidRPr="00D8075A">
              <w:rPr>
                <w:rFonts w:ascii="Arial Narrow" w:eastAsia="SimSun" w:hAnsi="Arial Narrow" w:cs="Times New Roman"/>
                <w:snapToGrid/>
                <w:sz w:val="20"/>
                <w:shd w:val="clear" w:color="auto" w:fill="FFFFFF"/>
              </w:rPr>
              <w:t>n</w:t>
            </w:r>
            <w:proofErr w:type="gramEnd"/>
            <w:r w:rsidRPr="00D8075A">
              <w:rPr>
                <w:rFonts w:ascii="Arial Narrow" w:eastAsia="SimSun" w:hAnsi="Arial Narrow" w:cs="Times New Roman"/>
                <w:snapToGrid/>
                <w:sz w:val="20"/>
                <w:shd w:val="clear" w:color="auto" w:fill="FFFFFF"/>
              </w:rPr>
              <w:t xml:space="preserve"> (%)</w:t>
            </w:r>
          </w:p>
        </w:tc>
      </w:tr>
      <w:tr w:rsidR="00694239" w:rsidRPr="00D8075A" w:rsidTr="0083398B">
        <w:tc>
          <w:tcPr>
            <w:tcW w:w="2203" w:type="pct"/>
            <w:tcBorders>
              <w:top w:val="single" w:sz="4" w:space="0" w:color="auto"/>
              <w:left w:val="single" w:sz="4" w:space="0" w:color="auto"/>
              <w:bottom w:val="nil"/>
              <w:right w:val="single" w:sz="4" w:space="0" w:color="auto"/>
            </w:tcBorders>
            <w:hideMark/>
          </w:tcPr>
          <w:p w:rsidR="00694239" w:rsidRPr="00D8075A" w:rsidRDefault="00694239" w:rsidP="006B1181">
            <w:pPr>
              <w:keepNext/>
              <w:widowControl/>
              <w:adjustRightInd w:val="0"/>
              <w:snapToGrid w:val="0"/>
              <w:jc w:val="left"/>
              <w:rPr>
                <w:rFonts w:ascii="Arial Narrow" w:eastAsia="SimSun" w:hAnsi="Arial Narrow" w:cs="Times New Roman"/>
                <w:snapToGrid/>
                <w:sz w:val="20"/>
                <w:shd w:val="clear" w:color="auto" w:fill="FFFFFF"/>
              </w:rPr>
            </w:pPr>
            <w:proofErr w:type="spellStart"/>
            <w:r w:rsidRPr="00D8075A">
              <w:rPr>
                <w:rFonts w:ascii="Arial Narrow" w:eastAsia="SimSun" w:hAnsi="Arial Narrow" w:cs="Times New Roman"/>
                <w:snapToGrid/>
                <w:sz w:val="20"/>
                <w:shd w:val="clear" w:color="auto" w:fill="FFFFFF"/>
              </w:rPr>
              <w:t>TEAE</w:t>
            </w:r>
            <w:r w:rsidRPr="00D8075A">
              <w:rPr>
                <w:rFonts w:ascii="Arial Narrow" w:eastAsia="SimSun" w:hAnsi="Arial Narrow" w:cs="Times New Roman"/>
                <w:snapToGrid/>
                <w:sz w:val="20"/>
                <w:shd w:val="clear" w:color="auto" w:fill="FFFFFF"/>
                <w:vertAlign w:val="superscript"/>
              </w:rPr>
              <w:t>a</w:t>
            </w:r>
            <w:proofErr w:type="spellEnd"/>
          </w:p>
        </w:tc>
        <w:tc>
          <w:tcPr>
            <w:tcW w:w="1398" w:type="pct"/>
            <w:tcBorders>
              <w:top w:val="single" w:sz="4" w:space="0" w:color="auto"/>
              <w:left w:val="single" w:sz="4" w:space="0" w:color="auto"/>
              <w:bottom w:val="nil"/>
              <w:right w:val="single" w:sz="4" w:space="0" w:color="auto"/>
            </w:tcBorders>
            <w:vAlign w:val="center"/>
            <w:hideMark/>
          </w:tcPr>
          <w:p w:rsidR="00694239" w:rsidRPr="00D8075A" w:rsidRDefault="00694239" w:rsidP="0066113E">
            <w:pPr>
              <w:keepNext/>
              <w:widowControl/>
              <w:adjustRightInd w:val="0"/>
              <w:snapToGrid w:val="0"/>
              <w:jc w:val="center"/>
              <w:rPr>
                <w:rFonts w:ascii="Arial Narrow" w:eastAsia="SimSun" w:hAnsi="Arial Narrow" w:cs="Times New Roman"/>
                <w:snapToGrid/>
                <w:sz w:val="20"/>
                <w:shd w:val="clear" w:color="auto" w:fill="FFFFFF"/>
              </w:rPr>
            </w:pPr>
            <w:r w:rsidRPr="00D8075A">
              <w:rPr>
                <w:rFonts w:ascii="Arial Narrow" w:eastAsia="SimSun" w:hAnsi="Arial Narrow" w:cs="Times New Roman"/>
                <w:snapToGrid/>
                <w:sz w:val="20"/>
                <w:shd w:val="clear" w:color="auto" w:fill="FFFFFF"/>
              </w:rPr>
              <w:t>86 (97.7)</w:t>
            </w:r>
          </w:p>
        </w:tc>
        <w:tc>
          <w:tcPr>
            <w:tcW w:w="1399" w:type="pct"/>
            <w:tcBorders>
              <w:top w:val="single" w:sz="4" w:space="0" w:color="auto"/>
              <w:left w:val="single" w:sz="4" w:space="0" w:color="auto"/>
              <w:bottom w:val="nil"/>
              <w:right w:val="single" w:sz="4" w:space="0" w:color="auto"/>
            </w:tcBorders>
            <w:vAlign w:val="center"/>
          </w:tcPr>
          <w:p w:rsidR="00694239" w:rsidRPr="00D8075A" w:rsidRDefault="00694239" w:rsidP="0066113E">
            <w:pPr>
              <w:keepNext/>
              <w:widowControl/>
              <w:adjustRightInd w:val="0"/>
              <w:snapToGrid w:val="0"/>
              <w:jc w:val="center"/>
              <w:rPr>
                <w:rFonts w:ascii="Arial Narrow" w:eastAsia="SimSun" w:hAnsi="Arial Narrow" w:cs="Times New Roman"/>
                <w:snapToGrid/>
                <w:sz w:val="20"/>
              </w:rPr>
            </w:pPr>
            <w:r w:rsidRPr="00D8075A">
              <w:rPr>
                <w:rFonts w:ascii="Arial Narrow" w:eastAsia="SimSun" w:hAnsi="Arial Narrow" w:cs="Times New Roman"/>
                <w:snapToGrid/>
                <w:sz w:val="20"/>
              </w:rPr>
              <w:t>67 (90.5)</w:t>
            </w:r>
          </w:p>
        </w:tc>
      </w:tr>
      <w:tr w:rsidR="00694239" w:rsidRPr="00D8075A" w:rsidTr="0083398B">
        <w:tc>
          <w:tcPr>
            <w:tcW w:w="2203" w:type="pct"/>
            <w:tcBorders>
              <w:top w:val="nil"/>
              <w:left w:val="single" w:sz="4" w:space="0" w:color="auto"/>
              <w:bottom w:val="nil"/>
              <w:right w:val="single" w:sz="4" w:space="0" w:color="auto"/>
            </w:tcBorders>
            <w:hideMark/>
          </w:tcPr>
          <w:p w:rsidR="00694239" w:rsidRPr="00D8075A" w:rsidRDefault="00694239" w:rsidP="006B1181">
            <w:pPr>
              <w:keepNext/>
              <w:widowControl/>
              <w:adjustRightInd w:val="0"/>
              <w:snapToGrid w:val="0"/>
              <w:jc w:val="left"/>
              <w:rPr>
                <w:rFonts w:ascii="Arial Narrow" w:eastAsia="SimSun" w:hAnsi="Arial Narrow" w:cs="Times New Roman"/>
                <w:snapToGrid/>
                <w:sz w:val="20"/>
                <w:shd w:val="clear" w:color="auto" w:fill="FFFFFF"/>
              </w:rPr>
            </w:pPr>
            <w:r w:rsidRPr="00D8075A">
              <w:rPr>
                <w:rFonts w:ascii="Arial Narrow" w:eastAsia="SimSun" w:hAnsi="Arial Narrow" w:cs="Times New Roman"/>
                <w:snapToGrid/>
                <w:sz w:val="20"/>
                <w:shd w:val="clear" w:color="auto" w:fill="FFFFFF"/>
              </w:rPr>
              <w:t xml:space="preserve">Related </w:t>
            </w:r>
            <w:proofErr w:type="spellStart"/>
            <w:r w:rsidRPr="00D8075A">
              <w:rPr>
                <w:rFonts w:ascii="Arial Narrow" w:eastAsia="SimSun" w:hAnsi="Arial Narrow" w:cs="Times New Roman"/>
                <w:snapToGrid/>
                <w:sz w:val="20"/>
                <w:shd w:val="clear" w:color="auto" w:fill="FFFFFF"/>
              </w:rPr>
              <w:t>TEAE</w:t>
            </w:r>
            <w:r w:rsidRPr="00D8075A">
              <w:rPr>
                <w:rFonts w:ascii="Arial Narrow" w:eastAsia="SimSun" w:hAnsi="Arial Narrow" w:cs="Times New Roman"/>
                <w:snapToGrid/>
                <w:sz w:val="20"/>
                <w:shd w:val="clear" w:color="auto" w:fill="FFFFFF"/>
                <w:vertAlign w:val="superscript"/>
              </w:rPr>
              <w:t>b</w:t>
            </w:r>
            <w:proofErr w:type="spellEnd"/>
          </w:p>
        </w:tc>
        <w:tc>
          <w:tcPr>
            <w:tcW w:w="1398" w:type="pct"/>
            <w:tcBorders>
              <w:top w:val="nil"/>
              <w:left w:val="single" w:sz="4" w:space="0" w:color="auto"/>
              <w:bottom w:val="nil"/>
              <w:right w:val="single" w:sz="4" w:space="0" w:color="auto"/>
            </w:tcBorders>
            <w:vAlign w:val="center"/>
            <w:hideMark/>
          </w:tcPr>
          <w:p w:rsidR="00694239" w:rsidRPr="00D8075A" w:rsidRDefault="00694239" w:rsidP="0066113E">
            <w:pPr>
              <w:keepNext/>
              <w:widowControl/>
              <w:adjustRightInd w:val="0"/>
              <w:snapToGrid w:val="0"/>
              <w:jc w:val="center"/>
              <w:rPr>
                <w:rFonts w:ascii="Arial Narrow" w:eastAsia="SimSun" w:hAnsi="Arial Narrow" w:cs="Times New Roman"/>
                <w:snapToGrid/>
                <w:sz w:val="20"/>
                <w:shd w:val="clear" w:color="auto" w:fill="FFFFFF"/>
              </w:rPr>
            </w:pPr>
            <w:r w:rsidRPr="00D8075A">
              <w:rPr>
                <w:rFonts w:ascii="Arial Narrow" w:eastAsia="SimSun" w:hAnsi="Arial Narrow" w:cs="Times New Roman"/>
                <w:snapToGrid/>
                <w:sz w:val="20"/>
                <w:shd w:val="clear" w:color="auto" w:fill="FFFFFF"/>
              </w:rPr>
              <w:t>67 (76.1)</w:t>
            </w:r>
          </w:p>
        </w:tc>
        <w:tc>
          <w:tcPr>
            <w:tcW w:w="1399" w:type="pct"/>
            <w:tcBorders>
              <w:top w:val="nil"/>
              <w:left w:val="single" w:sz="4" w:space="0" w:color="auto"/>
              <w:bottom w:val="nil"/>
              <w:right w:val="single" w:sz="4" w:space="0" w:color="auto"/>
            </w:tcBorders>
            <w:vAlign w:val="center"/>
          </w:tcPr>
          <w:p w:rsidR="00694239" w:rsidRPr="00D8075A" w:rsidRDefault="00694239" w:rsidP="0066113E">
            <w:pPr>
              <w:keepNext/>
              <w:widowControl/>
              <w:adjustRightInd w:val="0"/>
              <w:snapToGrid w:val="0"/>
              <w:jc w:val="center"/>
              <w:rPr>
                <w:rFonts w:ascii="Arial Narrow" w:eastAsia="SimSun" w:hAnsi="Arial Narrow" w:cs="Times New Roman"/>
                <w:snapToGrid/>
                <w:sz w:val="20"/>
              </w:rPr>
            </w:pPr>
            <w:r w:rsidRPr="00D8075A">
              <w:rPr>
                <w:rFonts w:ascii="Arial Narrow" w:eastAsia="SimSun" w:hAnsi="Arial Narrow" w:cs="Times New Roman"/>
                <w:snapToGrid/>
                <w:sz w:val="20"/>
              </w:rPr>
              <w:t>54 (73.0)</w:t>
            </w:r>
          </w:p>
        </w:tc>
      </w:tr>
      <w:tr w:rsidR="00694239" w:rsidRPr="00D8075A" w:rsidTr="0083398B">
        <w:tc>
          <w:tcPr>
            <w:tcW w:w="2203" w:type="pct"/>
            <w:tcBorders>
              <w:top w:val="nil"/>
              <w:left w:val="single" w:sz="4" w:space="0" w:color="auto"/>
              <w:bottom w:val="nil"/>
              <w:right w:val="single" w:sz="4" w:space="0" w:color="auto"/>
            </w:tcBorders>
            <w:hideMark/>
          </w:tcPr>
          <w:p w:rsidR="00694239" w:rsidRPr="00D8075A" w:rsidRDefault="00694239" w:rsidP="006B1181">
            <w:pPr>
              <w:keepNext/>
              <w:widowControl/>
              <w:adjustRightInd w:val="0"/>
              <w:snapToGrid w:val="0"/>
              <w:jc w:val="left"/>
              <w:rPr>
                <w:rFonts w:ascii="Arial Narrow" w:eastAsia="SimSun" w:hAnsi="Arial Narrow" w:cs="Times New Roman"/>
                <w:snapToGrid/>
                <w:sz w:val="20"/>
                <w:shd w:val="clear" w:color="auto" w:fill="FFFFFF"/>
              </w:rPr>
            </w:pPr>
            <w:r w:rsidRPr="00D8075A">
              <w:rPr>
                <w:rFonts w:ascii="Arial Narrow" w:eastAsia="SimSun" w:hAnsi="Arial Narrow" w:cs="Times New Roman"/>
                <w:snapToGrid/>
                <w:sz w:val="20"/>
                <w:shd w:val="clear" w:color="auto" w:fill="FFFFFF"/>
              </w:rPr>
              <w:t>Serious TEAE</w:t>
            </w:r>
          </w:p>
        </w:tc>
        <w:tc>
          <w:tcPr>
            <w:tcW w:w="1398" w:type="pct"/>
            <w:tcBorders>
              <w:top w:val="nil"/>
              <w:left w:val="single" w:sz="4" w:space="0" w:color="auto"/>
              <w:bottom w:val="nil"/>
              <w:right w:val="single" w:sz="4" w:space="0" w:color="auto"/>
            </w:tcBorders>
            <w:vAlign w:val="center"/>
            <w:hideMark/>
          </w:tcPr>
          <w:p w:rsidR="00694239" w:rsidRPr="00D8075A" w:rsidRDefault="00694239" w:rsidP="0066113E">
            <w:pPr>
              <w:keepNext/>
              <w:widowControl/>
              <w:adjustRightInd w:val="0"/>
              <w:snapToGrid w:val="0"/>
              <w:jc w:val="center"/>
              <w:rPr>
                <w:rFonts w:ascii="Arial Narrow" w:eastAsia="SimSun" w:hAnsi="Arial Narrow" w:cs="Times New Roman"/>
                <w:snapToGrid/>
                <w:sz w:val="20"/>
                <w:shd w:val="clear" w:color="auto" w:fill="FFFFFF"/>
              </w:rPr>
            </w:pPr>
            <w:r w:rsidRPr="00D8075A">
              <w:rPr>
                <w:rFonts w:ascii="Arial Narrow" w:eastAsia="SimSun" w:hAnsi="Arial Narrow" w:cs="Times New Roman"/>
                <w:snapToGrid/>
                <w:sz w:val="20"/>
                <w:shd w:val="clear" w:color="auto" w:fill="FFFFFF"/>
              </w:rPr>
              <w:t>45 (51.1)</w:t>
            </w:r>
          </w:p>
        </w:tc>
        <w:tc>
          <w:tcPr>
            <w:tcW w:w="1399" w:type="pct"/>
            <w:tcBorders>
              <w:top w:val="nil"/>
              <w:left w:val="single" w:sz="4" w:space="0" w:color="auto"/>
              <w:bottom w:val="nil"/>
              <w:right w:val="single" w:sz="4" w:space="0" w:color="auto"/>
            </w:tcBorders>
            <w:vAlign w:val="center"/>
          </w:tcPr>
          <w:p w:rsidR="00694239" w:rsidRPr="00D8075A" w:rsidRDefault="00694239" w:rsidP="0066113E">
            <w:pPr>
              <w:keepNext/>
              <w:widowControl/>
              <w:adjustRightInd w:val="0"/>
              <w:snapToGrid w:val="0"/>
              <w:jc w:val="center"/>
              <w:rPr>
                <w:rFonts w:ascii="Arial Narrow" w:eastAsia="SimSun" w:hAnsi="Arial Narrow" w:cs="Times New Roman"/>
                <w:snapToGrid/>
                <w:sz w:val="20"/>
              </w:rPr>
            </w:pPr>
            <w:r w:rsidRPr="00D8075A">
              <w:rPr>
                <w:rFonts w:ascii="Arial Narrow" w:eastAsia="SimSun" w:hAnsi="Arial Narrow" w:cs="Times New Roman"/>
                <w:snapToGrid/>
                <w:sz w:val="20"/>
              </w:rPr>
              <w:t>27 (36.5)</w:t>
            </w:r>
          </w:p>
        </w:tc>
      </w:tr>
      <w:tr w:rsidR="00694239" w:rsidRPr="00D8075A" w:rsidTr="0083398B">
        <w:tc>
          <w:tcPr>
            <w:tcW w:w="2203" w:type="pct"/>
            <w:tcBorders>
              <w:top w:val="nil"/>
              <w:left w:val="single" w:sz="4" w:space="0" w:color="auto"/>
              <w:bottom w:val="nil"/>
              <w:right w:val="single" w:sz="4" w:space="0" w:color="auto"/>
            </w:tcBorders>
            <w:hideMark/>
          </w:tcPr>
          <w:p w:rsidR="00694239" w:rsidRPr="00D8075A" w:rsidRDefault="00694239" w:rsidP="006B1181">
            <w:pPr>
              <w:keepNext/>
              <w:widowControl/>
              <w:adjustRightInd w:val="0"/>
              <w:snapToGrid w:val="0"/>
              <w:jc w:val="left"/>
              <w:rPr>
                <w:rFonts w:ascii="Arial Narrow" w:eastAsia="SimSun" w:hAnsi="Arial Narrow" w:cs="Times New Roman"/>
                <w:snapToGrid/>
                <w:sz w:val="20"/>
                <w:shd w:val="clear" w:color="auto" w:fill="FFFFFF"/>
              </w:rPr>
            </w:pPr>
            <w:r w:rsidRPr="00D8075A">
              <w:rPr>
                <w:rFonts w:ascii="Arial Narrow" w:eastAsia="SimSun" w:hAnsi="Arial Narrow" w:cs="Times New Roman"/>
                <w:snapToGrid/>
                <w:sz w:val="20"/>
                <w:shd w:val="clear" w:color="auto" w:fill="FFFFFF"/>
              </w:rPr>
              <w:t>Related serious TEAE</w:t>
            </w:r>
          </w:p>
        </w:tc>
        <w:tc>
          <w:tcPr>
            <w:tcW w:w="1398" w:type="pct"/>
            <w:tcBorders>
              <w:top w:val="nil"/>
              <w:left w:val="single" w:sz="4" w:space="0" w:color="auto"/>
              <w:bottom w:val="nil"/>
              <w:right w:val="single" w:sz="4" w:space="0" w:color="auto"/>
            </w:tcBorders>
            <w:vAlign w:val="center"/>
            <w:hideMark/>
          </w:tcPr>
          <w:p w:rsidR="00694239" w:rsidRPr="00D8075A" w:rsidRDefault="00694239" w:rsidP="0066113E">
            <w:pPr>
              <w:keepNext/>
              <w:widowControl/>
              <w:adjustRightInd w:val="0"/>
              <w:snapToGrid w:val="0"/>
              <w:jc w:val="center"/>
              <w:rPr>
                <w:rFonts w:ascii="Arial Narrow" w:eastAsia="SimSun" w:hAnsi="Arial Narrow" w:cs="Times New Roman"/>
                <w:snapToGrid/>
                <w:sz w:val="20"/>
                <w:shd w:val="clear" w:color="auto" w:fill="FFFFFF"/>
              </w:rPr>
            </w:pPr>
            <w:r w:rsidRPr="00D8075A">
              <w:rPr>
                <w:rFonts w:ascii="Arial Narrow" w:eastAsia="SimSun" w:hAnsi="Arial Narrow" w:cs="Times New Roman"/>
                <w:snapToGrid/>
                <w:sz w:val="20"/>
                <w:shd w:val="clear" w:color="auto" w:fill="FFFFFF"/>
              </w:rPr>
              <w:t>7 (8.0)</w:t>
            </w:r>
          </w:p>
        </w:tc>
        <w:tc>
          <w:tcPr>
            <w:tcW w:w="1399" w:type="pct"/>
            <w:tcBorders>
              <w:top w:val="nil"/>
              <w:left w:val="single" w:sz="4" w:space="0" w:color="auto"/>
              <w:bottom w:val="nil"/>
              <w:right w:val="single" w:sz="4" w:space="0" w:color="auto"/>
            </w:tcBorders>
            <w:vAlign w:val="center"/>
          </w:tcPr>
          <w:p w:rsidR="00694239" w:rsidRPr="00D8075A" w:rsidRDefault="00694239" w:rsidP="0066113E">
            <w:pPr>
              <w:keepNext/>
              <w:widowControl/>
              <w:adjustRightInd w:val="0"/>
              <w:snapToGrid w:val="0"/>
              <w:jc w:val="center"/>
              <w:rPr>
                <w:rFonts w:ascii="Arial Narrow" w:eastAsia="SimSun" w:hAnsi="Arial Narrow" w:cs="Times New Roman"/>
                <w:snapToGrid/>
                <w:sz w:val="20"/>
              </w:rPr>
            </w:pPr>
            <w:r w:rsidRPr="00D8075A">
              <w:rPr>
                <w:rFonts w:ascii="Arial Narrow" w:eastAsia="SimSun" w:hAnsi="Arial Narrow" w:cs="Times New Roman"/>
                <w:snapToGrid/>
                <w:sz w:val="20"/>
              </w:rPr>
              <w:t>8 (10.8)</w:t>
            </w:r>
          </w:p>
        </w:tc>
      </w:tr>
      <w:tr w:rsidR="00694239" w:rsidRPr="00D8075A" w:rsidTr="0083398B">
        <w:tc>
          <w:tcPr>
            <w:tcW w:w="2203" w:type="pct"/>
            <w:tcBorders>
              <w:top w:val="nil"/>
              <w:left w:val="single" w:sz="4" w:space="0" w:color="auto"/>
              <w:bottom w:val="nil"/>
              <w:right w:val="single" w:sz="4" w:space="0" w:color="auto"/>
            </w:tcBorders>
            <w:hideMark/>
          </w:tcPr>
          <w:p w:rsidR="00694239" w:rsidRPr="00D8075A" w:rsidRDefault="00694239" w:rsidP="006B1181">
            <w:pPr>
              <w:keepNext/>
              <w:widowControl/>
              <w:adjustRightInd w:val="0"/>
              <w:snapToGrid w:val="0"/>
              <w:jc w:val="left"/>
              <w:rPr>
                <w:rFonts w:ascii="Arial Narrow" w:eastAsia="SimSun" w:hAnsi="Arial Narrow" w:cs="Times New Roman"/>
                <w:snapToGrid/>
                <w:sz w:val="20"/>
                <w:shd w:val="clear" w:color="auto" w:fill="FFFFFF"/>
                <w:vertAlign w:val="superscript"/>
              </w:rPr>
            </w:pPr>
            <w:r w:rsidRPr="00D8075A">
              <w:rPr>
                <w:rFonts w:ascii="Arial Narrow" w:eastAsia="SimSun" w:hAnsi="Arial Narrow" w:cs="Times New Roman"/>
                <w:snapToGrid/>
                <w:sz w:val="20"/>
                <w:shd w:val="clear" w:color="auto" w:fill="FFFFFF"/>
              </w:rPr>
              <w:t>TEAE, Grade ≥3</w:t>
            </w:r>
            <w:r w:rsidRPr="00D8075A">
              <w:rPr>
                <w:rFonts w:ascii="Arial Narrow" w:eastAsia="SimSun" w:hAnsi="Arial Narrow" w:cs="Times New Roman"/>
                <w:snapToGrid/>
                <w:sz w:val="20"/>
                <w:shd w:val="clear" w:color="auto" w:fill="FFFFFF"/>
                <w:vertAlign w:val="superscript"/>
              </w:rPr>
              <w:t>c</w:t>
            </w:r>
          </w:p>
        </w:tc>
        <w:tc>
          <w:tcPr>
            <w:tcW w:w="1398" w:type="pct"/>
            <w:tcBorders>
              <w:top w:val="nil"/>
              <w:left w:val="single" w:sz="4" w:space="0" w:color="auto"/>
              <w:bottom w:val="nil"/>
              <w:right w:val="single" w:sz="4" w:space="0" w:color="auto"/>
            </w:tcBorders>
            <w:vAlign w:val="center"/>
            <w:hideMark/>
          </w:tcPr>
          <w:p w:rsidR="00694239" w:rsidRPr="00D8075A" w:rsidRDefault="00694239" w:rsidP="0066113E">
            <w:pPr>
              <w:keepNext/>
              <w:widowControl/>
              <w:adjustRightInd w:val="0"/>
              <w:snapToGrid w:val="0"/>
              <w:jc w:val="center"/>
              <w:rPr>
                <w:rFonts w:ascii="Arial Narrow" w:eastAsia="SimSun" w:hAnsi="Arial Narrow" w:cs="Times New Roman"/>
                <w:snapToGrid/>
                <w:sz w:val="20"/>
                <w:shd w:val="clear" w:color="auto" w:fill="FFFFFF"/>
              </w:rPr>
            </w:pPr>
            <w:r w:rsidRPr="00D8075A">
              <w:rPr>
                <w:rFonts w:ascii="Arial Narrow" w:eastAsia="SimSun" w:hAnsi="Arial Narrow" w:cs="Times New Roman"/>
                <w:snapToGrid/>
                <w:sz w:val="20"/>
                <w:shd w:val="clear" w:color="auto" w:fill="FFFFFF"/>
              </w:rPr>
              <w:t>63 (71.6)</w:t>
            </w:r>
          </w:p>
        </w:tc>
        <w:tc>
          <w:tcPr>
            <w:tcW w:w="1399" w:type="pct"/>
            <w:tcBorders>
              <w:top w:val="nil"/>
              <w:left w:val="single" w:sz="4" w:space="0" w:color="auto"/>
              <w:bottom w:val="nil"/>
              <w:right w:val="single" w:sz="4" w:space="0" w:color="auto"/>
            </w:tcBorders>
            <w:vAlign w:val="center"/>
          </w:tcPr>
          <w:p w:rsidR="00694239" w:rsidRPr="00D8075A" w:rsidRDefault="00694239" w:rsidP="0066113E">
            <w:pPr>
              <w:keepNext/>
              <w:widowControl/>
              <w:adjustRightInd w:val="0"/>
              <w:snapToGrid w:val="0"/>
              <w:jc w:val="center"/>
              <w:rPr>
                <w:rFonts w:ascii="Arial Narrow" w:eastAsia="SimSun" w:hAnsi="Arial Narrow" w:cs="Times New Roman"/>
                <w:snapToGrid/>
                <w:sz w:val="20"/>
              </w:rPr>
            </w:pPr>
            <w:r w:rsidRPr="00D8075A">
              <w:rPr>
                <w:rFonts w:ascii="Arial Narrow" w:eastAsia="SimSun" w:hAnsi="Arial Narrow" w:cs="Times New Roman"/>
                <w:snapToGrid/>
                <w:sz w:val="20"/>
              </w:rPr>
              <w:t>28 (37.8)</w:t>
            </w:r>
          </w:p>
        </w:tc>
      </w:tr>
      <w:tr w:rsidR="00694239" w:rsidRPr="00D8075A" w:rsidTr="0083398B">
        <w:tc>
          <w:tcPr>
            <w:tcW w:w="2203" w:type="pct"/>
            <w:tcBorders>
              <w:top w:val="nil"/>
              <w:left w:val="single" w:sz="4" w:space="0" w:color="auto"/>
              <w:bottom w:val="nil"/>
              <w:right w:val="single" w:sz="4" w:space="0" w:color="auto"/>
            </w:tcBorders>
            <w:hideMark/>
          </w:tcPr>
          <w:p w:rsidR="00694239" w:rsidRPr="00D8075A" w:rsidRDefault="00694239" w:rsidP="006B1181">
            <w:pPr>
              <w:keepNext/>
              <w:widowControl/>
              <w:adjustRightInd w:val="0"/>
              <w:snapToGrid w:val="0"/>
              <w:jc w:val="left"/>
              <w:rPr>
                <w:rFonts w:ascii="Arial Narrow" w:eastAsia="SimSun" w:hAnsi="Arial Narrow" w:cs="Times New Roman"/>
                <w:snapToGrid/>
                <w:sz w:val="20"/>
                <w:shd w:val="clear" w:color="auto" w:fill="FFFFFF"/>
              </w:rPr>
            </w:pPr>
            <w:r w:rsidRPr="00D8075A">
              <w:rPr>
                <w:rFonts w:ascii="Arial Narrow" w:eastAsia="SimSun" w:hAnsi="Arial Narrow" w:cs="Times New Roman"/>
                <w:snapToGrid/>
                <w:sz w:val="20"/>
                <w:shd w:val="clear" w:color="auto" w:fill="FFFFFF"/>
              </w:rPr>
              <w:t>Related TEAE, Grade ≥3</w:t>
            </w:r>
          </w:p>
        </w:tc>
        <w:tc>
          <w:tcPr>
            <w:tcW w:w="1398" w:type="pct"/>
            <w:tcBorders>
              <w:top w:val="nil"/>
              <w:left w:val="single" w:sz="4" w:space="0" w:color="auto"/>
              <w:bottom w:val="nil"/>
              <w:right w:val="single" w:sz="4" w:space="0" w:color="auto"/>
            </w:tcBorders>
            <w:vAlign w:val="center"/>
            <w:hideMark/>
          </w:tcPr>
          <w:p w:rsidR="00694239" w:rsidRPr="00D8075A" w:rsidRDefault="00694239" w:rsidP="0066113E">
            <w:pPr>
              <w:keepNext/>
              <w:widowControl/>
              <w:adjustRightInd w:val="0"/>
              <w:snapToGrid w:val="0"/>
              <w:jc w:val="center"/>
              <w:rPr>
                <w:rFonts w:ascii="Arial Narrow" w:eastAsia="SimSun" w:hAnsi="Arial Narrow" w:cs="Times New Roman"/>
                <w:snapToGrid/>
                <w:sz w:val="20"/>
                <w:shd w:val="clear" w:color="auto" w:fill="FFFFFF"/>
              </w:rPr>
            </w:pPr>
            <w:r w:rsidRPr="00D8075A">
              <w:rPr>
                <w:rFonts w:ascii="Arial Narrow" w:eastAsia="SimSun" w:hAnsi="Arial Narrow" w:cs="Times New Roman"/>
                <w:snapToGrid/>
                <w:sz w:val="20"/>
                <w:shd w:val="clear" w:color="auto" w:fill="FFFFFF"/>
              </w:rPr>
              <w:t>10 (11.4)</w:t>
            </w:r>
          </w:p>
        </w:tc>
        <w:tc>
          <w:tcPr>
            <w:tcW w:w="1399" w:type="pct"/>
            <w:tcBorders>
              <w:top w:val="nil"/>
              <w:left w:val="single" w:sz="4" w:space="0" w:color="auto"/>
              <w:bottom w:val="nil"/>
              <w:right w:val="single" w:sz="4" w:space="0" w:color="auto"/>
            </w:tcBorders>
            <w:vAlign w:val="center"/>
          </w:tcPr>
          <w:p w:rsidR="00694239" w:rsidRPr="00D8075A" w:rsidRDefault="00694239" w:rsidP="0066113E">
            <w:pPr>
              <w:keepNext/>
              <w:widowControl/>
              <w:adjustRightInd w:val="0"/>
              <w:snapToGrid w:val="0"/>
              <w:jc w:val="center"/>
              <w:rPr>
                <w:rFonts w:ascii="Arial Narrow" w:eastAsia="SimSun" w:hAnsi="Arial Narrow" w:cs="Times New Roman"/>
                <w:snapToGrid/>
                <w:sz w:val="20"/>
              </w:rPr>
            </w:pPr>
            <w:r w:rsidRPr="00D8075A">
              <w:rPr>
                <w:rFonts w:ascii="Arial Narrow" w:eastAsia="SimSun" w:hAnsi="Arial Narrow" w:cs="Times New Roman"/>
                <w:snapToGrid/>
                <w:sz w:val="20"/>
              </w:rPr>
              <w:t>10 (13.5)</w:t>
            </w:r>
          </w:p>
        </w:tc>
      </w:tr>
      <w:tr w:rsidR="00694239" w:rsidRPr="00D8075A" w:rsidTr="0083398B">
        <w:tc>
          <w:tcPr>
            <w:tcW w:w="2203" w:type="pct"/>
            <w:tcBorders>
              <w:top w:val="nil"/>
              <w:left w:val="single" w:sz="4" w:space="0" w:color="auto"/>
              <w:bottom w:val="nil"/>
              <w:right w:val="single" w:sz="4" w:space="0" w:color="auto"/>
            </w:tcBorders>
            <w:hideMark/>
          </w:tcPr>
          <w:p w:rsidR="00694239" w:rsidRPr="00D8075A" w:rsidRDefault="00694239" w:rsidP="006B1181">
            <w:pPr>
              <w:keepNext/>
              <w:widowControl/>
              <w:adjustRightInd w:val="0"/>
              <w:snapToGrid w:val="0"/>
              <w:jc w:val="left"/>
              <w:rPr>
                <w:rFonts w:ascii="Arial Narrow" w:eastAsia="SimSun" w:hAnsi="Arial Narrow" w:cs="Times New Roman"/>
                <w:snapToGrid/>
                <w:sz w:val="20"/>
                <w:shd w:val="clear" w:color="auto" w:fill="FFFFFF"/>
              </w:rPr>
            </w:pPr>
            <w:r w:rsidRPr="00D8075A">
              <w:rPr>
                <w:rFonts w:ascii="Arial Narrow" w:eastAsia="SimSun" w:hAnsi="Arial Narrow" w:cs="Times New Roman"/>
                <w:snapToGrid/>
                <w:sz w:val="20"/>
                <w:shd w:val="clear" w:color="auto" w:fill="FFFFFF"/>
              </w:rPr>
              <w:t>TEAE leading to death</w:t>
            </w:r>
          </w:p>
        </w:tc>
        <w:tc>
          <w:tcPr>
            <w:tcW w:w="1398" w:type="pct"/>
            <w:tcBorders>
              <w:top w:val="nil"/>
              <w:left w:val="single" w:sz="4" w:space="0" w:color="auto"/>
              <w:bottom w:val="nil"/>
              <w:right w:val="single" w:sz="4" w:space="0" w:color="auto"/>
            </w:tcBorders>
            <w:vAlign w:val="center"/>
            <w:hideMark/>
          </w:tcPr>
          <w:p w:rsidR="00694239" w:rsidRPr="00D8075A" w:rsidRDefault="00694239" w:rsidP="0066113E">
            <w:pPr>
              <w:keepNext/>
              <w:widowControl/>
              <w:adjustRightInd w:val="0"/>
              <w:snapToGrid w:val="0"/>
              <w:jc w:val="center"/>
              <w:rPr>
                <w:rFonts w:ascii="Arial Narrow" w:eastAsia="SimSun" w:hAnsi="Arial Narrow" w:cs="Times New Roman"/>
                <w:snapToGrid/>
                <w:sz w:val="20"/>
                <w:shd w:val="clear" w:color="auto" w:fill="FFFFFF"/>
              </w:rPr>
            </w:pPr>
            <w:r w:rsidRPr="00D8075A">
              <w:rPr>
                <w:rFonts w:ascii="Arial Narrow" w:eastAsia="SimSun" w:hAnsi="Arial Narrow" w:cs="Times New Roman"/>
                <w:snapToGrid/>
                <w:sz w:val="20"/>
                <w:shd w:val="clear" w:color="auto" w:fill="FFFFFF"/>
              </w:rPr>
              <w:t>13 (14.8)</w:t>
            </w:r>
          </w:p>
        </w:tc>
        <w:tc>
          <w:tcPr>
            <w:tcW w:w="1399" w:type="pct"/>
            <w:tcBorders>
              <w:top w:val="nil"/>
              <w:left w:val="single" w:sz="4" w:space="0" w:color="auto"/>
              <w:bottom w:val="nil"/>
              <w:right w:val="single" w:sz="4" w:space="0" w:color="auto"/>
            </w:tcBorders>
            <w:vAlign w:val="center"/>
          </w:tcPr>
          <w:p w:rsidR="00694239" w:rsidRPr="00D8075A" w:rsidRDefault="00694239" w:rsidP="0066113E">
            <w:pPr>
              <w:keepNext/>
              <w:widowControl/>
              <w:adjustRightInd w:val="0"/>
              <w:snapToGrid w:val="0"/>
              <w:jc w:val="center"/>
              <w:rPr>
                <w:rFonts w:ascii="Arial Narrow" w:eastAsia="SimSun" w:hAnsi="Arial Narrow" w:cs="Times New Roman"/>
                <w:snapToGrid/>
                <w:sz w:val="20"/>
              </w:rPr>
            </w:pPr>
            <w:r w:rsidRPr="00D8075A">
              <w:rPr>
                <w:rFonts w:ascii="Arial Narrow" w:eastAsia="SimSun" w:hAnsi="Arial Narrow" w:cs="Times New Roman"/>
                <w:snapToGrid/>
                <w:sz w:val="20"/>
              </w:rPr>
              <w:t>5 (6.8)</w:t>
            </w:r>
          </w:p>
        </w:tc>
      </w:tr>
      <w:tr w:rsidR="00694239" w:rsidRPr="00D8075A" w:rsidTr="0083398B">
        <w:tc>
          <w:tcPr>
            <w:tcW w:w="2203" w:type="pct"/>
            <w:tcBorders>
              <w:top w:val="nil"/>
              <w:left w:val="single" w:sz="4" w:space="0" w:color="auto"/>
              <w:bottom w:val="nil"/>
              <w:right w:val="single" w:sz="4" w:space="0" w:color="auto"/>
            </w:tcBorders>
            <w:hideMark/>
          </w:tcPr>
          <w:p w:rsidR="00694239" w:rsidRPr="00D8075A" w:rsidRDefault="00694239" w:rsidP="006B1181">
            <w:pPr>
              <w:keepNext/>
              <w:widowControl/>
              <w:adjustRightInd w:val="0"/>
              <w:snapToGrid w:val="0"/>
              <w:jc w:val="left"/>
              <w:rPr>
                <w:rFonts w:ascii="Arial Narrow" w:eastAsia="SimSun" w:hAnsi="Arial Narrow" w:cs="Times New Roman"/>
                <w:snapToGrid/>
                <w:sz w:val="20"/>
                <w:shd w:val="clear" w:color="auto" w:fill="FFFFFF"/>
              </w:rPr>
            </w:pPr>
            <w:r w:rsidRPr="00D8075A">
              <w:rPr>
                <w:rFonts w:ascii="Arial Narrow" w:eastAsia="SimSun" w:hAnsi="Arial Narrow" w:cs="Times New Roman"/>
                <w:snapToGrid/>
                <w:sz w:val="20"/>
                <w:shd w:val="clear" w:color="auto" w:fill="FFFFFF"/>
              </w:rPr>
              <w:t>Related TEAE leading to death</w:t>
            </w:r>
          </w:p>
        </w:tc>
        <w:tc>
          <w:tcPr>
            <w:tcW w:w="1398" w:type="pct"/>
            <w:tcBorders>
              <w:top w:val="nil"/>
              <w:left w:val="single" w:sz="4" w:space="0" w:color="auto"/>
              <w:bottom w:val="nil"/>
              <w:right w:val="single" w:sz="4" w:space="0" w:color="auto"/>
            </w:tcBorders>
            <w:vAlign w:val="center"/>
            <w:hideMark/>
          </w:tcPr>
          <w:p w:rsidR="00694239" w:rsidRPr="00D8075A" w:rsidRDefault="00694239" w:rsidP="0066113E">
            <w:pPr>
              <w:keepNext/>
              <w:widowControl/>
              <w:adjustRightInd w:val="0"/>
              <w:snapToGrid w:val="0"/>
              <w:jc w:val="center"/>
              <w:rPr>
                <w:rFonts w:ascii="Arial Narrow" w:eastAsia="SimSun" w:hAnsi="Arial Narrow" w:cs="Times New Roman"/>
                <w:snapToGrid/>
                <w:sz w:val="20"/>
                <w:shd w:val="clear" w:color="auto" w:fill="FFFFFF"/>
              </w:rPr>
            </w:pPr>
            <w:r w:rsidRPr="00D8075A">
              <w:rPr>
                <w:rFonts w:ascii="Arial Narrow" w:eastAsia="SimSun" w:hAnsi="Arial Narrow" w:cs="Times New Roman"/>
                <w:snapToGrid/>
                <w:sz w:val="20"/>
                <w:shd w:val="clear" w:color="auto" w:fill="FFFFFF"/>
              </w:rPr>
              <w:t>0 (0.0)</w:t>
            </w:r>
          </w:p>
        </w:tc>
        <w:tc>
          <w:tcPr>
            <w:tcW w:w="1399" w:type="pct"/>
            <w:tcBorders>
              <w:top w:val="nil"/>
              <w:left w:val="single" w:sz="4" w:space="0" w:color="auto"/>
              <w:bottom w:val="nil"/>
              <w:right w:val="single" w:sz="4" w:space="0" w:color="auto"/>
            </w:tcBorders>
            <w:vAlign w:val="center"/>
          </w:tcPr>
          <w:p w:rsidR="00694239" w:rsidRPr="00D8075A" w:rsidRDefault="00694239" w:rsidP="0066113E">
            <w:pPr>
              <w:keepNext/>
              <w:widowControl/>
              <w:adjustRightInd w:val="0"/>
              <w:snapToGrid w:val="0"/>
              <w:jc w:val="center"/>
              <w:rPr>
                <w:rFonts w:ascii="Arial Narrow" w:eastAsia="SimSun" w:hAnsi="Arial Narrow" w:cs="Times New Roman"/>
                <w:snapToGrid/>
                <w:sz w:val="20"/>
              </w:rPr>
            </w:pPr>
            <w:r w:rsidRPr="00D8075A">
              <w:rPr>
                <w:rFonts w:ascii="Arial Narrow" w:eastAsia="SimSun" w:hAnsi="Arial Narrow" w:cs="Times New Roman"/>
                <w:snapToGrid/>
                <w:sz w:val="20"/>
              </w:rPr>
              <w:t>0 (0.0)</w:t>
            </w:r>
          </w:p>
        </w:tc>
      </w:tr>
      <w:tr w:rsidR="00694239" w:rsidRPr="00D8075A" w:rsidTr="0083398B">
        <w:tc>
          <w:tcPr>
            <w:tcW w:w="2203" w:type="pct"/>
            <w:tcBorders>
              <w:top w:val="nil"/>
              <w:left w:val="single" w:sz="4" w:space="0" w:color="auto"/>
              <w:bottom w:val="nil"/>
              <w:right w:val="single" w:sz="4" w:space="0" w:color="auto"/>
            </w:tcBorders>
            <w:hideMark/>
          </w:tcPr>
          <w:p w:rsidR="00694239" w:rsidRPr="00D8075A" w:rsidRDefault="00694239" w:rsidP="006B1181">
            <w:pPr>
              <w:keepNext/>
              <w:widowControl/>
              <w:adjustRightInd w:val="0"/>
              <w:snapToGrid w:val="0"/>
              <w:jc w:val="left"/>
              <w:rPr>
                <w:rFonts w:ascii="Arial Narrow" w:eastAsia="SimSun" w:hAnsi="Arial Narrow" w:cs="Times New Roman"/>
                <w:snapToGrid/>
                <w:sz w:val="20"/>
                <w:shd w:val="clear" w:color="auto" w:fill="FFFFFF"/>
              </w:rPr>
            </w:pPr>
            <w:r w:rsidRPr="00D8075A">
              <w:rPr>
                <w:rFonts w:ascii="Arial Narrow" w:eastAsia="SimSun" w:hAnsi="Arial Narrow" w:cs="Times New Roman"/>
                <w:snapToGrid/>
                <w:sz w:val="20"/>
                <w:shd w:val="clear" w:color="auto" w:fill="FFFFFF"/>
              </w:rPr>
              <w:t>TEAE leading to permanent treatment discontinuation</w:t>
            </w:r>
          </w:p>
        </w:tc>
        <w:tc>
          <w:tcPr>
            <w:tcW w:w="1398" w:type="pct"/>
            <w:tcBorders>
              <w:top w:val="nil"/>
              <w:left w:val="single" w:sz="4" w:space="0" w:color="auto"/>
              <w:bottom w:val="nil"/>
              <w:right w:val="single" w:sz="4" w:space="0" w:color="auto"/>
            </w:tcBorders>
            <w:vAlign w:val="center"/>
            <w:hideMark/>
          </w:tcPr>
          <w:p w:rsidR="00694239" w:rsidRPr="00D8075A" w:rsidRDefault="00694239" w:rsidP="0066113E">
            <w:pPr>
              <w:keepNext/>
              <w:widowControl/>
              <w:adjustRightInd w:val="0"/>
              <w:snapToGrid w:val="0"/>
              <w:jc w:val="center"/>
              <w:rPr>
                <w:rFonts w:ascii="Arial Narrow" w:eastAsia="SimSun" w:hAnsi="Arial Narrow" w:cs="Times New Roman"/>
                <w:snapToGrid/>
                <w:sz w:val="20"/>
                <w:shd w:val="clear" w:color="auto" w:fill="FFFFFF"/>
              </w:rPr>
            </w:pPr>
            <w:r w:rsidRPr="00D8075A">
              <w:rPr>
                <w:rFonts w:ascii="Arial Narrow" w:eastAsia="SimSun" w:hAnsi="Arial Narrow" w:cs="Times New Roman"/>
                <w:snapToGrid/>
                <w:sz w:val="20"/>
                <w:shd w:val="clear" w:color="auto" w:fill="FFFFFF"/>
              </w:rPr>
              <w:t>8 (9.1)</w:t>
            </w:r>
          </w:p>
        </w:tc>
        <w:tc>
          <w:tcPr>
            <w:tcW w:w="1399" w:type="pct"/>
            <w:tcBorders>
              <w:top w:val="nil"/>
              <w:left w:val="single" w:sz="4" w:space="0" w:color="auto"/>
              <w:bottom w:val="nil"/>
              <w:right w:val="single" w:sz="4" w:space="0" w:color="auto"/>
            </w:tcBorders>
            <w:vAlign w:val="center"/>
          </w:tcPr>
          <w:p w:rsidR="00694239" w:rsidRPr="00D8075A" w:rsidRDefault="00694239" w:rsidP="0066113E">
            <w:pPr>
              <w:keepNext/>
              <w:widowControl/>
              <w:adjustRightInd w:val="0"/>
              <w:snapToGrid w:val="0"/>
              <w:jc w:val="center"/>
              <w:rPr>
                <w:rFonts w:ascii="Arial Narrow" w:eastAsia="SimSun" w:hAnsi="Arial Narrow" w:cs="Times New Roman"/>
                <w:snapToGrid/>
                <w:sz w:val="20"/>
              </w:rPr>
            </w:pPr>
            <w:r w:rsidRPr="00D8075A">
              <w:rPr>
                <w:rFonts w:ascii="Arial Narrow" w:eastAsia="SimSun" w:hAnsi="Arial Narrow" w:cs="Times New Roman"/>
                <w:snapToGrid/>
                <w:sz w:val="20"/>
              </w:rPr>
              <w:t>14 (18.9)</w:t>
            </w:r>
          </w:p>
        </w:tc>
      </w:tr>
      <w:tr w:rsidR="00694239" w:rsidRPr="00D8075A" w:rsidTr="0083398B">
        <w:tc>
          <w:tcPr>
            <w:tcW w:w="2203" w:type="pct"/>
            <w:tcBorders>
              <w:top w:val="nil"/>
              <w:left w:val="single" w:sz="4" w:space="0" w:color="auto"/>
              <w:bottom w:val="nil"/>
              <w:right w:val="single" w:sz="4" w:space="0" w:color="auto"/>
            </w:tcBorders>
            <w:hideMark/>
          </w:tcPr>
          <w:p w:rsidR="00694239" w:rsidRPr="00D8075A" w:rsidRDefault="00694239" w:rsidP="006B1181">
            <w:pPr>
              <w:keepNext/>
              <w:widowControl/>
              <w:adjustRightInd w:val="0"/>
              <w:snapToGrid w:val="0"/>
              <w:jc w:val="left"/>
              <w:rPr>
                <w:rFonts w:ascii="Arial Narrow" w:eastAsia="SimSun" w:hAnsi="Arial Narrow" w:cs="Times New Roman"/>
                <w:snapToGrid/>
                <w:sz w:val="20"/>
                <w:shd w:val="clear" w:color="auto" w:fill="FFFFFF"/>
              </w:rPr>
            </w:pPr>
            <w:r w:rsidRPr="00D8075A">
              <w:rPr>
                <w:rFonts w:ascii="Arial Narrow" w:eastAsia="SimSun" w:hAnsi="Arial Narrow" w:cs="Times New Roman"/>
                <w:snapToGrid/>
                <w:sz w:val="20"/>
                <w:shd w:val="clear" w:color="auto" w:fill="FFFFFF"/>
              </w:rPr>
              <w:t>Related TEAE leading to treatment discontinuation</w:t>
            </w:r>
          </w:p>
        </w:tc>
        <w:tc>
          <w:tcPr>
            <w:tcW w:w="1398" w:type="pct"/>
            <w:tcBorders>
              <w:top w:val="nil"/>
              <w:left w:val="single" w:sz="4" w:space="0" w:color="auto"/>
              <w:bottom w:val="nil"/>
              <w:right w:val="single" w:sz="4" w:space="0" w:color="auto"/>
            </w:tcBorders>
            <w:vAlign w:val="center"/>
            <w:hideMark/>
          </w:tcPr>
          <w:p w:rsidR="00694239" w:rsidRPr="00D8075A" w:rsidRDefault="00694239" w:rsidP="0066113E">
            <w:pPr>
              <w:keepNext/>
              <w:widowControl/>
              <w:adjustRightInd w:val="0"/>
              <w:snapToGrid w:val="0"/>
              <w:jc w:val="center"/>
              <w:rPr>
                <w:rFonts w:ascii="Arial Narrow" w:eastAsia="SimSun" w:hAnsi="Arial Narrow" w:cs="Times New Roman"/>
                <w:snapToGrid/>
                <w:sz w:val="20"/>
                <w:shd w:val="clear" w:color="auto" w:fill="FFFFFF"/>
              </w:rPr>
            </w:pPr>
            <w:r w:rsidRPr="00D8075A">
              <w:rPr>
                <w:rFonts w:ascii="Arial Narrow" w:eastAsia="SimSun" w:hAnsi="Arial Narrow" w:cs="Times New Roman"/>
                <w:snapToGrid/>
                <w:sz w:val="20"/>
                <w:shd w:val="clear" w:color="auto" w:fill="FFFFFF"/>
              </w:rPr>
              <w:t>6 (6.8)</w:t>
            </w:r>
          </w:p>
        </w:tc>
        <w:tc>
          <w:tcPr>
            <w:tcW w:w="1399" w:type="pct"/>
            <w:tcBorders>
              <w:top w:val="nil"/>
              <w:left w:val="single" w:sz="4" w:space="0" w:color="auto"/>
              <w:bottom w:val="nil"/>
              <w:right w:val="single" w:sz="4" w:space="0" w:color="auto"/>
            </w:tcBorders>
            <w:vAlign w:val="center"/>
          </w:tcPr>
          <w:p w:rsidR="00694239" w:rsidRPr="00D8075A" w:rsidRDefault="00694239" w:rsidP="0066113E">
            <w:pPr>
              <w:keepNext/>
              <w:widowControl/>
              <w:adjustRightInd w:val="0"/>
              <w:snapToGrid w:val="0"/>
              <w:jc w:val="center"/>
              <w:rPr>
                <w:rFonts w:ascii="Arial Narrow" w:eastAsia="SimSun" w:hAnsi="Arial Narrow" w:cs="Times New Roman"/>
                <w:snapToGrid/>
                <w:sz w:val="20"/>
              </w:rPr>
            </w:pPr>
            <w:r w:rsidRPr="00D8075A">
              <w:rPr>
                <w:rFonts w:ascii="Arial Narrow" w:eastAsia="SimSun" w:hAnsi="Arial Narrow" w:cs="Times New Roman"/>
                <w:snapToGrid/>
                <w:sz w:val="20"/>
              </w:rPr>
              <w:t>10 (13.5)</w:t>
            </w:r>
          </w:p>
        </w:tc>
      </w:tr>
      <w:tr w:rsidR="00694239" w:rsidRPr="00D8075A" w:rsidTr="0083398B">
        <w:tc>
          <w:tcPr>
            <w:tcW w:w="2203" w:type="pct"/>
            <w:tcBorders>
              <w:top w:val="nil"/>
              <w:left w:val="single" w:sz="4" w:space="0" w:color="auto"/>
              <w:bottom w:val="nil"/>
              <w:right w:val="single" w:sz="4" w:space="0" w:color="auto"/>
            </w:tcBorders>
            <w:hideMark/>
          </w:tcPr>
          <w:p w:rsidR="00694239" w:rsidRPr="00D8075A" w:rsidRDefault="00694239" w:rsidP="006B1181">
            <w:pPr>
              <w:keepNext/>
              <w:widowControl/>
              <w:adjustRightInd w:val="0"/>
              <w:snapToGrid w:val="0"/>
              <w:jc w:val="left"/>
              <w:rPr>
                <w:rFonts w:ascii="Arial Narrow" w:eastAsia="SimSun" w:hAnsi="Arial Narrow" w:cs="Times New Roman"/>
                <w:snapToGrid/>
                <w:sz w:val="20"/>
                <w:shd w:val="clear" w:color="auto" w:fill="FFFFFF"/>
              </w:rPr>
            </w:pPr>
            <w:r w:rsidRPr="00D8075A">
              <w:rPr>
                <w:rFonts w:ascii="Arial Narrow" w:eastAsia="SimSun" w:hAnsi="Arial Narrow" w:cs="Times New Roman"/>
                <w:snapToGrid/>
                <w:sz w:val="20"/>
                <w:shd w:val="clear" w:color="auto" w:fill="FFFFFF"/>
              </w:rPr>
              <w:t xml:space="preserve">Treatment-emergent immune related </w:t>
            </w:r>
            <w:proofErr w:type="spellStart"/>
            <w:r w:rsidRPr="00D8075A">
              <w:rPr>
                <w:rFonts w:ascii="Arial Narrow" w:eastAsia="SimSun" w:hAnsi="Arial Narrow" w:cs="Times New Roman"/>
                <w:snapToGrid/>
                <w:sz w:val="20"/>
                <w:shd w:val="clear" w:color="auto" w:fill="FFFFFF"/>
              </w:rPr>
              <w:t>AE</w:t>
            </w:r>
            <w:r w:rsidRPr="00D8075A">
              <w:rPr>
                <w:rFonts w:ascii="Arial Narrow" w:eastAsia="SimSun" w:hAnsi="Arial Narrow" w:cs="Times New Roman"/>
                <w:snapToGrid/>
                <w:sz w:val="20"/>
                <w:shd w:val="clear" w:color="auto" w:fill="FFFFFF"/>
                <w:vertAlign w:val="superscript"/>
              </w:rPr>
              <w:t>d</w:t>
            </w:r>
            <w:proofErr w:type="spellEnd"/>
          </w:p>
        </w:tc>
        <w:tc>
          <w:tcPr>
            <w:tcW w:w="1398" w:type="pct"/>
            <w:tcBorders>
              <w:top w:val="nil"/>
              <w:left w:val="single" w:sz="4" w:space="0" w:color="auto"/>
              <w:bottom w:val="nil"/>
              <w:right w:val="single" w:sz="4" w:space="0" w:color="auto"/>
            </w:tcBorders>
            <w:vAlign w:val="center"/>
            <w:hideMark/>
          </w:tcPr>
          <w:p w:rsidR="00694239" w:rsidRPr="00D8075A" w:rsidRDefault="00694239" w:rsidP="0066113E">
            <w:pPr>
              <w:keepNext/>
              <w:widowControl/>
              <w:adjustRightInd w:val="0"/>
              <w:snapToGrid w:val="0"/>
              <w:jc w:val="center"/>
              <w:rPr>
                <w:rFonts w:ascii="Arial Narrow" w:eastAsia="SimSun" w:hAnsi="Arial Narrow" w:cs="Times New Roman"/>
                <w:snapToGrid/>
                <w:sz w:val="20"/>
                <w:shd w:val="clear" w:color="auto" w:fill="FFFFFF"/>
              </w:rPr>
            </w:pPr>
            <w:r w:rsidRPr="00D8075A">
              <w:rPr>
                <w:rFonts w:ascii="Arial Narrow" w:eastAsia="SimSun" w:hAnsi="Arial Narrow" w:cs="Times New Roman"/>
                <w:snapToGrid/>
                <w:sz w:val="20"/>
                <w:shd w:val="clear" w:color="auto" w:fill="FFFFFF"/>
              </w:rPr>
              <w:t>17 (19.3)</w:t>
            </w:r>
          </w:p>
        </w:tc>
        <w:tc>
          <w:tcPr>
            <w:tcW w:w="1399" w:type="pct"/>
            <w:tcBorders>
              <w:top w:val="nil"/>
              <w:left w:val="single" w:sz="4" w:space="0" w:color="auto"/>
              <w:bottom w:val="nil"/>
              <w:right w:val="single" w:sz="4" w:space="0" w:color="auto"/>
            </w:tcBorders>
            <w:vAlign w:val="center"/>
          </w:tcPr>
          <w:p w:rsidR="00694239" w:rsidRPr="00D8075A" w:rsidRDefault="00694239" w:rsidP="0066113E">
            <w:pPr>
              <w:keepNext/>
              <w:widowControl/>
              <w:adjustRightInd w:val="0"/>
              <w:snapToGrid w:val="0"/>
              <w:jc w:val="center"/>
              <w:rPr>
                <w:rFonts w:ascii="Arial Narrow" w:eastAsia="SimSun" w:hAnsi="Arial Narrow" w:cs="Times New Roman"/>
                <w:snapToGrid/>
                <w:sz w:val="20"/>
              </w:rPr>
            </w:pPr>
            <w:r w:rsidRPr="00D8075A">
              <w:rPr>
                <w:rFonts w:ascii="Arial Narrow" w:eastAsia="SimSun" w:hAnsi="Arial Narrow" w:cs="Times New Roman"/>
                <w:snapToGrid/>
                <w:sz w:val="20"/>
              </w:rPr>
              <w:t>6 (15.4)</w:t>
            </w:r>
            <w:r w:rsidRPr="00D8075A">
              <w:rPr>
                <w:rFonts w:ascii="Arial Narrow" w:eastAsia="SimSun" w:hAnsi="Arial Narrow" w:cs="Times New Roman"/>
                <w:snapToGrid/>
                <w:sz w:val="20"/>
                <w:vertAlign w:val="superscript"/>
              </w:rPr>
              <w:t>g</w:t>
            </w:r>
          </w:p>
        </w:tc>
      </w:tr>
      <w:tr w:rsidR="00694239" w:rsidRPr="00D8075A" w:rsidTr="0083398B">
        <w:tc>
          <w:tcPr>
            <w:tcW w:w="2203" w:type="pct"/>
            <w:tcBorders>
              <w:top w:val="nil"/>
              <w:left w:val="single" w:sz="4" w:space="0" w:color="auto"/>
              <w:bottom w:val="nil"/>
              <w:right w:val="single" w:sz="4" w:space="0" w:color="auto"/>
            </w:tcBorders>
            <w:hideMark/>
          </w:tcPr>
          <w:p w:rsidR="00694239" w:rsidRPr="00D8075A" w:rsidRDefault="00694239" w:rsidP="006B1181">
            <w:pPr>
              <w:keepNext/>
              <w:widowControl/>
              <w:adjustRightInd w:val="0"/>
              <w:snapToGrid w:val="0"/>
              <w:jc w:val="left"/>
              <w:rPr>
                <w:rFonts w:ascii="Arial Narrow" w:eastAsia="SimSun" w:hAnsi="Arial Narrow" w:cs="Times New Roman"/>
                <w:snapToGrid/>
                <w:sz w:val="20"/>
                <w:shd w:val="clear" w:color="auto" w:fill="FFFFFF"/>
              </w:rPr>
            </w:pPr>
            <w:r w:rsidRPr="00D8075A">
              <w:rPr>
                <w:rFonts w:ascii="Arial Narrow" w:eastAsia="SimSun" w:hAnsi="Arial Narrow" w:cs="Times New Roman"/>
                <w:snapToGrid/>
                <w:sz w:val="20"/>
                <w:shd w:val="clear" w:color="auto" w:fill="FFFFFF"/>
              </w:rPr>
              <w:t xml:space="preserve">Related treatment-emergent immune related </w:t>
            </w:r>
            <w:proofErr w:type="spellStart"/>
            <w:r w:rsidRPr="00D8075A">
              <w:rPr>
                <w:rFonts w:ascii="Arial Narrow" w:eastAsia="SimSun" w:hAnsi="Arial Narrow" w:cs="Times New Roman"/>
                <w:snapToGrid/>
                <w:sz w:val="20"/>
                <w:shd w:val="clear" w:color="auto" w:fill="FFFFFF"/>
              </w:rPr>
              <w:t>AE</w:t>
            </w:r>
            <w:r w:rsidRPr="00D8075A">
              <w:rPr>
                <w:rFonts w:ascii="Arial Narrow" w:eastAsia="SimSun" w:hAnsi="Arial Narrow" w:cs="Times New Roman"/>
                <w:snapToGrid/>
                <w:sz w:val="20"/>
                <w:shd w:val="clear" w:color="auto" w:fill="FFFFFF"/>
                <w:vertAlign w:val="superscript"/>
              </w:rPr>
              <w:t>d</w:t>
            </w:r>
            <w:proofErr w:type="spellEnd"/>
          </w:p>
        </w:tc>
        <w:tc>
          <w:tcPr>
            <w:tcW w:w="1398" w:type="pct"/>
            <w:tcBorders>
              <w:top w:val="nil"/>
              <w:left w:val="single" w:sz="4" w:space="0" w:color="auto"/>
              <w:bottom w:val="nil"/>
              <w:right w:val="single" w:sz="4" w:space="0" w:color="auto"/>
            </w:tcBorders>
            <w:vAlign w:val="center"/>
            <w:hideMark/>
          </w:tcPr>
          <w:p w:rsidR="00694239" w:rsidRPr="00D8075A" w:rsidRDefault="00694239" w:rsidP="0066113E">
            <w:pPr>
              <w:keepNext/>
              <w:widowControl/>
              <w:adjustRightInd w:val="0"/>
              <w:snapToGrid w:val="0"/>
              <w:jc w:val="center"/>
              <w:rPr>
                <w:rFonts w:ascii="Arial Narrow" w:eastAsia="SimSun" w:hAnsi="Arial Narrow" w:cs="Times New Roman"/>
                <w:snapToGrid/>
                <w:sz w:val="20"/>
                <w:shd w:val="clear" w:color="auto" w:fill="FFFFFF"/>
              </w:rPr>
            </w:pPr>
            <w:r w:rsidRPr="00D8075A">
              <w:rPr>
                <w:rFonts w:ascii="Arial Narrow" w:eastAsia="SimSun" w:hAnsi="Arial Narrow" w:cs="Times New Roman"/>
                <w:snapToGrid/>
                <w:sz w:val="20"/>
                <w:shd w:val="clear" w:color="auto" w:fill="FFFFFF"/>
              </w:rPr>
              <w:t>15 (17.0)</w:t>
            </w:r>
          </w:p>
        </w:tc>
        <w:tc>
          <w:tcPr>
            <w:tcW w:w="1399" w:type="pct"/>
            <w:tcBorders>
              <w:top w:val="nil"/>
              <w:left w:val="single" w:sz="4" w:space="0" w:color="auto"/>
              <w:bottom w:val="nil"/>
              <w:right w:val="single" w:sz="4" w:space="0" w:color="auto"/>
            </w:tcBorders>
            <w:vAlign w:val="center"/>
          </w:tcPr>
          <w:p w:rsidR="00694239" w:rsidRPr="00D8075A" w:rsidRDefault="00694239" w:rsidP="0066113E">
            <w:pPr>
              <w:keepNext/>
              <w:widowControl/>
              <w:adjustRightInd w:val="0"/>
              <w:snapToGrid w:val="0"/>
              <w:jc w:val="center"/>
              <w:rPr>
                <w:rFonts w:ascii="Arial Narrow" w:eastAsia="SimSun" w:hAnsi="Arial Narrow" w:cs="Times New Roman"/>
                <w:snapToGrid/>
                <w:sz w:val="20"/>
                <w:vertAlign w:val="superscript"/>
              </w:rPr>
            </w:pPr>
            <w:r w:rsidRPr="00D8075A">
              <w:rPr>
                <w:rFonts w:ascii="Arial Narrow" w:eastAsia="SimSun" w:hAnsi="Arial Narrow" w:cs="Times New Roman"/>
                <w:snapToGrid/>
                <w:sz w:val="20"/>
              </w:rPr>
              <w:t>3 (7.7)</w:t>
            </w:r>
            <w:r w:rsidRPr="00D8075A">
              <w:rPr>
                <w:rFonts w:ascii="Arial Narrow" w:eastAsia="SimSun" w:hAnsi="Arial Narrow" w:cs="Times New Roman"/>
                <w:snapToGrid/>
                <w:sz w:val="20"/>
                <w:vertAlign w:val="superscript"/>
              </w:rPr>
              <w:t>g</w:t>
            </w:r>
          </w:p>
        </w:tc>
      </w:tr>
      <w:tr w:rsidR="00694239" w:rsidRPr="00D8075A" w:rsidTr="0083398B">
        <w:tc>
          <w:tcPr>
            <w:tcW w:w="2203" w:type="pct"/>
            <w:tcBorders>
              <w:top w:val="nil"/>
              <w:left w:val="single" w:sz="4" w:space="0" w:color="auto"/>
              <w:bottom w:val="nil"/>
              <w:right w:val="single" w:sz="4" w:space="0" w:color="auto"/>
            </w:tcBorders>
            <w:hideMark/>
          </w:tcPr>
          <w:p w:rsidR="00694239" w:rsidRPr="00D8075A" w:rsidRDefault="00694239" w:rsidP="006B1181">
            <w:pPr>
              <w:keepNext/>
              <w:widowControl/>
              <w:adjustRightInd w:val="0"/>
              <w:snapToGrid w:val="0"/>
              <w:jc w:val="left"/>
              <w:rPr>
                <w:rFonts w:ascii="Arial Narrow" w:eastAsia="SimSun" w:hAnsi="Arial Narrow" w:cs="Times New Roman"/>
                <w:snapToGrid/>
                <w:sz w:val="20"/>
                <w:shd w:val="clear" w:color="auto" w:fill="FFFFFF"/>
              </w:rPr>
            </w:pPr>
            <w:r w:rsidRPr="00D8075A">
              <w:rPr>
                <w:rFonts w:ascii="Arial Narrow" w:eastAsia="SimSun" w:hAnsi="Arial Narrow" w:cs="Times New Roman"/>
                <w:snapToGrid/>
                <w:sz w:val="20"/>
                <w:shd w:val="clear" w:color="auto" w:fill="FFFFFF"/>
              </w:rPr>
              <w:t xml:space="preserve">Treatment-emergent </w:t>
            </w:r>
            <w:proofErr w:type="spellStart"/>
            <w:r w:rsidRPr="00D8075A">
              <w:rPr>
                <w:rFonts w:ascii="Arial Narrow" w:eastAsia="SimSun" w:hAnsi="Arial Narrow" w:cs="Times New Roman"/>
                <w:snapToGrid/>
                <w:sz w:val="20"/>
                <w:shd w:val="clear" w:color="auto" w:fill="FFFFFF"/>
              </w:rPr>
              <w:t>IRR</w:t>
            </w:r>
            <w:r w:rsidRPr="00D8075A">
              <w:rPr>
                <w:rFonts w:ascii="Arial Narrow" w:eastAsia="SimSun" w:hAnsi="Arial Narrow" w:cs="Times New Roman"/>
                <w:snapToGrid/>
                <w:sz w:val="20"/>
                <w:shd w:val="clear" w:color="auto" w:fill="FFFFFF"/>
                <w:vertAlign w:val="superscript"/>
              </w:rPr>
              <w:t>e</w:t>
            </w:r>
            <w:proofErr w:type="spellEnd"/>
          </w:p>
        </w:tc>
        <w:tc>
          <w:tcPr>
            <w:tcW w:w="1398" w:type="pct"/>
            <w:tcBorders>
              <w:top w:val="nil"/>
              <w:left w:val="single" w:sz="4" w:space="0" w:color="auto"/>
              <w:bottom w:val="nil"/>
              <w:right w:val="single" w:sz="4" w:space="0" w:color="auto"/>
            </w:tcBorders>
            <w:vAlign w:val="center"/>
            <w:hideMark/>
          </w:tcPr>
          <w:p w:rsidR="00694239" w:rsidRPr="00D8075A" w:rsidRDefault="00694239" w:rsidP="0066113E">
            <w:pPr>
              <w:keepNext/>
              <w:widowControl/>
              <w:adjustRightInd w:val="0"/>
              <w:snapToGrid w:val="0"/>
              <w:jc w:val="center"/>
              <w:rPr>
                <w:rFonts w:ascii="Arial Narrow" w:eastAsia="SimSun" w:hAnsi="Arial Narrow" w:cs="Times New Roman"/>
                <w:snapToGrid/>
                <w:sz w:val="20"/>
                <w:shd w:val="clear" w:color="auto" w:fill="FFFFFF"/>
              </w:rPr>
            </w:pPr>
            <w:r w:rsidRPr="00D8075A">
              <w:rPr>
                <w:rFonts w:ascii="Arial Narrow" w:eastAsia="SimSun" w:hAnsi="Arial Narrow" w:cs="Times New Roman"/>
                <w:snapToGrid/>
                <w:sz w:val="20"/>
                <w:shd w:val="clear" w:color="auto" w:fill="FFFFFF"/>
              </w:rPr>
              <w:t>19 (21.6)</w:t>
            </w:r>
          </w:p>
        </w:tc>
        <w:tc>
          <w:tcPr>
            <w:tcW w:w="1399" w:type="pct"/>
            <w:tcBorders>
              <w:top w:val="nil"/>
              <w:left w:val="single" w:sz="4" w:space="0" w:color="auto"/>
              <w:bottom w:val="nil"/>
              <w:right w:val="single" w:sz="4" w:space="0" w:color="auto"/>
            </w:tcBorders>
            <w:vAlign w:val="center"/>
          </w:tcPr>
          <w:p w:rsidR="00694239" w:rsidRPr="00D8075A" w:rsidRDefault="00694239" w:rsidP="0066113E">
            <w:pPr>
              <w:keepNext/>
              <w:widowControl/>
              <w:adjustRightInd w:val="0"/>
              <w:snapToGrid w:val="0"/>
              <w:jc w:val="center"/>
              <w:rPr>
                <w:rFonts w:ascii="Arial Narrow" w:eastAsia="SimSun" w:hAnsi="Arial Narrow" w:cs="Times New Roman"/>
                <w:snapToGrid/>
                <w:sz w:val="20"/>
              </w:rPr>
            </w:pPr>
            <w:r w:rsidRPr="00D8075A">
              <w:rPr>
                <w:rFonts w:ascii="Arial Narrow" w:eastAsia="SimSun" w:hAnsi="Arial Narrow" w:cs="Times New Roman"/>
                <w:snapToGrid/>
                <w:sz w:val="20"/>
              </w:rPr>
              <w:t>10 (25.6)</w:t>
            </w:r>
            <w:r w:rsidRPr="00D8075A">
              <w:rPr>
                <w:rFonts w:ascii="Arial Narrow" w:eastAsia="SimSun" w:hAnsi="Arial Narrow" w:cs="Times New Roman"/>
                <w:snapToGrid/>
                <w:sz w:val="20"/>
                <w:vertAlign w:val="superscript"/>
              </w:rPr>
              <w:t xml:space="preserve"> g</w:t>
            </w:r>
          </w:p>
        </w:tc>
      </w:tr>
      <w:tr w:rsidR="00694239" w:rsidRPr="00D8075A" w:rsidTr="0083398B">
        <w:tc>
          <w:tcPr>
            <w:tcW w:w="2203" w:type="pct"/>
            <w:tcBorders>
              <w:top w:val="nil"/>
              <w:left w:val="single" w:sz="4" w:space="0" w:color="auto"/>
              <w:bottom w:val="single" w:sz="4" w:space="0" w:color="auto"/>
              <w:right w:val="single" w:sz="4" w:space="0" w:color="auto"/>
            </w:tcBorders>
            <w:hideMark/>
          </w:tcPr>
          <w:p w:rsidR="00694239" w:rsidRPr="00D8075A" w:rsidRDefault="00694239" w:rsidP="006B1181">
            <w:pPr>
              <w:keepNext/>
              <w:widowControl/>
              <w:adjustRightInd w:val="0"/>
              <w:snapToGrid w:val="0"/>
              <w:jc w:val="left"/>
              <w:rPr>
                <w:rFonts w:ascii="Arial Narrow" w:eastAsia="SimSun" w:hAnsi="Arial Narrow" w:cs="Times New Roman"/>
                <w:snapToGrid/>
                <w:sz w:val="20"/>
                <w:shd w:val="clear" w:color="auto" w:fill="FFFFFF"/>
              </w:rPr>
            </w:pPr>
            <w:r w:rsidRPr="00D8075A">
              <w:rPr>
                <w:rFonts w:ascii="Arial Narrow" w:eastAsia="SimSun" w:hAnsi="Arial Narrow" w:cs="Times New Roman"/>
                <w:snapToGrid/>
                <w:sz w:val="20"/>
                <w:shd w:val="clear" w:color="auto" w:fill="FFFFFF"/>
              </w:rPr>
              <w:t xml:space="preserve">Related treatment-emergent </w:t>
            </w:r>
            <w:proofErr w:type="spellStart"/>
            <w:r w:rsidRPr="00D8075A">
              <w:rPr>
                <w:rFonts w:ascii="Arial Narrow" w:eastAsia="SimSun" w:hAnsi="Arial Narrow" w:cs="Times New Roman"/>
                <w:snapToGrid/>
                <w:sz w:val="20"/>
                <w:shd w:val="clear" w:color="auto" w:fill="FFFFFF"/>
              </w:rPr>
              <w:t>IRR</w:t>
            </w:r>
            <w:r w:rsidRPr="00D8075A">
              <w:rPr>
                <w:rFonts w:ascii="Arial Narrow" w:eastAsia="SimSun" w:hAnsi="Arial Narrow" w:cs="Times New Roman"/>
                <w:snapToGrid/>
                <w:sz w:val="20"/>
                <w:shd w:val="clear" w:color="auto" w:fill="FFFFFF"/>
                <w:vertAlign w:val="superscript"/>
              </w:rPr>
              <w:t>e,f</w:t>
            </w:r>
            <w:proofErr w:type="spellEnd"/>
          </w:p>
        </w:tc>
        <w:tc>
          <w:tcPr>
            <w:tcW w:w="1398" w:type="pct"/>
            <w:tcBorders>
              <w:top w:val="nil"/>
              <w:left w:val="single" w:sz="4" w:space="0" w:color="auto"/>
              <w:bottom w:val="single" w:sz="4" w:space="0" w:color="auto"/>
              <w:right w:val="single" w:sz="4" w:space="0" w:color="auto"/>
            </w:tcBorders>
            <w:vAlign w:val="center"/>
            <w:hideMark/>
          </w:tcPr>
          <w:p w:rsidR="00694239" w:rsidRPr="00D8075A" w:rsidRDefault="00694239" w:rsidP="0066113E">
            <w:pPr>
              <w:keepNext/>
              <w:widowControl/>
              <w:adjustRightInd w:val="0"/>
              <w:snapToGrid w:val="0"/>
              <w:jc w:val="center"/>
              <w:rPr>
                <w:rFonts w:ascii="Arial Narrow" w:eastAsia="SimSun" w:hAnsi="Arial Narrow" w:cs="Times New Roman"/>
                <w:snapToGrid/>
                <w:sz w:val="20"/>
                <w:shd w:val="clear" w:color="auto" w:fill="FFFFFF"/>
              </w:rPr>
            </w:pPr>
            <w:r w:rsidRPr="00D8075A">
              <w:rPr>
                <w:rFonts w:ascii="Arial Narrow" w:eastAsia="SimSun" w:hAnsi="Arial Narrow" w:cs="Times New Roman"/>
                <w:snapToGrid/>
                <w:sz w:val="20"/>
                <w:shd w:val="clear" w:color="auto" w:fill="FFFFFF"/>
              </w:rPr>
              <w:t>19 (21.6)</w:t>
            </w:r>
          </w:p>
        </w:tc>
        <w:tc>
          <w:tcPr>
            <w:tcW w:w="1399" w:type="pct"/>
            <w:tcBorders>
              <w:top w:val="nil"/>
              <w:left w:val="single" w:sz="4" w:space="0" w:color="auto"/>
              <w:bottom w:val="single" w:sz="4" w:space="0" w:color="auto"/>
              <w:right w:val="single" w:sz="4" w:space="0" w:color="auto"/>
            </w:tcBorders>
            <w:vAlign w:val="center"/>
          </w:tcPr>
          <w:p w:rsidR="00694239" w:rsidRPr="00D8075A" w:rsidRDefault="00694239" w:rsidP="0066113E">
            <w:pPr>
              <w:keepNext/>
              <w:widowControl/>
              <w:adjustRightInd w:val="0"/>
              <w:snapToGrid w:val="0"/>
              <w:jc w:val="center"/>
              <w:rPr>
                <w:rFonts w:ascii="Arial Narrow" w:eastAsia="SimSun" w:hAnsi="Arial Narrow" w:cs="Times New Roman"/>
                <w:snapToGrid/>
                <w:sz w:val="20"/>
              </w:rPr>
            </w:pPr>
            <w:r w:rsidRPr="00D8075A">
              <w:rPr>
                <w:rFonts w:ascii="Arial Narrow" w:eastAsia="SimSun" w:hAnsi="Arial Narrow" w:cs="Times New Roman"/>
                <w:snapToGrid/>
                <w:sz w:val="20"/>
              </w:rPr>
              <w:t>9 (23.1)</w:t>
            </w:r>
            <w:r w:rsidRPr="00D8075A">
              <w:rPr>
                <w:rFonts w:ascii="Arial Narrow" w:eastAsia="SimSun" w:hAnsi="Arial Narrow" w:cs="Times New Roman"/>
                <w:snapToGrid/>
                <w:sz w:val="20"/>
                <w:vertAlign w:val="superscript"/>
              </w:rPr>
              <w:t xml:space="preserve"> g</w:t>
            </w:r>
          </w:p>
        </w:tc>
      </w:tr>
    </w:tbl>
    <w:p w:rsidR="00694239" w:rsidRPr="00D8075A" w:rsidRDefault="00694239" w:rsidP="00694239">
      <w:pPr>
        <w:rPr>
          <w:rFonts w:ascii="Arial Narrow" w:hAnsi="Arial Narrow"/>
          <w:sz w:val="18"/>
        </w:rPr>
      </w:pPr>
      <w:r w:rsidRPr="00D8075A">
        <w:rPr>
          <w:rFonts w:ascii="Arial Narrow" w:hAnsi="Arial Narrow"/>
          <w:sz w:val="18"/>
        </w:rPr>
        <w:t xml:space="preserve">MCC: Merkel cell carcinoma; TEAE: treatment emergent adverse event; AE: adverse event; IRR: infusion related reaction; </w:t>
      </w:r>
    </w:p>
    <w:p w:rsidR="00694239" w:rsidRPr="00D8075A" w:rsidRDefault="00694239" w:rsidP="00694239">
      <w:pPr>
        <w:rPr>
          <w:rFonts w:ascii="Arial Narrow" w:hAnsi="Arial Narrow"/>
          <w:sz w:val="18"/>
        </w:rPr>
      </w:pPr>
      <w:proofErr w:type="gramStart"/>
      <w:r w:rsidRPr="00D8075A">
        <w:rPr>
          <w:rFonts w:ascii="Arial Narrow" w:hAnsi="Arial Narrow"/>
          <w:sz w:val="18"/>
        </w:rPr>
        <w:t>a</w:t>
      </w:r>
      <w:proofErr w:type="gramEnd"/>
      <w:r w:rsidRPr="00D8075A">
        <w:rPr>
          <w:rFonts w:ascii="Arial Narrow" w:hAnsi="Arial Narrow"/>
          <w:sz w:val="18"/>
        </w:rPr>
        <w:t xml:space="preserve"> TEAEs are defined as events that started during the time from the first dose of study drug to the last dose date + 30 days or earliest date of subsequent anticancer drug therapy minus 1 day, whichever occurred first.</w:t>
      </w:r>
    </w:p>
    <w:p w:rsidR="00694239" w:rsidRPr="00D8075A" w:rsidRDefault="00694239" w:rsidP="00694239">
      <w:pPr>
        <w:rPr>
          <w:rFonts w:ascii="Arial Narrow" w:hAnsi="Arial Narrow"/>
          <w:sz w:val="18"/>
        </w:rPr>
      </w:pPr>
      <w:proofErr w:type="gramStart"/>
      <w:r w:rsidRPr="00D8075A">
        <w:rPr>
          <w:rFonts w:ascii="Arial Narrow" w:hAnsi="Arial Narrow"/>
          <w:sz w:val="18"/>
        </w:rPr>
        <w:t>b</w:t>
      </w:r>
      <w:proofErr w:type="gramEnd"/>
      <w:r w:rsidRPr="00D8075A">
        <w:rPr>
          <w:rFonts w:ascii="Arial Narrow" w:hAnsi="Arial Narrow"/>
          <w:sz w:val="18"/>
        </w:rPr>
        <w:t xml:space="preserve"> Related TEAEs are defined as events with a relationship of missing, unknown, or yes.</w:t>
      </w:r>
    </w:p>
    <w:p w:rsidR="00694239" w:rsidRPr="00D8075A" w:rsidRDefault="00694239" w:rsidP="00694239">
      <w:pPr>
        <w:rPr>
          <w:rFonts w:ascii="Arial Narrow" w:hAnsi="Arial Narrow"/>
          <w:sz w:val="18"/>
        </w:rPr>
      </w:pPr>
      <w:proofErr w:type="gramStart"/>
      <w:r w:rsidRPr="00D8075A">
        <w:rPr>
          <w:rFonts w:ascii="Arial Narrow" w:hAnsi="Arial Narrow"/>
          <w:sz w:val="18"/>
        </w:rPr>
        <w:t>c</w:t>
      </w:r>
      <w:proofErr w:type="gramEnd"/>
      <w:r w:rsidRPr="00D8075A">
        <w:rPr>
          <w:rFonts w:ascii="Arial Narrow" w:hAnsi="Arial Narrow"/>
          <w:sz w:val="18"/>
        </w:rPr>
        <w:t xml:space="preserve"> Compared to previous data with cut-off 30 December 2016, 3 new subjects experienced treatment related Grade ≥ 3 TEAEs with lipase increased blood </w:t>
      </w:r>
      <w:proofErr w:type="spellStart"/>
      <w:r w:rsidRPr="00D8075A">
        <w:rPr>
          <w:rFonts w:ascii="Arial Narrow" w:hAnsi="Arial Narrow"/>
          <w:sz w:val="18"/>
        </w:rPr>
        <w:t>creatine</w:t>
      </w:r>
      <w:proofErr w:type="spellEnd"/>
      <w:r w:rsidRPr="00D8075A">
        <w:rPr>
          <w:rFonts w:ascii="Arial Narrow" w:hAnsi="Arial Narrow"/>
          <w:sz w:val="18"/>
        </w:rPr>
        <w:t xml:space="preserve"> phosphokinase increased/troponin increased and polyneuropathy in malignant disease/paraneoplastic encephalomyelitis.</w:t>
      </w:r>
    </w:p>
    <w:p w:rsidR="00694239" w:rsidRPr="00D8075A" w:rsidRDefault="00694239" w:rsidP="00694239">
      <w:pPr>
        <w:rPr>
          <w:rFonts w:ascii="Arial Narrow" w:hAnsi="Arial Narrow"/>
          <w:sz w:val="18"/>
        </w:rPr>
      </w:pPr>
      <w:proofErr w:type="gramStart"/>
      <w:r w:rsidRPr="00D8075A">
        <w:rPr>
          <w:rFonts w:ascii="Arial Narrow" w:hAnsi="Arial Narrow"/>
          <w:sz w:val="18"/>
        </w:rPr>
        <w:t>d</w:t>
      </w:r>
      <w:proofErr w:type="gramEnd"/>
      <w:r w:rsidRPr="00D8075A">
        <w:rPr>
          <w:rFonts w:ascii="Arial Narrow" w:hAnsi="Arial Narrow"/>
          <w:sz w:val="18"/>
        </w:rPr>
        <w:t xml:space="preserve"> </w:t>
      </w:r>
      <w:proofErr w:type="spellStart"/>
      <w:r w:rsidRPr="00D8075A">
        <w:rPr>
          <w:rFonts w:ascii="Arial Narrow" w:hAnsi="Arial Narrow"/>
          <w:sz w:val="18"/>
        </w:rPr>
        <w:t>irAEs</w:t>
      </w:r>
      <w:proofErr w:type="spellEnd"/>
      <w:r w:rsidRPr="00D8075A">
        <w:rPr>
          <w:rFonts w:ascii="Arial Narrow" w:hAnsi="Arial Narrow"/>
          <w:sz w:val="18"/>
        </w:rPr>
        <w:t xml:space="preserve"> were identified according to a 2-level approach using predefined </w:t>
      </w:r>
      <w:proofErr w:type="spellStart"/>
      <w:r w:rsidRPr="00D8075A">
        <w:rPr>
          <w:rFonts w:ascii="Arial Narrow" w:hAnsi="Arial Narrow"/>
          <w:sz w:val="18"/>
        </w:rPr>
        <w:t>MedDRA</w:t>
      </w:r>
      <w:proofErr w:type="spellEnd"/>
      <w:r w:rsidRPr="00D8075A">
        <w:rPr>
          <w:rFonts w:ascii="Arial Narrow" w:hAnsi="Arial Narrow"/>
          <w:sz w:val="18"/>
        </w:rPr>
        <w:t xml:space="preserve"> Preferred Term queries as well as medical review evaluating corticosteroid use and possible alternative </w:t>
      </w:r>
      <w:proofErr w:type="spellStart"/>
      <w:r w:rsidRPr="00D8075A">
        <w:rPr>
          <w:rFonts w:ascii="Arial Narrow" w:hAnsi="Arial Narrow"/>
          <w:sz w:val="18"/>
        </w:rPr>
        <w:t>etiologies</w:t>
      </w:r>
      <w:proofErr w:type="spellEnd"/>
      <w:r w:rsidRPr="00D8075A">
        <w:rPr>
          <w:rFonts w:ascii="Arial Narrow" w:hAnsi="Arial Narrow"/>
          <w:sz w:val="18"/>
        </w:rPr>
        <w:t xml:space="preserve">. </w:t>
      </w:r>
    </w:p>
    <w:p w:rsidR="00694239" w:rsidRPr="00D8075A" w:rsidRDefault="00694239" w:rsidP="00694239">
      <w:pPr>
        <w:rPr>
          <w:rFonts w:ascii="Arial Narrow" w:hAnsi="Arial Narrow"/>
          <w:sz w:val="18"/>
        </w:rPr>
      </w:pPr>
      <w:r w:rsidRPr="00D8075A">
        <w:rPr>
          <w:rFonts w:ascii="Arial Narrow" w:hAnsi="Arial Narrow"/>
          <w:sz w:val="18"/>
        </w:rPr>
        <w:t xml:space="preserve">e Infusion-related reactions were identified using </w:t>
      </w:r>
      <w:proofErr w:type="spellStart"/>
      <w:r w:rsidRPr="00D8075A">
        <w:rPr>
          <w:rFonts w:ascii="Arial Narrow" w:hAnsi="Arial Narrow"/>
          <w:sz w:val="18"/>
        </w:rPr>
        <w:t>MedDRA</w:t>
      </w:r>
      <w:proofErr w:type="spellEnd"/>
      <w:r w:rsidRPr="00D8075A">
        <w:rPr>
          <w:rFonts w:ascii="Arial Narrow" w:hAnsi="Arial Narrow"/>
          <w:sz w:val="18"/>
        </w:rPr>
        <w:t xml:space="preserve"> Preferred Terms of infusion-related reaction, drug hypersensitivity, anaphylactic reaction, hypersensitivity, Type 1 hypersensitivity, and additional potential symptoms of infusion reactions (preferred Terms of pyrexia, chills, flushing, hypotension, dyspnoea, wheezing, back pain, abdominal pain, and </w:t>
      </w:r>
      <w:proofErr w:type="spellStart"/>
      <w:r w:rsidRPr="00D8075A">
        <w:rPr>
          <w:rFonts w:ascii="Arial Narrow" w:hAnsi="Arial Narrow"/>
          <w:sz w:val="18"/>
        </w:rPr>
        <w:t>urticaria</w:t>
      </w:r>
      <w:proofErr w:type="spellEnd"/>
      <w:r w:rsidRPr="00D8075A">
        <w:rPr>
          <w:rFonts w:ascii="Arial Narrow" w:hAnsi="Arial Narrow"/>
          <w:sz w:val="18"/>
        </w:rPr>
        <w:t>) occurring on the day of the infusion and resolving within 2 days.</w:t>
      </w:r>
    </w:p>
    <w:p w:rsidR="00694239" w:rsidRPr="00D8075A" w:rsidRDefault="00694239" w:rsidP="00694239">
      <w:pPr>
        <w:rPr>
          <w:rFonts w:ascii="Arial Narrow" w:hAnsi="Arial Narrow"/>
          <w:sz w:val="18"/>
        </w:rPr>
      </w:pPr>
      <w:proofErr w:type="gramStart"/>
      <w:r w:rsidRPr="00D8075A">
        <w:rPr>
          <w:rFonts w:ascii="Arial Narrow" w:hAnsi="Arial Narrow"/>
          <w:sz w:val="18"/>
        </w:rPr>
        <w:t>f</w:t>
      </w:r>
      <w:proofErr w:type="gramEnd"/>
      <w:r w:rsidRPr="00D8075A">
        <w:rPr>
          <w:rFonts w:ascii="Arial Narrow" w:hAnsi="Arial Narrow"/>
          <w:sz w:val="18"/>
        </w:rPr>
        <w:t xml:space="preserve"> Only one related treatment-emergent IRR was Grade 3, the event occurred during the second avelumab infusion</w:t>
      </w:r>
    </w:p>
    <w:p w:rsidR="00694239" w:rsidRPr="00D8075A" w:rsidRDefault="00694239" w:rsidP="00694239">
      <w:pPr>
        <w:rPr>
          <w:rFonts w:ascii="Arial Narrow" w:hAnsi="Arial Narrow"/>
          <w:sz w:val="18"/>
        </w:rPr>
      </w:pPr>
      <w:r w:rsidRPr="00D8075A">
        <w:rPr>
          <w:rFonts w:ascii="Arial Narrow" w:hAnsi="Arial Narrow"/>
          <w:sz w:val="18"/>
        </w:rPr>
        <w:t>g These were not reported in the 24 month preliminary report so taken from JAVELIN Merkel 200 Addendum 4 Supplementary Tables and Figures Table 15.3.1.20 p70.</w:t>
      </w:r>
    </w:p>
    <w:p w:rsidR="00694239" w:rsidRPr="00D8075A" w:rsidRDefault="00694239" w:rsidP="00694239">
      <w:pPr>
        <w:rPr>
          <w:rFonts w:ascii="Arial Narrow" w:hAnsi="Arial Narrow"/>
          <w:sz w:val="18"/>
        </w:rPr>
      </w:pPr>
      <w:r w:rsidRPr="00D8075A">
        <w:rPr>
          <w:rFonts w:ascii="Arial Narrow" w:hAnsi="Arial Narrow"/>
          <w:sz w:val="18"/>
        </w:rPr>
        <w:t>Source: Table 2.5.8, p93 of the submission</w:t>
      </w:r>
    </w:p>
    <w:p w:rsidR="00694239" w:rsidRPr="00D8075A" w:rsidRDefault="00694239" w:rsidP="00F717BF">
      <w:pPr>
        <w:pStyle w:val="Heading2"/>
        <w:spacing w:before="240" w:after="120"/>
      </w:pPr>
      <w:bookmarkStart w:id="13" w:name="_Toc514233098"/>
      <w:r w:rsidRPr="00D8075A">
        <w:t>Benefits/harms</w:t>
      </w:r>
      <w:bookmarkEnd w:id="13"/>
    </w:p>
    <w:p w:rsidR="00694239" w:rsidRPr="00D8075A" w:rsidRDefault="00694239" w:rsidP="00C3432B">
      <w:pPr>
        <w:pStyle w:val="ListParagraph"/>
        <w:widowControl/>
        <w:numPr>
          <w:ilvl w:val="1"/>
          <w:numId w:val="1"/>
        </w:numPr>
      </w:pPr>
      <w:r w:rsidRPr="00D8075A">
        <w:t>The naïve indirect comparison presented in the submission did not allow for a quantitative comparison of the benefits and harms of avelumab and chemotherapy. Accordingly, a benefits/harms table has not been presented.</w:t>
      </w:r>
    </w:p>
    <w:p w:rsidR="00694239" w:rsidRPr="00D8075A" w:rsidRDefault="00694239" w:rsidP="00F717BF">
      <w:pPr>
        <w:pStyle w:val="Heading2"/>
        <w:spacing w:before="240" w:after="120"/>
      </w:pPr>
      <w:bookmarkStart w:id="14" w:name="_Toc514233099"/>
      <w:r w:rsidRPr="00D8075A">
        <w:t>Clinical claim</w:t>
      </w:r>
      <w:bookmarkEnd w:id="14"/>
    </w:p>
    <w:p w:rsidR="00694239" w:rsidRPr="00D8075A" w:rsidRDefault="00694239" w:rsidP="00C3432B">
      <w:pPr>
        <w:pStyle w:val="ListParagraph"/>
        <w:widowControl/>
        <w:numPr>
          <w:ilvl w:val="1"/>
          <w:numId w:val="1"/>
        </w:numPr>
        <w:rPr>
          <w:rFonts w:cs="Calibri"/>
          <w:snapToGrid/>
          <w:szCs w:val="24"/>
          <w:lang w:eastAsia="en-AU"/>
        </w:rPr>
      </w:pPr>
      <w:r w:rsidRPr="00D8075A">
        <w:rPr>
          <w:rFonts w:cs="Calibri"/>
          <w:snapToGrid/>
          <w:szCs w:val="24"/>
          <w:lang w:eastAsia="en-AU"/>
        </w:rPr>
        <w:t>The submission described avelumab as superior in terms of effectiveness compared with chemotherapy and non-inferior in terms of sa</w:t>
      </w:r>
      <w:r w:rsidR="00F05D9E" w:rsidRPr="00D8075A">
        <w:rPr>
          <w:rFonts w:cs="Calibri"/>
          <w:snapToGrid/>
          <w:szCs w:val="24"/>
          <w:lang w:eastAsia="en-AU"/>
        </w:rPr>
        <w:t>fety compared to chemotherapy.</w:t>
      </w:r>
      <w:r w:rsidR="000B63E6" w:rsidRPr="00D8075A">
        <w:rPr>
          <w:rFonts w:cs="Calibri"/>
          <w:snapToGrid/>
          <w:szCs w:val="24"/>
          <w:lang w:eastAsia="en-AU"/>
        </w:rPr>
        <w:t xml:space="preserve"> </w:t>
      </w:r>
    </w:p>
    <w:p w:rsidR="00694239" w:rsidRPr="00D8075A" w:rsidRDefault="008E46FE" w:rsidP="00C3432B">
      <w:pPr>
        <w:pStyle w:val="ListParagraph"/>
        <w:widowControl/>
        <w:numPr>
          <w:ilvl w:val="1"/>
          <w:numId w:val="1"/>
        </w:numPr>
        <w:rPr>
          <w:rFonts w:cs="Calibri"/>
          <w:snapToGrid/>
          <w:szCs w:val="24"/>
          <w:lang w:eastAsia="en-AU"/>
        </w:rPr>
      </w:pPr>
      <w:r w:rsidRPr="00D8075A">
        <w:rPr>
          <w:rFonts w:cs="Calibri"/>
          <w:snapToGrid/>
          <w:szCs w:val="24"/>
          <w:lang w:eastAsia="en-AU"/>
        </w:rPr>
        <w:lastRenderedPageBreak/>
        <w:t>The ESC agreed that t</w:t>
      </w:r>
      <w:r w:rsidR="00694239" w:rsidRPr="00D8075A">
        <w:rPr>
          <w:rFonts w:cs="Calibri"/>
          <w:snapToGrid/>
          <w:szCs w:val="24"/>
          <w:lang w:eastAsia="en-AU"/>
        </w:rPr>
        <w:t>he therapeutic conclusion regarding efficacy presented in the submission is adequately supported by the evidence</w:t>
      </w:r>
      <w:r w:rsidRPr="00D8075A">
        <w:rPr>
          <w:rFonts w:cs="Calibri"/>
          <w:snapToGrid/>
          <w:szCs w:val="24"/>
          <w:lang w:eastAsia="en-AU"/>
        </w:rPr>
        <w:t>;</w:t>
      </w:r>
      <w:r w:rsidR="00694239" w:rsidRPr="00D8075A">
        <w:rPr>
          <w:rFonts w:cs="Calibri"/>
          <w:snapToGrid/>
          <w:szCs w:val="24"/>
          <w:lang w:eastAsia="en-AU"/>
        </w:rPr>
        <w:t xml:space="preserve"> </w:t>
      </w:r>
      <w:r w:rsidR="000B63E6" w:rsidRPr="00D8075A">
        <w:rPr>
          <w:rFonts w:cs="Calibri"/>
          <w:snapToGrid/>
          <w:szCs w:val="24"/>
          <w:lang w:eastAsia="en-AU"/>
        </w:rPr>
        <w:t>however</w:t>
      </w:r>
      <w:r w:rsidRPr="00D8075A">
        <w:rPr>
          <w:rFonts w:cs="Calibri"/>
          <w:snapToGrid/>
          <w:szCs w:val="24"/>
          <w:lang w:eastAsia="en-AU"/>
        </w:rPr>
        <w:t>,</w:t>
      </w:r>
      <w:r w:rsidR="000B63E6" w:rsidRPr="00D8075A">
        <w:rPr>
          <w:rFonts w:cs="Calibri"/>
          <w:snapToGrid/>
          <w:szCs w:val="24"/>
          <w:lang w:eastAsia="en-AU"/>
        </w:rPr>
        <w:t xml:space="preserve"> ESC </w:t>
      </w:r>
      <w:r w:rsidRPr="00D8075A">
        <w:rPr>
          <w:rFonts w:cs="Calibri"/>
          <w:snapToGrid/>
          <w:szCs w:val="24"/>
          <w:lang w:eastAsia="en-AU"/>
        </w:rPr>
        <w:t xml:space="preserve">also </w:t>
      </w:r>
      <w:r w:rsidR="000B63E6" w:rsidRPr="00D8075A">
        <w:rPr>
          <w:rFonts w:cs="Calibri"/>
          <w:snapToGrid/>
          <w:szCs w:val="24"/>
          <w:lang w:eastAsia="en-AU"/>
        </w:rPr>
        <w:t xml:space="preserve">considered that </w:t>
      </w:r>
      <w:r w:rsidR="00694239" w:rsidRPr="00D8075A">
        <w:rPr>
          <w:rFonts w:cs="Calibri"/>
          <w:snapToGrid/>
          <w:szCs w:val="24"/>
          <w:lang w:eastAsia="en-AU"/>
        </w:rPr>
        <w:t>the magnitude</w:t>
      </w:r>
      <w:r w:rsidR="000B63E6" w:rsidRPr="00D8075A">
        <w:rPr>
          <w:rFonts w:cs="Calibri"/>
          <w:snapToGrid/>
          <w:szCs w:val="24"/>
          <w:lang w:eastAsia="en-AU"/>
        </w:rPr>
        <w:t xml:space="preserve"> of th</w:t>
      </w:r>
      <w:r w:rsidR="00B456A5" w:rsidRPr="00D8075A">
        <w:rPr>
          <w:rFonts w:cs="Calibri"/>
          <w:snapToGrid/>
          <w:szCs w:val="24"/>
          <w:lang w:eastAsia="en-AU"/>
        </w:rPr>
        <w:t>e</w:t>
      </w:r>
      <w:r w:rsidR="000B63E6" w:rsidRPr="00D8075A">
        <w:rPr>
          <w:rFonts w:cs="Calibri"/>
          <w:snapToGrid/>
          <w:szCs w:val="24"/>
          <w:lang w:eastAsia="en-AU"/>
        </w:rPr>
        <w:t xml:space="preserve"> efficacy</w:t>
      </w:r>
      <w:r w:rsidR="00B456A5" w:rsidRPr="00D8075A">
        <w:rPr>
          <w:rFonts w:cs="Calibri"/>
          <w:snapToGrid/>
          <w:szCs w:val="24"/>
          <w:lang w:eastAsia="en-AU"/>
        </w:rPr>
        <w:t xml:space="preserve"> gain</w:t>
      </w:r>
      <w:r w:rsidR="00694239" w:rsidRPr="00D8075A">
        <w:rPr>
          <w:rFonts w:cs="Calibri"/>
          <w:snapToGrid/>
          <w:szCs w:val="24"/>
          <w:lang w:eastAsia="en-AU"/>
        </w:rPr>
        <w:t xml:space="preserve"> is uncertain. This is due to:</w:t>
      </w:r>
    </w:p>
    <w:p w:rsidR="00694239" w:rsidRPr="00D8075A" w:rsidRDefault="00694239" w:rsidP="00C3432B">
      <w:pPr>
        <w:pStyle w:val="ListParagraph"/>
        <w:widowControl/>
        <w:numPr>
          <w:ilvl w:val="1"/>
          <w:numId w:val="6"/>
        </w:numPr>
        <w:ind w:left="1134" w:hanging="425"/>
        <w:rPr>
          <w:rFonts w:cs="Calibri"/>
          <w:snapToGrid/>
          <w:szCs w:val="24"/>
          <w:lang w:eastAsia="en-AU"/>
        </w:rPr>
      </w:pPr>
      <w:r w:rsidRPr="00D8075A">
        <w:rPr>
          <w:rFonts w:cs="Calibri"/>
          <w:snapToGrid/>
          <w:szCs w:val="24"/>
          <w:lang w:eastAsia="en-AU"/>
        </w:rPr>
        <w:t>No head-to-head RCT w</w:t>
      </w:r>
      <w:r w:rsidR="001E3264" w:rsidRPr="00D8075A">
        <w:rPr>
          <w:rFonts w:cs="Calibri"/>
          <w:snapToGrid/>
          <w:szCs w:val="24"/>
          <w:lang w:eastAsia="en-AU"/>
        </w:rPr>
        <w:t>as</w:t>
      </w:r>
      <w:r w:rsidRPr="00D8075A">
        <w:rPr>
          <w:rFonts w:cs="Calibri"/>
          <w:snapToGrid/>
          <w:szCs w:val="24"/>
          <w:lang w:eastAsia="en-AU"/>
        </w:rPr>
        <w:t xml:space="preserve"> available.</w:t>
      </w:r>
      <w:r w:rsidR="00917D3A" w:rsidRPr="00D8075A">
        <w:rPr>
          <w:rFonts w:cs="Calibri"/>
          <w:snapToGrid/>
          <w:szCs w:val="24"/>
          <w:lang w:eastAsia="en-AU"/>
        </w:rPr>
        <w:t xml:space="preserve"> </w:t>
      </w:r>
    </w:p>
    <w:p w:rsidR="00694239" w:rsidRPr="00D8075A" w:rsidRDefault="00AD1D1D" w:rsidP="00C3432B">
      <w:pPr>
        <w:pStyle w:val="ListParagraph"/>
        <w:widowControl/>
        <w:numPr>
          <w:ilvl w:val="1"/>
          <w:numId w:val="6"/>
        </w:numPr>
        <w:ind w:left="1134" w:hanging="425"/>
        <w:rPr>
          <w:rFonts w:cs="Calibri"/>
          <w:snapToGrid/>
          <w:szCs w:val="24"/>
          <w:lang w:eastAsia="en-AU"/>
        </w:rPr>
      </w:pPr>
      <w:r w:rsidRPr="00D8075A">
        <w:rPr>
          <w:rFonts w:cs="Calibri"/>
          <w:snapToGrid/>
          <w:szCs w:val="24"/>
          <w:lang w:eastAsia="en-AU"/>
        </w:rPr>
        <w:t>There was no patient matching between these studies and the results may be biased due to observed and unobserved confounders. Consequently, t</w:t>
      </w:r>
      <w:r w:rsidR="001E3264" w:rsidRPr="00D8075A">
        <w:rPr>
          <w:rFonts w:cs="Calibri"/>
          <w:snapToGrid/>
          <w:szCs w:val="24"/>
          <w:lang w:eastAsia="en-AU"/>
        </w:rPr>
        <w:t>he risk of bias across the studies was considered to be high</w:t>
      </w:r>
      <w:r w:rsidR="00694239" w:rsidRPr="00D8075A">
        <w:rPr>
          <w:rFonts w:cs="Calibri"/>
          <w:snapToGrid/>
          <w:szCs w:val="24"/>
          <w:lang w:eastAsia="en-AU"/>
        </w:rPr>
        <w:t>.</w:t>
      </w:r>
    </w:p>
    <w:p w:rsidR="00AD1D1D" w:rsidRPr="00D8075A" w:rsidRDefault="00AD1D1D" w:rsidP="00C3432B">
      <w:pPr>
        <w:pStyle w:val="ListParagraph"/>
        <w:widowControl/>
        <w:numPr>
          <w:ilvl w:val="1"/>
          <w:numId w:val="6"/>
        </w:numPr>
        <w:ind w:left="1134" w:hanging="425"/>
        <w:rPr>
          <w:rFonts w:cs="Calibri"/>
          <w:snapToGrid/>
          <w:szCs w:val="24"/>
          <w:lang w:eastAsia="en-AU"/>
        </w:rPr>
      </w:pPr>
      <w:r w:rsidRPr="00D8075A">
        <w:rPr>
          <w:rFonts w:cs="Calibri"/>
          <w:snapToGrid/>
          <w:szCs w:val="24"/>
          <w:lang w:eastAsia="en-AU"/>
        </w:rPr>
        <w:t>The sample sizes in the studies were low.</w:t>
      </w:r>
    </w:p>
    <w:p w:rsidR="00694239" w:rsidRPr="00D8075A" w:rsidRDefault="00694239" w:rsidP="00C3432B">
      <w:pPr>
        <w:pStyle w:val="ListParagraph"/>
        <w:widowControl/>
        <w:numPr>
          <w:ilvl w:val="1"/>
          <w:numId w:val="6"/>
        </w:numPr>
        <w:ind w:left="1134" w:hanging="425"/>
        <w:rPr>
          <w:rFonts w:cs="Calibri"/>
          <w:snapToGrid/>
          <w:szCs w:val="24"/>
          <w:lang w:eastAsia="en-AU"/>
        </w:rPr>
      </w:pPr>
      <w:r w:rsidRPr="00D8075A">
        <w:rPr>
          <w:rFonts w:cs="Calibri"/>
          <w:snapToGrid/>
          <w:szCs w:val="24"/>
          <w:lang w:eastAsia="en-AU"/>
        </w:rPr>
        <w:t xml:space="preserve">The </w:t>
      </w:r>
      <w:r w:rsidR="009751E4" w:rsidRPr="00D8075A">
        <w:rPr>
          <w:rFonts w:cs="Calibri"/>
          <w:snapToGrid/>
          <w:szCs w:val="24"/>
          <w:lang w:eastAsia="en-AU"/>
        </w:rPr>
        <w:t>OS</w:t>
      </w:r>
      <w:r w:rsidRPr="00D8075A">
        <w:rPr>
          <w:rFonts w:cs="Calibri"/>
          <w:snapToGrid/>
          <w:szCs w:val="24"/>
          <w:lang w:eastAsia="en-AU"/>
        </w:rPr>
        <w:t xml:space="preserve"> data in the </w:t>
      </w:r>
      <w:r w:rsidR="00A51F00" w:rsidRPr="00D8075A">
        <w:rPr>
          <w:rFonts w:cs="Calibri"/>
          <w:snapToGrid/>
          <w:szCs w:val="24"/>
          <w:lang w:eastAsia="en-AU"/>
        </w:rPr>
        <w:t>second-line</w:t>
      </w:r>
      <w:r w:rsidRPr="00D8075A">
        <w:rPr>
          <w:rFonts w:cs="Calibri"/>
          <w:snapToGrid/>
          <w:szCs w:val="24"/>
          <w:lang w:eastAsia="en-AU"/>
        </w:rPr>
        <w:t xml:space="preserve"> setting </w:t>
      </w:r>
      <w:r w:rsidR="001E3264" w:rsidRPr="00D8075A">
        <w:rPr>
          <w:rFonts w:cs="Calibri"/>
          <w:snapToGrid/>
          <w:szCs w:val="24"/>
          <w:lang w:eastAsia="en-AU"/>
        </w:rPr>
        <w:t>were</w:t>
      </w:r>
      <w:r w:rsidRPr="00D8075A">
        <w:rPr>
          <w:rFonts w:cs="Calibri"/>
          <w:snapToGrid/>
          <w:szCs w:val="24"/>
          <w:lang w:eastAsia="en-AU"/>
        </w:rPr>
        <w:t xml:space="preserve"> immature.</w:t>
      </w:r>
      <w:r w:rsidR="00237D50" w:rsidRPr="00D8075A">
        <w:rPr>
          <w:rFonts w:cs="Calibri"/>
          <w:snapToGrid/>
          <w:szCs w:val="24"/>
          <w:lang w:eastAsia="en-AU"/>
        </w:rPr>
        <w:t xml:space="preserve"> At 18 months 61</w:t>
      </w:r>
      <w:r w:rsidR="009554B5" w:rsidRPr="00D8075A">
        <w:rPr>
          <w:rFonts w:cs="Calibri"/>
          <w:snapToGrid/>
          <w:szCs w:val="24"/>
          <w:lang w:eastAsia="en-AU"/>
        </w:rPr>
        <w:t>% of patients had died.</w:t>
      </w:r>
      <w:r w:rsidR="00E20101" w:rsidRPr="00D8075A">
        <w:rPr>
          <w:rFonts w:cs="Calibri"/>
          <w:snapToGrid/>
          <w:szCs w:val="24"/>
          <w:lang w:eastAsia="en-AU"/>
        </w:rPr>
        <w:t xml:space="preserve"> </w:t>
      </w:r>
      <w:r w:rsidR="00E20101" w:rsidRPr="00D8075A">
        <w:t>The PSCR provided data at 24 months where 63.6% patients had died, with a median OS of 12.6 months (95% CI: 7.5, 17.1).</w:t>
      </w:r>
      <w:r w:rsidR="00B36AC6" w:rsidRPr="00D8075A">
        <w:t xml:space="preserve"> The PSCR </w:t>
      </w:r>
      <w:r w:rsidR="00444314" w:rsidRPr="00D8075A">
        <w:t xml:space="preserve">noted </w:t>
      </w:r>
      <w:r w:rsidR="00B36AC6" w:rsidRPr="00D8075A">
        <w:t>that only two additional patients had died between the 18 month data cut-off and 24 month data cut-off, and</w:t>
      </w:r>
      <w:r w:rsidR="00444314" w:rsidRPr="00D8075A">
        <w:t xml:space="preserve"> argued</w:t>
      </w:r>
      <w:r w:rsidR="00B36AC6" w:rsidRPr="00D8075A">
        <w:t xml:space="preserve"> that this was evidence that OS in the second-line and later population was stable. </w:t>
      </w:r>
      <w:r w:rsidR="00B456A5" w:rsidRPr="00D8075A">
        <w:t xml:space="preserve">The </w:t>
      </w:r>
      <w:r w:rsidR="008E46FE" w:rsidRPr="00D8075A">
        <w:t xml:space="preserve">ESC noted that </w:t>
      </w:r>
      <w:r w:rsidR="00B456A5" w:rsidRPr="00D8075A">
        <w:t xml:space="preserve">longer follow-up is required for </w:t>
      </w:r>
      <w:r w:rsidR="008E46FE" w:rsidRPr="00D8075A">
        <w:t>t</w:t>
      </w:r>
      <w:r w:rsidR="00B36AC6" w:rsidRPr="00D8075A">
        <w:t xml:space="preserve">he estimate of OS </w:t>
      </w:r>
      <w:r w:rsidR="00B456A5" w:rsidRPr="00D8075A">
        <w:t>to be more reliable</w:t>
      </w:r>
      <w:r w:rsidR="00B36AC6" w:rsidRPr="00D8075A">
        <w:t>.</w:t>
      </w:r>
      <w:r w:rsidR="00DC75EF" w:rsidRPr="00D8075A">
        <w:t xml:space="preserve"> </w:t>
      </w:r>
      <w:r w:rsidR="00324421" w:rsidRPr="00D8075A">
        <w:t>The pre-PBAC response argued that a maximum follow-up of more than 36 months in a condition that the TGA noted has no established therapies and a life expectancy of less than 6 moths could be considered long-term data.</w:t>
      </w:r>
      <w:r w:rsidR="00C25E80" w:rsidRPr="00D8075A">
        <w:t xml:space="preserve"> </w:t>
      </w:r>
    </w:p>
    <w:p w:rsidR="00694239" w:rsidRPr="00D8075A" w:rsidRDefault="001E3264" w:rsidP="00C3432B">
      <w:pPr>
        <w:pStyle w:val="ListParagraph"/>
        <w:widowControl/>
        <w:numPr>
          <w:ilvl w:val="1"/>
          <w:numId w:val="6"/>
        </w:numPr>
        <w:ind w:left="1134" w:hanging="425"/>
        <w:rPr>
          <w:rFonts w:cs="Calibri"/>
          <w:snapToGrid/>
          <w:szCs w:val="24"/>
          <w:lang w:eastAsia="en-AU"/>
        </w:rPr>
      </w:pPr>
      <w:r w:rsidRPr="00D8075A">
        <w:rPr>
          <w:rFonts w:cs="Calibri"/>
          <w:snapToGrid/>
          <w:szCs w:val="24"/>
          <w:lang w:eastAsia="en-AU"/>
        </w:rPr>
        <w:t>Efficacy</w:t>
      </w:r>
      <w:r w:rsidR="00444314" w:rsidRPr="00D8075A">
        <w:rPr>
          <w:rFonts w:cs="Calibri"/>
          <w:snapToGrid/>
          <w:szCs w:val="24"/>
          <w:lang w:eastAsia="en-AU"/>
        </w:rPr>
        <w:t xml:space="preserve"> data from the JAVELIN Merkel 200 study</w:t>
      </w:r>
      <w:r w:rsidRPr="00D8075A">
        <w:rPr>
          <w:rFonts w:cs="Calibri"/>
          <w:snapToGrid/>
          <w:szCs w:val="24"/>
          <w:lang w:eastAsia="en-AU"/>
        </w:rPr>
        <w:t xml:space="preserve"> in the </w:t>
      </w:r>
      <w:r w:rsidR="00694239" w:rsidRPr="00D8075A">
        <w:rPr>
          <w:rFonts w:cs="Calibri"/>
          <w:snapToGrid/>
          <w:szCs w:val="24"/>
          <w:lang w:eastAsia="en-AU"/>
        </w:rPr>
        <w:t xml:space="preserve">first-line </w:t>
      </w:r>
      <w:r w:rsidRPr="00D8075A">
        <w:rPr>
          <w:rFonts w:cs="Calibri"/>
          <w:snapToGrid/>
          <w:szCs w:val="24"/>
          <w:lang w:eastAsia="en-AU"/>
        </w:rPr>
        <w:t>setting</w:t>
      </w:r>
      <w:r w:rsidR="00694239" w:rsidRPr="00D8075A">
        <w:rPr>
          <w:rFonts w:cs="Calibri"/>
          <w:snapToGrid/>
          <w:szCs w:val="24"/>
          <w:lang w:eastAsia="en-AU"/>
        </w:rPr>
        <w:t xml:space="preserve"> </w:t>
      </w:r>
      <w:r w:rsidRPr="00D8075A">
        <w:rPr>
          <w:rFonts w:cs="Calibri"/>
          <w:snapToGrid/>
          <w:szCs w:val="24"/>
          <w:lang w:eastAsia="en-AU"/>
        </w:rPr>
        <w:t>were</w:t>
      </w:r>
      <w:r w:rsidR="00694239" w:rsidRPr="00D8075A">
        <w:rPr>
          <w:rFonts w:cs="Calibri"/>
          <w:snapToGrid/>
          <w:szCs w:val="24"/>
          <w:lang w:eastAsia="en-AU"/>
        </w:rPr>
        <w:t xml:space="preserve"> immature.</w:t>
      </w:r>
      <w:r w:rsidR="009554B5" w:rsidRPr="00D8075A">
        <w:rPr>
          <w:rFonts w:cs="Calibri"/>
          <w:snapToGrid/>
          <w:szCs w:val="24"/>
          <w:lang w:eastAsia="en-AU"/>
        </w:rPr>
        <w:t xml:space="preserve"> At 3 months 11% of patients had died.</w:t>
      </w:r>
      <w:r w:rsidR="00B24C33" w:rsidRPr="00D8075A">
        <w:rPr>
          <w:rFonts w:cs="Calibri"/>
          <w:snapToGrid/>
          <w:szCs w:val="24"/>
          <w:lang w:eastAsia="en-AU"/>
        </w:rPr>
        <w:t xml:space="preserve"> </w:t>
      </w:r>
      <w:r w:rsidR="00CE6479" w:rsidRPr="00D8075A">
        <w:rPr>
          <w:rFonts w:cs="Calibri"/>
          <w:snapToGrid/>
          <w:szCs w:val="24"/>
          <w:lang w:eastAsia="en-AU"/>
        </w:rPr>
        <w:t xml:space="preserve">In the pre-PBAC </w:t>
      </w:r>
      <w:proofErr w:type="gramStart"/>
      <w:r w:rsidR="00CE6479" w:rsidRPr="00D8075A">
        <w:rPr>
          <w:rFonts w:cs="Calibri"/>
          <w:snapToGrid/>
          <w:szCs w:val="24"/>
          <w:lang w:eastAsia="en-AU"/>
        </w:rPr>
        <w:t>response  the</w:t>
      </w:r>
      <w:proofErr w:type="gramEnd"/>
      <w:r w:rsidR="00CE6479" w:rsidRPr="00D8075A">
        <w:rPr>
          <w:rFonts w:cs="Calibri"/>
          <w:snapToGrid/>
          <w:szCs w:val="24"/>
          <w:lang w:eastAsia="en-AU"/>
        </w:rPr>
        <w:t xml:space="preserve"> sponsor agreed that the data in first line is emerging, but reiterated that the data currently available suggest avelumab may provide greater benefit in the first line setting than in the second line setting. </w:t>
      </w:r>
      <w:r w:rsidR="00BC007E" w:rsidRPr="00D8075A">
        <w:rPr>
          <w:rFonts w:cs="Calibri"/>
          <w:snapToGrid/>
          <w:szCs w:val="24"/>
          <w:lang w:eastAsia="en-AU"/>
        </w:rPr>
        <w:t xml:space="preserve">The PBAC noted that the </w:t>
      </w:r>
      <w:r w:rsidR="00CE6479" w:rsidRPr="00D8075A">
        <w:rPr>
          <w:rFonts w:cs="Calibri"/>
          <w:snapToGrid/>
          <w:szCs w:val="24"/>
          <w:lang w:eastAsia="en-AU"/>
        </w:rPr>
        <w:t xml:space="preserve">sponsor </w:t>
      </w:r>
      <w:r w:rsidR="00BC007E" w:rsidRPr="00D8075A">
        <w:rPr>
          <w:rFonts w:cs="Calibri"/>
          <w:snapToGrid/>
          <w:szCs w:val="24"/>
          <w:lang w:eastAsia="en-AU"/>
        </w:rPr>
        <w:t xml:space="preserve">is </w:t>
      </w:r>
      <w:r w:rsidR="00CE6479" w:rsidRPr="00D8075A">
        <w:rPr>
          <w:rFonts w:cs="Calibri"/>
          <w:snapToGrid/>
          <w:szCs w:val="24"/>
          <w:lang w:eastAsia="en-AU"/>
        </w:rPr>
        <w:t xml:space="preserve">committed to providing ongoing </w:t>
      </w:r>
      <w:r w:rsidR="00BC007E" w:rsidRPr="00D8075A">
        <w:rPr>
          <w:rFonts w:cs="Calibri"/>
          <w:snapToGrid/>
          <w:szCs w:val="24"/>
          <w:lang w:eastAsia="en-AU"/>
        </w:rPr>
        <w:t xml:space="preserve">efficacy and safety </w:t>
      </w:r>
      <w:r w:rsidR="00CE6479" w:rsidRPr="00D8075A">
        <w:rPr>
          <w:rFonts w:cs="Calibri"/>
          <w:snapToGrid/>
          <w:szCs w:val="24"/>
          <w:lang w:eastAsia="en-AU"/>
        </w:rPr>
        <w:t>data</w:t>
      </w:r>
      <w:r w:rsidR="00BC007E" w:rsidRPr="00D8075A">
        <w:rPr>
          <w:rFonts w:cs="Calibri"/>
          <w:snapToGrid/>
          <w:szCs w:val="24"/>
          <w:lang w:eastAsia="en-AU"/>
        </w:rPr>
        <w:t>. The PBAC considered that these data should be provided to the PBAC</w:t>
      </w:r>
      <w:r w:rsidR="00CE6479" w:rsidRPr="00D8075A">
        <w:rPr>
          <w:rFonts w:cs="Calibri"/>
          <w:snapToGrid/>
          <w:szCs w:val="24"/>
          <w:lang w:eastAsia="en-AU"/>
        </w:rPr>
        <w:t xml:space="preserve"> when available.</w:t>
      </w:r>
    </w:p>
    <w:p w:rsidR="00694239" w:rsidRPr="00D8075A" w:rsidRDefault="00694239" w:rsidP="00C3432B">
      <w:pPr>
        <w:pStyle w:val="ListParagraph"/>
        <w:widowControl/>
        <w:numPr>
          <w:ilvl w:val="1"/>
          <w:numId w:val="1"/>
        </w:numPr>
        <w:rPr>
          <w:rFonts w:cs="Calibri"/>
          <w:snapToGrid/>
          <w:szCs w:val="24"/>
          <w:lang w:eastAsia="en-AU"/>
        </w:rPr>
      </w:pPr>
      <w:r w:rsidRPr="00D8075A">
        <w:rPr>
          <w:rFonts w:cs="Calibri"/>
          <w:snapToGrid/>
          <w:szCs w:val="24"/>
          <w:lang w:eastAsia="en-AU"/>
        </w:rPr>
        <w:t xml:space="preserve">It is possible that the safety profile of avelumab is superior to that of chemotherapy, however this remains uncertain </w:t>
      </w:r>
      <w:r w:rsidR="00B456A5" w:rsidRPr="00D8075A">
        <w:rPr>
          <w:rFonts w:cs="Calibri"/>
          <w:snapToGrid/>
          <w:szCs w:val="24"/>
          <w:lang w:eastAsia="en-AU"/>
        </w:rPr>
        <w:t>given a formal comparison was not possible</w:t>
      </w:r>
      <w:r w:rsidRPr="00D8075A">
        <w:rPr>
          <w:rFonts w:cs="Calibri"/>
          <w:snapToGrid/>
          <w:szCs w:val="24"/>
          <w:lang w:eastAsia="en-AU"/>
        </w:rPr>
        <w:t>.</w:t>
      </w:r>
      <w:r w:rsidR="0027200C" w:rsidRPr="00D8075A">
        <w:rPr>
          <w:rFonts w:cs="Calibri"/>
          <w:snapToGrid/>
          <w:szCs w:val="24"/>
          <w:lang w:eastAsia="en-AU"/>
        </w:rPr>
        <w:t xml:space="preserve"> </w:t>
      </w:r>
      <w:r w:rsidR="009E33A8" w:rsidRPr="00D8075A">
        <w:t xml:space="preserve">The PSCR stated that while a formal assessment of the comparative safety was not possible; the TGA Delegate’s Overview considered that for most patients (especially the elderly with comorbid conditions), avelumab is probably more tolerable than platinum-based chemotherapy. </w:t>
      </w:r>
    </w:p>
    <w:p w:rsidR="004C4156" w:rsidRPr="00D8075A" w:rsidRDefault="003B72AF" w:rsidP="00C3432B">
      <w:pPr>
        <w:pStyle w:val="ListParagraph"/>
        <w:widowControl/>
        <w:numPr>
          <w:ilvl w:val="1"/>
          <w:numId w:val="1"/>
        </w:numPr>
        <w:spacing w:after="120"/>
        <w:rPr>
          <w:rFonts w:asciiTheme="minorHAnsi" w:hAnsiTheme="minorHAnsi"/>
          <w:szCs w:val="20"/>
        </w:rPr>
      </w:pPr>
      <w:r w:rsidRPr="00D8075A">
        <w:rPr>
          <w:rFonts w:asciiTheme="minorHAnsi" w:hAnsiTheme="minorHAnsi"/>
          <w:szCs w:val="20"/>
        </w:rPr>
        <w:t xml:space="preserve">The PBAC considered that the claim of superior comparative effectiveness was reasonable. </w:t>
      </w:r>
    </w:p>
    <w:p w:rsidR="003847EE" w:rsidRPr="00D8075A" w:rsidRDefault="003847EE" w:rsidP="00150D6B">
      <w:pPr>
        <w:pStyle w:val="ListParagraph"/>
        <w:widowControl/>
        <w:numPr>
          <w:ilvl w:val="1"/>
          <w:numId w:val="1"/>
        </w:numPr>
        <w:spacing w:after="120"/>
        <w:rPr>
          <w:rFonts w:asciiTheme="minorHAnsi" w:hAnsiTheme="minorHAnsi"/>
          <w:szCs w:val="20"/>
        </w:rPr>
      </w:pPr>
      <w:r w:rsidRPr="00D8075A">
        <w:rPr>
          <w:rFonts w:asciiTheme="minorHAnsi" w:hAnsiTheme="minorHAnsi"/>
          <w:szCs w:val="20"/>
        </w:rPr>
        <w:t xml:space="preserve">The PBAC considered that the claim of non-inferior comparative safety between avelumab and chemotherapy was </w:t>
      </w:r>
      <w:r w:rsidR="00A96AD9" w:rsidRPr="00D8075A">
        <w:rPr>
          <w:rFonts w:asciiTheme="minorHAnsi" w:hAnsiTheme="minorHAnsi"/>
          <w:szCs w:val="20"/>
        </w:rPr>
        <w:t xml:space="preserve">likely to be </w:t>
      </w:r>
      <w:r w:rsidRPr="00D8075A">
        <w:rPr>
          <w:rFonts w:asciiTheme="minorHAnsi" w:hAnsiTheme="minorHAnsi"/>
          <w:szCs w:val="20"/>
        </w:rPr>
        <w:t xml:space="preserve">reasonable given the </w:t>
      </w:r>
      <w:r w:rsidR="0055278B" w:rsidRPr="00D8075A">
        <w:rPr>
          <w:rFonts w:asciiTheme="minorHAnsi" w:hAnsiTheme="minorHAnsi"/>
          <w:szCs w:val="20"/>
        </w:rPr>
        <w:t>different mechanisms of action</w:t>
      </w:r>
      <w:r w:rsidR="00D01CDB" w:rsidRPr="00D8075A">
        <w:rPr>
          <w:rFonts w:asciiTheme="minorHAnsi" w:hAnsiTheme="minorHAnsi"/>
          <w:szCs w:val="20"/>
        </w:rPr>
        <w:t xml:space="preserve"> and</w:t>
      </w:r>
      <w:r w:rsidR="003434F3" w:rsidRPr="00D8075A">
        <w:rPr>
          <w:rFonts w:asciiTheme="minorHAnsi" w:hAnsiTheme="minorHAnsi"/>
          <w:szCs w:val="20"/>
        </w:rPr>
        <w:t xml:space="preserve"> noted this was consistent with</w:t>
      </w:r>
      <w:r w:rsidR="00D01CDB" w:rsidRPr="00D8075A">
        <w:rPr>
          <w:rFonts w:asciiTheme="minorHAnsi" w:hAnsiTheme="minorHAnsi"/>
          <w:szCs w:val="20"/>
        </w:rPr>
        <w:t xml:space="preserve"> the TGA Delegate’s view</w:t>
      </w:r>
      <w:r w:rsidRPr="00D8075A">
        <w:rPr>
          <w:rFonts w:asciiTheme="minorHAnsi" w:hAnsiTheme="minorHAnsi"/>
          <w:szCs w:val="20"/>
        </w:rPr>
        <w:t>.</w:t>
      </w:r>
    </w:p>
    <w:p w:rsidR="00694239" w:rsidRPr="00D8075A" w:rsidRDefault="00694239" w:rsidP="00694239">
      <w:pPr>
        <w:keepNext/>
        <w:keepLines/>
        <w:widowControl/>
        <w:spacing w:before="240" w:after="120"/>
        <w:jc w:val="left"/>
        <w:outlineLvl w:val="1"/>
        <w:rPr>
          <w:rFonts w:asciiTheme="minorHAnsi" w:eastAsiaTheme="majorEastAsia" w:hAnsiTheme="minorHAnsi" w:cstheme="majorBidi"/>
          <w:b/>
          <w:i/>
          <w:snapToGrid/>
          <w:sz w:val="28"/>
          <w:szCs w:val="28"/>
        </w:rPr>
      </w:pPr>
      <w:bookmarkStart w:id="15" w:name="_Toc492274927"/>
      <w:r w:rsidRPr="00D8075A">
        <w:rPr>
          <w:rFonts w:asciiTheme="minorHAnsi" w:eastAsiaTheme="majorEastAsia" w:hAnsiTheme="minorHAnsi" w:cstheme="majorBidi"/>
          <w:b/>
          <w:i/>
          <w:snapToGrid/>
          <w:sz w:val="28"/>
          <w:szCs w:val="28"/>
        </w:rPr>
        <w:lastRenderedPageBreak/>
        <w:t>Economic analysis</w:t>
      </w:r>
      <w:bookmarkEnd w:id="15"/>
    </w:p>
    <w:p w:rsidR="00694239" w:rsidRPr="00D8075A" w:rsidRDefault="00694239" w:rsidP="00C3432B">
      <w:pPr>
        <w:pStyle w:val="ListParagraph"/>
        <w:widowControl/>
        <w:numPr>
          <w:ilvl w:val="1"/>
          <w:numId w:val="1"/>
        </w:numPr>
        <w:rPr>
          <w:rFonts w:asciiTheme="minorHAnsi" w:eastAsiaTheme="minorHAnsi" w:hAnsiTheme="minorHAnsi" w:cstheme="minorBidi"/>
          <w:snapToGrid/>
          <w:color w:val="000000" w:themeColor="text1"/>
        </w:rPr>
      </w:pPr>
      <w:r w:rsidRPr="00D8075A">
        <w:rPr>
          <w:rFonts w:asciiTheme="minorHAnsi" w:eastAsiaTheme="minorHAnsi" w:hAnsiTheme="minorHAnsi" w:cstheme="minorBidi"/>
          <w:snapToGrid/>
          <w:color w:val="000000" w:themeColor="text1"/>
        </w:rPr>
        <w:t xml:space="preserve">The submission presented </w:t>
      </w:r>
      <w:proofErr w:type="gramStart"/>
      <w:r w:rsidRPr="00D8075A">
        <w:rPr>
          <w:rFonts w:asciiTheme="minorHAnsi" w:eastAsiaTheme="minorHAnsi" w:hAnsiTheme="minorHAnsi" w:cstheme="minorBidi"/>
          <w:snapToGrid/>
          <w:color w:val="000000" w:themeColor="text1"/>
        </w:rPr>
        <w:t>a cost</w:t>
      </w:r>
      <w:proofErr w:type="gramEnd"/>
      <w:r w:rsidRPr="00D8075A">
        <w:rPr>
          <w:rFonts w:asciiTheme="minorHAnsi" w:eastAsiaTheme="minorHAnsi" w:hAnsiTheme="minorHAnsi" w:cstheme="minorBidi"/>
          <w:snapToGrid/>
          <w:color w:val="000000" w:themeColor="text1"/>
        </w:rPr>
        <w:t>-effectiveness and cost-utility analysis to estimate the cost-effectiveness of avelumab, with the incremental cost per quality adjusted life year (QALY) gained as the main outcome of the evaluation.</w:t>
      </w:r>
    </w:p>
    <w:p w:rsidR="00694239" w:rsidRPr="00D8075A" w:rsidRDefault="00694239" w:rsidP="00C3432B">
      <w:pPr>
        <w:pStyle w:val="ListParagraph"/>
        <w:widowControl/>
        <w:numPr>
          <w:ilvl w:val="1"/>
          <w:numId w:val="1"/>
        </w:numPr>
        <w:rPr>
          <w:rFonts w:asciiTheme="minorHAnsi" w:eastAsiaTheme="minorHAnsi" w:hAnsiTheme="minorHAnsi" w:cstheme="minorBidi"/>
          <w:snapToGrid/>
          <w:color w:val="000000" w:themeColor="text1"/>
        </w:rPr>
      </w:pPr>
      <w:r w:rsidRPr="00D8075A">
        <w:rPr>
          <w:rFonts w:asciiTheme="minorHAnsi" w:eastAsiaTheme="minorHAnsi" w:hAnsiTheme="minorHAnsi" w:cstheme="minorBidi"/>
          <w:snapToGrid/>
          <w:color w:val="000000" w:themeColor="text1"/>
        </w:rPr>
        <w:t xml:space="preserve">The </w:t>
      </w:r>
      <w:proofErr w:type="gramStart"/>
      <w:r w:rsidRPr="00D8075A">
        <w:rPr>
          <w:rFonts w:asciiTheme="minorHAnsi" w:eastAsiaTheme="minorHAnsi" w:hAnsiTheme="minorHAnsi" w:cstheme="minorBidi"/>
          <w:snapToGrid/>
          <w:color w:val="000000" w:themeColor="text1"/>
        </w:rPr>
        <w:t>submission fitted parametric functions to the observed data from</w:t>
      </w:r>
      <w:r w:rsidR="00B82B3A" w:rsidRPr="00D8075A">
        <w:rPr>
          <w:rFonts w:asciiTheme="minorHAnsi" w:eastAsiaTheme="minorHAnsi" w:hAnsiTheme="minorHAnsi" w:cstheme="minorBidi"/>
          <w:snapToGrid/>
          <w:color w:val="000000" w:themeColor="text1"/>
        </w:rPr>
        <w:t xml:space="preserve"> the</w:t>
      </w:r>
      <w:r w:rsidRPr="00D8075A">
        <w:rPr>
          <w:rFonts w:asciiTheme="minorHAnsi" w:eastAsiaTheme="minorHAnsi" w:hAnsiTheme="minorHAnsi" w:cstheme="minorBidi"/>
          <w:snapToGrid/>
          <w:color w:val="000000" w:themeColor="text1"/>
        </w:rPr>
        <w:t xml:space="preserve"> JAVELIN Merkel (Part A) </w:t>
      </w:r>
      <w:r w:rsidR="00446210" w:rsidRPr="00D8075A">
        <w:rPr>
          <w:rFonts w:asciiTheme="minorHAnsi" w:eastAsiaTheme="minorHAnsi" w:hAnsiTheme="minorHAnsi" w:cstheme="minorBidi"/>
          <w:snapToGrid/>
          <w:color w:val="000000" w:themeColor="text1"/>
        </w:rPr>
        <w:t>study</w:t>
      </w:r>
      <w:r w:rsidRPr="00D8075A">
        <w:rPr>
          <w:rFonts w:asciiTheme="minorHAnsi" w:eastAsiaTheme="minorHAnsi" w:hAnsiTheme="minorHAnsi" w:cstheme="minorBidi"/>
          <w:snapToGrid/>
          <w:color w:val="000000" w:themeColor="text1"/>
        </w:rPr>
        <w:t xml:space="preserve"> and Study Obs001 to model and extrapolate</w:t>
      </w:r>
      <w:proofErr w:type="gramEnd"/>
      <w:r w:rsidRPr="00D8075A">
        <w:rPr>
          <w:rFonts w:asciiTheme="minorHAnsi" w:eastAsiaTheme="minorHAnsi" w:hAnsiTheme="minorHAnsi" w:cstheme="minorBidi"/>
          <w:snapToGrid/>
          <w:color w:val="000000" w:themeColor="text1"/>
        </w:rPr>
        <w:t xml:space="preserve"> beyond </w:t>
      </w:r>
      <w:r w:rsidR="00446210" w:rsidRPr="00D8075A">
        <w:rPr>
          <w:rFonts w:asciiTheme="minorHAnsi" w:eastAsiaTheme="minorHAnsi" w:hAnsiTheme="minorHAnsi" w:cstheme="minorBidi"/>
          <w:snapToGrid/>
          <w:color w:val="000000" w:themeColor="text1"/>
        </w:rPr>
        <w:t>study</w:t>
      </w:r>
      <w:r w:rsidRPr="00D8075A">
        <w:rPr>
          <w:rFonts w:asciiTheme="minorHAnsi" w:eastAsiaTheme="minorHAnsi" w:hAnsiTheme="minorHAnsi" w:cstheme="minorBidi"/>
          <w:snapToGrid/>
          <w:color w:val="000000" w:themeColor="text1"/>
        </w:rPr>
        <w:t xml:space="preserve"> follow-up</w:t>
      </w:r>
      <w:r w:rsidR="00F91D77" w:rsidRPr="00D8075A">
        <w:rPr>
          <w:rFonts w:asciiTheme="minorHAnsi" w:eastAsiaTheme="minorHAnsi" w:hAnsiTheme="minorHAnsi" w:cstheme="minorBidi"/>
          <w:snapToGrid/>
          <w:color w:val="000000" w:themeColor="text1"/>
        </w:rPr>
        <w:t>. This was used to</w:t>
      </w:r>
      <w:r w:rsidRPr="00D8075A">
        <w:rPr>
          <w:rFonts w:asciiTheme="minorHAnsi" w:eastAsiaTheme="minorHAnsi" w:hAnsiTheme="minorHAnsi" w:cstheme="minorBidi"/>
          <w:snapToGrid/>
          <w:color w:val="000000" w:themeColor="text1"/>
        </w:rPr>
        <w:t xml:space="preserve"> estimate the costs and benefits of treatment in avelumab and chemotherapy regimens in the model.</w:t>
      </w:r>
    </w:p>
    <w:p w:rsidR="00694239" w:rsidRPr="00D8075A" w:rsidRDefault="00694239" w:rsidP="00C3432B">
      <w:pPr>
        <w:pStyle w:val="ListParagraph"/>
        <w:widowControl/>
        <w:numPr>
          <w:ilvl w:val="1"/>
          <w:numId w:val="1"/>
        </w:numPr>
        <w:rPr>
          <w:rFonts w:asciiTheme="minorHAnsi" w:eastAsiaTheme="minorHAnsi" w:hAnsiTheme="minorHAnsi" w:cstheme="minorBidi"/>
          <w:snapToGrid/>
          <w:color w:val="000000" w:themeColor="text1"/>
        </w:rPr>
      </w:pPr>
      <w:r w:rsidRPr="00D8075A">
        <w:rPr>
          <w:rFonts w:asciiTheme="minorHAnsi" w:eastAsiaTheme="minorHAnsi" w:hAnsiTheme="minorHAnsi" w:cstheme="minorBidi"/>
          <w:snapToGrid/>
          <w:color w:val="000000" w:themeColor="text1"/>
        </w:rPr>
        <w:t xml:space="preserve">A summary of the model, key drivers and results of the stepped evaluation is provided in Table </w:t>
      </w:r>
      <w:r w:rsidR="00E868D2" w:rsidRPr="00D8075A">
        <w:rPr>
          <w:rFonts w:asciiTheme="minorHAnsi" w:eastAsiaTheme="minorHAnsi" w:hAnsiTheme="minorHAnsi" w:cstheme="minorBidi"/>
          <w:snapToGrid/>
          <w:color w:val="000000" w:themeColor="text1"/>
        </w:rPr>
        <w:t xml:space="preserve">8 </w:t>
      </w:r>
      <w:r w:rsidRPr="00D8075A">
        <w:rPr>
          <w:rFonts w:asciiTheme="minorHAnsi" w:eastAsiaTheme="minorHAnsi" w:hAnsiTheme="minorHAnsi" w:cstheme="minorBidi"/>
          <w:snapToGrid/>
          <w:color w:val="000000" w:themeColor="text1"/>
        </w:rPr>
        <w:t xml:space="preserve">to Table </w:t>
      </w:r>
      <w:r w:rsidR="00E868D2" w:rsidRPr="00D8075A">
        <w:rPr>
          <w:rFonts w:asciiTheme="minorHAnsi" w:eastAsiaTheme="minorHAnsi" w:hAnsiTheme="minorHAnsi" w:cstheme="minorBidi"/>
          <w:snapToGrid/>
          <w:color w:val="000000" w:themeColor="text1"/>
        </w:rPr>
        <w:t>1</w:t>
      </w:r>
      <w:r w:rsidR="000D1DE0" w:rsidRPr="00D8075A">
        <w:rPr>
          <w:rFonts w:asciiTheme="minorHAnsi" w:eastAsiaTheme="minorHAnsi" w:hAnsiTheme="minorHAnsi" w:cstheme="minorBidi"/>
          <w:snapToGrid/>
          <w:color w:val="000000" w:themeColor="text1"/>
        </w:rPr>
        <w:t>0</w:t>
      </w:r>
      <w:r w:rsidRPr="00D8075A">
        <w:rPr>
          <w:rFonts w:asciiTheme="minorHAnsi" w:eastAsiaTheme="minorHAnsi" w:hAnsiTheme="minorHAnsi" w:cstheme="minorBidi"/>
          <w:snapToGrid/>
          <w:color w:val="000000" w:themeColor="text1"/>
        </w:rPr>
        <w:t>.</w:t>
      </w:r>
    </w:p>
    <w:p w:rsidR="00694239" w:rsidRPr="00D8075A" w:rsidRDefault="00694239" w:rsidP="00694239">
      <w:pPr>
        <w:keepNext/>
        <w:widowControl/>
        <w:jc w:val="left"/>
        <w:rPr>
          <w:rFonts w:ascii="Arial Narrow" w:eastAsiaTheme="minorHAnsi" w:hAnsi="Arial Narrow" w:cstheme="minorBidi"/>
          <w:snapToGrid/>
          <w:sz w:val="20"/>
        </w:rPr>
      </w:pPr>
      <w:r w:rsidRPr="00D8075A">
        <w:rPr>
          <w:rFonts w:ascii="Arial Narrow" w:eastAsiaTheme="minorHAnsi" w:hAnsi="Arial Narrow" w:cstheme="minorBidi"/>
          <w:b/>
          <w:snapToGrid/>
          <w:sz w:val="20"/>
        </w:rPr>
        <w:t>Table 8: Summary of model structure and rationale</w:t>
      </w:r>
    </w:p>
    <w:tbl>
      <w:tblPr>
        <w:tblW w:w="5000" w:type="pct"/>
        <w:tblCellMar>
          <w:left w:w="10" w:type="dxa"/>
          <w:right w:w="10" w:type="dxa"/>
        </w:tblCellMar>
        <w:tblLook w:val="0000" w:firstRow="0" w:lastRow="0" w:firstColumn="0" w:lastColumn="0" w:noHBand="0" w:noVBand="0"/>
        <w:tblCaption w:val="Table 8: Summary of model structure and rationale"/>
        <w:tblDescription w:val="Table 8: Summary of model structure and rationale"/>
      </w:tblPr>
      <w:tblGrid>
        <w:gridCol w:w="1139"/>
        <w:gridCol w:w="3644"/>
        <w:gridCol w:w="4300"/>
      </w:tblGrid>
      <w:tr w:rsidR="001E3264" w:rsidRPr="00D8075A" w:rsidTr="0083398B">
        <w:trPr>
          <w:trHeight w:val="1"/>
          <w:tblHeader/>
        </w:trPr>
        <w:tc>
          <w:tcPr>
            <w:tcW w:w="627"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1E3264" w:rsidRPr="00D8075A" w:rsidRDefault="001E3264" w:rsidP="003F11B9">
            <w:pPr>
              <w:jc w:val="left"/>
              <w:rPr>
                <w:rFonts w:cs="Times New Roman"/>
                <w:snapToGrid/>
                <w:sz w:val="22"/>
                <w:lang w:eastAsia="en-AU"/>
              </w:rPr>
            </w:pPr>
            <w:r w:rsidRPr="00D8075A">
              <w:rPr>
                <w:rFonts w:ascii="Arial Narrow" w:eastAsia="Arial Narrow" w:hAnsi="Arial Narrow" w:cs="Arial Narrow"/>
                <w:b/>
                <w:snapToGrid/>
                <w:sz w:val="20"/>
                <w:lang w:eastAsia="en-AU"/>
              </w:rPr>
              <w:t>Component</w:t>
            </w:r>
          </w:p>
        </w:tc>
        <w:tc>
          <w:tcPr>
            <w:tcW w:w="2006"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center"/>
              <w:rPr>
                <w:rFonts w:cs="Times New Roman"/>
                <w:snapToGrid/>
                <w:sz w:val="22"/>
                <w:lang w:eastAsia="en-AU"/>
              </w:rPr>
            </w:pPr>
            <w:r w:rsidRPr="00D8075A">
              <w:rPr>
                <w:rFonts w:ascii="Arial Narrow" w:eastAsia="Arial Narrow" w:hAnsi="Arial Narrow" w:cs="Arial Narrow"/>
                <w:b/>
                <w:snapToGrid/>
                <w:sz w:val="20"/>
                <w:lang w:eastAsia="en-AU"/>
              </w:rPr>
              <w:t>Description</w:t>
            </w:r>
          </w:p>
        </w:tc>
        <w:tc>
          <w:tcPr>
            <w:tcW w:w="2367"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1E3264" w:rsidRPr="00D8075A" w:rsidRDefault="001E3264" w:rsidP="003F11B9">
            <w:pPr>
              <w:jc w:val="center"/>
              <w:rPr>
                <w:rFonts w:cs="Times New Roman"/>
                <w:snapToGrid/>
                <w:sz w:val="22"/>
                <w:lang w:eastAsia="en-AU"/>
              </w:rPr>
            </w:pPr>
            <w:r w:rsidRPr="00D8075A">
              <w:rPr>
                <w:rFonts w:ascii="Arial Narrow" w:eastAsia="Arial Narrow" w:hAnsi="Arial Narrow" w:cs="Arial Narrow"/>
                <w:b/>
                <w:snapToGrid/>
                <w:sz w:val="20"/>
                <w:lang w:eastAsia="en-AU"/>
              </w:rPr>
              <w:t>Justification/comments</w:t>
            </w:r>
          </w:p>
        </w:tc>
      </w:tr>
      <w:tr w:rsidR="001E3264" w:rsidRPr="00D8075A" w:rsidTr="0083398B">
        <w:trPr>
          <w:trHeight w:val="1"/>
        </w:trPr>
        <w:tc>
          <w:tcPr>
            <w:tcW w:w="627"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cs="Times New Roman"/>
                <w:snapToGrid/>
                <w:sz w:val="22"/>
                <w:lang w:eastAsia="en-AU"/>
              </w:rPr>
            </w:pPr>
            <w:r w:rsidRPr="00D8075A">
              <w:rPr>
                <w:rFonts w:ascii="Arial Narrow" w:eastAsia="Arial Narrow" w:hAnsi="Arial Narrow" w:cs="Arial Narrow"/>
                <w:snapToGrid/>
                <w:sz w:val="20"/>
                <w:lang w:eastAsia="en-AU"/>
              </w:rPr>
              <w:t>Type of analysis</w:t>
            </w:r>
          </w:p>
        </w:tc>
        <w:tc>
          <w:tcPr>
            <w:tcW w:w="2006"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ascii="Arial Narrow" w:eastAsia="Arial Narrow" w:hAnsi="Arial Narrow" w:cs="Arial Narrow"/>
                <w:snapToGrid/>
                <w:sz w:val="20"/>
                <w:lang w:eastAsia="en-AU"/>
              </w:rPr>
            </w:pPr>
            <w:r w:rsidRPr="00D8075A">
              <w:rPr>
                <w:rFonts w:ascii="Arial Narrow" w:eastAsia="Arial Narrow" w:hAnsi="Arial Narrow" w:cs="Arial Narrow"/>
                <w:snapToGrid/>
                <w:sz w:val="20"/>
                <w:lang w:eastAsia="en-AU"/>
              </w:rPr>
              <w:t>Cost-effectiveness analysis</w:t>
            </w:r>
          </w:p>
          <w:p w:rsidR="001E3264" w:rsidRPr="00D8075A" w:rsidRDefault="001E3264" w:rsidP="003F11B9">
            <w:pPr>
              <w:jc w:val="left"/>
              <w:rPr>
                <w:rFonts w:cs="Times New Roman"/>
                <w:snapToGrid/>
                <w:sz w:val="22"/>
                <w:lang w:eastAsia="en-AU"/>
              </w:rPr>
            </w:pPr>
            <w:r w:rsidRPr="00D8075A">
              <w:rPr>
                <w:rFonts w:ascii="Arial Narrow" w:eastAsia="Arial Narrow" w:hAnsi="Arial Narrow" w:cs="Arial Narrow"/>
                <w:snapToGrid/>
                <w:sz w:val="20"/>
                <w:lang w:eastAsia="en-AU"/>
              </w:rPr>
              <w:t>Cost-utility analysis</w:t>
            </w:r>
          </w:p>
        </w:tc>
        <w:tc>
          <w:tcPr>
            <w:tcW w:w="2367"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3F11B9" w:rsidP="003F11B9">
            <w:pPr>
              <w:jc w:val="left"/>
              <w:rPr>
                <w:rFonts w:cs="Times New Roman"/>
                <w:snapToGrid/>
                <w:sz w:val="22"/>
                <w:lang w:eastAsia="en-AU"/>
              </w:rPr>
            </w:pPr>
            <w:r w:rsidRPr="00D8075A">
              <w:rPr>
                <w:rFonts w:ascii="Arial Narrow" w:eastAsia="Arial Narrow" w:hAnsi="Arial Narrow" w:cs="Arial Narrow"/>
                <w:snapToGrid/>
                <w:sz w:val="20"/>
                <w:lang w:eastAsia="en-AU"/>
              </w:rPr>
              <w:t>This is appropriate.</w:t>
            </w:r>
          </w:p>
        </w:tc>
      </w:tr>
      <w:tr w:rsidR="001E3264" w:rsidRPr="00D8075A" w:rsidTr="0083398B">
        <w:trPr>
          <w:trHeight w:val="1"/>
        </w:trPr>
        <w:tc>
          <w:tcPr>
            <w:tcW w:w="627"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cs="Times New Roman"/>
                <w:snapToGrid/>
                <w:sz w:val="22"/>
                <w:lang w:eastAsia="en-AU"/>
              </w:rPr>
            </w:pPr>
            <w:r w:rsidRPr="00D8075A">
              <w:rPr>
                <w:rFonts w:ascii="Arial Narrow" w:eastAsia="Arial Narrow" w:hAnsi="Arial Narrow" w:cs="Arial Narrow"/>
                <w:snapToGrid/>
                <w:sz w:val="20"/>
                <w:lang w:eastAsia="en-AU"/>
              </w:rPr>
              <w:t>Outcomes</w:t>
            </w:r>
          </w:p>
        </w:tc>
        <w:tc>
          <w:tcPr>
            <w:tcW w:w="2006"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cs="Times New Roman"/>
                <w:snapToGrid/>
                <w:sz w:val="22"/>
                <w:lang w:eastAsia="en-AU"/>
              </w:rPr>
            </w:pPr>
            <w:r w:rsidRPr="00D8075A">
              <w:rPr>
                <w:rFonts w:ascii="Arial Narrow" w:eastAsia="Arial Narrow" w:hAnsi="Arial Narrow" w:cs="Arial Narrow"/>
                <w:snapToGrid/>
                <w:sz w:val="20"/>
                <w:lang w:eastAsia="en-AU"/>
              </w:rPr>
              <w:t>Life years gained, quality-adjusted life years</w:t>
            </w:r>
          </w:p>
        </w:tc>
        <w:tc>
          <w:tcPr>
            <w:tcW w:w="2367"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3F11B9" w:rsidP="003F11B9">
            <w:pPr>
              <w:jc w:val="left"/>
              <w:rPr>
                <w:rFonts w:cs="Times New Roman"/>
                <w:snapToGrid/>
                <w:sz w:val="22"/>
                <w:lang w:eastAsia="en-AU"/>
              </w:rPr>
            </w:pPr>
            <w:r w:rsidRPr="00D8075A">
              <w:rPr>
                <w:rFonts w:ascii="Arial Narrow" w:eastAsia="Arial Narrow" w:hAnsi="Arial Narrow" w:cs="Arial Narrow"/>
                <w:snapToGrid/>
                <w:sz w:val="20"/>
                <w:lang w:eastAsia="en-AU"/>
              </w:rPr>
              <w:t>This is reasonable.</w:t>
            </w:r>
          </w:p>
        </w:tc>
      </w:tr>
      <w:tr w:rsidR="001E3264" w:rsidRPr="00D8075A" w:rsidTr="0083398B">
        <w:trPr>
          <w:trHeight w:val="1"/>
        </w:trPr>
        <w:tc>
          <w:tcPr>
            <w:tcW w:w="627"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cs="Times New Roman"/>
                <w:snapToGrid/>
                <w:sz w:val="22"/>
                <w:lang w:eastAsia="en-AU"/>
              </w:rPr>
            </w:pPr>
            <w:r w:rsidRPr="00D8075A">
              <w:rPr>
                <w:rFonts w:ascii="Arial Narrow" w:eastAsia="Arial Narrow" w:hAnsi="Arial Narrow" w:cs="Arial Narrow"/>
                <w:snapToGrid/>
                <w:sz w:val="20"/>
                <w:lang w:eastAsia="en-AU"/>
              </w:rPr>
              <w:t>Time horizon</w:t>
            </w:r>
          </w:p>
        </w:tc>
        <w:tc>
          <w:tcPr>
            <w:tcW w:w="2006"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cs="Times New Roman"/>
                <w:snapToGrid/>
                <w:sz w:val="22"/>
                <w:lang w:eastAsia="en-AU"/>
              </w:rPr>
            </w:pPr>
            <w:r w:rsidRPr="00D8075A">
              <w:rPr>
                <w:rFonts w:ascii="Arial Narrow" w:eastAsia="Arial Narrow" w:hAnsi="Arial Narrow" w:cs="Arial Narrow"/>
                <w:snapToGrid/>
                <w:sz w:val="20"/>
                <w:lang w:eastAsia="en-AU"/>
              </w:rPr>
              <w:t>7 years in the model base case (vs. minimum 24 months follow-up for subjects in the JAVELIN Merkel 200 study (Part A), 26 September 2017).</w:t>
            </w:r>
          </w:p>
        </w:tc>
        <w:tc>
          <w:tcPr>
            <w:tcW w:w="2367"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B456A5">
            <w:pPr>
              <w:jc w:val="left"/>
              <w:rPr>
                <w:rFonts w:cs="Times New Roman"/>
                <w:snapToGrid/>
                <w:sz w:val="22"/>
                <w:lang w:eastAsia="en-AU"/>
              </w:rPr>
            </w:pPr>
            <w:r w:rsidRPr="00D8075A">
              <w:rPr>
                <w:rFonts w:ascii="Arial Narrow" w:eastAsia="Arial Narrow" w:hAnsi="Arial Narrow" w:cs="Arial Narrow"/>
                <w:snapToGrid/>
                <w:sz w:val="20"/>
                <w:lang w:eastAsia="en-AU"/>
              </w:rPr>
              <w:t>A 24-month OS rate of 36% (95% CI: 26-46) was experienced for patients on 2L+ avelumab, with follow-up still ongoing. The 12-month OS rate of 2L+ CTX treatment was 0%.</w:t>
            </w:r>
            <w:r w:rsidR="003F11B9" w:rsidRPr="00D8075A">
              <w:rPr>
                <w:rFonts w:ascii="Arial Narrow" w:eastAsia="Arial Narrow" w:hAnsi="Arial Narrow" w:cs="Arial Narrow"/>
                <w:snapToGrid/>
                <w:sz w:val="20"/>
                <w:lang w:eastAsia="en-AU"/>
              </w:rPr>
              <w:t xml:space="preserve"> </w:t>
            </w:r>
            <w:r w:rsidRPr="00D8075A">
              <w:rPr>
                <w:rFonts w:ascii="Arial Narrow" w:eastAsia="Arial Narrow" w:hAnsi="Arial Narrow" w:cs="Arial Narrow"/>
                <w:snapToGrid/>
                <w:sz w:val="20"/>
                <w:lang w:eastAsia="en-AU"/>
              </w:rPr>
              <w:t xml:space="preserve">Approximately 14.6% of avelumab patients were projected to be alive at 7 years. </w:t>
            </w:r>
          </w:p>
        </w:tc>
      </w:tr>
      <w:tr w:rsidR="001E3264" w:rsidRPr="00D8075A" w:rsidTr="0083398B">
        <w:trPr>
          <w:trHeight w:val="1"/>
        </w:trPr>
        <w:tc>
          <w:tcPr>
            <w:tcW w:w="627"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cs="Times New Roman"/>
                <w:snapToGrid/>
                <w:sz w:val="22"/>
                <w:lang w:eastAsia="en-AU"/>
              </w:rPr>
            </w:pPr>
            <w:r w:rsidRPr="00D8075A">
              <w:rPr>
                <w:rFonts w:ascii="Arial Narrow" w:eastAsia="Arial Narrow" w:hAnsi="Arial Narrow" w:cs="Arial Narrow"/>
                <w:snapToGrid/>
                <w:sz w:val="20"/>
                <w:lang w:eastAsia="en-AU"/>
              </w:rPr>
              <w:t>Methods used to generate results</w:t>
            </w:r>
          </w:p>
        </w:tc>
        <w:tc>
          <w:tcPr>
            <w:tcW w:w="2006"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cs="Times New Roman"/>
                <w:snapToGrid/>
                <w:sz w:val="22"/>
                <w:lang w:eastAsia="en-AU"/>
              </w:rPr>
            </w:pPr>
            <w:r w:rsidRPr="00D8075A">
              <w:rPr>
                <w:rFonts w:ascii="Arial Narrow" w:eastAsia="Arial Narrow" w:hAnsi="Arial Narrow" w:cs="Arial Narrow"/>
                <w:snapToGrid/>
                <w:sz w:val="20"/>
                <w:lang w:eastAsia="en-AU"/>
              </w:rPr>
              <w:t>Partitioned survival model</w:t>
            </w:r>
          </w:p>
        </w:tc>
        <w:tc>
          <w:tcPr>
            <w:tcW w:w="2367"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cs="Times New Roman"/>
                <w:snapToGrid/>
                <w:sz w:val="22"/>
                <w:lang w:eastAsia="en-AU"/>
              </w:rPr>
            </w:pPr>
            <w:r w:rsidRPr="00D8075A">
              <w:rPr>
                <w:rFonts w:ascii="Arial Narrow" w:eastAsia="Arial Narrow" w:hAnsi="Arial Narrow" w:cs="Arial Narrow"/>
                <w:snapToGrid/>
                <w:sz w:val="20"/>
                <w:lang w:eastAsia="en-AU"/>
              </w:rPr>
              <w:t>This approach is commonly used in the economic modelling of oncology interventions.</w:t>
            </w:r>
          </w:p>
        </w:tc>
      </w:tr>
      <w:tr w:rsidR="001E3264" w:rsidRPr="00D8075A" w:rsidTr="0083398B">
        <w:trPr>
          <w:trHeight w:val="1"/>
        </w:trPr>
        <w:tc>
          <w:tcPr>
            <w:tcW w:w="627"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cs="Times New Roman"/>
                <w:snapToGrid/>
                <w:sz w:val="22"/>
                <w:lang w:eastAsia="en-AU"/>
              </w:rPr>
            </w:pPr>
            <w:r w:rsidRPr="00D8075A">
              <w:rPr>
                <w:rFonts w:ascii="Arial Narrow" w:eastAsia="Arial Narrow" w:hAnsi="Arial Narrow" w:cs="Arial Narrow"/>
                <w:snapToGrid/>
                <w:sz w:val="20"/>
                <w:lang w:eastAsia="en-AU"/>
              </w:rPr>
              <w:t>Health states</w:t>
            </w:r>
          </w:p>
        </w:tc>
        <w:tc>
          <w:tcPr>
            <w:tcW w:w="2006"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ascii="Arial Narrow" w:eastAsia="Arial Narrow" w:hAnsi="Arial Narrow" w:cs="Arial Narrow"/>
                <w:snapToGrid/>
                <w:sz w:val="20"/>
                <w:lang w:eastAsia="en-AU"/>
              </w:rPr>
            </w:pPr>
            <w:r w:rsidRPr="00D8075A">
              <w:rPr>
                <w:rFonts w:ascii="Arial Narrow" w:eastAsia="Arial Narrow" w:hAnsi="Arial Narrow" w:cs="Arial Narrow"/>
                <w:snapToGrid/>
                <w:sz w:val="20"/>
                <w:lang w:eastAsia="en-AU"/>
              </w:rPr>
              <w:t>Three health states:</w:t>
            </w:r>
          </w:p>
          <w:p w:rsidR="001E3264" w:rsidRPr="00D8075A" w:rsidRDefault="001E3264" w:rsidP="003F11B9">
            <w:pPr>
              <w:jc w:val="left"/>
              <w:rPr>
                <w:rFonts w:ascii="Arial Narrow" w:eastAsia="Arial Narrow" w:hAnsi="Arial Narrow" w:cs="Arial Narrow"/>
                <w:snapToGrid/>
                <w:sz w:val="20"/>
                <w:lang w:eastAsia="en-AU"/>
              </w:rPr>
            </w:pPr>
            <w:r w:rsidRPr="00D8075A">
              <w:rPr>
                <w:rFonts w:ascii="Arial Narrow" w:eastAsia="Arial Narrow" w:hAnsi="Arial Narrow" w:cs="Arial Narrow"/>
                <w:snapToGrid/>
                <w:sz w:val="20"/>
                <w:lang w:eastAsia="en-AU"/>
              </w:rPr>
              <w:t>Progression free (PF):</w:t>
            </w:r>
          </w:p>
          <w:p w:rsidR="001E3264" w:rsidRPr="00D8075A" w:rsidRDefault="001E3264" w:rsidP="00C3432B">
            <w:pPr>
              <w:pStyle w:val="ListParagraph"/>
              <w:numPr>
                <w:ilvl w:val="0"/>
                <w:numId w:val="4"/>
              </w:numPr>
              <w:spacing w:after="0"/>
              <w:ind w:left="714" w:hanging="357"/>
              <w:jc w:val="left"/>
              <w:rPr>
                <w:rFonts w:ascii="Arial Narrow" w:eastAsia="Arial Narrow" w:hAnsi="Arial Narrow" w:cs="Arial Narrow"/>
                <w:snapToGrid/>
                <w:sz w:val="20"/>
                <w:lang w:eastAsia="en-AU"/>
              </w:rPr>
            </w:pPr>
            <w:r w:rsidRPr="00D8075A">
              <w:rPr>
                <w:rFonts w:ascii="Arial Narrow" w:eastAsia="Arial Narrow" w:hAnsi="Arial Narrow" w:cs="Arial Narrow"/>
                <w:snapToGrid/>
                <w:sz w:val="20"/>
                <w:lang w:eastAsia="en-AU"/>
              </w:rPr>
              <w:t>PF on treatment</w:t>
            </w:r>
          </w:p>
          <w:p w:rsidR="001E3264" w:rsidRPr="00D8075A" w:rsidRDefault="001E3264" w:rsidP="00C3432B">
            <w:pPr>
              <w:pStyle w:val="ListParagraph"/>
              <w:numPr>
                <w:ilvl w:val="0"/>
                <w:numId w:val="4"/>
              </w:numPr>
              <w:spacing w:after="0"/>
              <w:ind w:left="714" w:hanging="357"/>
              <w:jc w:val="left"/>
              <w:rPr>
                <w:rFonts w:ascii="Arial Narrow" w:eastAsia="Arial Narrow" w:hAnsi="Arial Narrow" w:cs="Arial Narrow"/>
                <w:snapToGrid/>
                <w:sz w:val="20"/>
                <w:lang w:eastAsia="en-AU"/>
              </w:rPr>
            </w:pPr>
            <w:r w:rsidRPr="00D8075A">
              <w:rPr>
                <w:rFonts w:ascii="Arial Narrow" w:eastAsia="Arial Narrow" w:hAnsi="Arial Narrow" w:cs="Arial Narrow"/>
                <w:snapToGrid/>
                <w:sz w:val="20"/>
                <w:lang w:eastAsia="en-AU"/>
              </w:rPr>
              <w:t>PF off treatment</w:t>
            </w:r>
          </w:p>
          <w:p w:rsidR="001E3264" w:rsidRPr="00D8075A" w:rsidRDefault="001E3264" w:rsidP="003F11B9">
            <w:pPr>
              <w:jc w:val="left"/>
              <w:rPr>
                <w:rFonts w:ascii="Arial Narrow" w:eastAsia="Arial Narrow" w:hAnsi="Arial Narrow" w:cs="Arial Narrow"/>
                <w:snapToGrid/>
                <w:sz w:val="20"/>
                <w:lang w:eastAsia="en-AU"/>
              </w:rPr>
            </w:pPr>
            <w:r w:rsidRPr="00D8075A">
              <w:rPr>
                <w:rFonts w:ascii="Arial Narrow" w:eastAsia="Arial Narrow" w:hAnsi="Arial Narrow" w:cs="Arial Narrow"/>
                <w:snapToGrid/>
                <w:sz w:val="20"/>
                <w:lang w:eastAsia="en-AU"/>
              </w:rPr>
              <w:t>Progressed disease (PP):</w:t>
            </w:r>
          </w:p>
          <w:p w:rsidR="001E3264" w:rsidRPr="00D8075A" w:rsidRDefault="001E3264" w:rsidP="00C3432B">
            <w:pPr>
              <w:pStyle w:val="ListParagraph"/>
              <w:numPr>
                <w:ilvl w:val="0"/>
                <w:numId w:val="4"/>
              </w:numPr>
              <w:spacing w:after="0"/>
              <w:ind w:left="714" w:hanging="357"/>
              <w:jc w:val="left"/>
              <w:rPr>
                <w:rFonts w:ascii="Arial Narrow" w:eastAsia="Arial Narrow" w:hAnsi="Arial Narrow" w:cs="Arial Narrow"/>
                <w:snapToGrid/>
                <w:sz w:val="20"/>
                <w:lang w:eastAsia="en-AU"/>
              </w:rPr>
            </w:pPr>
            <w:r w:rsidRPr="00D8075A">
              <w:rPr>
                <w:rFonts w:ascii="Arial Narrow" w:eastAsia="Arial Narrow" w:hAnsi="Arial Narrow" w:cs="Arial Narrow"/>
                <w:snapToGrid/>
                <w:sz w:val="20"/>
                <w:lang w:eastAsia="en-AU"/>
              </w:rPr>
              <w:t>PP on treatment</w:t>
            </w:r>
          </w:p>
          <w:p w:rsidR="001E3264" w:rsidRPr="00D8075A" w:rsidRDefault="001E3264" w:rsidP="00C3432B">
            <w:pPr>
              <w:pStyle w:val="ListParagraph"/>
              <w:numPr>
                <w:ilvl w:val="0"/>
                <w:numId w:val="4"/>
              </w:numPr>
              <w:spacing w:after="0"/>
              <w:ind w:left="714" w:hanging="357"/>
              <w:jc w:val="left"/>
              <w:rPr>
                <w:rFonts w:ascii="Arial Narrow" w:eastAsia="Arial Narrow" w:hAnsi="Arial Narrow" w:cs="Arial Narrow"/>
                <w:snapToGrid/>
                <w:sz w:val="20"/>
                <w:lang w:eastAsia="en-AU"/>
              </w:rPr>
            </w:pPr>
            <w:r w:rsidRPr="00D8075A">
              <w:rPr>
                <w:rFonts w:ascii="Arial Narrow" w:eastAsia="Arial Narrow" w:hAnsi="Arial Narrow" w:cs="Arial Narrow"/>
                <w:snapToGrid/>
                <w:sz w:val="20"/>
                <w:lang w:eastAsia="en-AU"/>
              </w:rPr>
              <w:t>PP off treatment</w:t>
            </w:r>
          </w:p>
          <w:p w:rsidR="001E3264" w:rsidRPr="00D8075A" w:rsidRDefault="001E3264" w:rsidP="003F11B9">
            <w:pPr>
              <w:jc w:val="left"/>
              <w:rPr>
                <w:rFonts w:cs="Times New Roman"/>
                <w:snapToGrid/>
                <w:sz w:val="22"/>
                <w:lang w:eastAsia="en-AU"/>
              </w:rPr>
            </w:pPr>
            <w:r w:rsidRPr="00D8075A">
              <w:rPr>
                <w:rFonts w:ascii="Arial Narrow" w:eastAsia="Arial Narrow" w:hAnsi="Arial Narrow" w:cs="Arial Narrow"/>
                <w:snapToGrid/>
                <w:sz w:val="20"/>
                <w:lang w:eastAsia="en-AU"/>
              </w:rPr>
              <w:t>Death</w:t>
            </w:r>
          </w:p>
        </w:tc>
        <w:tc>
          <w:tcPr>
            <w:tcW w:w="2367"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cs="Times New Roman"/>
                <w:snapToGrid/>
                <w:sz w:val="22"/>
                <w:lang w:eastAsia="en-AU"/>
              </w:rPr>
            </w:pPr>
            <w:r w:rsidRPr="00D8075A">
              <w:rPr>
                <w:rFonts w:ascii="Arial Narrow" w:eastAsia="Arial Narrow" w:hAnsi="Arial Narrow" w:cs="Arial Narrow"/>
                <w:snapToGrid/>
                <w:sz w:val="20"/>
                <w:lang w:eastAsia="en-AU"/>
              </w:rPr>
              <w:t>A 3 health-state economic model is commonly used in oncology. This model structure is reasonable</w:t>
            </w:r>
          </w:p>
        </w:tc>
      </w:tr>
      <w:tr w:rsidR="001E3264" w:rsidRPr="00D8075A" w:rsidTr="0083398B">
        <w:trPr>
          <w:trHeight w:val="1"/>
        </w:trPr>
        <w:tc>
          <w:tcPr>
            <w:tcW w:w="627"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cs="Times New Roman"/>
                <w:snapToGrid/>
                <w:sz w:val="22"/>
                <w:lang w:eastAsia="en-AU"/>
              </w:rPr>
            </w:pPr>
            <w:r w:rsidRPr="00D8075A">
              <w:rPr>
                <w:rFonts w:ascii="Arial Narrow" w:eastAsia="Arial Narrow" w:hAnsi="Arial Narrow" w:cs="Arial Narrow"/>
                <w:snapToGrid/>
                <w:sz w:val="20"/>
                <w:lang w:eastAsia="en-AU"/>
              </w:rPr>
              <w:t>Cycle length</w:t>
            </w:r>
          </w:p>
        </w:tc>
        <w:tc>
          <w:tcPr>
            <w:tcW w:w="2006"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cs="Times New Roman"/>
                <w:snapToGrid/>
                <w:sz w:val="22"/>
                <w:lang w:eastAsia="en-AU"/>
              </w:rPr>
            </w:pPr>
            <w:r w:rsidRPr="00D8075A">
              <w:rPr>
                <w:rFonts w:ascii="Arial Narrow" w:eastAsia="Arial Narrow" w:hAnsi="Arial Narrow" w:cs="Arial Narrow"/>
                <w:snapToGrid/>
                <w:sz w:val="20"/>
                <w:lang w:eastAsia="en-AU"/>
              </w:rPr>
              <w:t>7 days</w:t>
            </w:r>
          </w:p>
        </w:tc>
        <w:tc>
          <w:tcPr>
            <w:tcW w:w="2367"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cs="Times New Roman"/>
                <w:snapToGrid/>
                <w:sz w:val="22"/>
                <w:lang w:eastAsia="en-AU"/>
              </w:rPr>
            </w:pPr>
            <w:r w:rsidRPr="00D8075A">
              <w:rPr>
                <w:rFonts w:ascii="Arial Narrow" w:eastAsia="Arial Narrow" w:hAnsi="Arial Narrow" w:cs="Arial Narrow"/>
                <w:snapToGrid/>
                <w:sz w:val="20"/>
                <w:lang w:eastAsia="en-AU"/>
              </w:rPr>
              <w:t xml:space="preserve">The submissions stated that a cycle length of one week was sufficient to capture the speed of progression of </w:t>
            </w:r>
            <w:proofErr w:type="spellStart"/>
            <w:r w:rsidRPr="00D8075A">
              <w:rPr>
                <w:rFonts w:ascii="Arial Narrow" w:eastAsia="Arial Narrow" w:hAnsi="Arial Narrow" w:cs="Arial Narrow"/>
                <w:snapToGrid/>
                <w:sz w:val="20"/>
                <w:lang w:eastAsia="en-AU"/>
              </w:rPr>
              <w:t>mMCC</w:t>
            </w:r>
            <w:proofErr w:type="spellEnd"/>
            <w:r w:rsidRPr="00D8075A">
              <w:rPr>
                <w:rFonts w:ascii="Arial Narrow" w:eastAsia="Arial Narrow" w:hAnsi="Arial Narrow" w:cs="Arial Narrow"/>
                <w:snapToGrid/>
                <w:sz w:val="20"/>
                <w:lang w:eastAsia="en-AU"/>
              </w:rPr>
              <w:t xml:space="preserve"> (p136 of the submission). This is appropriate</w:t>
            </w:r>
          </w:p>
        </w:tc>
      </w:tr>
      <w:tr w:rsidR="001E3264" w:rsidRPr="00D8075A" w:rsidTr="0083398B">
        <w:trPr>
          <w:trHeight w:val="565"/>
        </w:trPr>
        <w:tc>
          <w:tcPr>
            <w:tcW w:w="627" w:type="pct"/>
            <w:vMerge w:val="restart"/>
            <w:tcBorders>
              <w:top w:val="single" w:sz="4" w:space="0" w:color="000000"/>
              <w:left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ascii="Arial Narrow" w:eastAsia="Arial Narrow" w:hAnsi="Arial Narrow" w:cs="Arial Narrow"/>
                <w:snapToGrid/>
                <w:sz w:val="20"/>
                <w:lang w:eastAsia="en-AU"/>
              </w:rPr>
            </w:pPr>
            <w:r w:rsidRPr="00D8075A">
              <w:rPr>
                <w:rFonts w:ascii="Arial Narrow" w:eastAsia="Arial Narrow" w:hAnsi="Arial Narrow" w:cs="Arial Narrow"/>
                <w:snapToGrid/>
                <w:sz w:val="20"/>
                <w:lang w:eastAsia="en-AU"/>
              </w:rPr>
              <w:t>Proportion of patients in each health state</w:t>
            </w:r>
          </w:p>
        </w:tc>
        <w:tc>
          <w:tcPr>
            <w:tcW w:w="2006" w:type="pct"/>
            <w:tcBorders>
              <w:top w:val="single" w:sz="4" w:space="0" w:color="000000"/>
              <w:left w:val="single" w:sz="4" w:space="0" w:color="000000"/>
              <w:bottom w:val="single" w:sz="4" w:space="0" w:color="auto"/>
              <w:right w:val="single" w:sz="4" w:space="0" w:color="000000"/>
            </w:tcBorders>
            <w:shd w:val="clear" w:color="000000" w:fill="FFFFFF"/>
            <w:tcMar>
              <w:left w:w="28" w:type="dxa"/>
              <w:right w:w="28" w:type="dxa"/>
            </w:tcMar>
          </w:tcPr>
          <w:p w:rsidR="001E3264" w:rsidRPr="00D8075A" w:rsidRDefault="001E3264" w:rsidP="003F11B9">
            <w:pPr>
              <w:jc w:val="left"/>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Avelumab, PFS: a spline 3 knot-odds function fitted to JAVELIN Merkel study (Part A) Kaplan-Meier data (24 March 2017 cut-off).</w:t>
            </w:r>
          </w:p>
        </w:tc>
        <w:tc>
          <w:tcPr>
            <w:tcW w:w="2367" w:type="pct"/>
            <w:tcBorders>
              <w:top w:val="single" w:sz="4" w:space="0" w:color="000000"/>
              <w:left w:val="single" w:sz="4" w:space="0" w:color="000000"/>
              <w:bottom w:val="single" w:sz="4" w:space="0" w:color="auto"/>
              <w:right w:val="single" w:sz="4" w:space="0" w:color="000000"/>
            </w:tcBorders>
            <w:shd w:val="clear" w:color="000000" w:fill="FFFFFF"/>
            <w:tcMar>
              <w:left w:w="28" w:type="dxa"/>
              <w:right w:w="28" w:type="dxa"/>
            </w:tcMar>
          </w:tcPr>
          <w:p w:rsidR="001E3264" w:rsidRPr="00D8075A" w:rsidRDefault="001E3264" w:rsidP="003F11B9">
            <w:pPr>
              <w:jc w:val="left"/>
              <w:rPr>
                <w:rFonts w:ascii="Arial Narrow" w:eastAsia="Arial Narrow" w:hAnsi="Arial Narrow" w:cs="Arial Narrow"/>
                <w:snapToGrid/>
                <w:sz w:val="20"/>
                <w:szCs w:val="20"/>
                <w:lang w:eastAsia="en-AU"/>
              </w:rPr>
            </w:pPr>
            <w:r w:rsidRPr="00D8075A">
              <w:rPr>
                <w:rFonts w:ascii="Arial Narrow" w:eastAsia="Arial Narrow" w:hAnsi="Arial Narrow" w:cs="Arial Narrow"/>
                <w:snapToGrid/>
                <w:sz w:val="20"/>
                <w:szCs w:val="20"/>
                <w:lang w:eastAsia="en-AU"/>
              </w:rPr>
              <w:t>The submission did not apply the Kaplan-Meier data directly, and provided no justification for using only the fitted extrapolated data.</w:t>
            </w:r>
          </w:p>
          <w:p w:rsidR="001E3264" w:rsidRPr="00D8075A" w:rsidRDefault="001E3264" w:rsidP="003F11B9">
            <w:pPr>
              <w:jc w:val="left"/>
              <w:rPr>
                <w:rFonts w:ascii="Arial Narrow" w:eastAsia="Arial Narrow" w:hAnsi="Arial Narrow" w:cs="Arial Narrow"/>
                <w:snapToGrid/>
                <w:sz w:val="20"/>
                <w:szCs w:val="20"/>
                <w:lang w:eastAsia="en-AU"/>
              </w:rPr>
            </w:pPr>
          </w:p>
          <w:p w:rsidR="001E3264" w:rsidRPr="00D8075A" w:rsidRDefault="001E3264" w:rsidP="003F11B9">
            <w:pPr>
              <w:jc w:val="left"/>
              <w:rPr>
                <w:rFonts w:ascii="Arial Narrow" w:eastAsia="Arial Narrow" w:hAnsi="Arial Narrow" w:cs="Arial Narrow"/>
                <w:snapToGrid/>
                <w:sz w:val="20"/>
                <w:szCs w:val="20"/>
                <w:lang w:eastAsia="en-AU"/>
              </w:rPr>
            </w:pPr>
            <w:r w:rsidRPr="00D8075A">
              <w:rPr>
                <w:rFonts w:ascii="Arial Narrow" w:eastAsia="Arial Narrow" w:hAnsi="Arial Narrow" w:cs="Arial Narrow"/>
                <w:snapToGrid/>
                <w:sz w:val="20"/>
                <w:szCs w:val="20"/>
                <w:lang w:eastAsia="en-AU"/>
              </w:rPr>
              <w:t xml:space="preserve">The submission stated that standard parametric models were not considered to be suitable for extrapolation due to the log-cumulative hazard plots of PFS from the JAVELIN Merkel (Part A) study displaying non-monotonic hazard functions (p140-141 of the submission). This appears reasonable, although it would still be preferable to fit the standard parametric functions for comparison purposes. The submission did not explore fitting a gamma and </w:t>
            </w:r>
            <w:proofErr w:type="spellStart"/>
            <w:r w:rsidRPr="00D8075A">
              <w:rPr>
                <w:rFonts w:ascii="Arial Narrow" w:eastAsia="Arial Narrow" w:hAnsi="Arial Narrow" w:cs="Arial Narrow"/>
                <w:snapToGrid/>
                <w:sz w:val="20"/>
                <w:szCs w:val="20"/>
                <w:lang w:eastAsia="en-AU"/>
              </w:rPr>
              <w:t>Gompertz</w:t>
            </w:r>
            <w:proofErr w:type="spellEnd"/>
            <w:r w:rsidRPr="00D8075A">
              <w:rPr>
                <w:rFonts w:ascii="Arial Narrow" w:eastAsia="Arial Narrow" w:hAnsi="Arial Narrow" w:cs="Arial Narrow"/>
                <w:snapToGrid/>
                <w:sz w:val="20"/>
                <w:szCs w:val="20"/>
                <w:lang w:eastAsia="en-AU"/>
              </w:rPr>
              <w:t xml:space="preserve"> function.</w:t>
            </w:r>
          </w:p>
        </w:tc>
      </w:tr>
      <w:tr w:rsidR="001E3264" w:rsidRPr="00D8075A" w:rsidTr="0083398B">
        <w:trPr>
          <w:trHeight w:val="1"/>
        </w:trPr>
        <w:tc>
          <w:tcPr>
            <w:tcW w:w="627" w:type="pct"/>
            <w:vMerge/>
            <w:tcBorders>
              <w:left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ascii="Arial Narrow" w:eastAsia="Arial Narrow" w:hAnsi="Arial Narrow" w:cs="Arial Narrow"/>
                <w:snapToGrid/>
                <w:sz w:val="20"/>
                <w:lang w:eastAsia="en-AU"/>
              </w:rPr>
            </w:pPr>
          </w:p>
        </w:tc>
        <w:tc>
          <w:tcPr>
            <w:tcW w:w="2006" w:type="pct"/>
            <w:tcBorders>
              <w:top w:val="single" w:sz="4" w:space="0" w:color="auto"/>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 xml:space="preserve">Avelumab, OS: a spline 1 knot-odds function </w:t>
            </w:r>
            <w:r w:rsidRPr="00D8075A">
              <w:rPr>
                <w:rFonts w:ascii="Arial Narrow" w:hAnsi="Arial Narrow" w:cs="Times New Roman"/>
                <w:snapToGrid/>
                <w:sz w:val="20"/>
                <w:szCs w:val="20"/>
                <w:lang w:eastAsia="en-AU"/>
              </w:rPr>
              <w:lastRenderedPageBreak/>
              <w:t>fitted to JAVELIN Merkel study (Part A) Kaplan-Meier data (24 March 2017 cut-off).</w:t>
            </w:r>
          </w:p>
          <w:p w:rsidR="001E3264" w:rsidRPr="00D8075A" w:rsidRDefault="001E3264" w:rsidP="003F11B9">
            <w:pPr>
              <w:jc w:val="left"/>
              <w:rPr>
                <w:rFonts w:ascii="Arial Narrow" w:hAnsi="Arial Narrow" w:cs="Times New Roman"/>
                <w:snapToGrid/>
                <w:sz w:val="20"/>
                <w:szCs w:val="20"/>
                <w:lang w:eastAsia="en-AU"/>
              </w:rPr>
            </w:pPr>
          </w:p>
          <w:p w:rsidR="001E3264" w:rsidRPr="00D8075A" w:rsidRDefault="001E3264" w:rsidP="003F11B9">
            <w:pPr>
              <w:jc w:val="left"/>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Modelling constraints included capping PFS with the OS curve and adjusting raw extrapolation estimates to account for the hazard of death seen in the Australian general population mortality data.</w:t>
            </w:r>
          </w:p>
          <w:p w:rsidR="001E3264" w:rsidRPr="00D8075A" w:rsidRDefault="001E3264" w:rsidP="003F11B9">
            <w:pPr>
              <w:jc w:val="left"/>
              <w:rPr>
                <w:rFonts w:ascii="Arial Narrow" w:hAnsi="Arial Narrow" w:cs="Times New Roman"/>
                <w:snapToGrid/>
                <w:sz w:val="20"/>
                <w:szCs w:val="20"/>
                <w:lang w:eastAsia="en-AU"/>
              </w:rPr>
            </w:pPr>
          </w:p>
          <w:p w:rsidR="001E3264" w:rsidRPr="00D8075A" w:rsidRDefault="001E3264" w:rsidP="003F11B9">
            <w:pPr>
              <w:jc w:val="left"/>
              <w:rPr>
                <w:rFonts w:ascii="Arial Narrow" w:eastAsia="Arial Narrow" w:hAnsi="Arial Narrow" w:cs="Arial Narrow"/>
                <w:snapToGrid/>
                <w:sz w:val="20"/>
                <w:szCs w:val="20"/>
                <w:lang w:eastAsia="en-AU"/>
              </w:rPr>
            </w:pPr>
            <w:r w:rsidRPr="00D8075A">
              <w:rPr>
                <w:rFonts w:ascii="Arial Narrow" w:eastAsia="Arial Narrow" w:hAnsi="Arial Narrow" w:cs="Arial Narrow"/>
                <w:snapToGrid/>
                <w:sz w:val="20"/>
                <w:szCs w:val="20"/>
                <w:lang w:eastAsia="en-AU"/>
              </w:rPr>
              <w:t>The projections were adjusted within the economic model to avoid over-estimation versus the predicted OS for avelumab patients.</w:t>
            </w:r>
          </w:p>
        </w:tc>
        <w:tc>
          <w:tcPr>
            <w:tcW w:w="2367" w:type="pct"/>
            <w:tcBorders>
              <w:top w:val="single" w:sz="4" w:space="0" w:color="auto"/>
              <w:left w:val="single" w:sz="4" w:space="0" w:color="000000"/>
              <w:bottom w:val="single" w:sz="4" w:space="0" w:color="auto"/>
              <w:right w:val="single" w:sz="4" w:space="0" w:color="000000"/>
            </w:tcBorders>
            <w:shd w:val="clear" w:color="000000" w:fill="FFFFFF"/>
            <w:tcMar>
              <w:left w:w="28" w:type="dxa"/>
              <w:right w:w="28" w:type="dxa"/>
            </w:tcMar>
          </w:tcPr>
          <w:p w:rsidR="001E3264" w:rsidRPr="00D8075A" w:rsidRDefault="001E3264" w:rsidP="003F11B9">
            <w:pPr>
              <w:jc w:val="left"/>
              <w:rPr>
                <w:rFonts w:ascii="Arial Narrow" w:eastAsia="Arial Narrow" w:hAnsi="Arial Narrow" w:cs="Arial Narrow"/>
                <w:snapToGrid/>
                <w:sz w:val="20"/>
                <w:szCs w:val="20"/>
                <w:lang w:eastAsia="en-AU"/>
              </w:rPr>
            </w:pPr>
            <w:r w:rsidRPr="00D8075A">
              <w:rPr>
                <w:rFonts w:ascii="Arial Narrow" w:eastAsia="Arial Narrow" w:hAnsi="Arial Narrow" w:cs="Arial Narrow"/>
                <w:snapToGrid/>
                <w:sz w:val="20"/>
                <w:szCs w:val="20"/>
                <w:lang w:eastAsia="en-AU"/>
              </w:rPr>
              <w:lastRenderedPageBreak/>
              <w:t xml:space="preserve">The submission did not apply the Kaplan-Meier data </w:t>
            </w:r>
            <w:r w:rsidRPr="00D8075A">
              <w:rPr>
                <w:rFonts w:ascii="Arial Narrow" w:eastAsia="Arial Narrow" w:hAnsi="Arial Narrow" w:cs="Arial Narrow"/>
                <w:snapToGrid/>
                <w:sz w:val="20"/>
                <w:szCs w:val="20"/>
                <w:lang w:eastAsia="en-AU"/>
              </w:rPr>
              <w:lastRenderedPageBreak/>
              <w:t>directly, and provided no justification for using only the fitted extrapolated data.</w:t>
            </w:r>
          </w:p>
          <w:p w:rsidR="001E3264" w:rsidRPr="00D8075A" w:rsidRDefault="001E3264" w:rsidP="003F11B9">
            <w:pPr>
              <w:jc w:val="left"/>
              <w:rPr>
                <w:rFonts w:ascii="Arial Narrow" w:eastAsia="Arial Narrow" w:hAnsi="Arial Narrow" w:cs="Arial Narrow"/>
                <w:snapToGrid/>
                <w:sz w:val="20"/>
                <w:szCs w:val="20"/>
                <w:lang w:eastAsia="en-AU"/>
              </w:rPr>
            </w:pPr>
          </w:p>
          <w:p w:rsidR="001E3264" w:rsidRPr="00D8075A" w:rsidRDefault="001E3264" w:rsidP="003F11B9">
            <w:pPr>
              <w:jc w:val="left"/>
              <w:rPr>
                <w:rFonts w:ascii="Arial Narrow" w:eastAsia="Arial Narrow" w:hAnsi="Arial Narrow" w:cs="Arial Narrow"/>
                <w:snapToGrid/>
                <w:sz w:val="20"/>
                <w:szCs w:val="20"/>
                <w:lang w:eastAsia="en-AU"/>
              </w:rPr>
            </w:pPr>
            <w:r w:rsidRPr="00D8075A">
              <w:rPr>
                <w:rFonts w:ascii="Arial Narrow" w:eastAsia="Arial Narrow" w:hAnsi="Arial Narrow" w:cs="Arial Narrow"/>
                <w:snapToGrid/>
                <w:sz w:val="20"/>
                <w:szCs w:val="20"/>
                <w:lang w:eastAsia="en-AU"/>
              </w:rPr>
              <w:t xml:space="preserve">The submission stated that standard parametric models were not considered to be suitable for extrapolation due to the log-cumulative hazard plots of PFS from the JAVELIN Merkel (Part A) study displaying non-monotonic hazard functions (p140-141 of the submission). This appears reasonable, although it would still be preferable to fit the standard parametric functions for comparison purposes. The submission did not explore fitting a gamma and </w:t>
            </w:r>
            <w:proofErr w:type="spellStart"/>
            <w:r w:rsidRPr="00D8075A">
              <w:rPr>
                <w:rFonts w:ascii="Arial Narrow" w:eastAsia="Arial Narrow" w:hAnsi="Arial Narrow" w:cs="Arial Narrow"/>
                <w:snapToGrid/>
                <w:sz w:val="20"/>
                <w:szCs w:val="20"/>
                <w:lang w:eastAsia="en-AU"/>
              </w:rPr>
              <w:t>Gompertz</w:t>
            </w:r>
            <w:proofErr w:type="spellEnd"/>
            <w:r w:rsidRPr="00D8075A">
              <w:rPr>
                <w:rFonts w:ascii="Arial Narrow" w:eastAsia="Arial Narrow" w:hAnsi="Arial Narrow" w:cs="Arial Narrow"/>
                <w:snapToGrid/>
                <w:sz w:val="20"/>
                <w:szCs w:val="20"/>
                <w:lang w:eastAsia="en-AU"/>
              </w:rPr>
              <w:t xml:space="preserve"> function.</w:t>
            </w:r>
          </w:p>
        </w:tc>
      </w:tr>
      <w:tr w:rsidR="001E3264" w:rsidRPr="00D8075A" w:rsidTr="0083398B">
        <w:trPr>
          <w:trHeight w:val="1"/>
        </w:trPr>
        <w:tc>
          <w:tcPr>
            <w:tcW w:w="627" w:type="pct"/>
            <w:vMerge/>
            <w:tcBorders>
              <w:left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ascii="Arial Narrow" w:eastAsia="Arial Narrow" w:hAnsi="Arial Narrow" w:cs="Arial Narrow"/>
                <w:snapToGrid/>
                <w:sz w:val="20"/>
                <w:lang w:eastAsia="en-AU"/>
              </w:rPr>
            </w:pPr>
          </w:p>
        </w:tc>
        <w:tc>
          <w:tcPr>
            <w:tcW w:w="2006"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 xml:space="preserve">Chemotherapy, PFS: a Weibull function fitted to Study Obs001 </w:t>
            </w:r>
            <w:r w:rsidR="00B456A5" w:rsidRPr="00D8075A">
              <w:rPr>
                <w:rFonts w:ascii="Arial Narrow" w:hAnsi="Arial Narrow" w:cs="Times New Roman"/>
                <w:snapToGrid/>
                <w:sz w:val="20"/>
                <w:szCs w:val="20"/>
                <w:lang w:eastAsia="en-AU"/>
              </w:rPr>
              <w:t xml:space="preserve">Part B </w:t>
            </w:r>
            <w:r w:rsidRPr="00D8075A">
              <w:rPr>
                <w:rFonts w:ascii="Arial Narrow" w:hAnsi="Arial Narrow" w:cs="Times New Roman"/>
                <w:snapToGrid/>
                <w:sz w:val="20"/>
                <w:szCs w:val="20"/>
                <w:lang w:eastAsia="en-AU"/>
              </w:rPr>
              <w:t>Kaplan-Meier data.</w:t>
            </w:r>
          </w:p>
        </w:tc>
        <w:tc>
          <w:tcPr>
            <w:tcW w:w="2367" w:type="pct"/>
            <w:tcBorders>
              <w:top w:val="single" w:sz="4" w:space="0" w:color="auto"/>
              <w:left w:val="single" w:sz="4" w:space="0" w:color="000000"/>
              <w:bottom w:val="single" w:sz="4" w:space="0" w:color="auto"/>
              <w:right w:val="single" w:sz="4" w:space="0" w:color="000000"/>
            </w:tcBorders>
            <w:shd w:val="clear" w:color="000000" w:fill="FFFFFF"/>
            <w:tcMar>
              <w:left w:w="28" w:type="dxa"/>
              <w:right w:w="28" w:type="dxa"/>
            </w:tcMar>
          </w:tcPr>
          <w:p w:rsidR="001E3264" w:rsidRPr="00D8075A" w:rsidRDefault="001E3264" w:rsidP="003F11B9">
            <w:pPr>
              <w:jc w:val="left"/>
              <w:rPr>
                <w:rFonts w:ascii="Arial Narrow" w:eastAsia="Arial Narrow" w:hAnsi="Arial Narrow" w:cs="Arial Narrow"/>
                <w:snapToGrid/>
                <w:sz w:val="20"/>
                <w:szCs w:val="20"/>
                <w:lang w:eastAsia="en-AU"/>
              </w:rPr>
            </w:pPr>
            <w:r w:rsidRPr="00D8075A">
              <w:rPr>
                <w:rFonts w:ascii="Arial Narrow" w:eastAsia="Arial Narrow" w:hAnsi="Arial Narrow" w:cs="Arial Narrow"/>
                <w:snapToGrid/>
                <w:sz w:val="20"/>
                <w:szCs w:val="20"/>
                <w:lang w:eastAsia="en-AU"/>
              </w:rPr>
              <w:t>The submission did not apply the Kaplan-Meier data directly, and provided no justification for using only the fitted extrapolated data.</w:t>
            </w:r>
          </w:p>
          <w:p w:rsidR="001E3264" w:rsidRPr="00D8075A" w:rsidRDefault="001E3264" w:rsidP="003F11B9">
            <w:pPr>
              <w:jc w:val="left"/>
              <w:rPr>
                <w:rFonts w:ascii="Arial Narrow" w:eastAsia="Arial Narrow" w:hAnsi="Arial Narrow" w:cs="Arial Narrow"/>
                <w:snapToGrid/>
                <w:sz w:val="20"/>
                <w:szCs w:val="20"/>
                <w:lang w:eastAsia="en-AU"/>
              </w:rPr>
            </w:pPr>
          </w:p>
          <w:p w:rsidR="001E3264" w:rsidRPr="00D8075A" w:rsidRDefault="001E3264" w:rsidP="00BF1ED3">
            <w:pPr>
              <w:jc w:val="left"/>
              <w:rPr>
                <w:rFonts w:ascii="Arial Narrow" w:eastAsia="Arial Narrow" w:hAnsi="Arial Narrow" w:cs="Arial Narrow"/>
                <w:snapToGrid/>
                <w:sz w:val="20"/>
                <w:szCs w:val="20"/>
                <w:lang w:eastAsia="en-AU"/>
              </w:rPr>
            </w:pPr>
            <w:r w:rsidRPr="00D8075A">
              <w:rPr>
                <w:rFonts w:ascii="Arial Narrow" w:eastAsia="Arial Narrow" w:hAnsi="Arial Narrow" w:cs="Arial Narrow"/>
                <w:snapToGrid/>
                <w:sz w:val="20"/>
                <w:szCs w:val="20"/>
                <w:lang w:eastAsia="en-AU"/>
              </w:rPr>
              <w:t>Th</w:t>
            </w:r>
            <w:r w:rsidR="007C313D" w:rsidRPr="00D8075A">
              <w:rPr>
                <w:rFonts w:ascii="Arial Narrow" w:eastAsia="Arial Narrow" w:hAnsi="Arial Narrow" w:cs="Arial Narrow"/>
                <w:snapToGrid/>
                <w:sz w:val="20"/>
                <w:szCs w:val="20"/>
                <w:lang w:eastAsia="en-AU"/>
              </w:rPr>
              <w:t>is function appears reasonable.</w:t>
            </w:r>
          </w:p>
        </w:tc>
      </w:tr>
      <w:tr w:rsidR="001E3264" w:rsidRPr="00D8075A" w:rsidTr="0083398B">
        <w:trPr>
          <w:trHeight w:val="1"/>
        </w:trPr>
        <w:tc>
          <w:tcPr>
            <w:tcW w:w="627" w:type="pct"/>
            <w:vMerge/>
            <w:tcBorders>
              <w:left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ascii="Arial Narrow" w:eastAsia="Arial Narrow" w:hAnsi="Arial Narrow" w:cs="Arial Narrow"/>
                <w:snapToGrid/>
                <w:sz w:val="20"/>
                <w:lang w:eastAsia="en-AU"/>
              </w:rPr>
            </w:pPr>
          </w:p>
        </w:tc>
        <w:tc>
          <w:tcPr>
            <w:tcW w:w="2006"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Del="005E6629" w:rsidRDefault="001E3264" w:rsidP="003F11B9">
            <w:pPr>
              <w:jc w:val="left"/>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 xml:space="preserve">Chemotherapy, OS: a </w:t>
            </w:r>
            <w:proofErr w:type="spellStart"/>
            <w:r w:rsidRPr="00D8075A">
              <w:rPr>
                <w:rFonts w:ascii="Arial Narrow" w:hAnsi="Arial Narrow" w:cs="Times New Roman"/>
                <w:snapToGrid/>
                <w:sz w:val="20"/>
                <w:szCs w:val="20"/>
                <w:lang w:eastAsia="en-AU"/>
              </w:rPr>
              <w:t>Gompertz</w:t>
            </w:r>
            <w:proofErr w:type="spellEnd"/>
            <w:r w:rsidRPr="00D8075A">
              <w:rPr>
                <w:rFonts w:ascii="Arial Narrow" w:hAnsi="Arial Narrow" w:cs="Times New Roman"/>
                <w:snapToGrid/>
                <w:sz w:val="20"/>
                <w:szCs w:val="20"/>
                <w:lang w:eastAsia="en-AU"/>
              </w:rPr>
              <w:t xml:space="preserve"> function fitted to Study Obs001</w:t>
            </w:r>
            <w:r w:rsidR="00B456A5" w:rsidRPr="00D8075A">
              <w:rPr>
                <w:rFonts w:ascii="Arial Narrow" w:hAnsi="Arial Narrow" w:cs="Times New Roman"/>
                <w:snapToGrid/>
                <w:sz w:val="20"/>
                <w:szCs w:val="20"/>
                <w:lang w:eastAsia="en-AU"/>
              </w:rPr>
              <w:t xml:space="preserve"> Part B</w:t>
            </w:r>
            <w:r w:rsidRPr="00D8075A">
              <w:rPr>
                <w:rFonts w:ascii="Arial Narrow" w:hAnsi="Arial Narrow" w:cs="Times New Roman"/>
                <w:snapToGrid/>
                <w:sz w:val="20"/>
                <w:szCs w:val="20"/>
                <w:lang w:eastAsia="en-AU"/>
              </w:rPr>
              <w:t xml:space="preserve"> Kaplan-Meier data</w:t>
            </w:r>
          </w:p>
        </w:tc>
        <w:tc>
          <w:tcPr>
            <w:tcW w:w="2367" w:type="pct"/>
            <w:tcBorders>
              <w:top w:val="single" w:sz="4" w:space="0" w:color="auto"/>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ascii="Arial Narrow" w:eastAsia="Arial Narrow" w:hAnsi="Arial Narrow" w:cs="Arial Narrow"/>
                <w:snapToGrid/>
                <w:sz w:val="20"/>
                <w:szCs w:val="20"/>
                <w:lang w:eastAsia="en-AU"/>
              </w:rPr>
            </w:pPr>
            <w:r w:rsidRPr="00D8075A">
              <w:rPr>
                <w:rFonts w:ascii="Arial Narrow" w:eastAsia="Arial Narrow" w:hAnsi="Arial Narrow" w:cs="Arial Narrow"/>
                <w:snapToGrid/>
                <w:sz w:val="20"/>
                <w:szCs w:val="20"/>
                <w:lang w:eastAsia="en-AU"/>
              </w:rPr>
              <w:t>The submission did not apply the Kaplan-Meier data directly, and provided no justification for using only the fitted extrapolated data.</w:t>
            </w:r>
          </w:p>
          <w:p w:rsidR="001E3264" w:rsidRPr="00D8075A" w:rsidRDefault="001E3264" w:rsidP="003F11B9">
            <w:pPr>
              <w:jc w:val="left"/>
              <w:rPr>
                <w:rFonts w:ascii="Arial Narrow" w:eastAsia="Arial Narrow" w:hAnsi="Arial Narrow" w:cs="Arial Narrow"/>
                <w:snapToGrid/>
                <w:sz w:val="20"/>
                <w:szCs w:val="20"/>
                <w:lang w:eastAsia="en-AU"/>
              </w:rPr>
            </w:pPr>
          </w:p>
          <w:p w:rsidR="001E3264" w:rsidRPr="00D8075A" w:rsidRDefault="001E3264" w:rsidP="003F11B9">
            <w:pPr>
              <w:jc w:val="left"/>
              <w:rPr>
                <w:rFonts w:ascii="Arial Narrow" w:eastAsia="Arial Narrow" w:hAnsi="Arial Narrow" w:cs="Arial Narrow"/>
                <w:snapToGrid/>
                <w:sz w:val="20"/>
                <w:szCs w:val="20"/>
                <w:lang w:eastAsia="en-AU"/>
              </w:rPr>
            </w:pPr>
            <w:r w:rsidRPr="00D8075A">
              <w:rPr>
                <w:rFonts w:ascii="Arial Narrow" w:eastAsia="Arial Narrow" w:hAnsi="Arial Narrow" w:cs="Arial Narrow"/>
                <w:snapToGrid/>
                <w:sz w:val="20"/>
                <w:szCs w:val="20"/>
                <w:lang w:eastAsia="en-AU"/>
              </w:rPr>
              <w:t>Th</w:t>
            </w:r>
            <w:r w:rsidR="007C313D" w:rsidRPr="00D8075A">
              <w:rPr>
                <w:rFonts w:ascii="Arial Narrow" w:eastAsia="Arial Narrow" w:hAnsi="Arial Narrow" w:cs="Arial Narrow"/>
                <w:snapToGrid/>
                <w:sz w:val="20"/>
                <w:szCs w:val="20"/>
                <w:lang w:eastAsia="en-AU"/>
              </w:rPr>
              <w:t>is function appears reasonable.</w:t>
            </w:r>
          </w:p>
        </w:tc>
      </w:tr>
      <w:tr w:rsidR="001E3264" w:rsidRPr="00D8075A" w:rsidTr="0083398B">
        <w:trPr>
          <w:trHeight w:val="1"/>
        </w:trPr>
        <w:tc>
          <w:tcPr>
            <w:tcW w:w="627" w:type="pct"/>
            <w:vMerge/>
            <w:tcBorders>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cs="Times New Roman"/>
                <w:snapToGrid/>
                <w:sz w:val="22"/>
                <w:lang w:eastAsia="en-AU"/>
              </w:rPr>
            </w:pPr>
          </w:p>
        </w:tc>
        <w:tc>
          <w:tcPr>
            <w:tcW w:w="2006"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 xml:space="preserve">Avelumab time on treatment: a log-logistic function fitted to JAVELIN Merkel 200 (Part A) Kaplan-Meier data. Assumed 5% of patients remain on treatment beyond 2 years, and capped at 5 years. </w:t>
            </w:r>
            <w:proofErr w:type="spellStart"/>
            <w:r w:rsidRPr="00D8075A">
              <w:rPr>
                <w:rFonts w:ascii="Arial Narrow" w:hAnsi="Arial Narrow" w:cs="Times New Roman"/>
                <w:snapToGrid/>
                <w:sz w:val="20"/>
                <w:szCs w:val="20"/>
                <w:lang w:eastAsia="en-AU"/>
              </w:rPr>
              <w:t>ToT</w:t>
            </w:r>
            <w:proofErr w:type="spellEnd"/>
            <w:r w:rsidRPr="00D8075A">
              <w:rPr>
                <w:rFonts w:ascii="Arial Narrow" w:hAnsi="Arial Narrow" w:cs="Times New Roman"/>
                <w:snapToGrid/>
                <w:sz w:val="20"/>
                <w:szCs w:val="20"/>
                <w:lang w:eastAsia="en-AU"/>
              </w:rPr>
              <w:t xml:space="preserve"> curve assumed to not exceed that of the PFS curve.</w:t>
            </w:r>
          </w:p>
          <w:p w:rsidR="001E3264" w:rsidRPr="00D8075A" w:rsidRDefault="001E3264" w:rsidP="003F11B9">
            <w:pPr>
              <w:jc w:val="left"/>
              <w:rPr>
                <w:rFonts w:ascii="Arial Narrow" w:hAnsi="Arial Narrow" w:cs="Times New Roman"/>
                <w:snapToGrid/>
                <w:sz w:val="20"/>
                <w:szCs w:val="20"/>
                <w:lang w:eastAsia="en-AU"/>
              </w:rPr>
            </w:pPr>
          </w:p>
          <w:p w:rsidR="001E3264" w:rsidRPr="00D8075A" w:rsidRDefault="001E3264" w:rsidP="003F11B9">
            <w:pPr>
              <w:jc w:val="left"/>
              <w:rPr>
                <w:rFonts w:ascii="Arial Narrow" w:hAnsi="Arial Narrow" w:cs="Times New Roman"/>
                <w:snapToGrid/>
                <w:sz w:val="20"/>
                <w:szCs w:val="20"/>
                <w:lang w:eastAsia="en-AU"/>
              </w:rPr>
            </w:pPr>
            <w:r w:rsidRPr="00D8075A">
              <w:rPr>
                <w:rFonts w:ascii="Arial Narrow" w:hAnsi="Arial Narrow" w:cs="Times New Roman"/>
                <w:snapToGrid/>
                <w:sz w:val="20"/>
                <w:szCs w:val="20"/>
                <w:lang w:eastAsia="en-AU"/>
              </w:rPr>
              <w:t>Chemotherapy time on treatment: assumed that up to six treatment cycles, 3 weeks in length (maximum of 18 weeks) for chemotherapy regimens.</w:t>
            </w:r>
          </w:p>
        </w:tc>
        <w:tc>
          <w:tcPr>
            <w:tcW w:w="2367"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ascii="Arial Narrow" w:eastAsia="Arial Narrow" w:hAnsi="Arial Narrow" w:cs="Arial Narrow"/>
                <w:snapToGrid/>
                <w:sz w:val="20"/>
                <w:szCs w:val="20"/>
                <w:lang w:eastAsia="en-AU"/>
              </w:rPr>
            </w:pPr>
            <w:r w:rsidRPr="00D8075A">
              <w:rPr>
                <w:rFonts w:ascii="Arial Narrow" w:eastAsia="Arial Narrow" w:hAnsi="Arial Narrow" w:cs="Arial Narrow"/>
                <w:snapToGrid/>
                <w:sz w:val="20"/>
                <w:szCs w:val="20"/>
                <w:lang w:eastAsia="en-AU"/>
              </w:rPr>
              <w:t>The submission did not apply the Kaplan-Meier data directly, and provided no justification for using only the fitted extrapolated data.</w:t>
            </w:r>
          </w:p>
          <w:p w:rsidR="001E3264" w:rsidRPr="00D8075A" w:rsidRDefault="001E3264" w:rsidP="003F11B9">
            <w:pPr>
              <w:jc w:val="left"/>
              <w:rPr>
                <w:rFonts w:ascii="Arial Narrow" w:eastAsia="Arial Narrow" w:hAnsi="Arial Narrow" w:cs="Arial Narrow"/>
                <w:snapToGrid/>
                <w:sz w:val="20"/>
                <w:szCs w:val="20"/>
                <w:lang w:eastAsia="en-AU"/>
              </w:rPr>
            </w:pPr>
          </w:p>
          <w:p w:rsidR="001E3264" w:rsidRPr="00D8075A" w:rsidRDefault="00E400E6" w:rsidP="003F11B9">
            <w:pPr>
              <w:jc w:val="left"/>
              <w:rPr>
                <w:rFonts w:ascii="Arial Narrow" w:eastAsia="Arial Narrow" w:hAnsi="Arial Narrow" w:cs="Arial Narrow"/>
                <w:snapToGrid/>
                <w:sz w:val="20"/>
                <w:szCs w:val="20"/>
                <w:lang w:eastAsia="en-AU"/>
              </w:rPr>
            </w:pPr>
            <w:r w:rsidRPr="00D8075A">
              <w:rPr>
                <w:rFonts w:ascii="Arial Narrow" w:eastAsia="Arial Narrow" w:hAnsi="Arial Narrow" w:cs="Arial Narrow"/>
                <w:snapToGrid/>
                <w:sz w:val="20"/>
                <w:szCs w:val="20"/>
                <w:lang w:eastAsia="en-AU"/>
              </w:rPr>
              <w:t xml:space="preserve">The </w:t>
            </w:r>
            <w:r w:rsidR="00AE357A" w:rsidRPr="00D8075A">
              <w:rPr>
                <w:rFonts w:ascii="Arial Narrow" w:eastAsia="Arial Narrow" w:hAnsi="Arial Narrow" w:cs="Arial Narrow"/>
                <w:snapToGrid/>
                <w:sz w:val="20"/>
                <w:szCs w:val="20"/>
                <w:lang w:eastAsia="en-AU"/>
              </w:rPr>
              <w:t>requested</w:t>
            </w:r>
            <w:r w:rsidRPr="00D8075A">
              <w:rPr>
                <w:rFonts w:ascii="Arial Narrow" w:eastAsia="Arial Narrow" w:hAnsi="Arial Narrow" w:cs="Arial Narrow"/>
                <w:snapToGrid/>
                <w:sz w:val="20"/>
                <w:szCs w:val="20"/>
                <w:lang w:eastAsia="en-AU"/>
              </w:rPr>
              <w:t xml:space="preserve"> PBS restriction states that “patient must have stable or responding disease”. It is likely that patients who respond to therapy will have </w:t>
            </w:r>
            <w:proofErr w:type="gramStart"/>
            <w:r w:rsidRPr="00D8075A">
              <w:rPr>
                <w:rFonts w:ascii="Arial Narrow" w:eastAsia="Arial Narrow" w:hAnsi="Arial Narrow" w:cs="Arial Narrow"/>
                <w:snapToGrid/>
                <w:sz w:val="20"/>
                <w:szCs w:val="20"/>
                <w:lang w:eastAsia="en-AU"/>
              </w:rPr>
              <w:t>an extended</w:t>
            </w:r>
            <w:proofErr w:type="gramEnd"/>
            <w:r w:rsidRPr="00D8075A">
              <w:rPr>
                <w:rFonts w:ascii="Arial Narrow" w:eastAsia="Arial Narrow" w:hAnsi="Arial Narrow" w:cs="Arial Narrow"/>
                <w:snapToGrid/>
                <w:sz w:val="20"/>
                <w:szCs w:val="20"/>
                <w:lang w:eastAsia="en-AU"/>
              </w:rPr>
              <w:t xml:space="preserve"> treatment duration, given the long tail observed in the PFS Kaplan-Meier curves of the JAVELIN Merkel 200 study. Consequently, treatment costs were likely underestimated in the model.</w:t>
            </w:r>
          </w:p>
          <w:p w:rsidR="001E3264" w:rsidRPr="00D8075A" w:rsidRDefault="001E3264" w:rsidP="003F11B9">
            <w:pPr>
              <w:jc w:val="left"/>
              <w:rPr>
                <w:rFonts w:ascii="Arial Narrow" w:eastAsia="Arial Narrow" w:hAnsi="Arial Narrow" w:cs="Arial Narrow"/>
                <w:snapToGrid/>
                <w:sz w:val="20"/>
                <w:szCs w:val="20"/>
                <w:lang w:eastAsia="en-AU"/>
              </w:rPr>
            </w:pPr>
          </w:p>
          <w:p w:rsidR="001E3264" w:rsidRPr="00D8075A" w:rsidRDefault="001E3264" w:rsidP="003F11B9">
            <w:pPr>
              <w:jc w:val="left"/>
              <w:rPr>
                <w:rFonts w:ascii="Arial Narrow" w:eastAsia="Arial Narrow" w:hAnsi="Arial Narrow" w:cs="Arial Narrow"/>
                <w:snapToGrid/>
                <w:sz w:val="20"/>
                <w:szCs w:val="20"/>
                <w:lang w:eastAsia="en-AU"/>
              </w:rPr>
            </w:pPr>
            <w:r w:rsidRPr="00D8075A">
              <w:rPr>
                <w:rFonts w:ascii="Arial Narrow" w:eastAsia="Arial Narrow" w:hAnsi="Arial Narrow" w:cs="Arial Narrow"/>
                <w:snapToGrid/>
                <w:sz w:val="20"/>
                <w:szCs w:val="20"/>
                <w:lang w:eastAsia="en-AU"/>
              </w:rPr>
              <w:t xml:space="preserve">The submission did not justify the time on treatment of six cycles chosen for the model and whether this reflects clinical practice in Australia. The submission did not explain why they did not use Study Obs001 data for time on treatment. </w:t>
            </w:r>
          </w:p>
          <w:p w:rsidR="00557517" w:rsidRPr="00D8075A" w:rsidRDefault="00557517" w:rsidP="003F11B9">
            <w:pPr>
              <w:jc w:val="left"/>
              <w:rPr>
                <w:rFonts w:ascii="Arial Narrow" w:eastAsia="Arial Narrow" w:hAnsi="Arial Narrow" w:cs="Arial Narrow"/>
                <w:snapToGrid/>
                <w:sz w:val="20"/>
                <w:szCs w:val="20"/>
                <w:lang w:eastAsia="en-AU"/>
              </w:rPr>
            </w:pPr>
          </w:p>
          <w:p w:rsidR="00557517" w:rsidRPr="00D8075A" w:rsidRDefault="00557517" w:rsidP="00D068CB">
            <w:pPr>
              <w:jc w:val="left"/>
              <w:rPr>
                <w:rFonts w:cs="Times New Roman"/>
                <w:snapToGrid/>
                <w:sz w:val="20"/>
                <w:szCs w:val="20"/>
                <w:lang w:eastAsia="en-AU"/>
              </w:rPr>
            </w:pPr>
            <w:r w:rsidRPr="00D8075A">
              <w:rPr>
                <w:rFonts w:ascii="Arial Narrow" w:eastAsia="Arial Narrow" w:hAnsi="Arial Narrow" w:cs="Arial Narrow"/>
                <w:snapToGrid/>
                <w:sz w:val="20"/>
                <w:szCs w:val="20"/>
                <w:lang w:eastAsia="en-AU"/>
              </w:rPr>
              <w:t>The PSCR stated the</w:t>
            </w:r>
            <w:r w:rsidRPr="00D8075A">
              <w:t xml:space="preserve"> </w:t>
            </w:r>
            <w:r w:rsidRPr="00D8075A">
              <w:rPr>
                <w:rFonts w:ascii="Arial Narrow" w:eastAsia="Arial Narrow" w:hAnsi="Arial Narrow" w:cs="Arial Narrow"/>
                <w:snapToGrid/>
                <w:sz w:val="20"/>
                <w:szCs w:val="20"/>
                <w:lang w:eastAsia="en-AU"/>
              </w:rPr>
              <w:t>assumption of 6 months on treatment with chemotherapy was based on clinical opinion obtained for the UK for the avelumab NICE submission. The 10 Australian clinicians surveyed as part of the PSCR noted that cycles typically ranged between 4 and 6 cycles, depending on what patients were able to tolerate. The PSCR presented results from a sensitivity analysis of 6 cycles, totalling 12 weeks of treatment; the ICER increases marginally from $</w:t>
            </w:r>
            <w:r w:rsidR="00D068CB">
              <w:rPr>
                <w:rFonts w:ascii="Arial Narrow" w:eastAsia="Arial Narrow" w:hAnsi="Arial Narrow" w:cs="Arial Narrow"/>
                <w:snapToGrid/>
                <w:sz w:val="20"/>
                <w:szCs w:val="20"/>
                <w:lang w:eastAsia="en-AU"/>
              </w:rPr>
              <w:t>45,000/QALY -</w:t>
            </w:r>
            <w:r w:rsidR="00400876">
              <w:rPr>
                <w:rFonts w:ascii="Arial Narrow" w:eastAsia="Arial Narrow" w:hAnsi="Arial Narrow" w:cs="Arial Narrow"/>
                <w:snapToGrid/>
                <w:sz w:val="20"/>
                <w:szCs w:val="20"/>
                <w:lang w:eastAsia="en-AU"/>
              </w:rPr>
              <w:t xml:space="preserve"> $75,000/QALY</w:t>
            </w:r>
            <w:r w:rsidRPr="00D8075A">
              <w:rPr>
                <w:rFonts w:ascii="Arial Narrow" w:eastAsia="Arial Narrow" w:hAnsi="Arial Narrow" w:cs="Arial Narrow"/>
                <w:snapToGrid/>
                <w:sz w:val="20"/>
                <w:szCs w:val="20"/>
                <w:lang w:eastAsia="en-AU"/>
              </w:rPr>
              <w:t xml:space="preserve"> to $</w:t>
            </w:r>
            <w:r w:rsidR="00400876">
              <w:rPr>
                <w:rFonts w:ascii="Arial Narrow" w:eastAsia="Arial Narrow" w:hAnsi="Arial Narrow" w:cs="Arial Narrow"/>
                <w:snapToGrid/>
                <w:sz w:val="20"/>
                <w:szCs w:val="20"/>
                <w:lang w:eastAsia="en-AU"/>
              </w:rPr>
              <w:t>45,000/QALY - $75,000/QALY</w:t>
            </w:r>
            <w:r w:rsidRPr="00D8075A">
              <w:rPr>
                <w:rFonts w:ascii="Arial Narrow" w:eastAsia="Arial Narrow" w:hAnsi="Arial Narrow" w:cs="Arial Narrow"/>
                <w:snapToGrid/>
                <w:sz w:val="20"/>
                <w:szCs w:val="20"/>
                <w:lang w:eastAsia="en-AU"/>
              </w:rPr>
              <w:t xml:space="preserve">. </w:t>
            </w:r>
          </w:p>
        </w:tc>
      </w:tr>
      <w:tr w:rsidR="001E3264" w:rsidRPr="00D8075A" w:rsidTr="0083398B">
        <w:trPr>
          <w:trHeight w:val="1"/>
        </w:trPr>
        <w:tc>
          <w:tcPr>
            <w:tcW w:w="627"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ascii="Arial Narrow" w:eastAsia="Arial Narrow" w:hAnsi="Arial Narrow" w:cs="Arial Narrow"/>
                <w:snapToGrid/>
                <w:sz w:val="20"/>
                <w:lang w:eastAsia="en-AU"/>
              </w:rPr>
            </w:pPr>
            <w:r w:rsidRPr="00D8075A">
              <w:rPr>
                <w:rFonts w:ascii="Arial Narrow" w:eastAsia="Arial Narrow" w:hAnsi="Arial Narrow" w:cs="Arial Narrow"/>
                <w:snapToGrid/>
                <w:sz w:val="20"/>
                <w:lang w:eastAsia="en-AU"/>
              </w:rPr>
              <w:t>Incidence of adverse events</w:t>
            </w:r>
          </w:p>
        </w:tc>
        <w:tc>
          <w:tcPr>
            <w:tcW w:w="2006"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ascii="Arial Narrow" w:eastAsia="Arial Narrow" w:hAnsi="Arial Narrow" w:cs="Arial Narrow"/>
                <w:iCs/>
                <w:snapToGrid/>
                <w:sz w:val="20"/>
                <w:lang w:eastAsia="en-AU"/>
              </w:rPr>
            </w:pPr>
            <w:r w:rsidRPr="00D8075A">
              <w:rPr>
                <w:rFonts w:ascii="Arial Narrow" w:eastAsia="Arial Narrow" w:hAnsi="Arial Narrow" w:cs="Arial Narrow"/>
                <w:iCs/>
                <w:snapToGrid/>
                <w:sz w:val="20"/>
                <w:lang w:eastAsia="en-AU"/>
              </w:rPr>
              <w:t>Avelumab: JAVELIN Merkel 200 study: 3 March 2016 data cut–off.</w:t>
            </w:r>
          </w:p>
          <w:p w:rsidR="001E3264" w:rsidRPr="00D8075A" w:rsidRDefault="001E3264" w:rsidP="003F11B9">
            <w:pPr>
              <w:jc w:val="left"/>
              <w:rPr>
                <w:rFonts w:ascii="Arial Narrow" w:eastAsia="Arial Narrow" w:hAnsi="Arial Narrow" w:cs="Arial Narrow"/>
                <w:iCs/>
                <w:snapToGrid/>
                <w:sz w:val="20"/>
                <w:lang w:eastAsia="en-AU"/>
              </w:rPr>
            </w:pPr>
          </w:p>
          <w:p w:rsidR="001E3264" w:rsidRPr="00D8075A" w:rsidRDefault="001E3264" w:rsidP="003F11B9">
            <w:pPr>
              <w:jc w:val="left"/>
              <w:rPr>
                <w:rFonts w:ascii="Arial Narrow" w:eastAsia="Arial Narrow" w:hAnsi="Arial Narrow" w:cs="Arial Narrow"/>
                <w:iCs/>
                <w:snapToGrid/>
                <w:sz w:val="20"/>
                <w:lang w:eastAsia="en-AU"/>
              </w:rPr>
            </w:pPr>
            <w:r w:rsidRPr="00D8075A">
              <w:rPr>
                <w:rFonts w:ascii="Arial Narrow" w:eastAsia="Arial Narrow" w:hAnsi="Arial Narrow" w:cs="Arial Narrow"/>
                <w:iCs/>
                <w:snapToGrid/>
                <w:sz w:val="20"/>
                <w:lang w:eastAsia="en-AU"/>
              </w:rPr>
              <w:lastRenderedPageBreak/>
              <w:t xml:space="preserve">Chemotherapy: data </w:t>
            </w:r>
            <w:r w:rsidR="00AD1D1D" w:rsidRPr="00D8075A">
              <w:rPr>
                <w:rFonts w:ascii="Arial Narrow" w:eastAsia="Arial Narrow" w:hAnsi="Arial Narrow" w:cs="Arial Narrow"/>
                <w:iCs/>
                <w:snapToGrid/>
                <w:sz w:val="20"/>
                <w:lang w:eastAsia="en-AU"/>
              </w:rPr>
              <w:t>were</w:t>
            </w:r>
            <w:r w:rsidRPr="00D8075A">
              <w:rPr>
                <w:rFonts w:ascii="Arial Narrow" w:eastAsia="Arial Narrow" w:hAnsi="Arial Narrow" w:cs="Arial Narrow"/>
                <w:iCs/>
                <w:snapToGrid/>
                <w:sz w:val="20"/>
                <w:lang w:eastAsia="en-AU"/>
              </w:rPr>
              <w:t xml:space="preserve"> extracted from studies identified in the systematic literature review conducted for the NICE UK submission for each treatment, matching patient characteristics as closely as possible with patients from the JAVELIN Merkel 200 study. The submission estimated the incidence of adverse events with chemotherapy based on the treatment of small-cell lung cancer (SCLC) and melanoma.</w:t>
            </w:r>
          </w:p>
          <w:p w:rsidR="001E3264" w:rsidRPr="00D8075A" w:rsidRDefault="001E3264" w:rsidP="003F11B9">
            <w:pPr>
              <w:jc w:val="left"/>
              <w:rPr>
                <w:rFonts w:ascii="Arial Narrow" w:eastAsia="Arial Narrow" w:hAnsi="Arial Narrow" w:cs="Arial Narrow"/>
                <w:snapToGrid/>
                <w:sz w:val="20"/>
                <w:lang w:eastAsia="en-AU"/>
              </w:rPr>
            </w:pPr>
          </w:p>
          <w:p w:rsidR="001E3264" w:rsidRPr="00D8075A" w:rsidRDefault="001E3264" w:rsidP="003F11B9">
            <w:pPr>
              <w:jc w:val="left"/>
              <w:rPr>
                <w:rFonts w:ascii="Arial Narrow" w:eastAsia="Arial Narrow" w:hAnsi="Arial Narrow" w:cs="Arial Narrow"/>
                <w:snapToGrid/>
                <w:sz w:val="20"/>
                <w:lang w:eastAsia="en-AU"/>
              </w:rPr>
            </w:pPr>
            <w:r w:rsidRPr="00D8075A">
              <w:rPr>
                <w:rFonts w:ascii="Arial Narrow" w:eastAsia="Arial Narrow" w:hAnsi="Arial Narrow" w:cs="Arial Narrow"/>
                <w:snapToGrid/>
                <w:sz w:val="20"/>
                <w:lang w:eastAsia="en-AU"/>
              </w:rPr>
              <w:t>Submission assumed that AEs not reported during JAVELIN Merkel 200 and Study Obs001 had 0% prevalence.</w:t>
            </w:r>
          </w:p>
        </w:tc>
        <w:tc>
          <w:tcPr>
            <w:tcW w:w="2367"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ascii="Arial Narrow" w:eastAsia="Arial Narrow" w:hAnsi="Arial Narrow" w:cs="Arial Narrow"/>
                <w:bCs/>
                <w:snapToGrid/>
                <w:sz w:val="20"/>
                <w:lang w:eastAsia="en-AU"/>
              </w:rPr>
            </w:pPr>
            <w:r w:rsidRPr="00D8075A">
              <w:rPr>
                <w:rFonts w:ascii="Arial Narrow" w:eastAsia="Arial Narrow" w:hAnsi="Arial Narrow" w:cs="Arial Narrow"/>
                <w:snapToGrid/>
                <w:sz w:val="20"/>
                <w:lang w:eastAsia="en-AU"/>
              </w:rPr>
              <w:lastRenderedPageBreak/>
              <w:t xml:space="preserve">The </w:t>
            </w:r>
            <w:r w:rsidR="00780B9B" w:rsidRPr="00D8075A">
              <w:rPr>
                <w:rFonts w:ascii="Arial Narrow" w:eastAsia="Arial Narrow" w:hAnsi="Arial Narrow" w:cs="Arial Narrow"/>
                <w:snapToGrid/>
                <w:sz w:val="20"/>
                <w:lang w:eastAsia="en-AU"/>
              </w:rPr>
              <w:t>incidence of AEs is</w:t>
            </w:r>
            <w:r w:rsidRPr="00D8075A">
              <w:rPr>
                <w:rFonts w:ascii="Arial Narrow" w:eastAsia="Arial Narrow" w:hAnsi="Arial Narrow" w:cs="Arial Narrow"/>
                <w:snapToGrid/>
                <w:sz w:val="20"/>
                <w:lang w:eastAsia="en-AU"/>
              </w:rPr>
              <w:t xml:space="preserve"> uncertain as </w:t>
            </w:r>
            <w:r w:rsidRPr="00D8075A">
              <w:rPr>
                <w:rFonts w:ascii="Arial Narrow" w:eastAsia="Arial Narrow" w:hAnsi="Arial Narrow" w:cs="Arial Narrow"/>
                <w:bCs/>
                <w:snapToGrid/>
                <w:sz w:val="20"/>
                <w:lang w:eastAsia="en-AU"/>
              </w:rPr>
              <w:t xml:space="preserve">there was a lack of comparative safety data between avelumab and chemotherapy. </w:t>
            </w:r>
          </w:p>
          <w:p w:rsidR="001E3264" w:rsidRPr="00D8075A" w:rsidRDefault="001E3264" w:rsidP="003F11B9">
            <w:pPr>
              <w:jc w:val="left"/>
              <w:rPr>
                <w:rFonts w:ascii="Arial Narrow" w:eastAsia="Arial Narrow" w:hAnsi="Arial Narrow" w:cs="Arial Narrow"/>
                <w:bCs/>
                <w:snapToGrid/>
                <w:sz w:val="20"/>
                <w:lang w:eastAsia="en-AU"/>
              </w:rPr>
            </w:pPr>
          </w:p>
          <w:p w:rsidR="001E3264" w:rsidRPr="00D8075A" w:rsidRDefault="001E3264" w:rsidP="003F11B9">
            <w:pPr>
              <w:jc w:val="left"/>
              <w:rPr>
                <w:rFonts w:ascii="Arial Narrow" w:eastAsia="Arial Narrow" w:hAnsi="Arial Narrow" w:cs="Arial Narrow"/>
                <w:iCs/>
                <w:snapToGrid/>
                <w:sz w:val="20"/>
                <w:szCs w:val="20"/>
                <w:lang w:eastAsia="en-AU"/>
              </w:rPr>
            </w:pPr>
            <w:r w:rsidRPr="00D8075A">
              <w:rPr>
                <w:rFonts w:ascii="Arial Narrow" w:eastAsia="Arial Narrow" w:hAnsi="Arial Narrow" w:cs="Arial Narrow"/>
                <w:iCs/>
                <w:snapToGrid/>
                <w:sz w:val="20"/>
                <w:szCs w:val="20"/>
                <w:lang w:eastAsia="en-AU"/>
              </w:rPr>
              <w:t xml:space="preserve">The submission did not justify why data from different cut-off points from the JAVELIN Merkel 200 study for efficacy and adverse events with avelumab were applied. This favours avelumab as no grade ≥3 treatments related adverse events (TRAEs) were reported in ≥5% of the patients in the 3 March 2016 data cut-off. However, grade ≥3 anaemia was reported in 10.2% of patients, grade ≥3 lymphopenia in 6.8% of patients and grade ≥3 hypertension in 6.8% of patients in the 24 March 2017. This underestimates </w:t>
            </w:r>
            <w:proofErr w:type="spellStart"/>
            <w:r w:rsidRPr="00D8075A">
              <w:rPr>
                <w:rFonts w:ascii="Arial Narrow" w:eastAsia="Arial Narrow" w:hAnsi="Arial Narrow" w:cs="Arial Narrow"/>
                <w:iCs/>
                <w:snapToGrid/>
                <w:sz w:val="20"/>
                <w:szCs w:val="20"/>
                <w:lang w:eastAsia="en-AU"/>
              </w:rPr>
              <w:t>disutilities</w:t>
            </w:r>
            <w:proofErr w:type="spellEnd"/>
            <w:r w:rsidRPr="00D8075A">
              <w:rPr>
                <w:rFonts w:ascii="Arial Narrow" w:eastAsia="Arial Narrow" w:hAnsi="Arial Narrow" w:cs="Arial Narrow"/>
                <w:iCs/>
                <w:snapToGrid/>
                <w:sz w:val="20"/>
                <w:szCs w:val="20"/>
                <w:lang w:eastAsia="en-AU"/>
              </w:rPr>
              <w:t xml:space="preserve"> and the costs of adverse events for avelumab.</w:t>
            </w:r>
            <w:r w:rsidR="001255F2" w:rsidRPr="00D8075A">
              <w:rPr>
                <w:rFonts w:ascii="Arial Narrow" w:eastAsia="Arial Narrow" w:hAnsi="Arial Narrow" w:cs="Arial Narrow"/>
                <w:iCs/>
                <w:snapToGrid/>
                <w:sz w:val="20"/>
                <w:szCs w:val="20"/>
                <w:lang w:eastAsia="en-AU"/>
              </w:rPr>
              <w:t xml:space="preserve"> </w:t>
            </w:r>
            <w:r w:rsidR="003C75A4" w:rsidRPr="00D8075A">
              <w:rPr>
                <w:rFonts w:ascii="Arial Narrow" w:eastAsia="Arial Narrow" w:hAnsi="Arial Narrow" w:cs="Arial Narrow"/>
                <w:iCs/>
                <w:snapToGrid/>
                <w:sz w:val="20"/>
                <w:szCs w:val="20"/>
                <w:lang w:eastAsia="en-AU"/>
              </w:rPr>
              <w:t xml:space="preserve">(Refer to </w:t>
            </w:r>
            <w:r w:rsidR="001255F2" w:rsidRPr="00D8075A">
              <w:rPr>
                <w:rFonts w:ascii="Arial Narrow" w:eastAsia="Arial Narrow" w:hAnsi="Arial Narrow" w:cs="Arial Narrow"/>
                <w:iCs/>
                <w:snapToGrid/>
                <w:sz w:val="20"/>
                <w:szCs w:val="20"/>
                <w:lang w:eastAsia="en-AU"/>
              </w:rPr>
              <w:t>paragraph 6.32</w:t>
            </w:r>
            <w:r w:rsidR="003C75A4" w:rsidRPr="00D8075A">
              <w:rPr>
                <w:rFonts w:ascii="Arial Narrow" w:eastAsia="Arial Narrow" w:hAnsi="Arial Narrow" w:cs="Arial Narrow"/>
                <w:iCs/>
                <w:snapToGrid/>
                <w:sz w:val="20"/>
                <w:szCs w:val="20"/>
                <w:lang w:eastAsia="en-AU"/>
              </w:rPr>
              <w:t xml:space="preserve"> below)</w:t>
            </w:r>
            <w:r w:rsidR="000804E6" w:rsidRPr="00D8075A">
              <w:rPr>
                <w:rFonts w:ascii="Arial Narrow" w:eastAsia="Arial Narrow" w:hAnsi="Arial Narrow" w:cs="Arial Narrow"/>
                <w:iCs/>
                <w:snapToGrid/>
                <w:sz w:val="20"/>
                <w:szCs w:val="20"/>
                <w:lang w:eastAsia="en-AU"/>
              </w:rPr>
              <w:t>.</w:t>
            </w:r>
          </w:p>
          <w:p w:rsidR="001E3264" w:rsidRPr="00D8075A" w:rsidRDefault="001E3264" w:rsidP="003F11B9">
            <w:pPr>
              <w:jc w:val="left"/>
              <w:rPr>
                <w:rFonts w:ascii="Arial Narrow" w:eastAsia="Arial Narrow" w:hAnsi="Arial Narrow" w:cs="Arial Narrow"/>
                <w:iCs/>
                <w:snapToGrid/>
                <w:sz w:val="20"/>
                <w:szCs w:val="20"/>
                <w:lang w:eastAsia="en-AU"/>
              </w:rPr>
            </w:pPr>
          </w:p>
          <w:p w:rsidR="001E3264" w:rsidRPr="00D8075A" w:rsidRDefault="001E3264" w:rsidP="003F11B9">
            <w:pPr>
              <w:jc w:val="left"/>
              <w:rPr>
                <w:rFonts w:ascii="Arial Narrow" w:eastAsia="Arial Narrow" w:hAnsi="Arial Narrow" w:cs="Arial Narrow"/>
                <w:snapToGrid/>
                <w:sz w:val="20"/>
                <w:szCs w:val="20"/>
                <w:lang w:eastAsia="en-AU"/>
              </w:rPr>
            </w:pPr>
            <w:r w:rsidRPr="00D8075A">
              <w:rPr>
                <w:rFonts w:ascii="Arial Narrow" w:eastAsia="Arial Narrow" w:hAnsi="Arial Narrow" w:cs="Arial Narrow"/>
                <w:iCs/>
                <w:snapToGrid/>
                <w:sz w:val="20"/>
                <w:szCs w:val="20"/>
                <w:lang w:eastAsia="en-AU"/>
              </w:rPr>
              <w:t xml:space="preserve">The </w:t>
            </w:r>
            <w:r w:rsidR="00780B9B" w:rsidRPr="00D8075A">
              <w:rPr>
                <w:rFonts w:ascii="Arial Narrow" w:eastAsia="Arial Narrow" w:hAnsi="Arial Narrow" w:cs="Arial Narrow"/>
                <w:iCs/>
                <w:snapToGrid/>
                <w:sz w:val="20"/>
                <w:szCs w:val="20"/>
                <w:lang w:eastAsia="en-AU"/>
              </w:rPr>
              <w:t>incidence of adverse events with chemotherapy is</w:t>
            </w:r>
            <w:r w:rsidRPr="00D8075A">
              <w:rPr>
                <w:rFonts w:ascii="Arial Narrow" w:eastAsia="Arial Narrow" w:hAnsi="Arial Narrow" w:cs="Arial Narrow"/>
                <w:iCs/>
                <w:snapToGrid/>
                <w:sz w:val="20"/>
                <w:szCs w:val="20"/>
                <w:lang w:eastAsia="en-AU"/>
              </w:rPr>
              <w:t xml:space="preserve"> uncertain.</w:t>
            </w:r>
          </w:p>
        </w:tc>
      </w:tr>
      <w:tr w:rsidR="001E3264" w:rsidRPr="00D8075A" w:rsidTr="0083398B">
        <w:trPr>
          <w:trHeight w:val="1"/>
        </w:trPr>
        <w:tc>
          <w:tcPr>
            <w:tcW w:w="627"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ascii="Arial Narrow" w:eastAsia="Arial Narrow" w:hAnsi="Arial Narrow" w:cs="Arial Narrow"/>
                <w:snapToGrid/>
                <w:sz w:val="20"/>
                <w:lang w:eastAsia="en-AU"/>
              </w:rPr>
            </w:pPr>
            <w:r w:rsidRPr="00D8075A">
              <w:rPr>
                <w:rFonts w:ascii="Arial Narrow" w:eastAsia="Arial Narrow" w:hAnsi="Arial Narrow" w:cs="Arial Narrow"/>
                <w:snapToGrid/>
                <w:sz w:val="20"/>
                <w:lang w:eastAsia="en-AU"/>
              </w:rPr>
              <w:lastRenderedPageBreak/>
              <w:t>Utilities</w:t>
            </w:r>
          </w:p>
        </w:tc>
        <w:tc>
          <w:tcPr>
            <w:tcW w:w="2006"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jc w:val="left"/>
              <w:rPr>
                <w:rFonts w:ascii="Arial Narrow" w:eastAsia="Arial Narrow" w:hAnsi="Arial Narrow" w:cs="Arial Narrow"/>
                <w:snapToGrid/>
                <w:sz w:val="20"/>
                <w:lang w:eastAsia="en-AU"/>
              </w:rPr>
            </w:pPr>
            <w:r w:rsidRPr="00D8075A">
              <w:rPr>
                <w:rFonts w:ascii="Arial Narrow" w:eastAsia="Arial Narrow" w:hAnsi="Arial Narrow" w:cs="Arial Narrow"/>
                <w:snapToGrid/>
                <w:sz w:val="20"/>
                <w:lang w:eastAsia="en-AU"/>
              </w:rPr>
              <w:t>Progression free and progressed disease utilities for both avelumab and CTX: Patient-level EQ-5D-5L responses (N=72) from JAVELIN Merkel 200 trial converted using a UK specific scoring algorithm, adjusted using a linear mixed regression model.</w:t>
            </w:r>
          </w:p>
          <w:p w:rsidR="001E3264" w:rsidRPr="00D8075A" w:rsidRDefault="001E3264" w:rsidP="003F11B9">
            <w:pPr>
              <w:jc w:val="left"/>
              <w:rPr>
                <w:rFonts w:ascii="Arial Narrow" w:eastAsia="Arial Narrow" w:hAnsi="Arial Narrow" w:cs="Arial Narrow"/>
                <w:snapToGrid/>
                <w:sz w:val="20"/>
                <w:lang w:eastAsia="en-AU"/>
              </w:rPr>
            </w:pPr>
          </w:p>
          <w:p w:rsidR="001E3264" w:rsidRPr="00D8075A" w:rsidRDefault="001E3264" w:rsidP="003F11B9">
            <w:pPr>
              <w:jc w:val="left"/>
              <w:rPr>
                <w:rFonts w:ascii="Arial Narrow" w:eastAsia="Arial Narrow" w:hAnsi="Arial Narrow" w:cs="Arial Narrow"/>
                <w:snapToGrid/>
                <w:sz w:val="20"/>
                <w:lang w:eastAsia="en-AU"/>
              </w:rPr>
            </w:pPr>
            <w:proofErr w:type="spellStart"/>
            <w:r w:rsidRPr="00D8075A">
              <w:rPr>
                <w:rFonts w:ascii="Arial Narrow" w:eastAsia="Arial Narrow" w:hAnsi="Arial Narrow" w:cs="Arial Narrow"/>
                <w:snapToGrid/>
                <w:sz w:val="20"/>
                <w:lang w:eastAsia="en-AU"/>
              </w:rPr>
              <w:t>Disutilities</w:t>
            </w:r>
            <w:proofErr w:type="spellEnd"/>
            <w:r w:rsidRPr="00D8075A">
              <w:rPr>
                <w:rFonts w:ascii="Arial Narrow" w:eastAsia="Arial Narrow" w:hAnsi="Arial Narrow" w:cs="Arial Narrow"/>
                <w:snapToGrid/>
                <w:sz w:val="20"/>
                <w:lang w:eastAsia="en-AU"/>
              </w:rPr>
              <w:t xml:space="preserve"> associated with adverse events for both avelumab and CTX were sourced from the literature.</w:t>
            </w:r>
          </w:p>
          <w:p w:rsidR="001E3264" w:rsidRPr="00D8075A" w:rsidRDefault="001E3264" w:rsidP="003F11B9">
            <w:pPr>
              <w:jc w:val="left"/>
              <w:rPr>
                <w:rFonts w:ascii="Arial Narrow" w:eastAsia="Arial Narrow" w:hAnsi="Arial Narrow" w:cs="Arial Narrow"/>
                <w:snapToGrid/>
                <w:sz w:val="20"/>
                <w:lang w:eastAsia="en-AU"/>
              </w:rPr>
            </w:pPr>
          </w:p>
          <w:p w:rsidR="001E3264" w:rsidRPr="00D8075A" w:rsidRDefault="001E3264" w:rsidP="003F11B9">
            <w:pPr>
              <w:jc w:val="left"/>
              <w:rPr>
                <w:rFonts w:ascii="Arial Narrow" w:eastAsia="Arial Narrow" w:hAnsi="Arial Narrow" w:cs="Arial Narrow"/>
                <w:snapToGrid/>
                <w:sz w:val="20"/>
                <w:lang w:eastAsia="en-AU"/>
              </w:rPr>
            </w:pPr>
            <w:r w:rsidRPr="00D8075A">
              <w:rPr>
                <w:rFonts w:ascii="Arial Narrow" w:eastAsia="Arial Narrow" w:hAnsi="Arial Narrow" w:cs="Arial Narrow"/>
                <w:snapToGrid/>
                <w:sz w:val="20"/>
                <w:lang w:eastAsia="en-AU"/>
              </w:rPr>
              <w:t>The estimated duration for each adverse event was sourced from NICE UK manufacturer submissions for immunotherapy and chemotherapy treatments for metastatic non-small cell lung cancer, melanoma, and other cancers.</w:t>
            </w:r>
          </w:p>
          <w:p w:rsidR="001E3264" w:rsidRPr="00D8075A" w:rsidRDefault="001E3264" w:rsidP="003F11B9">
            <w:pPr>
              <w:jc w:val="left"/>
              <w:rPr>
                <w:rFonts w:ascii="Arial Narrow" w:eastAsia="Arial Narrow" w:hAnsi="Arial Narrow" w:cs="Arial Narrow"/>
                <w:snapToGrid/>
                <w:sz w:val="20"/>
                <w:lang w:eastAsia="en-AU"/>
              </w:rPr>
            </w:pPr>
          </w:p>
          <w:p w:rsidR="001E3264" w:rsidRPr="00D8075A" w:rsidRDefault="001E3264" w:rsidP="003F11B9">
            <w:pPr>
              <w:jc w:val="left"/>
              <w:rPr>
                <w:rFonts w:ascii="Arial Narrow" w:eastAsia="Arial Narrow" w:hAnsi="Arial Narrow" w:cs="Arial Narrow"/>
                <w:snapToGrid/>
                <w:sz w:val="20"/>
                <w:lang w:eastAsia="en-AU"/>
              </w:rPr>
            </w:pPr>
            <w:proofErr w:type="spellStart"/>
            <w:r w:rsidRPr="00D8075A">
              <w:rPr>
                <w:rFonts w:ascii="Arial Narrow" w:eastAsia="Arial Narrow" w:hAnsi="Arial Narrow" w:cs="Arial Narrow"/>
                <w:snapToGrid/>
                <w:sz w:val="20"/>
                <w:lang w:eastAsia="en-AU"/>
              </w:rPr>
              <w:t>Disutilities</w:t>
            </w:r>
            <w:proofErr w:type="spellEnd"/>
            <w:r w:rsidRPr="00D8075A">
              <w:rPr>
                <w:rFonts w:ascii="Arial Narrow" w:eastAsia="Arial Narrow" w:hAnsi="Arial Narrow" w:cs="Arial Narrow"/>
                <w:snapToGrid/>
                <w:sz w:val="20"/>
                <w:lang w:eastAsia="en-AU"/>
              </w:rPr>
              <w:t xml:space="preserve"> were applied only to patients on treatment, determined by the time on treatment curve for avelumab and the time on treatment from the studies for CTX regimens. The overall </w:t>
            </w:r>
            <w:proofErr w:type="spellStart"/>
            <w:r w:rsidRPr="00D8075A">
              <w:rPr>
                <w:rFonts w:ascii="Arial Narrow" w:eastAsia="Arial Narrow" w:hAnsi="Arial Narrow" w:cs="Arial Narrow"/>
                <w:snapToGrid/>
                <w:sz w:val="20"/>
                <w:lang w:eastAsia="en-AU"/>
              </w:rPr>
              <w:t>disutilities</w:t>
            </w:r>
            <w:proofErr w:type="spellEnd"/>
            <w:r w:rsidRPr="00D8075A">
              <w:rPr>
                <w:rFonts w:ascii="Arial Narrow" w:eastAsia="Arial Narrow" w:hAnsi="Arial Narrow" w:cs="Arial Narrow"/>
                <w:snapToGrid/>
                <w:sz w:val="20"/>
                <w:lang w:eastAsia="en-AU"/>
              </w:rPr>
              <w:t xml:space="preserve"> applied at each model cycle (i.e. per week while on treatment) were weighted by the mean duration (in days) of adverse events and weighted according to proportions of chemotherapy regimens used. </w:t>
            </w:r>
          </w:p>
        </w:tc>
        <w:tc>
          <w:tcPr>
            <w:tcW w:w="2367" w:type="pc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1E3264" w:rsidRPr="00D8075A" w:rsidRDefault="001E3264" w:rsidP="003F11B9">
            <w:pPr>
              <w:keepNext/>
              <w:spacing w:before="40" w:after="40"/>
              <w:jc w:val="left"/>
              <w:rPr>
                <w:rFonts w:ascii="Arial Narrow" w:eastAsia="Arial Narrow" w:hAnsi="Arial Narrow" w:cs="Arial Narrow"/>
                <w:snapToGrid/>
                <w:sz w:val="20"/>
                <w:lang w:eastAsia="en-AU"/>
              </w:rPr>
            </w:pPr>
            <w:r w:rsidRPr="00D8075A">
              <w:rPr>
                <w:rFonts w:ascii="Arial Narrow" w:eastAsia="Arial Narrow" w:hAnsi="Arial Narrow" w:cs="Arial Narrow"/>
                <w:snapToGrid/>
                <w:sz w:val="20"/>
                <w:lang w:eastAsia="en-AU"/>
              </w:rPr>
              <w:t>The submission did not provide any patient level data or STATA code/output to verify the utility values.</w:t>
            </w:r>
          </w:p>
          <w:p w:rsidR="001E3264" w:rsidRPr="00D8075A" w:rsidRDefault="001E3264" w:rsidP="003F11B9">
            <w:pPr>
              <w:keepNext/>
              <w:spacing w:before="40" w:after="40"/>
              <w:jc w:val="left"/>
              <w:rPr>
                <w:rFonts w:ascii="Arial Narrow" w:eastAsia="Arial Narrow" w:hAnsi="Arial Narrow" w:cs="Arial Narrow"/>
                <w:snapToGrid/>
                <w:sz w:val="20"/>
                <w:lang w:eastAsia="en-AU"/>
              </w:rPr>
            </w:pPr>
          </w:p>
          <w:p w:rsidR="001E3264" w:rsidRPr="00D8075A" w:rsidRDefault="001E3264" w:rsidP="003F11B9">
            <w:pPr>
              <w:keepNext/>
              <w:spacing w:before="40" w:after="40"/>
              <w:jc w:val="left"/>
              <w:rPr>
                <w:rFonts w:ascii="Arial Narrow" w:eastAsia="Arial Narrow" w:hAnsi="Arial Narrow" w:cs="Arial Narrow"/>
                <w:snapToGrid/>
                <w:sz w:val="20"/>
                <w:lang w:eastAsia="en-AU"/>
              </w:rPr>
            </w:pPr>
            <w:r w:rsidRPr="00D8075A">
              <w:rPr>
                <w:rFonts w:ascii="Arial Narrow" w:eastAsia="Arial Narrow" w:hAnsi="Arial Narrow" w:cs="Arial Narrow"/>
                <w:snapToGrid/>
                <w:sz w:val="20"/>
                <w:lang w:eastAsia="en-AU"/>
              </w:rPr>
              <w:t>The submission did not report how the results were adjusted for differences in utility values based on questionnaires that had missing domain scores or were missing in their entirety.</w:t>
            </w:r>
          </w:p>
          <w:p w:rsidR="001E3264" w:rsidRPr="00D8075A" w:rsidRDefault="001E3264" w:rsidP="003F11B9">
            <w:pPr>
              <w:keepNext/>
              <w:spacing w:before="40" w:after="40"/>
              <w:jc w:val="left"/>
              <w:rPr>
                <w:rFonts w:ascii="Arial Narrow" w:eastAsia="Arial Narrow" w:hAnsi="Arial Narrow" w:cs="Arial Narrow"/>
                <w:snapToGrid/>
                <w:sz w:val="20"/>
                <w:lang w:eastAsia="en-AU"/>
              </w:rPr>
            </w:pPr>
          </w:p>
          <w:p w:rsidR="001E3264" w:rsidRPr="00D8075A" w:rsidRDefault="001E3264" w:rsidP="003F11B9">
            <w:pPr>
              <w:keepNext/>
              <w:spacing w:before="40" w:after="40"/>
              <w:jc w:val="left"/>
              <w:rPr>
                <w:rFonts w:ascii="Arial Narrow" w:eastAsia="Arial Narrow" w:hAnsi="Arial Narrow" w:cs="Arial Narrow"/>
                <w:snapToGrid/>
                <w:sz w:val="20"/>
                <w:lang w:eastAsia="en-AU"/>
              </w:rPr>
            </w:pPr>
            <w:r w:rsidRPr="00D8075A">
              <w:rPr>
                <w:rFonts w:ascii="Arial Narrow" w:eastAsia="Arial Narrow" w:hAnsi="Arial Narrow" w:cs="Arial Narrow"/>
                <w:snapToGrid/>
                <w:sz w:val="20"/>
                <w:lang w:eastAsia="en-AU"/>
              </w:rPr>
              <w:t>The results may also be subject to bias as the JAVELIN Merkel 200 study was open-label.</w:t>
            </w:r>
          </w:p>
          <w:p w:rsidR="001E3264" w:rsidRPr="00D8075A" w:rsidRDefault="001E3264" w:rsidP="003F11B9">
            <w:pPr>
              <w:keepNext/>
              <w:spacing w:before="40" w:after="40"/>
              <w:jc w:val="left"/>
              <w:rPr>
                <w:rFonts w:ascii="Arial Narrow" w:eastAsia="Arial Narrow" w:hAnsi="Arial Narrow" w:cs="Arial Narrow"/>
                <w:snapToGrid/>
                <w:sz w:val="20"/>
                <w:lang w:eastAsia="en-AU"/>
              </w:rPr>
            </w:pPr>
          </w:p>
          <w:p w:rsidR="001E3264" w:rsidRPr="00D8075A" w:rsidRDefault="001E3264" w:rsidP="003F11B9">
            <w:pPr>
              <w:keepNext/>
              <w:spacing w:before="40" w:after="40"/>
              <w:jc w:val="left"/>
              <w:rPr>
                <w:rFonts w:ascii="Arial Narrow" w:eastAsia="Arial Narrow" w:hAnsi="Arial Narrow" w:cs="Arial Narrow"/>
                <w:snapToGrid/>
                <w:sz w:val="20"/>
                <w:lang w:eastAsia="en-AU"/>
              </w:rPr>
            </w:pPr>
            <w:r w:rsidRPr="00D8075A">
              <w:rPr>
                <w:rFonts w:ascii="Arial Narrow" w:eastAsia="Arial Narrow" w:hAnsi="Arial Narrow" w:cs="Arial Narrow"/>
                <w:snapToGrid/>
                <w:sz w:val="20"/>
                <w:lang w:eastAsia="en-AU"/>
              </w:rPr>
              <w:t>The utilities estimated using the JAVELIN Merkel 200 study would include the impact of AEs for avelumab. The submission argued that the linear mixed regression model was used to avoid double-counting, however the confounders in the model were not described.</w:t>
            </w:r>
          </w:p>
          <w:p w:rsidR="001E3264" w:rsidRPr="00D8075A" w:rsidRDefault="001E3264" w:rsidP="003F11B9">
            <w:pPr>
              <w:keepNext/>
              <w:spacing w:before="40" w:after="40"/>
              <w:jc w:val="left"/>
              <w:rPr>
                <w:rFonts w:ascii="Arial Narrow" w:eastAsia="Arial Narrow" w:hAnsi="Arial Narrow" w:cs="Arial Narrow"/>
                <w:snapToGrid/>
                <w:sz w:val="20"/>
                <w:lang w:eastAsia="en-AU"/>
              </w:rPr>
            </w:pPr>
          </w:p>
          <w:p w:rsidR="001E3264" w:rsidRPr="00D8075A" w:rsidRDefault="001E3264" w:rsidP="003F11B9">
            <w:pPr>
              <w:keepNext/>
              <w:spacing w:before="40" w:after="40"/>
              <w:jc w:val="left"/>
              <w:rPr>
                <w:rFonts w:ascii="Arial Narrow" w:eastAsia="Arial Narrow" w:hAnsi="Arial Narrow" w:cs="Arial Narrow"/>
                <w:snapToGrid/>
                <w:sz w:val="20"/>
                <w:lang w:eastAsia="en-AU"/>
              </w:rPr>
            </w:pPr>
            <w:r w:rsidRPr="00D8075A">
              <w:rPr>
                <w:rFonts w:ascii="Arial Narrow" w:eastAsia="Arial Narrow" w:hAnsi="Arial Narrow" w:cs="Arial Narrow"/>
                <w:snapToGrid/>
                <w:sz w:val="20"/>
                <w:lang w:eastAsia="en-AU"/>
              </w:rPr>
              <w:t>The submission did not test the use of the Australian scoring algorithm, which is also available for this instrument.</w:t>
            </w:r>
          </w:p>
          <w:p w:rsidR="001E3264" w:rsidRPr="00D8075A" w:rsidRDefault="001E3264" w:rsidP="003F11B9">
            <w:pPr>
              <w:keepNext/>
              <w:spacing w:before="40" w:after="40"/>
              <w:jc w:val="left"/>
              <w:rPr>
                <w:rFonts w:ascii="Arial Narrow" w:eastAsia="Arial Narrow" w:hAnsi="Arial Narrow" w:cs="Arial Narrow"/>
                <w:snapToGrid/>
                <w:sz w:val="20"/>
                <w:lang w:eastAsia="en-AU"/>
              </w:rPr>
            </w:pPr>
          </w:p>
          <w:p w:rsidR="001E3264" w:rsidRPr="00D8075A" w:rsidRDefault="001E3264" w:rsidP="003F11B9">
            <w:pPr>
              <w:keepNext/>
              <w:spacing w:before="40" w:after="40"/>
              <w:jc w:val="left"/>
              <w:rPr>
                <w:rFonts w:ascii="Arial Narrow" w:eastAsia="Arial Narrow" w:hAnsi="Arial Narrow" w:cs="Arial Narrow"/>
                <w:snapToGrid/>
                <w:sz w:val="20"/>
                <w:lang w:eastAsia="en-AU"/>
              </w:rPr>
            </w:pPr>
            <w:r w:rsidRPr="00D8075A">
              <w:rPr>
                <w:rFonts w:ascii="Arial Narrow" w:eastAsia="Arial Narrow" w:hAnsi="Arial Narrow" w:cs="Arial Narrow"/>
                <w:snapToGrid/>
                <w:sz w:val="20"/>
                <w:lang w:eastAsia="en-AU"/>
              </w:rPr>
              <w:t>The utilities in the progressed disease health state were based on a single ‘end of treatment’ observation for a small number of patients (N=20 patients). It is likely that the utility value for the ‘post progression’ health state maybe over-estimated.</w:t>
            </w:r>
          </w:p>
          <w:p w:rsidR="001E3264" w:rsidRPr="00D8075A" w:rsidRDefault="001E3264" w:rsidP="003F11B9">
            <w:pPr>
              <w:keepNext/>
              <w:spacing w:before="40" w:after="40"/>
              <w:jc w:val="left"/>
              <w:rPr>
                <w:rFonts w:ascii="Arial Narrow" w:eastAsia="Arial Narrow" w:hAnsi="Arial Narrow" w:cs="Arial Narrow"/>
                <w:snapToGrid/>
                <w:sz w:val="20"/>
                <w:lang w:eastAsia="en-AU"/>
              </w:rPr>
            </w:pPr>
          </w:p>
          <w:p w:rsidR="001E3264" w:rsidRPr="00D8075A" w:rsidRDefault="001E3264" w:rsidP="003F11B9">
            <w:pPr>
              <w:keepNext/>
              <w:spacing w:before="40" w:after="40"/>
              <w:jc w:val="left"/>
              <w:rPr>
                <w:rFonts w:ascii="Arial Narrow" w:eastAsia="Arial Narrow" w:hAnsi="Arial Narrow" w:cs="Arial Narrow"/>
                <w:snapToGrid/>
                <w:sz w:val="20"/>
                <w:szCs w:val="20"/>
                <w:lang w:eastAsia="en-AU"/>
              </w:rPr>
            </w:pPr>
            <w:r w:rsidRPr="00D8075A">
              <w:rPr>
                <w:rFonts w:ascii="Arial Narrow" w:eastAsia="Arial Narrow" w:hAnsi="Arial Narrow" w:cs="Arial Narrow"/>
                <w:snapToGrid/>
                <w:sz w:val="20"/>
                <w:lang w:eastAsia="en-AU"/>
              </w:rPr>
              <w:t xml:space="preserve">The estimated </w:t>
            </w:r>
            <w:proofErr w:type="spellStart"/>
            <w:r w:rsidRPr="00D8075A">
              <w:rPr>
                <w:rFonts w:ascii="Arial Narrow" w:eastAsia="Arial Narrow" w:hAnsi="Arial Narrow" w:cs="Arial Narrow"/>
                <w:snapToGrid/>
                <w:sz w:val="20"/>
                <w:lang w:eastAsia="en-AU"/>
              </w:rPr>
              <w:t>disutilities</w:t>
            </w:r>
            <w:proofErr w:type="spellEnd"/>
            <w:r w:rsidRPr="00D8075A">
              <w:rPr>
                <w:rFonts w:ascii="Arial Narrow" w:eastAsia="Arial Narrow" w:hAnsi="Arial Narrow" w:cs="Arial Narrow"/>
                <w:snapToGrid/>
                <w:sz w:val="20"/>
                <w:lang w:eastAsia="en-AU"/>
              </w:rPr>
              <w:t xml:space="preserve"> are uncertain. Due to the lack of literature, the submission assumed some values for adverse events </w:t>
            </w:r>
            <w:proofErr w:type="spellStart"/>
            <w:r w:rsidRPr="00D8075A">
              <w:rPr>
                <w:rFonts w:ascii="Arial Narrow" w:eastAsia="Arial Narrow" w:hAnsi="Arial Narrow" w:cs="Arial Narrow"/>
                <w:snapToGrid/>
                <w:sz w:val="20"/>
                <w:lang w:eastAsia="en-AU"/>
              </w:rPr>
              <w:t>disutilities</w:t>
            </w:r>
            <w:proofErr w:type="spellEnd"/>
            <w:r w:rsidRPr="00D8075A">
              <w:rPr>
                <w:rFonts w:ascii="Arial Narrow" w:eastAsia="Arial Narrow" w:hAnsi="Arial Narrow" w:cs="Arial Narrow"/>
                <w:snapToGrid/>
                <w:sz w:val="20"/>
                <w:lang w:eastAsia="en-AU"/>
              </w:rPr>
              <w:t xml:space="preserve"> as well as the duration of adverse events. The duration of the adverse events was based on studies in NICE UK manufacturer submissions and may not reflect the Australian clinical setting. </w:t>
            </w:r>
          </w:p>
        </w:tc>
      </w:tr>
    </w:tbl>
    <w:p w:rsidR="001E3264" w:rsidRPr="00D8075A" w:rsidRDefault="001E3264" w:rsidP="001E3264">
      <w:pPr>
        <w:widowControl/>
        <w:rPr>
          <w:rFonts w:ascii="Arial Narrow" w:eastAsia="Arial Narrow" w:hAnsi="Arial Narrow" w:cs="Arial Narrow"/>
          <w:snapToGrid/>
          <w:sz w:val="18"/>
          <w:lang w:eastAsia="en-AU"/>
        </w:rPr>
      </w:pPr>
      <w:r w:rsidRPr="00D8075A">
        <w:rPr>
          <w:rFonts w:ascii="Arial Narrow" w:eastAsia="Arial Narrow" w:hAnsi="Arial Narrow" w:cs="Arial Narrow"/>
          <w:snapToGrid/>
          <w:sz w:val="18"/>
          <w:lang w:eastAsia="en-AU"/>
        </w:rPr>
        <w:t xml:space="preserve">CTX: chemotherapy; 2L+: second-line therapy; </w:t>
      </w:r>
      <w:proofErr w:type="spellStart"/>
      <w:r w:rsidRPr="00D8075A">
        <w:rPr>
          <w:rFonts w:ascii="Arial Narrow" w:eastAsia="Arial Narrow" w:hAnsi="Arial Narrow" w:cs="Arial Narrow"/>
          <w:snapToGrid/>
          <w:sz w:val="18"/>
          <w:lang w:eastAsia="en-AU"/>
        </w:rPr>
        <w:t>mMCC</w:t>
      </w:r>
      <w:proofErr w:type="spellEnd"/>
      <w:r w:rsidRPr="00D8075A">
        <w:rPr>
          <w:rFonts w:ascii="Arial Narrow" w:eastAsia="Arial Narrow" w:hAnsi="Arial Narrow" w:cs="Arial Narrow"/>
          <w:snapToGrid/>
          <w:sz w:val="18"/>
          <w:lang w:eastAsia="en-AU"/>
        </w:rPr>
        <w:t>: metastatic Merkel Cell Carcinoma; LYG: life-year gained; OS: overall survival; PFS: progression-free survival; QALYs: quality-adjusted life-years; QOL: quality of life</w:t>
      </w:r>
    </w:p>
    <w:p w:rsidR="00694239" w:rsidRPr="00D8075A" w:rsidRDefault="00694239" w:rsidP="00694239">
      <w:pPr>
        <w:spacing w:after="120"/>
        <w:contextualSpacing/>
        <w:rPr>
          <w:rFonts w:ascii="Arial Narrow" w:hAnsi="Arial Narrow"/>
          <w:sz w:val="18"/>
          <w:szCs w:val="20"/>
        </w:rPr>
      </w:pPr>
      <w:r w:rsidRPr="00D8075A">
        <w:rPr>
          <w:rFonts w:ascii="Arial Narrow" w:hAnsi="Arial Narrow"/>
          <w:sz w:val="18"/>
          <w:szCs w:val="20"/>
        </w:rPr>
        <w:t>Source: Table 2.8.2, p128 of submission.</w:t>
      </w:r>
    </w:p>
    <w:p w:rsidR="00694239" w:rsidRPr="00D8075A" w:rsidRDefault="00694239" w:rsidP="00694239">
      <w:pPr>
        <w:spacing w:after="120"/>
        <w:contextualSpacing/>
        <w:rPr>
          <w:rFonts w:ascii="Arial Narrow" w:hAnsi="Arial Narrow"/>
          <w:sz w:val="18"/>
          <w:szCs w:val="20"/>
        </w:rPr>
      </w:pPr>
    </w:p>
    <w:p w:rsidR="00694239" w:rsidRPr="00D8075A" w:rsidRDefault="00694239" w:rsidP="00A55F3B">
      <w:pPr>
        <w:keepNext/>
        <w:keepLines/>
        <w:widowControl/>
        <w:jc w:val="left"/>
        <w:rPr>
          <w:rFonts w:ascii="Arial Narrow" w:eastAsiaTheme="minorHAnsi" w:hAnsi="Arial Narrow" w:cstheme="minorBidi"/>
          <w:b/>
          <w:snapToGrid/>
          <w:sz w:val="20"/>
        </w:rPr>
      </w:pPr>
      <w:r w:rsidRPr="00D8075A">
        <w:rPr>
          <w:rFonts w:ascii="Arial Narrow" w:eastAsiaTheme="minorHAnsi" w:hAnsi="Arial Narrow" w:cstheme="minorBidi"/>
          <w:b/>
          <w:snapToGrid/>
          <w:sz w:val="20"/>
        </w:rPr>
        <w:t>Table 9: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Key drivers of the model"/>
        <w:tblDescription w:val="Table 9: Key drivers of the model"/>
      </w:tblPr>
      <w:tblGrid>
        <w:gridCol w:w="1884"/>
        <w:gridCol w:w="4910"/>
        <w:gridCol w:w="2289"/>
      </w:tblGrid>
      <w:tr w:rsidR="00694239" w:rsidRPr="00D8075A" w:rsidTr="0083398B">
        <w:trPr>
          <w:tblHeader/>
        </w:trPr>
        <w:tc>
          <w:tcPr>
            <w:tcW w:w="1037" w:type="pct"/>
            <w:shd w:val="clear" w:color="auto" w:fill="auto"/>
            <w:vAlign w:val="center"/>
          </w:tcPr>
          <w:p w:rsidR="00694239" w:rsidRPr="00D8075A" w:rsidRDefault="00694239" w:rsidP="00A55F3B">
            <w:pPr>
              <w:keepNext/>
              <w:keepLines/>
              <w:spacing w:after="100" w:afterAutospacing="1"/>
              <w:jc w:val="left"/>
              <w:rPr>
                <w:rFonts w:ascii="Arial Narrow" w:eastAsiaTheme="minorHAnsi" w:hAnsi="Arial Narrow" w:cstheme="minorBidi"/>
                <w:b/>
                <w:snapToGrid/>
                <w:sz w:val="20"/>
              </w:rPr>
            </w:pPr>
            <w:r w:rsidRPr="00D8075A">
              <w:rPr>
                <w:rFonts w:ascii="Arial Narrow" w:eastAsiaTheme="minorHAnsi" w:hAnsi="Arial Narrow" w:cstheme="minorBidi"/>
                <w:b/>
                <w:snapToGrid/>
                <w:sz w:val="20"/>
              </w:rPr>
              <w:t>Description</w:t>
            </w:r>
          </w:p>
        </w:tc>
        <w:tc>
          <w:tcPr>
            <w:tcW w:w="2703" w:type="pct"/>
            <w:shd w:val="clear" w:color="auto" w:fill="auto"/>
            <w:vAlign w:val="center"/>
          </w:tcPr>
          <w:p w:rsidR="00694239" w:rsidRPr="00D8075A" w:rsidRDefault="00694239" w:rsidP="00A55F3B">
            <w:pPr>
              <w:keepNext/>
              <w:keepLines/>
              <w:spacing w:after="100" w:afterAutospacing="1"/>
              <w:jc w:val="left"/>
              <w:rPr>
                <w:rFonts w:ascii="Arial Narrow" w:eastAsiaTheme="minorHAnsi" w:hAnsi="Arial Narrow" w:cstheme="minorBidi"/>
                <w:b/>
                <w:snapToGrid/>
                <w:sz w:val="20"/>
              </w:rPr>
            </w:pPr>
            <w:r w:rsidRPr="00D8075A">
              <w:rPr>
                <w:rFonts w:ascii="Arial Narrow" w:eastAsiaTheme="minorHAnsi" w:hAnsi="Arial Narrow" w:cstheme="minorBidi"/>
                <w:b/>
                <w:snapToGrid/>
                <w:sz w:val="20"/>
              </w:rPr>
              <w:t>Method/Value</w:t>
            </w:r>
          </w:p>
        </w:tc>
        <w:tc>
          <w:tcPr>
            <w:tcW w:w="1260" w:type="pct"/>
            <w:shd w:val="clear" w:color="auto" w:fill="auto"/>
            <w:vAlign w:val="center"/>
          </w:tcPr>
          <w:p w:rsidR="00694239" w:rsidRPr="00D8075A" w:rsidRDefault="00694239" w:rsidP="00A55F3B">
            <w:pPr>
              <w:keepNext/>
              <w:keepLines/>
              <w:spacing w:after="100" w:afterAutospacing="1"/>
              <w:jc w:val="left"/>
              <w:rPr>
                <w:rFonts w:ascii="Arial Narrow" w:eastAsiaTheme="minorHAnsi" w:hAnsi="Arial Narrow" w:cstheme="minorBidi"/>
                <w:b/>
                <w:snapToGrid/>
                <w:sz w:val="20"/>
              </w:rPr>
            </w:pPr>
            <w:r w:rsidRPr="00D8075A">
              <w:rPr>
                <w:rFonts w:ascii="Arial Narrow" w:eastAsiaTheme="minorHAnsi" w:hAnsi="Arial Narrow" w:cstheme="minorBidi"/>
                <w:b/>
                <w:snapToGrid/>
                <w:sz w:val="20"/>
              </w:rPr>
              <w:t>Impact</w:t>
            </w:r>
          </w:p>
        </w:tc>
      </w:tr>
      <w:tr w:rsidR="00694239" w:rsidRPr="00D8075A" w:rsidTr="0083398B">
        <w:tc>
          <w:tcPr>
            <w:tcW w:w="1037" w:type="pct"/>
            <w:shd w:val="clear" w:color="auto" w:fill="auto"/>
            <w:vAlign w:val="center"/>
          </w:tcPr>
          <w:p w:rsidR="00694239" w:rsidRPr="00D8075A" w:rsidRDefault="00694239" w:rsidP="00A55F3B">
            <w:pPr>
              <w:keepNext/>
              <w:keepLines/>
              <w:spacing w:after="100" w:afterAutospacing="1"/>
              <w:jc w:val="left"/>
              <w:rPr>
                <w:rFonts w:ascii="Arial Narrow" w:eastAsiaTheme="minorHAnsi" w:hAnsi="Arial Narrow" w:cstheme="minorBidi"/>
                <w:snapToGrid/>
                <w:sz w:val="20"/>
                <w:highlight w:val="yellow"/>
              </w:rPr>
            </w:pPr>
            <w:r w:rsidRPr="00D8075A">
              <w:rPr>
                <w:rFonts w:ascii="Arial Narrow" w:eastAsiaTheme="minorHAnsi" w:hAnsi="Arial Narrow" w:cstheme="minorHAnsi"/>
                <w:snapToGrid/>
                <w:sz w:val="20"/>
              </w:rPr>
              <w:t>Time on treatment (</w:t>
            </w:r>
            <w:proofErr w:type="spellStart"/>
            <w:r w:rsidRPr="00D8075A">
              <w:rPr>
                <w:rFonts w:ascii="Arial Narrow" w:eastAsiaTheme="minorHAnsi" w:hAnsi="Arial Narrow" w:cstheme="minorHAnsi"/>
                <w:snapToGrid/>
                <w:sz w:val="20"/>
              </w:rPr>
              <w:t>ToT</w:t>
            </w:r>
            <w:proofErr w:type="spellEnd"/>
            <w:r w:rsidRPr="00D8075A">
              <w:rPr>
                <w:rFonts w:ascii="Arial Narrow" w:eastAsiaTheme="minorHAnsi" w:hAnsi="Arial Narrow" w:cstheme="minorHAnsi"/>
                <w:snapToGrid/>
                <w:sz w:val="20"/>
              </w:rPr>
              <w:t>)</w:t>
            </w:r>
          </w:p>
        </w:tc>
        <w:tc>
          <w:tcPr>
            <w:tcW w:w="2703" w:type="pct"/>
            <w:shd w:val="clear" w:color="auto" w:fill="auto"/>
            <w:vAlign w:val="center"/>
          </w:tcPr>
          <w:p w:rsidR="00694239" w:rsidRPr="00D8075A" w:rsidRDefault="00694239" w:rsidP="00A55F3B">
            <w:pPr>
              <w:keepNext/>
              <w:keepLines/>
              <w:spacing w:after="100" w:afterAutospacing="1"/>
              <w:jc w:val="left"/>
              <w:rPr>
                <w:rFonts w:ascii="Arial Narrow" w:eastAsiaTheme="minorHAnsi" w:hAnsi="Arial Narrow" w:cstheme="minorHAnsi"/>
                <w:iCs/>
                <w:snapToGrid/>
                <w:sz w:val="20"/>
              </w:rPr>
            </w:pPr>
            <w:r w:rsidRPr="00D8075A">
              <w:rPr>
                <w:rFonts w:ascii="Arial Narrow" w:eastAsiaTheme="minorHAnsi" w:hAnsi="Arial Narrow" w:cstheme="minorBidi"/>
                <w:snapToGrid/>
                <w:sz w:val="20"/>
              </w:rPr>
              <w:t xml:space="preserve">Treatment beyond confirmed diseases progression was permitted in </w:t>
            </w:r>
            <w:r w:rsidR="00446210" w:rsidRPr="00D8075A">
              <w:rPr>
                <w:rFonts w:ascii="Arial Narrow" w:eastAsiaTheme="minorHAnsi" w:hAnsi="Arial Narrow" w:cstheme="minorBidi"/>
                <w:snapToGrid/>
                <w:sz w:val="20"/>
              </w:rPr>
              <w:t xml:space="preserve">the </w:t>
            </w:r>
            <w:r w:rsidRPr="00D8075A">
              <w:rPr>
                <w:rFonts w:ascii="Arial Narrow" w:eastAsiaTheme="minorHAnsi" w:hAnsi="Arial Narrow" w:cstheme="minorBidi"/>
                <w:snapToGrid/>
                <w:sz w:val="20"/>
              </w:rPr>
              <w:t xml:space="preserve">JAVELIN Merkel 200 </w:t>
            </w:r>
            <w:r w:rsidR="00446210" w:rsidRPr="00D8075A">
              <w:rPr>
                <w:rFonts w:ascii="Arial Narrow" w:eastAsiaTheme="minorHAnsi" w:hAnsi="Arial Narrow" w:cstheme="minorBidi"/>
                <w:snapToGrid/>
                <w:sz w:val="20"/>
              </w:rPr>
              <w:t>study</w:t>
            </w:r>
            <w:r w:rsidRPr="00D8075A">
              <w:rPr>
                <w:rFonts w:ascii="Arial Narrow" w:eastAsiaTheme="minorHAnsi" w:hAnsi="Arial Narrow" w:cstheme="minorBidi"/>
                <w:snapToGrid/>
                <w:sz w:val="20"/>
              </w:rPr>
              <w:t xml:space="preserve">. Patients were still </w:t>
            </w:r>
            <w:r w:rsidR="007F73DD" w:rsidRPr="00D8075A">
              <w:rPr>
                <w:rFonts w:ascii="Arial Narrow" w:eastAsiaTheme="minorHAnsi" w:hAnsi="Arial Narrow" w:cstheme="minorBidi"/>
                <w:snapToGrid/>
                <w:sz w:val="20"/>
              </w:rPr>
              <w:t xml:space="preserve">receiving </w:t>
            </w:r>
            <w:r w:rsidRPr="00D8075A">
              <w:rPr>
                <w:rFonts w:ascii="Arial Narrow" w:eastAsiaTheme="minorHAnsi" w:hAnsi="Arial Narrow" w:cstheme="minorBidi"/>
                <w:snapToGrid/>
                <w:sz w:val="20"/>
              </w:rPr>
              <w:t xml:space="preserve">treatment with avelumab at the 18 month data cut-off used to inform the submission, and a long tail is seen in the PFS Kaplan-Meier curves. It is likely that patients who respond to therapy will have </w:t>
            </w:r>
            <w:proofErr w:type="gramStart"/>
            <w:r w:rsidRPr="00D8075A">
              <w:rPr>
                <w:rFonts w:ascii="Arial Narrow" w:eastAsiaTheme="minorHAnsi" w:hAnsi="Arial Narrow" w:cstheme="minorBidi"/>
                <w:snapToGrid/>
                <w:sz w:val="20"/>
              </w:rPr>
              <w:t>an extended</w:t>
            </w:r>
            <w:proofErr w:type="gramEnd"/>
            <w:r w:rsidRPr="00D8075A">
              <w:rPr>
                <w:rFonts w:ascii="Arial Narrow" w:eastAsiaTheme="minorHAnsi" w:hAnsi="Arial Narrow" w:cstheme="minorBidi"/>
                <w:snapToGrid/>
                <w:sz w:val="20"/>
              </w:rPr>
              <w:t xml:space="preserve"> treatment duration.</w:t>
            </w:r>
            <w:r w:rsidR="003F11B9" w:rsidRPr="00D8075A">
              <w:rPr>
                <w:rFonts w:ascii="Arial Narrow" w:eastAsiaTheme="minorHAnsi" w:hAnsi="Arial Narrow" w:cstheme="minorBidi"/>
                <w:snapToGrid/>
                <w:sz w:val="20"/>
              </w:rPr>
              <w:t xml:space="preserve"> </w:t>
            </w:r>
            <w:r w:rsidRPr="00D8075A">
              <w:rPr>
                <w:rFonts w:ascii="Arial Narrow" w:eastAsiaTheme="minorHAnsi" w:hAnsi="Arial Narrow" w:cstheme="minorBidi"/>
                <w:snapToGrid/>
                <w:sz w:val="20"/>
              </w:rPr>
              <w:t>The submission assumed 5% of patients remain on treatment beyond 2 years</w:t>
            </w:r>
            <w:r w:rsidRPr="00D8075A">
              <w:rPr>
                <w:rFonts w:ascii="Arial Narrow" w:eastAsiaTheme="minorHAnsi" w:hAnsi="Arial Narrow" w:cstheme="minorHAnsi"/>
                <w:snapToGrid/>
                <w:sz w:val="20"/>
              </w:rPr>
              <w:t>, with maximum expected treatment of 5 years.</w:t>
            </w:r>
          </w:p>
        </w:tc>
        <w:tc>
          <w:tcPr>
            <w:tcW w:w="1260" w:type="pct"/>
            <w:shd w:val="clear" w:color="auto" w:fill="auto"/>
            <w:vAlign w:val="center"/>
          </w:tcPr>
          <w:p w:rsidR="00694239" w:rsidRPr="00D8075A" w:rsidRDefault="00694239" w:rsidP="00A55F3B">
            <w:pPr>
              <w:keepNext/>
              <w:keepLines/>
              <w:spacing w:after="100" w:afterAutospacing="1"/>
              <w:jc w:val="left"/>
              <w:rPr>
                <w:rFonts w:ascii="Arial Narrow" w:eastAsiaTheme="minorHAnsi" w:hAnsi="Arial Narrow" w:cstheme="minorBidi"/>
                <w:snapToGrid/>
                <w:sz w:val="20"/>
                <w:highlight w:val="yellow"/>
              </w:rPr>
            </w:pPr>
            <w:r w:rsidRPr="00D8075A">
              <w:rPr>
                <w:rFonts w:ascii="Arial Narrow" w:eastAsiaTheme="minorHAnsi" w:hAnsi="Arial Narrow" w:cstheme="minorHAnsi"/>
                <w:snapToGrid/>
                <w:sz w:val="20"/>
              </w:rPr>
              <w:t>High. Favours avelumab.</w:t>
            </w:r>
          </w:p>
        </w:tc>
      </w:tr>
      <w:tr w:rsidR="00694239" w:rsidRPr="00D8075A" w:rsidTr="0083398B">
        <w:tc>
          <w:tcPr>
            <w:tcW w:w="1037" w:type="pct"/>
            <w:shd w:val="clear" w:color="auto" w:fill="auto"/>
            <w:vAlign w:val="center"/>
          </w:tcPr>
          <w:p w:rsidR="00694239" w:rsidRPr="00D8075A" w:rsidRDefault="00694239" w:rsidP="00A55F3B">
            <w:pPr>
              <w:keepNext/>
              <w:keepLines/>
              <w:spacing w:after="100" w:afterAutospacing="1"/>
              <w:jc w:val="left"/>
              <w:rPr>
                <w:rFonts w:ascii="Arial Narrow" w:eastAsiaTheme="minorHAnsi" w:hAnsi="Arial Narrow" w:cstheme="minorHAnsi"/>
                <w:snapToGrid/>
                <w:sz w:val="20"/>
              </w:rPr>
            </w:pPr>
            <w:r w:rsidRPr="00D8075A">
              <w:rPr>
                <w:rFonts w:ascii="Arial Narrow" w:eastAsiaTheme="minorHAnsi" w:hAnsi="Arial Narrow" w:cstheme="minorHAnsi"/>
                <w:snapToGrid/>
                <w:sz w:val="20"/>
              </w:rPr>
              <w:t>Time horizon</w:t>
            </w:r>
          </w:p>
        </w:tc>
        <w:tc>
          <w:tcPr>
            <w:tcW w:w="2703" w:type="pct"/>
            <w:shd w:val="clear" w:color="auto" w:fill="auto"/>
            <w:vAlign w:val="center"/>
          </w:tcPr>
          <w:p w:rsidR="00694239" w:rsidRPr="00D8075A" w:rsidRDefault="003F11B9" w:rsidP="00A55F3B">
            <w:pPr>
              <w:keepNext/>
              <w:keepLines/>
              <w:spacing w:after="100" w:afterAutospacing="1"/>
              <w:jc w:val="left"/>
              <w:rPr>
                <w:rFonts w:ascii="Arial Narrow" w:eastAsiaTheme="minorHAnsi" w:hAnsi="Arial Narrow" w:cstheme="minorBidi"/>
                <w:snapToGrid/>
                <w:sz w:val="20"/>
              </w:rPr>
            </w:pPr>
            <w:r w:rsidRPr="00D8075A">
              <w:rPr>
                <w:rFonts w:ascii="Arial Narrow" w:eastAsiaTheme="minorHAnsi" w:hAnsi="Arial Narrow" w:cstheme="minorBidi"/>
                <w:snapToGrid/>
                <w:sz w:val="20"/>
              </w:rPr>
              <w:t xml:space="preserve">A time </w:t>
            </w:r>
            <w:r w:rsidR="00694239" w:rsidRPr="00D8075A">
              <w:rPr>
                <w:rFonts w:ascii="Arial Narrow" w:eastAsiaTheme="minorHAnsi" w:hAnsi="Arial Narrow" w:cstheme="minorBidi"/>
                <w:snapToGrid/>
                <w:sz w:val="20"/>
              </w:rPr>
              <w:t xml:space="preserve">horizon of 7 years </w:t>
            </w:r>
            <w:r w:rsidRPr="00D8075A">
              <w:rPr>
                <w:rFonts w:ascii="Arial Narrow" w:eastAsiaTheme="minorHAnsi" w:hAnsi="Arial Narrow" w:cstheme="minorBidi"/>
                <w:snapToGrid/>
                <w:sz w:val="20"/>
              </w:rPr>
              <w:t>was applied</w:t>
            </w:r>
            <w:r w:rsidR="00694239" w:rsidRPr="00D8075A">
              <w:rPr>
                <w:rFonts w:ascii="Arial Narrow" w:eastAsiaTheme="minorHAnsi" w:hAnsi="Arial Narrow" w:cstheme="minorBidi"/>
                <w:snapToGrid/>
                <w:sz w:val="20"/>
              </w:rPr>
              <w:t xml:space="preserve">. </w:t>
            </w:r>
          </w:p>
        </w:tc>
        <w:tc>
          <w:tcPr>
            <w:tcW w:w="1260" w:type="pct"/>
            <w:shd w:val="clear" w:color="auto" w:fill="auto"/>
            <w:vAlign w:val="center"/>
          </w:tcPr>
          <w:p w:rsidR="00694239" w:rsidRPr="00D8075A" w:rsidRDefault="00694239" w:rsidP="00A55F3B">
            <w:pPr>
              <w:keepNext/>
              <w:keepLines/>
              <w:spacing w:after="100" w:afterAutospacing="1"/>
              <w:jc w:val="left"/>
              <w:rPr>
                <w:rFonts w:ascii="Arial Narrow" w:eastAsiaTheme="minorHAnsi" w:hAnsi="Arial Narrow" w:cstheme="minorHAnsi"/>
                <w:snapToGrid/>
                <w:sz w:val="20"/>
              </w:rPr>
            </w:pPr>
            <w:r w:rsidRPr="00D8075A">
              <w:rPr>
                <w:rFonts w:ascii="Arial Narrow" w:eastAsiaTheme="minorHAnsi" w:hAnsi="Arial Narrow" w:cstheme="minorHAnsi"/>
                <w:snapToGrid/>
                <w:sz w:val="20"/>
              </w:rPr>
              <w:t>High. Favours avelumab.</w:t>
            </w:r>
          </w:p>
        </w:tc>
      </w:tr>
      <w:tr w:rsidR="00694239" w:rsidRPr="00D8075A" w:rsidTr="0083398B">
        <w:tc>
          <w:tcPr>
            <w:tcW w:w="1037" w:type="pct"/>
            <w:shd w:val="clear" w:color="auto" w:fill="auto"/>
            <w:vAlign w:val="center"/>
          </w:tcPr>
          <w:p w:rsidR="00694239" w:rsidRPr="00D8075A" w:rsidRDefault="00694239" w:rsidP="00A55F3B">
            <w:pPr>
              <w:keepNext/>
              <w:keepLines/>
              <w:spacing w:after="100" w:afterAutospacing="1"/>
              <w:jc w:val="left"/>
              <w:rPr>
                <w:rFonts w:ascii="Arial Narrow" w:eastAsiaTheme="minorHAnsi" w:hAnsi="Arial Narrow" w:cstheme="minorHAnsi"/>
                <w:snapToGrid/>
                <w:sz w:val="20"/>
              </w:rPr>
            </w:pPr>
            <w:r w:rsidRPr="00D8075A">
              <w:rPr>
                <w:rFonts w:ascii="Arial Narrow" w:eastAsiaTheme="minorHAnsi" w:hAnsi="Arial Narrow" w:cstheme="minorHAnsi"/>
                <w:snapToGrid/>
                <w:sz w:val="20"/>
              </w:rPr>
              <w:t>Costs for subsequent therapies</w:t>
            </w:r>
          </w:p>
        </w:tc>
        <w:tc>
          <w:tcPr>
            <w:tcW w:w="2703" w:type="pct"/>
            <w:shd w:val="clear" w:color="auto" w:fill="auto"/>
            <w:vAlign w:val="center"/>
          </w:tcPr>
          <w:p w:rsidR="00694239" w:rsidRPr="00D8075A" w:rsidRDefault="00694239" w:rsidP="00A55F3B">
            <w:pPr>
              <w:keepNext/>
              <w:keepLines/>
              <w:spacing w:after="100" w:afterAutospacing="1"/>
              <w:jc w:val="left"/>
              <w:rPr>
                <w:rFonts w:ascii="Arial Narrow" w:eastAsiaTheme="minorHAnsi" w:hAnsi="Arial Narrow" w:cstheme="minorBidi"/>
                <w:snapToGrid/>
                <w:sz w:val="20"/>
              </w:rPr>
            </w:pPr>
            <w:r w:rsidRPr="00D8075A">
              <w:rPr>
                <w:rFonts w:ascii="Arial Narrow" w:eastAsiaTheme="minorHAnsi" w:hAnsi="Arial Narrow" w:cstheme="minorBidi"/>
                <w:snapToGrid/>
                <w:sz w:val="20"/>
              </w:rPr>
              <w:t>Costs associated with BSC and subsequent therapies were not included in the economic model. Patients are expected to be on avelumab for a longer period than chemotherapy due to improved survival.</w:t>
            </w:r>
          </w:p>
        </w:tc>
        <w:tc>
          <w:tcPr>
            <w:tcW w:w="1260" w:type="pct"/>
            <w:shd w:val="clear" w:color="auto" w:fill="auto"/>
            <w:vAlign w:val="center"/>
          </w:tcPr>
          <w:p w:rsidR="00694239" w:rsidRPr="00D8075A" w:rsidRDefault="00694239" w:rsidP="00A55F3B">
            <w:pPr>
              <w:keepNext/>
              <w:keepLines/>
              <w:spacing w:after="100" w:afterAutospacing="1"/>
              <w:jc w:val="left"/>
              <w:rPr>
                <w:rFonts w:ascii="Arial Narrow" w:eastAsiaTheme="minorHAnsi" w:hAnsi="Arial Narrow" w:cstheme="minorHAnsi"/>
                <w:snapToGrid/>
                <w:sz w:val="20"/>
              </w:rPr>
            </w:pPr>
            <w:r w:rsidRPr="00D8075A">
              <w:rPr>
                <w:rFonts w:ascii="Arial Narrow" w:eastAsiaTheme="minorHAnsi" w:hAnsi="Arial Narrow" w:cstheme="minorHAnsi"/>
                <w:snapToGrid/>
                <w:sz w:val="20"/>
              </w:rPr>
              <w:t>Likely to favour avelumab.</w:t>
            </w:r>
          </w:p>
        </w:tc>
      </w:tr>
    </w:tbl>
    <w:p w:rsidR="00446210" w:rsidRPr="00D8075A" w:rsidRDefault="00446210" w:rsidP="00A55F3B">
      <w:pPr>
        <w:keepNext/>
        <w:keepLines/>
        <w:spacing w:after="120"/>
        <w:contextualSpacing/>
        <w:rPr>
          <w:rFonts w:ascii="Arial Narrow" w:hAnsi="Arial Narrow"/>
          <w:sz w:val="18"/>
          <w:szCs w:val="20"/>
        </w:rPr>
      </w:pPr>
      <w:r w:rsidRPr="00D8075A">
        <w:rPr>
          <w:rFonts w:ascii="Arial Narrow" w:hAnsi="Arial Narrow"/>
          <w:sz w:val="18"/>
          <w:szCs w:val="20"/>
        </w:rPr>
        <w:t xml:space="preserve">AEs: adverse events; PFS: progression free survival; </w:t>
      </w:r>
      <w:proofErr w:type="spellStart"/>
      <w:r w:rsidRPr="00D8075A">
        <w:rPr>
          <w:rFonts w:ascii="Arial Narrow" w:hAnsi="Arial Narrow"/>
          <w:sz w:val="18"/>
          <w:szCs w:val="20"/>
        </w:rPr>
        <w:t>ToT</w:t>
      </w:r>
      <w:proofErr w:type="spellEnd"/>
      <w:r w:rsidRPr="00D8075A">
        <w:rPr>
          <w:rFonts w:ascii="Arial Narrow" w:hAnsi="Arial Narrow"/>
          <w:sz w:val="18"/>
          <w:szCs w:val="20"/>
        </w:rPr>
        <w:t>: time on treatment.</w:t>
      </w:r>
    </w:p>
    <w:p w:rsidR="00694239" w:rsidRPr="00D8075A" w:rsidRDefault="00694239" w:rsidP="00A55F3B">
      <w:pPr>
        <w:keepNext/>
        <w:keepLines/>
        <w:spacing w:after="120"/>
        <w:contextualSpacing/>
        <w:rPr>
          <w:rFonts w:ascii="Arial Narrow" w:hAnsi="Arial Narrow"/>
          <w:sz w:val="18"/>
          <w:szCs w:val="20"/>
        </w:rPr>
      </w:pPr>
      <w:r w:rsidRPr="00D8075A">
        <w:rPr>
          <w:rFonts w:ascii="Arial Narrow" w:hAnsi="Arial Narrow"/>
          <w:sz w:val="18"/>
          <w:szCs w:val="20"/>
        </w:rPr>
        <w:t>Source: compiled during the evaluation using Section 3.4, pp 139-170 of the submission</w:t>
      </w:r>
      <w:r w:rsidR="00446210" w:rsidRPr="00D8075A">
        <w:rPr>
          <w:rFonts w:ascii="Arial Narrow" w:hAnsi="Arial Narrow"/>
          <w:sz w:val="18"/>
          <w:szCs w:val="20"/>
        </w:rPr>
        <w:t>.</w:t>
      </w:r>
    </w:p>
    <w:p w:rsidR="00694239" w:rsidRPr="00D8075A" w:rsidRDefault="00694239" w:rsidP="00694239">
      <w:pPr>
        <w:spacing w:after="120"/>
        <w:contextualSpacing/>
        <w:rPr>
          <w:rFonts w:ascii="Arial Narrow" w:hAnsi="Arial Narrow"/>
          <w:sz w:val="18"/>
          <w:szCs w:val="20"/>
        </w:rPr>
      </w:pPr>
    </w:p>
    <w:p w:rsidR="00694239" w:rsidRPr="00D8075A" w:rsidRDefault="00694239" w:rsidP="00694239">
      <w:pPr>
        <w:keepNext/>
        <w:widowControl/>
        <w:jc w:val="left"/>
        <w:rPr>
          <w:rFonts w:ascii="Arial Narrow" w:eastAsiaTheme="minorHAnsi" w:hAnsi="Arial Narrow" w:cstheme="minorBidi"/>
          <w:b/>
          <w:snapToGrid/>
          <w:sz w:val="20"/>
        </w:rPr>
      </w:pPr>
      <w:r w:rsidRPr="00D8075A">
        <w:rPr>
          <w:rFonts w:ascii="Arial Narrow" w:eastAsiaTheme="minorHAnsi" w:hAnsi="Arial Narrow" w:cstheme="minorBidi"/>
          <w:b/>
          <w:snapToGrid/>
          <w:sz w:val="20"/>
        </w:rPr>
        <w:t>Table 10: Results of the stepped economic evaluation</w:t>
      </w:r>
    </w:p>
    <w:tbl>
      <w:tblPr>
        <w:tblW w:w="5000" w:type="pct"/>
        <w:tblCellMar>
          <w:left w:w="57" w:type="dxa"/>
          <w:right w:w="57" w:type="dxa"/>
        </w:tblCellMar>
        <w:tblLook w:val="04A0" w:firstRow="1" w:lastRow="0" w:firstColumn="1" w:lastColumn="0" w:noHBand="0" w:noVBand="1"/>
        <w:tblCaption w:val="Table 10: Results of the stepped economic evaluation"/>
        <w:tblDescription w:val="Table 10: Results of the stepped economic evaluation"/>
      </w:tblPr>
      <w:tblGrid>
        <w:gridCol w:w="2585"/>
        <w:gridCol w:w="820"/>
        <w:gridCol w:w="1148"/>
        <w:gridCol w:w="943"/>
        <w:gridCol w:w="820"/>
        <w:gridCol w:w="1148"/>
        <w:gridCol w:w="943"/>
        <w:gridCol w:w="734"/>
      </w:tblGrid>
      <w:tr w:rsidR="00694239" w:rsidRPr="00D8075A" w:rsidTr="0083398B">
        <w:trPr>
          <w:trHeight w:val="64"/>
          <w:tblHeader/>
        </w:trPr>
        <w:tc>
          <w:tcPr>
            <w:tcW w:w="14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4239" w:rsidRPr="00D8075A" w:rsidRDefault="00694239" w:rsidP="006B1181">
            <w:pPr>
              <w:spacing w:after="120"/>
              <w:contextualSpacing/>
              <w:rPr>
                <w:rFonts w:ascii="Arial Narrow" w:hAnsi="Arial Narrow"/>
                <w:b/>
                <w:sz w:val="18"/>
                <w:szCs w:val="20"/>
              </w:rPr>
            </w:pPr>
            <w:r w:rsidRPr="00D8075A">
              <w:rPr>
                <w:rFonts w:ascii="Arial Narrow" w:hAnsi="Arial Narrow"/>
                <w:b/>
                <w:sz w:val="18"/>
                <w:szCs w:val="20"/>
              </w:rPr>
              <w:t>Steps</w:t>
            </w:r>
          </w:p>
        </w:tc>
        <w:tc>
          <w:tcPr>
            <w:tcW w:w="1592" w:type="pct"/>
            <w:gridSpan w:val="3"/>
            <w:tcBorders>
              <w:top w:val="single" w:sz="4" w:space="0" w:color="auto"/>
              <w:left w:val="nil"/>
              <w:bottom w:val="single" w:sz="4" w:space="0" w:color="auto"/>
              <w:right w:val="single" w:sz="4" w:space="0" w:color="auto"/>
            </w:tcBorders>
            <w:shd w:val="clear" w:color="auto" w:fill="auto"/>
            <w:vAlign w:val="center"/>
            <w:hideMark/>
          </w:tcPr>
          <w:p w:rsidR="00694239" w:rsidRPr="00D8075A" w:rsidRDefault="00694239" w:rsidP="006B1181">
            <w:pPr>
              <w:spacing w:after="120"/>
              <w:contextualSpacing/>
              <w:jc w:val="center"/>
              <w:rPr>
                <w:rFonts w:ascii="Arial Narrow" w:hAnsi="Arial Narrow"/>
                <w:b/>
                <w:sz w:val="18"/>
                <w:szCs w:val="20"/>
              </w:rPr>
            </w:pPr>
            <w:r w:rsidRPr="00D8075A">
              <w:rPr>
                <w:rFonts w:ascii="Arial Narrow" w:hAnsi="Arial Narrow"/>
                <w:b/>
                <w:sz w:val="18"/>
                <w:szCs w:val="20"/>
              </w:rPr>
              <w:t>Costs</w:t>
            </w:r>
          </w:p>
        </w:tc>
        <w:tc>
          <w:tcPr>
            <w:tcW w:w="1592" w:type="pct"/>
            <w:gridSpan w:val="3"/>
            <w:tcBorders>
              <w:top w:val="single" w:sz="4" w:space="0" w:color="auto"/>
              <w:left w:val="nil"/>
              <w:bottom w:val="single" w:sz="4" w:space="0" w:color="auto"/>
              <w:right w:val="single" w:sz="4" w:space="0" w:color="auto"/>
            </w:tcBorders>
            <w:shd w:val="clear" w:color="auto" w:fill="auto"/>
            <w:vAlign w:val="center"/>
            <w:hideMark/>
          </w:tcPr>
          <w:p w:rsidR="00694239" w:rsidRPr="00D8075A" w:rsidRDefault="00694239" w:rsidP="006B1181">
            <w:pPr>
              <w:spacing w:after="120"/>
              <w:contextualSpacing/>
              <w:jc w:val="center"/>
              <w:rPr>
                <w:rFonts w:ascii="Arial Narrow" w:hAnsi="Arial Narrow"/>
                <w:b/>
                <w:sz w:val="18"/>
                <w:szCs w:val="20"/>
              </w:rPr>
            </w:pPr>
            <w:r w:rsidRPr="00D8075A">
              <w:rPr>
                <w:rFonts w:ascii="Arial Narrow" w:hAnsi="Arial Narrow"/>
                <w:b/>
                <w:sz w:val="18"/>
                <w:szCs w:val="20"/>
              </w:rPr>
              <w:t>QALYs</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4239" w:rsidRPr="00D8075A" w:rsidRDefault="00694239" w:rsidP="006B1181">
            <w:pPr>
              <w:spacing w:after="120"/>
              <w:contextualSpacing/>
              <w:jc w:val="center"/>
              <w:rPr>
                <w:rFonts w:ascii="Arial Narrow" w:hAnsi="Arial Narrow"/>
                <w:b/>
                <w:sz w:val="18"/>
                <w:szCs w:val="20"/>
              </w:rPr>
            </w:pPr>
            <w:r w:rsidRPr="00D8075A">
              <w:rPr>
                <w:rFonts w:ascii="Arial Narrow" w:hAnsi="Arial Narrow"/>
                <w:b/>
                <w:sz w:val="18"/>
                <w:szCs w:val="20"/>
              </w:rPr>
              <w:t>ICER</w:t>
            </w:r>
          </w:p>
        </w:tc>
      </w:tr>
      <w:tr w:rsidR="00694239" w:rsidRPr="00D8075A" w:rsidTr="0083398B">
        <w:trPr>
          <w:trHeight w:val="58"/>
          <w:tblHeader/>
        </w:trPr>
        <w:tc>
          <w:tcPr>
            <w:tcW w:w="1416" w:type="pct"/>
            <w:vMerge/>
            <w:tcBorders>
              <w:top w:val="single" w:sz="4" w:space="0" w:color="auto"/>
              <w:left w:val="single" w:sz="4" w:space="0" w:color="auto"/>
              <w:bottom w:val="single" w:sz="4" w:space="0" w:color="auto"/>
              <w:right w:val="single" w:sz="4" w:space="0" w:color="auto"/>
            </w:tcBorders>
            <w:vAlign w:val="center"/>
            <w:hideMark/>
          </w:tcPr>
          <w:p w:rsidR="00694239" w:rsidRPr="00D8075A" w:rsidRDefault="00694239" w:rsidP="006B1181">
            <w:pPr>
              <w:spacing w:after="120"/>
              <w:contextualSpacing/>
              <w:rPr>
                <w:rFonts w:ascii="Arial Narrow" w:hAnsi="Arial Narrow"/>
                <w:b/>
                <w:sz w:val="18"/>
                <w:szCs w:val="20"/>
              </w:rPr>
            </w:pPr>
          </w:p>
        </w:tc>
        <w:tc>
          <w:tcPr>
            <w:tcW w:w="449" w:type="pct"/>
            <w:tcBorders>
              <w:top w:val="nil"/>
              <w:left w:val="nil"/>
              <w:bottom w:val="single" w:sz="4" w:space="0" w:color="auto"/>
              <w:right w:val="single" w:sz="4" w:space="0" w:color="auto"/>
            </w:tcBorders>
            <w:shd w:val="clear" w:color="auto" w:fill="auto"/>
            <w:vAlign w:val="center"/>
            <w:hideMark/>
          </w:tcPr>
          <w:p w:rsidR="00694239" w:rsidRPr="00D8075A" w:rsidRDefault="00694239" w:rsidP="006B1181">
            <w:pPr>
              <w:spacing w:after="120"/>
              <w:contextualSpacing/>
              <w:jc w:val="center"/>
              <w:rPr>
                <w:rFonts w:ascii="Arial Narrow" w:hAnsi="Arial Narrow"/>
                <w:b/>
                <w:sz w:val="18"/>
                <w:szCs w:val="20"/>
              </w:rPr>
            </w:pPr>
            <w:r w:rsidRPr="00D8075A">
              <w:rPr>
                <w:rFonts w:ascii="Arial Narrow" w:hAnsi="Arial Narrow"/>
                <w:b/>
                <w:sz w:val="18"/>
                <w:szCs w:val="20"/>
              </w:rPr>
              <w:t>Avelumab</w:t>
            </w:r>
          </w:p>
        </w:tc>
        <w:tc>
          <w:tcPr>
            <w:tcW w:w="628" w:type="pct"/>
            <w:tcBorders>
              <w:top w:val="nil"/>
              <w:left w:val="nil"/>
              <w:bottom w:val="single" w:sz="4" w:space="0" w:color="auto"/>
              <w:right w:val="single" w:sz="4" w:space="0" w:color="auto"/>
            </w:tcBorders>
            <w:shd w:val="clear" w:color="auto" w:fill="auto"/>
            <w:vAlign w:val="center"/>
            <w:hideMark/>
          </w:tcPr>
          <w:p w:rsidR="00694239" w:rsidRPr="00D8075A" w:rsidRDefault="00694239" w:rsidP="006B1181">
            <w:pPr>
              <w:spacing w:after="120"/>
              <w:contextualSpacing/>
              <w:jc w:val="center"/>
              <w:rPr>
                <w:rFonts w:ascii="Arial Narrow" w:hAnsi="Arial Narrow"/>
                <w:b/>
                <w:sz w:val="18"/>
                <w:szCs w:val="20"/>
              </w:rPr>
            </w:pPr>
            <w:r w:rsidRPr="00D8075A">
              <w:rPr>
                <w:rFonts w:ascii="Arial Narrow" w:hAnsi="Arial Narrow"/>
                <w:b/>
                <w:sz w:val="18"/>
                <w:szCs w:val="20"/>
              </w:rPr>
              <w:t>Chemotherapy</w:t>
            </w:r>
          </w:p>
        </w:tc>
        <w:tc>
          <w:tcPr>
            <w:tcW w:w="516" w:type="pct"/>
            <w:tcBorders>
              <w:top w:val="nil"/>
              <w:left w:val="nil"/>
              <w:bottom w:val="single" w:sz="4" w:space="0" w:color="auto"/>
              <w:right w:val="single" w:sz="4" w:space="0" w:color="auto"/>
            </w:tcBorders>
            <w:shd w:val="clear" w:color="auto" w:fill="auto"/>
            <w:vAlign w:val="center"/>
            <w:hideMark/>
          </w:tcPr>
          <w:p w:rsidR="00694239" w:rsidRPr="00D8075A" w:rsidRDefault="00694239" w:rsidP="006B1181">
            <w:pPr>
              <w:spacing w:after="120"/>
              <w:contextualSpacing/>
              <w:jc w:val="center"/>
              <w:rPr>
                <w:rFonts w:ascii="Arial Narrow" w:hAnsi="Arial Narrow"/>
                <w:b/>
                <w:sz w:val="18"/>
                <w:szCs w:val="20"/>
              </w:rPr>
            </w:pPr>
            <w:r w:rsidRPr="00D8075A">
              <w:rPr>
                <w:rFonts w:ascii="Arial Narrow" w:hAnsi="Arial Narrow"/>
                <w:b/>
                <w:sz w:val="18"/>
                <w:szCs w:val="20"/>
              </w:rPr>
              <w:t>Incremental</w:t>
            </w:r>
          </w:p>
        </w:tc>
        <w:tc>
          <w:tcPr>
            <w:tcW w:w="449" w:type="pct"/>
            <w:tcBorders>
              <w:top w:val="nil"/>
              <w:left w:val="nil"/>
              <w:bottom w:val="single" w:sz="4" w:space="0" w:color="auto"/>
              <w:right w:val="single" w:sz="4" w:space="0" w:color="auto"/>
            </w:tcBorders>
            <w:shd w:val="clear" w:color="auto" w:fill="auto"/>
            <w:vAlign w:val="center"/>
            <w:hideMark/>
          </w:tcPr>
          <w:p w:rsidR="00694239" w:rsidRPr="00D8075A" w:rsidRDefault="00694239" w:rsidP="006B1181">
            <w:pPr>
              <w:spacing w:after="120"/>
              <w:contextualSpacing/>
              <w:jc w:val="center"/>
              <w:rPr>
                <w:rFonts w:ascii="Arial Narrow" w:hAnsi="Arial Narrow"/>
                <w:b/>
                <w:sz w:val="18"/>
                <w:szCs w:val="20"/>
              </w:rPr>
            </w:pPr>
            <w:r w:rsidRPr="00D8075A">
              <w:rPr>
                <w:rFonts w:ascii="Arial Narrow" w:hAnsi="Arial Narrow"/>
                <w:b/>
                <w:sz w:val="18"/>
                <w:szCs w:val="20"/>
              </w:rPr>
              <w:t>Avelumab</w:t>
            </w:r>
          </w:p>
        </w:tc>
        <w:tc>
          <w:tcPr>
            <w:tcW w:w="628" w:type="pct"/>
            <w:tcBorders>
              <w:top w:val="nil"/>
              <w:left w:val="nil"/>
              <w:bottom w:val="single" w:sz="4" w:space="0" w:color="auto"/>
              <w:right w:val="single" w:sz="4" w:space="0" w:color="auto"/>
            </w:tcBorders>
            <w:shd w:val="clear" w:color="auto" w:fill="auto"/>
            <w:vAlign w:val="center"/>
            <w:hideMark/>
          </w:tcPr>
          <w:p w:rsidR="00694239" w:rsidRPr="00D8075A" w:rsidRDefault="00694239" w:rsidP="006B1181">
            <w:pPr>
              <w:spacing w:after="120"/>
              <w:contextualSpacing/>
              <w:jc w:val="center"/>
              <w:rPr>
                <w:rFonts w:ascii="Arial Narrow" w:hAnsi="Arial Narrow"/>
                <w:b/>
                <w:sz w:val="18"/>
                <w:szCs w:val="20"/>
              </w:rPr>
            </w:pPr>
            <w:r w:rsidRPr="00D8075A">
              <w:rPr>
                <w:rFonts w:ascii="Arial Narrow" w:hAnsi="Arial Narrow"/>
                <w:b/>
                <w:sz w:val="18"/>
                <w:szCs w:val="20"/>
              </w:rPr>
              <w:t>Chemotherapy</w:t>
            </w:r>
          </w:p>
        </w:tc>
        <w:tc>
          <w:tcPr>
            <w:tcW w:w="516" w:type="pct"/>
            <w:tcBorders>
              <w:top w:val="nil"/>
              <w:left w:val="nil"/>
              <w:bottom w:val="single" w:sz="4" w:space="0" w:color="auto"/>
              <w:right w:val="single" w:sz="4" w:space="0" w:color="auto"/>
            </w:tcBorders>
            <w:shd w:val="clear" w:color="auto" w:fill="auto"/>
            <w:vAlign w:val="center"/>
            <w:hideMark/>
          </w:tcPr>
          <w:p w:rsidR="00694239" w:rsidRPr="00D8075A" w:rsidRDefault="00694239" w:rsidP="006B1181">
            <w:pPr>
              <w:spacing w:after="120"/>
              <w:contextualSpacing/>
              <w:jc w:val="center"/>
              <w:rPr>
                <w:rFonts w:ascii="Arial Narrow" w:hAnsi="Arial Narrow"/>
                <w:b/>
                <w:sz w:val="18"/>
                <w:szCs w:val="20"/>
              </w:rPr>
            </w:pPr>
            <w:r w:rsidRPr="00D8075A">
              <w:rPr>
                <w:rFonts w:ascii="Arial Narrow" w:hAnsi="Arial Narrow"/>
                <w:b/>
                <w:sz w:val="18"/>
                <w:szCs w:val="20"/>
              </w:rPr>
              <w:t>Incremental</w:t>
            </w: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94239" w:rsidRPr="00D8075A" w:rsidRDefault="00694239" w:rsidP="006B1181">
            <w:pPr>
              <w:spacing w:after="120"/>
              <w:contextualSpacing/>
              <w:jc w:val="center"/>
              <w:rPr>
                <w:rFonts w:ascii="Arial Narrow" w:hAnsi="Arial Narrow"/>
                <w:b/>
                <w:sz w:val="18"/>
                <w:szCs w:val="20"/>
              </w:rPr>
            </w:pPr>
          </w:p>
        </w:tc>
      </w:tr>
      <w:tr w:rsidR="00694239" w:rsidRPr="00D8075A" w:rsidTr="0083398B">
        <w:trPr>
          <w:trHeight w:val="480"/>
        </w:trPr>
        <w:tc>
          <w:tcPr>
            <w:tcW w:w="1416" w:type="pct"/>
            <w:tcBorders>
              <w:top w:val="nil"/>
              <w:left w:val="single" w:sz="4" w:space="0" w:color="auto"/>
              <w:bottom w:val="single" w:sz="4" w:space="0" w:color="auto"/>
              <w:right w:val="single" w:sz="4" w:space="0" w:color="auto"/>
            </w:tcBorders>
            <w:shd w:val="clear" w:color="auto" w:fill="auto"/>
            <w:vAlign w:val="center"/>
            <w:hideMark/>
          </w:tcPr>
          <w:p w:rsidR="00694239" w:rsidRPr="00D8075A" w:rsidRDefault="00694239" w:rsidP="006B1181">
            <w:pPr>
              <w:spacing w:after="120"/>
              <w:contextualSpacing/>
              <w:rPr>
                <w:rFonts w:ascii="Arial Narrow" w:hAnsi="Arial Narrow"/>
                <w:sz w:val="18"/>
                <w:szCs w:val="20"/>
              </w:rPr>
            </w:pPr>
            <w:r w:rsidRPr="00D8075A">
              <w:rPr>
                <w:rFonts w:ascii="Arial Narrow" w:hAnsi="Arial Narrow"/>
                <w:sz w:val="18"/>
                <w:szCs w:val="20"/>
              </w:rPr>
              <w:t>Step 1: Minimum study follow-up time horizon: 18 months, drug costs only</w:t>
            </w:r>
          </w:p>
        </w:tc>
        <w:tc>
          <w:tcPr>
            <w:tcW w:w="449" w:type="pct"/>
            <w:tcBorders>
              <w:top w:val="nil"/>
              <w:left w:val="nil"/>
              <w:bottom w:val="single" w:sz="4" w:space="0" w:color="auto"/>
              <w:right w:val="single" w:sz="4" w:space="0" w:color="auto"/>
            </w:tcBorders>
            <w:shd w:val="clear" w:color="auto" w:fill="auto"/>
            <w:vAlign w:val="center"/>
          </w:tcPr>
          <w:p w:rsidR="00694239" w:rsidRPr="00D8075A" w:rsidRDefault="00694239" w:rsidP="006B1181">
            <w:pPr>
              <w:spacing w:after="120"/>
              <w:contextualSpacing/>
              <w:jc w:val="center"/>
              <w:rPr>
                <w:rFonts w:ascii="Arial Narrow" w:hAnsi="Arial Narrow"/>
                <w:sz w:val="18"/>
                <w:szCs w:val="20"/>
              </w:rPr>
            </w:pPr>
            <w:r w:rsidRPr="00D8075A">
              <w:rPr>
                <w:rFonts w:ascii="Arial Narrow" w:hAnsi="Arial Narrow"/>
                <w:sz w:val="18"/>
                <w:szCs w:val="20"/>
              </w:rPr>
              <w:t>$</w:t>
            </w:r>
            <w:r w:rsidR="00E43539">
              <w:rPr>
                <w:rFonts w:ascii="Arial Narrow" w:hAnsi="Arial Narrow"/>
                <w:noProof/>
                <w:color w:val="000000"/>
                <w:sz w:val="18"/>
                <w:szCs w:val="20"/>
                <w:highlight w:val="black"/>
              </w:rPr>
              <w:t>'''''''''''''''</w:t>
            </w:r>
          </w:p>
        </w:tc>
        <w:tc>
          <w:tcPr>
            <w:tcW w:w="628" w:type="pct"/>
            <w:tcBorders>
              <w:top w:val="nil"/>
              <w:left w:val="nil"/>
              <w:bottom w:val="single" w:sz="4" w:space="0" w:color="auto"/>
              <w:right w:val="single" w:sz="4" w:space="0" w:color="auto"/>
            </w:tcBorders>
            <w:shd w:val="clear" w:color="auto" w:fill="auto"/>
            <w:vAlign w:val="center"/>
          </w:tcPr>
          <w:p w:rsidR="00694239" w:rsidRPr="00D8075A" w:rsidRDefault="00694239" w:rsidP="006B1181">
            <w:pPr>
              <w:spacing w:after="120"/>
              <w:contextualSpacing/>
              <w:jc w:val="center"/>
              <w:rPr>
                <w:rFonts w:ascii="Arial Narrow" w:hAnsi="Arial Narrow"/>
                <w:sz w:val="18"/>
                <w:szCs w:val="20"/>
              </w:rPr>
            </w:pPr>
            <w:r w:rsidRPr="00D8075A">
              <w:rPr>
                <w:rFonts w:ascii="Arial Narrow" w:hAnsi="Arial Narrow"/>
                <w:sz w:val="18"/>
                <w:szCs w:val="20"/>
              </w:rPr>
              <w:t>$</w:t>
            </w:r>
            <w:r w:rsidR="00E43539">
              <w:rPr>
                <w:rFonts w:ascii="Arial Narrow" w:hAnsi="Arial Narrow"/>
                <w:noProof/>
                <w:color w:val="000000"/>
                <w:sz w:val="18"/>
                <w:szCs w:val="20"/>
                <w:highlight w:val="black"/>
              </w:rPr>
              <w:t>'''''''''''''''</w:t>
            </w:r>
          </w:p>
        </w:tc>
        <w:tc>
          <w:tcPr>
            <w:tcW w:w="516" w:type="pct"/>
            <w:tcBorders>
              <w:top w:val="nil"/>
              <w:left w:val="nil"/>
              <w:bottom w:val="single" w:sz="4" w:space="0" w:color="auto"/>
              <w:right w:val="single" w:sz="4" w:space="0" w:color="auto"/>
            </w:tcBorders>
            <w:shd w:val="clear" w:color="auto" w:fill="auto"/>
            <w:vAlign w:val="center"/>
          </w:tcPr>
          <w:p w:rsidR="00694239" w:rsidRPr="00D8075A" w:rsidRDefault="00694239" w:rsidP="006B1181">
            <w:pPr>
              <w:spacing w:after="120"/>
              <w:contextualSpacing/>
              <w:jc w:val="center"/>
              <w:rPr>
                <w:rFonts w:ascii="Arial Narrow" w:hAnsi="Arial Narrow"/>
                <w:sz w:val="18"/>
                <w:szCs w:val="20"/>
              </w:rPr>
            </w:pPr>
            <w:r w:rsidRPr="00D8075A">
              <w:rPr>
                <w:rFonts w:ascii="Arial Narrow" w:hAnsi="Arial Narrow"/>
                <w:sz w:val="18"/>
                <w:szCs w:val="20"/>
              </w:rPr>
              <w:t>$</w:t>
            </w:r>
            <w:r w:rsidR="00E43539">
              <w:rPr>
                <w:rFonts w:ascii="Arial Narrow" w:hAnsi="Arial Narrow"/>
                <w:noProof/>
                <w:color w:val="000000"/>
                <w:sz w:val="18"/>
                <w:szCs w:val="20"/>
                <w:highlight w:val="black"/>
              </w:rPr>
              <w:t>'''''''''''''''</w:t>
            </w:r>
          </w:p>
        </w:tc>
        <w:tc>
          <w:tcPr>
            <w:tcW w:w="449" w:type="pct"/>
            <w:tcBorders>
              <w:top w:val="nil"/>
              <w:left w:val="nil"/>
              <w:bottom w:val="single" w:sz="4" w:space="0" w:color="auto"/>
              <w:right w:val="single" w:sz="4" w:space="0" w:color="auto"/>
            </w:tcBorders>
            <w:shd w:val="clear" w:color="auto" w:fill="auto"/>
            <w:vAlign w:val="center"/>
          </w:tcPr>
          <w:p w:rsidR="00694239" w:rsidRPr="00D8075A" w:rsidRDefault="00694239" w:rsidP="006B1181">
            <w:pPr>
              <w:spacing w:after="120"/>
              <w:contextualSpacing/>
              <w:jc w:val="center"/>
              <w:rPr>
                <w:rFonts w:ascii="Arial Narrow" w:hAnsi="Arial Narrow"/>
                <w:sz w:val="18"/>
                <w:szCs w:val="20"/>
              </w:rPr>
            </w:pPr>
            <w:r w:rsidRPr="00D8075A">
              <w:rPr>
                <w:rFonts w:ascii="Arial Narrow" w:hAnsi="Arial Narrow"/>
                <w:sz w:val="18"/>
                <w:szCs w:val="20"/>
              </w:rPr>
              <w:t>0.90</w:t>
            </w:r>
          </w:p>
        </w:tc>
        <w:tc>
          <w:tcPr>
            <w:tcW w:w="628" w:type="pct"/>
            <w:tcBorders>
              <w:top w:val="nil"/>
              <w:left w:val="nil"/>
              <w:bottom w:val="single" w:sz="4" w:space="0" w:color="auto"/>
              <w:right w:val="single" w:sz="4" w:space="0" w:color="auto"/>
            </w:tcBorders>
            <w:shd w:val="clear" w:color="auto" w:fill="auto"/>
            <w:vAlign w:val="center"/>
          </w:tcPr>
          <w:p w:rsidR="00694239" w:rsidRPr="00D8075A" w:rsidRDefault="00694239" w:rsidP="006B1181">
            <w:pPr>
              <w:spacing w:after="120"/>
              <w:contextualSpacing/>
              <w:jc w:val="center"/>
              <w:rPr>
                <w:rFonts w:ascii="Arial Narrow" w:hAnsi="Arial Narrow"/>
                <w:sz w:val="18"/>
                <w:szCs w:val="20"/>
              </w:rPr>
            </w:pPr>
            <w:r w:rsidRPr="00D8075A">
              <w:rPr>
                <w:rFonts w:ascii="Arial Narrow" w:hAnsi="Arial Narrow"/>
                <w:sz w:val="18"/>
                <w:szCs w:val="20"/>
              </w:rPr>
              <w:t>0.30</w:t>
            </w:r>
          </w:p>
        </w:tc>
        <w:tc>
          <w:tcPr>
            <w:tcW w:w="516" w:type="pct"/>
            <w:tcBorders>
              <w:top w:val="nil"/>
              <w:left w:val="nil"/>
              <w:bottom w:val="single" w:sz="4" w:space="0" w:color="auto"/>
              <w:right w:val="single" w:sz="4" w:space="0" w:color="auto"/>
            </w:tcBorders>
            <w:shd w:val="clear" w:color="auto" w:fill="auto"/>
            <w:vAlign w:val="center"/>
          </w:tcPr>
          <w:p w:rsidR="00694239" w:rsidRPr="00D8075A" w:rsidRDefault="00694239" w:rsidP="006B1181">
            <w:pPr>
              <w:spacing w:after="120"/>
              <w:contextualSpacing/>
              <w:jc w:val="center"/>
              <w:rPr>
                <w:rFonts w:ascii="Arial Narrow" w:hAnsi="Arial Narrow"/>
                <w:sz w:val="18"/>
                <w:szCs w:val="20"/>
              </w:rPr>
            </w:pPr>
            <w:r w:rsidRPr="00D8075A">
              <w:rPr>
                <w:rFonts w:ascii="Arial Narrow" w:hAnsi="Arial Narrow"/>
                <w:sz w:val="18"/>
                <w:szCs w:val="20"/>
              </w:rPr>
              <w:t>0.59</w:t>
            </w:r>
          </w:p>
        </w:tc>
        <w:tc>
          <w:tcPr>
            <w:tcW w:w="399" w:type="pct"/>
            <w:tcBorders>
              <w:top w:val="nil"/>
              <w:left w:val="nil"/>
              <w:bottom w:val="single" w:sz="4" w:space="0" w:color="auto"/>
              <w:right w:val="single" w:sz="4" w:space="0" w:color="auto"/>
            </w:tcBorders>
            <w:shd w:val="clear" w:color="auto" w:fill="auto"/>
            <w:vAlign w:val="center"/>
          </w:tcPr>
          <w:p w:rsidR="00694239" w:rsidRPr="00D8075A" w:rsidRDefault="00694239" w:rsidP="006B1181">
            <w:pPr>
              <w:spacing w:after="120"/>
              <w:contextualSpacing/>
              <w:jc w:val="center"/>
              <w:rPr>
                <w:rFonts w:ascii="Arial Narrow" w:hAnsi="Arial Narrow"/>
                <w:sz w:val="18"/>
                <w:szCs w:val="20"/>
              </w:rPr>
            </w:pPr>
            <w:r w:rsidRPr="00D8075A">
              <w:rPr>
                <w:rFonts w:ascii="Arial Narrow" w:hAnsi="Arial Narrow"/>
                <w:sz w:val="18"/>
                <w:szCs w:val="20"/>
              </w:rPr>
              <w:t>$</w:t>
            </w:r>
            <w:r w:rsidR="00E43539">
              <w:rPr>
                <w:rFonts w:ascii="Arial Narrow" w:hAnsi="Arial Narrow"/>
                <w:noProof/>
                <w:color w:val="000000"/>
                <w:sz w:val="18"/>
                <w:szCs w:val="20"/>
                <w:highlight w:val="black"/>
              </w:rPr>
              <w:t>'''''''''''''''''''</w:t>
            </w:r>
          </w:p>
        </w:tc>
      </w:tr>
      <w:tr w:rsidR="00694239" w:rsidRPr="00D8075A" w:rsidTr="0083398B">
        <w:trPr>
          <w:trHeight w:val="480"/>
        </w:trPr>
        <w:tc>
          <w:tcPr>
            <w:tcW w:w="1416" w:type="pct"/>
            <w:tcBorders>
              <w:top w:val="nil"/>
              <w:left w:val="single" w:sz="4" w:space="0" w:color="auto"/>
              <w:bottom w:val="single" w:sz="4" w:space="0" w:color="auto"/>
              <w:right w:val="single" w:sz="4" w:space="0" w:color="auto"/>
            </w:tcBorders>
            <w:shd w:val="clear" w:color="auto" w:fill="auto"/>
            <w:vAlign w:val="center"/>
            <w:hideMark/>
          </w:tcPr>
          <w:p w:rsidR="00694239" w:rsidRPr="00D8075A" w:rsidRDefault="00694239" w:rsidP="006B1181">
            <w:pPr>
              <w:spacing w:after="120"/>
              <w:contextualSpacing/>
              <w:rPr>
                <w:rFonts w:ascii="Arial Narrow" w:hAnsi="Arial Narrow"/>
                <w:sz w:val="18"/>
                <w:szCs w:val="20"/>
              </w:rPr>
            </w:pPr>
            <w:r w:rsidRPr="00D8075A">
              <w:rPr>
                <w:rFonts w:ascii="Arial Narrow" w:hAnsi="Arial Narrow"/>
                <w:sz w:val="18"/>
                <w:szCs w:val="20"/>
              </w:rPr>
              <w:t>Step 2: Minimum study follow-up time horizon: 18 months, all costs</w:t>
            </w:r>
          </w:p>
        </w:tc>
        <w:tc>
          <w:tcPr>
            <w:tcW w:w="449" w:type="pct"/>
            <w:tcBorders>
              <w:top w:val="nil"/>
              <w:left w:val="nil"/>
              <w:bottom w:val="single" w:sz="4" w:space="0" w:color="auto"/>
              <w:right w:val="single" w:sz="4" w:space="0" w:color="auto"/>
            </w:tcBorders>
            <w:shd w:val="clear" w:color="auto" w:fill="auto"/>
            <w:vAlign w:val="center"/>
          </w:tcPr>
          <w:p w:rsidR="00694239" w:rsidRPr="00D8075A" w:rsidRDefault="00694239" w:rsidP="006B1181">
            <w:pPr>
              <w:spacing w:after="120"/>
              <w:contextualSpacing/>
              <w:jc w:val="center"/>
              <w:rPr>
                <w:rFonts w:ascii="Arial Narrow" w:hAnsi="Arial Narrow"/>
                <w:sz w:val="18"/>
                <w:szCs w:val="20"/>
              </w:rPr>
            </w:pPr>
            <w:r w:rsidRPr="00D8075A">
              <w:rPr>
                <w:rFonts w:ascii="Arial Narrow" w:hAnsi="Arial Narrow"/>
                <w:sz w:val="18"/>
                <w:szCs w:val="20"/>
              </w:rPr>
              <w:t>$</w:t>
            </w:r>
            <w:r w:rsidR="00E43539">
              <w:rPr>
                <w:rFonts w:ascii="Arial Narrow" w:hAnsi="Arial Narrow"/>
                <w:noProof/>
                <w:color w:val="000000"/>
                <w:sz w:val="18"/>
                <w:szCs w:val="20"/>
                <w:highlight w:val="black"/>
              </w:rPr>
              <w:t>''''''''''''''''''</w:t>
            </w:r>
          </w:p>
        </w:tc>
        <w:tc>
          <w:tcPr>
            <w:tcW w:w="628" w:type="pct"/>
            <w:tcBorders>
              <w:top w:val="nil"/>
              <w:left w:val="nil"/>
              <w:bottom w:val="single" w:sz="4" w:space="0" w:color="auto"/>
              <w:right w:val="single" w:sz="4" w:space="0" w:color="auto"/>
            </w:tcBorders>
            <w:shd w:val="clear" w:color="auto" w:fill="auto"/>
            <w:vAlign w:val="center"/>
          </w:tcPr>
          <w:p w:rsidR="00694239" w:rsidRPr="00D8075A" w:rsidRDefault="00694239" w:rsidP="006B1181">
            <w:pPr>
              <w:spacing w:after="120"/>
              <w:contextualSpacing/>
              <w:jc w:val="center"/>
              <w:rPr>
                <w:rFonts w:ascii="Arial Narrow" w:hAnsi="Arial Narrow"/>
                <w:sz w:val="18"/>
                <w:szCs w:val="20"/>
              </w:rPr>
            </w:pPr>
            <w:r w:rsidRPr="00D8075A">
              <w:rPr>
                <w:rFonts w:ascii="Arial Narrow" w:hAnsi="Arial Narrow"/>
                <w:sz w:val="18"/>
                <w:szCs w:val="20"/>
              </w:rPr>
              <w:t>$</w:t>
            </w:r>
            <w:r w:rsidR="00E43539">
              <w:rPr>
                <w:rFonts w:ascii="Arial Narrow" w:hAnsi="Arial Narrow"/>
                <w:noProof/>
                <w:color w:val="000000"/>
                <w:sz w:val="18"/>
                <w:szCs w:val="20"/>
                <w:highlight w:val="black"/>
              </w:rPr>
              <w:t>'''''''''''''''</w:t>
            </w:r>
          </w:p>
        </w:tc>
        <w:tc>
          <w:tcPr>
            <w:tcW w:w="516" w:type="pct"/>
            <w:tcBorders>
              <w:top w:val="nil"/>
              <w:left w:val="nil"/>
              <w:bottom w:val="single" w:sz="4" w:space="0" w:color="auto"/>
              <w:right w:val="single" w:sz="4" w:space="0" w:color="auto"/>
            </w:tcBorders>
            <w:shd w:val="clear" w:color="auto" w:fill="auto"/>
            <w:vAlign w:val="center"/>
          </w:tcPr>
          <w:p w:rsidR="00694239" w:rsidRPr="00D8075A" w:rsidRDefault="00694239" w:rsidP="006B1181">
            <w:pPr>
              <w:spacing w:after="120"/>
              <w:contextualSpacing/>
              <w:jc w:val="center"/>
              <w:rPr>
                <w:rFonts w:ascii="Arial Narrow" w:hAnsi="Arial Narrow"/>
                <w:sz w:val="18"/>
                <w:szCs w:val="20"/>
              </w:rPr>
            </w:pPr>
            <w:r w:rsidRPr="00D8075A">
              <w:rPr>
                <w:rFonts w:ascii="Arial Narrow" w:hAnsi="Arial Narrow"/>
                <w:sz w:val="18"/>
                <w:szCs w:val="20"/>
              </w:rPr>
              <w:t>$</w:t>
            </w:r>
            <w:r w:rsidR="00E43539">
              <w:rPr>
                <w:rFonts w:ascii="Arial Narrow" w:hAnsi="Arial Narrow"/>
                <w:noProof/>
                <w:color w:val="000000"/>
                <w:sz w:val="18"/>
                <w:szCs w:val="20"/>
                <w:highlight w:val="black"/>
              </w:rPr>
              <w:t>'''''''''''''''''</w:t>
            </w:r>
          </w:p>
        </w:tc>
        <w:tc>
          <w:tcPr>
            <w:tcW w:w="449" w:type="pct"/>
            <w:tcBorders>
              <w:top w:val="nil"/>
              <w:left w:val="nil"/>
              <w:bottom w:val="single" w:sz="4" w:space="0" w:color="auto"/>
              <w:right w:val="single" w:sz="4" w:space="0" w:color="auto"/>
            </w:tcBorders>
            <w:shd w:val="clear" w:color="auto" w:fill="auto"/>
            <w:vAlign w:val="center"/>
          </w:tcPr>
          <w:p w:rsidR="00694239" w:rsidRPr="00D8075A" w:rsidRDefault="00694239" w:rsidP="006B1181">
            <w:pPr>
              <w:spacing w:after="120"/>
              <w:contextualSpacing/>
              <w:jc w:val="center"/>
              <w:rPr>
                <w:rFonts w:ascii="Arial Narrow" w:hAnsi="Arial Narrow"/>
                <w:sz w:val="18"/>
                <w:szCs w:val="20"/>
              </w:rPr>
            </w:pPr>
            <w:r w:rsidRPr="00D8075A">
              <w:rPr>
                <w:rFonts w:ascii="Arial Narrow" w:hAnsi="Arial Narrow"/>
                <w:sz w:val="18"/>
                <w:szCs w:val="20"/>
              </w:rPr>
              <w:t>0.90</w:t>
            </w:r>
          </w:p>
        </w:tc>
        <w:tc>
          <w:tcPr>
            <w:tcW w:w="628" w:type="pct"/>
            <w:tcBorders>
              <w:top w:val="nil"/>
              <w:left w:val="nil"/>
              <w:bottom w:val="single" w:sz="4" w:space="0" w:color="auto"/>
              <w:right w:val="single" w:sz="4" w:space="0" w:color="auto"/>
            </w:tcBorders>
            <w:shd w:val="clear" w:color="auto" w:fill="auto"/>
            <w:vAlign w:val="center"/>
          </w:tcPr>
          <w:p w:rsidR="00694239" w:rsidRPr="00D8075A" w:rsidRDefault="00694239" w:rsidP="006B1181">
            <w:pPr>
              <w:spacing w:after="120"/>
              <w:contextualSpacing/>
              <w:jc w:val="center"/>
              <w:rPr>
                <w:rFonts w:ascii="Arial Narrow" w:hAnsi="Arial Narrow"/>
                <w:sz w:val="18"/>
                <w:szCs w:val="20"/>
              </w:rPr>
            </w:pPr>
            <w:r w:rsidRPr="00D8075A">
              <w:rPr>
                <w:rFonts w:ascii="Arial Narrow" w:hAnsi="Arial Narrow"/>
                <w:sz w:val="18"/>
                <w:szCs w:val="20"/>
              </w:rPr>
              <w:t>0.30</w:t>
            </w:r>
          </w:p>
        </w:tc>
        <w:tc>
          <w:tcPr>
            <w:tcW w:w="516" w:type="pct"/>
            <w:tcBorders>
              <w:top w:val="nil"/>
              <w:left w:val="nil"/>
              <w:bottom w:val="single" w:sz="4" w:space="0" w:color="auto"/>
              <w:right w:val="single" w:sz="4" w:space="0" w:color="auto"/>
            </w:tcBorders>
            <w:shd w:val="clear" w:color="auto" w:fill="auto"/>
            <w:vAlign w:val="center"/>
          </w:tcPr>
          <w:p w:rsidR="00694239" w:rsidRPr="00D8075A" w:rsidRDefault="00694239" w:rsidP="006B1181">
            <w:pPr>
              <w:spacing w:after="120"/>
              <w:contextualSpacing/>
              <w:jc w:val="center"/>
              <w:rPr>
                <w:rFonts w:ascii="Arial Narrow" w:hAnsi="Arial Narrow"/>
                <w:sz w:val="18"/>
                <w:szCs w:val="20"/>
              </w:rPr>
            </w:pPr>
            <w:r w:rsidRPr="00D8075A">
              <w:rPr>
                <w:rFonts w:ascii="Arial Narrow" w:hAnsi="Arial Narrow"/>
                <w:sz w:val="18"/>
                <w:szCs w:val="20"/>
              </w:rPr>
              <w:t>0.59</w:t>
            </w:r>
          </w:p>
        </w:tc>
        <w:tc>
          <w:tcPr>
            <w:tcW w:w="399" w:type="pct"/>
            <w:tcBorders>
              <w:top w:val="nil"/>
              <w:left w:val="nil"/>
              <w:bottom w:val="single" w:sz="4" w:space="0" w:color="auto"/>
              <w:right w:val="single" w:sz="4" w:space="0" w:color="auto"/>
            </w:tcBorders>
            <w:shd w:val="clear" w:color="auto" w:fill="auto"/>
            <w:vAlign w:val="center"/>
          </w:tcPr>
          <w:p w:rsidR="00694239" w:rsidRPr="00D8075A" w:rsidRDefault="00694239" w:rsidP="006B1181">
            <w:pPr>
              <w:spacing w:after="120"/>
              <w:contextualSpacing/>
              <w:jc w:val="center"/>
              <w:rPr>
                <w:rFonts w:ascii="Arial Narrow" w:hAnsi="Arial Narrow"/>
                <w:sz w:val="18"/>
                <w:szCs w:val="20"/>
              </w:rPr>
            </w:pPr>
            <w:r w:rsidRPr="00D8075A">
              <w:rPr>
                <w:rFonts w:ascii="Arial Narrow" w:hAnsi="Arial Narrow"/>
                <w:sz w:val="18"/>
                <w:szCs w:val="20"/>
              </w:rPr>
              <w:t>$</w:t>
            </w:r>
            <w:r w:rsidR="00E43539">
              <w:rPr>
                <w:rFonts w:ascii="Arial Narrow" w:hAnsi="Arial Narrow"/>
                <w:noProof/>
                <w:color w:val="000000"/>
                <w:sz w:val="18"/>
                <w:szCs w:val="20"/>
                <w:highlight w:val="black"/>
              </w:rPr>
              <w:t>'''''''''''''''''''</w:t>
            </w:r>
          </w:p>
        </w:tc>
      </w:tr>
      <w:tr w:rsidR="00694239" w:rsidRPr="00D8075A" w:rsidTr="0083398B">
        <w:trPr>
          <w:trHeight w:val="315"/>
        </w:trPr>
        <w:tc>
          <w:tcPr>
            <w:tcW w:w="1416" w:type="pct"/>
            <w:tcBorders>
              <w:top w:val="nil"/>
              <w:left w:val="single" w:sz="4" w:space="0" w:color="auto"/>
              <w:bottom w:val="single" w:sz="4" w:space="0" w:color="auto"/>
              <w:right w:val="single" w:sz="4" w:space="0" w:color="auto"/>
            </w:tcBorders>
            <w:shd w:val="clear" w:color="auto" w:fill="auto"/>
            <w:vAlign w:val="center"/>
            <w:hideMark/>
          </w:tcPr>
          <w:p w:rsidR="00694239" w:rsidRPr="00D8075A" w:rsidRDefault="00694239" w:rsidP="006B1181">
            <w:pPr>
              <w:spacing w:after="120"/>
              <w:contextualSpacing/>
              <w:rPr>
                <w:rFonts w:ascii="Arial Narrow" w:hAnsi="Arial Narrow"/>
                <w:sz w:val="18"/>
                <w:szCs w:val="20"/>
              </w:rPr>
            </w:pPr>
            <w:r w:rsidRPr="00D8075A">
              <w:rPr>
                <w:rFonts w:ascii="Arial Narrow" w:hAnsi="Arial Narrow"/>
                <w:sz w:val="18"/>
                <w:szCs w:val="20"/>
              </w:rPr>
              <w:t>Step 3: Study data extrapolated to 7-year time horizon, all costs</w:t>
            </w:r>
          </w:p>
        </w:tc>
        <w:tc>
          <w:tcPr>
            <w:tcW w:w="449" w:type="pct"/>
            <w:tcBorders>
              <w:top w:val="nil"/>
              <w:left w:val="nil"/>
              <w:bottom w:val="single" w:sz="4" w:space="0" w:color="auto"/>
              <w:right w:val="single" w:sz="4" w:space="0" w:color="auto"/>
            </w:tcBorders>
            <w:shd w:val="clear" w:color="auto" w:fill="auto"/>
            <w:vAlign w:val="center"/>
          </w:tcPr>
          <w:p w:rsidR="00694239" w:rsidRPr="00D8075A" w:rsidRDefault="00694239" w:rsidP="006B1181">
            <w:pPr>
              <w:spacing w:after="120"/>
              <w:contextualSpacing/>
              <w:jc w:val="center"/>
              <w:rPr>
                <w:rFonts w:ascii="Arial Narrow" w:hAnsi="Arial Narrow"/>
                <w:sz w:val="18"/>
                <w:szCs w:val="20"/>
              </w:rPr>
            </w:pPr>
            <w:r w:rsidRPr="00D8075A">
              <w:rPr>
                <w:rFonts w:ascii="Arial Narrow" w:hAnsi="Arial Narrow"/>
                <w:sz w:val="18"/>
                <w:szCs w:val="20"/>
              </w:rPr>
              <w:t>$</w:t>
            </w:r>
            <w:r w:rsidR="00E43539">
              <w:rPr>
                <w:rFonts w:ascii="Arial Narrow" w:hAnsi="Arial Narrow"/>
                <w:noProof/>
                <w:color w:val="000000"/>
                <w:sz w:val="18"/>
                <w:szCs w:val="20"/>
                <w:highlight w:val="black"/>
              </w:rPr>
              <w:t>''''''''''''''''''</w:t>
            </w:r>
          </w:p>
        </w:tc>
        <w:tc>
          <w:tcPr>
            <w:tcW w:w="628" w:type="pct"/>
            <w:tcBorders>
              <w:top w:val="nil"/>
              <w:left w:val="nil"/>
              <w:bottom w:val="single" w:sz="4" w:space="0" w:color="auto"/>
              <w:right w:val="single" w:sz="4" w:space="0" w:color="auto"/>
            </w:tcBorders>
            <w:shd w:val="clear" w:color="auto" w:fill="auto"/>
            <w:vAlign w:val="center"/>
          </w:tcPr>
          <w:p w:rsidR="00694239" w:rsidRPr="00D8075A" w:rsidRDefault="00694239" w:rsidP="006B1181">
            <w:pPr>
              <w:spacing w:after="120"/>
              <w:contextualSpacing/>
              <w:jc w:val="center"/>
              <w:rPr>
                <w:rFonts w:ascii="Arial Narrow" w:hAnsi="Arial Narrow"/>
                <w:sz w:val="18"/>
                <w:szCs w:val="20"/>
              </w:rPr>
            </w:pPr>
            <w:r w:rsidRPr="00D8075A">
              <w:rPr>
                <w:rFonts w:ascii="Arial Narrow" w:hAnsi="Arial Narrow"/>
                <w:sz w:val="18"/>
                <w:szCs w:val="20"/>
              </w:rPr>
              <w:t>$</w:t>
            </w:r>
            <w:r w:rsidR="00E43539">
              <w:rPr>
                <w:rFonts w:ascii="Arial Narrow" w:hAnsi="Arial Narrow"/>
                <w:noProof/>
                <w:color w:val="000000"/>
                <w:sz w:val="18"/>
                <w:szCs w:val="20"/>
                <w:highlight w:val="black"/>
              </w:rPr>
              <w:t>'''''''''''''''</w:t>
            </w:r>
          </w:p>
        </w:tc>
        <w:tc>
          <w:tcPr>
            <w:tcW w:w="516" w:type="pct"/>
            <w:tcBorders>
              <w:top w:val="nil"/>
              <w:left w:val="nil"/>
              <w:bottom w:val="single" w:sz="4" w:space="0" w:color="auto"/>
              <w:right w:val="single" w:sz="4" w:space="0" w:color="auto"/>
            </w:tcBorders>
            <w:shd w:val="clear" w:color="auto" w:fill="auto"/>
            <w:vAlign w:val="center"/>
          </w:tcPr>
          <w:p w:rsidR="00694239" w:rsidRPr="00D8075A" w:rsidRDefault="00694239" w:rsidP="006B1181">
            <w:pPr>
              <w:spacing w:after="120"/>
              <w:contextualSpacing/>
              <w:jc w:val="center"/>
              <w:rPr>
                <w:rFonts w:ascii="Arial Narrow" w:hAnsi="Arial Narrow"/>
                <w:sz w:val="18"/>
                <w:szCs w:val="20"/>
              </w:rPr>
            </w:pPr>
            <w:r w:rsidRPr="00D8075A">
              <w:rPr>
                <w:rFonts w:ascii="Arial Narrow" w:hAnsi="Arial Narrow"/>
                <w:sz w:val="18"/>
                <w:szCs w:val="20"/>
              </w:rPr>
              <w:t>$</w:t>
            </w:r>
            <w:r w:rsidR="00E43539">
              <w:rPr>
                <w:rFonts w:ascii="Arial Narrow" w:hAnsi="Arial Narrow"/>
                <w:noProof/>
                <w:color w:val="000000"/>
                <w:sz w:val="18"/>
                <w:szCs w:val="20"/>
                <w:highlight w:val="black"/>
              </w:rPr>
              <w:t>''''''''''''''''''</w:t>
            </w:r>
          </w:p>
        </w:tc>
        <w:tc>
          <w:tcPr>
            <w:tcW w:w="449" w:type="pct"/>
            <w:tcBorders>
              <w:top w:val="nil"/>
              <w:left w:val="nil"/>
              <w:bottom w:val="single" w:sz="4" w:space="0" w:color="auto"/>
              <w:right w:val="single" w:sz="4" w:space="0" w:color="auto"/>
            </w:tcBorders>
            <w:shd w:val="clear" w:color="auto" w:fill="auto"/>
            <w:vAlign w:val="center"/>
          </w:tcPr>
          <w:p w:rsidR="00694239" w:rsidRPr="00D8075A" w:rsidRDefault="00694239" w:rsidP="006B1181">
            <w:pPr>
              <w:spacing w:after="120"/>
              <w:contextualSpacing/>
              <w:jc w:val="center"/>
              <w:rPr>
                <w:rFonts w:ascii="Arial Narrow" w:hAnsi="Arial Narrow"/>
                <w:sz w:val="18"/>
                <w:szCs w:val="20"/>
              </w:rPr>
            </w:pPr>
            <w:r w:rsidRPr="00D8075A">
              <w:rPr>
                <w:rFonts w:ascii="Arial Narrow" w:hAnsi="Arial Narrow"/>
                <w:sz w:val="18"/>
                <w:szCs w:val="20"/>
              </w:rPr>
              <w:t>1.64</w:t>
            </w:r>
          </w:p>
        </w:tc>
        <w:tc>
          <w:tcPr>
            <w:tcW w:w="628" w:type="pct"/>
            <w:tcBorders>
              <w:top w:val="nil"/>
              <w:left w:val="nil"/>
              <w:bottom w:val="single" w:sz="4" w:space="0" w:color="auto"/>
              <w:right w:val="single" w:sz="4" w:space="0" w:color="auto"/>
            </w:tcBorders>
            <w:shd w:val="clear" w:color="auto" w:fill="auto"/>
            <w:vAlign w:val="center"/>
          </w:tcPr>
          <w:p w:rsidR="00694239" w:rsidRPr="00D8075A" w:rsidRDefault="00694239" w:rsidP="006B1181">
            <w:pPr>
              <w:spacing w:after="120"/>
              <w:contextualSpacing/>
              <w:jc w:val="center"/>
              <w:rPr>
                <w:rFonts w:ascii="Arial Narrow" w:hAnsi="Arial Narrow"/>
                <w:sz w:val="18"/>
                <w:szCs w:val="20"/>
              </w:rPr>
            </w:pPr>
            <w:r w:rsidRPr="00D8075A">
              <w:rPr>
                <w:rFonts w:ascii="Arial Narrow" w:hAnsi="Arial Narrow"/>
                <w:sz w:val="18"/>
                <w:szCs w:val="20"/>
              </w:rPr>
              <w:t>0.30</w:t>
            </w:r>
          </w:p>
        </w:tc>
        <w:tc>
          <w:tcPr>
            <w:tcW w:w="516" w:type="pct"/>
            <w:tcBorders>
              <w:top w:val="nil"/>
              <w:left w:val="nil"/>
              <w:bottom w:val="single" w:sz="4" w:space="0" w:color="auto"/>
              <w:right w:val="single" w:sz="4" w:space="0" w:color="auto"/>
            </w:tcBorders>
            <w:shd w:val="clear" w:color="auto" w:fill="auto"/>
            <w:vAlign w:val="center"/>
          </w:tcPr>
          <w:p w:rsidR="00694239" w:rsidRPr="00D8075A" w:rsidRDefault="00694239" w:rsidP="006B1181">
            <w:pPr>
              <w:spacing w:after="120"/>
              <w:contextualSpacing/>
              <w:jc w:val="center"/>
              <w:rPr>
                <w:rFonts w:ascii="Arial Narrow" w:hAnsi="Arial Narrow"/>
                <w:sz w:val="18"/>
                <w:szCs w:val="20"/>
              </w:rPr>
            </w:pPr>
            <w:r w:rsidRPr="00D8075A">
              <w:rPr>
                <w:rFonts w:ascii="Arial Narrow" w:hAnsi="Arial Narrow"/>
                <w:sz w:val="18"/>
                <w:szCs w:val="20"/>
              </w:rPr>
              <w:t>1.33</w:t>
            </w:r>
          </w:p>
        </w:tc>
        <w:tc>
          <w:tcPr>
            <w:tcW w:w="399" w:type="pct"/>
            <w:tcBorders>
              <w:top w:val="nil"/>
              <w:left w:val="nil"/>
              <w:bottom w:val="single" w:sz="4" w:space="0" w:color="auto"/>
              <w:right w:val="single" w:sz="4" w:space="0" w:color="auto"/>
            </w:tcBorders>
            <w:shd w:val="clear" w:color="auto" w:fill="auto"/>
            <w:vAlign w:val="center"/>
          </w:tcPr>
          <w:p w:rsidR="00694239" w:rsidRPr="00D8075A" w:rsidRDefault="00694239" w:rsidP="006B1181">
            <w:pPr>
              <w:spacing w:after="120"/>
              <w:contextualSpacing/>
              <w:jc w:val="center"/>
              <w:rPr>
                <w:rFonts w:ascii="Arial Narrow" w:hAnsi="Arial Narrow"/>
                <w:sz w:val="18"/>
                <w:szCs w:val="20"/>
              </w:rPr>
            </w:pPr>
            <w:r w:rsidRPr="00D8075A">
              <w:rPr>
                <w:rFonts w:ascii="Arial Narrow" w:hAnsi="Arial Narrow"/>
                <w:sz w:val="18"/>
                <w:szCs w:val="20"/>
              </w:rPr>
              <w:t>$</w:t>
            </w:r>
            <w:r w:rsidR="00E43539">
              <w:rPr>
                <w:rFonts w:ascii="Arial Narrow" w:hAnsi="Arial Narrow"/>
                <w:noProof/>
                <w:color w:val="000000"/>
                <w:sz w:val="18"/>
                <w:szCs w:val="20"/>
                <w:highlight w:val="black"/>
              </w:rPr>
              <w:t>'''''''''''''''</w:t>
            </w:r>
          </w:p>
        </w:tc>
      </w:tr>
    </w:tbl>
    <w:p w:rsidR="00694239" w:rsidRPr="00D8075A" w:rsidRDefault="00694239" w:rsidP="00694239">
      <w:pPr>
        <w:spacing w:after="120"/>
        <w:contextualSpacing/>
        <w:rPr>
          <w:rFonts w:ascii="Arial Narrow" w:hAnsi="Arial Narrow"/>
          <w:sz w:val="18"/>
          <w:szCs w:val="20"/>
        </w:rPr>
      </w:pPr>
      <w:r w:rsidRPr="00D8075A">
        <w:rPr>
          <w:rFonts w:ascii="Arial Narrow" w:hAnsi="Arial Narrow"/>
          <w:sz w:val="18"/>
          <w:szCs w:val="20"/>
        </w:rPr>
        <w:t>ICER</w:t>
      </w:r>
      <w:r w:rsidR="00446210" w:rsidRPr="00D8075A">
        <w:rPr>
          <w:rFonts w:ascii="Arial Narrow" w:hAnsi="Arial Narrow"/>
          <w:sz w:val="18"/>
          <w:szCs w:val="20"/>
        </w:rPr>
        <w:t xml:space="preserve">: </w:t>
      </w:r>
      <w:r w:rsidRPr="00D8075A">
        <w:rPr>
          <w:rFonts w:ascii="Arial Narrow" w:hAnsi="Arial Narrow"/>
          <w:sz w:val="18"/>
          <w:szCs w:val="20"/>
        </w:rPr>
        <w:t>Incremental cost-effectiveness ratio; LY</w:t>
      </w:r>
      <w:r w:rsidR="00446210" w:rsidRPr="00D8075A">
        <w:rPr>
          <w:rFonts w:ascii="Arial Narrow" w:hAnsi="Arial Narrow"/>
          <w:sz w:val="18"/>
          <w:szCs w:val="20"/>
        </w:rPr>
        <w:t xml:space="preserve">: </w:t>
      </w:r>
      <w:r w:rsidRPr="00D8075A">
        <w:rPr>
          <w:rFonts w:ascii="Arial Narrow" w:hAnsi="Arial Narrow"/>
          <w:sz w:val="18"/>
          <w:szCs w:val="20"/>
        </w:rPr>
        <w:t>life year; QALY</w:t>
      </w:r>
      <w:r w:rsidR="00446210" w:rsidRPr="00D8075A">
        <w:rPr>
          <w:rFonts w:ascii="Arial Narrow" w:hAnsi="Arial Narrow"/>
          <w:sz w:val="18"/>
          <w:szCs w:val="20"/>
        </w:rPr>
        <w:t xml:space="preserve">: </w:t>
      </w:r>
      <w:r w:rsidRPr="00D8075A">
        <w:rPr>
          <w:rFonts w:ascii="Arial Narrow" w:hAnsi="Arial Narrow"/>
          <w:sz w:val="18"/>
          <w:szCs w:val="20"/>
        </w:rPr>
        <w:t xml:space="preserve">quality-adjusted life year. </w:t>
      </w:r>
    </w:p>
    <w:p w:rsidR="00694239" w:rsidRPr="00D8075A" w:rsidRDefault="00694239" w:rsidP="00694239">
      <w:pPr>
        <w:spacing w:after="120"/>
        <w:contextualSpacing/>
        <w:rPr>
          <w:rFonts w:ascii="Arial Narrow" w:hAnsi="Arial Narrow"/>
          <w:sz w:val="18"/>
          <w:szCs w:val="20"/>
        </w:rPr>
      </w:pPr>
      <w:r w:rsidRPr="00D8075A">
        <w:rPr>
          <w:rFonts w:ascii="Arial Narrow" w:hAnsi="Arial Narrow"/>
          <w:sz w:val="18"/>
          <w:szCs w:val="20"/>
        </w:rPr>
        <w:t>Source: Table 3.7.2, p190 of the submission</w:t>
      </w:r>
      <w:r w:rsidR="007F73DD" w:rsidRPr="00D8075A">
        <w:rPr>
          <w:rFonts w:ascii="Arial Narrow" w:hAnsi="Arial Narrow"/>
          <w:sz w:val="18"/>
          <w:szCs w:val="20"/>
        </w:rPr>
        <w:t>.</w:t>
      </w:r>
    </w:p>
    <w:p w:rsidR="00591C39" w:rsidRPr="00D8075A" w:rsidRDefault="00591C39" w:rsidP="00694239">
      <w:pPr>
        <w:spacing w:after="120"/>
        <w:contextualSpacing/>
        <w:rPr>
          <w:rFonts w:ascii="Arial Narrow" w:hAnsi="Arial Narrow"/>
          <w:sz w:val="18"/>
          <w:szCs w:val="20"/>
        </w:rPr>
      </w:pPr>
    </w:p>
    <w:p w:rsidR="003B3676" w:rsidRDefault="003B3676" w:rsidP="003B3676">
      <w:pPr>
        <w:widowControl/>
        <w:rPr>
          <w:rFonts w:asciiTheme="minorHAnsi" w:eastAsiaTheme="minorHAnsi" w:hAnsiTheme="minorHAnsi" w:cstheme="minorBidi"/>
          <w:snapToGrid/>
          <w:color w:val="000000" w:themeColor="text1"/>
        </w:rPr>
      </w:pPr>
      <w:r>
        <w:rPr>
          <w:rFonts w:asciiTheme="minorHAnsi" w:eastAsiaTheme="minorHAnsi" w:hAnsiTheme="minorHAnsi" w:cstheme="minorBidi"/>
          <w:snapToGrid/>
          <w:color w:val="000000" w:themeColor="text1"/>
        </w:rPr>
        <w:t>The redacted table shows ICERs in the range of $45,000/QALY - $200,000/QALY.</w:t>
      </w:r>
    </w:p>
    <w:p w:rsidR="003B3676" w:rsidRPr="003B3676" w:rsidRDefault="003B3676" w:rsidP="003B3676">
      <w:pPr>
        <w:widowControl/>
        <w:rPr>
          <w:rFonts w:asciiTheme="minorHAnsi" w:eastAsiaTheme="minorHAnsi" w:hAnsiTheme="minorHAnsi" w:cstheme="minorBidi"/>
          <w:snapToGrid/>
          <w:color w:val="000000" w:themeColor="text1"/>
        </w:rPr>
      </w:pPr>
    </w:p>
    <w:p w:rsidR="00A675AE" w:rsidRPr="00D8075A" w:rsidRDefault="00A675AE" w:rsidP="00C3432B">
      <w:pPr>
        <w:pStyle w:val="ListParagraph"/>
        <w:widowControl/>
        <w:numPr>
          <w:ilvl w:val="1"/>
          <w:numId w:val="1"/>
        </w:numPr>
        <w:rPr>
          <w:rFonts w:asciiTheme="minorHAnsi" w:eastAsiaTheme="minorHAnsi" w:hAnsiTheme="minorHAnsi" w:cstheme="minorBidi"/>
          <w:snapToGrid/>
          <w:color w:val="000000" w:themeColor="text1"/>
        </w:rPr>
      </w:pPr>
      <w:r w:rsidRPr="00D8075A">
        <w:rPr>
          <w:rFonts w:asciiTheme="minorHAnsi" w:eastAsiaTheme="minorHAnsi" w:hAnsiTheme="minorHAnsi" w:cstheme="minorBidi"/>
          <w:snapToGrid/>
          <w:color w:val="000000" w:themeColor="text1"/>
        </w:rPr>
        <w:t>The univariate sensitivity analyses conducted by the submission showed that the ICER was most sensitive to the treatment duration and time horizon (see Table 11 for key changes and their impact and Figure 2 for the impact of the model time horizon on the ICER).</w:t>
      </w:r>
    </w:p>
    <w:p w:rsidR="00055CE5" w:rsidRPr="00D8075A" w:rsidRDefault="00055CE5" w:rsidP="00A55F3B">
      <w:pPr>
        <w:keepNext/>
        <w:keepLines/>
        <w:widowControl/>
        <w:jc w:val="left"/>
        <w:rPr>
          <w:rFonts w:ascii="Arial Narrow" w:eastAsiaTheme="minorHAnsi" w:hAnsi="Arial Narrow" w:cstheme="minorBidi"/>
          <w:b/>
          <w:snapToGrid/>
          <w:sz w:val="20"/>
        </w:rPr>
      </w:pPr>
      <w:r w:rsidRPr="00D8075A">
        <w:rPr>
          <w:rFonts w:ascii="Arial Narrow" w:eastAsiaTheme="minorHAnsi" w:hAnsi="Arial Narrow" w:cstheme="minorBidi"/>
          <w:b/>
          <w:snapToGrid/>
          <w:sz w:val="20"/>
        </w:rPr>
        <w:lastRenderedPageBreak/>
        <w:t>Table 11: Results of key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1: Results of key sensitivity analyses"/>
        <w:tblDescription w:val="Table 11: Results of key sensitivity analyses"/>
      </w:tblPr>
      <w:tblGrid>
        <w:gridCol w:w="2158"/>
        <w:gridCol w:w="1213"/>
        <w:gridCol w:w="1529"/>
        <w:gridCol w:w="1643"/>
        <w:gridCol w:w="1240"/>
        <w:gridCol w:w="1460"/>
      </w:tblGrid>
      <w:tr w:rsidR="00055CE5" w:rsidRPr="00D8075A" w:rsidTr="0083398B">
        <w:trPr>
          <w:tblHeader/>
        </w:trPr>
        <w:tc>
          <w:tcPr>
            <w:tcW w:w="1167" w:type="pct"/>
            <w:tcMar>
              <w:top w:w="0" w:type="dxa"/>
              <w:left w:w="108" w:type="dxa"/>
              <w:bottom w:w="0" w:type="dxa"/>
              <w:right w:w="108" w:type="dxa"/>
            </w:tcMar>
            <w:vAlign w:val="center"/>
            <w:hideMark/>
          </w:tcPr>
          <w:p w:rsidR="00055CE5" w:rsidRPr="00D8075A" w:rsidRDefault="00055CE5" w:rsidP="00A55F3B">
            <w:pPr>
              <w:keepNext/>
              <w:keepLines/>
              <w:widowControl/>
              <w:jc w:val="left"/>
              <w:rPr>
                <w:rFonts w:ascii="Arial Narrow" w:eastAsia="Calibri" w:hAnsi="Arial Narrow" w:cs="Times New Roman"/>
                <w:snapToGrid/>
                <w:sz w:val="20"/>
                <w:szCs w:val="20"/>
                <w:lang w:eastAsia="en-AU"/>
              </w:rPr>
            </w:pPr>
            <w:r w:rsidRPr="00D8075A">
              <w:rPr>
                <w:rFonts w:ascii="Arial Narrow" w:eastAsia="Calibri" w:hAnsi="Arial Narrow" w:cs="Times New Roman"/>
                <w:b/>
                <w:bCs/>
                <w:snapToGrid/>
                <w:sz w:val="20"/>
                <w:szCs w:val="20"/>
                <w:lang w:eastAsia="en-AU"/>
              </w:rPr>
              <w:t>Variable or assumption</w:t>
            </w:r>
          </w:p>
        </w:tc>
        <w:tc>
          <w:tcPr>
            <w:tcW w:w="656" w:type="pct"/>
            <w:tcMar>
              <w:top w:w="0" w:type="dxa"/>
              <w:left w:w="108" w:type="dxa"/>
              <w:bottom w:w="0" w:type="dxa"/>
              <w:right w:w="108" w:type="dxa"/>
            </w:tcMar>
            <w:vAlign w:val="center"/>
            <w:hideMark/>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b/>
                <w:bCs/>
                <w:snapToGrid/>
                <w:sz w:val="20"/>
                <w:szCs w:val="20"/>
                <w:lang w:eastAsia="en-AU"/>
              </w:rPr>
              <w:t>Base case</w:t>
            </w:r>
          </w:p>
        </w:tc>
        <w:tc>
          <w:tcPr>
            <w:tcW w:w="827" w:type="pct"/>
            <w:tcMar>
              <w:top w:w="0" w:type="dxa"/>
              <w:left w:w="108" w:type="dxa"/>
              <w:bottom w:w="0" w:type="dxa"/>
              <w:right w:w="108" w:type="dxa"/>
            </w:tcMar>
            <w:vAlign w:val="center"/>
            <w:hideMark/>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b/>
                <w:bCs/>
                <w:snapToGrid/>
                <w:sz w:val="20"/>
                <w:szCs w:val="20"/>
                <w:lang w:eastAsia="en-AU"/>
              </w:rPr>
              <w:t>Alternative(s)</w:t>
            </w:r>
          </w:p>
        </w:tc>
        <w:tc>
          <w:tcPr>
            <w:tcW w:w="889" w:type="pct"/>
            <w:tcMar>
              <w:top w:w="0" w:type="dxa"/>
              <w:left w:w="108" w:type="dxa"/>
              <w:bottom w:w="0" w:type="dxa"/>
              <w:right w:w="108" w:type="dxa"/>
            </w:tcMar>
            <w:vAlign w:val="center"/>
            <w:hideMark/>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b/>
                <w:bCs/>
                <w:snapToGrid/>
                <w:sz w:val="20"/>
                <w:szCs w:val="20"/>
                <w:lang w:eastAsia="en-AU"/>
              </w:rPr>
              <w:t>Incremental costs</w:t>
            </w:r>
          </w:p>
        </w:tc>
        <w:tc>
          <w:tcPr>
            <w:tcW w:w="671" w:type="pct"/>
            <w:tcMar>
              <w:top w:w="0" w:type="dxa"/>
              <w:left w:w="108" w:type="dxa"/>
              <w:bottom w:w="0" w:type="dxa"/>
              <w:right w:w="108" w:type="dxa"/>
            </w:tcMar>
            <w:vAlign w:val="center"/>
            <w:hideMark/>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b/>
                <w:bCs/>
                <w:snapToGrid/>
                <w:sz w:val="20"/>
                <w:szCs w:val="20"/>
                <w:lang w:eastAsia="en-AU"/>
              </w:rPr>
              <w:t>Incremental QALYs</w:t>
            </w:r>
          </w:p>
        </w:tc>
        <w:tc>
          <w:tcPr>
            <w:tcW w:w="790" w:type="pct"/>
            <w:tcMar>
              <w:top w:w="0" w:type="dxa"/>
              <w:left w:w="108" w:type="dxa"/>
              <w:bottom w:w="0" w:type="dxa"/>
              <w:right w:w="108" w:type="dxa"/>
            </w:tcMar>
            <w:vAlign w:val="center"/>
            <w:hideMark/>
          </w:tcPr>
          <w:p w:rsidR="00055CE5" w:rsidRPr="00D8075A" w:rsidRDefault="00055CE5" w:rsidP="00A55F3B">
            <w:pPr>
              <w:keepNext/>
              <w:keepLines/>
              <w:widowControl/>
              <w:jc w:val="center"/>
              <w:rPr>
                <w:rFonts w:ascii="Arial Narrow" w:eastAsia="Calibri" w:hAnsi="Arial Narrow" w:cs="Times New Roman"/>
                <w:b/>
                <w:snapToGrid/>
                <w:sz w:val="20"/>
                <w:szCs w:val="20"/>
                <w:lang w:eastAsia="en-AU"/>
              </w:rPr>
            </w:pPr>
            <w:r w:rsidRPr="00D8075A">
              <w:rPr>
                <w:rFonts w:ascii="Arial Narrow" w:eastAsia="Calibri" w:hAnsi="Arial Narrow" w:cs="Times New Roman"/>
                <w:b/>
                <w:bCs/>
                <w:snapToGrid/>
                <w:sz w:val="20"/>
                <w:szCs w:val="20"/>
                <w:lang w:eastAsia="en-AU"/>
              </w:rPr>
              <w:t>ICER (cost/QALY)</w:t>
            </w:r>
          </w:p>
        </w:tc>
      </w:tr>
      <w:tr w:rsidR="00055CE5" w:rsidRPr="00D8075A" w:rsidTr="0083398B">
        <w:tc>
          <w:tcPr>
            <w:tcW w:w="1167" w:type="pct"/>
            <w:shd w:val="clear" w:color="auto" w:fill="auto"/>
            <w:tcMar>
              <w:top w:w="0" w:type="dxa"/>
              <w:left w:w="108" w:type="dxa"/>
              <w:bottom w:w="0" w:type="dxa"/>
              <w:right w:w="108" w:type="dxa"/>
            </w:tcMar>
            <w:vAlign w:val="center"/>
            <w:hideMark/>
          </w:tcPr>
          <w:p w:rsidR="00055CE5" w:rsidRPr="00D8075A" w:rsidRDefault="00055CE5" w:rsidP="00A55F3B">
            <w:pPr>
              <w:keepNext/>
              <w:keepLines/>
              <w:widowControl/>
              <w:jc w:val="left"/>
              <w:rPr>
                <w:rFonts w:ascii="Arial Narrow" w:eastAsia="Calibri" w:hAnsi="Arial Narrow" w:cs="Times New Roman"/>
                <w:snapToGrid/>
                <w:sz w:val="20"/>
                <w:szCs w:val="20"/>
                <w:lang w:eastAsia="en-AU"/>
              </w:rPr>
            </w:pPr>
            <w:r w:rsidRPr="00D8075A">
              <w:rPr>
                <w:rFonts w:ascii="Arial Narrow" w:eastAsia="Calibri" w:hAnsi="Arial Narrow" w:cs="Times New Roman"/>
                <w:b/>
                <w:bCs/>
                <w:snapToGrid/>
                <w:sz w:val="20"/>
                <w:szCs w:val="20"/>
                <w:lang w:eastAsia="en-AU"/>
              </w:rPr>
              <w:t>Base case</w:t>
            </w:r>
          </w:p>
        </w:tc>
        <w:tc>
          <w:tcPr>
            <w:tcW w:w="656" w:type="pct"/>
            <w:shd w:val="clear" w:color="auto" w:fill="auto"/>
            <w:tcMar>
              <w:top w:w="0" w:type="dxa"/>
              <w:left w:w="108" w:type="dxa"/>
              <w:bottom w:w="0" w:type="dxa"/>
              <w:right w:w="108" w:type="dxa"/>
            </w:tcMar>
            <w:vAlign w:val="center"/>
            <w:hideMark/>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b/>
                <w:bCs/>
                <w:snapToGrid/>
                <w:sz w:val="20"/>
                <w:szCs w:val="20"/>
                <w:lang w:eastAsia="en-AU"/>
              </w:rPr>
              <w:t> -</w:t>
            </w:r>
          </w:p>
        </w:tc>
        <w:tc>
          <w:tcPr>
            <w:tcW w:w="827" w:type="pct"/>
            <w:shd w:val="clear" w:color="auto" w:fill="auto"/>
            <w:tcMar>
              <w:top w:w="0" w:type="dxa"/>
              <w:left w:w="108" w:type="dxa"/>
              <w:bottom w:w="0" w:type="dxa"/>
              <w:right w:w="108" w:type="dxa"/>
            </w:tcMar>
            <w:vAlign w:val="center"/>
            <w:hideMark/>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b/>
                <w:bCs/>
                <w:snapToGrid/>
                <w:sz w:val="20"/>
                <w:szCs w:val="20"/>
                <w:lang w:eastAsia="en-AU"/>
              </w:rPr>
              <w:t> -</w:t>
            </w:r>
          </w:p>
        </w:tc>
        <w:tc>
          <w:tcPr>
            <w:tcW w:w="889" w:type="pct"/>
            <w:shd w:val="clear" w:color="auto" w:fill="auto"/>
            <w:tcMar>
              <w:top w:w="0" w:type="dxa"/>
              <w:left w:w="108" w:type="dxa"/>
              <w:bottom w:w="0" w:type="dxa"/>
              <w:right w:w="108" w:type="dxa"/>
            </w:tcMar>
            <w:vAlign w:val="bottom"/>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c>
          <w:tcPr>
            <w:tcW w:w="671" w:type="pct"/>
            <w:shd w:val="clear" w:color="auto" w:fill="auto"/>
            <w:tcMar>
              <w:top w:w="0" w:type="dxa"/>
              <w:left w:w="108" w:type="dxa"/>
              <w:bottom w:w="0" w:type="dxa"/>
              <w:right w:w="108" w:type="dxa"/>
            </w:tcMar>
            <w:vAlign w:val="bottom"/>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1.33</w:t>
            </w:r>
          </w:p>
        </w:tc>
        <w:tc>
          <w:tcPr>
            <w:tcW w:w="790" w:type="pct"/>
            <w:shd w:val="clear" w:color="auto" w:fill="auto"/>
            <w:tcMar>
              <w:top w:w="0" w:type="dxa"/>
              <w:left w:w="108" w:type="dxa"/>
              <w:bottom w:w="0" w:type="dxa"/>
              <w:right w:w="108" w:type="dxa"/>
            </w:tcMar>
            <w:vAlign w:val="bottom"/>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r>
      <w:tr w:rsidR="00055CE5" w:rsidRPr="00D8075A" w:rsidTr="0083398B">
        <w:tc>
          <w:tcPr>
            <w:tcW w:w="1167" w:type="pct"/>
            <w:vMerge w:val="restart"/>
            <w:tcMar>
              <w:top w:w="0" w:type="dxa"/>
              <w:left w:w="108" w:type="dxa"/>
              <w:bottom w:w="0" w:type="dxa"/>
              <w:right w:w="108" w:type="dxa"/>
            </w:tcMar>
            <w:vAlign w:val="center"/>
            <w:hideMark/>
          </w:tcPr>
          <w:p w:rsidR="00055CE5" w:rsidRPr="00D8075A" w:rsidRDefault="00055CE5" w:rsidP="00A55F3B">
            <w:pPr>
              <w:keepNext/>
              <w:keepLines/>
              <w:widowControl/>
              <w:jc w:val="left"/>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Time horizon</w:t>
            </w:r>
          </w:p>
        </w:tc>
        <w:tc>
          <w:tcPr>
            <w:tcW w:w="656" w:type="pct"/>
            <w:vMerge w:val="restart"/>
            <w:tcMar>
              <w:top w:w="0" w:type="dxa"/>
              <w:left w:w="108" w:type="dxa"/>
              <w:bottom w:w="0" w:type="dxa"/>
              <w:right w:w="108" w:type="dxa"/>
            </w:tcMar>
            <w:vAlign w:val="center"/>
            <w:hideMark/>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7 years</w:t>
            </w:r>
          </w:p>
        </w:tc>
        <w:tc>
          <w:tcPr>
            <w:tcW w:w="827" w:type="pct"/>
            <w:tcMar>
              <w:top w:w="0" w:type="dxa"/>
              <w:left w:w="108" w:type="dxa"/>
              <w:bottom w:w="0" w:type="dxa"/>
              <w:right w:w="108" w:type="dxa"/>
            </w:tcMar>
            <w:vAlign w:val="center"/>
            <w:hideMark/>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5 years</w:t>
            </w:r>
          </w:p>
        </w:tc>
        <w:tc>
          <w:tcPr>
            <w:tcW w:w="889" w:type="pct"/>
            <w:tcMar>
              <w:top w:w="0" w:type="dxa"/>
              <w:left w:w="108" w:type="dxa"/>
              <w:bottom w:w="0" w:type="dxa"/>
              <w:right w:w="108" w:type="dxa"/>
            </w:tcMar>
            <w:vAlign w:val="bottom"/>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c>
          <w:tcPr>
            <w:tcW w:w="671" w:type="pct"/>
            <w:tcMar>
              <w:top w:w="0" w:type="dxa"/>
              <w:left w:w="108" w:type="dxa"/>
              <w:bottom w:w="0" w:type="dxa"/>
              <w:right w:w="108" w:type="dxa"/>
            </w:tcMar>
            <w:vAlign w:val="bottom"/>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1.12</w:t>
            </w:r>
          </w:p>
        </w:tc>
        <w:tc>
          <w:tcPr>
            <w:tcW w:w="790" w:type="pct"/>
            <w:tcMar>
              <w:top w:w="0" w:type="dxa"/>
              <w:left w:w="108" w:type="dxa"/>
              <w:bottom w:w="0" w:type="dxa"/>
              <w:right w:w="108" w:type="dxa"/>
            </w:tcMar>
            <w:vAlign w:val="bottom"/>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r>
      <w:tr w:rsidR="00055CE5" w:rsidRPr="00D8075A" w:rsidTr="0083398B">
        <w:trPr>
          <w:trHeight w:val="266"/>
        </w:trPr>
        <w:tc>
          <w:tcPr>
            <w:tcW w:w="1167" w:type="pct"/>
            <w:vMerge/>
            <w:vAlign w:val="center"/>
            <w:hideMark/>
          </w:tcPr>
          <w:p w:rsidR="00055CE5" w:rsidRPr="00D8075A" w:rsidRDefault="00055CE5" w:rsidP="00A55F3B">
            <w:pPr>
              <w:keepNext/>
              <w:keepLines/>
              <w:rPr>
                <w:rFonts w:ascii="Arial Narrow" w:hAnsi="Arial Narrow"/>
                <w:sz w:val="20"/>
                <w:szCs w:val="20"/>
              </w:rPr>
            </w:pPr>
          </w:p>
        </w:tc>
        <w:tc>
          <w:tcPr>
            <w:tcW w:w="656" w:type="pct"/>
            <w:vMerge/>
            <w:vAlign w:val="center"/>
            <w:hideMark/>
          </w:tcPr>
          <w:p w:rsidR="00055CE5" w:rsidRPr="00D8075A" w:rsidRDefault="00055CE5" w:rsidP="00A55F3B">
            <w:pPr>
              <w:keepNext/>
              <w:keepLines/>
              <w:rPr>
                <w:rFonts w:ascii="Arial Narrow" w:hAnsi="Arial Narrow"/>
                <w:sz w:val="20"/>
                <w:szCs w:val="20"/>
              </w:rPr>
            </w:pPr>
          </w:p>
        </w:tc>
        <w:tc>
          <w:tcPr>
            <w:tcW w:w="827" w:type="pct"/>
            <w:tcMar>
              <w:top w:w="0" w:type="dxa"/>
              <w:left w:w="108" w:type="dxa"/>
              <w:bottom w:w="0" w:type="dxa"/>
              <w:right w:w="108" w:type="dxa"/>
            </w:tcMar>
            <w:vAlign w:val="center"/>
            <w:hideMark/>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10 years</w:t>
            </w:r>
          </w:p>
        </w:tc>
        <w:tc>
          <w:tcPr>
            <w:tcW w:w="889" w:type="pct"/>
            <w:tcMar>
              <w:top w:w="0" w:type="dxa"/>
              <w:left w:w="108" w:type="dxa"/>
              <w:bottom w:w="0" w:type="dxa"/>
              <w:right w:w="108" w:type="dxa"/>
            </w:tcMar>
            <w:vAlign w:val="bottom"/>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c>
          <w:tcPr>
            <w:tcW w:w="671" w:type="pct"/>
            <w:tcMar>
              <w:top w:w="0" w:type="dxa"/>
              <w:left w:w="108" w:type="dxa"/>
              <w:bottom w:w="0" w:type="dxa"/>
              <w:right w:w="108" w:type="dxa"/>
            </w:tcMar>
            <w:vAlign w:val="bottom"/>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1.55</w:t>
            </w:r>
          </w:p>
        </w:tc>
        <w:tc>
          <w:tcPr>
            <w:tcW w:w="790" w:type="pct"/>
            <w:tcMar>
              <w:top w:w="0" w:type="dxa"/>
              <w:left w:w="108" w:type="dxa"/>
              <w:bottom w:w="0" w:type="dxa"/>
              <w:right w:w="108" w:type="dxa"/>
            </w:tcMar>
            <w:vAlign w:val="bottom"/>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r>
      <w:tr w:rsidR="00055CE5" w:rsidRPr="00D8075A" w:rsidTr="0083398B">
        <w:trPr>
          <w:trHeight w:val="266"/>
        </w:trPr>
        <w:tc>
          <w:tcPr>
            <w:tcW w:w="1167" w:type="pct"/>
            <w:vMerge/>
            <w:vAlign w:val="center"/>
          </w:tcPr>
          <w:p w:rsidR="00055CE5" w:rsidRPr="00D8075A" w:rsidRDefault="00055CE5" w:rsidP="00A55F3B">
            <w:pPr>
              <w:keepNext/>
              <w:keepLines/>
              <w:rPr>
                <w:rFonts w:ascii="Arial Narrow" w:hAnsi="Arial Narrow"/>
                <w:sz w:val="20"/>
                <w:szCs w:val="20"/>
              </w:rPr>
            </w:pPr>
          </w:p>
        </w:tc>
        <w:tc>
          <w:tcPr>
            <w:tcW w:w="656" w:type="pct"/>
            <w:vMerge/>
            <w:vAlign w:val="center"/>
          </w:tcPr>
          <w:p w:rsidR="00055CE5" w:rsidRPr="00D8075A" w:rsidRDefault="00055CE5" w:rsidP="00A55F3B">
            <w:pPr>
              <w:keepNext/>
              <w:keepLines/>
              <w:rPr>
                <w:rFonts w:ascii="Arial Narrow" w:hAnsi="Arial Narrow"/>
                <w:sz w:val="20"/>
                <w:szCs w:val="20"/>
              </w:rPr>
            </w:pPr>
          </w:p>
        </w:tc>
        <w:tc>
          <w:tcPr>
            <w:tcW w:w="827" w:type="pct"/>
            <w:tcMar>
              <w:top w:w="0" w:type="dxa"/>
              <w:left w:w="108" w:type="dxa"/>
              <w:bottom w:w="0" w:type="dxa"/>
              <w:right w:w="108" w:type="dxa"/>
            </w:tcMar>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15 years*</w:t>
            </w:r>
          </w:p>
        </w:tc>
        <w:tc>
          <w:tcPr>
            <w:tcW w:w="889" w:type="pct"/>
            <w:tcMar>
              <w:top w:w="0" w:type="dxa"/>
              <w:left w:w="108" w:type="dxa"/>
              <w:bottom w:w="0" w:type="dxa"/>
              <w:right w:w="108" w:type="dxa"/>
            </w:tcMar>
            <w:vAlign w:val="bottom"/>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c>
          <w:tcPr>
            <w:tcW w:w="671" w:type="pct"/>
            <w:tcMar>
              <w:top w:w="0" w:type="dxa"/>
              <w:left w:w="108" w:type="dxa"/>
              <w:bottom w:w="0" w:type="dxa"/>
              <w:right w:w="108" w:type="dxa"/>
            </w:tcMar>
            <w:vAlign w:val="bottom"/>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1.76</w:t>
            </w:r>
          </w:p>
        </w:tc>
        <w:tc>
          <w:tcPr>
            <w:tcW w:w="790" w:type="pct"/>
            <w:tcMar>
              <w:top w:w="0" w:type="dxa"/>
              <w:left w:w="108" w:type="dxa"/>
              <w:bottom w:w="0" w:type="dxa"/>
              <w:right w:w="108" w:type="dxa"/>
            </w:tcMar>
            <w:vAlign w:val="bottom"/>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r>
      <w:tr w:rsidR="00055CE5" w:rsidRPr="00D8075A" w:rsidTr="0083398B">
        <w:trPr>
          <w:trHeight w:val="266"/>
        </w:trPr>
        <w:tc>
          <w:tcPr>
            <w:tcW w:w="1167" w:type="pct"/>
            <w:vMerge/>
            <w:vAlign w:val="center"/>
          </w:tcPr>
          <w:p w:rsidR="00055CE5" w:rsidRPr="00D8075A" w:rsidRDefault="00055CE5" w:rsidP="00A55F3B">
            <w:pPr>
              <w:keepNext/>
              <w:keepLines/>
              <w:rPr>
                <w:rFonts w:ascii="Arial Narrow" w:hAnsi="Arial Narrow"/>
                <w:sz w:val="20"/>
                <w:szCs w:val="20"/>
              </w:rPr>
            </w:pPr>
          </w:p>
        </w:tc>
        <w:tc>
          <w:tcPr>
            <w:tcW w:w="656" w:type="pct"/>
            <w:vMerge/>
            <w:vAlign w:val="center"/>
          </w:tcPr>
          <w:p w:rsidR="00055CE5" w:rsidRPr="00D8075A" w:rsidRDefault="00055CE5" w:rsidP="00A55F3B">
            <w:pPr>
              <w:keepNext/>
              <w:keepLines/>
              <w:rPr>
                <w:rFonts w:ascii="Arial Narrow" w:hAnsi="Arial Narrow"/>
                <w:sz w:val="20"/>
                <w:szCs w:val="20"/>
              </w:rPr>
            </w:pPr>
          </w:p>
        </w:tc>
        <w:tc>
          <w:tcPr>
            <w:tcW w:w="827" w:type="pct"/>
            <w:tcMar>
              <w:top w:w="0" w:type="dxa"/>
              <w:left w:w="108" w:type="dxa"/>
              <w:bottom w:w="0" w:type="dxa"/>
              <w:right w:w="108" w:type="dxa"/>
            </w:tcMar>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20 years*</w:t>
            </w:r>
          </w:p>
        </w:tc>
        <w:tc>
          <w:tcPr>
            <w:tcW w:w="889" w:type="pct"/>
            <w:tcMar>
              <w:top w:w="0" w:type="dxa"/>
              <w:left w:w="108" w:type="dxa"/>
              <w:bottom w:w="0" w:type="dxa"/>
              <w:right w:w="108" w:type="dxa"/>
            </w:tcMar>
            <w:vAlign w:val="bottom"/>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c>
          <w:tcPr>
            <w:tcW w:w="671" w:type="pct"/>
            <w:tcMar>
              <w:top w:w="0" w:type="dxa"/>
              <w:left w:w="108" w:type="dxa"/>
              <w:bottom w:w="0" w:type="dxa"/>
              <w:right w:w="108" w:type="dxa"/>
            </w:tcMar>
            <w:vAlign w:val="bottom"/>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1.88</w:t>
            </w:r>
          </w:p>
        </w:tc>
        <w:tc>
          <w:tcPr>
            <w:tcW w:w="790" w:type="pct"/>
            <w:tcMar>
              <w:top w:w="0" w:type="dxa"/>
              <w:left w:w="108" w:type="dxa"/>
              <w:bottom w:w="0" w:type="dxa"/>
              <w:right w:w="108" w:type="dxa"/>
            </w:tcMar>
            <w:vAlign w:val="bottom"/>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r>
      <w:tr w:rsidR="00055CE5" w:rsidRPr="00D8075A" w:rsidTr="0083398B">
        <w:trPr>
          <w:trHeight w:val="58"/>
        </w:trPr>
        <w:tc>
          <w:tcPr>
            <w:tcW w:w="1167" w:type="pct"/>
            <w:vMerge w:val="restart"/>
            <w:tcMar>
              <w:top w:w="0" w:type="dxa"/>
              <w:left w:w="108" w:type="dxa"/>
              <w:bottom w:w="0" w:type="dxa"/>
              <w:right w:w="108" w:type="dxa"/>
            </w:tcMar>
            <w:vAlign w:val="center"/>
          </w:tcPr>
          <w:p w:rsidR="00055CE5" w:rsidRPr="00D8075A" w:rsidRDefault="00055CE5" w:rsidP="00A55F3B">
            <w:pPr>
              <w:keepNext/>
              <w:keepLines/>
              <w:widowControl/>
              <w:jc w:val="left"/>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Proportion of patients expected to remain on treatment after 2 years</w:t>
            </w:r>
          </w:p>
        </w:tc>
        <w:tc>
          <w:tcPr>
            <w:tcW w:w="656" w:type="pct"/>
            <w:vMerge w:val="restart"/>
            <w:tcMar>
              <w:top w:w="0" w:type="dxa"/>
              <w:left w:w="108" w:type="dxa"/>
              <w:bottom w:w="0" w:type="dxa"/>
              <w:right w:w="108" w:type="dxa"/>
            </w:tcMar>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5%</w:t>
            </w:r>
          </w:p>
        </w:tc>
        <w:tc>
          <w:tcPr>
            <w:tcW w:w="827" w:type="pct"/>
            <w:tcMar>
              <w:top w:w="0" w:type="dxa"/>
              <w:left w:w="108" w:type="dxa"/>
              <w:bottom w:w="0" w:type="dxa"/>
              <w:right w:w="108" w:type="dxa"/>
            </w:tcMar>
            <w:vAlign w:val="center"/>
          </w:tcPr>
          <w:p w:rsidR="00055CE5" w:rsidRPr="00D8075A" w:rsidDel="001F000A" w:rsidRDefault="00055CE5" w:rsidP="00A55F3B">
            <w:pPr>
              <w:keepNext/>
              <w:keepLines/>
              <w:widowControl/>
              <w:jc w:val="center"/>
              <w:rPr>
                <w:rFonts w:ascii="Arial Narrow" w:eastAsia="Calibri" w:hAnsi="Arial Narrow" w:cs="Times New Roman"/>
                <w:snapToGrid/>
                <w:color w:val="808080"/>
                <w:sz w:val="20"/>
                <w:szCs w:val="20"/>
                <w:lang w:eastAsia="en-AU"/>
              </w:rPr>
            </w:pPr>
            <w:r w:rsidRPr="00D8075A">
              <w:rPr>
                <w:rFonts w:ascii="Arial Narrow" w:eastAsia="Calibri" w:hAnsi="Arial Narrow" w:cs="Times New Roman"/>
                <w:snapToGrid/>
                <w:sz w:val="20"/>
                <w:szCs w:val="20"/>
                <w:lang w:eastAsia="en-AU"/>
              </w:rPr>
              <w:t>0%</w:t>
            </w:r>
          </w:p>
        </w:tc>
        <w:tc>
          <w:tcPr>
            <w:tcW w:w="889" w:type="pct"/>
            <w:vAlign w:val="bottom"/>
          </w:tcPr>
          <w:p w:rsidR="00055CE5" w:rsidRPr="00D8075A" w:rsidDel="001F000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c>
          <w:tcPr>
            <w:tcW w:w="671" w:type="pct"/>
            <w:vAlign w:val="bottom"/>
          </w:tcPr>
          <w:p w:rsidR="00055CE5" w:rsidRPr="00D8075A" w:rsidDel="001F000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1.33</w:t>
            </w:r>
          </w:p>
        </w:tc>
        <w:tc>
          <w:tcPr>
            <w:tcW w:w="790" w:type="pct"/>
            <w:vAlign w:val="bottom"/>
          </w:tcPr>
          <w:p w:rsidR="00055CE5" w:rsidRPr="00D8075A" w:rsidDel="001F000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r>
      <w:tr w:rsidR="00055CE5" w:rsidRPr="00D8075A" w:rsidTr="0083398B">
        <w:trPr>
          <w:trHeight w:val="333"/>
        </w:trPr>
        <w:tc>
          <w:tcPr>
            <w:tcW w:w="1167" w:type="pct"/>
            <w:vMerge/>
            <w:tcMar>
              <w:top w:w="0" w:type="dxa"/>
              <w:left w:w="108" w:type="dxa"/>
              <w:bottom w:w="0" w:type="dxa"/>
              <w:right w:w="108" w:type="dxa"/>
            </w:tcMar>
            <w:vAlign w:val="center"/>
          </w:tcPr>
          <w:p w:rsidR="00055CE5" w:rsidRPr="00D8075A" w:rsidRDefault="00055CE5" w:rsidP="00A55F3B">
            <w:pPr>
              <w:keepNext/>
              <w:keepLines/>
              <w:widowControl/>
              <w:jc w:val="left"/>
              <w:rPr>
                <w:rFonts w:ascii="Arial Narrow" w:eastAsia="Calibri" w:hAnsi="Arial Narrow" w:cs="Times New Roman"/>
                <w:snapToGrid/>
                <w:sz w:val="20"/>
                <w:szCs w:val="20"/>
                <w:lang w:eastAsia="en-AU"/>
              </w:rPr>
            </w:pPr>
          </w:p>
        </w:tc>
        <w:tc>
          <w:tcPr>
            <w:tcW w:w="656" w:type="pct"/>
            <w:vMerge/>
            <w:tcMar>
              <w:top w:w="0" w:type="dxa"/>
              <w:left w:w="108" w:type="dxa"/>
              <w:bottom w:w="0" w:type="dxa"/>
              <w:right w:w="108" w:type="dxa"/>
            </w:tcMar>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p>
        </w:tc>
        <w:tc>
          <w:tcPr>
            <w:tcW w:w="827" w:type="pct"/>
            <w:tcMar>
              <w:top w:w="0" w:type="dxa"/>
              <w:left w:w="108" w:type="dxa"/>
              <w:bottom w:w="0" w:type="dxa"/>
              <w:right w:w="108" w:type="dxa"/>
            </w:tcMar>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33%</w:t>
            </w:r>
          </w:p>
        </w:tc>
        <w:tc>
          <w:tcPr>
            <w:tcW w:w="889"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c>
          <w:tcPr>
            <w:tcW w:w="671"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1.33</w:t>
            </w:r>
          </w:p>
        </w:tc>
        <w:tc>
          <w:tcPr>
            <w:tcW w:w="790"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r>
      <w:tr w:rsidR="00055CE5" w:rsidRPr="00D8075A" w:rsidTr="0083398B">
        <w:trPr>
          <w:trHeight w:val="333"/>
        </w:trPr>
        <w:tc>
          <w:tcPr>
            <w:tcW w:w="1167" w:type="pct"/>
            <w:vMerge/>
            <w:tcMar>
              <w:top w:w="0" w:type="dxa"/>
              <w:left w:w="108" w:type="dxa"/>
              <w:bottom w:w="0" w:type="dxa"/>
              <w:right w:w="108" w:type="dxa"/>
            </w:tcMar>
            <w:vAlign w:val="center"/>
          </w:tcPr>
          <w:p w:rsidR="00055CE5" w:rsidRPr="00D8075A" w:rsidRDefault="00055CE5" w:rsidP="00A55F3B">
            <w:pPr>
              <w:keepNext/>
              <w:keepLines/>
              <w:widowControl/>
              <w:jc w:val="left"/>
              <w:rPr>
                <w:rFonts w:ascii="Arial Narrow" w:eastAsia="Calibri" w:hAnsi="Arial Narrow" w:cs="Times New Roman"/>
                <w:snapToGrid/>
                <w:sz w:val="20"/>
                <w:szCs w:val="20"/>
                <w:lang w:eastAsia="en-AU"/>
              </w:rPr>
            </w:pPr>
          </w:p>
        </w:tc>
        <w:tc>
          <w:tcPr>
            <w:tcW w:w="656" w:type="pct"/>
            <w:vMerge/>
            <w:tcMar>
              <w:top w:w="0" w:type="dxa"/>
              <w:left w:w="108" w:type="dxa"/>
              <w:bottom w:w="0" w:type="dxa"/>
              <w:right w:w="108" w:type="dxa"/>
            </w:tcMar>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p>
        </w:tc>
        <w:tc>
          <w:tcPr>
            <w:tcW w:w="827" w:type="pct"/>
            <w:tcMar>
              <w:top w:w="0" w:type="dxa"/>
              <w:left w:w="108" w:type="dxa"/>
              <w:bottom w:w="0" w:type="dxa"/>
              <w:right w:w="108" w:type="dxa"/>
            </w:tcMar>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50%*</w:t>
            </w:r>
          </w:p>
        </w:tc>
        <w:tc>
          <w:tcPr>
            <w:tcW w:w="889"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c>
          <w:tcPr>
            <w:tcW w:w="671"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1.33</w:t>
            </w:r>
          </w:p>
        </w:tc>
        <w:tc>
          <w:tcPr>
            <w:tcW w:w="790"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r>
      <w:tr w:rsidR="00055CE5" w:rsidRPr="00D8075A" w:rsidTr="0083398B">
        <w:trPr>
          <w:trHeight w:val="58"/>
        </w:trPr>
        <w:tc>
          <w:tcPr>
            <w:tcW w:w="1167" w:type="pct"/>
            <w:vMerge/>
            <w:tcMar>
              <w:top w:w="0" w:type="dxa"/>
              <w:left w:w="108" w:type="dxa"/>
              <w:bottom w:w="0" w:type="dxa"/>
              <w:right w:w="108" w:type="dxa"/>
            </w:tcMar>
            <w:vAlign w:val="center"/>
          </w:tcPr>
          <w:p w:rsidR="00055CE5" w:rsidRPr="00D8075A" w:rsidRDefault="00055CE5" w:rsidP="00A55F3B">
            <w:pPr>
              <w:keepNext/>
              <w:keepLines/>
              <w:widowControl/>
              <w:jc w:val="left"/>
              <w:rPr>
                <w:rFonts w:ascii="Arial Narrow" w:eastAsia="Calibri" w:hAnsi="Arial Narrow" w:cs="Times New Roman"/>
                <w:snapToGrid/>
                <w:sz w:val="20"/>
                <w:szCs w:val="20"/>
                <w:lang w:eastAsia="en-AU"/>
              </w:rPr>
            </w:pPr>
          </w:p>
        </w:tc>
        <w:tc>
          <w:tcPr>
            <w:tcW w:w="656" w:type="pct"/>
            <w:vMerge/>
            <w:tcMar>
              <w:top w:w="0" w:type="dxa"/>
              <w:left w:w="108" w:type="dxa"/>
              <w:bottom w:w="0" w:type="dxa"/>
              <w:right w:w="108" w:type="dxa"/>
            </w:tcMar>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p>
        </w:tc>
        <w:tc>
          <w:tcPr>
            <w:tcW w:w="827" w:type="pct"/>
            <w:tcMar>
              <w:top w:w="0" w:type="dxa"/>
              <w:left w:w="108" w:type="dxa"/>
              <w:bottom w:w="0" w:type="dxa"/>
              <w:right w:w="108" w:type="dxa"/>
            </w:tcMar>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100%*</w:t>
            </w:r>
          </w:p>
        </w:tc>
        <w:tc>
          <w:tcPr>
            <w:tcW w:w="889"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c>
          <w:tcPr>
            <w:tcW w:w="671"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1.33</w:t>
            </w:r>
          </w:p>
        </w:tc>
        <w:tc>
          <w:tcPr>
            <w:tcW w:w="790"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r>
      <w:tr w:rsidR="00055CE5" w:rsidRPr="00D8075A" w:rsidTr="0083398B">
        <w:trPr>
          <w:trHeight w:val="58"/>
        </w:trPr>
        <w:tc>
          <w:tcPr>
            <w:tcW w:w="1167" w:type="pct"/>
            <w:vMerge w:val="restart"/>
            <w:tcMar>
              <w:top w:w="0" w:type="dxa"/>
              <w:left w:w="108" w:type="dxa"/>
              <w:bottom w:w="0" w:type="dxa"/>
              <w:right w:w="108" w:type="dxa"/>
            </w:tcMar>
            <w:vAlign w:val="center"/>
          </w:tcPr>
          <w:p w:rsidR="00055CE5" w:rsidRPr="00D8075A" w:rsidRDefault="00055CE5" w:rsidP="00A55F3B">
            <w:pPr>
              <w:keepNext/>
              <w:keepLines/>
              <w:widowControl/>
              <w:jc w:val="left"/>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Time on Treatment (</w:t>
            </w:r>
            <w:proofErr w:type="spellStart"/>
            <w:r w:rsidRPr="00D8075A">
              <w:rPr>
                <w:rFonts w:ascii="Arial Narrow" w:eastAsia="Calibri" w:hAnsi="Arial Narrow" w:cs="Times New Roman"/>
                <w:snapToGrid/>
                <w:sz w:val="20"/>
                <w:szCs w:val="20"/>
                <w:lang w:eastAsia="en-AU"/>
              </w:rPr>
              <w:t>ToT</w:t>
            </w:r>
            <w:proofErr w:type="spellEnd"/>
            <w:r w:rsidRPr="00D8075A">
              <w:rPr>
                <w:rFonts w:ascii="Arial Narrow" w:eastAsia="Calibri" w:hAnsi="Arial Narrow" w:cs="Times New Roman"/>
                <w:snapToGrid/>
                <w:sz w:val="20"/>
                <w:szCs w:val="20"/>
                <w:lang w:eastAsia="en-AU"/>
              </w:rPr>
              <w:t>): Estimated discontinuation time for the majority of patients*</w:t>
            </w:r>
          </w:p>
        </w:tc>
        <w:tc>
          <w:tcPr>
            <w:tcW w:w="656" w:type="pct"/>
            <w:vMerge w:val="restart"/>
            <w:tcMar>
              <w:top w:w="0" w:type="dxa"/>
              <w:left w:w="108" w:type="dxa"/>
              <w:bottom w:w="0" w:type="dxa"/>
              <w:right w:w="108" w:type="dxa"/>
            </w:tcMar>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2 years</w:t>
            </w:r>
          </w:p>
        </w:tc>
        <w:tc>
          <w:tcPr>
            <w:tcW w:w="827" w:type="pct"/>
            <w:tcMar>
              <w:top w:w="0" w:type="dxa"/>
              <w:left w:w="108" w:type="dxa"/>
              <w:bottom w:w="0" w:type="dxa"/>
              <w:right w:w="108" w:type="dxa"/>
            </w:tcMar>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1</w:t>
            </w:r>
          </w:p>
        </w:tc>
        <w:tc>
          <w:tcPr>
            <w:tcW w:w="889"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c>
          <w:tcPr>
            <w:tcW w:w="671"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1.33</w:t>
            </w:r>
          </w:p>
        </w:tc>
        <w:tc>
          <w:tcPr>
            <w:tcW w:w="790"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r>
      <w:tr w:rsidR="00055CE5" w:rsidRPr="00D8075A" w:rsidTr="0083398B">
        <w:trPr>
          <w:trHeight w:val="58"/>
        </w:trPr>
        <w:tc>
          <w:tcPr>
            <w:tcW w:w="1167" w:type="pct"/>
            <w:vMerge/>
            <w:tcMar>
              <w:top w:w="0" w:type="dxa"/>
              <w:left w:w="108" w:type="dxa"/>
              <w:bottom w:w="0" w:type="dxa"/>
              <w:right w:w="108" w:type="dxa"/>
            </w:tcMar>
            <w:vAlign w:val="center"/>
          </w:tcPr>
          <w:p w:rsidR="00055CE5" w:rsidRPr="00D8075A" w:rsidRDefault="00055CE5" w:rsidP="00A55F3B">
            <w:pPr>
              <w:keepNext/>
              <w:keepLines/>
              <w:widowControl/>
              <w:jc w:val="left"/>
              <w:rPr>
                <w:rFonts w:ascii="Arial Narrow" w:eastAsia="Calibri" w:hAnsi="Arial Narrow" w:cs="Times New Roman"/>
                <w:snapToGrid/>
                <w:sz w:val="20"/>
                <w:szCs w:val="20"/>
                <w:lang w:eastAsia="en-AU"/>
              </w:rPr>
            </w:pPr>
          </w:p>
        </w:tc>
        <w:tc>
          <w:tcPr>
            <w:tcW w:w="656" w:type="pct"/>
            <w:vMerge/>
            <w:tcMar>
              <w:top w:w="0" w:type="dxa"/>
              <w:left w:w="108" w:type="dxa"/>
              <w:bottom w:w="0" w:type="dxa"/>
              <w:right w:w="108" w:type="dxa"/>
            </w:tcMar>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p>
        </w:tc>
        <w:tc>
          <w:tcPr>
            <w:tcW w:w="827" w:type="pct"/>
            <w:tcMar>
              <w:top w:w="0" w:type="dxa"/>
              <w:left w:w="108" w:type="dxa"/>
              <w:bottom w:w="0" w:type="dxa"/>
              <w:right w:w="108" w:type="dxa"/>
            </w:tcMar>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1.5</w:t>
            </w:r>
          </w:p>
        </w:tc>
        <w:tc>
          <w:tcPr>
            <w:tcW w:w="889"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c>
          <w:tcPr>
            <w:tcW w:w="671"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1.33</w:t>
            </w:r>
          </w:p>
        </w:tc>
        <w:tc>
          <w:tcPr>
            <w:tcW w:w="790"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r>
      <w:tr w:rsidR="00055CE5" w:rsidRPr="00D8075A" w:rsidTr="0083398B">
        <w:trPr>
          <w:trHeight w:val="58"/>
        </w:trPr>
        <w:tc>
          <w:tcPr>
            <w:tcW w:w="1167" w:type="pct"/>
            <w:vMerge/>
            <w:tcMar>
              <w:top w:w="0" w:type="dxa"/>
              <w:left w:w="108" w:type="dxa"/>
              <w:bottom w:w="0" w:type="dxa"/>
              <w:right w:w="108" w:type="dxa"/>
            </w:tcMar>
            <w:vAlign w:val="center"/>
          </w:tcPr>
          <w:p w:rsidR="00055CE5" w:rsidRPr="00D8075A" w:rsidRDefault="00055CE5" w:rsidP="00A55F3B">
            <w:pPr>
              <w:keepNext/>
              <w:keepLines/>
              <w:widowControl/>
              <w:jc w:val="left"/>
              <w:rPr>
                <w:rFonts w:ascii="Arial Narrow" w:eastAsia="Calibri" w:hAnsi="Arial Narrow" w:cs="Times New Roman"/>
                <w:snapToGrid/>
                <w:sz w:val="20"/>
                <w:szCs w:val="20"/>
                <w:lang w:eastAsia="en-AU"/>
              </w:rPr>
            </w:pPr>
          </w:p>
        </w:tc>
        <w:tc>
          <w:tcPr>
            <w:tcW w:w="656" w:type="pct"/>
            <w:vMerge/>
            <w:tcMar>
              <w:top w:w="0" w:type="dxa"/>
              <w:left w:w="108" w:type="dxa"/>
              <w:bottom w:w="0" w:type="dxa"/>
              <w:right w:w="108" w:type="dxa"/>
            </w:tcMar>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p>
        </w:tc>
        <w:tc>
          <w:tcPr>
            <w:tcW w:w="827" w:type="pct"/>
            <w:tcMar>
              <w:top w:w="0" w:type="dxa"/>
              <w:left w:w="108" w:type="dxa"/>
              <w:bottom w:w="0" w:type="dxa"/>
              <w:right w:w="108" w:type="dxa"/>
            </w:tcMar>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2.5</w:t>
            </w:r>
          </w:p>
        </w:tc>
        <w:tc>
          <w:tcPr>
            <w:tcW w:w="889"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c>
          <w:tcPr>
            <w:tcW w:w="671"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1.33</w:t>
            </w:r>
          </w:p>
        </w:tc>
        <w:tc>
          <w:tcPr>
            <w:tcW w:w="790"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r>
      <w:tr w:rsidR="00055CE5" w:rsidRPr="00D8075A" w:rsidTr="0083398B">
        <w:trPr>
          <w:trHeight w:val="58"/>
        </w:trPr>
        <w:tc>
          <w:tcPr>
            <w:tcW w:w="1167" w:type="pct"/>
            <w:vMerge/>
            <w:tcMar>
              <w:top w:w="0" w:type="dxa"/>
              <w:left w:w="108" w:type="dxa"/>
              <w:bottom w:w="0" w:type="dxa"/>
              <w:right w:w="108" w:type="dxa"/>
            </w:tcMar>
            <w:vAlign w:val="center"/>
          </w:tcPr>
          <w:p w:rsidR="00055CE5" w:rsidRPr="00D8075A" w:rsidRDefault="00055CE5" w:rsidP="00A55F3B">
            <w:pPr>
              <w:keepNext/>
              <w:keepLines/>
              <w:widowControl/>
              <w:jc w:val="left"/>
              <w:rPr>
                <w:rFonts w:ascii="Arial Narrow" w:eastAsia="Calibri" w:hAnsi="Arial Narrow" w:cs="Times New Roman"/>
                <w:snapToGrid/>
                <w:sz w:val="20"/>
                <w:szCs w:val="20"/>
                <w:lang w:eastAsia="en-AU"/>
              </w:rPr>
            </w:pPr>
          </w:p>
        </w:tc>
        <w:tc>
          <w:tcPr>
            <w:tcW w:w="656" w:type="pct"/>
            <w:vMerge/>
            <w:tcMar>
              <w:top w:w="0" w:type="dxa"/>
              <w:left w:w="108" w:type="dxa"/>
              <w:bottom w:w="0" w:type="dxa"/>
              <w:right w:w="108" w:type="dxa"/>
            </w:tcMar>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p>
        </w:tc>
        <w:tc>
          <w:tcPr>
            <w:tcW w:w="827" w:type="pct"/>
            <w:tcMar>
              <w:top w:w="0" w:type="dxa"/>
              <w:left w:w="108" w:type="dxa"/>
              <w:bottom w:w="0" w:type="dxa"/>
              <w:right w:w="108" w:type="dxa"/>
            </w:tcMar>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3</w:t>
            </w:r>
          </w:p>
        </w:tc>
        <w:tc>
          <w:tcPr>
            <w:tcW w:w="889"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c>
          <w:tcPr>
            <w:tcW w:w="671"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1.33</w:t>
            </w:r>
          </w:p>
        </w:tc>
        <w:tc>
          <w:tcPr>
            <w:tcW w:w="790"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r>
      <w:tr w:rsidR="00055CE5" w:rsidRPr="00D8075A" w:rsidTr="0083398B">
        <w:trPr>
          <w:trHeight w:val="58"/>
        </w:trPr>
        <w:tc>
          <w:tcPr>
            <w:tcW w:w="1167" w:type="pct"/>
            <w:vMerge w:val="restart"/>
            <w:tcMar>
              <w:top w:w="0" w:type="dxa"/>
              <w:left w:w="108" w:type="dxa"/>
              <w:bottom w:w="0" w:type="dxa"/>
              <w:right w:w="108" w:type="dxa"/>
            </w:tcMar>
            <w:vAlign w:val="center"/>
          </w:tcPr>
          <w:p w:rsidR="00055CE5" w:rsidRPr="00D8075A" w:rsidRDefault="00055CE5" w:rsidP="00A55F3B">
            <w:pPr>
              <w:keepNext/>
              <w:keepLines/>
              <w:widowControl/>
              <w:jc w:val="left"/>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Maximum expected treatment duration*</w:t>
            </w:r>
          </w:p>
        </w:tc>
        <w:tc>
          <w:tcPr>
            <w:tcW w:w="656" w:type="pct"/>
            <w:vMerge w:val="restart"/>
            <w:tcMar>
              <w:top w:w="0" w:type="dxa"/>
              <w:left w:w="108" w:type="dxa"/>
              <w:bottom w:w="0" w:type="dxa"/>
              <w:right w:w="108" w:type="dxa"/>
            </w:tcMar>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5 years</w:t>
            </w:r>
          </w:p>
        </w:tc>
        <w:tc>
          <w:tcPr>
            <w:tcW w:w="827" w:type="pct"/>
            <w:tcMar>
              <w:top w:w="0" w:type="dxa"/>
              <w:left w:w="108" w:type="dxa"/>
              <w:bottom w:w="0" w:type="dxa"/>
              <w:right w:w="108" w:type="dxa"/>
            </w:tcMar>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3</w:t>
            </w:r>
          </w:p>
        </w:tc>
        <w:tc>
          <w:tcPr>
            <w:tcW w:w="889"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c>
          <w:tcPr>
            <w:tcW w:w="671"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1.33</w:t>
            </w:r>
          </w:p>
        </w:tc>
        <w:tc>
          <w:tcPr>
            <w:tcW w:w="790"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r>
      <w:tr w:rsidR="00055CE5" w:rsidRPr="00D8075A" w:rsidTr="0083398B">
        <w:trPr>
          <w:trHeight w:val="58"/>
        </w:trPr>
        <w:tc>
          <w:tcPr>
            <w:tcW w:w="1167" w:type="pct"/>
            <w:vMerge/>
            <w:tcMar>
              <w:top w:w="0" w:type="dxa"/>
              <w:left w:w="108" w:type="dxa"/>
              <w:bottom w:w="0" w:type="dxa"/>
              <w:right w:w="108" w:type="dxa"/>
            </w:tcMar>
            <w:vAlign w:val="center"/>
          </w:tcPr>
          <w:p w:rsidR="00055CE5" w:rsidRPr="00D8075A" w:rsidRDefault="00055CE5" w:rsidP="00A55F3B">
            <w:pPr>
              <w:keepNext/>
              <w:keepLines/>
              <w:widowControl/>
              <w:jc w:val="left"/>
              <w:rPr>
                <w:rFonts w:ascii="Arial Narrow" w:eastAsia="Calibri" w:hAnsi="Arial Narrow" w:cs="Times New Roman"/>
                <w:snapToGrid/>
                <w:sz w:val="20"/>
                <w:szCs w:val="20"/>
                <w:lang w:eastAsia="en-AU"/>
              </w:rPr>
            </w:pPr>
          </w:p>
        </w:tc>
        <w:tc>
          <w:tcPr>
            <w:tcW w:w="656" w:type="pct"/>
            <w:vMerge/>
            <w:tcMar>
              <w:top w:w="0" w:type="dxa"/>
              <w:left w:w="108" w:type="dxa"/>
              <w:bottom w:w="0" w:type="dxa"/>
              <w:right w:w="108" w:type="dxa"/>
            </w:tcMar>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p>
        </w:tc>
        <w:tc>
          <w:tcPr>
            <w:tcW w:w="827" w:type="pct"/>
            <w:tcMar>
              <w:top w:w="0" w:type="dxa"/>
              <w:left w:w="108" w:type="dxa"/>
              <w:bottom w:w="0" w:type="dxa"/>
              <w:right w:w="108" w:type="dxa"/>
            </w:tcMar>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4</w:t>
            </w:r>
          </w:p>
        </w:tc>
        <w:tc>
          <w:tcPr>
            <w:tcW w:w="889"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c>
          <w:tcPr>
            <w:tcW w:w="671"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1.33</w:t>
            </w:r>
          </w:p>
        </w:tc>
        <w:tc>
          <w:tcPr>
            <w:tcW w:w="790"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r>
      <w:tr w:rsidR="00055CE5" w:rsidRPr="00D8075A" w:rsidTr="0083398B">
        <w:trPr>
          <w:trHeight w:val="58"/>
        </w:trPr>
        <w:tc>
          <w:tcPr>
            <w:tcW w:w="1167" w:type="pct"/>
            <w:vMerge/>
            <w:tcMar>
              <w:top w:w="0" w:type="dxa"/>
              <w:left w:w="108" w:type="dxa"/>
              <w:bottom w:w="0" w:type="dxa"/>
              <w:right w:w="108" w:type="dxa"/>
            </w:tcMar>
            <w:vAlign w:val="center"/>
          </w:tcPr>
          <w:p w:rsidR="00055CE5" w:rsidRPr="00D8075A" w:rsidRDefault="00055CE5" w:rsidP="00A55F3B">
            <w:pPr>
              <w:keepNext/>
              <w:keepLines/>
              <w:widowControl/>
              <w:jc w:val="left"/>
              <w:rPr>
                <w:rFonts w:ascii="Arial Narrow" w:eastAsia="Calibri" w:hAnsi="Arial Narrow" w:cs="Times New Roman"/>
                <w:snapToGrid/>
                <w:sz w:val="20"/>
                <w:szCs w:val="20"/>
                <w:lang w:eastAsia="en-AU"/>
              </w:rPr>
            </w:pPr>
          </w:p>
        </w:tc>
        <w:tc>
          <w:tcPr>
            <w:tcW w:w="656" w:type="pct"/>
            <w:vMerge/>
            <w:tcMar>
              <w:top w:w="0" w:type="dxa"/>
              <w:left w:w="108" w:type="dxa"/>
              <w:bottom w:w="0" w:type="dxa"/>
              <w:right w:w="108" w:type="dxa"/>
            </w:tcMar>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p>
        </w:tc>
        <w:tc>
          <w:tcPr>
            <w:tcW w:w="827" w:type="pct"/>
            <w:tcMar>
              <w:top w:w="0" w:type="dxa"/>
              <w:left w:w="108" w:type="dxa"/>
              <w:bottom w:w="0" w:type="dxa"/>
              <w:right w:w="108" w:type="dxa"/>
            </w:tcMar>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6</w:t>
            </w:r>
          </w:p>
        </w:tc>
        <w:tc>
          <w:tcPr>
            <w:tcW w:w="889"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c>
          <w:tcPr>
            <w:tcW w:w="671"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1.33</w:t>
            </w:r>
          </w:p>
        </w:tc>
        <w:tc>
          <w:tcPr>
            <w:tcW w:w="790"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r>
      <w:tr w:rsidR="00055CE5" w:rsidRPr="00D8075A" w:rsidTr="0083398B">
        <w:trPr>
          <w:trHeight w:val="58"/>
        </w:trPr>
        <w:tc>
          <w:tcPr>
            <w:tcW w:w="1167" w:type="pct"/>
            <w:vMerge/>
            <w:tcMar>
              <w:top w:w="0" w:type="dxa"/>
              <w:left w:w="108" w:type="dxa"/>
              <w:bottom w:w="0" w:type="dxa"/>
              <w:right w:w="108" w:type="dxa"/>
            </w:tcMar>
            <w:vAlign w:val="center"/>
          </w:tcPr>
          <w:p w:rsidR="00055CE5" w:rsidRPr="00D8075A" w:rsidRDefault="00055CE5" w:rsidP="00A55F3B">
            <w:pPr>
              <w:keepNext/>
              <w:keepLines/>
              <w:widowControl/>
              <w:jc w:val="left"/>
              <w:rPr>
                <w:rFonts w:ascii="Arial Narrow" w:eastAsia="Calibri" w:hAnsi="Arial Narrow" w:cs="Times New Roman"/>
                <w:snapToGrid/>
                <w:sz w:val="20"/>
                <w:szCs w:val="20"/>
                <w:lang w:eastAsia="en-AU"/>
              </w:rPr>
            </w:pPr>
          </w:p>
        </w:tc>
        <w:tc>
          <w:tcPr>
            <w:tcW w:w="656" w:type="pct"/>
            <w:vMerge/>
            <w:tcMar>
              <w:top w:w="0" w:type="dxa"/>
              <w:left w:w="108" w:type="dxa"/>
              <w:bottom w:w="0" w:type="dxa"/>
              <w:right w:w="108" w:type="dxa"/>
            </w:tcMar>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p>
        </w:tc>
        <w:tc>
          <w:tcPr>
            <w:tcW w:w="827" w:type="pct"/>
            <w:tcMar>
              <w:top w:w="0" w:type="dxa"/>
              <w:left w:w="108" w:type="dxa"/>
              <w:bottom w:w="0" w:type="dxa"/>
              <w:right w:w="108" w:type="dxa"/>
            </w:tcMar>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7</w:t>
            </w:r>
          </w:p>
        </w:tc>
        <w:tc>
          <w:tcPr>
            <w:tcW w:w="889"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c>
          <w:tcPr>
            <w:tcW w:w="671"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1.33</w:t>
            </w:r>
          </w:p>
        </w:tc>
        <w:tc>
          <w:tcPr>
            <w:tcW w:w="790" w:type="pct"/>
            <w:vAlign w:val="center"/>
          </w:tcPr>
          <w:p w:rsidR="00055CE5" w:rsidRPr="00D8075A" w:rsidRDefault="00055CE5" w:rsidP="00A55F3B">
            <w:pPr>
              <w:keepNext/>
              <w:keepLines/>
              <w:widowControl/>
              <w:jc w:val="center"/>
              <w:rPr>
                <w:rFonts w:ascii="Arial Narrow" w:eastAsia="Calibri" w:hAnsi="Arial Narrow" w:cs="Times New Roman"/>
                <w:snapToGrid/>
                <w:sz w:val="20"/>
                <w:szCs w:val="20"/>
                <w:lang w:eastAsia="en-AU"/>
              </w:rPr>
            </w:pPr>
            <w:r w:rsidRPr="00D8075A">
              <w:rPr>
                <w:rFonts w:ascii="Arial Narrow" w:eastAsia="Calibri" w:hAnsi="Arial Narrow" w:cs="Times New Roman"/>
                <w:snapToGrid/>
                <w:sz w:val="20"/>
                <w:szCs w:val="20"/>
                <w:lang w:eastAsia="en-AU"/>
              </w:rPr>
              <w:t>$</w:t>
            </w:r>
            <w:r w:rsidR="00E43539">
              <w:rPr>
                <w:rFonts w:ascii="Arial Narrow" w:eastAsia="Calibri" w:hAnsi="Arial Narrow" w:cs="Times New Roman"/>
                <w:noProof/>
                <w:snapToGrid/>
                <w:color w:val="000000"/>
                <w:sz w:val="20"/>
                <w:szCs w:val="20"/>
                <w:highlight w:val="black"/>
                <w:lang w:eastAsia="en-AU"/>
              </w:rPr>
              <w:t>''''''''''''''''</w:t>
            </w:r>
          </w:p>
        </w:tc>
      </w:tr>
    </w:tbl>
    <w:p w:rsidR="00055CE5" w:rsidRPr="00D8075A" w:rsidRDefault="00055CE5" w:rsidP="00A55F3B">
      <w:pPr>
        <w:keepNext/>
        <w:keepLines/>
        <w:spacing w:after="120"/>
        <w:contextualSpacing/>
        <w:rPr>
          <w:rFonts w:ascii="Arial Narrow" w:hAnsi="Arial Narrow"/>
          <w:sz w:val="18"/>
          <w:szCs w:val="18"/>
        </w:rPr>
      </w:pPr>
      <w:r w:rsidRPr="00D8075A">
        <w:rPr>
          <w:rFonts w:ascii="Arial Narrow" w:hAnsi="Arial Narrow"/>
          <w:sz w:val="18"/>
          <w:szCs w:val="18"/>
        </w:rPr>
        <w:t>AE: adverse event; ICER: incremental cost-effectiveness ratio PF: progression free survival; PP: Progressed; QALY: quality adjusted life year; OS overall survival.</w:t>
      </w:r>
    </w:p>
    <w:p w:rsidR="00055CE5" w:rsidRPr="00D8075A" w:rsidRDefault="00055CE5" w:rsidP="00A55F3B">
      <w:pPr>
        <w:keepNext/>
        <w:keepLines/>
        <w:spacing w:after="120"/>
        <w:contextualSpacing/>
        <w:rPr>
          <w:rFonts w:ascii="Arial Narrow" w:hAnsi="Arial Narrow"/>
          <w:sz w:val="18"/>
          <w:szCs w:val="20"/>
        </w:rPr>
      </w:pPr>
      <w:r w:rsidRPr="00D8075A">
        <w:rPr>
          <w:rFonts w:ascii="Arial Narrow" w:hAnsi="Arial Narrow"/>
          <w:sz w:val="18"/>
          <w:szCs w:val="20"/>
        </w:rPr>
        <w:t>*Analysis was conducted as part of the evaluation.</w:t>
      </w:r>
    </w:p>
    <w:p w:rsidR="00055CE5" w:rsidRPr="00D8075A" w:rsidRDefault="00055CE5" w:rsidP="00A55F3B">
      <w:pPr>
        <w:keepNext/>
        <w:keepLines/>
        <w:widowControl/>
        <w:spacing w:after="120"/>
        <w:contextualSpacing/>
        <w:rPr>
          <w:rFonts w:ascii="Arial Narrow" w:hAnsi="Arial Narrow"/>
          <w:sz w:val="18"/>
          <w:szCs w:val="20"/>
        </w:rPr>
      </w:pPr>
      <w:r w:rsidRPr="00D8075A">
        <w:rPr>
          <w:rFonts w:ascii="Arial Narrow" w:hAnsi="Arial Narrow"/>
          <w:sz w:val="18"/>
          <w:szCs w:val="20"/>
        </w:rPr>
        <w:t xml:space="preserve">Source: Table 3.9.1, p193 of the submission. </w:t>
      </w:r>
    </w:p>
    <w:p w:rsidR="00055CE5" w:rsidRPr="00D8075A" w:rsidRDefault="00055CE5" w:rsidP="00A55F3B">
      <w:pPr>
        <w:keepNext/>
        <w:keepLines/>
        <w:widowControl/>
        <w:spacing w:after="120"/>
        <w:contextualSpacing/>
        <w:rPr>
          <w:rFonts w:ascii="Arial Narrow" w:hAnsi="Arial Narrow"/>
          <w:sz w:val="18"/>
          <w:szCs w:val="20"/>
        </w:rPr>
      </w:pPr>
    </w:p>
    <w:p w:rsidR="003B3676" w:rsidRPr="003B3676" w:rsidRDefault="004C086B" w:rsidP="003B3676">
      <w:pPr>
        <w:rPr>
          <w:rFonts w:asciiTheme="minorHAnsi" w:eastAsiaTheme="minorHAnsi" w:hAnsiTheme="minorHAnsi" w:cstheme="minorBidi"/>
          <w:snapToGrid/>
          <w:color w:val="000000" w:themeColor="text1"/>
        </w:rPr>
      </w:pPr>
      <w:r>
        <w:rPr>
          <w:rFonts w:asciiTheme="minorHAnsi" w:eastAsiaTheme="minorHAnsi" w:hAnsiTheme="minorHAnsi" w:cstheme="minorBidi"/>
          <w:snapToGrid/>
          <w:color w:val="000000" w:themeColor="text1"/>
        </w:rPr>
        <w:t xml:space="preserve">The redacted table shows ICERs in the range of </w:t>
      </w:r>
      <w:r w:rsidR="00016635">
        <w:rPr>
          <w:rFonts w:asciiTheme="minorHAnsi" w:eastAsiaTheme="minorHAnsi" w:hAnsiTheme="minorHAnsi" w:cstheme="minorBidi"/>
          <w:snapToGrid/>
          <w:color w:val="000000" w:themeColor="text1"/>
        </w:rPr>
        <w:t>$45,000/QALY - $105,000/QALY.</w:t>
      </w:r>
    </w:p>
    <w:p w:rsidR="003B3676" w:rsidRDefault="003B3676" w:rsidP="00055CE5">
      <w:pPr>
        <w:keepNext/>
        <w:rPr>
          <w:rStyle w:val="CommentReference"/>
        </w:rPr>
      </w:pPr>
    </w:p>
    <w:p w:rsidR="00055CE5" w:rsidRPr="00D8075A" w:rsidRDefault="00055CE5" w:rsidP="00055CE5">
      <w:pPr>
        <w:keepNext/>
        <w:rPr>
          <w:rFonts w:ascii="Arial Narrow" w:hAnsi="Arial Narrow"/>
          <w:sz w:val="18"/>
        </w:rPr>
      </w:pPr>
      <w:r w:rsidRPr="00D8075A">
        <w:rPr>
          <w:rStyle w:val="CommentReference"/>
        </w:rPr>
        <w:t xml:space="preserve">Figure 2: JAVELIN Merkel 200 (Part A) data extrapolated to different time horizon VS ICER results </w:t>
      </w:r>
    </w:p>
    <w:p w:rsidR="00055CE5" w:rsidRPr="00D8075A" w:rsidRDefault="00E43539" w:rsidP="00055CE5">
      <w:r>
        <w:rPr>
          <w:noProof/>
          <w:snapToGrid/>
          <w:lang w:eastAsia="en-AU"/>
        </w:rPr>
        <w:drawing>
          <wp:inline distT="0" distB="0" distL="0" distR="0">
            <wp:extent cx="5021580" cy="3528060"/>
            <wp:effectExtent l="0" t="0" r="7620" b="0"/>
            <wp:docPr id="2" name="Picture 2" title="JAVELIN Merkel 200 (Part A) data extrapolated to different time horizon VS ICER results [REDAC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021580" cy="3528060"/>
                    </a:xfrm>
                    <a:prstGeom prst="rect">
                      <a:avLst/>
                    </a:prstGeom>
                  </pic:spPr>
                </pic:pic>
              </a:graphicData>
            </a:graphic>
          </wp:inline>
        </w:drawing>
      </w:r>
    </w:p>
    <w:p w:rsidR="00055CE5" w:rsidRPr="00D8075A" w:rsidRDefault="00055CE5" w:rsidP="00055CE5">
      <w:pPr>
        <w:rPr>
          <w:rFonts w:ascii="Arial Narrow" w:hAnsi="Arial Narrow"/>
          <w:sz w:val="18"/>
        </w:rPr>
      </w:pPr>
      <w:r w:rsidRPr="00D8075A">
        <w:rPr>
          <w:rFonts w:ascii="Arial Narrow" w:hAnsi="Arial Narrow"/>
          <w:sz w:val="18"/>
        </w:rPr>
        <w:lastRenderedPageBreak/>
        <w:t>ICER: incremental cost-effectiveness ratio.</w:t>
      </w:r>
    </w:p>
    <w:p w:rsidR="00055CE5" w:rsidRPr="00D8075A" w:rsidRDefault="00055CE5" w:rsidP="00055CE5">
      <w:pPr>
        <w:rPr>
          <w:rFonts w:ascii="Arial Narrow" w:hAnsi="Arial Narrow"/>
          <w:sz w:val="18"/>
        </w:rPr>
      </w:pPr>
      <w:r w:rsidRPr="00D8075A">
        <w:rPr>
          <w:rFonts w:ascii="Arial Narrow" w:hAnsi="Arial Narrow"/>
          <w:sz w:val="18"/>
        </w:rPr>
        <w:t xml:space="preserve">Source: conducted during the evaluation. </w:t>
      </w:r>
    </w:p>
    <w:p w:rsidR="00055CE5" w:rsidRPr="00D8075A" w:rsidRDefault="00055CE5" w:rsidP="00694239">
      <w:pPr>
        <w:spacing w:after="120"/>
        <w:contextualSpacing/>
        <w:rPr>
          <w:rFonts w:ascii="Arial Narrow" w:hAnsi="Arial Narrow"/>
          <w:sz w:val="18"/>
          <w:szCs w:val="20"/>
        </w:rPr>
      </w:pPr>
    </w:p>
    <w:p w:rsidR="00D575EB" w:rsidRPr="00D8075A" w:rsidRDefault="00D575EB" w:rsidP="00C3432B">
      <w:pPr>
        <w:pStyle w:val="ListParagraph"/>
        <w:widowControl/>
        <w:numPr>
          <w:ilvl w:val="1"/>
          <w:numId w:val="1"/>
        </w:numPr>
        <w:rPr>
          <w:rFonts w:asciiTheme="minorHAnsi" w:eastAsiaTheme="minorHAnsi" w:hAnsiTheme="minorHAnsi" w:cstheme="minorBidi"/>
          <w:snapToGrid/>
        </w:rPr>
      </w:pPr>
      <w:r w:rsidRPr="00D8075A">
        <w:t>A time horizon of 7 years was applied</w:t>
      </w:r>
      <w:r w:rsidR="003733AE" w:rsidRPr="00D8075A">
        <w:t xml:space="preserve"> in the submission</w:t>
      </w:r>
      <w:r w:rsidRPr="00D8075A">
        <w:t>.</w:t>
      </w:r>
      <w:r w:rsidRPr="00D8075A">
        <w:rPr>
          <w:iCs/>
        </w:rPr>
        <w:t xml:space="preserve"> The ESC noted that </w:t>
      </w:r>
      <w:r w:rsidR="00BD77C8" w:rsidRPr="00D8075A">
        <w:rPr>
          <w:iCs/>
        </w:rPr>
        <w:t xml:space="preserve">having a </w:t>
      </w:r>
      <w:r w:rsidRPr="00D8075A">
        <w:rPr>
          <w:iCs/>
        </w:rPr>
        <w:t xml:space="preserve">longer time horizon </w:t>
      </w:r>
      <w:r w:rsidR="00BD77C8" w:rsidRPr="00D8075A">
        <w:rPr>
          <w:iCs/>
        </w:rPr>
        <w:t>favour</w:t>
      </w:r>
      <w:r w:rsidR="005E6908" w:rsidRPr="00D8075A">
        <w:rPr>
          <w:iCs/>
        </w:rPr>
        <w:t>s</w:t>
      </w:r>
      <w:r w:rsidRPr="00D8075A">
        <w:rPr>
          <w:iCs/>
        </w:rPr>
        <w:t xml:space="preserve"> avelumab </w:t>
      </w:r>
      <w:r w:rsidR="00BD77C8" w:rsidRPr="00D8075A">
        <w:rPr>
          <w:iCs/>
        </w:rPr>
        <w:t xml:space="preserve">because </w:t>
      </w:r>
      <w:r w:rsidRPr="00D8075A">
        <w:rPr>
          <w:iCs/>
        </w:rPr>
        <w:t>more benefits are attributed to avelumab</w:t>
      </w:r>
      <w:r w:rsidR="00BD77C8" w:rsidRPr="00D8075A">
        <w:rPr>
          <w:iCs/>
        </w:rPr>
        <w:t xml:space="preserve"> over </w:t>
      </w:r>
      <w:r w:rsidR="005E6908" w:rsidRPr="00D8075A">
        <w:rPr>
          <w:iCs/>
        </w:rPr>
        <w:t>time</w:t>
      </w:r>
      <w:r w:rsidRPr="00D8075A">
        <w:rPr>
          <w:iCs/>
        </w:rPr>
        <w:t>.</w:t>
      </w:r>
      <w:r w:rsidR="005E6908" w:rsidRPr="00D8075A">
        <w:rPr>
          <w:iCs/>
        </w:rPr>
        <w:t xml:space="preserve"> Further, the ESC noted that the time horizon was the main driver of the ICER.</w:t>
      </w:r>
      <w:r w:rsidRPr="00D8075A">
        <w:rPr>
          <w:iCs/>
        </w:rPr>
        <w:t xml:space="preserve"> </w:t>
      </w:r>
      <w:r w:rsidR="005628CA" w:rsidRPr="00D8075A">
        <w:rPr>
          <w:iCs/>
        </w:rPr>
        <w:t xml:space="preserve">The pre-PBAC response argued that a 7 year time horizon was selected to capture the substantially prolonged survival of avelumab compared with chemotherapy (36% of patients alive at 24 months with avelumab compared with 0% alive at 12 months with chemotherapy). </w:t>
      </w:r>
      <w:r w:rsidRPr="00D8075A">
        <w:t>The PBAC</w:t>
      </w:r>
      <w:r w:rsidR="003434F3" w:rsidRPr="00D8075A">
        <w:t xml:space="preserve"> noted the magnitude of the incremental benefit with avelumab was uncertain given the clinical evidence base</w:t>
      </w:r>
      <w:r w:rsidR="0042014D" w:rsidRPr="00D8075A">
        <w:t>,</w:t>
      </w:r>
      <w:r w:rsidR="003434F3" w:rsidRPr="00D8075A">
        <w:t xml:space="preserve"> and that extrapolation of the trial results further increased the extent of the uncertainty. The PBAC therefore </w:t>
      </w:r>
      <w:r w:rsidR="00606247" w:rsidRPr="00D8075A">
        <w:t xml:space="preserve">considered that a </w:t>
      </w:r>
      <w:r w:rsidRPr="00D8075A">
        <w:t>7</w:t>
      </w:r>
      <w:r w:rsidR="00961168" w:rsidRPr="00D8075A">
        <w:t xml:space="preserve"> </w:t>
      </w:r>
      <w:r w:rsidRPr="00D8075A">
        <w:t xml:space="preserve">year time horizon </w:t>
      </w:r>
      <w:r w:rsidR="00606247" w:rsidRPr="00D8075A">
        <w:t xml:space="preserve">was not </w:t>
      </w:r>
      <w:r w:rsidRPr="00D8075A">
        <w:t xml:space="preserve">appropriate </w:t>
      </w:r>
      <w:r w:rsidR="003434F3" w:rsidRPr="00D8075A">
        <w:t>for the economic model</w:t>
      </w:r>
      <w:r w:rsidR="00606247" w:rsidRPr="00D8075A">
        <w:t xml:space="preserve"> and</w:t>
      </w:r>
      <w:r w:rsidR="003434F3" w:rsidRPr="00D8075A">
        <w:t xml:space="preserve"> that </w:t>
      </w:r>
      <w:r w:rsidR="00606247" w:rsidRPr="00D8075A">
        <w:t>a 5 year time horizon</w:t>
      </w:r>
      <w:r w:rsidR="00CB2037" w:rsidRPr="00D8075A">
        <w:t xml:space="preserve"> </w:t>
      </w:r>
      <w:r w:rsidR="003434F3" w:rsidRPr="00D8075A">
        <w:t>should be used for the base case analysis</w:t>
      </w:r>
      <w:r w:rsidR="009F59B9" w:rsidRPr="00D8075A">
        <w:t>.</w:t>
      </w:r>
      <w:r w:rsidR="00CB2037" w:rsidRPr="00D8075A">
        <w:t xml:space="preserve"> </w:t>
      </w:r>
    </w:p>
    <w:p w:rsidR="00D575EB" w:rsidRPr="00D8075A" w:rsidRDefault="00D575EB" w:rsidP="00C3432B">
      <w:pPr>
        <w:pStyle w:val="ListParagraph"/>
        <w:numPr>
          <w:ilvl w:val="1"/>
          <w:numId w:val="1"/>
        </w:numPr>
        <w:rPr>
          <w:rFonts w:asciiTheme="minorHAnsi" w:eastAsiaTheme="minorHAnsi" w:hAnsiTheme="minorHAnsi" w:cstheme="minorBidi"/>
          <w:snapToGrid/>
          <w:color w:val="000000" w:themeColor="text1"/>
        </w:rPr>
      </w:pPr>
      <w:r w:rsidRPr="00D8075A">
        <w:rPr>
          <w:rFonts w:asciiTheme="minorHAnsi" w:eastAsiaTheme="minorHAnsi" w:hAnsiTheme="minorHAnsi" w:cstheme="minorBidi"/>
          <w:snapToGrid/>
          <w:color w:val="000000" w:themeColor="text1"/>
        </w:rPr>
        <w:t xml:space="preserve">The submission only used fitted parametric functions to estimate the proportion of patients in the progression-free and progressed disease health states. The Kaplan-Meier data were not used directly in the economic model. </w:t>
      </w:r>
      <w:r w:rsidRPr="00D8075A">
        <w:rPr>
          <w:rFonts w:asciiTheme="minorHAnsi" w:eastAsiaTheme="minorHAnsi" w:hAnsiTheme="minorHAnsi" w:cstheme="minorBidi"/>
          <w:snapToGrid/>
        </w:rPr>
        <w:t xml:space="preserve">The PSCR </w:t>
      </w:r>
      <w:r w:rsidR="00C61BD6" w:rsidRPr="00D8075A">
        <w:rPr>
          <w:rFonts w:asciiTheme="minorHAnsi" w:eastAsiaTheme="minorHAnsi" w:hAnsiTheme="minorHAnsi" w:cstheme="minorBidi"/>
          <w:snapToGrid/>
        </w:rPr>
        <w:t>claimed</w:t>
      </w:r>
      <w:r w:rsidRPr="00D8075A">
        <w:rPr>
          <w:rFonts w:asciiTheme="minorHAnsi" w:eastAsiaTheme="minorHAnsi" w:hAnsiTheme="minorHAnsi" w:cstheme="minorBidi"/>
          <w:snapToGrid/>
        </w:rPr>
        <w:t xml:space="preserve"> that using the Kaplan-Meier data instead of the </w:t>
      </w:r>
      <w:r w:rsidR="00154A69" w:rsidRPr="00D8075A">
        <w:rPr>
          <w:rFonts w:asciiTheme="minorHAnsi" w:eastAsiaTheme="minorHAnsi" w:hAnsiTheme="minorHAnsi" w:cstheme="minorBidi"/>
          <w:snapToGrid/>
        </w:rPr>
        <w:t xml:space="preserve">fitted </w:t>
      </w:r>
      <w:r w:rsidRPr="00D8075A">
        <w:rPr>
          <w:rFonts w:asciiTheme="minorHAnsi" w:eastAsiaTheme="minorHAnsi" w:hAnsiTheme="minorHAnsi" w:cstheme="minorBidi"/>
          <w:snapToGrid/>
        </w:rPr>
        <w:t xml:space="preserve">curves until the median duration of follow-up would have little impact on the ICER. </w:t>
      </w:r>
      <w:r w:rsidR="00C61BD6" w:rsidRPr="00D8075A">
        <w:rPr>
          <w:rFonts w:asciiTheme="minorHAnsi" w:eastAsiaTheme="minorHAnsi" w:hAnsiTheme="minorHAnsi" w:cstheme="minorBidi"/>
          <w:snapToGrid/>
        </w:rPr>
        <w:t>T</w:t>
      </w:r>
      <w:r w:rsidRPr="00D8075A">
        <w:rPr>
          <w:rFonts w:asciiTheme="minorHAnsi" w:eastAsiaTheme="minorHAnsi" w:hAnsiTheme="minorHAnsi" w:cstheme="minorBidi"/>
          <w:snapToGrid/>
        </w:rPr>
        <w:t>he ESC noted that there was no justification for not using the preferred PBAC approach of applying the Kaplan-Meier data directly in the model</w:t>
      </w:r>
      <w:r w:rsidR="007B37B5" w:rsidRPr="00D8075A">
        <w:rPr>
          <w:rFonts w:asciiTheme="minorHAnsi" w:eastAsiaTheme="minorHAnsi" w:hAnsiTheme="minorHAnsi" w:cstheme="minorBidi"/>
          <w:snapToGrid/>
        </w:rPr>
        <w:t xml:space="preserve"> followed by extrapolation from median duration of follow up</w:t>
      </w:r>
      <w:r w:rsidRPr="00D8075A">
        <w:rPr>
          <w:rFonts w:asciiTheme="minorHAnsi" w:eastAsiaTheme="minorHAnsi" w:hAnsiTheme="minorHAnsi" w:cstheme="minorBidi"/>
          <w:snapToGrid/>
        </w:rPr>
        <w:t xml:space="preserve">, as the main submission stated that Kaplan-Meier data </w:t>
      </w:r>
      <w:r w:rsidR="00154A69" w:rsidRPr="00D8075A">
        <w:rPr>
          <w:rFonts w:asciiTheme="minorHAnsi" w:eastAsiaTheme="minorHAnsi" w:hAnsiTheme="minorHAnsi" w:cstheme="minorBidi"/>
          <w:snapToGrid/>
        </w:rPr>
        <w:t>are</w:t>
      </w:r>
      <w:r w:rsidRPr="00D8075A">
        <w:rPr>
          <w:rFonts w:asciiTheme="minorHAnsi" w:eastAsiaTheme="minorHAnsi" w:hAnsiTheme="minorHAnsi" w:cstheme="minorBidi"/>
          <w:snapToGrid/>
        </w:rPr>
        <w:t xml:space="preserve"> available for up to 3 years (September 2017 d</w:t>
      </w:r>
      <w:r w:rsidR="00D66808" w:rsidRPr="00D8075A">
        <w:rPr>
          <w:rFonts w:asciiTheme="minorHAnsi" w:eastAsiaTheme="minorHAnsi" w:hAnsiTheme="minorHAnsi" w:cstheme="minorBidi"/>
          <w:snapToGrid/>
        </w:rPr>
        <w:t>ata cut) (avelumab Commentary, July 2018</w:t>
      </w:r>
      <w:r w:rsidRPr="00D8075A">
        <w:rPr>
          <w:rFonts w:asciiTheme="minorHAnsi" w:eastAsiaTheme="minorHAnsi" w:hAnsiTheme="minorHAnsi" w:cstheme="minorBidi"/>
          <w:snapToGrid/>
        </w:rPr>
        <w:t>).</w:t>
      </w:r>
      <w:r w:rsidR="00324421" w:rsidRPr="00D8075A">
        <w:rPr>
          <w:rFonts w:asciiTheme="minorHAnsi" w:eastAsiaTheme="minorHAnsi" w:hAnsiTheme="minorHAnsi" w:cstheme="minorBidi"/>
          <w:snapToGrid/>
        </w:rPr>
        <w:t xml:space="preserve"> </w:t>
      </w:r>
    </w:p>
    <w:p w:rsidR="00653450" w:rsidRPr="00D8075A" w:rsidRDefault="00F45C77" w:rsidP="00C3432B">
      <w:pPr>
        <w:pStyle w:val="ListParagraph"/>
        <w:widowControl/>
        <w:numPr>
          <w:ilvl w:val="1"/>
          <w:numId w:val="1"/>
        </w:numPr>
        <w:rPr>
          <w:rFonts w:asciiTheme="minorHAnsi" w:eastAsiaTheme="minorHAnsi" w:hAnsiTheme="minorHAnsi" w:cstheme="minorBidi"/>
          <w:snapToGrid/>
        </w:rPr>
      </w:pPr>
      <w:r w:rsidRPr="00D8075A">
        <w:t>Duration of treatment with avelumab was based on time on treatment in the JAVELIN Merkel 200 trial, extrapolated using a log-logistic function.</w:t>
      </w:r>
      <w:r w:rsidR="00055CE5" w:rsidRPr="00D8075A">
        <w:rPr>
          <w:rFonts w:asciiTheme="minorHAnsi" w:eastAsiaTheme="minorHAnsi" w:hAnsiTheme="minorHAnsi" w:cstheme="minorBidi"/>
          <w:snapToGrid/>
        </w:rPr>
        <w:t xml:space="preserve"> While t</w:t>
      </w:r>
      <w:r w:rsidR="00F75EA0" w:rsidRPr="00D8075A">
        <w:rPr>
          <w:rFonts w:asciiTheme="minorHAnsi" w:eastAsiaTheme="minorHAnsi" w:hAnsiTheme="minorHAnsi" w:cstheme="minorBidi"/>
          <w:snapToGrid/>
        </w:rPr>
        <w:t xml:space="preserve">he submission assumed the time on treatment did not exceed PFS, </w:t>
      </w:r>
      <w:r w:rsidR="005E6908" w:rsidRPr="00D8075A">
        <w:rPr>
          <w:rFonts w:asciiTheme="minorHAnsi" w:eastAsiaTheme="minorHAnsi" w:hAnsiTheme="minorHAnsi" w:cstheme="minorBidi"/>
          <w:snapToGrid/>
        </w:rPr>
        <w:t xml:space="preserve">the submission also </w:t>
      </w:r>
      <w:r w:rsidR="00B82B3A" w:rsidRPr="00D8075A">
        <w:rPr>
          <w:rFonts w:asciiTheme="minorHAnsi" w:eastAsiaTheme="minorHAnsi" w:hAnsiTheme="minorHAnsi" w:cstheme="minorBidi"/>
          <w:snapToGrid/>
        </w:rPr>
        <w:t>assumed that</w:t>
      </w:r>
      <w:r w:rsidR="00F75EA0" w:rsidRPr="00D8075A">
        <w:rPr>
          <w:rFonts w:asciiTheme="minorHAnsi" w:eastAsiaTheme="minorHAnsi" w:hAnsiTheme="minorHAnsi" w:cstheme="minorBidi"/>
          <w:snapToGrid/>
        </w:rPr>
        <w:t xml:space="preserve"> 5% of patients remain on treatment after two years and continue on treatment until a maximum of five years. However, the requested PBS restriction states that “patient must have stable or responding disease”. It is likely that patients who respond to therapy will have </w:t>
      </w:r>
      <w:proofErr w:type="gramStart"/>
      <w:r w:rsidR="00F75EA0" w:rsidRPr="00D8075A">
        <w:rPr>
          <w:rFonts w:asciiTheme="minorHAnsi" w:eastAsiaTheme="minorHAnsi" w:hAnsiTheme="minorHAnsi" w:cstheme="minorBidi"/>
          <w:snapToGrid/>
        </w:rPr>
        <w:t>an extended</w:t>
      </w:r>
      <w:proofErr w:type="gramEnd"/>
      <w:r w:rsidR="00F75EA0" w:rsidRPr="00D8075A">
        <w:rPr>
          <w:rFonts w:asciiTheme="minorHAnsi" w:eastAsiaTheme="minorHAnsi" w:hAnsiTheme="minorHAnsi" w:cstheme="minorBidi"/>
          <w:snapToGrid/>
        </w:rPr>
        <w:t xml:space="preserve"> treatment duration, given the long tail observed in the PFS Kaplan-Meier curves of the JAVELIN Merkel 200 study. Consequently, treatment costs were likely underestimated in the model. </w:t>
      </w:r>
    </w:p>
    <w:p w:rsidR="00F75EA0" w:rsidRPr="00D8075A" w:rsidRDefault="00653450" w:rsidP="00C3432B">
      <w:pPr>
        <w:pStyle w:val="ListParagraph"/>
        <w:widowControl/>
        <w:numPr>
          <w:ilvl w:val="1"/>
          <w:numId w:val="1"/>
        </w:numPr>
        <w:rPr>
          <w:rFonts w:asciiTheme="minorHAnsi" w:eastAsiaTheme="minorHAnsi" w:hAnsiTheme="minorHAnsi" w:cstheme="minorBidi"/>
          <w:snapToGrid/>
        </w:rPr>
      </w:pPr>
      <w:r w:rsidRPr="00D8075A">
        <w:t>In terms of the proportion of patients expected to remain on treatment, t</w:t>
      </w:r>
      <w:r w:rsidR="00F75EA0" w:rsidRPr="00D8075A">
        <w:rPr>
          <w:rFonts w:asciiTheme="minorHAnsi" w:eastAsiaTheme="minorHAnsi" w:hAnsiTheme="minorHAnsi" w:cstheme="minorBidi"/>
          <w:snapToGrid/>
        </w:rPr>
        <w:t>he PSCR stated that the base case of the model assumed that 5% of patients on avelumab remain on treatment after two years and continue to a maximum of five years.</w:t>
      </w:r>
      <w:r w:rsidR="008A3E1A" w:rsidRPr="00D8075A">
        <w:rPr>
          <w:rFonts w:asciiTheme="minorHAnsi" w:eastAsiaTheme="minorHAnsi" w:hAnsiTheme="minorHAnsi" w:cstheme="minorBidi"/>
          <w:snapToGrid/>
        </w:rPr>
        <w:t xml:space="preserve"> </w:t>
      </w:r>
      <w:r w:rsidR="007B2804" w:rsidRPr="00D8075A">
        <w:rPr>
          <w:rFonts w:asciiTheme="minorHAnsi" w:eastAsiaTheme="minorHAnsi" w:hAnsiTheme="minorHAnsi" w:cstheme="minorBidi"/>
          <w:snapToGrid/>
        </w:rPr>
        <w:t>The PSCR stated</w:t>
      </w:r>
      <w:r w:rsidR="00F75EA0" w:rsidRPr="00D8075A">
        <w:rPr>
          <w:rFonts w:asciiTheme="minorHAnsi" w:eastAsiaTheme="minorHAnsi" w:hAnsiTheme="minorHAnsi" w:cstheme="minorBidi"/>
          <w:snapToGrid/>
        </w:rPr>
        <w:t xml:space="preserve"> </w:t>
      </w:r>
      <w:r w:rsidR="007B2804" w:rsidRPr="00D8075A">
        <w:rPr>
          <w:rFonts w:asciiTheme="minorHAnsi" w:eastAsiaTheme="minorHAnsi" w:hAnsiTheme="minorHAnsi" w:cstheme="minorBidi"/>
          <w:snapToGrid/>
        </w:rPr>
        <w:t>w</w:t>
      </w:r>
      <w:r w:rsidR="00F75EA0" w:rsidRPr="00D8075A">
        <w:rPr>
          <w:rFonts w:asciiTheme="minorHAnsi" w:eastAsiaTheme="minorHAnsi" w:hAnsiTheme="minorHAnsi" w:cstheme="minorBidi"/>
          <w:snapToGrid/>
        </w:rPr>
        <w:t>hen this 5% is increased to 10%, 20%, and 30% the ICER increases from $</w:t>
      </w:r>
      <w:r w:rsidR="006B63A1">
        <w:rPr>
          <w:rFonts w:asciiTheme="minorHAnsi" w:eastAsiaTheme="minorHAnsi" w:hAnsiTheme="minorHAnsi" w:cstheme="minorBidi"/>
          <w:snapToGrid/>
        </w:rPr>
        <w:t>45,000/QALY - $75,000/QALY</w:t>
      </w:r>
      <w:r w:rsidR="00154A69" w:rsidRPr="00D8075A">
        <w:rPr>
          <w:rFonts w:asciiTheme="minorHAnsi" w:eastAsiaTheme="minorHAnsi" w:hAnsiTheme="minorHAnsi" w:cstheme="minorBidi"/>
          <w:snapToGrid/>
        </w:rPr>
        <w:t xml:space="preserve"> gained</w:t>
      </w:r>
      <w:r w:rsidR="00F75EA0" w:rsidRPr="00D8075A">
        <w:rPr>
          <w:rFonts w:asciiTheme="minorHAnsi" w:eastAsiaTheme="minorHAnsi" w:hAnsiTheme="minorHAnsi" w:cstheme="minorBidi"/>
          <w:snapToGrid/>
        </w:rPr>
        <w:t xml:space="preserve"> to $</w:t>
      </w:r>
      <w:r w:rsidR="006B63A1">
        <w:rPr>
          <w:rFonts w:asciiTheme="minorHAnsi" w:eastAsiaTheme="minorHAnsi" w:hAnsiTheme="minorHAnsi" w:cstheme="minorBidi"/>
          <w:snapToGrid/>
        </w:rPr>
        <w:t>45/000/QALY - $75,000/QALY</w:t>
      </w:r>
      <w:r w:rsidR="00F75EA0" w:rsidRPr="00D8075A">
        <w:rPr>
          <w:rFonts w:asciiTheme="minorHAnsi" w:eastAsiaTheme="minorHAnsi" w:hAnsiTheme="minorHAnsi" w:cstheme="minorBidi"/>
          <w:snapToGrid/>
        </w:rPr>
        <w:t xml:space="preserve">. The PSCR acknowledged that although the ICER is sensitive to this model parameter, it was selected to align with the feedback from UK clinicians interviewed that patients are unlikely to want to continue treatment after two years and consistent with the </w:t>
      </w:r>
      <w:r w:rsidR="00F75EA0" w:rsidRPr="00D8075A">
        <w:rPr>
          <w:rFonts w:asciiTheme="minorHAnsi" w:eastAsiaTheme="minorHAnsi" w:hAnsiTheme="minorHAnsi" w:cstheme="minorBidi"/>
          <w:snapToGrid/>
        </w:rPr>
        <w:lastRenderedPageBreak/>
        <w:t xml:space="preserve">responses from Australian clinicians. The ESC considered that this </w:t>
      </w:r>
      <w:r w:rsidR="00154A69" w:rsidRPr="00D8075A">
        <w:rPr>
          <w:rFonts w:asciiTheme="minorHAnsi" w:eastAsiaTheme="minorHAnsi" w:hAnsiTheme="minorHAnsi" w:cstheme="minorBidi"/>
          <w:snapToGrid/>
        </w:rPr>
        <w:t xml:space="preserve">claim </w:t>
      </w:r>
      <w:r w:rsidR="00F75EA0" w:rsidRPr="00D8075A">
        <w:rPr>
          <w:rFonts w:asciiTheme="minorHAnsi" w:eastAsiaTheme="minorHAnsi" w:hAnsiTheme="minorHAnsi" w:cstheme="minorBidi"/>
          <w:snapToGrid/>
        </w:rPr>
        <w:t xml:space="preserve">was uncertain as the results of the Australian clinician survey had a poor response rate. In addition, </w:t>
      </w:r>
      <w:r w:rsidR="00154A69" w:rsidRPr="00D8075A">
        <w:rPr>
          <w:rFonts w:asciiTheme="minorHAnsi" w:eastAsiaTheme="minorHAnsi" w:hAnsiTheme="minorHAnsi" w:cstheme="minorBidi"/>
          <w:snapToGrid/>
        </w:rPr>
        <w:t xml:space="preserve">the ESC noted </w:t>
      </w:r>
      <w:r w:rsidR="00F75EA0" w:rsidRPr="00D8075A">
        <w:rPr>
          <w:rFonts w:asciiTheme="minorHAnsi" w:eastAsiaTheme="minorHAnsi" w:hAnsiTheme="minorHAnsi" w:cstheme="minorBidi"/>
          <w:snapToGrid/>
        </w:rPr>
        <w:t xml:space="preserve">during the evaluation </w:t>
      </w:r>
      <w:r w:rsidR="00C61BD6" w:rsidRPr="00D8075A">
        <w:rPr>
          <w:rFonts w:asciiTheme="minorHAnsi" w:eastAsiaTheme="minorHAnsi" w:hAnsiTheme="minorHAnsi" w:cstheme="minorBidi"/>
          <w:snapToGrid/>
        </w:rPr>
        <w:t xml:space="preserve">more extreme </w:t>
      </w:r>
      <w:r w:rsidR="00F75EA0" w:rsidRPr="00D8075A">
        <w:rPr>
          <w:rFonts w:asciiTheme="minorHAnsi" w:eastAsiaTheme="minorHAnsi" w:hAnsiTheme="minorHAnsi" w:cstheme="minorBidi"/>
          <w:snapToGrid/>
        </w:rPr>
        <w:t>sensitivity analys</w:t>
      </w:r>
      <w:r w:rsidR="00C61BD6" w:rsidRPr="00D8075A">
        <w:rPr>
          <w:rFonts w:asciiTheme="minorHAnsi" w:eastAsiaTheme="minorHAnsi" w:hAnsiTheme="minorHAnsi" w:cstheme="minorBidi"/>
          <w:snapToGrid/>
        </w:rPr>
        <w:t>e</w:t>
      </w:r>
      <w:r w:rsidR="00F75EA0" w:rsidRPr="00D8075A">
        <w:rPr>
          <w:rFonts w:asciiTheme="minorHAnsi" w:eastAsiaTheme="minorHAnsi" w:hAnsiTheme="minorHAnsi" w:cstheme="minorBidi"/>
          <w:snapToGrid/>
        </w:rPr>
        <w:t>s w</w:t>
      </w:r>
      <w:r w:rsidR="00C61BD6" w:rsidRPr="00D8075A">
        <w:rPr>
          <w:rFonts w:asciiTheme="minorHAnsi" w:eastAsiaTheme="minorHAnsi" w:hAnsiTheme="minorHAnsi" w:cstheme="minorBidi"/>
          <w:snapToGrid/>
        </w:rPr>
        <w:t>ere</w:t>
      </w:r>
      <w:r w:rsidR="00F75EA0" w:rsidRPr="00D8075A">
        <w:rPr>
          <w:rFonts w:asciiTheme="minorHAnsi" w:eastAsiaTheme="minorHAnsi" w:hAnsiTheme="minorHAnsi" w:cstheme="minorBidi"/>
          <w:snapToGrid/>
        </w:rPr>
        <w:t xml:space="preserve"> conducted on the proportion of patients expected to remain on treatment after 2 years, and when the 5% is increased to 33%, 50% and 100% the ICER increased from $</w:t>
      </w:r>
      <w:r w:rsidR="006B63A1">
        <w:rPr>
          <w:rFonts w:asciiTheme="minorHAnsi" w:eastAsiaTheme="minorHAnsi" w:hAnsiTheme="minorHAnsi" w:cstheme="minorBidi"/>
          <w:snapToGrid/>
        </w:rPr>
        <w:t>45,000/QALY - $75,000/QALY</w:t>
      </w:r>
      <w:r w:rsidR="00F75EA0" w:rsidRPr="00D8075A">
        <w:rPr>
          <w:rFonts w:asciiTheme="minorHAnsi" w:eastAsiaTheme="minorHAnsi" w:hAnsiTheme="minorHAnsi" w:cstheme="minorBidi"/>
          <w:snapToGrid/>
        </w:rPr>
        <w:t xml:space="preserve"> to $</w:t>
      </w:r>
      <w:r w:rsidR="006B63A1">
        <w:rPr>
          <w:rFonts w:asciiTheme="minorHAnsi" w:eastAsiaTheme="minorHAnsi" w:hAnsiTheme="minorHAnsi" w:cstheme="minorBidi"/>
          <w:snapToGrid/>
        </w:rPr>
        <w:t xml:space="preserve">45,000/QALY - </w:t>
      </w:r>
      <w:r w:rsidR="00EC28F1">
        <w:rPr>
          <w:rFonts w:asciiTheme="minorHAnsi" w:eastAsiaTheme="minorHAnsi" w:hAnsiTheme="minorHAnsi" w:cstheme="minorBidi"/>
          <w:snapToGrid/>
        </w:rPr>
        <w:t>$105,000/QALY</w:t>
      </w:r>
      <w:r w:rsidR="00F75EA0" w:rsidRPr="00D8075A">
        <w:rPr>
          <w:rFonts w:asciiTheme="minorHAnsi" w:eastAsiaTheme="minorHAnsi" w:hAnsiTheme="minorHAnsi" w:cstheme="minorBidi"/>
          <w:snapToGrid/>
        </w:rPr>
        <w:t>.</w:t>
      </w:r>
      <w:r w:rsidR="0099673B" w:rsidRPr="00D8075A">
        <w:rPr>
          <w:rFonts w:asciiTheme="minorHAnsi" w:eastAsiaTheme="minorHAnsi" w:hAnsiTheme="minorHAnsi" w:cstheme="minorBidi"/>
          <w:snapToGrid/>
        </w:rPr>
        <w:t xml:space="preserve"> </w:t>
      </w:r>
    </w:p>
    <w:p w:rsidR="00653450" w:rsidRPr="00D8075A" w:rsidRDefault="00653450" w:rsidP="00C3432B">
      <w:pPr>
        <w:pStyle w:val="ListParagraph"/>
        <w:widowControl/>
        <w:numPr>
          <w:ilvl w:val="1"/>
          <w:numId w:val="1"/>
        </w:numPr>
        <w:rPr>
          <w:rFonts w:asciiTheme="minorHAnsi" w:eastAsiaTheme="minorHAnsi" w:hAnsiTheme="minorHAnsi" w:cstheme="minorBidi"/>
          <w:snapToGrid/>
        </w:rPr>
      </w:pPr>
      <w:r w:rsidRPr="00D8075A">
        <w:rPr>
          <w:rFonts w:asciiTheme="minorHAnsi" w:eastAsiaTheme="minorHAnsi" w:hAnsiTheme="minorHAnsi" w:cstheme="minorBidi"/>
          <w:snapToGrid/>
        </w:rPr>
        <w:t>In terms of time on treatment</w:t>
      </w:r>
      <w:r w:rsidR="00F97218" w:rsidRPr="00D8075A">
        <w:rPr>
          <w:rFonts w:asciiTheme="minorHAnsi" w:eastAsiaTheme="minorHAnsi" w:hAnsiTheme="minorHAnsi" w:cstheme="minorBidi"/>
          <w:snapToGrid/>
        </w:rPr>
        <w:t xml:space="preserve"> (</w:t>
      </w:r>
      <w:proofErr w:type="spellStart"/>
      <w:r w:rsidR="00F97218" w:rsidRPr="00D8075A">
        <w:rPr>
          <w:rFonts w:asciiTheme="minorHAnsi" w:eastAsiaTheme="minorHAnsi" w:hAnsiTheme="minorHAnsi" w:cstheme="minorBidi"/>
          <w:snapToGrid/>
        </w:rPr>
        <w:t>ToT</w:t>
      </w:r>
      <w:proofErr w:type="spellEnd"/>
      <w:r w:rsidR="00F97218" w:rsidRPr="00D8075A">
        <w:rPr>
          <w:rFonts w:asciiTheme="minorHAnsi" w:eastAsiaTheme="minorHAnsi" w:hAnsiTheme="minorHAnsi" w:cstheme="minorBidi"/>
          <w:snapToGrid/>
        </w:rPr>
        <w:t>)</w:t>
      </w:r>
      <w:r w:rsidRPr="00D8075A">
        <w:rPr>
          <w:rFonts w:asciiTheme="minorHAnsi" w:eastAsiaTheme="minorHAnsi" w:hAnsiTheme="minorHAnsi" w:cstheme="minorBidi"/>
          <w:snapToGrid/>
        </w:rPr>
        <w:t>,</w:t>
      </w:r>
      <w:r w:rsidR="00785637" w:rsidRPr="00D8075A">
        <w:rPr>
          <w:rFonts w:asciiTheme="minorHAnsi" w:eastAsiaTheme="minorHAnsi" w:hAnsiTheme="minorHAnsi" w:cstheme="minorBidi"/>
          <w:snapToGrid/>
        </w:rPr>
        <w:t xml:space="preserve"> </w:t>
      </w:r>
      <w:r w:rsidR="00AC7019" w:rsidRPr="00D8075A">
        <w:rPr>
          <w:rFonts w:asciiTheme="minorHAnsi" w:eastAsiaTheme="minorHAnsi" w:hAnsiTheme="minorHAnsi" w:cstheme="minorBidi"/>
          <w:snapToGrid/>
        </w:rPr>
        <w:t>t</w:t>
      </w:r>
      <w:r w:rsidRPr="00D8075A">
        <w:rPr>
          <w:rFonts w:asciiTheme="minorHAnsi" w:eastAsiaTheme="minorHAnsi" w:hAnsiTheme="minorHAnsi" w:cstheme="minorBidi"/>
          <w:snapToGrid/>
        </w:rPr>
        <w:t xml:space="preserve">he PSCR stated that the </w:t>
      </w:r>
      <w:proofErr w:type="spellStart"/>
      <w:r w:rsidR="00F97218" w:rsidRPr="00D8075A">
        <w:rPr>
          <w:rFonts w:asciiTheme="minorHAnsi" w:eastAsiaTheme="minorHAnsi" w:hAnsiTheme="minorHAnsi" w:cstheme="minorBidi"/>
          <w:snapToGrid/>
        </w:rPr>
        <w:t>ToT</w:t>
      </w:r>
      <w:proofErr w:type="spellEnd"/>
      <w:r w:rsidR="00F97218" w:rsidRPr="00D8075A">
        <w:rPr>
          <w:rFonts w:asciiTheme="minorHAnsi" w:eastAsiaTheme="minorHAnsi" w:hAnsiTheme="minorHAnsi" w:cstheme="minorBidi"/>
          <w:snapToGrid/>
        </w:rPr>
        <w:t xml:space="preserve"> </w:t>
      </w:r>
      <w:r w:rsidRPr="00D8075A">
        <w:rPr>
          <w:rFonts w:asciiTheme="minorHAnsi" w:eastAsiaTheme="minorHAnsi" w:hAnsiTheme="minorHAnsi" w:cstheme="minorBidi"/>
          <w:snapToGrid/>
        </w:rPr>
        <w:t>in the model was assumed to not exceed PFS to align with the requested restriction of avelumab, resulting in an ICER of $</w:t>
      </w:r>
      <w:r w:rsidR="00EC28F1">
        <w:rPr>
          <w:rFonts w:asciiTheme="minorHAnsi" w:eastAsiaTheme="minorHAnsi" w:hAnsiTheme="minorHAnsi" w:cstheme="minorBidi"/>
          <w:snapToGrid/>
        </w:rPr>
        <w:t>45,000/QALY - $75,000/QALY.</w:t>
      </w:r>
      <w:r w:rsidRPr="00D8075A">
        <w:rPr>
          <w:rFonts w:asciiTheme="minorHAnsi" w:eastAsiaTheme="minorHAnsi" w:hAnsiTheme="minorHAnsi" w:cstheme="minorBidi"/>
          <w:snapToGrid/>
        </w:rPr>
        <w:t xml:space="preserve"> The PSCR stated that when </w:t>
      </w:r>
      <w:proofErr w:type="spellStart"/>
      <w:r w:rsidRPr="00D8075A">
        <w:rPr>
          <w:rFonts w:asciiTheme="minorHAnsi" w:eastAsiaTheme="minorHAnsi" w:hAnsiTheme="minorHAnsi" w:cstheme="minorBidi"/>
          <w:snapToGrid/>
        </w:rPr>
        <w:t>ToT</w:t>
      </w:r>
      <w:proofErr w:type="spellEnd"/>
      <w:r w:rsidRPr="00D8075A">
        <w:rPr>
          <w:rFonts w:asciiTheme="minorHAnsi" w:eastAsiaTheme="minorHAnsi" w:hAnsiTheme="minorHAnsi" w:cstheme="minorBidi"/>
          <w:snapToGrid/>
        </w:rPr>
        <w:t xml:space="preserve"> is allowed to exceed PFS, the ICER increases marginally </w:t>
      </w:r>
      <w:r w:rsidR="00EC28F1">
        <w:rPr>
          <w:rFonts w:asciiTheme="minorHAnsi" w:eastAsiaTheme="minorHAnsi" w:hAnsiTheme="minorHAnsi" w:cstheme="minorBidi"/>
          <w:snapToGrid/>
        </w:rPr>
        <w:t>to</w:t>
      </w:r>
      <w:r w:rsidR="00EC28F1" w:rsidRPr="00D8075A">
        <w:rPr>
          <w:rFonts w:asciiTheme="minorHAnsi" w:eastAsiaTheme="minorHAnsi" w:hAnsiTheme="minorHAnsi" w:cstheme="minorBidi"/>
          <w:snapToGrid/>
        </w:rPr>
        <w:t xml:space="preserve"> </w:t>
      </w:r>
      <w:r w:rsidRPr="00D8075A">
        <w:rPr>
          <w:rFonts w:asciiTheme="minorHAnsi" w:eastAsiaTheme="minorHAnsi" w:hAnsiTheme="minorHAnsi" w:cstheme="minorBidi"/>
          <w:snapToGrid/>
        </w:rPr>
        <w:t>$</w:t>
      </w:r>
      <w:r w:rsidR="00EC28F1">
        <w:rPr>
          <w:rFonts w:asciiTheme="minorHAnsi" w:eastAsiaTheme="minorHAnsi" w:hAnsiTheme="minorHAnsi" w:cstheme="minorBidi"/>
          <w:snapToGrid/>
        </w:rPr>
        <w:t>45,000/QALY - $75,000/QALY</w:t>
      </w:r>
      <w:r w:rsidRPr="00D8075A">
        <w:rPr>
          <w:rFonts w:asciiTheme="minorHAnsi" w:eastAsiaTheme="minorHAnsi" w:hAnsiTheme="minorHAnsi" w:cstheme="minorBidi"/>
          <w:snapToGrid/>
        </w:rPr>
        <w:t xml:space="preserve">. </w:t>
      </w:r>
      <w:r w:rsidR="00937E3E" w:rsidRPr="00D8075A">
        <w:rPr>
          <w:rFonts w:asciiTheme="minorHAnsi" w:eastAsiaTheme="minorHAnsi" w:hAnsiTheme="minorHAnsi" w:cstheme="minorBidi"/>
          <w:snapToGrid/>
        </w:rPr>
        <w:t>The ESC noted the assumptions for this analysis were not provided (</w:t>
      </w:r>
      <w:r w:rsidR="00154A69" w:rsidRPr="00D8075A">
        <w:rPr>
          <w:rFonts w:asciiTheme="minorHAnsi" w:eastAsiaTheme="minorHAnsi" w:hAnsiTheme="minorHAnsi" w:cstheme="minorBidi"/>
          <w:snapToGrid/>
        </w:rPr>
        <w:t xml:space="preserve">including </w:t>
      </w:r>
      <w:r w:rsidR="00937E3E" w:rsidRPr="00D8075A">
        <w:rPr>
          <w:rFonts w:asciiTheme="minorHAnsi" w:eastAsiaTheme="minorHAnsi" w:hAnsiTheme="minorHAnsi" w:cstheme="minorBidi"/>
          <w:snapToGrid/>
        </w:rPr>
        <w:t>the extent</w:t>
      </w:r>
      <w:r w:rsidRPr="00D8075A">
        <w:rPr>
          <w:rFonts w:asciiTheme="minorHAnsi" w:eastAsiaTheme="minorHAnsi" w:hAnsiTheme="minorHAnsi" w:cstheme="minorBidi"/>
          <w:snapToGrid/>
        </w:rPr>
        <w:t xml:space="preserve"> that </w:t>
      </w:r>
      <w:proofErr w:type="spellStart"/>
      <w:r w:rsidRPr="00D8075A">
        <w:rPr>
          <w:rFonts w:asciiTheme="minorHAnsi" w:eastAsiaTheme="minorHAnsi" w:hAnsiTheme="minorHAnsi" w:cstheme="minorBidi"/>
          <w:snapToGrid/>
        </w:rPr>
        <w:t>ToT</w:t>
      </w:r>
      <w:proofErr w:type="spellEnd"/>
      <w:r w:rsidRPr="00D8075A">
        <w:rPr>
          <w:rFonts w:asciiTheme="minorHAnsi" w:eastAsiaTheme="minorHAnsi" w:hAnsiTheme="minorHAnsi" w:cstheme="minorBidi"/>
          <w:snapToGrid/>
        </w:rPr>
        <w:t xml:space="preserve"> </w:t>
      </w:r>
      <w:r w:rsidR="00937E3E" w:rsidRPr="00D8075A">
        <w:rPr>
          <w:rFonts w:asciiTheme="minorHAnsi" w:eastAsiaTheme="minorHAnsi" w:hAnsiTheme="minorHAnsi" w:cstheme="minorBidi"/>
          <w:snapToGrid/>
        </w:rPr>
        <w:t xml:space="preserve">is assumed to </w:t>
      </w:r>
      <w:r w:rsidRPr="00D8075A">
        <w:rPr>
          <w:rFonts w:asciiTheme="minorHAnsi" w:eastAsiaTheme="minorHAnsi" w:hAnsiTheme="minorHAnsi" w:cstheme="minorBidi"/>
          <w:snapToGrid/>
        </w:rPr>
        <w:t>exceed PFS by</w:t>
      </w:r>
      <w:r w:rsidR="00937E3E" w:rsidRPr="00D8075A">
        <w:rPr>
          <w:rFonts w:asciiTheme="minorHAnsi" w:eastAsiaTheme="minorHAnsi" w:hAnsiTheme="minorHAnsi" w:cstheme="minorBidi"/>
          <w:snapToGrid/>
        </w:rPr>
        <w:t>)</w:t>
      </w:r>
      <w:r w:rsidR="00B2019F" w:rsidRPr="00D8075A">
        <w:rPr>
          <w:rFonts w:asciiTheme="minorHAnsi" w:eastAsiaTheme="minorHAnsi" w:hAnsiTheme="minorHAnsi" w:cstheme="minorBidi"/>
          <w:snapToGrid/>
        </w:rPr>
        <w:t>.</w:t>
      </w:r>
      <w:r w:rsidRPr="00D8075A">
        <w:rPr>
          <w:rFonts w:asciiTheme="minorHAnsi" w:eastAsiaTheme="minorHAnsi" w:hAnsiTheme="minorHAnsi" w:cstheme="minorBidi"/>
          <w:snapToGrid/>
        </w:rPr>
        <w:t xml:space="preserve"> </w:t>
      </w:r>
      <w:r w:rsidR="00AC7019" w:rsidRPr="00D8075A">
        <w:rPr>
          <w:rFonts w:asciiTheme="minorHAnsi" w:eastAsiaTheme="minorHAnsi" w:hAnsiTheme="minorHAnsi" w:cstheme="minorBidi"/>
          <w:snapToGrid/>
        </w:rPr>
        <w:t xml:space="preserve">The submission proposed </w:t>
      </w:r>
      <w:proofErr w:type="gramStart"/>
      <w:r w:rsidR="00AC7019" w:rsidRPr="00D8075A">
        <w:rPr>
          <w:rFonts w:asciiTheme="minorHAnsi" w:eastAsiaTheme="minorHAnsi" w:hAnsiTheme="minorHAnsi" w:cstheme="minorBidi"/>
          <w:snapToGrid/>
        </w:rPr>
        <w:t>a maximum</w:t>
      </w:r>
      <w:proofErr w:type="gramEnd"/>
      <w:r w:rsidR="00AC7019" w:rsidRPr="00D8075A">
        <w:rPr>
          <w:rFonts w:asciiTheme="minorHAnsi" w:eastAsiaTheme="minorHAnsi" w:hAnsiTheme="minorHAnsi" w:cstheme="minorBidi"/>
          <w:snapToGrid/>
        </w:rPr>
        <w:t xml:space="preserve"> expected treatment duration of 5 years. The ESC </w:t>
      </w:r>
      <w:r w:rsidR="00A0515F" w:rsidRPr="00D8075A">
        <w:rPr>
          <w:rFonts w:asciiTheme="minorHAnsi" w:eastAsiaTheme="minorHAnsi" w:hAnsiTheme="minorHAnsi" w:cstheme="minorBidi"/>
          <w:snapToGrid/>
        </w:rPr>
        <w:t xml:space="preserve">considered that </w:t>
      </w:r>
      <w:r w:rsidR="00F228EE" w:rsidRPr="00D8075A">
        <w:rPr>
          <w:rFonts w:asciiTheme="minorHAnsi" w:eastAsiaTheme="minorHAnsi" w:hAnsiTheme="minorHAnsi" w:cstheme="minorBidi"/>
          <w:snapToGrid/>
        </w:rPr>
        <w:t xml:space="preserve">this cap on </w:t>
      </w:r>
      <w:proofErr w:type="spellStart"/>
      <w:r w:rsidR="00F228EE" w:rsidRPr="00D8075A">
        <w:rPr>
          <w:rFonts w:asciiTheme="minorHAnsi" w:eastAsiaTheme="minorHAnsi" w:hAnsiTheme="minorHAnsi" w:cstheme="minorBidi"/>
          <w:snapToGrid/>
        </w:rPr>
        <w:t>ToT</w:t>
      </w:r>
      <w:proofErr w:type="spellEnd"/>
      <w:r w:rsidR="00F228EE" w:rsidRPr="00D8075A">
        <w:rPr>
          <w:rFonts w:asciiTheme="minorHAnsi" w:eastAsiaTheme="minorHAnsi" w:hAnsiTheme="minorHAnsi" w:cstheme="minorBidi"/>
          <w:snapToGrid/>
        </w:rPr>
        <w:t xml:space="preserve"> was uncertain and not justified by the submission. Further, ESC noted that the model was sensitive to </w:t>
      </w:r>
      <w:r w:rsidR="000432FE" w:rsidRPr="00D8075A">
        <w:rPr>
          <w:rFonts w:asciiTheme="minorHAnsi" w:eastAsiaTheme="minorHAnsi" w:hAnsiTheme="minorHAnsi" w:cstheme="minorBidi"/>
          <w:snapToGrid/>
        </w:rPr>
        <w:t>the time</w:t>
      </w:r>
      <w:r w:rsidR="00A0515F" w:rsidRPr="00D8075A">
        <w:rPr>
          <w:rFonts w:asciiTheme="minorHAnsi" w:eastAsiaTheme="minorHAnsi" w:hAnsiTheme="minorHAnsi" w:cstheme="minorBidi"/>
          <w:snapToGrid/>
        </w:rPr>
        <w:t xml:space="preserve"> point chosen</w:t>
      </w:r>
      <w:r w:rsidR="00F228EE" w:rsidRPr="00D8075A">
        <w:rPr>
          <w:rFonts w:asciiTheme="minorHAnsi" w:eastAsiaTheme="minorHAnsi" w:hAnsiTheme="minorHAnsi" w:cstheme="minorBidi"/>
          <w:snapToGrid/>
        </w:rPr>
        <w:t>.</w:t>
      </w:r>
      <w:r w:rsidR="0020486E" w:rsidRPr="00D8075A">
        <w:rPr>
          <w:rFonts w:asciiTheme="minorHAnsi" w:eastAsiaTheme="minorHAnsi" w:hAnsiTheme="minorHAnsi" w:cstheme="minorBidi"/>
          <w:snapToGrid/>
        </w:rPr>
        <w:t xml:space="preserve"> Overall, the ESC </w:t>
      </w:r>
      <w:r w:rsidR="00F228EE" w:rsidRPr="00D8075A">
        <w:rPr>
          <w:rFonts w:asciiTheme="minorHAnsi" w:eastAsiaTheme="minorHAnsi" w:hAnsiTheme="minorHAnsi" w:cstheme="minorBidi"/>
          <w:snapToGrid/>
        </w:rPr>
        <w:t>remained</w:t>
      </w:r>
      <w:r w:rsidR="0020486E" w:rsidRPr="00D8075A">
        <w:rPr>
          <w:rFonts w:asciiTheme="minorHAnsi" w:eastAsiaTheme="minorHAnsi" w:hAnsiTheme="minorHAnsi" w:cstheme="minorBidi"/>
          <w:snapToGrid/>
        </w:rPr>
        <w:t xml:space="preserve"> uncertain with</w:t>
      </w:r>
      <w:r w:rsidR="00F228EE" w:rsidRPr="00D8075A">
        <w:rPr>
          <w:rFonts w:asciiTheme="minorHAnsi" w:eastAsiaTheme="minorHAnsi" w:hAnsiTheme="minorHAnsi" w:cstheme="minorBidi"/>
          <w:snapToGrid/>
        </w:rPr>
        <w:t xml:space="preserve"> regards to</w:t>
      </w:r>
      <w:r w:rsidR="0020486E" w:rsidRPr="00D8075A">
        <w:rPr>
          <w:rFonts w:asciiTheme="minorHAnsi" w:eastAsiaTheme="minorHAnsi" w:hAnsiTheme="minorHAnsi" w:cstheme="minorBidi"/>
          <w:snapToGrid/>
        </w:rPr>
        <w:t xml:space="preserve"> the </w:t>
      </w:r>
      <w:proofErr w:type="spellStart"/>
      <w:r w:rsidR="0020486E" w:rsidRPr="00D8075A">
        <w:rPr>
          <w:rFonts w:asciiTheme="minorHAnsi" w:eastAsiaTheme="minorHAnsi" w:hAnsiTheme="minorHAnsi" w:cstheme="minorBidi"/>
          <w:snapToGrid/>
        </w:rPr>
        <w:t>ToT</w:t>
      </w:r>
      <w:proofErr w:type="spellEnd"/>
      <w:r w:rsidR="0020486E" w:rsidRPr="00D8075A">
        <w:rPr>
          <w:rFonts w:asciiTheme="minorHAnsi" w:eastAsiaTheme="minorHAnsi" w:hAnsiTheme="minorHAnsi" w:cstheme="minorBidi"/>
          <w:snapToGrid/>
        </w:rPr>
        <w:t xml:space="preserve"> and maximum </w:t>
      </w:r>
      <w:r w:rsidR="007F3B29" w:rsidRPr="00D8075A">
        <w:rPr>
          <w:rFonts w:asciiTheme="minorHAnsi" w:eastAsiaTheme="minorHAnsi" w:hAnsiTheme="minorHAnsi" w:cstheme="minorBidi"/>
          <w:snapToGrid/>
        </w:rPr>
        <w:t>treatment</w:t>
      </w:r>
      <w:r w:rsidR="005C53A0" w:rsidRPr="00D8075A">
        <w:rPr>
          <w:rFonts w:asciiTheme="minorHAnsi" w:eastAsiaTheme="minorHAnsi" w:hAnsiTheme="minorHAnsi" w:cstheme="minorBidi"/>
          <w:snapToGrid/>
        </w:rPr>
        <w:t xml:space="preserve"> duration</w:t>
      </w:r>
      <w:r w:rsidR="007F3B29" w:rsidRPr="00D8075A">
        <w:rPr>
          <w:rFonts w:asciiTheme="minorHAnsi" w:eastAsiaTheme="minorHAnsi" w:hAnsiTheme="minorHAnsi" w:cstheme="minorBidi"/>
          <w:snapToGrid/>
        </w:rPr>
        <w:t>.</w:t>
      </w:r>
      <w:r w:rsidR="00D119F9" w:rsidRPr="00D8075A">
        <w:rPr>
          <w:rFonts w:asciiTheme="minorHAnsi" w:eastAsiaTheme="minorHAnsi" w:hAnsiTheme="minorHAnsi" w:cstheme="minorBidi"/>
          <w:snapToGrid/>
        </w:rPr>
        <w:t xml:space="preserve"> </w:t>
      </w:r>
      <w:r w:rsidR="009A5BEF" w:rsidRPr="00D8075A">
        <w:rPr>
          <w:rFonts w:asciiTheme="minorHAnsi" w:eastAsiaTheme="minorHAnsi" w:hAnsiTheme="minorHAnsi" w:cstheme="minorBidi"/>
          <w:snapToGrid/>
        </w:rPr>
        <w:t xml:space="preserve">The PBAC agreed with the ESC that the </w:t>
      </w:r>
      <w:proofErr w:type="spellStart"/>
      <w:r w:rsidR="009A5BEF" w:rsidRPr="00D8075A">
        <w:rPr>
          <w:rFonts w:asciiTheme="minorHAnsi" w:eastAsiaTheme="minorHAnsi" w:hAnsiTheme="minorHAnsi" w:cstheme="minorBidi"/>
          <w:snapToGrid/>
        </w:rPr>
        <w:t>ToT</w:t>
      </w:r>
      <w:proofErr w:type="spellEnd"/>
      <w:r w:rsidR="009A5BEF" w:rsidRPr="00D8075A">
        <w:rPr>
          <w:rFonts w:asciiTheme="minorHAnsi" w:eastAsiaTheme="minorHAnsi" w:hAnsiTheme="minorHAnsi" w:cstheme="minorBidi"/>
          <w:snapToGrid/>
        </w:rPr>
        <w:t xml:space="preserve"> was uncertain, noting that for those patients with a durable response, treatment </w:t>
      </w:r>
      <w:r w:rsidR="00154A69" w:rsidRPr="00D8075A">
        <w:rPr>
          <w:rFonts w:asciiTheme="minorHAnsi" w:eastAsiaTheme="minorHAnsi" w:hAnsiTheme="minorHAnsi" w:cstheme="minorBidi"/>
          <w:snapToGrid/>
        </w:rPr>
        <w:t>may</w:t>
      </w:r>
      <w:r w:rsidR="009A5BEF" w:rsidRPr="00D8075A">
        <w:rPr>
          <w:rFonts w:asciiTheme="minorHAnsi" w:eastAsiaTheme="minorHAnsi" w:hAnsiTheme="minorHAnsi" w:cstheme="minorBidi"/>
          <w:snapToGrid/>
        </w:rPr>
        <w:t xml:space="preserve"> be longer than that used in the model. In particular, the PBAC considered that </w:t>
      </w:r>
      <w:r w:rsidR="00F51F15" w:rsidRPr="00D8075A">
        <w:rPr>
          <w:rFonts w:asciiTheme="minorHAnsi" w:eastAsiaTheme="minorHAnsi" w:hAnsiTheme="minorHAnsi" w:cstheme="minorBidi"/>
          <w:snapToGrid/>
        </w:rPr>
        <w:t>the average</w:t>
      </w:r>
      <w:r w:rsidR="009A5BEF" w:rsidRPr="00D8075A">
        <w:rPr>
          <w:rFonts w:asciiTheme="minorHAnsi" w:eastAsiaTheme="minorHAnsi" w:hAnsiTheme="minorHAnsi" w:cstheme="minorBidi"/>
          <w:snapToGrid/>
        </w:rPr>
        <w:t xml:space="preserve"> treatment </w:t>
      </w:r>
      <w:r w:rsidR="00F51F15" w:rsidRPr="00D8075A">
        <w:rPr>
          <w:rFonts w:asciiTheme="minorHAnsi" w:eastAsiaTheme="minorHAnsi" w:hAnsiTheme="minorHAnsi" w:cstheme="minorBidi"/>
          <w:snapToGrid/>
        </w:rPr>
        <w:t xml:space="preserve">duration would be </w:t>
      </w:r>
      <w:r w:rsidR="009A5BEF" w:rsidRPr="00D8075A">
        <w:rPr>
          <w:rFonts w:asciiTheme="minorHAnsi" w:eastAsiaTheme="minorHAnsi" w:hAnsiTheme="minorHAnsi" w:cstheme="minorBidi"/>
          <w:snapToGrid/>
        </w:rPr>
        <w:t xml:space="preserve">longer in clinical practice with a </w:t>
      </w:r>
      <w:r w:rsidR="00F51F15" w:rsidRPr="00D8075A">
        <w:rPr>
          <w:rFonts w:asciiTheme="minorHAnsi" w:eastAsiaTheme="minorHAnsi" w:hAnsiTheme="minorHAnsi" w:cstheme="minorBidi"/>
          <w:snapToGrid/>
        </w:rPr>
        <w:t xml:space="preserve">listing agnostic to treatment </w:t>
      </w:r>
      <w:r w:rsidR="009A5BEF" w:rsidRPr="00D8075A">
        <w:rPr>
          <w:rFonts w:asciiTheme="minorHAnsi" w:eastAsiaTheme="minorHAnsi" w:hAnsiTheme="minorHAnsi" w:cstheme="minorBidi"/>
          <w:snapToGrid/>
        </w:rPr>
        <w:t xml:space="preserve">line. The PBAC noted the advice from the clinician at the sponsor hearing that </w:t>
      </w:r>
      <w:r w:rsidR="008B3A82" w:rsidRPr="00D8075A">
        <w:rPr>
          <w:rFonts w:asciiTheme="minorHAnsi" w:eastAsiaTheme="minorHAnsi" w:hAnsiTheme="minorHAnsi" w:cstheme="minorBidi"/>
          <w:snapToGrid/>
        </w:rPr>
        <w:t xml:space="preserve">the ideal approach is to treat patients </w:t>
      </w:r>
      <w:r w:rsidR="008B3A82" w:rsidRPr="00D8075A">
        <w:rPr>
          <w:rFonts w:asciiTheme="minorHAnsi" w:hAnsiTheme="minorHAnsi"/>
          <w:bCs/>
        </w:rPr>
        <w:t xml:space="preserve">beyond 1 year up to about 2 years, as there </w:t>
      </w:r>
      <w:r w:rsidR="008B3A82" w:rsidRPr="00D8075A">
        <w:rPr>
          <w:rFonts w:cs="Calibri"/>
          <w:snapToGrid/>
          <w:szCs w:val="24"/>
          <w:lang w:eastAsia="en-AU"/>
        </w:rPr>
        <w:t>is a</w:t>
      </w:r>
      <w:r w:rsidR="008279C3" w:rsidRPr="00D8075A">
        <w:rPr>
          <w:rFonts w:cs="Calibri"/>
          <w:snapToGrid/>
          <w:szCs w:val="24"/>
          <w:lang w:eastAsia="en-AU"/>
        </w:rPr>
        <w:t xml:space="preserve"> deepening of response </w:t>
      </w:r>
      <w:r w:rsidR="009A5BEF" w:rsidRPr="00D8075A">
        <w:rPr>
          <w:rFonts w:cs="Calibri"/>
          <w:snapToGrid/>
          <w:szCs w:val="24"/>
          <w:lang w:eastAsia="en-AU"/>
        </w:rPr>
        <w:t>over 1 - 1.5 years.</w:t>
      </w:r>
      <w:r w:rsidR="008B3A82" w:rsidRPr="00D8075A">
        <w:rPr>
          <w:rFonts w:cs="Calibri"/>
          <w:snapToGrid/>
          <w:szCs w:val="24"/>
          <w:lang w:eastAsia="en-AU"/>
        </w:rPr>
        <w:t xml:space="preserve"> In the pre-PBAC </w:t>
      </w:r>
      <w:proofErr w:type="gramStart"/>
      <w:r w:rsidR="008B3A82" w:rsidRPr="00D8075A">
        <w:rPr>
          <w:rFonts w:cs="Calibri"/>
          <w:snapToGrid/>
          <w:szCs w:val="24"/>
          <w:lang w:eastAsia="en-AU"/>
        </w:rPr>
        <w:t>response ,</w:t>
      </w:r>
      <w:proofErr w:type="gramEnd"/>
      <w:r w:rsidR="008B3A82" w:rsidRPr="00D8075A">
        <w:rPr>
          <w:rFonts w:cs="Calibri"/>
          <w:snapToGrid/>
          <w:szCs w:val="24"/>
          <w:lang w:eastAsia="en-AU"/>
        </w:rPr>
        <w:t xml:space="preserve"> the sponsor acknowledged that there is uncertainty around the future treatment duration in the Australian setting, but argued that this uncertainty coul</w:t>
      </w:r>
      <w:r w:rsidR="008279C3" w:rsidRPr="00D8075A">
        <w:rPr>
          <w:rFonts w:cs="Calibri"/>
          <w:snapToGrid/>
          <w:szCs w:val="24"/>
          <w:lang w:eastAsia="en-AU"/>
        </w:rPr>
        <w:t>d be addressed through a RSA.</w:t>
      </w:r>
    </w:p>
    <w:p w:rsidR="005A0B30" w:rsidRPr="00D8075A" w:rsidRDefault="005A0B30" w:rsidP="001A23F8">
      <w:pPr>
        <w:pStyle w:val="ListParagraph"/>
        <w:numPr>
          <w:ilvl w:val="1"/>
          <w:numId w:val="1"/>
        </w:numPr>
        <w:rPr>
          <w:rFonts w:asciiTheme="minorHAnsi" w:eastAsiaTheme="minorHAnsi" w:hAnsiTheme="minorHAnsi" w:cstheme="minorBidi"/>
          <w:snapToGrid/>
          <w:color w:val="000000" w:themeColor="text1"/>
        </w:rPr>
      </w:pPr>
      <w:r w:rsidRPr="00D8075A">
        <w:rPr>
          <w:rFonts w:asciiTheme="minorHAnsi" w:eastAsiaTheme="minorHAnsi" w:hAnsiTheme="minorHAnsi" w:cstheme="minorBidi"/>
          <w:snapToGrid/>
          <w:color w:val="000000" w:themeColor="text1"/>
        </w:rPr>
        <w:t xml:space="preserve">Costs associated with best supportive care (BSC) and subsequent therapies were not included in the economic model. Patients on avelumab may receive more </w:t>
      </w:r>
      <w:proofErr w:type="gramStart"/>
      <w:r w:rsidRPr="00D8075A">
        <w:rPr>
          <w:rFonts w:asciiTheme="minorHAnsi" w:eastAsiaTheme="minorHAnsi" w:hAnsiTheme="minorHAnsi" w:cstheme="minorBidi"/>
          <w:snapToGrid/>
          <w:color w:val="000000" w:themeColor="text1"/>
        </w:rPr>
        <w:t>healthcare</w:t>
      </w:r>
      <w:proofErr w:type="gramEnd"/>
      <w:r w:rsidRPr="00D8075A">
        <w:rPr>
          <w:rFonts w:asciiTheme="minorHAnsi" w:eastAsiaTheme="minorHAnsi" w:hAnsiTheme="minorHAnsi" w:cstheme="minorBidi"/>
          <w:snapToGrid/>
          <w:color w:val="000000" w:themeColor="text1"/>
        </w:rPr>
        <w:t xml:space="preserve"> (BSC and subsequent therapies) due to improved survival. Consequently, treatment costs are likely to be higher for avelumab. This approach most likely favours avelumab. The PSCR stated that to include costs associated with BSC and subsequent therapies in the economic model for patients on avelumab would possibly double count medical resource use. The PSCR </w:t>
      </w:r>
      <w:r w:rsidR="00FC7037" w:rsidRPr="00D8075A">
        <w:rPr>
          <w:rFonts w:asciiTheme="minorHAnsi" w:eastAsiaTheme="minorHAnsi" w:hAnsiTheme="minorHAnsi" w:cstheme="minorBidi"/>
          <w:snapToGrid/>
          <w:color w:val="000000" w:themeColor="text1"/>
        </w:rPr>
        <w:t xml:space="preserve">also </w:t>
      </w:r>
      <w:r w:rsidRPr="00D8075A">
        <w:rPr>
          <w:rFonts w:asciiTheme="minorHAnsi" w:eastAsiaTheme="minorHAnsi" w:hAnsiTheme="minorHAnsi" w:cstheme="minorBidi"/>
          <w:snapToGrid/>
          <w:color w:val="000000" w:themeColor="text1"/>
        </w:rPr>
        <w:t>stated that if a conservative assumption was made that increases the cost of medical resource use for all treatments in the post-progression health states by a factor as large as 10 ($</w:t>
      </w:r>
      <w:r w:rsidR="00E43539">
        <w:rPr>
          <w:rFonts w:asciiTheme="minorHAnsi" w:eastAsiaTheme="minorHAnsi" w:hAnsiTheme="minorHAnsi" w:cstheme="minorBidi"/>
          <w:noProof/>
          <w:snapToGrid/>
          <w:color w:val="000000"/>
          <w:highlight w:val="black"/>
        </w:rPr>
        <w:t>'''''''''</w:t>
      </w:r>
      <w:r w:rsidRPr="00D8075A">
        <w:rPr>
          <w:rFonts w:asciiTheme="minorHAnsi" w:eastAsiaTheme="minorHAnsi" w:hAnsiTheme="minorHAnsi" w:cstheme="minorBidi"/>
          <w:snapToGrid/>
          <w:color w:val="000000" w:themeColor="text1"/>
        </w:rPr>
        <w:t xml:space="preserve"> to $</w:t>
      </w:r>
      <w:r w:rsidR="00E43539">
        <w:rPr>
          <w:rFonts w:asciiTheme="minorHAnsi" w:eastAsiaTheme="minorHAnsi" w:hAnsiTheme="minorHAnsi" w:cstheme="minorBidi"/>
          <w:noProof/>
          <w:snapToGrid/>
          <w:color w:val="000000"/>
          <w:highlight w:val="black"/>
        </w:rPr>
        <w:t>''''''''''''</w:t>
      </w:r>
      <w:r w:rsidRPr="00D8075A">
        <w:rPr>
          <w:rFonts w:asciiTheme="minorHAnsi" w:eastAsiaTheme="minorHAnsi" w:hAnsiTheme="minorHAnsi" w:cstheme="minorBidi"/>
          <w:snapToGrid/>
          <w:color w:val="000000" w:themeColor="text1"/>
        </w:rPr>
        <w:t>) the ICER increases marginally from $</w:t>
      </w:r>
      <w:r w:rsidR="001A23F8" w:rsidRPr="001A23F8">
        <w:rPr>
          <w:rFonts w:asciiTheme="minorHAnsi" w:eastAsiaTheme="minorHAnsi" w:hAnsiTheme="minorHAnsi" w:cstheme="minorBidi"/>
          <w:snapToGrid/>
          <w:color w:val="000000" w:themeColor="text1"/>
        </w:rPr>
        <w:t>45,000/QALY - $75,000/QALY</w:t>
      </w:r>
      <w:r w:rsidR="001A23F8" w:rsidRPr="001A23F8" w:rsidDel="001A23F8">
        <w:rPr>
          <w:rFonts w:asciiTheme="minorHAnsi" w:eastAsiaTheme="minorHAnsi" w:hAnsiTheme="minorHAnsi" w:cstheme="minorBidi"/>
          <w:snapToGrid/>
          <w:color w:val="000000" w:themeColor="text1"/>
        </w:rPr>
        <w:t xml:space="preserve"> </w:t>
      </w:r>
      <w:r w:rsidRPr="00D8075A">
        <w:rPr>
          <w:rFonts w:asciiTheme="minorHAnsi" w:eastAsiaTheme="minorHAnsi" w:hAnsiTheme="minorHAnsi" w:cstheme="minorBidi"/>
          <w:snapToGrid/>
          <w:color w:val="000000" w:themeColor="text1"/>
        </w:rPr>
        <w:t>to $</w:t>
      </w:r>
      <w:r w:rsidR="001A23F8" w:rsidRPr="001A23F8">
        <w:rPr>
          <w:rFonts w:asciiTheme="minorHAnsi" w:eastAsiaTheme="minorHAnsi" w:hAnsiTheme="minorHAnsi" w:cstheme="minorBidi"/>
          <w:snapToGrid/>
          <w:color w:val="000000" w:themeColor="text1"/>
        </w:rPr>
        <w:t>45,000/QALY - $75,000/QALY</w:t>
      </w:r>
      <w:r w:rsidRPr="00D8075A">
        <w:rPr>
          <w:rFonts w:asciiTheme="minorHAnsi" w:eastAsiaTheme="minorHAnsi" w:hAnsiTheme="minorHAnsi" w:cstheme="minorBidi"/>
          <w:snapToGrid/>
          <w:color w:val="000000" w:themeColor="text1"/>
        </w:rPr>
        <w:t xml:space="preserve">. </w:t>
      </w:r>
      <w:r w:rsidR="0005767D" w:rsidRPr="00D8075A">
        <w:rPr>
          <w:rFonts w:asciiTheme="minorHAnsi" w:eastAsiaTheme="minorHAnsi" w:hAnsiTheme="minorHAnsi" w:cstheme="minorBidi"/>
          <w:snapToGrid/>
          <w:color w:val="000000" w:themeColor="text1"/>
        </w:rPr>
        <w:t>The ESC noted the assumed medical resource use for the post-progression health state was one GP visit</w:t>
      </w:r>
      <w:r w:rsidR="001904D5" w:rsidRPr="00D8075A">
        <w:rPr>
          <w:rFonts w:asciiTheme="minorHAnsi" w:eastAsiaTheme="minorHAnsi" w:hAnsiTheme="minorHAnsi" w:cstheme="minorBidi"/>
          <w:snapToGrid/>
          <w:color w:val="000000" w:themeColor="text1"/>
        </w:rPr>
        <w:t xml:space="preserve"> every 2 treatment cycles (2 months)</w:t>
      </w:r>
      <w:r w:rsidR="0005767D" w:rsidRPr="00D8075A">
        <w:rPr>
          <w:rFonts w:asciiTheme="minorHAnsi" w:eastAsiaTheme="minorHAnsi" w:hAnsiTheme="minorHAnsi" w:cstheme="minorBidi"/>
          <w:snapToGrid/>
          <w:color w:val="000000" w:themeColor="text1"/>
        </w:rPr>
        <w:t xml:space="preserve"> </w:t>
      </w:r>
      <w:r w:rsidR="00F51F15" w:rsidRPr="00D8075A">
        <w:rPr>
          <w:rFonts w:asciiTheme="minorHAnsi" w:eastAsiaTheme="minorHAnsi" w:hAnsiTheme="minorHAnsi" w:cstheme="minorBidi"/>
          <w:snapToGrid/>
          <w:color w:val="000000" w:themeColor="text1"/>
        </w:rPr>
        <w:t xml:space="preserve">and </w:t>
      </w:r>
      <w:r w:rsidR="0005767D" w:rsidRPr="00D8075A">
        <w:rPr>
          <w:rFonts w:asciiTheme="minorHAnsi" w:eastAsiaTheme="minorHAnsi" w:hAnsiTheme="minorHAnsi" w:cstheme="minorBidi"/>
          <w:snapToGrid/>
          <w:color w:val="000000" w:themeColor="text1"/>
        </w:rPr>
        <w:t>radiotherapy</w:t>
      </w:r>
      <w:r w:rsidR="001904D5" w:rsidRPr="00D8075A">
        <w:rPr>
          <w:rFonts w:asciiTheme="minorHAnsi" w:eastAsiaTheme="minorHAnsi" w:hAnsiTheme="minorHAnsi" w:cstheme="minorBidi"/>
          <w:snapToGrid/>
          <w:color w:val="000000" w:themeColor="text1"/>
        </w:rPr>
        <w:t xml:space="preserve"> 1-2 times per year</w:t>
      </w:r>
      <w:r w:rsidR="0005767D" w:rsidRPr="00D8075A">
        <w:rPr>
          <w:rFonts w:asciiTheme="minorHAnsi" w:eastAsiaTheme="minorHAnsi" w:hAnsiTheme="minorHAnsi" w:cstheme="minorBidi"/>
          <w:snapToGrid/>
          <w:color w:val="000000" w:themeColor="text1"/>
        </w:rPr>
        <w:t>, and that this may not adequately reflect post-progression resource use in Australian clinical practice.</w:t>
      </w:r>
      <w:r w:rsidR="00A01A18" w:rsidRPr="00D8075A">
        <w:rPr>
          <w:rFonts w:asciiTheme="minorHAnsi" w:eastAsiaTheme="minorHAnsi" w:hAnsiTheme="minorHAnsi" w:cstheme="minorBidi"/>
          <w:snapToGrid/>
          <w:color w:val="000000" w:themeColor="text1"/>
        </w:rPr>
        <w:t xml:space="preserve"> </w:t>
      </w:r>
    </w:p>
    <w:p w:rsidR="0005767D" w:rsidRPr="00D8075A" w:rsidRDefault="0005767D" w:rsidP="001A23F8">
      <w:pPr>
        <w:pStyle w:val="ListParagraph"/>
        <w:numPr>
          <w:ilvl w:val="1"/>
          <w:numId w:val="1"/>
        </w:numPr>
        <w:rPr>
          <w:rFonts w:asciiTheme="minorHAnsi" w:eastAsiaTheme="minorHAnsi" w:hAnsiTheme="minorHAnsi" w:cstheme="minorBidi"/>
          <w:snapToGrid/>
          <w:color w:val="000000" w:themeColor="text1"/>
        </w:rPr>
      </w:pPr>
      <w:r w:rsidRPr="00D8075A">
        <w:rPr>
          <w:rFonts w:asciiTheme="minorHAnsi" w:eastAsiaTheme="minorHAnsi" w:hAnsiTheme="minorHAnsi" w:cstheme="minorBidi"/>
          <w:snapToGrid/>
          <w:color w:val="000000" w:themeColor="text1"/>
        </w:rPr>
        <w:t xml:space="preserve">The submission did not justify using data from the JAVELIN Merkel 200 study from different cut-off points for efficacy (24 March 2017) and adverse events (3 March </w:t>
      </w:r>
      <w:r w:rsidRPr="00D8075A">
        <w:rPr>
          <w:rFonts w:asciiTheme="minorHAnsi" w:eastAsiaTheme="minorHAnsi" w:hAnsiTheme="minorHAnsi" w:cstheme="minorBidi"/>
          <w:snapToGrid/>
          <w:color w:val="000000" w:themeColor="text1"/>
        </w:rPr>
        <w:lastRenderedPageBreak/>
        <w:t xml:space="preserve">2016). This favours avelumab as no grade ≥3 treatments related adverse events (TRAEs) were reported in ≥5% of the patients in the 3 March 2016 data cut-off. Based on the 24th March 2017 data cut-off, grade ≥3 anaemia occurred in 10.2% of patients, grade ≥3 lymphopenia occurred in 6.8% of patients and grade ≥3 hypertension occurred in 6.8% of patients. This underestimates </w:t>
      </w:r>
      <w:proofErr w:type="spellStart"/>
      <w:r w:rsidRPr="00D8075A">
        <w:rPr>
          <w:rFonts w:asciiTheme="minorHAnsi" w:eastAsiaTheme="minorHAnsi" w:hAnsiTheme="minorHAnsi" w:cstheme="minorBidi"/>
          <w:snapToGrid/>
          <w:color w:val="000000" w:themeColor="text1"/>
        </w:rPr>
        <w:t>disutilities</w:t>
      </w:r>
      <w:proofErr w:type="spellEnd"/>
      <w:r w:rsidRPr="00D8075A">
        <w:rPr>
          <w:rFonts w:asciiTheme="minorHAnsi" w:eastAsiaTheme="minorHAnsi" w:hAnsiTheme="minorHAnsi" w:cstheme="minorBidi"/>
          <w:snapToGrid/>
          <w:color w:val="000000" w:themeColor="text1"/>
        </w:rPr>
        <w:t xml:space="preserve"> and the costs of adverse events for avelumab. The PSCR updated the economic model to include the 24 March 2017 data for adverse events. The PSCR stated that the ICER increases marginally from $</w:t>
      </w:r>
      <w:r w:rsidR="001A23F8" w:rsidRPr="001A23F8">
        <w:rPr>
          <w:rFonts w:asciiTheme="minorHAnsi" w:eastAsiaTheme="minorHAnsi" w:hAnsiTheme="minorHAnsi" w:cstheme="minorBidi"/>
          <w:snapToGrid/>
          <w:color w:val="000000" w:themeColor="text1"/>
        </w:rPr>
        <w:t>45,000/QALY - $75,000/QALY</w:t>
      </w:r>
      <w:r w:rsidR="001A23F8" w:rsidRPr="001A23F8" w:rsidDel="001A23F8">
        <w:rPr>
          <w:rFonts w:asciiTheme="minorHAnsi" w:eastAsiaTheme="minorHAnsi" w:hAnsiTheme="minorHAnsi" w:cstheme="minorBidi"/>
          <w:snapToGrid/>
          <w:color w:val="000000" w:themeColor="text1"/>
        </w:rPr>
        <w:t xml:space="preserve"> </w:t>
      </w:r>
      <w:r w:rsidRPr="00D8075A">
        <w:rPr>
          <w:rFonts w:asciiTheme="minorHAnsi" w:eastAsiaTheme="minorHAnsi" w:hAnsiTheme="minorHAnsi" w:cstheme="minorBidi"/>
          <w:snapToGrid/>
          <w:color w:val="000000" w:themeColor="text1"/>
        </w:rPr>
        <w:t>to $</w:t>
      </w:r>
      <w:r w:rsidR="001A23F8" w:rsidRPr="001A23F8">
        <w:rPr>
          <w:rFonts w:asciiTheme="minorHAnsi" w:eastAsiaTheme="minorHAnsi" w:hAnsiTheme="minorHAnsi" w:cstheme="minorBidi"/>
          <w:snapToGrid/>
          <w:color w:val="000000" w:themeColor="text1"/>
        </w:rPr>
        <w:t>45,000/QALY - $75,000/QALY</w:t>
      </w:r>
      <w:r w:rsidRPr="00D8075A">
        <w:rPr>
          <w:rFonts w:asciiTheme="minorHAnsi" w:eastAsiaTheme="minorHAnsi" w:hAnsiTheme="minorHAnsi" w:cstheme="minorBidi"/>
          <w:snapToGrid/>
          <w:color w:val="000000" w:themeColor="text1"/>
        </w:rPr>
        <w:t xml:space="preserve">. The ESC noted the revised ICER was not verified.  </w:t>
      </w:r>
    </w:p>
    <w:p w:rsidR="00694239" w:rsidRPr="00D8075A" w:rsidRDefault="003F11B9" w:rsidP="00C3432B">
      <w:pPr>
        <w:pStyle w:val="ListParagraph"/>
        <w:widowControl/>
        <w:numPr>
          <w:ilvl w:val="1"/>
          <w:numId w:val="1"/>
        </w:numPr>
        <w:rPr>
          <w:rFonts w:asciiTheme="minorHAnsi" w:eastAsiaTheme="minorHAnsi" w:hAnsiTheme="minorHAnsi" w:cstheme="minorBidi"/>
          <w:snapToGrid/>
          <w:color w:val="000000" w:themeColor="text1"/>
        </w:rPr>
      </w:pPr>
      <w:r w:rsidRPr="00D8075A">
        <w:rPr>
          <w:rFonts w:asciiTheme="minorHAnsi" w:eastAsiaTheme="minorHAnsi" w:hAnsiTheme="minorHAnsi" w:cstheme="minorBidi"/>
          <w:snapToGrid/>
          <w:color w:val="000000" w:themeColor="text1"/>
        </w:rPr>
        <w:t>The following issues were</w:t>
      </w:r>
      <w:r w:rsidR="00907AC0" w:rsidRPr="00D8075A">
        <w:rPr>
          <w:rFonts w:asciiTheme="minorHAnsi" w:eastAsiaTheme="minorHAnsi" w:hAnsiTheme="minorHAnsi" w:cstheme="minorBidi"/>
          <w:snapToGrid/>
          <w:color w:val="000000" w:themeColor="text1"/>
        </w:rPr>
        <w:t xml:space="preserve"> also</w:t>
      </w:r>
      <w:r w:rsidRPr="00D8075A">
        <w:rPr>
          <w:rFonts w:asciiTheme="minorHAnsi" w:eastAsiaTheme="minorHAnsi" w:hAnsiTheme="minorHAnsi" w:cstheme="minorBidi"/>
          <w:snapToGrid/>
          <w:color w:val="000000" w:themeColor="text1"/>
        </w:rPr>
        <w:t xml:space="preserve"> identified during the evaluation:</w:t>
      </w:r>
    </w:p>
    <w:p w:rsidR="00694239" w:rsidRPr="00D8075A" w:rsidRDefault="00694239" w:rsidP="00C3432B">
      <w:pPr>
        <w:numPr>
          <w:ilvl w:val="0"/>
          <w:numId w:val="3"/>
        </w:numPr>
        <w:ind w:left="1134"/>
      </w:pPr>
      <w:r w:rsidRPr="00D8075A">
        <w:t>The clinical data used in the economic model was not based on an RCT, but on non-randomised observational, open-label studies that may be biased due to observed and unobserved confounders</w:t>
      </w:r>
      <w:r w:rsidR="007F73DD" w:rsidRPr="00D8075A">
        <w:t>.</w:t>
      </w:r>
    </w:p>
    <w:p w:rsidR="00BD77C8" w:rsidRPr="00D8075A" w:rsidRDefault="00BD77C8" w:rsidP="00C3432B">
      <w:pPr>
        <w:numPr>
          <w:ilvl w:val="0"/>
          <w:numId w:val="3"/>
        </w:numPr>
        <w:ind w:left="1134"/>
      </w:pPr>
      <w:r w:rsidRPr="00D8075A">
        <w:t xml:space="preserve">The </w:t>
      </w:r>
      <w:r w:rsidR="00780B9B" w:rsidRPr="00D8075A">
        <w:t>incidence of AEs is</w:t>
      </w:r>
      <w:r w:rsidRPr="00D8075A">
        <w:t xml:space="preserve"> uncertain as there was a lack of comparative safety data between avelumab and chemotherapy.</w:t>
      </w:r>
    </w:p>
    <w:p w:rsidR="00BD77C8" w:rsidRPr="00D8075A" w:rsidRDefault="00BD77C8" w:rsidP="00C3432B">
      <w:pPr>
        <w:numPr>
          <w:ilvl w:val="0"/>
          <w:numId w:val="3"/>
        </w:numPr>
        <w:ind w:left="1134"/>
      </w:pPr>
      <w:r w:rsidRPr="00D8075A">
        <w:t>The submission estimated the incidence of adverse events with chemotherapy based on the treatment of small-cell lung cancer (SCLC) and melanoma.</w:t>
      </w:r>
    </w:p>
    <w:p w:rsidR="00B6781E" w:rsidRPr="00D8075A" w:rsidRDefault="00BD77C8" w:rsidP="00C3432B">
      <w:pPr>
        <w:numPr>
          <w:ilvl w:val="0"/>
          <w:numId w:val="3"/>
        </w:numPr>
        <w:ind w:left="1134"/>
      </w:pPr>
      <w:r w:rsidRPr="00D8075A">
        <w:t xml:space="preserve">The application of </w:t>
      </w:r>
      <w:proofErr w:type="spellStart"/>
      <w:r w:rsidRPr="00D8075A">
        <w:t>disutilities</w:t>
      </w:r>
      <w:proofErr w:type="spellEnd"/>
      <w:r w:rsidRPr="00D8075A">
        <w:t xml:space="preserve"> sourced from the literature </w:t>
      </w:r>
      <w:r w:rsidR="00F51F15" w:rsidRPr="00D8075A">
        <w:t>for</w:t>
      </w:r>
      <w:r w:rsidRPr="00D8075A">
        <w:t xml:space="preserve"> SCLC, breast cancer, pancreatic cancer and lymphocytic leukaemia may not be applicable to patients with </w:t>
      </w:r>
      <w:proofErr w:type="spellStart"/>
      <w:r w:rsidRPr="00D8075A">
        <w:t>mMCC</w:t>
      </w:r>
      <w:proofErr w:type="spellEnd"/>
      <w:r w:rsidRPr="00D8075A">
        <w:t xml:space="preserve"> in the Australian clinical setting.</w:t>
      </w:r>
    </w:p>
    <w:p w:rsidR="00A70CD3" w:rsidRPr="00D8075A" w:rsidRDefault="00A70CD3" w:rsidP="00A70CD3"/>
    <w:p w:rsidR="00694239" w:rsidRPr="00D8075A" w:rsidRDefault="00694239" w:rsidP="00C3432B">
      <w:pPr>
        <w:pStyle w:val="ListParagraph"/>
        <w:widowControl/>
        <w:numPr>
          <w:ilvl w:val="1"/>
          <w:numId w:val="1"/>
        </w:numPr>
      </w:pPr>
      <w:r w:rsidRPr="00D8075A">
        <w:t>There were several issues with the utility estimates for the pre-progression and progressed disease states:</w:t>
      </w:r>
    </w:p>
    <w:p w:rsidR="00694239" w:rsidRPr="00D8075A" w:rsidRDefault="00694239" w:rsidP="00C3432B">
      <w:pPr>
        <w:numPr>
          <w:ilvl w:val="0"/>
          <w:numId w:val="3"/>
        </w:numPr>
        <w:ind w:left="1134"/>
      </w:pPr>
      <w:r w:rsidRPr="00D8075A">
        <w:t xml:space="preserve">The utility estimates from the JAVELIN Merkel 200 study were unable to be verified as patient data or STATA code/output was not provided. </w:t>
      </w:r>
    </w:p>
    <w:p w:rsidR="00694239" w:rsidRPr="00D8075A" w:rsidRDefault="00694239" w:rsidP="00C3432B">
      <w:pPr>
        <w:numPr>
          <w:ilvl w:val="0"/>
          <w:numId w:val="3"/>
        </w:numPr>
        <w:ind w:left="1134"/>
      </w:pPr>
      <w:r w:rsidRPr="00D8075A">
        <w:t>The submission did not report how the results were adjusted for differences in utility values based on questionnaires that had missing domain scores or were missing in their entirety.</w:t>
      </w:r>
    </w:p>
    <w:p w:rsidR="00694239" w:rsidRPr="00D8075A" w:rsidRDefault="00694239" w:rsidP="00C3432B">
      <w:pPr>
        <w:numPr>
          <w:ilvl w:val="0"/>
          <w:numId w:val="3"/>
        </w:numPr>
        <w:ind w:left="1134"/>
      </w:pPr>
      <w:r w:rsidRPr="00D8075A">
        <w:t xml:space="preserve">The results may also be subject to bias as </w:t>
      </w:r>
      <w:r w:rsidR="00F51F15" w:rsidRPr="00D8075A">
        <w:t xml:space="preserve">the </w:t>
      </w:r>
      <w:r w:rsidRPr="00D8075A">
        <w:t>JAVELIN Merkel 200 study was open-label.</w:t>
      </w:r>
    </w:p>
    <w:p w:rsidR="00694239" w:rsidRPr="00D8075A" w:rsidRDefault="00694239" w:rsidP="00C3432B">
      <w:pPr>
        <w:numPr>
          <w:ilvl w:val="0"/>
          <w:numId w:val="3"/>
        </w:numPr>
        <w:ind w:left="1134"/>
      </w:pPr>
      <w:r w:rsidRPr="00D8075A">
        <w:t>The utilities estimated using the JAVELIN Merkel 200 study would include the impact of AEs for avelumab. The submission argued that the linear mixed regression model was used to avoid double-counting, however the confounders in the model were not described.</w:t>
      </w:r>
    </w:p>
    <w:p w:rsidR="00694239" w:rsidRPr="00D8075A" w:rsidRDefault="00694239" w:rsidP="00C3432B">
      <w:pPr>
        <w:numPr>
          <w:ilvl w:val="0"/>
          <w:numId w:val="3"/>
        </w:numPr>
        <w:ind w:left="1134"/>
      </w:pPr>
      <w:r w:rsidRPr="00D8075A">
        <w:t>The submission did not test the use of the Australian scoring algorithm, which is also available for th</w:t>
      </w:r>
      <w:r w:rsidR="007D284E" w:rsidRPr="00D8075A">
        <w:t xml:space="preserve">e </w:t>
      </w:r>
      <w:r w:rsidR="007D284E" w:rsidRPr="00D8075A">
        <w:rPr>
          <w:rFonts w:eastAsia="Calibri" w:cs="Calibri"/>
          <w:snapToGrid/>
          <w:color w:val="000000"/>
          <w:szCs w:val="24"/>
        </w:rPr>
        <w:t>EQ-5D-5L</w:t>
      </w:r>
      <w:r w:rsidRPr="00D8075A">
        <w:t>.</w:t>
      </w:r>
    </w:p>
    <w:p w:rsidR="00CB4B5E" w:rsidRPr="00D8075A" w:rsidRDefault="00694239" w:rsidP="00C3432B">
      <w:pPr>
        <w:numPr>
          <w:ilvl w:val="0"/>
          <w:numId w:val="3"/>
        </w:numPr>
        <w:ind w:left="1134"/>
      </w:pPr>
      <w:r w:rsidRPr="00D8075A">
        <w:t>The utilities in the progressed disease health state were based on a single ‘end of treatment’ observation for a small number of patients (N=20 patients). It is likely that the utility value for the ‘post progression’ health state maybe over-estimated.</w:t>
      </w:r>
      <w:r w:rsidR="00965B5C" w:rsidRPr="00D8075A">
        <w:t xml:space="preserve"> </w:t>
      </w:r>
    </w:p>
    <w:p w:rsidR="00010391" w:rsidRPr="00D8075A" w:rsidRDefault="00010391" w:rsidP="001A23F8">
      <w:pPr>
        <w:numPr>
          <w:ilvl w:val="0"/>
          <w:numId w:val="3"/>
        </w:numPr>
      </w:pPr>
      <w:r w:rsidRPr="00D8075A">
        <w:lastRenderedPageBreak/>
        <w:t xml:space="preserve">The PSCR </w:t>
      </w:r>
      <w:r w:rsidR="006F717E" w:rsidRPr="00D8075A">
        <w:t>noted that it</w:t>
      </w:r>
      <w:r w:rsidR="00BE4D5C" w:rsidRPr="00D8075A">
        <w:t xml:space="preserve"> </w:t>
      </w:r>
      <w:r w:rsidRPr="00D8075A">
        <w:t xml:space="preserve">was assumed that the </w:t>
      </w:r>
      <w:r w:rsidR="008A45D2" w:rsidRPr="00D8075A">
        <w:t xml:space="preserve">UK </w:t>
      </w:r>
      <w:r w:rsidRPr="00D8075A">
        <w:t xml:space="preserve">weights would not be dissimilar in Australia, </w:t>
      </w:r>
      <w:r w:rsidR="00386D2F" w:rsidRPr="00D8075A">
        <w:t>based on a study by Viney et al</w:t>
      </w:r>
      <w:r w:rsidRPr="00D8075A">
        <w:t xml:space="preserve"> and thus for consistency, the utilities were not reanaly</w:t>
      </w:r>
      <w:r w:rsidR="00386D2F" w:rsidRPr="00D8075A">
        <w:t>s</w:t>
      </w:r>
      <w:r w:rsidRPr="00D8075A">
        <w:t>ed. Varying the utility values of the progression free and post progression health states by +/-10% in sensitivity analysis yields ICERs of $</w:t>
      </w:r>
      <w:r w:rsidR="001A23F8" w:rsidRPr="001A23F8">
        <w:t>45,000/QALY - $75,000/QALY</w:t>
      </w:r>
      <w:r w:rsidR="001A23F8" w:rsidRPr="001A23F8" w:rsidDel="001A23F8">
        <w:t xml:space="preserve"> </w:t>
      </w:r>
      <w:r w:rsidRPr="00D8075A">
        <w:t xml:space="preserve"> (</w:t>
      </w:r>
      <w:r w:rsidR="00642B4B" w:rsidRPr="00D8075A">
        <w:t>PSCR</w:t>
      </w:r>
      <w:r w:rsidRPr="00D8075A">
        <w:t>). The</w:t>
      </w:r>
      <w:r w:rsidR="00422C51" w:rsidRPr="00D8075A">
        <w:t xml:space="preserve"> ESC noted the</w:t>
      </w:r>
      <w:r w:rsidRPr="00D8075A">
        <w:t xml:space="preserve"> study by Viney et al includes a graph that depicts the UK algorithm</w:t>
      </w:r>
      <w:r w:rsidR="00CB4B5E" w:rsidRPr="00D8075A">
        <w:t xml:space="preserve"> generally results in lower utility values</w:t>
      </w:r>
      <w:r w:rsidRPr="00D8075A">
        <w:t xml:space="preserve"> compared to the Australian algorithm.</w:t>
      </w:r>
    </w:p>
    <w:p w:rsidR="00015447" w:rsidRDefault="002756C8" w:rsidP="00015447">
      <w:pPr>
        <w:pStyle w:val="ListParagraph"/>
        <w:widowControl/>
        <w:numPr>
          <w:ilvl w:val="1"/>
          <w:numId w:val="1"/>
        </w:numPr>
        <w:spacing w:before="120"/>
        <w:rPr>
          <w:rFonts w:asciiTheme="minorHAnsi" w:eastAsiaTheme="minorHAnsi" w:hAnsiTheme="minorHAnsi" w:cstheme="minorBidi"/>
          <w:snapToGrid/>
        </w:rPr>
      </w:pPr>
      <w:r w:rsidRPr="00D8075A">
        <w:rPr>
          <w:rFonts w:asciiTheme="minorHAnsi" w:eastAsiaTheme="minorHAnsi" w:hAnsiTheme="minorHAnsi" w:cstheme="minorBidi"/>
          <w:snapToGrid/>
        </w:rPr>
        <w:t xml:space="preserve">Markov traces for the avelumab and chemotherapy arms are presented in Figure </w:t>
      </w:r>
      <w:r w:rsidR="0005767D" w:rsidRPr="00D8075A">
        <w:rPr>
          <w:rFonts w:asciiTheme="minorHAnsi" w:eastAsiaTheme="minorHAnsi" w:hAnsiTheme="minorHAnsi" w:cstheme="minorBidi"/>
          <w:snapToGrid/>
        </w:rPr>
        <w:t>3 and Figure 4</w:t>
      </w:r>
      <w:r w:rsidRPr="00D8075A">
        <w:rPr>
          <w:rFonts w:asciiTheme="minorHAnsi" w:eastAsiaTheme="minorHAnsi" w:hAnsiTheme="minorHAnsi" w:cstheme="minorBidi"/>
          <w:snapToGrid/>
        </w:rPr>
        <w:t>.</w:t>
      </w:r>
      <w:r w:rsidR="00672B3B" w:rsidRPr="00D8075A">
        <w:rPr>
          <w:rFonts w:asciiTheme="minorHAnsi" w:eastAsiaTheme="minorHAnsi" w:hAnsiTheme="minorHAnsi" w:cstheme="minorBidi"/>
          <w:snapToGrid/>
        </w:rPr>
        <w:t xml:space="preserve"> The ESC noted PFS and OS for avelumab were extrapolated using spline models. The submission justified spline models on the basis on non-monotonic hazard functions. The ESC considered, based on the available data for the JAVELIN trial, it is difficult to assess if the functions are truly monotonic and a comparison with use of a gamma function for extrapolation would be informative.</w:t>
      </w:r>
    </w:p>
    <w:p w:rsidR="00015447" w:rsidRPr="00015447" w:rsidRDefault="00015447" w:rsidP="00015447">
      <w:pPr>
        <w:widowControl/>
        <w:spacing w:before="120"/>
        <w:rPr>
          <w:rFonts w:asciiTheme="minorHAnsi" w:eastAsiaTheme="minorHAnsi" w:hAnsiTheme="minorHAnsi" w:cstheme="minorBidi"/>
          <w:snapToGrid/>
        </w:rPr>
      </w:pPr>
    </w:p>
    <w:p w:rsidR="00015447" w:rsidRPr="00015447" w:rsidRDefault="0005767D" w:rsidP="00015447">
      <w:pPr>
        <w:keepNext/>
        <w:ind w:firstLine="720"/>
        <w:rPr>
          <w:rFonts w:ascii="Arial Narrow" w:hAnsi="Arial Narrow"/>
          <w:b/>
          <w:sz w:val="20"/>
          <w:szCs w:val="20"/>
        </w:rPr>
      </w:pPr>
      <w:r w:rsidRPr="00015447">
        <w:rPr>
          <w:rFonts w:ascii="Arial Narrow" w:hAnsi="Arial Narrow"/>
          <w:b/>
          <w:sz w:val="20"/>
          <w:szCs w:val="20"/>
        </w:rPr>
        <w:t>Figure 3</w:t>
      </w:r>
      <w:r w:rsidR="00BE4D5C" w:rsidRPr="00015447">
        <w:rPr>
          <w:rFonts w:ascii="Arial Narrow" w:hAnsi="Arial Narrow"/>
          <w:b/>
          <w:sz w:val="20"/>
          <w:szCs w:val="20"/>
        </w:rPr>
        <w:t>: M</w:t>
      </w:r>
      <w:r w:rsidR="00672B3B" w:rsidRPr="00015447">
        <w:rPr>
          <w:rFonts w:ascii="Arial Narrow" w:hAnsi="Arial Narrow"/>
          <w:b/>
          <w:sz w:val="20"/>
          <w:szCs w:val="20"/>
        </w:rPr>
        <w:t xml:space="preserve">odel </w:t>
      </w:r>
      <w:proofErr w:type="spellStart"/>
      <w:r w:rsidR="00672B3B" w:rsidRPr="00015447">
        <w:rPr>
          <w:rFonts w:ascii="Arial Narrow" w:hAnsi="Arial Narrow"/>
          <w:b/>
          <w:sz w:val="20"/>
          <w:szCs w:val="20"/>
        </w:rPr>
        <w:t>m</w:t>
      </w:r>
      <w:r w:rsidR="00BE4D5C" w:rsidRPr="00015447">
        <w:rPr>
          <w:rFonts w:ascii="Arial Narrow" w:hAnsi="Arial Narrow"/>
          <w:b/>
          <w:sz w:val="20"/>
          <w:szCs w:val="20"/>
        </w:rPr>
        <w:t>arkov</w:t>
      </w:r>
      <w:proofErr w:type="spellEnd"/>
      <w:r w:rsidR="00BE4D5C" w:rsidRPr="00015447">
        <w:rPr>
          <w:rFonts w:ascii="Arial Narrow" w:hAnsi="Arial Narrow"/>
          <w:b/>
          <w:sz w:val="20"/>
          <w:szCs w:val="20"/>
        </w:rPr>
        <w:t xml:space="preserve"> </w:t>
      </w:r>
      <w:r w:rsidR="00BE29B5" w:rsidRPr="00015447">
        <w:rPr>
          <w:rFonts w:ascii="Arial Narrow" w:hAnsi="Arial Narrow"/>
          <w:b/>
          <w:sz w:val="20"/>
          <w:szCs w:val="20"/>
        </w:rPr>
        <w:t>trace</w:t>
      </w:r>
      <w:r w:rsidR="00120EBF" w:rsidRPr="00015447">
        <w:rPr>
          <w:rFonts w:ascii="Arial Narrow" w:hAnsi="Arial Narrow"/>
          <w:b/>
          <w:sz w:val="20"/>
          <w:szCs w:val="20"/>
        </w:rPr>
        <w:t xml:space="preserve"> for avelumab</w:t>
      </w:r>
    </w:p>
    <w:p w:rsidR="00015447" w:rsidRDefault="00BE4D5C" w:rsidP="00562297">
      <w:pPr>
        <w:pStyle w:val="ListParagraph"/>
        <w:widowControl/>
        <w:spacing w:after="0"/>
        <w:rPr>
          <w:rFonts w:ascii="Arial Narrow" w:hAnsi="Arial Narrow"/>
          <w:sz w:val="18"/>
          <w:szCs w:val="18"/>
        </w:rPr>
      </w:pPr>
      <w:r w:rsidRPr="00D8075A">
        <w:rPr>
          <w:noProof/>
          <w:lang w:eastAsia="en-AU"/>
        </w:rPr>
        <w:drawing>
          <wp:inline distT="0" distB="0" distL="0" distR="0" wp14:anchorId="38F4ADB3" wp14:editId="1DB8844C">
            <wp:extent cx="4579620" cy="2750820"/>
            <wp:effectExtent l="0" t="0" r="0" b="0"/>
            <wp:docPr id="26" name="Picture 26" title="Model markov trace for avelum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a:ln>
                      <a:noFill/>
                    </a:ln>
                  </pic:spPr>
                </pic:pic>
              </a:graphicData>
            </a:graphic>
          </wp:inline>
        </w:drawing>
      </w:r>
    </w:p>
    <w:p w:rsidR="00015447" w:rsidRDefault="00BE4D5C" w:rsidP="00015447">
      <w:pPr>
        <w:pStyle w:val="ListParagraph"/>
        <w:widowControl/>
        <w:spacing w:after="0"/>
        <w:rPr>
          <w:rFonts w:ascii="Arial Narrow" w:hAnsi="Arial Narrow"/>
          <w:sz w:val="18"/>
          <w:szCs w:val="18"/>
        </w:rPr>
      </w:pPr>
      <w:r w:rsidRPr="00D8075A">
        <w:rPr>
          <w:rFonts w:ascii="Arial Narrow" w:hAnsi="Arial Narrow"/>
          <w:sz w:val="18"/>
          <w:szCs w:val="18"/>
        </w:rPr>
        <w:t xml:space="preserve">PF on </w:t>
      </w:r>
      <w:proofErr w:type="spellStart"/>
      <w:proofErr w:type="gramStart"/>
      <w:r w:rsidRPr="00D8075A">
        <w:rPr>
          <w:rFonts w:ascii="Arial Narrow" w:hAnsi="Arial Narrow"/>
          <w:sz w:val="18"/>
          <w:szCs w:val="18"/>
        </w:rPr>
        <w:t>Tx</w:t>
      </w:r>
      <w:proofErr w:type="spellEnd"/>
      <w:proofErr w:type="gramEnd"/>
      <w:r w:rsidRPr="00D8075A">
        <w:rPr>
          <w:rFonts w:ascii="Arial Narrow" w:hAnsi="Arial Narrow"/>
          <w:sz w:val="18"/>
          <w:szCs w:val="18"/>
        </w:rPr>
        <w:t xml:space="preserve">: progression free on treatment; PF off </w:t>
      </w:r>
      <w:proofErr w:type="spellStart"/>
      <w:r w:rsidRPr="00D8075A">
        <w:rPr>
          <w:rFonts w:ascii="Arial Narrow" w:hAnsi="Arial Narrow"/>
          <w:sz w:val="18"/>
          <w:szCs w:val="18"/>
        </w:rPr>
        <w:t>Tx</w:t>
      </w:r>
      <w:proofErr w:type="spellEnd"/>
      <w:r w:rsidRPr="00D8075A">
        <w:rPr>
          <w:rFonts w:ascii="Arial Narrow" w:hAnsi="Arial Narrow"/>
          <w:sz w:val="18"/>
          <w:szCs w:val="18"/>
        </w:rPr>
        <w:t xml:space="preserve">: progression free off treatment; PP on </w:t>
      </w:r>
      <w:proofErr w:type="spellStart"/>
      <w:r w:rsidRPr="00D8075A">
        <w:rPr>
          <w:rFonts w:ascii="Arial Narrow" w:hAnsi="Arial Narrow"/>
          <w:sz w:val="18"/>
          <w:szCs w:val="18"/>
        </w:rPr>
        <w:t>Tx</w:t>
      </w:r>
      <w:proofErr w:type="spellEnd"/>
      <w:r w:rsidRPr="00D8075A">
        <w:rPr>
          <w:rFonts w:ascii="Arial Narrow" w:hAnsi="Arial Narrow"/>
          <w:sz w:val="18"/>
          <w:szCs w:val="18"/>
        </w:rPr>
        <w:t xml:space="preserve">: progressed disease on treatment; PP off </w:t>
      </w:r>
      <w:proofErr w:type="spellStart"/>
      <w:r w:rsidRPr="00D8075A">
        <w:rPr>
          <w:rFonts w:ascii="Arial Narrow" w:hAnsi="Arial Narrow"/>
          <w:sz w:val="18"/>
          <w:szCs w:val="18"/>
        </w:rPr>
        <w:t>Tx</w:t>
      </w:r>
      <w:proofErr w:type="spellEnd"/>
      <w:r w:rsidRPr="00D8075A">
        <w:rPr>
          <w:rFonts w:ascii="Arial Narrow" w:hAnsi="Arial Narrow"/>
          <w:sz w:val="18"/>
          <w:szCs w:val="18"/>
        </w:rPr>
        <w:t>: progressed disease off treatment</w:t>
      </w:r>
    </w:p>
    <w:p w:rsidR="00015447" w:rsidRDefault="00BE4D5C" w:rsidP="00015447">
      <w:pPr>
        <w:pStyle w:val="ListParagraph"/>
        <w:widowControl/>
        <w:spacing w:after="0"/>
        <w:rPr>
          <w:rFonts w:ascii="Arial Narrow" w:hAnsi="Arial Narrow"/>
          <w:sz w:val="18"/>
          <w:szCs w:val="18"/>
        </w:rPr>
      </w:pPr>
      <w:r w:rsidRPr="00D8075A">
        <w:rPr>
          <w:rFonts w:ascii="Arial Narrow" w:hAnsi="Arial Narrow"/>
          <w:sz w:val="18"/>
          <w:szCs w:val="18"/>
        </w:rPr>
        <w:t>Source: Sheet ‘Section 3 Results Tables’ of Attachment 11_CE Model.xlsb of the submission</w:t>
      </w:r>
    </w:p>
    <w:p w:rsidR="00015447" w:rsidRDefault="00015447">
      <w:pPr>
        <w:widowControl/>
        <w:jc w:val="left"/>
        <w:rPr>
          <w:rFonts w:ascii="Arial Narrow" w:hAnsi="Arial Narrow"/>
          <w:sz w:val="18"/>
          <w:szCs w:val="18"/>
        </w:rPr>
      </w:pPr>
      <w:r>
        <w:rPr>
          <w:rFonts w:ascii="Arial Narrow" w:hAnsi="Arial Narrow"/>
          <w:sz w:val="18"/>
          <w:szCs w:val="18"/>
        </w:rPr>
        <w:br w:type="page"/>
      </w:r>
    </w:p>
    <w:p w:rsidR="00120EBF" w:rsidRPr="00D8075A" w:rsidRDefault="00120EBF" w:rsidP="00120EBF">
      <w:pPr>
        <w:keepNext/>
        <w:rPr>
          <w:rFonts w:ascii="Arial Narrow" w:hAnsi="Arial Narrow"/>
          <w:b/>
          <w:sz w:val="20"/>
          <w:szCs w:val="20"/>
        </w:rPr>
      </w:pPr>
      <w:bookmarkStart w:id="16" w:name="_Toc492274928"/>
      <w:r w:rsidRPr="00D8075A">
        <w:rPr>
          <w:rFonts w:ascii="Arial Narrow" w:hAnsi="Arial Narrow"/>
          <w:b/>
          <w:sz w:val="20"/>
          <w:szCs w:val="20"/>
        </w:rPr>
        <w:lastRenderedPageBreak/>
        <w:t xml:space="preserve">Figure 4: Model </w:t>
      </w:r>
      <w:proofErr w:type="spellStart"/>
      <w:r w:rsidRPr="00D8075A">
        <w:rPr>
          <w:rFonts w:ascii="Arial Narrow" w:hAnsi="Arial Narrow"/>
          <w:b/>
          <w:sz w:val="20"/>
          <w:szCs w:val="20"/>
        </w:rPr>
        <w:t>markov</w:t>
      </w:r>
      <w:proofErr w:type="spellEnd"/>
      <w:r w:rsidRPr="00D8075A">
        <w:rPr>
          <w:rFonts w:ascii="Arial Narrow" w:hAnsi="Arial Narrow"/>
          <w:b/>
          <w:sz w:val="20"/>
          <w:szCs w:val="20"/>
        </w:rPr>
        <w:t xml:space="preserve"> trace for chemotherapy</w:t>
      </w:r>
    </w:p>
    <w:p w:rsidR="00120EBF" w:rsidRPr="00D8075A" w:rsidRDefault="00120EBF" w:rsidP="00120EBF">
      <w:pPr>
        <w:keepNext/>
        <w:rPr>
          <w:rFonts w:ascii="Arial Narrow" w:hAnsi="Arial Narrow"/>
          <w:b/>
          <w:sz w:val="20"/>
          <w:szCs w:val="20"/>
        </w:rPr>
      </w:pPr>
      <w:r w:rsidRPr="00D8075A">
        <w:rPr>
          <w:noProof/>
          <w:lang w:eastAsia="en-AU"/>
        </w:rPr>
        <w:drawing>
          <wp:inline distT="0" distB="0" distL="0" distR="0" wp14:anchorId="4AB80A09" wp14:editId="1165DE7A">
            <wp:extent cx="4579620" cy="2750820"/>
            <wp:effectExtent l="0" t="0" r="0" b="0"/>
            <wp:docPr id="27" name="Picture 27" title="Model markov trace for chemo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a:ln>
                      <a:noFill/>
                    </a:ln>
                  </pic:spPr>
                </pic:pic>
              </a:graphicData>
            </a:graphic>
          </wp:inline>
        </w:drawing>
      </w:r>
    </w:p>
    <w:p w:rsidR="00120EBF" w:rsidRPr="00D8075A" w:rsidRDefault="00120EBF" w:rsidP="00120EBF">
      <w:pPr>
        <w:rPr>
          <w:rFonts w:ascii="Arial Narrow" w:hAnsi="Arial Narrow"/>
          <w:sz w:val="18"/>
        </w:rPr>
      </w:pPr>
      <w:r w:rsidRPr="00D8075A">
        <w:rPr>
          <w:rFonts w:ascii="Arial Narrow" w:hAnsi="Arial Narrow"/>
          <w:sz w:val="18"/>
        </w:rPr>
        <w:t xml:space="preserve">PF on </w:t>
      </w:r>
      <w:proofErr w:type="spellStart"/>
      <w:proofErr w:type="gramStart"/>
      <w:r w:rsidRPr="00D8075A">
        <w:rPr>
          <w:rFonts w:ascii="Arial Narrow" w:hAnsi="Arial Narrow"/>
          <w:sz w:val="18"/>
        </w:rPr>
        <w:t>Tx</w:t>
      </w:r>
      <w:proofErr w:type="spellEnd"/>
      <w:proofErr w:type="gramEnd"/>
      <w:r w:rsidRPr="00D8075A">
        <w:rPr>
          <w:rFonts w:ascii="Arial Narrow" w:hAnsi="Arial Narrow"/>
          <w:sz w:val="18"/>
        </w:rPr>
        <w:t xml:space="preserve">: progression free on treatment; PF off </w:t>
      </w:r>
      <w:proofErr w:type="spellStart"/>
      <w:r w:rsidRPr="00D8075A">
        <w:rPr>
          <w:rFonts w:ascii="Arial Narrow" w:hAnsi="Arial Narrow"/>
          <w:sz w:val="18"/>
        </w:rPr>
        <w:t>Tx</w:t>
      </w:r>
      <w:proofErr w:type="spellEnd"/>
      <w:r w:rsidRPr="00D8075A">
        <w:rPr>
          <w:rFonts w:ascii="Arial Narrow" w:hAnsi="Arial Narrow"/>
          <w:sz w:val="18"/>
        </w:rPr>
        <w:t xml:space="preserve">: progression free off treatment; PP on </w:t>
      </w:r>
      <w:proofErr w:type="spellStart"/>
      <w:r w:rsidRPr="00D8075A">
        <w:rPr>
          <w:rFonts w:ascii="Arial Narrow" w:hAnsi="Arial Narrow"/>
          <w:sz w:val="18"/>
        </w:rPr>
        <w:t>Tx</w:t>
      </w:r>
      <w:proofErr w:type="spellEnd"/>
      <w:r w:rsidRPr="00D8075A">
        <w:rPr>
          <w:rFonts w:ascii="Arial Narrow" w:hAnsi="Arial Narrow"/>
          <w:sz w:val="18"/>
        </w:rPr>
        <w:t xml:space="preserve">: progressed disease on treatment; PP off </w:t>
      </w:r>
      <w:proofErr w:type="spellStart"/>
      <w:r w:rsidRPr="00D8075A">
        <w:rPr>
          <w:rFonts w:ascii="Arial Narrow" w:hAnsi="Arial Narrow"/>
          <w:sz w:val="18"/>
        </w:rPr>
        <w:t>Tx</w:t>
      </w:r>
      <w:proofErr w:type="spellEnd"/>
      <w:r w:rsidRPr="00D8075A">
        <w:rPr>
          <w:rFonts w:ascii="Arial Narrow" w:hAnsi="Arial Narrow"/>
          <w:sz w:val="18"/>
        </w:rPr>
        <w:t>: progressed disease off treatment</w:t>
      </w:r>
    </w:p>
    <w:p w:rsidR="00120EBF" w:rsidRPr="00D8075A" w:rsidRDefault="00120EBF" w:rsidP="00120EBF">
      <w:pPr>
        <w:rPr>
          <w:rFonts w:ascii="Arial Narrow" w:hAnsi="Arial Narrow"/>
          <w:sz w:val="18"/>
        </w:rPr>
      </w:pPr>
      <w:r w:rsidRPr="00D8075A">
        <w:rPr>
          <w:rFonts w:ascii="Arial Narrow" w:hAnsi="Arial Narrow"/>
          <w:sz w:val="18"/>
        </w:rPr>
        <w:t>Source: Sheet ‘Section 3 Results Tables’ of Attachment 11_CE Model.xlsb of the submission</w:t>
      </w:r>
    </w:p>
    <w:p w:rsidR="00694239" w:rsidRPr="00D8075A" w:rsidRDefault="00694239" w:rsidP="00694239">
      <w:pPr>
        <w:keepNext/>
        <w:keepLines/>
        <w:widowControl/>
        <w:spacing w:before="240" w:after="120"/>
        <w:jc w:val="left"/>
        <w:outlineLvl w:val="1"/>
        <w:rPr>
          <w:rFonts w:asciiTheme="minorHAnsi" w:eastAsiaTheme="majorEastAsia" w:hAnsiTheme="minorHAnsi" w:cstheme="majorBidi"/>
          <w:b/>
          <w:i/>
          <w:snapToGrid/>
          <w:sz w:val="28"/>
          <w:szCs w:val="28"/>
        </w:rPr>
      </w:pPr>
      <w:r w:rsidRPr="00D8075A">
        <w:rPr>
          <w:rFonts w:asciiTheme="minorHAnsi" w:eastAsiaTheme="majorEastAsia" w:hAnsiTheme="minorHAnsi" w:cstheme="majorBidi"/>
          <w:b/>
          <w:i/>
          <w:snapToGrid/>
          <w:sz w:val="28"/>
          <w:szCs w:val="28"/>
        </w:rPr>
        <w:t>Drug cost/patient/course</w:t>
      </w:r>
      <w:bookmarkEnd w:id="16"/>
      <w:r w:rsidRPr="00D8075A">
        <w:rPr>
          <w:rFonts w:asciiTheme="minorHAnsi" w:eastAsiaTheme="majorEastAsia" w:hAnsiTheme="minorHAnsi" w:cstheme="majorBidi"/>
          <w:b/>
          <w:i/>
          <w:snapToGrid/>
          <w:sz w:val="28"/>
          <w:szCs w:val="28"/>
        </w:rPr>
        <w:t>: $</w:t>
      </w:r>
      <w:r w:rsidR="00E43539">
        <w:rPr>
          <w:rFonts w:asciiTheme="minorHAnsi" w:eastAsiaTheme="majorEastAsia" w:hAnsiTheme="minorHAnsi" w:cstheme="majorBidi"/>
          <w:b/>
          <w:i/>
          <w:noProof/>
          <w:snapToGrid/>
          <w:color w:val="000000"/>
          <w:sz w:val="28"/>
          <w:szCs w:val="28"/>
          <w:highlight w:val="black"/>
        </w:rPr>
        <w:t>''''''''''''</w:t>
      </w:r>
    </w:p>
    <w:p w:rsidR="00694239" w:rsidRPr="00D8075A" w:rsidRDefault="00694239" w:rsidP="00C3432B">
      <w:pPr>
        <w:pStyle w:val="ListParagraph"/>
        <w:widowControl/>
        <w:numPr>
          <w:ilvl w:val="1"/>
          <w:numId w:val="1"/>
        </w:numPr>
        <w:rPr>
          <w:rFonts w:asciiTheme="minorHAnsi" w:eastAsiaTheme="minorHAnsi" w:hAnsiTheme="minorHAnsi" w:cstheme="minorBidi"/>
          <w:snapToGrid/>
          <w:color w:val="000000" w:themeColor="text1"/>
        </w:rPr>
      </w:pPr>
      <w:r w:rsidRPr="00D8075A">
        <w:rPr>
          <w:rFonts w:asciiTheme="minorHAnsi" w:eastAsiaTheme="minorHAnsi" w:hAnsiTheme="minorHAnsi" w:cstheme="minorBidi"/>
          <w:snapToGrid/>
          <w:color w:val="000000" w:themeColor="text1"/>
        </w:rPr>
        <w:t xml:space="preserve">Based on an average dose per treatment of 849.2 mg per person, </w:t>
      </w:r>
      <w:r w:rsidR="00B6781E" w:rsidRPr="00D8075A">
        <w:rPr>
          <w:rFonts w:asciiTheme="minorHAnsi" w:eastAsiaTheme="minorHAnsi" w:hAnsiTheme="minorHAnsi" w:cstheme="minorBidi"/>
          <w:snapToGrid/>
          <w:color w:val="000000" w:themeColor="text1"/>
        </w:rPr>
        <w:t xml:space="preserve">the dosing frequency being every two weeks, the median duration of treatment of 17 weeks (i.e. 8 treatments) from the </w:t>
      </w:r>
      <w:r w:rsidR="00B6781E" w:rsidRPr="00D8075A">
        <w:rPr>
          <w:rFonts w:asciiTheme="minorHAnsi" w:eastAsiaTheme="minorHAnsi" w:hAnsiTheme="minorHAnsi" w:cstheme="minorBidi"/>
          <w:snapToGrid/>
        </w:rPr>
        <w:t>JAVELIN Merkel 200 study (Part A), and a cost of $</w:t>
      </w:r>
      <w:r w:rsidR="00E43539">
        <w:rPr>
          <w:rFonts w:asciiTheme="minorHAnsi" w:eastAsiaTheme="minorHAnsi" w:hAnsiTheme="minorHAnsi" w:cstheme="minorBidi"/>
          <w:noProof/>
          <w:snapToGrid/>
          <w:color w:val="000000"/>
          <w:highlight w:val="black"/>
        </w:rPr>
        <w:t>''''''''''''''''''</w:t>
      </w:r>
      <w:r w:rsidR="00B6781E" w:rsidRPr="00D8075A">
        <w:rPr>
          <w:rFonts w:asciiTheme="minorHAnsi" w:eastAsiaTheme="minorHAnsi" w:hAnsiTheme="minorHAnsi" w:cstheme="minorBidi"/>
          <w:snapToGrid/>
        </w:rPr>
        <w:t xml:space="preserve"> per vial (</w:t>
      </w:r>
      <w:r w:rsidR="00B6781E" w:rsidRPr="00D8075A">
        <w:rPr>
          <w:rFonts w:asciiTheme="minorHAnsi" w:eastAsiaTheme="minorHAnsi" w:hAnsiTheme="minorHAnsi" w:cstheme="minorHAnsi"/>
          <w:snapToGrid/>
          <w:szCs w:val="24"/>
        </w:rPr>
        <w:t>200 mg vials)</w:t>
      </w:r>
      <w:r w:rsidRPr="00D8075A">
        <w:rPr>
          <w:rFonts w:asciiTheme="minorHAnsi" w:eastAsiaTheme="minorHAnsi" w:hAnsiTheme="minorHAnsi" w:cstheme="minorHAnsi"/>
          <w:snapToGrid/>
          <w:szCs w:val="24"/>
        </w:rPr>
        <w:t>.</w:t>
      </w:r>
      <w:r w:rsidR="002E24AC" w:rsidRPr="00D8075A">
        <w:rPr>
          <w:rFonts w:asciiTheme="minorHAnsi" w:eastAsiaTheme="minorHAnsi" w:hAnsiTheme="minorHAnsi" w:cstheme="minorHAnsi"/>
          <w:snapToGrid/>
          <w:szCs w:val="24"/>
        </w:rPr>
        <w:t xml:space="preserve"> </w:t>
      </w:r>
      <w:r w:rsidR="00C664B4" w:rsidRPr="00D8075A">
        <w:rPr>
          <w:rFonts w:asciiTheme="minorHAnsi" w:eastAsiaTheme="minorHAnsi" w:hAnsiTheme="minorHAnsi" w:cstheme="minorHAnsi"/>
          <w:snapToGrid/>
          <w:szCs w:val="24"/>
        </w:rPr>
        <w:t xml:space="preserve">However, </w:t>
      </w:r>
      <w:r w:rsidR="00F40A89" w:rsidRPr="00D8075A">
        <w:rPr>
          <w:rFonts w:asciiTheme="minorHAnsi" w:hAnsiTheme="minorHAnsi" w:cstheme="minorHAnsi"/>
          <w:szCs w:val="24"/>
        </w:rPr>
        <w:t>t</w:t>
      </w:r>
      <w:r w:rsidR="00E779BC" w:rsidRPr="00D8075A">
        <w:rPr>
          <w:rFonts w:asciiTheme="minorHAnsi" w:hAnsiTheme="minorHAnsi" w:cstheme="minorHAnsi"/>
          <w:szCs w:val="24"/>
        </w:rPr>
        <w:t xml:space="preserve">he PBAC noted that </w:t>
      </w:r>
      <w:r w:rsidR="004E3237" w:rsidRPr="00D8075A">
        <w:rPr>
          <w:rFonts w:asciiTheme="minorHAnsi" w:hAnsiTheme="minorHAnsi" w:cstheme="minorHAnsi"/>
          <w:szCs w:val="24"/>
        </w:rPr>
        <w:t xml:space="preserve">the treatment duration is extrapolated in the model </w:t>
      </w:r>
      <w:r w:rsidR="00F40A89" w:rsidRPr="00D8075A">
        <w:rPr>
          <w:rFonts w:asciiTheme="minorHAnsi" w:hAnsiTheme="minorHAnsi" w:cstheme="minorHAnsi"/>
          <w:szCs w:val="24"/>
        </w:rPr>
        <w:t xml:space="preserve">and </w:t>
      </w:r>
      <w:r w:rsidR="00FE5174" w:rsidRPr="00D8075A">
        <w:rPr>
          <w:rFonts w:asciiTheme="minorHAnsi" w:hAnsiTheme="minorHAnsi" w:cstheme="minorHAnsi"/>
          <w:szCs w:val="24"/>
        </w:rPr>
        <w:t>it is estimated that the mean number of weeks of treatment is 34</w:t>
      </w:r>
      <w:r w:rsidR="004606BB" w:rsidRPr="00D8075A">
        <w:rPr>
          <w:rFonts w:asciiTheme="minorHAnsi" w:hAnsiTheme="minorHAnsi" w:cstheme="minorHAnsi"/>
          <w:szCs w:val="24"/>
        </w:rPr>
        <w:t xml:space="preserve"> </w:t>
      </w:r>
      <w:r w:rsidR="00C00E16" w:rsidRPr="00D8075A">
        <w:rPr>
          <w:rFonts w:asciiTheme="minorHAnsi" w:hAnsiTheme="minorHAnsi" w:cstheme="minorHAnsi"/>
          <w:szCs w:val="24"/>
        </w:rPr>
        <w:t>weeks</w:t>
      </w:r>
      <w:r w:rsidR="004606BB" w:rsidRPr="00D8075A">
        <w:rPr>
          <w:rFonts w:asciiTheme="minorHAnsi" w:hAnsiTheme="minorHAnsi" w:cstheme="minorHAnsi"/>
          <w:szCs w:val="24"/>
        </w:rPr>
        <w:t xml:space="preserve">, </w:t>
      </w:r>
      <w:r w:rsidR="00F40A89" w:rsidRPr="00D8075A">
        <w:rPr>
          <w:rFonts w:asciiTheme="minorHAnsi" w:hAnsiTheme="minorHAnsi" w:cstheme="minorHAnsi"/>
          <w:szCs w:val="24"/>
        </w:rPr>
        <w:t>which</w:t>
      </w:r>
      <w:r w:rsidR="00CB4B5E" w:rsidRPr="00D8075A">
        <w:rPr>
          <w:rFonts w:asciiTheme="minorHAnsi" w:hAnsiTheme="minorHAnsi" w:cstheme="minorHAnsi"/>
          <w:szCs w:val="24"/>
        </w:rPr>
        <w:t xml:space="preserve"> would</w:t>
      </w:r>
      <w:r w:rsidR="00F40A89" w:rsidRPr="00D8075A">
        <w:rPr>
          <w:rFonts w:asciiTheme="minorHAnsi" w:hAnsiTheme="minorHAnsi" w:cstheme="minorHAnsi"/>
          <w:szCs w:val="24"/>
        </w:rPr>
        <w:t xml:space="preserve"> </w:t>
      </w:r>
      <w:r w:rsidR="00DA710D" w:rsidRPr="00D8075A">
        <w:rPr>
          <w:rFonts w:asciiTheme="minorHAnsi" w:hAnsiTheme="minorHAnsi" w:cstheme="minorHAnsi"/>
          <w:szCs w:val="24"/>
        </w:rPr>
        <w:t>approximately double</w:t>
      </w:r>
      <w:r w:rsidR="00F40A89" w:rsidRPr="00D8075A">
        <w:rPr>
          <w:rFonts w:asciiTheme="minorHAnsi" w:hAnsiTheme="minorHAnsi" w:cstheme="minorHAnsi"/>
          <w:szCs w:val="24"/>
        </w:rPr>
        <w:t xml:space="preserve"> </w:t>
      </w:r>
      <w:r w:rsidR="002E24AC" w:rsidRPr="00D8075A">
        <w:rPr>
          <w:rFonts w:asciiTheme="minorHAnsi" w:hAnsiTheme="minorHAnsi" w:cstheme="minorHAnsi"/>
          <w:szCs w:val="24"/>
        </w:rPr>
        <w:t xml:space="preserve">the </w:t>
      </w:r>
      <w:r w:rsidR="009C069C" w:rsidRPr="00D8075A">
        <w:rPr>
          <w:rFonts w:asciiTheme="minorHAnsi" w:hAnsiTheme="minorHAnsi" w:cstheme="minorHAnsi"/>
          <w:szCs w:val="24"/>
        </w:rPr>
        <w:t xml:space="preserve">cost </w:t>
      </w:r>
      <w:r w:rsidR="002E24AC" w:rsidRPr="00D8075A">
        <w:rPr>
          <w:rFonts w:asciiTheme="minorHAnsi" w:hAnsiTheme="minorHAnsi" w:cstheme="minorHAnsi"/>
          <w:szCs w:val="24"/>
        </w:rPr>
        <w:t>per patient</w:t>
      </w:r>
      <w:r w:rsidR="000B619B" w:rsidRPr="00D8075A">
        <w:rPr>
          <w:rFonts w:asciiTheme="minorHAnsi" w:hAnsiTheme="minorHAnsi" w:cstheme="minorHAnsi"/>
          <w:szCs w:val="24"/>
        </w:rPr>
        <w:t>. Noting the uncertainty surrounding treatment duration, the PBAC considered that the average drug cost per patient</w:t>
      </w:r>
      <w:r w:rsidR="002E24AC" w:rsidRPr="00D8075A">
        <w:rPr>
          <w:rFonts w:asciiTheme="minorHAnsi" w:hAnsiTheme="minorHAnsi" w:cstheme="minorHAnsi"/>
          <w:szCs w:val="24"/>
        </w:rPr>
        <w:t xml:space="preserve"> </w:t>
      </w:r>
      <w:r w:rsidR="000B619B" w:rsidRPr="00D8075A">
        <w:rPr>
          <w:rFonts w:asciiTheme="minorHAnsi" w:hAnsiTheme="minorHAnsi" w:cstheme="minorHAnsi"/>
          <w:szCs w:val="24"/>
        </w:rPr>
        <w:t xml:space="preserve">is likely to be substantially higher than </w:t>
      </w:r>
      <w:r w:rsidR="000B619B" w:rsidRPr="00D8075A">
        <w:rPr>
          <w:rFonts w:asciiTheme="minorHAnsi" w:eastAsiaTheme="majorEastAsia" w:hAnsiTheme="minorHAnsi" w:cstheme="majorBidi"/>
          <w:snapToGrid/>
          <w:szCs w:val="24"/>
        </w:rPr>
        <w:t>$</w:t>
      </w:r>
      <w:r w:rsidR="00E43539">
        <w:rPr>
          <w:rFonts w:asciiTheme="minorHAnsi" w:eastAsiaTheme="majorEastAsia" w:hAnsiTheme="minorHAnsi" w:cstheme="majorBidi"/>
          <w:noProof/>
          <w:snapToGrid/>
          <w:color w:val="000000"/>
          <w:szCs w:val="24"/>
          <w:highlight w:val="black"/>
        </w:rPr>
        <w:t>''''''''''''''</w:t>
      </w:r>
      <w:r w:rsidR="000B619B" w:rsidRPr="00D8075A">
        <w:rPr>
          <w:rFonts w:asciiTheme="minorHAnsi" w:eastAsiaTheme="majorEastAsia" w:hAnsiTheme="minorHAnsi" w:cstheme="majorBidi"/>
          <w:snapToGrid/>
          <w:szCs w:val="24"/>
        </w:rPr>
        <w:t>.</w:t>
      </w:r>
    </w:p>
    <w:p w:rsidR="00694239" w:rsidRPr="00D8075A" w:rsidRDefault="00694239" w:rsidP="00694239">
      <w:pPr>
        <w:keepNext/>
        <w:keepLines/>
        <w:widowControl/>
        <w:spacing w:before="240" w:after="120"/>
        <w:jc w:val="left"/>
        <w:outlineLvl w:val="1"/>
        <w:rPr>
          <w:rFonts w:asciiTheme="minorHAnsi" w:eastAsiaTheme="majorEastAsia" w:hAnsiTheme="minorHAnsi" w:cstheme="majorBidi"/>
          <w:b/>
          <w:i/>
          <w:snapToGrid/>
          <w:sz w:val="28"/>
          <w:szCs w:val="28"/>
        </w:rPr>
      </w:pPr>
      <w:r w:rsidRPr="00D8075A">
        <w:rPr>
          <w:rFonts w:asciiTheme="minorHAnsi" w:eastAsiaTheme="majorEastAsia" w:hAnsiTheme="minorHAnsi" w:cstheme="majorBidi"/>
          <w:b/>
          <w:i/>
          <w:snapToGrid/>
          <w:sz w:val="28"/>
          <w:szCs w:val="28"/>
        </w:rPr>
        <w:t>Estimated PBS usage &amp; financial implications</w:t>
      </w:r>
    </w:p>
    <w:p w:rsidR="008B2B87" w:rsidRPr="00D8075A" w:rsidRDefault="008B2B87" w:rsidP="00C3432B">
      <w:pPr>
        <w:pStyle w:val="ListParagraph"/>
        <w:widowControl/>
        <w:numPr>
          <w:ilvl w:val="1"/>
          <w:numId w:val="1"/>
        </w:numPr>
      </w:pPr>
      <w:bookmarkStart w:id="17" w:name="_Toc514233100"/>
      <w:r w:rsidRPr="00D8075A">
        <w:t>This submission was considered by DUSC</w:t>
      </w:r>
      <w:r w:rsidRPr="00D8075A">
        <w:rPr>
          <w:color w:val="0070C0"/>
        </w:rPr>
        <w:t xml:space="preserve">. </w:t>
      </w:r>
      <w:r w:rsidRPr="00D8075A">
        <w:t xml:space="preserve">The submission took an epidemiological approach. </w:t>
      </w:r>
      <w:r w:rsidR="00EC4B35" w:rsidRPr="00D8075A">
        <w:t xml:space="preserve">The DUSC advised that this was reasonable. </w:t>
      </w:r>
      <w:r w:rsidRPr="00D8075A">
        <w:t>Key sources for the approach were:</w:t>
      </w:r>
    </w:p>
    <w:p w:rsidR="008B2B87" w:rsidRPr="00D8075A" w:rsidRDefault="008B2B87" w:rsidP="00C3432B">
      <w:pPr>
        <w:pStyle w:val="ListParagraph"/>
        <w:widowControl/>
        <w:numPr>
          <w:ilvl w:val="0"/>
          <w:numId w:val="5"/>
        </w:numPr>
      </w:pPr>
      <w:r w:rsidRPr="00D8075A">
        <w:t>Incident and prevalent patients: AIHW 2016 Skin Cancer Report</w:t>
      </w:r>
    </w:p>
    <w:p w:rsidR="008B2B87" w:rsidRPr="00D8075A" w:rsidRDefault="008B2B87" w:rsidP="00C3432B">
      <w:pPr>
        <w:pStyle w:val="ListParagraph"/>
        <w:widowControl/>
        <w:numPr>
          <w:ilvl w:val="0"/>
          <w:numId w:val="5"/>
        </w:numPr>
      </w:pPr>
      <w:r w:rsidRPr="00D8075A">
        <w:t xml:space="preserve">Treatment utilisation: </w:t>
      </w:r>
      <w:proofErr w:type="spellStart"/>
      <w:r w:rsidRPr="00D8075A">
        <w:t>Nivolumab</w:t>
      </w:r>
      <w:proofErr w:type="spellEnd"/>
      <w:r w:rsidRPr="00D8075A">
        <w:t xml:space="preserve"> PSD 2017</w:t>
      </w:r>
    </w:p>
    <w:p w:rsidR="008B2B87" w:rsidRPr="00D8075A" w:rsidRDefault="008B2B87" w:rsidP="00C3432B">
      <w:pPr>
        <w:pStyle w:val="ListParagraph"/>
        <w:widowControl/>
        <w:numPr>
          <w:ilvl w:val="0"/>
          <w:numId w:val="5"/>
        </w:numPr>
      </w:pPr>
      <w:r w:rsidRPr="00D8075A">
        <w:t>Costs: Proposed cost presented in the submission and PBS listed costs for chemotherapy</w:t>
      </w:r>
    </w:p>
    <w:p w:rsidR="00B172D4" w:rsidRPr="00D8075A" w:rsidRDefault="001257B5" w:rsidP="00C3432B">
      <w:pPr>
        <w:pStyle w:val="ListParagraph"/>
        <w:widowControl/>
        <w:numPr>
          <w:ilvl w:val="1"/>
          <w:numId w:val="1"/>
        </w:numPr>
      </w:pPr>
      <w:r w:rsidRPr="00D8075A">
        <w:t xml:space="preserve">The </w:t>
      </w:r>
      <w:r w:rsidR="00B172D4" w:rsidRPr="00D8075A">
        <w:t xml:space="preserve">DUSC noted that the incidence approach used in the submission did not capture patients progressing to metastatic disease who initially presented with earlier stages </w:t>
      </w:r>
      <w:r w:rsidR="00B172D4" w:rsidRPr="00D8075A">
        <w:lastRenderedPageBreak/>
        <w:t xml:space="preserve">of disease. </w:t>
      </w:r>
      <w:r w:rsidR="005E53B4" w:rsidRPr="00D8075A">
        <w:t>The DUSC considered that t</w:t>
      </w:r>
      <w:r w:rsidR="00B172D4" w:rsidRPr="00D8075A">
        <w:t>he estimate of metastatic MCC patients (52%) was overestimated</w:t>
      </w:r>
      <w:r w:rsidR="005E53B4" w:rsidRPr="00D8075A">
        <w:t xml:space="preserve"> and noted that t</w:t>
      </w:r>
      <w:r w:rsidR="00B172D4" w:rsidRPr="00D8075A">
        <w:t xml:space="preserve">he two </w:t>
      </w:r>
      <w:proofErr w:type="gramStart"/>
      <w:r w:rsidR="00B172D4" w:rsidRPr="00D8075A">
        <w:t>population</w:t>
      </w:r>
      <w:proofErr w:type="gramEnd"/>
      <w:r w:rsidR="00B172D4" w:rsidRPr="00D8075A">
        <w:t xml:space="preserve"> based observational studies stated the proportion of patients who died from MCC was 32-33%.</w:t>
      </w:r>
      <w:r w:rsidR="007E2E39" w:rsidRPr="00D8075A">
        <w:t xml:space="preserve"> </w:t>
      </w:r>
    </w:p>
    <w:p w:rsidR="008B2B87" w:rsidRPr="00D8075A" w:rsidRDefault="008B2B87" w:rsidP="00B33A84">
      <w:pPr>
        <w:pStyle w:val="ListParagraph"/>
        <w:widowControl/>
        <w:numPr>
          <w:ilvl w:val="1"/>
          <w:numId w:val="1"/>
        </w:numPr>
      </w:pPr>
      <w:r w:rsidRPr="00D8075A">
        <w:t>The estimated use and financial implications for a second-line listing of avelumab are presented in Table 12.</w:t>
      </w:r>
    </w:p>
    <w:p w:rsidR="008B2B87" w:rsidRPr="00D8075A" w:rsidRDefault="008B2B87" w:rsidP="008B2B87">
      <w:pPr>
        <w:keepNext/>
        <w:widowControl/>
      </w:pPr>
      <w:r w:rsidRPr="00D8075A">
        <w:rPr>
          <w:rStyle w:val="CommentReference"/>
        </w:rPr>
        <w:t>Table 12: Estimated use and financial implications</w:t>
      </w:r>
      <w:r w:rsidR="00275112" w:rsidRPr="00D8075A">
        <w:rPr>
          <w:rStyle w:val="CommentReference"/>
        </w:rPr>
        <w:t xml:space="preserve"> for a second-line listing</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2: Estimated use and financial implications for a second-line listing"/>
        <w:tblDescription w:val="Table 12: Estimated use and financial implications for a second-line listing"/>
      </w:tblPr>
      <w:tblGrid>
        <w:gridCol w:w="2016"/>
        <w:gridCol w:w="1166"/>
        <w:gridCol w:w="1165"/>
        <w:gridCol w:w="1165"/>
        <w:gridCol w:w="1165"/>
        <w:gridCol w:w="1165"/>
        <w:gridCol w:w="1163"/>
      </w:tblGrid>
      <w:tr w:rsidR="008B2B87" w:rsidRPr="00D8075A" w:rsidTr="007D7636">
        <w:trPr>
          <w:tblHeader/>
        </w:trPr>
        <w:tc>
          <w:tcPr>
            <w:tcW w:w="1119" w:type="pct"/>
            <w:shd w:val="clear" w:color="auto" w:fill="auto"/>
            <w:vAlign w:val="center"/>
          </w:tcPr>
          <w:p w:rsidR="008B2B87" w:rsidRPr="00D8075A" w:rsidRDefault="008B2B87" w:rsidP="0077318D">
            <w:pPr>
              <w:pStyle w:val="Tabletext"/>
              <w:keepNext/>
              <w:rPr>
                <w:sz w:val="18"/>
                <w:szCs w:val="18"/>
              </w:rPr>
            </w:pPr>
          </w:p>
        </w:tc>
        <w:tc>
          <w:tcPr>
            <w:tcW w:w="647" w:type="pct"/>
            <w:shd w:val="clear" w:color="auto" w:fill="auto"/>
            <w:vAlign w:val="center"/>
          </w:tcPr>
          <w:p w:rsidR="008B2B87" w:rsidRPr="00D8075A" w:rsidRDefault="008B2B87" w:rsidP="0077318D">
            <w:pPr>
              <w:pStyle w:val="Tabletext"/>
              <w:keepNext/>
              <w:jc w:val="center"/>
              <w:rPr>
                <w:b/>
                <w:sz w:val="18"/>
                <w:szCs w:val="18"/>
              </w:rPr>
            </w:pPr>
            <w:r w:rsidRPr="00D8075A">
              <w:rPr>
                <w:b/>
                <w:sz w:val="18"/>
                <w:szCs w:val="18"/>
              </w:rPr>
              <w:t>Year 1</w:t>
            </w:r>
          </w:p>
        </w:tc>
        <w:tc>
          <w:tcPr>
            <w:tcW w:w="647" w:type="pct"/>
            <w:shd w:val="clear" w:color="auto" w:fill="auto"/>
            <w:vAlign w:val="center"/>
          </w:tcPr>
          <w:p w:rsidR="008B2B87" w:rsidRPr="00D8075A" w:rsidRDefault="008B2B87" w:rsidP="0077318D">
            <w:pPr>
              <w:pStyle w:val="Tabletext"/>
              <w:keepNext/>
              <w:jc w:val="center"/>
              <w:rPr>
                <w:b/>
                <w:sz w:val="18"/>
                <w:szCs w:val="18"/>
              </w:rPr>
            </w:pPr>
            <w:r w:rsidRPr="00D8075A">
              <w:rPr>
                <w:b/>
                <w:sz w:val="18"/>
                <w:szCs w:val="18"/>
              </w:rPr>
              <w:t>Year 2</w:t>
            </w:r>
          </w:p>
        </w:tc>
        <w:tc>
          <w:tcPr>
            <w:tcW w:w="647" w:type="pct"/>
            <w:shd w:val="clear" w:color="auto" w:fill="auto"/>
            <w:vAlign w:val="center"/>
          </w:tcPr>
          <w:p w:rsidR="008B2B87" w:rsidRPr="00D8075A" w:rsidRDefault="008B2B87" w:rsidP="0077318D">
            <w:pPr>
              <w:pStyle w:val="Tabletext"/>
              <w:keepNext/>
              <w:jc w:val="center"/>
              <w:rPr>
                <w:b/>
                <w:sz w:val="18"/>
                <w:szCs w:val="18"/>
              </w:rPr>
            </w:pPr>
            <w:r w:rsidRPr="00D8075A">
              <w:rPr>
                <w:b/>
                <w:sz w:val="18"/>
                <w:szCs w:val="18"/>
              </w:rPr>
              <w:t>Year 3</w:t>
            </w:r>
          </w:p>
        </w:tc>
        <w:tc>
          <w:tcPr>
            <w:tcW w:w="647" w:type="pct"/>
            <w:shd w:val="clear" w:color="auto" w:fill="auto"/>
            <w:vAlign w:val="center"/>
          </w:tcPr>
          <w:p w:rsidR="008B2B87" w:rsidRPr="00D8075A" w:rsidRDefault="008B2B87" w:rsidP="0077318D">
            <w:pPr>
              <w:pStyle w:val="Tabletext"/>
              <w:keepNext/>
              <w:jc w:val="center"/>
              <w:rPr>
                <w:b/>
                <w:sz w:val="18"/>
                <w:szCs w:val="18"/>
              </w:rPr>
            </w:pPr>
            <w:r w:rsidRPr="00D8075A">
              <w:rPr>
                <w:b/>
                <w:sz w:val="18"/>
                <w:szCs w:val="18"/>
              </w:rPr>
              <w:t>Year 4</w:t>
            </w:r>
          </w:p>
        </w:tc>
        <w:tc>
          <w:tcPr>
            <w:tcW w:w="647" w:type="pct"/>
            <w:shd w:val="clear" w:color="auto" w:fill="auto"/>
            <w:vAlign w:val="center"/>
          </w:tcPr>
          <w:p w:rsidR="008B2B87" w:rsidRPr="00D8075A" w:rsidRDefault="008B2B87" w:rsidP="0077318D">
            <w:pPr>
              <w:pStyle w:val="Tabletext"/>
              <w:keepNext/>
              <w:jc w:val="center"/>
              <w:rPr>
                <w:b/>
                <w:sz w:val="18"/>
                <w:szCs w:val="18"/>
              </w:rPr>
            </w:pPr>
            <w:r w:rsidRPr="00D8075A">
              <w:rPr>
                <w:b/>
                <w:sz w:val="18"/>
                <w:szCs w:val="18"/>
              </w:rPr>
              <w:t>Year 5</w:t>
            </w:r>
          </w:p>
        </w:tc>
        <w:tc>
          <w:tcPr>
            <w:tcW w:w="647" w:type="pct"/>
          </w:tcPr>
          <w:p w:rsidR="008B2B87" w:rsidRPr="00D8075A" w:rsidRDefault="008B2B87" w:rsidP="0077318D">
            <w:pPr>
              <w:pStyle w:val="Tabletext"/>
              <w:keepNext/>
              <w:jc w:val="center"/>
              <w:rPr>
                <w:b/>
                <w:sz w:val="18"/>
                <w:szCs w:val="18"/>
              </w:rPr>
            </w:pPr>
            <w:r w:rsidRPr="00D8075A">
              <w:rPr>
                <w:b/>
                <w:sz w:val="18"/>
                <w:szCs w:val="18"/>
              </w:rPr>
              <w:t>Year 6</w:t>
            </w:r>
          </w:p>
        </w:tc>
      </w:tr>
      <w:tr w:rsidR="008B2B87" w:rsidRPr="00D8075A" w:rsidTr="0077318D">
        <w:tc>
          <w:tcPr>
            <w:tcW w:w="5000" w:type="pct"/>
            <w:gridSpan w:val="7"/>
            <w:shd w:val="clear" w:color="auto" w:fill="auto"/>
            <w:vAlign w:val="center"/>
          </w:tcPr>
          <w:p w:rsidR="008B2B87" w:rsidRPr="00D8075A" w:rsidRDefault="008B2B87" w:rsidP="0077318D">
            <w:pPr>
              <w:pStyle w:val="Tabletext"/>
              <w:keepNext/>
              <w:rPr>
                <w:b/>
                <w:bCs/>
                <w:color w:val="000000"/>
                <w:sz w:val="18"/>
                <w:szCs w:val="18"/>
              </w:rPr>
            </w:pPr>
            <w:r w:rsidRPr="00D8075A">
              <w:rPr>
                <w:b/>
                <w:bCs/>
                <w:color w:val="000000"/>
                <w:sz w:val="18"/>
                <w:szCs w:val="18"/>
              </w:rPr>
              <w:t>Estimated extent of use</w:t>
            </w:r>
          </w:p>
        </w:tc>
      </w:tr>
      <w:tr w:rsidR="007D7636" w:rsidRPr="00D8075A" w:rsidTr="007D7636">
        <w:tc>
          <w:tcPr>
            <w:tcW w:w="1119" w:type="pct"/>
            <w:shd w:val="clear" w:color="auto" w:fill="auto"/>
            <w:vAlign w:val="center"/>
          </w:tcPr>
          <w:p w:rsidR="007D7636" w:rsidRPr="00D8075A" w:rsidRDefault="007D7636" w:rsidP="0077318D">
            <w:pPr>
              <w:pStyle w:val="Tabletext"/>
              <w:rPr>
                <w:sz w:val="18"/>
                <w:szCs w:val="18"/>
              </w:rPr>
            </w:pPr>
            <w:r w:rsidRPr="00D8075A">
              <w:rPr>
                <w:sz w:val="18"/>
                <w:szCs w:val="18"/>
              </w:rPr>
              <w:t>Number of patients treated</w:t>
            </w:r>
          </w:p>
        </w:tc>
        <w:tc>
          <w:tcPr>
            <w:tcW w:w="647" w:type="pct"/>
            <w:shd w:val="clear" w:color="auto" w:fill="auto"/>
          </w:tcPr>
          <w:p w:rsidR="007D7636" w:rsidRPr="00E43539" w:rsidRDefault="00E43539" w:rsidP="0077318D">
            <w:pPr>
              <w:pStyle w:val="Tabletext"/>
              <w:jc w:val="center"/>
              <w:rPr>
                <w:bCs/>
                <w:color w:val="000000"/>
                <w:sz w:val="18"/>
                <w:szCs w:val="18"/>
                <w:highlight w:val="black"/>
              </w:rPr>
            </w:pPr>
            <w:r>
              <w:rPr>
                <w:noProof/>
                <w:color w:val="000000"/>
                <w:sz w:val="18"/>
                <w:szCs w:val="18"/>
                <w:highlight w:val="black"/>
              </w:rPr>
              <w:t>''''''''</w:t>
            </w:r>
          </w:p>
        </w:tc>
        <w:tc>
          <w:tcPr>
            <w:tcW w:w="647" w:type="pct"/>
            <w:shd w:val="clear" w:color="auto" w:fill="auto"/>
          </w:tcPr>
          <w:p w:rsidR="007D7636" w:rsidRPr="00E43539" w:rsidRDefault="00E43539" w:rsidP="0077318D">
            <w:pPr>
              <w:pStyle w:val="Tabletext"/>
              <w:jc w:val="center"/>
              <w:rPr>
                <w:bCs/>
                <w:color w:val="000000"/>
                <w:sz w:val="18"/>
                <w:szCs w:val="18"/>
                <w:highlight w:val="black"/>
              </w:rPr>
            </w:pPr>
            <w:r>
              <w:rPr>
                <w:noProof/>
                <w:color w:val="000000"/>
                <w:sz w:val="18"/>
                <w:szCs w:val="18"/>
                <w:highlight w:val="black"/>
              </w:rPr>
              <w:t>'''''''''</w:t>
            </w:r>
          </w:p>
        </w:tc>
        <w:tc>
          <w:tcPr>
            <w:tcW w:w="647" w:type="pct"/>
            <w:shd w:val="clear" w:color="auto" w:fill="auto"/>
          </w:tcPr>
          <w:p w:rsidR="007D7636" w:rsidRPr="00E43539" w:rsidRDefault="00E43539" w:rsidP="0077318D">
            <w:pPr>
              <w:pStyle w:val="Tabletext"/>
              <w:jc w:val="center"/>
              <w:rPr>
                <w:bCs/>
                <w:color w:val="000000"/>
                <w:sz w:val="18"/>
                <w:szCs w:val="18"/>
                <w:highlight w:val="black"/>
              </w:rPr>
            </w:pPr>
            <w:r>
              <w:rPr>
                <w:noProof/>
                <w:color w:val="000000"/>
                <w:sz w:val="18"/>
                <w:szCs w:val="18"/>
                <w:highlight w:val="black"/>
              </w:rPr>
              <w:t>''''''''</w:t>
            </w:r>
          </w:p>
        </w:tc>
        <w:tc>
          <w:tcPr>
            <w:tcW w:w="647" w:type="pct"/>
            <w:shd w:val="clear" w:color="auto" w:fill="auto"/>
          </w:tcPr>
          <w:p w:rsidR="007D7636" w:rsidRPr="00E43539" w:rsidRDefault="00E43539" w:rsidP="0077318D">
            <w:pPr>
              <w:pStyle w:val="Tabletext"/>
              <w:jc w:val="center"/>
              <w:rPr>
                <w:bCs/>
                <w:color w:val="000000"/>
                <w:sz w:val="18"/>
                <w:szCs w:val="18"/>
                <w:highlight w:val="black"/>
              </w:rPr>
            </w:pPr>
            <w:r>
              <w:rPr>
                <w:noProof/>
                <w:color w:val="000000"/>
                <w:sz w:val="18"/>
                <w:szCs w:val="18"/>
                <w:highlight w:val="black"/>
              </w:rPr>
              <w:t>''''''''''</w:t>
            </w:r>
          </w:p>
        </w:tc>
        <w:tc>
          <w:tcPr>
            <w:tcW w:w="647" w:type="pct"/>
            <w:shd w:val="clear" w:color="auto" w:fill="auto"/>
          </w:tcPr>
          <w:p w:rsidR="007D7636" w:rsidRPr="00E43539" w:rsidRDefault="00E43539" w:rsidP="0077318D">
            <w:pPr>
              <w:pStyle w:val="Tabletext"/>
              <w:jc w:val="center"/>
              <w:rPr>
                <w:bCs/>
                <w:color w:val="000000"/>
                <w:sz w:val="18"/>
                <w:szCs w:val="18"/>
                <w:highlight w:val="black"/>
              </w:rPr>
            </w:pPr>
            <w:r>
              <w:rPr>
                <w:noProof/>
                <w:color w:val="000000"/>
                <w:sz w:val="18"/>
                <w:szCs w:val="18"/>
                <w:highlight w:val="black"/>
              </w:rPr>
              <w:t>'''''''''</w:t>
            </w:r>
          </w:p>
        </w:tc>
        <w:tc>
          <w:tcPr>
            <w:tcW w:w="647" w:type="pct"/>
          </w:tcPr>
          <w:p w:rsidR="007D7636" w:rsidRPr="00E43539" w:rsidRDefault="00E43539" w:rsidP="0077318D">
            <w:pPr>
              <w:pStyle w:val="Tabletext"/>
              <w:jc w:val="center"/>
              <w:rPr>
                <w:bCs/>
                <w:color w:val="000000"/>
                <w:sz w:val="18"/>
                <w:szCs w:val="18"/>
                <w:highlight w:val="black"/>
              </w:rPr>
            </w:pPr>
            <w:r>
              <w:rPr>
                <w:noProof/>
                <w:color w:val="000000"/>
                <w:sz w:val="18"/>
                <w:szCs w:val="18"/>
                <w:highlight w:val="black"/>
              </w:rPr>
              <w:t>''''''''</w:t>
            </w:r>
          </w:p>
        </w:tc>
      </w:tr>
      <w:tr w:rsidR="008B2B87" w:rsidRPr="00D8075A" w:rsidTr="007D7636">
        <w:tc>
          <w:tcPr>
            <w:tcW w:w="1119" w:type="pct"/>
            <w:shd w:val="clear" w:color="auto" w:fill="auto"/>
            <w:vAlign w:val="center"/>
          </w:tcPr>
          <w:p w:rsidR="008B2B87" w:rsidRPr="00D8075A" w:rsidRDefault="008B2B87" w:rsidP="0077318D">
            <w:pPr>
              <w:pStyle w:val="Tabletext"/>
              <w:rPr>
                <w:sz w:val="18"/>
                <w:szCs w:val="18"/>
              </w:rPr>
            </w:pPr>
            <w:r w:rsidRPr="00D8075A">
              <w:rPr>
                <w:sz w:val="18"/>
                <w:szCs w:val="18"/>
              </w:rPr>
              <w:t>Number of scripts dispensed</w:t>
            </w:r>
          </w:p>
        </w:tc>
        <w:tc>
          <w:tcPr>
            <w:tcW w:w="647" w:type="pct"/>
            <w:tcBorders>
              <w:top w:val="nil"/>
              <w:left w:val="single" w:sz="4" w:space="0" w:color="auto"/>
              <w:bottom w:val="single" w:sz="4" w:space="0" w:color="auto"/>
              <w:right w:val="single" w:sz="4" w:space="0" w:color="auto"/>
            </w:tcBorders>
            <w:shd w:val="clear" w:color="auto" w:fill="auto"/>
          </w:tcPr>
          <w:p w:rsidR="008B2B87" w:rsidRPr="00E43539" w:rsidRDefault="00E43539" w:rsidP="0077318D">
            <w:pPr>
              <w:pStyle w:val="Tabletext"/>
              <w:jc w:val="center"/>
              <w:rPr>
                <w:sz w:val="18"/>
                <w:szCs w:val="18"/>
                <w:highlight w:val="black"/>
              </w:rPr>
            </w:pPr>
            <w:r>
              <w:rPr>
                <w:noProof/>
                <w:color w:val="000000"/>
                <w:sz w:val="18"/>
                <w:szCs w:val="18"/>
                <w:highlight w:val="black"/>
              </w:rPr>
              <w:t>''''''''''''</w:t>
            </w:r>
          </w:p>
        </w:tc>
        <w:tc>
          <w:tcPr>
            <w:tcW w:w="647" w:type="pct"/>
            <w:tcBorders>
              <w:top w:val="nil"/>
              <w:left w:val="single" w:sz="4" w:space="0" w:color="auto"/>
              <w:bottom w:val="single" w:sz="4" w:space="0" w:color="auto"/>
              <w:right w:val="single" w:sz="4" w:space="0" w:color="auto"/>
            </w:tcBorders>
            <w:shd w:val="clear" w:color="auto" w:fill="auto"/>
          </w:tcPr>
          <w:p w:rsidR="008B2B87" w:rsidRPr="00E43539" w:rsidRDefault="00E43539" w:rsidP="0077318D">
            <w:pPr>
              <w:pStyle w:val="Tabletext"/>
              <w:jc w:val="center"/>
              <w:rPr>
                <w:sz w:val="18"/>
                <w:szCs w:val="18"/>
                <w:highlight w:val="black"/>
              </w:rPr>
            </w:pPr>
            <w:r>
              <w:rPr>
                <w:noProof/>
                <w:color w:val="000000"/>
                <w:sz w:val="18"/>
                <w:szCs w:val="18"/>
                <w:highlight w:val="black"/>
              </w:rPr>
              <w:t>'''''''''''</w:t>
            </w:r>
          </w:p>
        </w:tc>
        <w:tc>
          <w:tcPr>
            <w:tcW w:w="647" w:type="pct"/>
            <w:tcBorders>
              <w:top w:val="nil"/>
              <w:left w:val="single" w:sz="4" w:space="0" w:color="auto"/>
              <w:bottom w:val="single" w:sz="4" w:space="0" w:color="auto"/>
              <w:right w:val="single" w:sz="4" w:space="0" w:color="auto"/>
            </w:tcBorders>
            <w:shd w:val="clear" w:color="auto" w:fill="auto"/>
          </w:tcPr>
          <w:p w:rsidR="008B2B87" w:rsidRPr="00E43539" w:rsidRDefault="00E43539" w:rsidP="0077318D">
            <w:pPr>
              <w:pStyle w:val="Tabletext"/>
              <w:jc w:val="center"/>
              <w:rPr>
                <w:sz w:val="18"/>
                <w:szCs w:val="18"/>
                <w:highlight w:val="black"/>
              </w:rPr>
            </w:pPr>
            <w:r>
              <w:rPr>
                <w:noProof/>
                <w:color w:val="000000"/>
                <w:sz w:val="18"/>
                <w:szCs w:val="18"/>
                <w:highlight w:val="black"/>
              </w:rPr>
              <w:t>'''''''''''''</w:t>
            </w:r>
          </w:p>
        </w:tc>
        <w:tc>
          <w:tcPr>
            <w:tcW w:w="647" w:type="pct"/>
            <w:tcBorders>
              <w:top w:val="nil"/>
              <w:left w:val="single" w:sz="4" w:space="0" w:color="auto"/>
              <w:bottom w:val="single" w:sz="4" w:space="0" w:color="auto"/>
              <w:right w:val="single" w:sz="4" w:space="0" w:color="auto"/>
            </w:tcBorders>
            <w:shd w:val="clear" w:color="auto" w:fill="auto"/>
          </w:tcPr>
          <w:p w:rsidR="008B2B87" w:rsidRPr="00E43539" w:rsidRDefault="00E43539" w:rsidP="0077318D">
            <w:pPr>
              <w:pStyle w:val="Tabletext"/>
              <w:jc w:val="center"/>
              <w:rPr>
                <w:sz w:val="18"/>
                <w:szCs w:val="18"/>
                <w:highlight w:val="black"/>
              </w:rPr>
            </w:pPr>
            <w:r>
              <w:rPr>
                <w:noProof/>
                <w:color w:val="000000"/>
                <w:sz w:val="18"/>
                <w:szCs w:val="18"/>
                <w:highlight w:val="black"/>
              </w:rPr>
              <w:t>''''''''''''</w:t>
            </w:r>
          </w:p>
        </w:tc>
        <w:tc>
          <w:tcPr>
            <w:tcW w:w="647" w:type="pct"/>
            <w:tcBorders>
              <w:top w:val="nil"/>
              <w:left w:val="single" w:sz="4" w:space="0" w:color="auto"/>
              <w:bottom w:val="single" w:sz="4" w:space="0" w:color="auto"/>
              <w:right w:val="single" w:sz="4" w:space="0" w:color="auto"/>
            </w:tcBorders>
            <w:shd w:val="clear" w:color="auto" w:fill="auto"/>
          </w:tcPr>
          <w:p w:rsidR="008B2B87" w:rsidRPr="00E43539" w:rsidRDefault="00E43539" w:rsidP="0077318D">
            <w:pPr>
              <w:pStyle w:val="Tabletext"/>
              <w:jc w:val="center"/>
              <w:rPr>
                <w:sz w:val="18"/>
                <w:szCs w:val="18"/>
                <w:highlight w:val="black"/>
              </w:rPr>
            </w:pPr>
            <w:r>
              <w:rPr>
                <w:noProof/>
                <w:color w:val="000000"/>
                <w:sz w:val="18"/>
                <w:szCs w:val="18"/>
                <w:highlight w:val="black"/>
              </w:rPr>
              <w:t>''''''''''''</w:t>
            </w:r>
          </w:p>
        </w:tc>
        <w:tc>
          <w:tcPr>
            <w:tcW w:w="647" w:type="pct"/>
            <w:tcBorders>
              <w:top w:val="nil"/>
              <w:left w:val="single" w:sz="4" w:space="0" w:color="auto"/>
              <w:bottom w:val="single" w:sz="4" w:space="0" w:color="auto"/>
            </w:tcBorders>
            <w:shd w:val="clear" w:color="auto" w:fill="auto"/>
          </w:tcPr>
          <w:p w:rsidR="008B2B87" w:rsidRPr="00E43539" w:rsidRDefault="00E43539" w:rsidP="0077318D">
            <w:pPr>
              <w:pStyle w:val="Tabletext"/>
              <w:jc w:val="center"/>
              <w:rPr>
                <w:sz w:val="18"/>
                <w:szCs w:val="18"/>
                <w:highlight w:val="black"/>
              </w:rPr>
            </w:pPr>
            <w:r>
              <w:rPr>
                <w:noProof/>
                <w:color w:val="000000"/>
                <w:sz w:val="18"/>
                <w:szCs w:val="18"/>
                <w:highlight w:val="black"/>
              </w:rPr>
              <w:t>'''''''''''</w:t>
            </w:r>
          </w:p>
        </w:tc>
      </w:tr>
      <w:tr w:rsidR="008B2B87" w:rsidRPr="00D8075A" w:rsidTr="0077318D">
        <w:tc>
          <w:tcPr>
            <w:tcW w:w="5000" w:type="pct"/>
            <w:gridSpan w:val="7"/>
            <w:shd w:val="clear" w:color="auto" w:fill="auto"/>
            <w:vAlign w:val="center"/>
          </w:tcPr>
          <w:p w:rsidR="008B2B87" w:rsidRPr="00D8075A" w:rsidRDefault="008B2B87" w:rsidP="0077318D">
            <w:pPr>
              <w:pStyle w:val="Tabletext"/>
              <w:rPr>
                <w:b/>
                <w:bCs/>
                <w:color w:val="000000"/>
                <w:sz w:val="18"/>
                <w:szCs w:val="18"/>
              </w:rPr>
            </w:pPr>
            <w:r w:rsidRPr="00D8075A">
              <w:rPr>
                <w:b/>
                <w:bCs/>
                <w:color w:val="000000"/>
                <w:sz w:val="18"/>
                <w:szCs w:val="18"/>
              </w:rPr>
              <w:t>Estimated financial implications of avelumab</w:t>
            </w:r>
          </w:p>
        </w:tc>
      </w:tr>
      <w:tr w:rsidR="008B2B87" w:rsidRPr="00D8075A" w:rsidTr="007D7636">
        <w:tc>
          <w:tcPr>
            <w:tcW w:w="1119" w:type="pct"/>
            <w:shd w:val="clear" w:color="auto" w:fill="auto"/>
            <w:vAlign w:val="center"/>
          </w:tcPr>
          <w:p w:rsidR="008B2B87" w:rsidRPr="00D8075A" w:rsidRDefault="008B2B87" w:rsidP="0077318D">
            <w:pPr>
              <w:pStyle w:val="Tabletext"/>
              <w:rPr>
                <w:sz w:val="18"/>
                <w:szCs w:val="18"/>
              </w:rPr>
            </w:pPr>
            <w:r w:rsidRPr="00D8075A">
              <w:rPr>
                <w:sz w:val="18"/>
                <w:szCs w:val="18"/>
              </w:rPr>
              <w:t>Cost to PBS/RPBS</w:t>
            </w:r>
          </w:p>
        </w:tc>
        <w:tc>
          <w:tcPr>
            <w:tcW w:w="647" w:type="pct"/>
            <w:shd w:val="clear" w:color="auto" w:fill="auto"/>
            <w:vAlign w:val="center"/>
          </w:tcPr>
          <w:p w:rsidR="008B2B87" w:rsidRPr="00D8075A" w:rsidRDefault="008B2B87" w:rsidP="0077318D">
            <w:pPr>
              <w:pStyle w:val="Tabletext"/>
              <w:jc w:val="center"/>
              <w:rPr>
                <w:rFonts w:cs="Arial"/>
                <w:sz w:val="18"/>
                <w:szCs w:val="18"/>
              </w:rPr>
            </w:pPr>
            <w:r w:rsidRPr="00D8075A">
              <w:rPr>
                <w:sz w:val="18"/>
                <w:szCs w:val="18"/>
              </w:rPr>
              <w:t>$</w:t>
            </w:r>
            <w:r w:rsidR="00E43539">
              <w:rPr>
                <w:noProof/>
                <w:color w:val="000000"/>
                <w:sz w:val="18"/>
                <w:szCs w:val="18"/>
                <w:highlight w:val="black"/>
              </w:rPr>
              <w:t>''''''''''''''''''''''</w:t>
            </w:r>
          </w:p>
        </w:tc>
        <w:tc>
          <w:tcPr>
            <w:tcW w:w="647" w:type="pct"/>
            <w:shd w:val="clear" w:color="auto" w:fill="auto"/>
            <w:vAlign w:val="center"/>
          </w:tcPr>
          <w:p w:rsidR="008B2B87" w:rsidRPr="00D8075A" w:rsidRDefault="008B2B87" w:rsidP="0077318D">
            <w:pPr>
              <w:pStyle w:val="Tabletext"/>
              <w:jc w:val="center"/>
              <w:rPr>
                <w:rFonts w:cs="Arial"/>
                <w:sz w:val="18"/>
                <w:szCs w:val="18"/>
              </w:rPr>
            </w:pPr>
            <w:r w:rsidRPr="00D8075A">
              <w:rPr>
                <w:sz w:val="18"/>
                <w:szCs w:val="18"/>
              </w:rPr>
              <w:t>$</w:t>
            </w:r>
            <w:r w:rsidR="00E43539">
              <w:rPr>
                <w:noProof/>
                <w:color w:val="000000"/>
                <w:sz w:val="18"/>
                <w:szCs w:val="18"/>
                <w:highlight w:val="black"/>
              </w:rPr>
              <w:t>'''''''''''''''''''''''''</w:t>
            </w:r>
          </w:p>
        </w:tc>
        <w:tc>
          <w:tcPr>
            <w:tcW w:w="647" w:type="pct"/>
            <w:shd w:val="clear" w:color="auto" w:fill="auto"/>
            <w:vAlign w:val="center"/>
          </w:tcPr>
          <w:p w:rsidR="008B2B87" w:rsidRPr="00D8075A" w:rsidRDefault="008B2B87" w:rsidP="0077318D">
            <w:pPr>
              <w:pStyle w:val="Tabletext"/>
              <w:jc w:val="center"/>
              <w:rPr>
                <w:rFonts w:cs="Arial"/>
                <w:sz w:val="18"/>
                <w:szCs w:val="18"/>
              </w:rPr>
            </w:pPr>
            <w:r w:rsidRPr="00D8075A">
              <w:rPr>
                <w:sz w:val="18"/>
                <w:szCs w:val="18"/>
              </w:rPr>
              <w:t>$</w:t>
            </w:r>
            <w:r w:rsidR="00E43539">
              <w:rPr>
                <w:noProof/>
                <w:color w:val="000000"/>
                <w:sz w:val="18"/>
                <w:szCs w:val="18"/>
                <w:highlight w:val="black"/>
              </w:rPr>
              <w:t>''''''''''''''''''''''''''</w:t>
            </w:r>
          </w:p>
        </w:tc>
        <w:tc>
          <w:tcPr>
            <w:tcW w:w="647" w:type="pct"/>
            <w:shd w:val="clear" w:color="auto" w:fill="auto"/>
            <w:vAlign w:val="center"/>
          </w:tcPr>
          <w:p w:rsidR="008B2B87" w:rsidRPr="00D8075A" w:rsidRDefault="008B2B87" w:rsidP="0077318D">
            <w:pPr>
              <w:pStyle w:val="Tabletext"/>
              <w:jc w:val="center"/>
              <w:rPr>
                <w:rFonts w:cs="Arial"/>
                <w:sz w:val="18"/>
                <w:szCs w:val="18"/>
              </w:rPr>
            </w:pPr>
            <w:r w:rsidRPr="00D8075A">
              <w:rPr>
                <w:sz w:val="18"/>
                <w:szCs w:val="18"/>
              </w:rPr>
              <w:t>$</w:t>
            </w:r>
            <w:r w:rsidR="00E43539">
              <w:rPr>
                <w:noProof/>
                <w:color w:val="000000"/>
                <w:sz w:val="18"/>
                <w:szCs w:val="18"/>
                <w:highlight w:val="black"/>
              </w:rPr>
              <w:t>''''''''''''''''''''''''</w:t>
            </w:r>
          </w:p>
        </w:tc>
        <w:tc>
          <w:tcPr>
            <w:tcW w:w="647" w:type="pct"/>
            <w:shd w:val="clear" w:color="auto" w:fill="auto"/>
            <w:vAlign w:val="center"/>
          </w:tcPr>
          <w:p w:rsidR="008B2B87" w:rsidRPr="00D8075A" w:rsidRDefault="008B2B87" w:rsidP="0077318D">
            <w:pPr>
              <w:pStyle w:val="Tabletext"/>
              <w:jc w:val="center"/>
              <w:rPr>
                <w:rFonts w:cs="Arial"/>
                <w:sz w:val="18"/>
                <w:szCs w:val="18"/>
              </w:rPr>
            </w:pPr>
            <w:r w:rsidRPr="00D8075A">
              <w:rPr>
                <w:sz w:val="18"/>
                <w:szCs w:val="18"/>
              </w:rPr>
              <w:t>$</w:t>
            </w:r>
            <w:r w:rsidR="00E43539">
              <w:rPr>
                <w:noProof/>
                <w:color w:val="000000"/>
                <w:sz w:val="18"/>
                <w:szCs w:val="18"/>
                <w:highlight w:val="black"/>
              </w:rPr>
              <w:t>''''''''''''''''''''''''''</w:t>
            </w:r>
          </w:p>
        </w:tc>
        <w:tc>
          <w:tcPr>
            <w:tcW w:w="647" w:type="pct"/>
            <w:shd w:val="clear" w:color="auto" w:fill="auto"/>
            <w:vAlign w:val="center"/>
          </w:tcPr>
          <w:p w:rsidR="008B2B87" w:rsidRPr="00D8075A" w:rsidRDefault="008B2B87" w:rsidP="0077318D">
            <w:pPr>
              <w:pStyle w:val="Tabletext"/>
              <w:jc w:val="center"/>
              <w:rPr>
                <w:rFonts w:cs="Arial"/>
                <w:sz w:val="18"/>
                <w:szCs w:val="18"/>
              </w:rPr>
            </w:pPr>
            <w:r w:rsidRPr="00D8075A">
              <w:rPr>
                <w:sz w:val="18"/>
                <w:szCs w:val="18"/>
              </w:rPr>
              <w:t>$</w:t>
            </w:r>
            <w:r w:rsidR="00E43539">
              <w:rPr>
                <w:noProof/>
                <w:color w:val="000000"/>
                <w:sz w:val="18"/>
                <w:szCs w:val="18"/>
                <w:highlight w:val="black"/>
              </w:rPr>
              <w:t>'''''''''''''''''''''''''''''</w:t>
            </w:r>
          </w:p>
        </w:tc>
      </w:tr>
      <w:tr w:rsidR="008B2B87" w:rsidRPr="00D8075A" w:rsidTr="007D7636">
        <w:tc>
          <w:tcPr>
            <w:tcW w:w="1119" w:type="pct"/>
            <w:shd w:val="clear" w:color="auto" w:fill="auto"/>
            <w:vAlign w:val="center"/>
          </w:tcPr>
          <w:p w:rsidR="008B2B87" w:rsidRPr="00D8075A" w:rsidRDefault="008B2B87" w:rsidP="0077318D">
            <w:pPr>
              <w:pStyle w:val="Tabletext"/>
              <w:rPr>
                <w:sz w:val="18"/>
                <w:szCs w:val="18"/>
              </w:rPr>
            </w:pPr>
            <w:proofErr w:type="spellStart"/>
            <w:r w:rsidRPr="00D8075A">
              <w:rPr>
                <w:sz w:val="18"/>
                <w:szCs w:val="18"/>
              </w:rPr>
              <w:t>Copayments</w:t>
            </w:r>
            <w:proofErr w:type="spellEnd"/>
          </w:p>
        </w:tc>
        <w:tc>
          <w:tcPr>
            <w:tcW w:w="647" w:type="pct"/>
            <w:shd w:val="clear" w:color="auto" w:fill="auto"/>
            <w:vAlign w:val="center"/>
          </w:tcPr>
          <w:p w:rsidR="008B2B87" w:rsidRPr="00D8075A" w:rsidRDefault="008B2B87" w:rsidP="0077318D">
            <w:pPr>
              <w:pStyle w:val="Tabletext"/>
              <w:jc w:val="center"/>
              <w:rPr>
                <w:rFonts w:cs="Arial"/>
                <w:sz w:val="18"/>
                <w:szCs w:val="18"/>
              </w:rPr>
            </w:pPr>
            <w:r w:rsidRPr="00D8075A">
              <w:rPr>
                <w:sz w:val="18"/>
                <w:szCs w:val="18"/>
              </w:rPr>
              <w:t>$</w:t>
            </w:r>
            <w:r w:rsidR="00E43539">
              <w:rPr>
                <w:noProof/>
                <w:color w:val="000000"/>
                <w:sz w:val="18"/>
                <w:szCs w:val="18"/>
                <w:highlight w:val="black"/>
              </w:rPr>
              <w:t>''''''''''''''''''</w:t>
            </w:r>
          </w:p>
        </w:tc>
        <w:tc>
          <w:tcPr>
            <w:tcW w:w="647" w:type="pct"/>
            <w:shd w:val="clear" w:color="auto" w:fill="auto"/>
            <w:vAlign w:val="center"/>
          </w:tcPr>
          <w:p w:rsidR="008B2B87" w:rsidRPr="00D8075A" w:rsidRDefault="008B2B87" w:rsidP="0077318D">
            <w:pPr>
              <w:pStyle w:val="Tabletext"/>
              <w:jc w:val="center"/>
              <w:rPr>
                <w:rFonts w:cs="Arial"/>
                <w:sz w:val="18"/>
                <w:szCs w:val="18"/>
              </w:rPr>
            </w:pPr>
            <w:r w:rsidRPr="00D8075A">
              <w:rPr>
                <w:sz w:val="18"/>
                <w:szCs w:val="18"/>
              </w:rPr>
              <w:t>$</w:t>
            </w:r>
            <w:r w:rsidR="00E43539">
              <w:rPr>
                <w:noProof/>
                <w:color w:val="000000"/>
                <w:sz w:val="18"/>
                <w:szCs w:val="18"/>
                <w:highlight w:val="black"/>
              </w:rPr>
              <w:t>''''''''''''''''</w:t>
            </w:r>
          </w:p>
        </w:tc>
        <w:tc>
          <w:tcPr>
            <w:tcW w:w="647" w:type="pct"/>
            <w:shd w:val="clear" w:color="auto" w:fill="auto"/>
            <w:vAlign w:val="center"/>
          </w:tcPr>
          <w:p w:rsidR="008B2B87" w:rsidRPr="00D8075A" w:rsidRDefault="008B2B87" w:rsidP="0077318D">
            <w:pPr>
              <w:pStyle w:val="Tabletext"/>
              <w:jc w:val="center"/>
              <w:rPr>
                <w:rFonts w:cs="Arial"/>
                <w:sz w:val="18"/>
                <w:szCs w:val="18"/>
              </w:rPr>
            </w:pPr>
            <w:r w:rsidRPr="00D8075A">
              <w:rPr>
                <w:sz w:val="18"/>
                <w:szCs w:val="18"/>
              </w:rPr>
              <w:t>$</w:t>
            </w:r>
            <w:r w:rsidR="00E43539">
              <w:rPr>
                <w:noProof/>
                <w:color w:val="000000"/>
                <w:sz w:val="18"/>
                <w:szCs w:val="18"/>
                <w:highlight w:val="black"/>
              </w:rPr>
              <w:t>'''''''''''''''''</w:t>
            </w:r>
          </w:p>
        </w:tc>
        <w:tc>
          <w:tcPr>
            <w:tcW w:w="647" w:type="pct"/>
            <w:shd w:val="clear" w:color="auto" w:fill="auto"/>
            <w:vAlign w:val="center"/>
          </w:tcPr>
          <w:p w:rsidR="008B2B87" w:rsidRPr="00D8075A" w:rsidRDefault="008B2B87" w:rsidP="0077318D">
            <w:pPr>
              <w:pStyle w:val="Tabletext"/>
              <w:jc w:val="center"/>
              <w:rPr>
                <w:rFonts w:cs="Arial"/>
                <w:sz w:val="18"/>
                <w:szCs w:val="18"/>
              </w:rPr>
            </w:pPr>
            <w:r w:rsidRPr="00D8075A">
              <w:rPr>
                <w:sz w:val="18"/>
                <w:szCs w:val="18"/>
              </w:rPr>
              <w:t>$</w:t>
            </w:r>
            <w:r w:rsidR="00E43539">
              <w:rPr>
                <w:noProof/>
                <w:color w:val="000000"/>
                <w:sz w:val="18"/>
                <w:szCs w:val="18"/>
                <w:highlight w:val="black"/>
              </w:rPr>
              <w:t>'''''''''''''''</w:t>
            </w:r>
          </w:p>
        </w:tc>
        <w:tc>
          <w:tcPr>
            <w:tcW w:w="647" w:type="pct"/>
            <w:shd w:val="clear" w:color="auto" w:fill="auto"/>
            <w:vAlign w:val="center"/>
          </w:tcPr>
          <w:p w:rsidR="008B2B87" w:rsidRPr="00D8075A" w:rsidRDefault="008B2B87" w:rsidP="0077318D">
            <w:pPr>
              <w:pStyle w:val="Tabletext"/>
              <w:jc w:val="center"/>
              <w:rPr>
                <w:rFonts w:cs="Arial"/>
                <w:sz w:val="18"/>
                <w:szCs w:val="18"/>
              </w:rPr>
            </w:pPr>
            <w:r w:rsidRPr="00D8075A">
              <w:rPr>
                <w:sz w:val="18"/>
                <w:szCs w:val="18"/>
              </w:rPr>
              <w:t>$</w:t>
            </w:r>
            <w:r w:rsidR="00E43539">
              <w:rPr>
                <w:noProof/>
                <w:color w:val="000000"/>
                <w:sz w:val="18"/>
                <w:szCs w:val="18"/>
                <w:highlight w:val="black"/>
              </w:rPr>
              <w:t>''''''''''''''''</w:t>
            </w:r>
          </w:p>
        </w:tc>
        <w:tc>
          <w:tcPr>
            <w:tcW w:w="647" w:type="pct"/>
            <w:shd w:val="clear" w:color="auto" w:fill="auto"/>
            <w:vAlign w:val="center"/>
          </w:tcPr>
          <w:p w:rsidR="008B2B87" w:rsidRPr="00D8075A" w:rsidRDefault="008B2B87" w:rsidP="0077318D">
            <w:pPr>
              <w:pStyle w:val="Tabletext"/>
              <w:jc w:val="center"/>
              <w:rPr>
                <w:rFonts w:cs="Arial"/>
                <w:sz w:val="18"/>
                <w:szCs w:val="18"/>
              </w:rPr>
            </w:pPr>
            <w:r w:rsidRPr="00D8075A">
              <w:rPr>
                <w:sz w:val="18"/>
                <w:szCs w:val="18"/>
              </w:rPr>
              <w:t>$</w:t>
            </w:r>
            <w:r w:rsidR="00E43539">
              <w:rPr>
                <w:noProof/>
                <w:color w:val="000000"/>
                <w:sz w:val="18"/>
                <w:szCs w:val="18"/>
                <w:highlight w:val="black"/>
              </w:rPr>
              <w:t>'''''''''''''''''</w:t>
            </w:r>
          </w:p>
        </w:tc>
      </w:tr>
      <w:tr w:rsidR="008B2B87" w:rsidRPr="00D8075A" w:rsidTr="007D7636">
        <w:tc>
          <w:tcPr>
            <w:tcW w:w="1119" w:type="pct"/>
            <w:shd w:val="clear" w:color="auto" w:fill="auto"/>
            <w:vAlign w:val="center"/>
          </w:tcPr>
          <w:p w:rsidR="008B2B87" w:rsidRPr="00D8075A" w:rsidRDefault="008B2B87" w:rsidP="0077318D">
            <w:pPr>
              <w:pStyle w:val="Tabletext"/>
              <w:rPr>
                <w:sz w:val="18"/>
                <w:szCs w:val="18"/>
              </w:rPr>
            </w:pPr>
            <w:r w:rsidRPr="00D8075A">
              <w:rPr>
                <w:sz w:val="18"/>
                <w:szCs w:val="18"/>
              </w:rPr>
              <w:t xml:space="preserve">Cost to PBS/RPBS less </w:t>
            </w:r>
            <w:proofErr w:type="spellStart"/>
            <w:r w:rsidRPr="00D8075A">
              <w:rPr>
                <w:sz w:val="18"/>
                <w:szCs w:val="18"/>
              </w:rPr>
              <w:t>copayments</w:t>
            </w:r>
            <w:proofErr w:type="spellEnd"/>
          </w:p>
        </w:tc>
        <w:tc>
          <w:tcPr>
            <w:tcW w:w="647" w:type="pct"/>
            <w:shd w:val="clear" w:color="auto" w:fill="auto"/>
            <w:vAlign w:val="center"/>
          </w:tcPr>
          <w:p w:rsidR="008B2B87" w:rsidRPr="00D8075A" w:rsidRDefault="008B2B87" w:rsidP="0077318D">
            <w:pPr>
              <w:pStyle w:val="Tabletext"/>
              <w:jc w:val="center"/>
              <w:rPr>
                <w:rFonts w:cs="Arial"/>
                <w:sz w:val="18"/>
                <w:szCs w:val="18"/>
              </w:rPr>
            </w:pPr>
            <w:r w:rsidRPr="00D8075A">
              <w:rPr>
                <w:sz w:val="18"/>
                <w:szCs w:val="18"/>
              </w:rPr>
              <w:t>$</w:t>
            </w:r>
            <w:r w:rsidR="00E43539">
              <w:rPr>
                <w:noProof/>
                <w:color w:val="000000"/>
                <w:sz w:val="18"/>
                <w:szCs w:val="18"/>
                <w:highlight w:val="black"/>
              </w:rPr>
              <w:t>''''''''''''''''''''''''''</w:t>
            </w:r>
          </w:p>
        </w:tc>
        <w:tc>
          <w:tcPr>
            <w:tcW w:w="647" w:type="pct"/>
            <w:shd w:val="clear" w:color="auto" w:fill="auto"/>
            <w:vAlign w:val="center"/>
          </w:tcPr>
          <w:p w:rsidR="008B2B87" w:rsidRPr="00D8075A" w:rsidRDefault="008B2B87" w:rsidP="0077318D">
            <w:pPr>
              <w:pStyle w:val="Tabletext"/>
              <w:jc w:val="center"/>
              <w:rPr>
                <w:rFonts w:cs="Arial"/>
                <w:sz w:val="18"/>
                <w:szCs w:val="18"/>
              </w:rPr>
            </w:pPr>
            <w:r w:rsidRPr="00D8075A">
              <w:rPr>
                <w:sz w:val="18"/>
                <w:szCs w:val="18"/>
              </w:rPr>
              <w:t>$</w:t>
            </w:r>
            <w:r w:rsidR="00E43539">
              <w:rPr>
                <w:noProof/>
                <w:color w:val="000000"/>
                <w:sz w:val="18"/>
                <w:szCs w:val="18"/>
                <w:highlight w:val="black"/>
              </w:rPr>
              <w:t>''''''''''''''''''''''''</w:t>
            </w:r>
          </w:p>
        </w:tc>
        <w:tc>
          <w:tcPr>
            <w:tcW w:w="647" w:type="pct"/>
            <w:shd w:val="clear" w:color="auto" w:fill="auto"/>
            <w:vAlign w:val="center"/>
          </w:tcPr>
          <w:p w:rsidR="008B2B87" w:rsidRPr="00D8075A" w:rsidRDefault="008B2B87" w:rsidP="0077318D">
            <w:pPr>
              <w:pStyle w:val="Tabletext"/>
              <w:jc w:val="center"/>
              <w:rPr>
                <w:rFonts w:cs="Arial"/>
                <w:sz w:val="18"/>
                <w:szCs w:val="18"/>
              </w:rPr>
            </w:pPr>
            <w:r w:rsidRPr="00D8075A">
              <w:rPr>
                <w:sz w:val="18"/>
                <w:szCs w:val="18"/>
              </w:rPr>
              <w:t>$</w:t>
            </w:r>
            <w:r w:rsidR="00E43539">
              <w:rPr>
                <w:noProof/>
                <w:color w:val="000000"/>
                <w:sz w:val="18"/>
                <w:szCs w:val="18"/>
                <w:highlight w:val="black"/>
              </w:rPr>
              <w:t>'''''''''''''''''''''''</w:t>
            </w:r>
          </w:p>
        </w:tc>
        <w:tc>
          <w:tcPr>
            <w:tcW w:w="647" w:type="pct"/>
            <w:shd w:val="clear" w:color="auto" w:fill="auto"/>
            <w:vAlign w:val="center"/>
          </w:tcPr>
          <w:p w:rsidR="008B2B87" w:rsidRPr="00D8075A" w:rsidRDefault="008B2B87" w:rsidP="0077318D">
            <w:pPr>
              <w:pStyle w:val="Tabletext"/>
              <w:jc w:val="center"/>
              <w:rPr>
                <w:rFonts w:cs="Arial"/>
                <w:sz w:val="18"/>
                <w:szCs w:val="18"/>
              </w:rPr>
            </w:pPr>
            <w:r w:rsidRPr="00D8075A">
              <w:rPr>
                <w:sz w:val="18"/>
                <w:szCs w:val="18"/>
              </w:rPr>
              <w:t>$</w:t>
            </w:r>
            <w:r w:rsidR="00E43539">
              <w:rPr>
                <w:noProof/>
                <w:color w:val="000000"/>
                <w:sz w:val="18"/>
                <w:szCs w:val="18"/>
                <w:highlight w:val="black"/>
              </w:rPr>
              <w:t>''''''''''''''''''''''''''</w:t>
            </w:r>
          </w:p>
        </w:tc>
        <w:tc>
          <w:tcPr>
            <w:tcW w:w="647" w:type="pct"/>
            <w:shd w:val="clear" w:color="auto" w:fill="auto"/>
            <w:vAlign w:val="center"/>
          </w:tcPr>
          <w:p w:rsidR="008B2B87" w:rsidRPr="00D8075A" w:rsidRDefault="008B2B87" w:rsidP="0077318D">
            <w:pPr>
              <w:pStyle w:val="Tabletext"/>
              <w:jc w:val="center"/>
              <w:rPr>
                <w:rFonts w:cs="Arial"/>
                <w:sz w:val="18"/>
                <w:szCs w:val="18"/>
              </w:rPr>
            </w:pPr>
            <w:r w:rsidRPr="00D8075A">
              <w:rPr>
                <w:sz w:val="18"/>
                <w:szCs w:val="18"/>
              </w:rPr>
              <w:t>$</w:t>
            </w:r>
            <w:r w:rsidR="00E43539">
              <w:rPr>
                <w:noProof/>
                <w:color w:val="000000"/>
                <w:sz w:val="18"/>
                <w:szCs w:val="18"/>
                <w:highlight w:val="black"/>
              </w:rPr>
              <w:t>''''''''''''''''''''''''</w:t>
            </w:r>
          </w:p>
        </w:tc>
        <w:tc>
          <w:tcPr>
            <w:tcW w:w="647" w:type="pct"/>
            <w:shd w:val="clear" w:color="auto" w:fill="auto"/>
            <w:vAlign w:val="center"/>
          </w:tcPr>
          <w:p w:rsidR="008B2B87" w:rsidRPr="00D8075A" w:rsidRDefault="008B2B87" w:rsidP="0077318D">
            <w:pPr>
              <w:pStyle w:val="Tabletext"/>
              <w:jc w:val="center"/>
              <w:rPr>
                <w:rFonts w:cs="Arial"/>
                <w:sz w:val="18"/>
                <w:szCs w:val="18"/>
              </w:rPr>
            </w:pPr>
            <w:r w:rsidRPr="00D8075A">
              <w:rPr>
                <w:sz w:val="18"/>
                <w:szCs w:val="18"/>
              </w:rPr>
              <w:t>$</w:t>
            </w:r>
            <w:r w:rsidR="00E43539">
              <w:rPr>
                <w:noProof/>
                <w:color w:val="000000"/>
                <w:sz w:val="18"/>
                <w:szCs w:val="18"/>
                <w:highlight w:val="black"/>
              </w:rPr>
              <w:t>'''''''''''''''''''''''''''''</w:t>
            </w:r>
          </w:p>
        </w:tc>
      </w:tr>
      <w:tr w:rsidR="008B2B87" w:rsidRPr="00D8075A" w:rsidTr="0077318D">
        <w:tc>
          <w:tcPr>
            <w:tcW w:w="5000" w:type="pct"/>
            <w:gridSpan w:val="7"/>
            <w:shd w:val="clear" w:color="auto" w:fill="auto"/>
            <w:vAlign w:val="center"/>
          </w:tcPr>
          <w:p w:rsidR="008B2B87" w:rsidRPr="00D8075A" w:rsidRDefault="008B2B87" w:rsidP="0077318D">
            <w:pPr>
              <w:pStyle w:val="Tabletext"/>
              <w:rPr>
                <w:bCs/>
                <w:color w:val="000000"/>
                <w:sz w:val="18"/>
                <w:szCs w:val="18"/>
              </w:rPr>
            </w:pPr>
            <w:r w:rsidRPr="00D8075A">
              <w:rPr>
                <w:b/>
                <w:bCs/>
                <w:color w:val="000000"/>
                <w:sz w:val="18"/>
                <w:szCs w:val="18"/>
              </w:rPr>
              <w:t>Estimated financial implications for chemotherapy</w:t>
            </w:r>
          </w:p>
        </w:tc>
      </w:tr>
      <w:tr w:rsidR="008B2B87" w:rsidRPr="00D8075A" w:rsidTr="007D7636">
        <w:tc>
          <w:tcPr>
            <w:tcW w:w="1119" w:type="pct"/>
            <w:shd w:val="clear" w:color="auto" w:fill="auto"/>
            <w:vAlign w:val="center"/>
          </w:tcPr>
          <w:p w:rsidR="008B2B87" w:rsidRPr="00D8075A" w:rsidRDefault="008B2B87" w:rsidP="0077318D">
            <w:pPr>
              <w:pStyle w:val="Tabletext"/>
              <w:rPr>
                <w:sz w:val="18"/>
                <w:szCs w:val="18"/>
              </w:rPr>
            </w:pPr>
            <w:r w:rsidRPr="00D8075A">
              <w:rPr>
                <w:sz w:val="18"/>
                <w:szCs w:val="18"/>
              </w:rPr>
              <w:t xml:space="preserve">Cost to PBS/RPBS less </w:t>
            </w:r>
            <w:proofErr w:type="spellStart"/>
            <w:r w:rsidRPr="00D8075A">
              <w:rPr>
                <w:sz w:val="18"/>
                <w:szCs w:val="18"/>
              </w:rPr>
              <w:t>copayments</w:t>
            </w:r>
            <w:proofErr w:type="spellEnd"/>
          </w:p>
        </w:tc>
        <w:tc>
          <w:tcPr>
            <w:tcW w:w="647" w:type="pct"/>
            <w:tcBorders>
              <w:top w:val="nil"/>
              <w:left w:val="single" w:sz="4" w:space="0" w:color="auto"/>
              <w:bottom w:val="single" w:sz="4" w:space="0" w:color="auto"/>
              <w:right w:val="single" w:sz="4" w:space="0" w:color="auto"/>
            </w:tcBorders>
            <w:shd w:val="clear" w:color="auto" w:fill="auto"/>
            <w:vAlign w:val="center"/>
          </w:tcPr>
          <w:p w:rsidR="008B2B87" w:rsidRPr="00D8075A" w:rsidRDefault="008B2B87" w:rsidP="0077318D">
            <w:pPr>
              <w:pStyle w:val="Tabletext"/>
              <w:jc w:val="center"/>
              <w:rPr>
                <w:sz w:val="18"/>
                <w:szCs w:val="18"/>
              </w:rPr>
            </w:pPr>
            <w:r w:rsidRPr="00D8075A">
              <w:rPr>
                <w:sz w:val="18"/>
                <w:szCs w:val="18"/>
              </w:rPr>
              <w:t>-$</w:t>
            </w:r>
            <w:r w:rsidR="00E43539">
              <w:rPr>
                <w:noProof/>
                <w:color w:val="000000"/>
                <w:sz w:val="18"/>
                <w:szCs w:val="18"/>
                <w:highlight w:val="black"/>
              </w:rPr>
              <w:t>''''''''''''''''''''</w:t>
            </w:r>
          </w:p>
        </w:tc>
        <w:tc>
          <w:tcPr>
            <w:tcW w:w="647" w:type="pct"/>
            <w:tcBorders>
              <w:top w:val="nil"/>
              <w:left w:val="single" w:sz="4" w:space="0" w:color="auto"/>
              <w:bottom w:val="single" w:sz="4" w:space="0" w:color="auto"/>
              <w:right w:val="single" w:sz="4" w:space="0" w:color="auto"/>
            </w:tcBorders>
            <w:shd w:val="clear" w:color="auto" w:fill="auto"/>
            <w:vAlign w:val="center"/>
          </w:tcPr>
          <w:p w:rsidR="008B2B87" w:rsidRPr="00D8075A" w:rsidRDefault="008B2B87" w:rsidP="0077318D">
            <w:pPr>
              <w:pStyle w:val="Tabletext"/>
              <w:jc w:val="center"/>
              <w:rPr>
                <w:sz w:val="18"/>
                <w:szCs w:val="18"/>
              </w:rPr>
            </w:pPr>
            <w:r w:rsidRPr="00D8075A">
              <w:rPr>
                <w:sz w:val="18"/>
                <w:szCs w:val="18"/>
              </w:rPr>
              <w:t>-$</w:t>
            </w:r>
            <w:r w:rsidR="00E43539">
              <w:rPr>
                <w:noProof/>
                <w:color w:val="000000"/>
                <w:sz w:val="18"/>
                <w:szCs w:val="18"/>
                <w:highlight w:val="black"/>
              </w:rPr>
              <w:t>''''''''''''''''''</w:t>
            </w:r>
          </w:p>
        </w:tc>
        <w:tc>
          <w:tcPr>
            <w:tcW w:w="647" w:type="pct"/>
            <w:tcBorders>
              <w:top w:val="nil"/>
              <w:left w:val="single" w:sz="4" w:space="0" w:color="auto"/>
              <w:bottom w:val="single" w:sz="4" w:space="0" w:color="auto"/>
              <w:right w:val="single" w:sz="4" w:space="0" w:color="auto"/>
            </w:tcBorders>
            <w:shd w:val="clear" w:color="auto" w:fill="auto"/>
            <w:vAlign w:val="center"/>
          </w:tcPr>
          <w:p w:rsidR="008B2B87" w:rsidRPr="00D8075A" w:rsidRDefault="008B2B87" w:rsidP="0077318D">
            <w:pPr>
              <w:pStyle w:val="Tabletext"/>
              <w:jc w:val="center"/>
              <w:rPr>
                <w:sz w:val="18"/>
                <w:szCs w:val="18"/>
              </w:rPr>
            </w:pPr>
            <w:r w:rsidRPr="00D8075A">
              <w:rPr>
                <w:sz w:val="18"/>
                <w:szCs w:val="18"/>
              </w:rPr>
              <w:t>-$</w:t>
            </w:r>
            <w:r w:rsidR="00E43539">
              <w:rPr>
                <w:noProof/>
                <w:color w:val="000000"/>
                <w:sz w:val="18"/>
                <w:szCs w:val="18"/>
                <w:highlight w:val="black"/>
              </w:rPr>
              <w:t>'''''''''''''''''</w:t>
            </w:r>
          </w:p>
        </w:tc>
        <w:tc>
          <w:tcPr>
            <w:tcW w:w="647" w:type="pct"/>
            <w:tcBorders>
              <w:top w:val="nil"/>
              <w:left w:val="single" w:sz="4" w:space="0" w:color="auto"/>
              <w:bottom w:val="single" w:sz="4" w:space="0" w:color="auto"/>
              <w:right w:val="single" w:sz="4" w:space="0" w:color="auto"/>
            </w:tcBorders>
            <w:shd w:val="clear" w:color="auto" w:fill="auto"/>
            <w:vAlign w:val="center"/>
          </w:tcPr>
          <w:p w:rsidR="008B2B87" w:rsidRPr="00D8075A" w:rsidRDefault="008B2B87" w:rsidP="0077318D">
            <w:pPr>
              <w:pStyle w:val="Tabletext"/>
              <w:jc w:val="center"/>
              <w:rPr>
                <w:sz w:val="18"/>
                <w:szCs w:val="18"/>
              </w:rPr>
            </w:pPr>
            <w:r w:rsidRPr="00D8075A">
              <w:rPr>
                <w:sz w:val="18"/>
                <w:szCs w:val="18"/>
              </w:rPr>
              <w:t>-$</w:t>
            </w:r>
            <w:r w:rsidR="00E43539">
              <w:rPr>
                <w:noProof/>
                <w:color w:val="000000"/>
                <w:sz w:val="18"/>
                <w:szCs w:val="18"/>
                <w:highlight w:val="black"/>
              </w:rPr>
              <w:t>''''''''''''''''''</w:t>
            </w:r>
          </w:p>
        </w:tc>
        <w:tc>
          <w:tcPr>
            <w:tcW w:w="647" w:type="pct"/>
            <w:tcBorders>
              <w:top w:val="nil"/>
              <w:left w:val="single" w:sz="4" w:space="0" w:color="auto"/>
              <w:bottom w:val="single" w:sz="4" w:space="0" w:color="auto"/>
              <w:right w:val="single" w:sz="4" w:space="0" w:color="auto"/>
            </w:tcBorders>
            <w:shd w:val="clear" w:color="auto" w:fill="auto"/>
            <w:vAlign w:val="center"/>
          </w:tcPr>
          <w:p w:rsidR="008B2B87" w:rsidRPr="00D8075A" w:rsidRDefault="008B2B87" w:rsidP="0077318D">
            <w:pPr>
              <w:pStyle w:val="Tabletext"/>
              <w:jc w:val="center"/>
              <w:rPr>
                <w:sz w:val="18"/>
                <w:szCs w:val="18"/>
              </w:rPr>
            </w:pPr>
            <w:r w:rsidRPr="00D8075A">
              <w:rPr>
                <w:sz w:val="18"/>
                <w:szCs w:val="18"/>
              </w:rPr>
              <w:t>-$</w:t>
            </w:r>
            <w:r w:rsidR="00E43539">
              <w:rPr>
                <w:noProof/>
                <w:color w:val="000000"/>
                <w:sz w:val="18"/>
                <w:szCs w:val="18"/>
                <w:highlight w:val="black"/>
              </w:rPr>
              <w:t>'''''''''''''''''''''</w:t>
            </w:r>
          </w:p>
        </w:tc>
        <w:tc>
          <w:tcPr>
            <w:tcW w:w="647" w:type="pct"/>
            <w:tcBorders>
              <w:top w:val="nil"/>
              <w:left w:val="single" w:sz="4" w:space="0" w:color="auto"/>
              <w:bottom w:val="single" w:sz="4" w:space="0" w:color="auto"/>
            </w:tcBorders>
            <w:shd w:val="clear" w:color="auto" w:fill="auto"/>
            <w:vAlign w:val="center"/>
          </w:tcPr>
          <w:p w:rsidR="008B2B87" w:rsidRPr="00D8075A" w:rsidRDefault="008B2B87" w:rsidP="0077318D">
            <w:pPr>
              <w:pStyle w:val="Tabletext"/>
              <w:jc w:val="center"/>
              <w:rPr>
                <w:sz w:val="18"/>
                <w:szCs w:val="18"/>
              </w:rPr>
            </w:pPr>
            <w:r w:rsidRPr="00D8075A">
              <w:rPr>
                <w:sz w:val="18"/>
                <w:szCs w:val="18"/>
              </w:rPr>
              <w:t>-$</w:t>
            </w:r>
            <w:r w:rsidR="00E43539">
              <w:rPr>
                <w:noProof/>
                <w:color w:val="000000"/>
                <w:sz w:val="18"/>
                <w:szCs w:val="18"/>
                <w:highlight w:val="black"/>
              </w:rPr>
              <w:t>''''''''''''''''''''</w:t>
            </w:r>
          </w:p>
        </w:tc>
      </w:tr>
      <w:tr w:rsidR="008B2B87" w:rsidRPr="00D8075A" w:rsidTr="0077318D">
        <w:tc>
          <w:tcPr>
            <w:tcW w:w="5000" w:type="pct"/>
            <w:gridSpan w:val="7"/>
            <w:shd w:val="clear" w:color="auto" w:fill="auto"/>
            <w:vAlign w:val="center"/>
          </w:tcPr>
          <w:p w:rsidR="008B2B87" w:rsidRPr="00D8075A" w:rsidRDefault="008B2B87" w:rsidP="0077318D">
            <w:pPr>
              <w:pStyle w:val="Tabletext"/>
              <w:rPr>
                <w:b/>
                <w:bCs/>
                <w:color w:val="000000"/>
                <w:sz w:val="18"/>
                <w:szCs w:val="18"/>
              </w:rPr>
            </w:pPr>
            <w:r w:rsidRPr="00D8075A">
              <w:rPr>
                <w:b/>
                <w:bCs/>
                <w:color w:val="000000"/>
                <w:sz w:val="18"/>
                <w:szCs w:val="18"/>
              </w:rPr>
              <w:t>Net financial implications</w:t>
            </w:r>
          </w:p>
        </w:tc>
      </w:tr>
      <w:tr w:rsidR="008B2B87" w:rsidRPr="00D8075A" w:rsidTr="007D7636">
        <w:tc>
          <w:tcPr>
            <w:tcW w:w="1119" w:type="pct"/>
            <w:shd w:val="clear" w:color="auto" w:fill="auto"/>
            <w:vAlign w:val="center"/>
          </w:tcPr>
          <w:p w:rsidR="008B2B87" w:rsidRPr="00D8075A" w:rsidRDefault="008B2B87" w:rsidP="0077318D">
            <w:pPr>
              <w:pStyle w:val="Tabletext"/>
              <w:rPr>
                <w:sz w:val="18"/>
                <w:szCs w:val="18"/>
              </w:rPr>
            </w:pPr>
            <w:r w:rsidRPr="00D8075A">
              <w:rPr>
                <w:sz w:val="18"/>
                <w:szCs w:val="18"/>
              </w:rPr>
              <w:t>Net cost to PBS/RPBS</w:t>
            </w:r>
          </w:p>
        </w:tc>
        <w:tc>
          <w:tcPr>
            <w:tcW w:w="647" w:type="pct"/>
            <w:tcBorders>
              <w:top w:val="nil"/>
              <w:left w:val="single" w:sz="4" w:space="0" w:color="auto"/>
              <w:bottom w:val="single" w:sz="4" w:space="0" w:color="auto"/>
              <w:right w:val="single" w:sz="4" w:space="0" w:color="auto"/>
            </w:tcBorders>
            <w:shd w:val="clear" w:color="auto" w:fill="auto"/>
            <w:vAlign w:val="center"/>
          </w:tcPr>
          <w:p w:rsidR="008B2B87" w:rsidRPr="00D8075A" w:rsidRDefault="008B2B87" w:rsidP="0077318D">
            <w:pPr>
              <w:pStyle w:val="Tabletext"/>
              <w:jc w:val="center"/>
              <w:rPr>
                <w:sz w:val="18"/>
                <w:szCs w:val="18"/>
              </w:rPr>
            </w:pPr>
            <w:r w:rsidRPr="00D8075A">
              <w:rPr>
                <w:sz w:val="18"/>
                <w:szCs w:val="18"/>
              </w:rPr>
              <w:t>$</w:t>
            </w:r>
            <w:r w:rsidR="00E43539">
              <w:rPr>
                <w:noProof/>
                <w:color w:val="000000"/>
                <w:sz w:val="18"/>
                <w:szCs w:val="18"/>
                <w:highlight w:val="black"/>
              </w:rPr>
              <w:t>'''''''''''''''''''''''</w:t>
            </w:r>
          </w:p>
        </w:tc>
        <w:tc>
          <w:tcPr>
            <w:tcW w:w="647" w:type="pct"/>
            <w:tcBorders>
              <w:left w:val="single" w:sz="4" w:space="0" w:color="auto"/>
              <w:right w:val="single" w:sz="4" w:space="0" w:color="auto"/>
            </w:tcBorders>
            <w:shd w:val="clear" w:color="auto" w:fill="auto"/>
            <w:vAlign w:val="center"/>
          </w:tcPr>
          <w:p w:rsidR="008B2B87" w:rsidRPr="00D8075A" w:rsidRDefault="008B2B87" w:rsidP="0077318D">
            <w:pPr>
              <w:pStyle w:val="Tabletext"/>
              <w:jc w:val="center"/>
              <w:rPr>
                <w:sz w:val="18"/>
                <w:szCs w:val="18"/>
              </w:rPr>
            </w:pPr>
            <w:r w:rsidRPr="00D8075A">
              <w:rPr>
                <w:sz w:val="18"/>
                <w:szCs w:val="18"/>
              </w:rPr>
              <w:t>$</w:t>
            </w:r>
            <w:r w:rsidR="00E43539">
              <w:rPr>
                <w:noProof/>
                <w:color w:val="000000"/>
                <w:sz w:val="18"/>
                <w:szCs w:val="18"/>
                <w:highlight w:val="black"/>
              </w:rPr>
              <w:t>'''''''''''''''''''''''</w:t>
            </w:r>
          </w:p>
        </w:tc>
        <w:tc>
          <w:tcPr>
            <w:tcW w:w="647" w:type="pct"/>
            <w:tcBorders>
              <w:top w:val="nil"/>
              <w:left w:val="single" w:sz="4" w:space="0" w:color="auto"/>
              <w:bottom w:val="single" w:sz="4" w:space="0" w:color="auto"/>
              <w:right w:val="single" w:sz="4" w:space="0" w:color="auto"/>
            </w:tcBorders>
            <w:shd w:val="clear" w:color="auto" w:fill="auto"/>
            <w:vAlign w:val="center"/>
          </w:tcPr>
          <w:p w:rsidR="008B2B87" w:rsidRPr="00D8075A" w:rsidRDefault="008B2B87" w:rsidP="0077318D">
            <w:pPr>
              <w:pStyle w:val="Tabletext"/>
              <w:jc w:val="center"/>
              <w:rPr>
                <w:sz w:val="18"/>
                <w:szCs w:val="18"/>
              </w:rPr>
            </w:pPr>
            <w:r w:rsidRPr="00D8075A">
              <w:rPr>
                <w:sz w:val="18"/>
                <w:szCs w:val="18"/>
              </w:rPr>
              <w:t>$</w:t>
            </w:r>
            <w:r w:rsidR="00E43539">
              <w:rPr>
                <w:noProof/>
                <w:color w:val="000000"/>
                <w:sz w:val="18"/>
                <w:szCs w:val="18"/>
                <w:highlight w:val="black"/>
              </w:rPr>
              <w:t>''''''''''''''''''''''</w:t>
            </w:r>
          </w:p>
        </w:tc>
        <w:tc>
          <w:tcPr>
            <w:tcW w:w="647" w:type="pct"/>
            <w:tcBorders>
              <w:left w:val="single" w:sz="4" w:space="0" w:color="auto"/>
              <w:right w:val="single" w:sz="4" w:space="0" w:color="auto"/>
            </w:tcBorders>
            <w:shd w:val="clear" w:color="auto" w:fill="auto"/>
            <w:vAlign w:val="center"/>
          </w:tcPr>
          <w:p w:rsidR="008B2B87" w:rsidRPr="00D8075A" w:rsidRDefault="008B2B87" w:rsidP="0077318D">
            <w:pPr>
              <w:pStyle w:val="Tabletext"/>
              <w:jc w:val="center"/>
              <w:rPr>
                <w:sz w:val="18"/>
                <w:szCs w:val="18"/>
              </w:rPr>
            </w:pPr>
            <w:r w:rsidRPr="00D8075A">
              <w:rPr>
                <w:sz w:val="18"/>
                <w:szCs w:val="18"/>
              </w:rPr>
              <w:t>$</w:t>
            </w:r>
            <w:r w:rsidR="00E43539">
              <w:rPr>
                <w:noProof/>
                <w:color w:val="000000"/>
                <w:sz w:val="18"/>
                <w:szCs w:val="18"/>
                <w:highlight w:val="black"/>
              </w:rPr>
              <w:t>''''''''''''''''''''''''''</w:t>
            </w:r>
          </w:p>
        </w:tc>
        <w:tc>
          <w:tcPr>
            <w:tcW w:w="647" w:type="pct"/>
            <w:tcBorders>
              <w:top w:val="nil"/>
              <w:left w:val="single" w:sz="4" w:space="0" w:color="auto"/>
              <w:bottom w:val="single" w:sz="4" w:space="0" w:color="auto"/>
              <w:right w:val="single" w:sz="4" w:space="0" w:color="auto"/>
            </w:tcBorders>
            <w:shd w:val="clear" w:color="auto" w:fill="auto"/>
            <w:vAlign w:val="center"/>
          </w:tcPr>
          <w:p w:rsidR="008B2B87" w:rsidRPr="00D8075A" w:rsidRDefault="008B2B87" w:rsidP="0077318D">
            <w:pPr>
              <w:pStyle w:val="Tabletext"/>
              <w:jc w:val="center"/>
              <w:rPr>
                <w:sz w:val="18"/>
                <w:szCs w:val="18"/>
              </w:rPr>
            </w:pPr>
            <w:r w:rsidRPr="00D8075A">
              <w:rPr>
                <w:sz w:val="18"/>
                <w:szCs w:val="18"/>
              </w:rPr>
              <w:t>$</w:t>
            </w:r>
            <w:r w:rsidR="00E43539">
              <w:rPr>
                <w:noProof/>
                <w:color w:val="000000"/>
                <w:sz w:val="18"/>
                <w:szCs w:val="18"/>
                <w:highlight w:val="black"/>
              </w:rPr>
              <w:t>''''''''''''''''''''''''''</w:t>
            </w:r>
          </w:p>
        </w:tc>
        <w:tc>
          <w:tcPr>
            <w:tcW w:w="647" w:type="pct"/>
            <w:tcBorders>
              <w:left w:val="single" w:sz="4" w:space="0" w:color="auto"/>
            </w:tcBorders>
            <w:shd w:val="clear" w:color="auto" w:fill="auto"/>
            <w:vAlign w:val="center"/>
          </w:tcPr>
          <w:p w:rsidR="008B2B87" w:rsidRPr="00D8075A" w:rsidRDefault="008B2B87" w:rsidP="0077318D">
            <w:pPr>
              <w:pStyle w:val="Tabletext"/>
              <w:jc w:val="center"/>
              <w:rPr>
                <w:sz w:val="18"/>
                <w:szCs w:val="18"/>
              </w:rPr>
            </w:pPr>
            <w:r w:rsidRPr="00D8075A">
              <w:rPr>
                <w:sz w:val="18"/>
                <w:szCs w:val="18"/>
              </w:rPr>
              <w:t>$</w:t>
            </w:r>
            <w:r w:rsidR="00E43539">
              <w:rPr>
                <w:noProof/>
                <w:color w:val="000000"/>
                <w:sz w:val="18"/>
                <w:szCs w:val="18"/>
                <w:highlight w:val="black"/>
              </w:rPr>
              <w:t>'''''''''''''''''''''''''''</w:t>
            </w:r>
          </w:p>
        </w:tc>
      </w:tr>
      <w:tr w:rsidR="008B2B87" w:rsidRPr="00D8075A" w:rsidTr="007D7636">
        <w:tc>
          <w:tcPr>
            <w:tcW w:w="1119" w:type="pct"/>
            <w:shd w:val="clear" w:color="auto" w:fill="auto"/>
            <w:vAlign w:val="center"/>
          </w:tcPr>
          <w:p w:rsidR="008B2B87" w:rsidRPr="00D8075A" w:rsidRDefault="008B2B87" w:rsidP="0077318D">
            <w:pPr>
              <w:pStyle w:val="Tabletext"/>
              <w:rPr>
                <w:sz w:val="18"/>
                <w:szCs w:val="18"/>
              </w:rPr>
            </w:pPr>
            <w:r w:rsidRPr="00D8075A">
              <w:rPr>
                <w:sz w:val="18"/>
                <w:szCs w:val="18"/>
              </w:rPr>
              <w:t>Net cost to MBS</w:t>
            </w:r>
          </w:p>
        </w:tc>
        <w:tc>
          <w:tcPr>
            <w:tcW w:w="647" w:type="pct"/>
            <w:tcBorders>
              <w:top w:val="single" w:sz="4" w:space="0" w:color="auto"/>
              <w:left w:val="single" w:sz="4" w:space="0" w:color="auto"/>
              <w:bottom w:val="single" w:sz="4" w:space="0" w:color="auto"/>
              <w:right w:val="nil"/>
            </w:tcBorders>
            <w:shd w:val="clear" w:color="auto" w:fill="auto"/>
            <w:vAlign w:val="center"/>
          </w:tcPr>
          <w:p w:rsidR="008B2B87" w:rsidRPr="00D8075A" w:rsidRDefault="008B2B87" w:rsidP="0077318D">
            <w:pPr>
              <w:pStyle w:val="Tabletext"/>
              <w:jc w:val="center"/>
              <w:rPr>
                <w:bCs/>
                <w:sz w:val="18"/>
                <w:szCs w:val="18"/>
              </w:rPr>
            </w:pPr>
            <w:r w:rsidRPr="00D8075A">
              <w:rPr>
                <w:bCs/>
                <w:sz w:val="18"/>
                <w:szCs w:val="18"/>
              </w:rPr>
              <w:t>$</w:t>
            </w:r>
            <w:r w:rsidR="00E43539">
              <w:rPr>
                <w:bCs/>
                <w:noProof/>
                <w:color w:val="000000"/>
                <w:sz w:val="18"/>
                <w:szCs w:val="18"/>
                <w:highlight w:val="black"/>
              </w:rPr>
              <w:t>''''''''''''''''''</w:t>
            </w:r>
          </w:p>
        </w:tc>
        <w:tc>
          <w:tcPr>
            <w:tcW w:w="647" w:type="pct"/>
            <w:tcBorders>
              <w:top w:val="single" w:sz="4" w:space="0" w:color="auto"/>
              <w:left w:val="single" w:sz="4" w:space="0" w:color="auto"/>
              <w:bottom w:val="single" w:sz="4" w:space="0" w:color="auto"/>
              <w:right w:val="nil"/>
            </w:tcBorders>
            <w:shd w:val="clear" w:color="auto" w:fill="auto"/>
            <w:vAlign w:val="center"/>
          </w:tcPr>
          <w:p w:rsidR="008B2B87" w:rsidRPr="00D8075A" w:rsidRDefault="008B2B87" w:rsidP="0077318D">
            <w:pPr>
              <w:pStyle w:val="Tabletext"/>
              <w:jc w:val="center"/>
              <w:rPr>
                <w:bCs/>
                <w:sz w:val="18"/>
                <w:szCs w:val="18"/>
              </w:rPr>
            </w:pPr>
            <w:r w:rsidRPr="00D8075A">
              <w:rPr>
                <w:bCs/>
                <w:sz w:val="18"/>
                <w:szCs w:val="18"/>
              </w:rPr>
              <w:t>$</w:t>
            </w:r>
            <w:r w:rsidR="00E43539">
              <w:rPr>
                <w:bCs/>
                <w:noProof/>
                <w:color w:val="000000"/>
                <w:sz w:val="18"/>
                <w:szCs w:val="18"/>
                <w:highlight w:val="black"/>
              </w:rPr>
              <w:t>'''''''''''''''''</w:t>
            </w:r>
          </w:p>
        </w:tc>
        <w:tc>
          <w:tcPr>
            <w:tcW w:w="647" w:type="pct"/>
            <w:tcBorders>
              <w:top w:val="single" w:sz="4" w:space="0" w:color="auto"/>
              <w:left w:val="single" w:sz="4" w:space="0" w:color="auto"/>
              <w:bottom w:val="single" w:sz="4" w:space="0" w:color="auto"/>
              <w:right w:val="nil"/>
            </w:tcBorders>
            <w:shd w:val="clear" w:color="auto" w:fill="auto"/>
            <w:vAlign w:val="center"/>
          </w:tcPr>
          <w:p w:rsidR="008B2B87" w:rsidRPr="00D8075A" w:rsidRDefault="008B2B87" w:rsidP="0077318D">
            <w:pPr>
              <w:pStyle w:val="Tabletext"/>
              <w:jc w:val="center"/>
              <w:rPr>
                <w:bCs/>
                <w:sz w:val="18"/>
                <w:szCs w:val="18"/>
              </w:rPr>
            </w:pPr>
            <w:r w:rsidRPr="00D8075A">
              <w:rPr>
                <w:bCs/>
                <w:sz w:val="18"/>
                <w:szCs w:val="18"/>
              </w:rPr>
              <w:t>$</w:t>
            </w:r>
            <w:r w:rsidR="00E43539">
              <w:rPr>
                <w:bCs/>
                <w:noProof/>
                <w:color w:val="000000"/>
                <w:sz w:val="18"/>
                <w:szCs w:val="18"/>
                <w:highlight w:val="black"/>
              </w:rPr>
              <w:t>'''''''''''''''''''''</w:t>
            </w:r>
          </w:p>
        </w:tc>
        <w:tc>
          <w:tcPr>
            <w:tcW w:w="647" w:type="pct"/>
            <w:tcBorders>
              <w:top w:val="single" w:sz="4" w:space="0" w:color="auto"/>
              <w:left w:val="single" w:sz="4" w:space="0" w:color="auto"/>
              <w:bottom w:val="single" w:sz="4" w:space="0" w:color="auto"/>
              <w:right w:val="nil"/>
            </w:tcBorders>
            <w:shd w:val="clear" w:color="auto" w:fill="auto"/>
            <w:vAlign w:val="center"/>
          </w:tcPr>
          <w:p w:rsidR="008B2B87" w:rsidRPr="00D8075A" w:rsidRDefault="008B2B87" w:rsidP="0077318D">
            <w:pPr>
              <w:pStyle w:val="Tabletext"/>
              <w:jc w:val="center"/>
              <w:rPr>
                <w:bCs/>
                <w:sz w:val="18"/>
                <w:szCs w:val="18"/>
              </w:rPr>
            </w:pPr>
            <w:r w:rsidRPr="00D8075A">
              <w:rPr>
                <w:bCs/>
                <w:sz w:val="18"/>
                <w:szCs w:val="18"/>
              </w:rPr>
              <w:t>$</w:t>
            </w:r>
            <w:r w:rsidR="00E43539">
              <w:rPr>
                <w:bCs/>
                <w:noProof/>
                <w:color w:val="000000"/>
                <w:sz w:val="18"/>
                <w:szCs w:val="18"/>
                <w:highlight w:val="black"/>
              </w:rPr>
              <w:t>'''''''''''''''''''''</w:t>
            </w:r>
          </w:p>
        </w:tc>
        <w:tc>
          <w:tcPr>
            <w:tcW w:w="647" w:type="pct"/>
            <w:tcBorders>
              <w:top w:val="single" w:sz="4" w:space="0" w:color="auto"/>
              <w:left w:val="single" w:sz="4" w:space="0" w:color="auto"/>
              <w:bottom w:val="single" w:sz="4" w:space="0" w:color="auto"/>
              <w:right w:val="nil"/>
            </w:tcBorders>
            <w:shd w:val="clear" w:color="auto" w:fill="auto"/>
            <w:vAlign w:val="center"/>
          </w:tcPr>
          <w:p w:rsidR="008B2B87" w:rsidRPr="00D8075A" w:rsidRDefault="008B2B87" w:rsidP="0077318D">
            <w:pPr>
              <w:pStyle w:val="Tabletext"/>
              <w:jc w:val="center"/>
              <w:rPr>
                <w:bCs/>
                <w:sz w:val="18"/>
                <w:szCs w:val="18"/>
              </w:rPr>
            </w:pPr>
            <w:r w:rsidRPr="00D8075A">
              <w:rPr>
                <w:bCs/>
                <w:sz w:val="18"/>
                <w:szCs w:val="18"/>
              </w:rPr>
              <w:t>$</w:t>
            </w:r>
            <w:r w:rsidR="00E43539">
              <w:rPr>
                <w:bCs/>
                <w:noProof/>
                <w:color w:val="000000"/>
                <w:sz w:val="18"/>
                <w:szCs w:val="18"/>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8B2B87" w:rsidRPr="00D8075A" w:rsidRDefault="008B2B87" w:rsidP="0077318D">
            <w:pPr>
              <w:pStyle w:val="Tabletext"/>
              <w:jc w:val="center"/>
              <w:rPr>
                <w:bCs/>
                <w:sz w:val="18"/>
                <w:szCs w:val="18"/>
              </w:rPr>
            </w:pPr>
            <w:r w:rsidRPr="00D8075A">
              <w:rPr>
                <w:bCs/>
                <w:sz w:val="18"/>
                <w:szCs w:val="18"/>
              </w:rPr>
              <w:t>$</w:t>
            </w:r>
            <w:r w:rsidR="00E43539">
              <w:rPr>
                <w:bCs/>
                <w:noProof/>
                <w:color w:val="000000"/>
                <w:sz w:val="18"/>
                <w:szCs w:val="18"/>
                <w:highlight w:val="black"/>
              </w:rPr>
              <w:t>''''''''''''''''''</w:t>
            </w:r>
          </w:p>
        </w:tc>
      </w:tr>
      <w:tr w:rsidR="008B2B87" w:rsidRPr="00D8075A" w:rsidTr="007D7636">
        <w:tc>
          <w:tcPr>
            <w:tcW w:w="1119" w:type="pct"/>
            <w:shd w:val="clear" w:color="auto" w:fill="auto"/>
            <w:vAlign w:val="center"/>
          </w:tcPr>
          <w:p w:rsidR="008B2B87" w:rsidRPr="00D8075A" w:rsidRDefault="008B2B87" w:rsidP="0077318D">
            <w:pPr>
              <w:pStyle w:val="Tabletext"/>
              <w:rPr>
                <w:bCs/>
                <w:sz w:val="18"/>
                <w:szCs w:val="18"/>
              </w:rPr>
            </w:pPr>
            <w:r w:rsidRPr="00D8075A">
              <w:rPr>
                <w:bCs/>
                <w:sz w:val="18"/>
                <w:szCs w:val="18"/>
              </w:rPr>
              <w:t>Other cost to Government (adverse events)</w:t>
            </w:r>
          </w:p>
        </w:tc>
        <w:tc>
          <w:tcPr>
            <w:tcW w:w="647" w:type="pct"/>
            <w:tcBorders>
              <w:top w:val="single" w:sz="4" w:space="0" w:color="auto"/>
              <w:left w:val="single" w:sz="4" w:space="0" w:color="auto"/>
              <w:bottom w:val="single" w:sz="4" w:space="0" w:color="auto"/>
              <w:right w:val="nil"/>
            </w:tcBorders>
            <w:shd w:val="clear" w:color="auto" w:fill="auto"/>
            <w:vAlign w:val="center"/>
          </w:tcPr>
          <w:p w:rsidR="008B2B87" w:rsidRPr="00D8075A" w:rsidRDefault="008B2B87" w:rsidP="0077318D">
            <w:pPr>
              <w:pStyle w:val="Tabletext"/>
              <w:jc w:val="center"/>
              <w:rPr>
                <w:bCs/>
                <w:sz w:val="18"/>
                <w:szCs w:val="18"/>
              </w:rPr>
            </w:pPr>
            <w:r w:rsidRPr="00D8075A">
              <w:rPr>
                <w:bCs/>
                <w:sz w:val="18"/>
                <w:szCs w:val="18"/>
              </w:rPr>
              <w:t>-$</w:t>
            </w:r>
            <w:r w:rsidR="00E43539">
              <w:rPr>
                <w:bCs/>
                <w:noProof/>
                <w:color w:val="000000"/>
                <w:sz w:val="18"/>
                <w:szCs w:val="18"/>
                <w:highlight w:val="black"/>
              </w:rPr>
              <w:t>'''''''''''''''''</w:t>
            </w:r>
          </w:p>
        </w:tc>
        <w:tc>
          <w:tcPr>
            <w:tcW w:w="647" w:type="pct"/>
            <w:tcBorders>
              <w:top w:val="single" w:sz="4" w:space="0" w:color="auto"/>
              <w:left w:val="single" w:sz="4" w:space="0" w:color="auto"/>
              <w:bottom w:val="single" w:sz="4" w:space="0" w:color="auto"/>
              <w:right w:val="nil"/>
            </w:tcBorders>
            <w:shd w:val="clear" w:color="auto" w:fill="auto"/>
            <w:vAlign w:val="center"/>
          </w:tcPr>
          <w:p w:rsidR="008B2B87" w:rsidRPr="00D8075A" w:rsidRDefault="008B2B87" w:rsidP="0077318D">
            <w:pPr>
              <w:pStyle w:val="Tabletext"/>
              <w:jc w:val="center"/>
              <w:rPr>
                <w:bCs/>
                <w:sz w:val="18"/>
                <w:szCs w:val="18"/>
              </w:rPr>
            </w:pPr>
            <w:r w:rsidRPr="00D8075A">
              <w:rPr>
                <w:bCs/>
                <w:sz w:val="18"/>
                <w:szCs w:val="18"/>
              </w:rPr>
              <w:t>-$</w:t>
            </w:r>
            <w:r w:rsidR="00E43539">
              <w:rPr>
                <w:bCs/>
                <w:noProof/>
                <w:color w:val="000000"/>
                <w:sz w:val="18"/>
                <w:szCs w:val="18"/>
                <w:highlight w:val="black"/>
              </w:rPr>
              <w:t>''''''''''''''''''</w:t>
            </w:r>
          </w:p>
        </w:tc>
        <w:tc>
          <w:tcPr>
            <w:tcW w:w="647" w:type="pct"/>
            <w:tcBorders>
              <w:top w:val="single" w:sz="4" w:space="0" w:color="auto"/>
              <w:left w:val="single" w:sz="4" w:space="0" w:color="auto"/>
              <w:bottom w:val="single" w:sz="4" w:space="0" w:color="auto"/>
              <w:right w:val="nil"/>
            </w:tcBorders>
            <w:shd w:val="clear" w:color="auto" w:fill="auto"/>
            <w:vAlign w:val="center"/>
          </w:tcPr>
          <w:p w:rsidR="008B2B87" w:rsidRPr="00D8075A" w:rsidRDefault="008B2B87" w:rsidP="0077318D">
            <w:pPr>
              <w:pStyle w:val="Tabletext"/>
              <w:jc w:val="center"/>
              <w:rPr>
                <w:bCs/>
                <w:sz w:val="18"/>
                <w:szCs w:val="18"/>
              </w:rPr>
            </w:pPr>
            <w:r w:rsidRPr="00D8075A">
              <w:rPr>
                <w:bCs/>
                <w:sz w:val="18"/>
                <w:szCs w:val="18"/>
              </w:rPr>
              <w:t>-$</w:t>
            </w:r>
            <w:r w:rsidR="00E43539">
              <w:rPr>
                <w:bCs/>
                <w:noProof/>
                <w:color w:val="000000"/>
                <w:sz w:val="18"/>
                <w:szCs w:val="18"/>
                <w:highlight w:val="black"/>
              </w:rPr>
              <w:t>'''''''''''''''''''''</w:t>
            </w:r>
          </w:p>
        </w:tc>
        <w:tc>
          <w:tcPr>
            <w:tcW w:w="647" w:type="pct"/>
            <w:tcBorders>
              <w:top w:val="single" w:sz="4" w:space="0" w:color="auto"/>
              <w:left w:val="single" w:sz="4" w:space="0" w:color="auto"/>
              <w:bottom w:val="single" w:sz="4" w:space="0" w:color="auto"/>
              <w:right w:val="nil"/>
            </w:tcBorders>
            <w:shd w:val="clear" w:color="auto" w:fill="auto"/>
            <w:vAlign w:val="center"/>
          </w:tcPr>
          <w:p w:rsidR="008B2B87" w:rsidRPr="00D8075A" w:rsidRDefault="008B2B87" w:rsidP="0077318D">
            <w:pPr>
              <w:pStyle w:val="Tabletext"/>
              <w:jc w:val="center"/>
              <w:rPr>
                <w:bCs/>
                <w:sz w:val="18"/>
                <w:szCs w:val="18"/>
              </w:rPr>
            </w:pPr>
            <w:r w:rsidRPr="00D8075A">
              <w:rPr>
                <w:bCs/>
                <w:sz w:val="18"/>
                <w:szCs w:val="18"/>
              </w:rPr>
              <w:t>-$</w:t>
            </w:r>
            <w:r w:rsidR="00E43539">
              <w:rPr>
                <w:bCs/>
                <w:noProof/>
                <w:color w:val="000000"/>
                <w:sz w:val="18"/>
                <w:szCs w:val="18"/>
                <w:highlight w:val="black"/>
              </w:rPr>
              <w:t>''''''''''''''''''''</w:t>
            </w:r>
          </w:p>
        </w:tc>
        <w:tc>
          <w:tcPr>
            <w:tcW w:w="647" w:type="pct"/>
            <w:tcBorders>
              <w:top w:val="single" w:sz="4" w:space="0" w:color="auto"/>
              <w:left w:val="single" w:sz="4" w:space="0" w:color="auto"/>
              <w:bottom w:val="single" w:sz="4" w:space="0" w:color="auto"/>
              <w:right w:val="nil"/>
            </w:tcBorders>
            <w:shd w:val="clear" w:color="auto" w:fill="auto"/>
            <w:vAlign w:val="center"/>
          </w:tcPr>
          <w:p w:rsidR="008B2B87" w:rsidRPr="00D8075A" w:rsidRDefault="008B2B87" w:rsidP="0077318D">
            <w:pPr>
              <w:pStyle w:val="Tabletext"/>
              <w:jc w:val="center"/>
              <w:rPr>
                <w:bCs/>
                <w:sz w:val="18"/>
                <w:szCs w:val="18"/>
              </w:rPr>
            </w:pPr>
            <w:r w:rsidRPr="00D8075A">
              <w:rPr>
                <w:bCs/>
                <w:sz w:val="18"/>
                <w:szCs w:val="18"/>
              </w:rPr>
              <w:t>-$</w:t>
            </w:r>
            <w:r w:rsidR="00E43539">
              <w:rPr>
                <w:bCs/>
                <w:noProof/>
                <w:color w:val="000000"/>
                <w:sz w:val="18"/>
                <w:szCs w:val="18"/>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8B2B87" w:rsidRPr="00D8075A" w:rsidRDefault="008B2B87" w:rsidP="0077318D">
            <w:pPr>
              <w:pStyle w:val="Tabletext"/>
              <w:jc w:val="center"/>
              <w:rPr>
                <w:bCs/>
                <w:sz w:val="18"/>
                <w:szCs w:val="18"/>
              </w:rPr>
            </w:pPr>
            <w:r w:rsidRPr="00D8075A">
              <w:rPr>
                <w:bCs/>
                <w:sz w:val="18"/>
                <w:szCs w:val="18"/>
              </w:rPr>
              <w:t>-$</w:t>
            </w:r>
            <w:r w:rsidR="00E43539">
              <w:rPr>
                <w:bCs/>
                <w:noProof/>
                <w:color w:val="000000"/>
                <w:sz w:val="18"/>
                <w:szCs w:val="18"/>
                <w:highlight w:val="black"/>
              </w:rPr>
              <w:t>'''''''''''''''''''</w:t>
            </w:r>
          </w:p>
        </w:tc>
      </w:tr>
      <w:tr w:rsidR="008B2B87" w:rsidRPr="00D8075A" w:rsidTr="007D7636">
        <w:tc>
          <w:tcPr>
            <w:tcW w:w="1119" w:type="pct"/>
            <w:shd w:val="clear" w:color="auto" w:fill="auto"/>
            <w:vAlign w:val="center"/>
          </w:tcPr>
          <w:p w:rsidR="008B2B87" w:rsidRPr="00D8075A" w:rsidRDefault="008B2B87" w:rsidP="0077318D">
            <w:pPr>
              <w:pStyle w:val="Tabletext"/>
              <w:rPr>
                <w:sz w:val="18"/>
                <w:szCs w:val="18"/>
              </w:rPr>
            </w:pPr>
            <w:r w:rsidRPr="00D8075A">
              <w:rPr>
                <w:sz w:val="18"/>
                <w:szCs w:val="18"/>
              </w:rPr>
              <w:t xml:space="preserve">Overall Net cost to Government Health Budget </w:t>
            </w:r>
          </w:p>
        </w:tc>
        <w:tc>
          <w:tcPr>
            <w:tcW w:w="647" w:type="pct"/>
            <w:tcBorders>
              <w:top w:val="single" w:sz="4" w:space="0" w:color="auto"/>
              <w:left w:val="single" w:sz="4" w:space="0" w:color="auto"/>
              <w:bottom w:val="single" w:sz="4" w:space="0" w:color="auto"/>
              <w:right w:val="nil"/>
            </w:tcBorders>
            <w:shd w:val="clear" w:color="auto" w:fill="auto"/>
            <w:vAlign w:val="center"/>
          </w:tcPr>
          <w:p w:rsidR="008B2B87" w:rsidRPr="00D8075A" w:rsidRDefault="008B2B87" w:rsidP="0077318D">
            <w:pPr>
              <w:pStyle w:val="Tabletext"/>
              <w:jc w:val="center"/>
              <w:rPr>
                <w:bCs/>
                <w:sz w:val="18"/>
                <w:szCs w:val="18"/>
              </w:rPr>
            </w:pPr>
            <w:r w:rsidRPr="00D8075A">
              <w:rPr>
                <w:bCs/>
                <w:sz w:val="18"/>
                <w:szCs w:val="18"/>
              </w:rPr>
              <w:t>$</w:t>
            </w:r>
            <w:r w:rsidR="00E43539">
              <w:rPr>
                <w:bCs/>
                <w:noProof/>
                <w:color w:val="000000"/>
                <w:sz w:val="18"/>
                <w:szCs w:val="18"/>
                <w:highlight w:val="black"/>
              </w:rPr>
              <w:t>'''''''''''''''''''''''''</w:t>
            </w:r>
          </w:p>
        </w:tc>
        <w:tc>
          <w:tcPr>
            <w:tcW w:w="647" w:type="pct"/>
            <w:tcBorders>
              <w:top w:val="single" w:sz="4" w:space="0" w:color="auto"/>
              <w:left w:val="single" w:sz="4" w:space="0" w:color="auto"/>
              <w:bottom w:val="single" w:sz="4" w:space="0" w:color="auto"/>
              <w:right w:val="nil"/>
            </w:tcBorders>
            <w:shd w:val="clear" w:color="auto" w:fill="auto"/>
            <w:vAlign w:val="center"/>
          </w:tcPr>
          <w:p w:rsidR="008B2B87" w:rsidRPr="00D8075A" w:rsidRDefault="008B2B87" w:rsidP="0077318D">
            <w:pPr>
              <w:pStyle w:val="Tabletext"/>
              <w:jc w:val="center"/>
              <w:rPr>
                <w:bCs/>
                <w:sz w:val="18"/>
                <w:szCs w:val="18"/>
              </w:rPr>
            </w:pPr>
            <w:r w:rsidRPr="00D8075A">
              <w:rPr>
                <w:bCs/>
                <w:sz w:val="18"/>
                <w:szCs w:val="18"/>
              </w:rPr>
              <w:t>$</w:t>
            </w:r>
            <w:r w:rsidR="00E43539">
              <w:rPr>
                <w:bCs/>
                <w:noProof/>
                <w:color w:val="000000"/>
                <w:sz w:val="18"/>
                <w:szCs w:val="18"/>
                <w:highlight w:val="black"/>
              </w:rPr>
              <w:t>''''''''''''''''''''''''</w:t>
            </w:r>
          </w:p>
        </w:tc>
        <w:tc>
          <w:tcPr>
            <w:tcW w:w="647" w:type="pct"/>
            <w:tcBorders>
              <w:top w:val="single" w:sz="4" w:space="0" w:color="auto"/>
              <w:left w:val="single" w:sz="4" w:space="0" w:color="auto"/>
              <w:bottom w:val="single" w:sz="4" w:space="0" w:color="auto"/>
              <w:right w:val="nil"/>
            </w:tcBorders>
            <w:shd w:val="clear" w:color="auto" w:fill="auto"/>
            <w:vAlign w:val="center"/>
          </w:tcPr>
          <w:p w:rsidR="008B2B87" w:rsidRPr="00D8075A" w:rsidRDefault="008B2B87" w:rsidP="0077318D">
            <w:pPr>
              <w:pStyle w:val="Tabletext"/>
              <w:jc w:val="center"/>
              <w:rPr>
                <w:bCs/>
                <w:sz w:val="18"/>
                <w:szCs w:val="18"/>
              </w:rPr>
            </w:pPr>
            <w:r w:rsidRPr="00D8075A">
              <w:rPr>
                <w:bCs/>
                <w:sz w:val="18"/>
                <w:szCs w:val="18"/>
              </w:rPr>
              <w:t>$</w:t>
            </w:r>
            <w:r w:rsidR="00E43539">
              <w:rPr>
                <w:bCs/>
                <w:noProof/>
                <w:color w:val="000000"/>
                <w:sz w:val="18"/>
                <w:szCs w:val="18"/>
                <w:highlight w:val="black"/>
              </w:rPr>
              <w:t>'''''''''''''''''''''''''</w:t>
            </w:r>
          </w:p>
        </w:tc>
        <w:tc>
          <w:tcPr>
            <w:tcW w:w="647" w:type="pct"/>
            <w:tcBorders>
              <w:top w:val="single" w:sz="4" w:space="0" w:color="auto"/>
              <w:left w:val="single" w:sz="4" w:space="0" w:color="auto"/>
              <w:bottom w:val="single" w:sz="4" w:space="0" w:color="auto"/>
              <w:right w:val="nil"/>
            </w:tcBorders>
            <w:shd w:val="clear" w:color="auto" w:fill="auto"/>
            <w:vAlign w:val="center"/>
          </w:tcPr>
          <w:p w:rsidR="008B2B87" w:rsidRPr="00D8075A" w:rsidRDefault="008B2B87" w:rsidP="0077318D">
            <w:pPr>
              <w:pStyle w:val="Tabletext"/>
              <w:jc w:val="center"/>
              <w:rPr>
                <w:bCs/>
                <w:sz w:val="18"/>
                <w:szCs w:val="18"/>
              </w:rPr>
            </w:pPr>
            <w:r w:rsidRPr="00D8075A">
              <w:rPr>
                <w:bCs/>
                <w:sz w:val="18"/>
                <w:szCs w:val="18"/>
              </w:rPr>
              <w:t>$</w:t>
            </w:r>
            <w:r w:rsidR="00E43539">
              <w:rPr>
                <w:bCs/>
                <w:noProof/>
                <w:color w:val="000000"/>
                <w:sz w:val="18"/>
                <w:szCs w:val="18"/>
                <w:highlight w:val="black"/>
              </w:rPr>
              <w:t>'''''''''''''''''''''''</w:t>
            </w:r>
          </w:p>
        </w:tc>
        <w:tc>
          <w:tcPr>
            <w:tcW w:w="647" w:type="pct"/>
            <w:tcBorders>
              <w:top w:val="single" w:sz="4" w:space="0" w:color="auto"/>
              <w:left w:val="single" w:sz="4" w:space="0" w:color="auto"/>
              <w:bottom w:val="single" w:sz="4" w:space="0" w:color="auto"/>
              <w:right w:val="nil"/>
            </w:tcBorders>
            <w:shd w:val="clear" w:color="auto" w:fill="auto"/>
            <w:vAlign w:val="center"/>
          </w:tcPr>
          <w:p w:rsidR="008B2B87" w:rsidRPr="00D8075A" w:rsidRDefault="008B2B87" w:rsidP="0077318D">
            <w:pPr>
              <w:pStyle w:val="Tabletext"/>
              <w:jc w:val="center"/>
              <w:rPr>
                <w:bCs/>
                <w:sz w:val="18"/>
                <w:szCs w:val="18"/>
              </w:rPr>
            </w:pPr>
            <w:r w:rsidRPr="00D8075A">
              <w:rPr>
                <w:bCs/>
                <w:sz w:val="18"/>
                <w:szCs w:val="18"/>
              </w:rPr>
              <w:t>$</w:t>
            </w:r>
            <w:r w:rsidR="00E43539">
              <w:rPr>
                <w:bCs/>
                <w:noProof/>
                <w:color w:val="000000"/>
                <w:sz w:val="18"/>
                <w:szCs w:val="18"/>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8B2B87" w:rsidRPr="00D8075A" w:rsidRDefault="008B2B87" w:rsidP="0077318D">
            <w:pPr>
              <w:pStyle w:val="Tabletext"/>
              <w:jc w:val="center"/>
              <w:rPr>
                <w:bCs/>
                <w:sz w:val="18"/>
                <w:szCs w:val="18"/>
              </w:rPr>
            </w:pPr>
            <w:r w:rsidRPr="00D8075A">
              <w:rPr>
                <w:bCs/>
                <w:sz w:val="18"/>
                <w:szCs w:val="18"/>
              </w:rPr>
              <w:t>$</w:t>
            </w:r>
            <w:r w:rsidR="00E43539">
              <w:rPr>
                <w:bCs/>
                <w:noProof/>
                <w:color w:val="000000"/>
                <w:sz w:val="18"/>
                <w:szCs w:val="18"/>
                <w:highlight w:val="black"/>
              </w:rPr>
              <w:t>''''''''''''''''''''''''''''</w:t>
            </w:r>
          </w:p>
        </w:tc>
      </w:tr>
    </w:tbl>
    <w:p w:rsidR="008B2B87" w:rsidRPr="00D8075A" w:rsidRDefault="008B2B87" w:rsidP="008B2B87">
      <w:pPr>
        <w:pStyle w:val="TableFooter"/>
        <w:rPr>
          <w:rStyle w:val="CommentReference"/>
        </w:rPr>
      </w:pPr>
      <w:r w:rsidRPr="00D8075A">
        <w:t>Source: Table 4.4.1, p207-208 of the submission; Table 4.5.6, p210 of the submission.</w:t>
      </w:r>
    </w:p>
    <w:p w:rsidR="008B2B87" w:rsidRPr="00D8075A" w:rsidRDefault="008B2B87" w:rsidP="008B2B87">
      <w:pPr>
        <w:widowControl/>
      </w:pPr>
    </w:p>
    <w:p w:rsidR="001B530C" w:rsidRPr="00D8075A" w:rsidRDefault="00B33A84" w:rsidP="00C3432B">
      <w:pPr>
        <w:pStyle w:val="ListParagraph"/>
        <w:widowControl/>
        <w:numPr>
          <w:ilvl w:val="1"/>
          <w:numId w:val="1"/>
        </w:numPr>
      </w:pPr>
      <w:r w:rsidRPr="00D8075A">
        <w:rPr>
          <w:rFonts w:asciiTheme="minorHAnsi" w:hAnsiTheme="minorHAnsi"/>
          <w:bCs/>
        </w:rPr>
        <w:t xml:space="preserve">At year 6, the estimated number of patients was </w:t>
      </w:r>
      <w:r w:rsidR="004D1A51">
        <w:rPr>
          <w:rFonts w:asciiTheme="minorHAnsi" w:hAnsiTheme="minorHAnsi"/>
          <w:bCs/>
        </w:rPr>
        <w:t>less than 10,000</w:t>
      </w:r>
      <w:r w:rsidR="004D1A51" w:rsidRPr="00D8075A">
        <w:rPr>
          <w:rFonts w:asciiTheme="minorHAnsi" w:hAnsiTheme="minorHAnsi"/>
          <w:bCs/>
        </w:rPr>
        <w:t xml:space="preserve"> </w:t>
      </w:r>
      <w:r w:rsidRPr="00D8075A">
        <w:rPr>
          <w:rFonts w:asciiTheme="minorHAnsi" w:hAnsiTheme="minorHAnsi"/>
          <w:bCs/>
        </w:rPr>
        <w:t xml:space="preserve">and the </w:t>
      </w:r>
      <w:r w:rsidR="00DA25DD" w:rsidRPr="00D8075A">
        <w:rPr>
          <w:rFonts w:asciiTheme="minorHAnsi" w:hAnsiTheme="minorHAnsi"/>
          <w:bCs/>
        </w:rPr>
        <w:t xml:space="preserve">total </w:t>
      </w:r>
      <w:r w:rsidR="002F4820" w:rsidRPr="00D8075A">
        <w:rPr>
          <w:rFonts w:asciiTheme="minorHAnsi" w:hAnsiTheme="minorHAnsi"/>
          <w:bCs/>
        </w:rPr>
        <w:t xml:space="preserve">overall </w:t>
      </w:r>
      <w:r w:rsidRPr="00D8075A">
        <w:rPr>
          <w:rFonts w:asciiTheme="minorHAnsi" w:hAnsiTheme="minorHAnsi"/>
          <w:bCs/>
        </w:rPr>
        <w:t xml:space="preserve">net cost to the </w:t>
      </w:r>
      <w:r w:rsidR="00DD59FC" w:rsidRPr="00D8075A">
        <w:rPr>
          <w:rFonts w:asciiTheme="minorHAnsi" w:hAnsiTheme="minorHAnsi"/>
          <w:bCs/>
        </w:rPr>
        <w:t>Government Health Budget</w:t>
      </w:r>
      <w:r w:rsidRPr="00D8075A">
        <w:rPr>
          <w:rFonts w:asciiTheme="minorHAnsi" w:hAnsiTheme="minorHAnsi"/>
          <w:bCs/>
        </w:rPr>
        <w:t xml:space="preserve"> </w:t>
      </w:r>
      <w:r w:rsidR="00DA25DD" w:rsidRPr="00D8075A">
        <w:rPr>
          <w:rFonts w:asciiTheme="minorHAnsi" w:hAnsiTheme="minorHAnsi"/>
          <w:bCs/>
        </w:rPr>
        <w:t xml:space="preserve">was estimated to be </w:t>
      </w:r>
      <w:r w:rsidRPr="00D8075A">
        <w:rPr>
          <w:rFonts w:asciiTheme="minorHAnsi" w:hAnsiTheme="minorHAnsi"/>
          <w:bCs/>
        </w:rPr>
        <w:t>$</w:t>
      </w:r>
      <w:r w:rsidR="004D1A51">
        <w:rPr>
          <w:rFonts w:asciiTheme="minorHAnsi" w:hAnsiTheme="minorHAnsi"/>
          <w:bCs/>
        </w:rPr>
        <w:t>30 - $60 million</w:t>
      </w:r>
      <w:r w:rsidR="00DA25DD" w:rsidRPr="00D8075A">
        <w:rPr>
          <w:rFonts w:asciiTheme="minorHAnsi" w:hAnsiTheme="minorHAnsi"/>
          <w:bCs/>
        </w:rPr>
        <w:t xml:space="preserve"> over 6 years</w:t>
      </w:r>
      <w:r w:rsidRPr="00D8075A">
        <w:rPr>
          <w:rFonts w:asciiTheme="minorHAnsi" w:hAnsiTheme="minorHAnsi"/>
          <w:bCs/>
        </w:rPr>
        <w:t xml:space="preserve"> </w:t>
      </w:r>
      <w:r w:rsidRPr="00D8075A">
        <w:t>for a second-line listing of avelumab</w:t>
      </w:r>
      <w:r w:rsidRPr="00D8075A">
        <w:rPr>
          <w:rFonts w:ascii="Arial" w:hAnsi="Arial"/>
          <w:bCs/>
          <w:sz w:val="22"/>
        </w:rPr>
        <w:t xml:space="preserve">. </w:t>
      </w:r>
      <w:r w:rsidR="004A77D7" w:rsidRPr="00D8075A">
        <w:t>The pre-PBAC response noted that t</w:t>
      </w:r>
      <w:r w:rsidR="001B530C" w:rsidRPr="00D8075A">
        <w:t xml:space="preserve">he DUSC considered </w:t>
      </w:r>
      <w:r w:rsidR="00681F6E" w:rsidRPr="00D8075A">
        <w:t xml:space="preserve">estimates </w:t>
      </w:r>
      <w:r w:rsidR="009C383F" w:rsidRPr="00D8075A">
        <w:t xml:space="preserve">for </w:t>
      </w:r>
      <w:r w:rsidR="005B6159" w:rsidRPr="00D8075A">
        <w:t xml:space="preserve">the second line setting </w:t>
      </w:r>
      <w:r w:rsidR="00681F6E" w:rsidRPr="00D8075A">
        <w:t xml:space="preserve">presented in the submission to be "reasonable or slightly overestimated". </w:t>
      </w:r>
      <w:r w:rsidR="004659B5" w:rsidRPr="00D8075A">
        <w:t>The pre-PBAC response also noted that w</w:t>
      </w:r>
      <w:r w:rsidR="00681F6E" w:rsidRPr="00D8075A">
        <w:t>hile DUSC had some suggestions on the assumptions underpinning the budget impact model, overall these balanced out such that the estimates are not materially different.</w:t>
      </w:r>
    </w:p>
    <w:p w:rsidR="008B2B87" w:rsidRPr="00D8075A" w:rsidRDefault="008B2B87" w:rsidP="00C3432B">
      <w:pPr>
        <w:pStyle w:val="ListParagraph"/>
        <w:widowControl/>
        <w:numPr>
          <w:ilvl w:val="1"/>
          <w:numId w:val="1"/>
        </w:numPr>
      </w:pPr>
      <w:r w:rsidRPr="00D8075A">
        <w:t>Due to the promising (yet immature) results of avelumab in the first-line setting, there is potential for leakage of avelumab to treatment naïve patients. This would make the estimates presented in the submission</w:t>
      </w:r>
      <w:r w:rsidR="00CB4B5E" w:rsidRPr="00D8075A">
        <w:t xml:space="preserve"> for a second-line only listing an</w:t>
      </w:r>
      <w:r w:rsidRPr="00D8075A">
        <w:t xml:space="preserve"> underestimated. </w:t>
      </w:r>
    </w:p>
    <w:p w:rsidR="007E2E39" w:rsidRPr="00D8075A" w:rsidRDefault="008257AD" w:rsidP="00C3432B">
      <w:pPr>
        <w:pStyle w:val="ListParagraph"/>
        <w:widowControl/>
        <w:numPr>
          <w:ilvl w:val="1"/>
          <w:numId w:val="1"/>
        </w:numPr>
      </w:pPr>
      <w:r w:rsidRPr="00D8075A">
        <w:t xml:space="preserve">The </w:t>
      </w:r>
      <w:r w:rsidR="007E2E39" w:rsidRPr="00D8075A">
        <w:t xml:space="preserve">DUSC noted that several assumptions in the financial estimates, including the estimate that 60% of incident </w:t>
      </w:r>
      <w:proofErr w:type="spellStart"/>
      <w:r w:rsidR="007E2E39" w:rsidRPr="00D8075A">
        <w:t>mMCC</w:t>
      </w:r>
      <w:proofErr w:type="spellEnd"/>
      <w:r w:rsidR="007E2E39" w:rsidRPr="00D8075A">
        <w:t xml:space="preserve"> patients would fail first line chemotherapy, are uncertain as they were taken from a clinician </w:t>
      </w:r>
      <w:r w:rsidR="0022338D" w:rsidRPr="00D8075A">
        <w:t>survey that</w:t>
      </w:r>
      <w:r w:rsidR="007E2E39" w:rsidRPr="00D8075A">
        <w:t xml:space="preserve"> had a poor response rate, did not indicate which specialties survey responders were from, and did not indicate how participants were recruited. </w:t>
      </w:r>
      <w:r w:rsidR="005E0E8F" w:rsidRPr="00D8075A">
        <w:t>DUSC noted the</w:t>
      </w:r>
      <w:r w:rsidR="007E2E39" w:rsidRPr="00D8075A">
        <w:t xml:space="preserve"> proportion of patients who failed chemotherapy at 1 year in Study Obs001 was 75%.</w:t>
      </w:r>
    </w:p>
    <w:p w:rsidR="008B2B87" w:rsidRPr="00D8075A" w:rsidRDefault="008B2B87" w:rsidP="00C3432B">
      <w:pPr>
        <w:pStyle w:val="ListParagraph"/>
        <w:widowControl/>
        <w:numPr>
          <w:ilvl w:val="1"/>
          <w:numId w:val="1"/>
        </w:numPr>
      </w:pPr>
      <w:r w:rsidRPr="00D8075A">
        <w:lastRenderedPageBreak/>
        <w:t>The estimated cost of a line agnostic listing for avelumab is presented in Table 13.</w:t>
      </w:r>
    </w:p>
    <w:p w:rsidR="008B2B87" w:rsidRPr="00D8075A" w:rsidRDefault="008B2B87" w:rsidP="008B2B87">
      <w:pPr>
        <w:pStyle w:val="TableHeading"/>
        <w:rPr>
          <w:lang w:eastAsia="en-AU"/>
        </w:rPr>
      </w:pPr>
      <w:r w:rsidRPr="00D8075A">
        <w:rPr>
          <w:lang w:eastAsia="en-AU"/>
        </w:rPr>
        <w:t>Table 13: Estimated cost of a line agnostic listing for avelumab</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3: Estimated cost of a line agnostic listing for avelumab"/>
        <w:tblDescription w:val="Table 13: Estimated cost of a line agnostic listing for avelumab"/>
      </w:tblPr>
      <w:tblGrid>
        <w:gridCol w:w="2235"/>
        <w:gridCol w:w="1134"/>
        <w:gridCol w:w="1134"/>
        <w:gridCol w:w="1134"/>
        <w:gridCol w:w="1134"/>
        <w:gridCol w:w="1134"/>
        <w:gridCol w:w="1134"/>
      </w:tblGrid>
      <w:tr w:rsidR="008B2B87" w:rsidRPr="00D8075A" w:rsidTr="0077318D">
        <w:trPr>
          <w:trHeight w:val="255"/>
          <w:tblHeader/>
        </w:trPr>
        <w:tc>
          <w:tcPr>
            <w:tcW w:w="2235" w:type="dxa"/>
            <w:shd w:val="clear" w:color="auto" w:fill="auto"/>
            <w:noWrap/>
            <w:vAlign w:val="center"/>
            <w:hideMark/>
          </w:tcPr>
          <w:p w:rsidR="008B2B87" w:rsidRPr="00D8075A" w:rsidRDefault="008B2B87" w:rsidP="0077318D">
            <w:pPr>
              <w:pStyle w:val="Tabletext"/>
              <w:rPr>
                <w:rFonts w:eastAsia="SimSun"/>
              </w:rPr>
            </w:pPr>
          </w:p>
        </w:tc>
        <w:tc>
          <w:tcPr>
            <w:tcW w:w="1134" w:type="dxa"/>
            <w:shd w:val="clear" w:color="auto" w:fill="auto"/>
            <w:noWrap/>
            <w:vAlign w:val="center"/>
            <w:hideMark/>
          </w:tcPr>
          <w:p w:rsidR="008B2B87" w:rsidRPr="00D8075A" w:rsidRDefault="008B2B87" w:rsidP="0077318D">
            <w:pPr>
              <w:pStyle w:val="TableHeading"/>
              <w:spacing w:before="0" w:after="0"/>
              <w:jc w:val="center"/>
              <w:rPr>
                <w:rFonts w:eastAsia="SimSun"/>
              </w:rPr>
            </w:pPr>
            <w:r w:rsidRPr="00D8075A">
              <w:rPr>
                <w:rFonts w:eastAsia="SimSun"/>
              </w:rPr>
              <w:t>2019</w:t>
            </w:r>
          </w:p>
        </w:tc>
        <w:tc>
          <w:tcPr>
            <w:tcW w:w="1134" w:type="dxa"/>
            <w:shd w:val="clear" w:color="auto" w:fill="auto"/>
            <w:noWrap/>
            <w:vAlign w:val="center"/>
            <w:hideMark/>
          </w:tcPr>
          <w:p w:rsidR="008B2B87" w:rsidRPr="00D8075A" w:rsidRDefault="008B2B87" w:rsidP="0077318D">
            <w:pPr>
              <w:pStyle w:val="TableHeading"/>
              <w:spacing w:before="0" w:after="0"/>
              <w:jc w:val="center"/>
              <w:rPr>
                <w:rFonts w:eastAsia="SimSun"/>
              </w:rPr>
            </w:pPr>
            <w:r w:rsidRPr="00D8075A">
              <w:rPr>
                <w:rFonts w:eastAsia="SimSun"/>
              </w:rPr>
              <w:t>2020</w:t>
            </w:r>
          </w:p>
        </w:tc>
        <w:tc>
          <w:tcPr>
            <w:tcW w:w="1134" w:type="dxa"/>
            <w:shd w:val="clear" w:color="auto" w:fill="auto"/>
            <w:noWrap/>
            <w:vAlign w:val="center"/>
            <w:hideMark/>
          </w:tcPr>
          <w:p w:rsidR="008B2B87" w:rsidRPr="00D8075A" w:rsidRDefault="008B2B87" w:rsidP="0077318D">
            <w:pPr>
              <w:pStyle w:val="TableHeading"/>
              <w:spacing w:before="0" w:after="0"/>
              <w:jc w:val="center"/>
              <w:rPr>
                <w:rFonts w:eastAsia="SimSun"/>
              </w:rPr>
            </w:pPr>
            <w:r w:rsidRPr="00D8075A">
              <w:rPr>
                <w:rFonts w:eastAsia="SimSun"/>
              </w:rPr>
              <w:t>2021</w:t>
            </w:r>
          </w:p>
        </w:tc>
        <w:tc>
          <w:tcPr>
            <w:tcW w:w="1134" w:type="dxa"/>
            <w:shd w:val="clear" w:color="auto" w:fill="auto"/>
            <w:noWrap/>
            <w:vAlign w:val="center"/>
            <w:hideMark/>
          </w:tcPr>
          <w:p w:rsidR="008B2B87" w:rsidRPr="00D8075A" w:rsidRDefault="008B2B87" w:rsidP="0077318D">
            <w:pPr>
              <w:pStyle w:val="TableHeading"/>
              <w:spacing w:before="0" w:after="0"/>
              <w:jc w:val="center"/>
              <w:rPr>
                <w:rFonts w:eastAsia="SimSun"/>
              </w:rPr>
            </w:pPr>
            <w:r w:rsidRPr="00D8075A">
              <w:rPr>
                <w:rFonts w:eastAsia="SimSun"/>
              </w:rPr>
              <w:t>2022</w:t>
            </w:r>
          </w:p>
        </w:tc>
        <w:tc>
          <w:tcPr>
            <w:tcW w:w="1134" w:type="dxa"/>
            <w:shd w:val="clear" w:color="auto" w:fill="auto"/>
            <w:noWrap/>
            <w:vAlign w:val="center"/>
            <w:hideMark/>
          </w:tcPr>
          <w:p w:rsidR="008B2B87" w:rsidRPr="00D8075A" w:rsidRDefault="008B2B87" w:rsidP="0077318D">
            <w:pPr>
              <w:pStyle w:val="TableHeading"/>
              <w:spacing w:before="0" w:after="0"/>
              <w:jc w:val="center"/>
              <w:rPr>
                <w:rFonts w:eastAsia="SimSun"/>
              </w:rPr>
            </w:pPr>
            <w:r w:rsidRPr="00D8075A">
              <w:rPr>
                <w:rFonts w:eastAsia="SimSun"/>
              </w:rPr>
              <w:t>2023</w:t>
            </w:r>
          </w:p>
        </w:tc>
        <w:tc>
          <w:tcPr>
            <w:tcW w:w="1134" w:type="dxa"/>
            <w:shd w:val="clear" w:color="auto" w:fill="auto"/>
            <w:noWrap/>
            <w:vAlign w:val="center"/>
            <w:hideMark/>
          </w:tcPr>
          <w:p w:rsidR="008B2B87" w:rsidRPr="00D8075A" w:rsidRDefault="008B2B87" w:rsidP="0077318D">
            <w:pPr>
              <w:pStyle w:val="TableHeading"/>
              <w:spacing w:before="0" w:after="0"/>
              <w:jc w:val="center"/>
              <w:rPr>
                <w:rFonts w:eastAsia="SimSun"/>
              </w:rPr>
            </w:pPr>
            <w:r w:rsidRPr="00D8075A">
              <w:rPr>
                <w:rFonts w:eastAsia="SimSun"/>
              </w:rPr>
              <w:t>2024</w:t>
            </w:r>
          </w:p>
        </w:tc>
      </w:tr>
      <w:tr w:rsidR="00534C42" w:rsidRPr="00D8075A" w:rsidTr="00534C42">
        <w:trPr>
          <w:trHeight w:val="510"/>
        </w:trPr>
        <w:tc>
          <w:tcPr>
            <w:tcW w:w="2235" w:type="dxa"/>
            <w:shd w:val="clear" w:color="auto" w:fill="auto"/>
            <w:vAlign w:val="center"/>
            <w:hideMark/>
          </w:tcPr>
          <w:p w:rsidR="00534C42" w:rsidRPr="00D8075A" w:rsidRDefault="00534C42" w:rsidP="0077318D">
            <w:pPr>
              <w:pStyle w:val="Tabletext"/>
              <w:rPr>
                <w:rFonts w:eastAsia="SimSun"/>
              </w:rPr>
            </w:pPr>
            <w:r w:rsidRPr="00D8075A">
              <w:rPr>
                <w:rFonts w:eastAsia="SimSun"/>
              </w:rPr>
              <w:t>Total patients treated with avelumab (includes patients continuing past first year)</w:t>
            </w:r>
          </w:p>
        </w:tc>
        <w:tc>
          <w:tcPr>
            <w:tcW w:w="1134" w:type="dxa"/>
            <w:shd w:val="clear" w:color="auto" w:fill="auto"/>
            <w:noWrap/>
            <w:vAlign w:val="center"/>
            <w:hideMark/>
          </w:tcPr>
          <w:p w:rsidR="00534C42" w:rsidRPr="00E43539" w:rsidRDefault="00E43539" w:rsidP="00534C42">
            <w:pPr>
              <w:pStyle w:val="Tabletext"/>
              <w:jc w:val="center"/>
              <w:rPr>
                <w:highlight w:val="black"/>
              </w:rPr>
            </w:pPr>
            <w:r>
              <w:rPr>
                <w:noProof/>
                <w:color w:val="000000"/>
                <w:highlight w:val="black"/>
              </w:rPr>
              <w:t>''''''''''</w:t>
            </w:r>
          </w:p>
        </w:tc>
        <w:tc>
          <w:tcPr>
            <w:tcW w:w="1134" w:type="dxa"/>
            <w:shd w:val="clear" w:color="auto" w:fill="auto"/>
            <w:noWrap/>
            <w:vAlign w:val="center"/>
            <w:hideMark/>
          </w:tcPr>
          <w:p w:rsidR="00534C42" w:rsidRPr="00E43539" w:rsidRDefault="00E43539" w:rsidP="00534C42">
            <w:pPr>
              <w:pStyle w:val="Tabletext"/>
              <w:jc w:val="center"/>
              <w:rPr>
                <w:highlight w:val="black"/>
              </w:rPr>
            </w:pPr>
            <w:r>
              <w:rPr>
                <w:noProof/>
                <w:color w:val="000000"/>
                <w:highlight w:val="black"/>
              </w:rPr>
              <w:t>'''''''''</w:t>
            </w:r>
          </w:p>
        </w:tc>
        <w:tc>
          <w:tcPr>
            <w:tcW w:w="1134" w:type="dxa"/>
            <w:shd w:val="clear" w:color="auto" w:fill="auto"/>
            <w:noWrap/>
            <w:vAlign w:val="center"/>
            <w:hideMark/>
          </w:tcPr>
          <w:p w:rsidR="00534C42" w:rsidRPr="00E43539" w:rsidRDefault="00E43539" w:rsidP="00534C42">
            <w:pPr>
              <w:pStyle w:val="Tabletext"/>
              <w:jc w:val="center"/>
              <w:rPr>
                <w:highlight w:val="black"/>
              </w:rPr>
            </w:pPr>
            <w:r>
              <w:rPr>
                <w:noProof/>
                <w:color w:val="000000"/>
                <w:highlight w:val="black"/>
              </w:rPr>
              <w:t>'''''''''</w:t>
            </w:r>
          </w:p>
        </w:tc>
        <w:tc>
          <w:tcPr>
            <w:tcW w:w="1134" w:type="dxa"/>
            <w:shd w:val="clear" w:color="auto" w:fill="auto"/>
            <w:noWrap/>
            <w:vAlign w:val="center"/>
            <w:hideMark/>
          </w:tcPr>
          <w:p w:rsidR="00534C42" w:rsidRPr="00E43539" w:rsidRDefault="00E43539" w:rsidP="00534C42">
            <w:pPr>
              <w:pStyle w:val="Tabletext"/>
              <w:jc w:val="center"/>
              <w:rPr>
                <w:highlight w:val="black"/>
              </w:rPr>
            </w:pPr>
            <w:r>
              <w:rPr>
                <w:noProof/>
                <w:color w:val="000000"/>
                <w:highlight w:val="black"/>
              </w:rPr>
              <w:t>'''''''''</w:t>
            </w:r>
          </w:p>
        </w:tc>
        <w:tc>
          <w:tcPr>
            <w:tcW w:w="1134" w:type="dxa"/>
            <w:shd w:val="clear" w:color="auto" w:fill="auto"/>
            <w:noWrap/>
            <w:vAlign w:val="center"/>
            <w:hideMark/>
          </w:tcPr>
          <w:p w:rsidR="00534C42" w:rsidRPr="00E43539" w:rsidRDefault="00E43539" w:rsidP="00534C42">
            <w:pPr>
              <w:pStyle w:val="Tabletext"/>
              <w:jc w:val="center"/>
              <w:rPr>
                <w:highlight w:val="black"/>
              </w:rPr>
            </w:pPr>
            <w:r>
              <w:rPr>
                <w:noProof/>
                <w:color w:val="000000"/>
                <w:highlight w:val="black"/>
              </w:rPr>
              <w:t>''''''''''</w:t>
            </w:r>
          </w:p>
        </w:tc>
        <w:tc>
          <w:tcPr>
            <w:tcW w:w="1134" w:type="dxa"/>
            <w:shd w:val="clear" w:color="auto" w:fill="auto"/>
            <w:noWrap/>
            <w:vAlign w:val="center"/>
            <w:hideMark/>
          </w:tcPr>
          <w:p w:rsidR="00534C42" w:rsidRPr="00E43539" w:rsidRDefault="00E43539" w:rsidP="00534C42">
            <w:pPr>
              <w:pStyle w:val="Tabletext"/>
              <w:jc w:val="center"/>
              <w:rPr>
                <w:highlight w:val="black"/>
              </w:rPr>
            </w:pPr>
            <w:r>
              <w:rPr>
                <w:noProof/>
                <w:color w:val="000000"/>
                <w:highlight w:val="black"/>
              </w:rPr>
              <w:t>'''''''''</w:t>
            </w:r>
          </w:p>
        </w:tc>
      </w:tr>
      <w:tr w:rsidR="008B2B87" w:rsidRPr="00D8075A" w:rsidTr="0077318D">
        <w:trPr>
          <w:trHeight w:val="255"/>
        </w:trPr>
        <w:tc>
          <w:tcPr>
            <w:tcW w:w="2235" w:type="dxa"/>
            <w:shd w:val="clear" w:color="auto" w:fill="auto"/>
            <w:noWrap/>
            <w:vAlign w:val="center"/>
            <w:hideMark/>
          </w:tcPr>
          <w:p w:rsidR="008B2B87" w:rsidRPr="00D8075A" w:rsidRDefault="008B2B87" w:rsidP="0077318D">
            <w:pPr>
              <w:pStyle w:val="Tabletext"/>
              <w:rPr>
                <w:rFonts w:eastAsia="SimSun"/>
              </w:rPr>
            </w:pPr>
            <w:r w:rsidRPr="00D8075A">
              <w:rPr>
                <w:rFonts w:eastAsia="SimSun"/>
              </w:rPr>
              <w:t>Overall Net Cost to PBS/RPBS</w:t>
            </w:r>
          </w:p>
        </w:tc>
        <w:tc>
          <w:tcPr>
            <w:tcW w:w="1134" w:type="dxa"/>
            <w:shd w:val="clear" w:color="auto" w:fill="auto"/>
            <w:noWrap/>
            <w:vAlign w:val="center"/>
            <w:hideMark/>
          </w:tcPr>
          <w:p w:rsidR="008B2B87" w:rsidRPr="00D8075A" w:rsidRDefault="008B2B87" w:rsidP="00DC2E17">
            <w:pPr>
              <w:pStyle w:val="Tabletext"/>
              <w:jc w:val="center"/>
            </w:pPr>
            <w:r w:rsidRPr="00D8075A">
              <w:t>$</w:t>
            </w:r>
            <w:r w:rsidR="00E43539">
              <w:rPr>
                <w:noProof/>
                <w:color w:val="000000"/>
                <w:highlight w:val="black"/>
              </w:rPr>
              <w:t>'''''''''''''''''''''''</w:t>
            </w:r>
          </w:p>
        </w:tc>
        <w:tc>
          <w:tcPr>
            <w:tcW w:w="1134" w:type="dxa"/>
            <w:shd w:val="clear" w:color="auto" w:fill="auto"/>
            <w:noWrap/>
            <w:vAlign w:val="center"/>
            <w:hideMark/>
          </w:tcPr>
          <w:p w:rsidR="008B2B87" w:rsidRPr="00D8075A" w:rsidRDefault="008B2B87" w:rsidP="0077318D">
            <w:pPr>
              <w:pStyle w:val="Tabletext"/>
              <w:jc w:val="center"/>
            </w:pPr>
            <w:r w:rsidRPr="00D8075A">
              <w:t>$</w:t>
            </w:r>
            <w:r w:rsidR="00E43539">
              <w:rPr>
                <w:noProof/>
                <w:color w:val="000000"/>
                <w:highlight w:val="black"/>
              </w:rPr>
              <w:t>''''''''''''''''''''''''''</w:t>
            </w:r>
          </w:p>
        </w:tc>
        <w:tc>
          <w:tcPr>
            <w:tcW w:w="1134" w:type="dxa"/>
            <w:shd w:val="clear" w:color="auto" w:fill="auto"/>
            <w:noWrap/>
            <w:vAlign w:val="center"/>
            <w:hideMark/>
          </w:tcPr>
          <w:p w:rsidR="008B2B87" w:rsidRPr="00D8075A" w:rsidRDefault="008B2B87" w:rsidP="0077318D">
            <w:pPr>
              <w:pStyle w:val="Tabletext"/>
              <w:jc w:val="center"/>
            </w:pPr>
            <w:r w:rsidRPr="00D8075A">
              <w:t>$</w:t>
            </w:r>
            <w:r w:rsidR="00E43539">
              <w:rPr>
                <w:noProof/>
                <w:color w:val="000000"/>
                <w:highlight w:val="black"/>
              </w:rPr>
              <w:t>''''''''''''''''''''''''</w:t>
            </w:r>
          </w:p>
        </w:tc>
        <w:tc>
          <w:tcPr>
            <w:tcW w:w="1134" w:type="dxa"/>
            <w:shd w:val="clear" w:color="auto" w:fill="auto"/>
            <w:noWrap/>
            <w:vAlign w:val="center"/>
            <w:hideMark/>
          </w:tcPr>
          <w:p w:rsidR="008B2B87" w:rsidRPr="00D8075A" w:rsidRDefault="008B2B87" w:rsidP="0077318D">
            <w:pPr>
              <w:pStyle w:val="Tabletext"/>
              <w:jc w:val="center"/>
            </w:pPr>
            <w:r w:rsidRPr="00D8075A">
              <w:t>$</w:t>
            </w:r>
            <w:r w:rsidR="00E43539">
              <w:rPr>
                <w:noProof/>
                <w:color w:val="000000"/>
                <w:highlight w:val="black"/>
              </w:rPr>
              <w:t>'''''''''''''''''''''''''''''</w:t>
            </w:r>
          </w:p>
        </w:tc>
        <w:tc>
          <w:tcPr>
            <w:tcW w:w="1134" w:type="dxa"/>
            <w:shd w:val="clear" w:color="auto" w:fill="auto"/>
            <w:noWrap/>
            <w:vAlign w:val="center"/>
            <w:hideMark/>
          </w:tcPr>
          <w:p w:rsidR="008B2B87" w:rsidRPr="00D8075A" w:rsidRDefault="008B2B87" w:rsidP="0077318D">
            <w:pPr>
              <w:pStyle w:val="Tabletext"/>
              <w:jc w:val="center"/>
            </w:pPr>
            <w:r w:rsidRPr="00D8075A">
              <w:t>$</w:t>
            </w:r>
            <w:r w:rsidR="00E43539">
              <w:rPr>
                <w:noProof/>
                <w:color w:val="000000"/>
                <w:highlight w:val="black"/>
              </w:rPr>
              <w:t>''''''''''''''''''''''''''</w:t>
            </w:r>
          </w:p>
        </w:tc>
        <w:tc>
          <w:tcPr>
            <w:tcW w:w="1134" w:type="dxa"/>
            <w:shd w:val="clear" w:color="auto" w:fill="auto"/>
            <w:noWrap/>
            <w:vAlign w:val="center"/>
            <w:hideMark/>
          </w:tcPr>
          <w:p w:rsidR="008B2B87" w:rsidRPr="00D8075A" w:rsidRDefault="008B2B87" w:rsidP="0077318D">
            <w:pPr>
              <w:pStyle w:val="Tabletext"/>
              <w:jc w:val="center"/>
            </w:pPr>
            <w:r w:rsidRPr="00D8075A">
              <w:t>$</w:t>
            </w:r>
            <w:r w:rsidR="00E43539">
              <w:rPr>
                <w:noProof/>
                <w:color w:val="000000"/>
                <w:highlight w:val="black"/>
              </w:rPr>
              <w:t>'''''''''''''''''''''''''''</w:t>
            </w:r>
          </w:p>
        </w:tc>
      </w:tr>
      <w:tr w:rsidR="008B2B87" w:rsidRPr="00D8075A" w:rsidTr="0077318D">
        <w:trPr>
          <w:trHeight w:val="255"/>
        </w:trPr>
        <w:tc>
          <w:tcPr>
            <w:tcW w:w="2235" w:type="dxa"/>
            <w:shd w:val="clear" w:color="auto" w:fill="auto"/>
            <w:noWrap/>
            <w:vAlign w:val="center"/>
            <w:hideMark/>
          </w:tcPr>
          <w:p w:rsidR="008B2B87" w:rsidRPr="00D8075A" w:rsidRDefault="008B2B87" w:rsidP="0077318D">
            <w:pPr>
              <w:pStyle w:val="Tabletext"/>
              <w:rPr>
                <w:rFonts w:eastAsia="SimSun"/>
              </w:rPr>
            </w:pPr>
            <w:r w:rsidRPr="00D8075A">
              <w:rPr>
                <w:rFonts w:eastAsia="SimSun"/>
              </w:rPr>
              <w:t>Cost to Government for MBS</w:t>
            </w:r>
          </w:p>
        </w:tc>
        <w:tc>
          <w:tcPr>
            <w:tcW w:w="1134" w:type="dxa"/>
            <w:shd w:val="clear" w:color="auto" w:fill="auto"/>
            <w:noWrap/>
            <w:vAlign w:val="center"/>
            <w:hideMark/>
          </w:tcPr>
          <w:p w:rsidR="008B2B87" w:rsidRPr="00D8075A" w:rsidRDefault="008B2B87" w:rsidP="0077318D">
            <w:pPr>
              <w:pStyle w:val="Tabletext"/>
              <w:jc w:val="center"/>
            </w:pPr>
            <w:r w:rsidRPr="00D8075A">
              <w:t>$</w:t>
            </w:r>
            <w:r w:rsidR="00E43539">
              <w:rPr>
                <w:noProof/>
                <w:color w:val="000000"/>
                <w:highlight w:val="black"/>
              </w:rPr>
              <w:t>''''''''''''''''''''''</w:t>
            </w:r>
          </w:p>
        </w:tc>
        <w:tc>
          <w:tcPr>
            <w:tcW w:w="1134" w:type="dxa"/>
            <w:shd w:val="clear" w:color="auto" w:fill="auto"/>
            <w:noWrap/>
            <w:vAlign w:val="center"/>
            <w:hideMark/>
          </w:tcPr>
          <w:p w:rsidR="008B2B87" w:rsidRPr="00D8075A" w:rsidRDefault="008B2B87" w:rsidP="0077318D">
            <w:pPr>
              <w:pStyle w:val="Tabletext"/>
              <w:jc w:val="center"/>
            </w:pPr>
            <w:r w:rsidRPr="00D8075A">
              <w:t>$</w:t>
            </w:r>
            <w:r w:rsidR="00E43539">
              <w:rPr>
                <w:noProof/>
                <w:color w:val="000000"/>
                <w:highlight w:val="black"/>
              </w:rPr>
              <w:t>''''''''''''''''''</w:t>
            </w:r>
          </w:p>
        </w:tc>
        <w:tc>
          <w:tcPr>
            <w:tcW w:w="1134" w:type="dxa"/>
            <w:shd w:val="clear" w:color="auto" w:fill="auto"/>
            <w:noWrap/>
            <w:vAlign w:val="center"/>
            <w:hideMark/>
          </w:tcPr>
          <w:p w:rsidR="008B2B87" w:rsidRPr="00D8075A" w:rsidRDefault="008B2B87" w:rsidP="0077318D">
            <w:pPr>
              <w:pStyle w:val="Tabletext"/>
              <w:jc w:val="center"/>
            </w:pPr>
            <w:r w:rsidRPr="00D8075A">
              <w:t>$</w:t>
            </w:r>
            <w:r w:rsidR="00E43539">
              <w:rPr>
                <w:noProof/>
                <w:color w:val="000000"/>
                <w:highlight w:val="black"/>
              </w:rPr>
              <w:t>'''''''''''''''''''''</w:t>
            </w:r>
          </w:p>
        </w:tc>
        <w:tc>
          <w:tcPr>
            <w:tcW w:w="1134" w:type="dxa"/>
            <w:shd w:val="clear" w:color="auto" w:fill="auto"/>
            <w:noWrap/>
            <w:vAlign w:val="center"/>
            <w:hideMark/>
          </w:tcPr>
          <w:p w:rsidR="008B2B87" w:rsidRPr="00D8075A" w:rsidRDefault="008B2B87" w:rsidP="0077318D">
            <w:pPr>
              <w:pStyle w:val="Tabletext"/>
              <w:jc w:val="center"/>
            </w:pPr>
            <w:r w:rsidRPr="00D8075A">
              <w:t>$</w:t>
            </w:r>
            <w:r w:rsidR="00E43539">
              <w:rPr>
                <w:noProof/>
                <w:color w:val="000000"/>
                <w:highlight w:val="black"/>
              </w:rPr>
              <w:t>''''''''''''''''''''</w:t>
            </w:r>
          </w:p>
        </w:tc>
        <w:tc>
          <w:tcPr>
            <w:tcW w:w="1134" w:type="dxa"/>
            <w:shd w:val="clear" w:color="auto" w:fill="auto"/>
            <w:noWrap/>
            <w:vAlign w:val="center"/>
            <w:hideMark/>
          </w:tcPr>
          <w:p w:rsidR="008B2B87" w:rsidRPr="00D8075A" w:rsidRDefault="008B2B87" w:rsidP="0077318D">
            <w:pPr>
              <w:pStyle w:val="Tabletext"/>
              <w:jc w:val="center"/>
            </w:pPr>
            <w:r w:rsidRPr="00D8075A">
              <w:t>$</w:t>
            </w:r>
            <w:r w:rsidR="00E43539">
              <w:rPr>
                <w:noProof/>
                <w:color w:val="000000"/>
                <w:highlight w:val="black"/>
              </w:rPr>
              <w:t>''''''''''''''''''</w:t>
            </w:r>
          </w:p>
        </w:tc>
        <w:tc>
          <w:tcPr>
            <w:tcW w:w="1134" w:type="dxa"/>
            <w:shd w:val="clear" w:color="auto" w:fill="auto"/>
            <w:noWrap/>
            <w:vAlign w:val="center"/>
            <w:hideMark/>
          </w:tcPr>
          <w:p w:rsidR="008B2B87" w:rsidRPr="00D8075A" w:rsidRDefault="008B2B87" w:rsidP="0077318D">
            <w:pPr>
              <w:pStyle w:val="Tabletext"/>
              <w:jc w:val="center"/>
            </w:pPr>
            <w:r w:rsidRPr="00D8075A">
              <w:t>$</w:t>
            </w:r>
            <w:r w:rsidR="00E43539">
              <w:rPr>
                <w:noProof/>
                <w:color w:val="000000"/>
                <w:highlight w:val="black"/>
              </w:rPr>
              <w:t>'''''''''''''''''</w:t>
            </w:r>
          </w:p>
        </w:tc>
      </w:tr>
      <w:tr w:rsidR="008B2B87" w:rsidRPr="00D8075A" w:rsidTr="0077318D">
        <w:trPr>
          <w:trHeight w:val="255"/>
        </w:trPr>
        <w:tc>
          <w:tcPr>
            <w:tcW w:w="2235" w:type="dxa"/>
            <w:shd w:val="clear" w:color="auto" w:fill="auto"/>
            <w:noWrap/>
            <w:vAlign w:val="center"/>
            <w:hideMark/>
          </w:tcPr>
          <w:p w:rsidR="008B2B87" w:rsidRPr="00D8075A" w:rsidRDefault="008B2B87" w:rsidP="0077318D">
            <w:pPr>
              <w:pStyle w:val="Tabletext"/>
              <w:rPr>
                <w:rFonts w:eastAsia="SimSun"/>
              </w:rPr>
            </w:pPr>
            <w:r w:rsidRPr="00D8075A">
              <w:rPr>
                <w:rFonts w:eastAsia="SimSun"/>
              </w:rPr>
              <w:t>Other Costs to Government (Adverse Events)</w:t>
            </w:r>
          </w:p>
        </w:tc>
        <w:tc>
          <w:tcPr>
            <w:tcW w:w="1134" w:type="dxa"/>
            <w:shd w:val="clear" w:color="auto" w:fill="auto"/>
            <w:noWrap/>
            <w:vAlign w:val="center"/>
            <w:hideMark/>
          </w:tcPr>
          <w:p w:rsidR="008B2B87" w:rsidRPr="00D8075A" w:rsidRDefault="008B2B87" w:rsidP="0077318D">
            <w:pPr>
              <w:pStyle w:val="Tabletext"/>
              <w:jc w:val="center"/>
            </w:pPr>
            <w:r w:rsidRPr="00D8075A">
              <w:t>-$</w:t>
            </w:r>
            <w:r w:rsidR="00E43539">
              <w:rPr>
                <w:noProof/>
                <w:color w:val="000000"/>
                <w:highlight w:val="black"/>
              </w:rPr>
              <w:t>'''''''''''''''''''</w:t>
            </w:r>
          </w:p>
        </w:tc>
        <w:tc>
          <w:tcPr>
            <w:tcW w:w="1134" w:type="dxa"/>
            <w:shd w:val="clear" w:color="auto" w:fill="auto"/>
            <w:noWrap/>
            <w:vAlign w:val="center"/>
            <w:hideMark/>
          </w:tcPr>
          <w:p w:rsidR="008B2B87" w:rsidRPr="00D8075A" w:rsidRDefault="008B2B87" w:rsidP="0077318D">
            <w:pPr>
              <w:pStyle w:val="Tabletext"/>
              <w:jc w:val="center"/>
            </w:pPr>
            <w:r w:rsidRPr="00D8075A">
              <w:t>-$</w:t>
            </w:r>
            <w:r w:rsidR="00E43539">
              <w:rPr>
                <w:noProof/>
                <w:color w:val="000000"/>
                <w:highlight w:val="black"/>
              </w:rPr>
              <w:t>''''''''''''''''</w:t>
            </w:r>
          </w:p>
        </w:tc>
        <w:tc>
          <w:tcPr>
            <w:tcW w:w="1134" w:type="dxa"/>
            <w:shd w:val="clear" w:color="auto" w:fill="auto"/>
            <w:noWrap/>
            <w:vAlign w:val="center"/>
            <w:hideMark/>
          </w:tcPr>
          <w:p w:rsidR="008B2B87" w:rsidRPr="00D8075A" w:rsidRDefault="008B2B87" w:rsidP="0077318D">
            <w:pPr>
              <w:pStyle w:val="Tabletext"/>
              <w:jc w:val="center"/>
            </w:pPr>
            <w:r w:rsidRPr="00D8075A">
              <w:t>-$</w:t>
            </w:r>
            <w:r w:rsidR="00E43539">
              <w:rPr>
                <w:noProof/>
                <w:color w:val="000000"/>
                <w:highlight w:val="black"/>
              </w:rPr>
              <w:t>'''''''''''''''''''</w:t>
            </w:r>
          </w:p>
        </w:tc>
        <w:tc>
          <w:tcPr>
            <w:tcW w:w="1134" w:type="dxa"/>
            <w:shd w:val="clear" w:color="auto" w:fill="auto"/>
            <w:noWrap/>
            <w:vAlign w:val="center"/>
            <w:hideMark/>
          </w:tcPr>
          <w:p w:rsidR="008B2B87" w:rsidRPr="00D8075A" w:rsidRDefault="008B2B87" w:rsidP="0077318D">
            <w:pPr>
              <w:pStyle w:val="Tabletext"/>
              <w:jc w:val="center"/>
            </w:pPr>
            <w:r w:rsidRPr="00D8075A">
              <w:t>-$</w:t>
            </w:r>
            <w:r w:rsidR="00E43539">
              <w:rPr>
                <w:noProof/>
                <w:color w:val="000000"/>
                <w:highlight w:val="black"/>
              </w:rPr>
              <w:t>''''''''''''''''''''</w:t>
            </w:r>
          </w:p>
        </w:tc>
        <w:tc>
          <w:tcPr>
            <w:tcW w:w="1134" w:type="dxa"/>
            <w:shd w:val="clear" w:color="auto" w:fill="auto"/>
            <w:noWrap/>
            <w:vAlign w:val="center"/>
            <w:hideMark/>
          </w:tcPr>
          <w:p w:rsidR="008B2B87" w:rsidRPr="00D8075A" w:rsidRDefault="008B2B87" w:rsidP="0077318D">
            <w:pPr>
              <w:pStyle w:val="Tabletext"/>
              <w:jc w:val="center"/>
            </w:pPr>
            <w:r w:rsidRPr="00D8075A">
              <w:t>-$</w:t>
            </w:r>
            <w:r w:rsidR="00E43539">
              <w:rPr>
                <w:noProof/>
                <w:color w:val="000000"/>
                <w:highlight w:val="black"/>
              </w:rPr>
              <w:t>'''''''''''''''''''''</w:t>
            </w:r>
          </w:p>
        </w:tc>
        <w:tc>
          <w:tcPr>
            <w:tcW w:w="1134" w:type="dxa"/>
            <w:shd w:val="clear" w:color="auto" w:fill="auto"/>
            <w:noWrap/>
            <w:vAlign w:val="center"/>
            <w:hideMark/>
          </w:tcPr>
          <w:p w:rsidR="008B2B87" w:rsidRPr="00D8075A" w:rsidRDefault="008B2B87" w:rsidP="0077318D">
            <w:pPr>
              <w:pStyle w:val="Tabletext"/>
              <w:jc w:val="center"/>
            </w:pPr>
            <w:r w:rsidRPr="00D8075A">
              <w:t>-$</w:t>
            </w:r>
            <w:r w:rsidR="00E43539">
              <w:rPr>
                <w:noProof/>
                <w:color w:val="000000"/>
                <w:highlight w:val="black"/>
              </w:rPr>
              <w:t>''''''''''''''''''''</w:t>
            </w:r>
          </w:p>
        </w:tc>
      </w:tr>
      <w:tr w:rsidR="008B2B87" w:rsidRPr="00D8075A" w:rsidTr="0077318D">
        <w:trPr>
          <w:trHeight w:val="255"/>
        </w:trPr>
        <w:tc>
          <w:tcPr>
            <w:tcW w:w="2235" w:type="dxa"/>
            <w:shd w:val="clear" w:color="auto" w:fill="auto"/>
            <w:noWrap/>
            <w:vAlign w:val="center"/>
            <w:hideMark/>
          </w:tcPr>
          <w:p w:rsidR="008B2B87" w:rsidRPr="00D8075A" w:rsidRDefault="008B2B87" w:rsidP="0077318D">
            <w:pPr>
              <w:pStyle w:val="Tabletext"/>
              <w:rPr>
                <w:rFonts w:eastAsia="SimSun"/>
              </w:rPr>
            </w:pPr>
            <w:r w:rsidRPr="00D8075A">
              <w:rPr>
                <w:rFonts w:eastAsia="SimSun"/>
              </w:rPr>
              <w:t>Overall Net cost to Government Health Budget of listing Drug</w:t>
            </w:r>
          </w:p>
        </w:tc>
        <w:tc>
          <w:tcPr>
            <w:tcW w:w="1134" w:type="dxa"/>
            <w:shd w:val="clear" w:color="auto" w:fill="auto"/>
            <w:noWrap/>
            <w:vAlign w:val="center"/>
            <w:hideMark/>
          </w:tcPr>
          <w:p w:rsidR="008B2B87" w:rsidRPr="00D8075A" w:rsidRDefault="008B2B87" w:rsidP="0077318D">
            <w:pPr>
              <w:pStyle w:val="Tabletext"/>
              <w:jc w:val="center"/>
            </w:pPr>
            <w:r w:rsidRPr="00D8075A">
              <w:t>$</w:t>
            </w:r>
            <w:r w:rsidR="00E43539">
              <w:rPr>
                <w:noProof/>
                <w:color w:val="000000"/>
                <w:highlight w:val="black"/>
              </w:rPr>
              <w:t>''''''''''''''''''''''''''</w:t>
            </w:r>
          </w:p>
        </w:tc>
        <w:tc>
          <w:tcPr>
            <w:tcW w:w="1134" w:type="dxa"/>
            <w:shd w:val="clear" w:color="auto" w:fill="auto"/>
            <w:noWrap/>
            <w:vAlign w:val="center"/>
            <w:hideMark/>
          </w:tcPr>
          <w:p w:rsidR="008B2B87" w:rsidRPr="00D8075A" w:rsidRDefault="008B2B87" w:rsidP="0077318D">
            <w:pPr>
              <w:pStyle w:val="Tabletext"/>
              <w:jc w:val="center"/>
            </w:pPr>
            <w:r w:rsidRPr="00D8075A">
              <w:t>$</w:t>
            </w:r>
            <w:r w:rsidR="00E43539">
              <w:rPr>
                <w:noProof/>
                <w:color w:val="000000"/>
                <w:highlight w:val="black"/>
              </w:rPr>
              <w:t>''''''''''''''''''''''''</w:t>
            </w:r>
          </w:p>
        </w:tc>
        <w:tc>
          <w:tcPr>
            <w:tcW w:w="1134" w:type="dxa"/>
            <w:shd w:val="clear" w:color="auto" w:fill="auto"/>
            <w:noWrap/>
            <w:vAlign w:val="center"/>
            <w:hideMark/>
          </w:tcPr>
          <w:p w:rsidR="008B2B87" w:rsidRPr="00D8075A" w:rsidRDefault="008B2B87" w:rsidP="0077318D">
            <w:pPr>
              <w:pStyle w:val="Tabletext"/>
              <w:jc w:val="center"/>
            </w:pPr>
            <w:r w:rsidRPr="00D8075A">
              <w:t>$</w:t>
            </w:r>
            <w:r w:rsidR="00E43539">
              <w:rPr>
                <w:noProof/>
                <w:color w:val="000000"/>
                <w:highlight w:val="black"/>
              </w:rPr>
              <w:t>'''''''''''''''''''''''''''''</w:t>
            </w:r>
          </w:p>
        </w:tc>
        <w:tc>
          <w:tcPr>
            <w:tcW w:w="1134" w:type="dxa"/>
            <w:shd w:val="clear" w:color="auto" w:fill="auto"/>
            <w:noWrap/>
            <w:vAlign w:val="center"/>
            <w:hideMark/>
          </w:tcPr>
          <w:p w:rsidR="008B2B87" w:rsidRPr="00D8075A" w:rsidRDefault="008B2B87" w:rsidP="0077318D">
            <w:pPr>
              <w:pStyle w:val="Tabletext"/>
              <w:jc w:val="center"/>
            </w:pPr>
            <w:r w:rsidRPr="00D8075A">
              <w:t>$</w:t>
            </w:r>
            <w:r w:rsidR="00E43539">
              <w:rPr>
                <w:noProof/>
                <w:color w:val="000000"/>
                <w:highlight w:val="black"/>
              </w:rPr>
              <w:t>'''''''''''''''''''''''''</w:t>
            </w:r>
          </w:p>
        </w:tc>
        <w:tc>
          <w:tcPr>
            <w:tcW w:w="1134" w:type="dxa"/>
            <w:shd w:val="clear" w:color="auto" w:fill="auto"/>
            <w:noWrap/>
            <w:vAlign w:val="center"/>
            <w:hideMark/>
          </w:tcPr>
          <w:p w:rsidR="008B2B87" w:rsidRPr="00D8075A" w:rsidRDefault="008B2B87" w:rsidP="0077318D">
            <w:pPr>
              <w:pStyle w:val="Tabletext"/>
              <w:jc w:val="center"/>
            </w:pPr>
            <w:r w:rsidRPr="00D8075A">
              <w:t>$</w:t>
            </w:r>
            <w:r w:rsidR="00E43539">
              <w:rPr>
                <w:noProof/>
                <w:color w:val="000000"/>
                <w:highlight w:val="black"/>
              </w:rPr>
              <w:t>'''''''''''''''''''''''</w:t>
            </w:r>
          </w:p>
        </w:tc>
        <w:tc>
          <w:tcPr>
            <w:tcW w:w="1134" w:type="dxa"/>
            <w:shd w:val="clear" w:color="auto" w:fill="auto"/>
            <w:noWrap/>
            <w:vAlign w:val="center"/>
            <w:hideMark/>
          </w:tcPr>
          <w:p w:rsidR="008B2B87" w:rsidRPr="00D8075A" w:rsidRDefault="008B2B87" w:rsidP="0077318D">
            <w:pPr>
              <w:pStyle w:val="Tabletext"/>
              <w:jc w:val="center"/>
            </w:pPr>
            <w:r w:rsidRPr="00D8075A">
              <w:t>$</w:t>
            </w:r>
            <w:r w:rsidR="00E43539">
              <w:rPr>
                <w:noProof/>
                <w:color w:val="000000"/>
                <w:highlight w:val="black"/>
              </w:rPr>
              <w:t>''''''''''''''''''''''''''''</w:t>
            </w:r>
          </w:p>
        </w:tc>
      </w:tr>
    </w:tbl>
    <w:p w:rsidR="008B2B87" w:rsidRPr="00D8075A" w:rsidRDefault="008B2B87" w:rsidP="008B2B87">
      <w:pPr>
        <w:pStyle w:val="TableFooter"/>
        <w:rPr>
          <w:snapToGrid/>
          <w:lang w:eastAsia="en-AU"/>
        </w:rPr>
      </w:pPr>
      <w:r w:rsidRPr="00D8075A">
        <w:rPr>
          <w:snapToGrid/>
          <w:lang w:eastAsia="en-AU"/>
        </w:rPr>
        <w:t xml:space="preserve">Source: </w:t>
      </w:r>
      <w:r w:rsidR="003F4853" w:rsidRPr="00D8075A">
        <w:rPr>
          <w:snapToGrid/>
          <w:lang w:eastAsia="en-AU"/>
        </w:rPr>
        <w:t>Revised during the evaluation.</w:t>
      </w:r>
    </w:p>
    <w:p w:rsidR="008B2B87" w:rsidRPr="00D8075A" w:rsidRDefault="008B2B87" w:rsidP="008B2B87">
      <w:pPr>
        <w:widowControl/>
      </w:pPr>
    </w:p>
    <w:p w:rsidR="0014104E" w:rsidRDefault="0014104E" w:rsidP="0014104E">
      <w:pPr>
        <w:widowControl/>
      </w:pPr>
      <w:r>
        <w:t>The redacted table shows that at Year 6, the estimated number of patients was less than 10,000 and the net cost to the PBS would be $10 - $20 million.</w:t>
      </w:r>
    </w:p>
    <w:p w:rsidR="0014104E" w:rsidRDefault="0014104E" w:rsidP="0014104E">
      <w:pPr>
        <w:widowControl/>
      </w:pPr>
    </w:p>
    <w:p w:rsidR="008B2B87" w:rsidRPr="00D8075A" w:rsidRDefault="008B2B87" w:rsidP="00EF6010">
      <w:pPr>
        <w:pStyle w:val="ListParagraph"/>
        <w:widowControl/>
        <w:numPr>
          <w:ilvl w:val="1"/>
          <w:numId w:val="1"/>
        </w:numPr>
      </w:pPr>
      <w:r w:rsidRPr="00D8075A">
        <w:t>The estimates provided in Table</w:t>
      </w:r>
      <w:r w:rsidR="00AB655F" w:rsidRPr="00D8075A">
        <w:t xml:space="preserve">s 12 and </w:t>
      </w:r>
      <w:r w:rsidRPr="00D8075A">
        <w:t>13</w:t>
      </w:r>
      <w:r w:rsidR="00F30CBA" w:rsidRPr="00D8075A">
        <w:t xml:space="preserve"> </w:t>
      </w:r>
      <w:r w:rsidRPr="00D8075A">
        <w:t>used the base case estimates for the proportion of eligible patients that will take up avelumab therapy</w:t>
      </w:r>
      <w:r w:rsidR="00D80020" w:rsidRPr="00D8075A">
        <w:t xml:space="preserve"> (</w:t>
      </w:r>
      <w:r w:rsidR="00E43539">
        <w:rPr>
          <w:noProof/>
          <w:color w:val="000000"/>
          <w:highlight w:val="black"/>
        </w:rPr>
        <w:t>'''''</w:t>
      </w:r>
      <w:r w:rsidR="00D80020" w:rsidRPr="00D8075A">
        <w:t xml:space="preserve">% in Year 1, </w:t>
      </w:r>
      <w:r w:rsidR="00E43539">
        <w:rPr>
          <w:noProof/>
          <w:color w:val="000000"/>
          <w:highlight w:val="black"/>
        </w:rPr>
        <w:t>'''''</w:t>
      </w:r>
      <w:r w:rsidR="00D80020" w:rsidRPr="00D8075A">
        <w:t xml:space="preserve">% in Year 2 then </w:t>
      </w:r>
      <w:r w:rsidR="00E43539">
        <w:rPr>
          <w:noProof/>
          <w:color w:val="000000"/>
          <w:highlight w:val="black"/>
        </w:rPr>
        <w:t>'''''</w:t>
      </w:r>
      <w:r w:rsidR="00D80020" w:rsidRPr="00D8075A">
        <w:t>% per year thereafter)</w:t>
      </w:r>
      <w:r w:rsidRPr="00D8075A">
        <w:t>.</w:t>
      </w:r>
      <w:r w:rsidR="00724269" w:rsidRPr="00D8075A">
        <w:t xml:space="preserve"> The DUSC discussed that the uptake of avelumab in eligible patients is likely to be higher than predicted, </w:t>
      </w:r>
      <w:r w:rsidR="00EF6010" w:rsidRPr="00EF6010">
        <w:t xml:space="preserve">potentially starting from </w:t>
      </w:r>
      <w:r w:rsidR="00E43539">
        <w:rPr>
          <w:noProof/>
          <w:color w:val="000000"/>
          <w:highlight w:val="black"/>
        </w:rPr>
        <w:t>''''''</w:t>
      </w:r>
      <w:r w:rsidR="00EF6010" w:rsidRPr="00EF6010">
        <w:t>% in year 1 and increasing thereafter</w:t>
      </w:r>
      <w:r w:rsidR="00724269" w:rsidRPr="00D8075A">
        <w:t>.</w:t>
      </w:r>
      <w:r w:rsidRPr="00D8075A">
        <w:t xml:space="preserve"> </w:t>
      </w:r>
      <w:r w:rsidR="00724269" w:rsidRPr="00D8075A">
        <w:t>The DUSC also advised that g</w:t>
      </w:r>
      <w:r w:rsidRPr="00D8075A">
        <w:t>iven the potential greater efficacy in the first-line setting, patients newly diagnosed with metastatic disease may be more inclined to seek treatment with avelumab than those who would have already failed first-line chemotherapy.</w:t>
      </w:r>
    </w:p>
    <w:p w:rsidR="008B2B87" w:rsidRPr="00D8075A" w:rsidRDefault="00E83682" w:rsidP="00C3432B">
      <w:pPr>
        <w:pStyle w:val="ListParagraph"/>
        <w:widowControl/>
        <w:numPr>
          <w:ilvl w:val="1"/>
          <w:numId w:val="1"/>
        </w:numPr>
      </w:pPr>
      <w:r w:rsidRPr="00D8075A">
        <w:t>T</w:t>
      </w:r>
      <w:r w:rsidR="008B2B87" w:rsidRPr="00D8075A">
        <w:t xml:space="preserve">he budget impact model for a line agnostic listing </w:t>
      </w:r>
      <w:r w:rsidRPr="00D8075A">
        <w:t xml:space="preserve">assumes </w:t>
      </w:r>
      <w:r w:rsidR="008B2B87" w:rsidRPr="00D8075A">
        <w:t xml:space="preserve">the same time on treatment as </w:t>
      </w:r>
      <w:r w:rsidRPr="00D8075A">
        <w:t xml:space="preserve">for </w:t>
      </w:r>
      <w:r w:rsidR="008B2B87" w:rsidRPr="00D8075A">
        <w:t xml:space="preserve">the proposed second-line listing. </w:t>
      </w:r>
      <w:r w:rsidR="00724269" w:rsidRPr="00D8075A">
        <w:t>The DUSC advised that g</w:t>
      </w:r>
      <w:r w:rsidR="008B2B87" w:rsidRPr="00D8075A">
        <w:t>iven the potential greater efficacy in the first-line setting, time on treatment would be greater with a line agnostic listing.</w:t>
      </w:r>
      <w:r w:rsidR="00C34783" w:rsidRPr="00D8075A">
        <w:t xml:space="preserve"> DUSC considered the proposed PBS restriction should match the estimated time on treatment in the budget impact model, which is limited to a maximum of 5 years of treatment.</w:t>
      </w:r>
    </w:p>
    <w:p w:rsidR="009E518D" w:rsidRPr="00D8075A" w:rsidRDefault="009E518D" w:rsidP="00C3432B">
      <w:pPr>
        <w:pStyle w:val="ListParagraph"/>
        <w:numPr>
          <w:ilvl w:val="1"/>
          <w:numId w:val="1"/>
        </w:numPr>
      </w:pPr>
      <w:r w:rsidRPr="00D8075A">
        <w:t xml:space="preserve">The DUSC considered that </w:t>
      </w:r>
      <w:r w:rsidR="00A509DD" w:rsidRPr="00D8075A">
        <w:t xml:space="preserve">compared to </w:t>
      </w:r>
      <w:r w:rsidR="00623C0A" w:rsidRPr="00D8075A">
        <w:t>chemotherapy regimens</w:t>
      </w:r>
      <w:r w:rsidR="00A509DD" w:rsidRPr="00D8075A">
        <w:t xml:space="preserve">, </w:t>
      </w:r>
      <w:r w:rsidRPr="00D8075A">
        <w:t>clinicians may</w:t>
      </w:r>
      <w:r w:rsidR="005E53B4" w:rsidRPr="00D8075A">
        <w:t xml:space="preserve"> </w:t>
      </w:r>
      <w:r w:rsidRPr="00D8075A">
        <w:t xml:space="preserve">be less likely to cease treatment </w:t>
      </w:r>
      <w:r w:rsidR="005E53B4" w:rsidRPr="00D8075A">
        <w:t>in</w:t>
      </w:r>
      <w:r w:rsidRPr="00D8075A">
        <w:t xml:space="preserve"> patients with </w:t>
      </w:r>
      <w:r w:rsidR="00E83682" w:rsidRPr="00D8075A">
        <w:t xml:space="preserve">a </w:t>
      </w:r>
      <w:r w:rsidRPr="00D8075A">
        <w:t>partial response and evidence of disease</w:t>
      </w:r>
      <w:r w:rsidR="00623C0A" w:rsidRPr="00D8075A">
        <w:t>.</w:t>
      </w:r>
      <w:r w:rsidRPr="00D8075A">
        <w:t xml:space="preserve"> </w:t>
      </w:r>
      <w:r w:rsidR="00623C0A" w:rsidRPr="00D8075A">
        <w:t xml:space="preserve">In </w:t>
      </w:r>
      <w:r w:rsidRPr="00D8075A">
        <w:t>particular</w:t>
      </w:r>
      <w:r w:rsidR="00623C0A" w:rsidRPr="00D8075A">
        <w:t>,</w:t>
      </w:r>
      <w:r w:rsidRPr="00D8075A">
        <w:t xml:space="preserve"> for avelumab as the risk of harms appears to be low, and the time on treatment for PBS listed avelumab is likely to be longer than in the clinical trial.</w:t>
      </w:r>
    </w:p>
    <w:p w:rsidR="001B530C" w:rsidRPr="00D8075A" w:rsidRDefault="00B33A84" w:rsidP="00B33A84">
      <w:pPr>
        <w:pStyle w:val="ListParagraph"/>
        <w:widowControl/>
        <w:numPr>
          <w:ilvl w:val="1"/>
          <w:numId w:val="1"/>
        </w:numPr>
      </w:pPr>
      <w:r w:rsidRPr="00D8075A">
        <w:rPr>
          <w:rFonts w:asciiTheme="minorHAnsi" w:hAnsiTheme="minorHAnsi"/>
          <w:bCs/>
        </w:rPr>
        <w:t xml:space="preserve">At year 6, the estimated number of patients was </w:t>
      </w:r>
      <w:r w:rsidR="0014104E">
        <w:rPr>
          <w:rFonts w:asciiTheme="minorHAnsi" w:hAnsiTheme="minorHAnsi"/>
          <w:bCs/>
        </w:rPr>
        <w:t>less than 10,000</w:t>
      </w:r>
      <w:r w:rsidR="0014104E" w:rsidRPr="00D8075A">
        <w:rPr>
          <w:rFonts w:asciiTheme="minorHAnsi" w:hAnsiTheme="minorHAnsi"/>
          <w:bCs/>
        </w:rPr>
        <w:t xml:space="preserve"> </w:t>
      </w:r>
      <w:r w:rsidRPr="00D8075A">
        <w:rPr>
          <w:rFonts w:asciiTheme="minorHAnsi" w:hAnsiTheme="minorHAnsi"/>
          <w:bCs/>
        </w:rPr>
        <w:t xml:space="preserve">and the </w:t>
      </w:r>
      <w:r w:rsidR="000B7DF5" w:rsidRPr="00D8075A">
        <w:rPr>
          <w:rFonts w:asciiTheme="minorHAnsi" w:hAnsiTheme="minorHAnsi"/>
          <w:bCs/>
        </w:rPr>
        <w:t xml:space="preserve">total </w:t>
      </w:r>
      <w:r w:rsidR="002F4820" w:rsidRPr="00D8075A">
        <w:rPr>
          <w:rFonts w:asciiTheme="minorHAnsi" w:hAnsiTheme="minorHAnsi"/>
          <w:bCs/>
        </w:rPr>
        <w:t xml:space="preserve">overall net cost to the Government Health Budget </w:t>
      </w:r>
      <w:r w:rsidR="0058017E" w:rsidRPr="00D8075A">
        <w:rPr>
          <w:rFonts w:asciiTheme="minorHAnsi" w:hAnsiTheme="minorHAnsi"/>
          <w:bCs/>
        </w:rPr>
        <w:t xml:space="preserve">was estimated to be </w:t>
      </w:r>
      <w:r w:rsidRPr="00D8075A">
        <w:rPr>
          <w:rFonts w:asciiTheme="minorHAnsi" w:hAnsiTheme="minorHAnsi"/>
          <w:bCs/>
        </w:rPr>
        <w:t>$</w:t>
      </w:r>
      <w:r w:rsidR="0014104E">
        <w:t xml:space="preserve">60 - $100 </w:t>
      </w:r>
      <w:r w:rsidR="0014104E">
        <w:lastRenderedPageBreak/>
        <w:t>million</w:t>
      </w:r>
      <w:r w:rsidR="002F4820" w:rsidRPr="00D8075A">
        <w:t xml:space="preserve"> </w:t>
      </w:r>
      <w:r w:rsidR="0058017E" w:rsidRPr="00D8075A">
        <w:t xml:space="preserve">over 6 years </w:t>
      </w:r>
      <w:r w:rsidRPr="00D8075A">
        <w:t>for a line agnostic listing for avelumab</w:t>
      </w:r>
      <w:r w:rsidRPr="00D8075A">
        <w:rPr>
          <w:rFonts w:ascii="Arial" w:hAnsi="Arial"/>
          <w:bCs/>
          <w:sz w:val="22"/>
        </w:rPr>
        <w:t>.</w:t>
      </w:r>
      <w:r w:rsidR="005E53B4" w:rsidRPr="00D8075A">
        <w:rPr>
          <w:rFonts w:ascii="Arial" w:hAnsi="Arial"/>
          <w:bCs/>
          <w:sz w:val="22"/>
        </w:rPr>
        <w:t xml:space="preserve"> </w:t>
      </w:r>
      <w:r w:rsidR="008B2B87" w:rsidRPr="00D8075A">
        <w:t>It is likely that the overall cost to the federal health budget for a line agnostic listing is underestimated.</w:t>
      </w:r>
    </w:p>
    <w:p w:rsidR="00694239" w:rsidRPr="00D8075A" w:rsidRDefault="00694239" w:rsidP="00F717BF">
      <w:pPr>
        <w:pStyle w:val="Heading2"/>
        <w:spacing w:before="240" w:after="120"/>
      </w:pPr>
      <w:r w:rsidRPr="00D8075A">
        <w:t>Quality Use of Medicines</w:t>
      </w:r>
      <w:bookmarkEnd w:id="17"/>
    </w:p>
    <w:p w:rsidR="00694239" w:rsidRPr="00D8075A" w:rsidRDefault="00694239" w:rsidP="00C3432B">
      <w:pPr>
        <w:pStyle w:val="ListParagraph"/>
        <w:widowControl/>
        <w:numPr>
          <w:ilvl w:val="1"/>
          <w:numId w:val="1"/>
        </w:numPr>
      </w:pPr>
      <w:r w:rsidRPr="00D8075A">
        <w:t>The submission proposed to distribute resources to patients, oncologists, oncology nurses, oncology pharmacists and other healthcare professionals involved in the treatment of patients with MCC.</w:t>
      </w:r>
    </w:p>
    <w:p w:rsidR="00694239" w:rsidRPr="00D8075A" w:rsidRDefault="00694239" w:rsidP="00C3432B">
      <w:pPr>
        <w:pStyle w:val="ListParagraph"/>
        <w:widowControl/>
        <w:numPr>
          <w:ilvl w:val="1"/>
          <w:numId w:val="1"/>
        </w:numPr>
      </w:pPr>
      <w:r w:rsidRPr="00D8075A">
        <w:t>The quality use of medicines activities are in line with other medications in this class.</w:t>
      </w:r>
    </w:p>
    <w:p w:rsidR="003C78A3" w:rsidRPr="00D8075A" w:rsidRDefault="003C78A3" w:rsidP="0020366A">
      <w:pPr>
        <w:pStyle w:val="Heading2"/>
        <w:spacing w:before="240" w:after="120"/>
      </w:pPr>
      <w:bookmarkStart w:id="18" w:name="_Toc514169626"/>
      <w:r w:rsidRPr="00D8075A">
        <w:t>Financial Management</w:t>
      </w:r>
      <w:bookmarkEnd w:id="18"/>
      <w:r w:rsidRPr="00D8075A">
        <w:t xml:space="preserve"> </w:t>
      </w:r>
      <w:r w:rsidR="0090782A" w:rsidRPr="00D8075A">
        <w:t>– Risk Sharing Arrangement</w:t>
      </w:r>
    </w:p>
    <w:p w:rsidR="003C78A3" w:rsidRPr="00D8075A" w:rsidRDefault="00E90242" w:rsidP="00C3432B">
      <w:pPr>
        <w:pStyle w:val="ListParagraph"/>
        <w:widowControl/>
        <w:numPr>
          <w:ilvl w:val="1"/>
          <w:numId w:val="1"/>
        </w:numPr>
      </w:pPr>
      <w:r w:rsidRPr="00D8075A">
        <w:t xml:space="preserve">The </w:t>
      </w:r>
      <w:r w:rsidR="00B71ECC" w:rsidRPr="00D8075A">
        <w:t xml:space="preserve">pre-PBAC response stated </w:t>
      </w:r>
      <w:r w:rsidRPr="00D8075A">
        <w:t>a</w:t>
      </w:r>
      <w:r w:rsidR="00774C55" w:rsidRPr="00D8075A">
        <w:t xml:space="preserve"> </w:t>
      </w:r>
      <w:r w:rsidR="00B71ECC" w:rsidRPr="00D8075A">
        <w:t>willing</w:t>
      </w:r>
      <w:r w:rsidRPr="00D8075A">
        <w:t>ness</w:t>
      </w:r>
      <w:r w:rsidR="00B71ECC" w:rsidRPr="00D8075A">
        <w:t xml:space="preserve"> to enter into a risk sharing arrangement (RSA) </w:t>
      </w:r>
      <w:r w:rsidR="00D2141D" w:rsidRPr="00D8075A">
        <w:t xml:space="preserve">following a positive recommendation </w:t>
      </w:r>
      <w:r w:rsidR="00B71ECC" w:rsidRPr="00D8075A">
        <w:t xml:space="preserve">based on </w:t>
      </w:r>
      <w:r w:rsidR="00B71ECC" w:rsidRPr="00D8075A">
        <w:rPr>
          <w:szCs w:val="24"/>
        </w:rPr>
        <w:t>patient numbers and</w:t>
      </w:r>
      <w:r w:rsidR="000F784E" w:rsidRPr="00D8075A">
        <w:rPr>
          <w:szCs w:val="24"/>
        </w:rPr>
        <w:t xml:space="preserve"> cost to mitigate financial risk</w:t>
      </w:r>
      <w:r w:rsidR="00B71ECC" w:rsidRPr="00D8075A">
        <w:rPr>
          <w:szCs w:val="24"/>
        </w:rPr>
        <w:t xml:space="preserve"> to the Commonwealth. </w:t>
      </w:r>
    </w:p>
    <w:bookmarkEnd w:id="0"/>
    <w:bookmarkEnd w:id="1"/>
    <w:bookmarkEnd w:id="2"/>
    <w:bookmarkEnd w:id="3"/>
    <w:bookmarkEnd w:id="4"/>
    <w:p w:rsidR="000C4E5A" w:rsidRPr="00D8075A" w:rsidRDefault="00C3432B" w:rsidP="00C3432B">
      <w:pPr>
        <w:widowControl/>
        <w:ind w:firstLine="720"/>
      </w:pPr>
      <w:r w:rsidRPr="00D8075A">
        <w:rPr>
          <w:rFonts w:asciiTheme="minorHAnsi" w:hAnsiTheme="minorHAnsi"/>
          <w:i/>
        </w:rPr>
        <w:t>For more detail on PBAC’s view, see section 7 PBAC outcome</w:t>
      </w:r>
    </w:p>
    <w:p w:rsidR="003426E3" w:rsidRPr="00D8075A" w:rsidRDefault="003426E3" w:rsidP="007B3029">
      <w:pPr>
        <w:pStyle w:val="PBACHeading1"/>
        <w:keepNext/>
        <w:spacing w:before="240" w:after="120"/>
        <w:outlineLvl w:val="0"/>
      </w:pPr>
      <w:r w:rsidRPr="00D8075A">
        <w:t>PBAC Outcome</w:t>
      </w:r>
    </w:p>
    <w:p w:rsidR="00456A1A" w:rsidRPr="00D8075A" w:rsidRDefault="003426E3" w:rsidP="001A23F8">
      <w:pPr>
        <w:numPr>
          <w:ilvl w:val="1"/>
          <w:numId w:val="1"/>
        </w:numPr>
        <w:spacing w:after="120"/>
        <w:rPr>
          <w:rFonts w:asciiTheme="minorHAnsi" w:hAnsiTheme="minorHAnsi"/>
          <w:bCs/>
        </w:rPr>
      </w:pPr>
      <w:r w:rsidRPr="00D8075A">
        <w:rPr>
          <w:rFonts w:asciiTheme="minorHAnsi" w:hAnsiTheme="minorHAnsi"/>
          <w:bCs/>
        </w:rPr>
        <w:t xml:space="preserve">The PBAC recommended the listing of </w:t>
      </w:r>
      <w:r w:rsidR="002C5D4C" w:rsidRPr="00D8075A">
        <w:rPr>
          <w:rFonts w:asciiTheme="minorHAnsi" w:hAnsiTheme="minorHAnsi"/>
          <w:bCs/>
        </w:rPr>
        <w:t>avelumab</w:t>
      </w:r>
      <w:r w:rsidR="00A11E44" w:rsidRPr="00D8075A">
        <w:rPr>
          <w:rFonts w:asciiTheme="minorHAnsi" w:hAnsiTheme="minorHAnsi"/>
          <w:bCs/>
        </w:rPr>
        <w:t xml:space="preserve"> for the treatment of </w:t>
      </w:r>
      <w:r w:rsidR="00ED0638" w:rsidRPr="00D8075A">
        <w:rPr>
          <w:rFonts w:asciiTheme="minorHAnsi" w:hAnsiTheme="minorHAnsi"/>
          <w:bCs/>
        </w:rPr>
        <w:t>Stage IV (</w:t>
      </w:r>
      <w:r w:rsidR="00A11E44" w:rsidRPr="00D8075A">
        <w:rPr>
          <w:rFonts w:asciiTheme="minorHAnsi" w:hAnsiTheme="minorHAnsi"/>
          <w:bCs/>
        </w:rPr>
        <w:t>metastatic</w:t>
      </w:r>
      <w:r w:rsidR="00ED0638" w:rsidRPr="00D8075A">
        <w:rPr>
          <w:rFonts w:asciiTheme="minorHAnsi" w:hAnsiTheme="minorHAnsi"/>
          <w:bCs/>
        </w:rPr>
        <w:t>)</w:t>
      </w:r>
      <w:r w:rsidR="00A11E44" w:rsidRPr="00D8075A">
        <w:rPr>
          <w:rFonts w:asciiTheme="minorHAnsi" w:hAnsiTheme="minorHAnsi"/>
          <w:bCs/>
        </w:rPr>
        <w:t xml:space="preserve"> Merkel cell carcinoma (</w:t>
      </w:r>
      <w:proofErr w:type="spellStart"/>
      <w:r w:rsidR="00A11E44" w:rsidRPr="00D8075A">
        <w:rPr>
          <w:rFonts w:asciiTheme="minorHAnsi" w:hAnsiTheme="minorHAnsi"/>
          <w:bCs/>
        </w:rPr>
        <w:t>mMCC</w:t>
      </w:r>
      <w:proofErr w:type="spellEnd"/>
      <w:r w:rsidR="00A11E44" w:rsidRPr="00D8075A">
        <w:rPr>
          <w:rFonts w:asciiTheme="minorHAnsi" w:hAnsiTheme="minorHAnsi"/>
          <w:bCs/>
        </w:rPr>
        <w:t xml:space="preserve">). </w:t>
      </w:r>
      <w:r w:rsidR="00577094" w:rsidRPr="00D8075A">
        <w:rPr>
          <w:rFonts w:asciiTheme="minorHAnsi" w:hAnsiTheme="minorHAnsi"/>
          <w:bCs/>
        </w:rPr>
        <w:t>T</w:t>
      </w:r>
      <w:r w:rsidR="00E525CD" w:rsidRPr="00D8075A">
        <w:rPr>
          <w:rFonts w:asciiTheme="minorHAnsi" w:hAnsiTheme="minorHAnsi"/>
          <w:bCs/>
        </w:rPr>
        <w:t xml:space="preserve">he PBAC were satisfied </w:t>
      </w:r>
      <w:r w:rsidR="00CE1492" w:rsidRPr="00D8075A">
        <w:rPr>
          <w:rFonts w:asciiTheme="minorHAnsi" w:hAnsiTheme="minorHAnsi"/>
          <w:bCs/>
        </w:rPr>
        <w:t>that for some patients, avelumab treatment improved</w:t>
      </w:r>
      <w:r w:rsidR="00710ADD" w:rsidRPr="00D8075A">
        <w:rPr>
          <w:rFonts w:asciiTheme="minorHAnsi" w:hAnsiTheme="minorHAnsi"/>
          <w:bCs/>
        </w:rPr>
        <w:t xml:space="preserve"> observed response rates as well as</w:t>
      </w:r>
      <w:r w:rsidR="00CE1492" w:rsidRPr="00D8075A">
        <w:rPr>
          <w:rFonts w:asciiTheme="minorHAnsi" w:hAnsiTheme="minorHAnsi"/>
          <w:bCs/>
        </w:rPr>
        <w:t xml:space="preserve"> </w:t>
      </w:r>
      <w:r w:rsidR="00710ADD" w:rsidRPr="00D8075A">
        <w:rPr>
          <w:rFonts w:asciiTheme="minorHAnsi" w:hAnsiTheme="minorHAnsi"/>
          <w:bCs/>
        </w:rPr>
        <w:t>pro</w:t>
      </w:r>
      <w:r w:rsidR="00CE1492" w:rsidRPr="00D8075A">
        <w:rPr>
          <w:rFonts w:asciiTheme="minorHAnsi" w:hAnsiTheme="minorHAnsi"/>
          <w:bCs/>
        </w:rPr>
        <w:t xml:space="preserve">gression free </w:t>
      </w:r>
      <w:r w:rsidR="00710ADD" w:rsidRPr="00D8075A">
        <w:rPr>
          <w:rFonts w:asciiTheme="minorHAnsi" w:hAnsiTheme="minorHAnsi"/>
          <w:bCs/>
        </w:rPr>
        <w:t xml:space="preserve">and overall </w:t>
      </w:r>
      <w:r w:rsidR="00CE1492" w:rsidRPr="00D8075A">
        <w:rPr>
          <w:rFonts w:asciiTheme="minorHAnsi" w:hAnsiTheme="minorHAnsi"/>
          <w:bCs/>
        </w:rPr>
        <w:t>survival rates</w:t>
      </w:r>
      <w:r w:rsidR="00F346E5" w:rsidRPr="00D8075A">
        <w:rPr>
          <w:rFonts w:asciiTheme="minorHAnsi" w:hAnsiTheme="minorHAnsi"/>
          <w:bCs/>
        </w:rPr>
        <w:t xml:space="preserve"> compared with </w:t>
      </w:r>
      <w:r w:rsidR="00CE1492" w:rsidRPr="00D8075A">
        <w:rPr>
          <w:rFonts w:asciiTheme="minorHAnsi" w:hAnsiTheme="minorHAnsi"/>
          <w:bCs/>
        </w:rPr>
        <w:t>currently available chemotherapy</w:t>
      </w:r>
      <w:r w:rsidR="008E209C" w:rsidRPr="00D8075A">
        <w:rPr>
          <w:rFonts w:asciiTheme="minorHAnsi" w:hAnsiTheme="minorHAnsi"/>
          <w:bCs/>
        </w:rPr>
        <w:t xml:space="preserve"> treatments</w:t>
      </w:r>
      <w:r w:rsidR="00CE1492" w:rsidRPr="00D8075A">
        <w:rPr>
          <w:rFonts w:asciiTheme="minorHAnsi" w:hAnsiTheme="minorHAnsi"/>
          <w:bCs/>
        </w:rPr>
        <w:t>.</w:t>
      </w:r>
      <w:r w:rsidR="00232F90" w:rsidRPr="00D8075A">
        <w:rPr>
          <w:rFonts w:asciiTheme="minorHAnsi" w:hAnsiTheme="minorHAnsi"/>
          <w:bCs/>
        </w:rPr>
        <w:t xml:space="preserve"> </w:t>
      </w:r>
      <w:r w:rsidR="00B25B6A" w:rsidRPr="00D8075A">
        <w:rPr>
          <w:rFonts w:asciiTheme="minorHAnsi" w:hAnsiTheme="minorHAnsi"/>
          <w:bCs/>
        </w:rPr>
        <w:t xml:space="preserve">The PBAC advised that avelumab should be listed at an incremental cost-effectiveness ratio (ICER) </w:t>
      </w:r>
      <w:r w:rsidR="008E209C" w:rsidRPr="00D8075A">
        <w:rPr>
          <w:rFonts w:asciiTheme="minorHAnsi" w:hAnsiTheme="minorHAnsi"/>
          <w:bCs/>
        </w:rPr>
        <w:t xml:space="preserve">at </w:t>
      </w:r>
      <w:r w:rsidR="00B25B6A" w:rsidRPr="00D8075A">
        <w:rPr>
          <w:rFonts w:asciiTheme="minorHAnsi" w:hAnsiTheme="minorHAnsi"/>
          <w:bCs/>
        </w:rPr>
        <w:t>or below $</w:t>
      </w:r>
      <w:r w:rsidR="001A23F8">
        <w:rPr>
          <w:rFonts w:asciiTheme="minorHAnsi" w:hAnsiTheme="minorHAnsi"/>
          <w:bCs/>
        </w:rPr>
        <w:t xml:space="preserve">45,000 - $75,000 </w:t>
      </w:r>
      <w:r w:rsidR="00B25B6A" w:rsidRPr="00D8075A">
        <w:rPr>
          <w:rFonts w:asciiTheme="minorHAnsi" w:hAnsiTheme="minorHAnsi"/>
          <w:bCs/>
        </w:rPr>
        <w:t xml:space="preserve">per quality-adjusted life year gained and </w:t>
      </w:r>
      <w:r w:rsidR="008E209C" w:rsidRPr="00D8075A">
        <w:rPr>
          <w:rFonts w:asciiTheme="minorHAnsi" w:hAnsiTheme="minorHAnsi"/>
          <w:bCs/>
        </w:rPr>
        <w:t xml:space="preserve">that </w:t>
      </w:r>
      <w:r w:rsidR="00B25B6A" w:rsidRPr="00D8075A">
        <w:rPr>
          <w:rFonts w:asciiTheme="minorHAnsi" w:hAnsiTheme="minorHAnsi"/>
          <w:bCs/>
        </w:rPr>
        <w:t>a risk sharing arrangement w</w:t>
      </w:r>
      <w:r w:rsidR="008E209C" w:rsidRPr="00D8075A">
        <w:rPr>
          <w:rFonts w:asciiTheme="minorHAnsi" w:hAnsiTheme="minorHAnsi"/>
          <w:bCs/>
        </w:rPr>
        <w:t>ould</w:t>
      </w:r>
      <w:r w:rsidR="001B0C44" w:rsidRPr="00D8075A">
        <w:rPr>
          <w:rFonts w:asciiTheme="minorHAnsi" w:hAnsiTheme="minorHAnsi"/>
          <w:bCs/>
        </w:rPr>
        <w:t xml:space="preserve"> need to be</w:t>
      </w:r>
      <w:r w:rsidR="00B25B6A" w:rsidRPr="00D8075A">
        <w:rPr>
          <w:rFonts w:asciiTheme="minorHAnsi" w:hAnsiTheme="minorHAnsi"/>
          <w:bCs/>
        </w:rPr>
        <w:t xml:space="preserve"> entered into to manage uncertainties around the</w:t>
      </w:r>
      <w:r w:rsidR="00353B6F" w:rsidRPr="00D8075A">
        <w:rPr>
          <w:rFonts w:asciiTheme="minorHAnsi" w:hAnsiTheme="minorHAnsi"/>
          <w:bCs/>
        </w:rPr>
        <w:t xml:space="preserve"> uptake rates and</w:t>
      </w:r>
      <w:r w:rsidR="00B25B6A" w:rsidRPr="00D8075A">
        <w:rPr>
          <w:rFonts w:asciiTheme="minorHAnsi" w:hAnsiTheme="minorHAnsi"/>
          <w:bCs/>
        </w:rPr>
        <w:t xml:space="preserve"> time on treatment.</w:t>
      </w:r>
    </w:p>
    <w:p w:rsidR="00577094" w:rsidRPr="00D8075A" w:rsidRDefault="00577094" w:rsidP="00577094">
      <w:pPr>
        <w:numPr>
          <w:ilvl w:val="1"/>
          <w:numId w:val="1"/>
        </w:numPr>
        <w:spacing w:after="120"/>
        <w:rPr>
          <w:rFonts w:asciiTheme="minorHAnsi" w:hAnsiTheme="minorHAnsi"/>
          <w:bCs/>
        </w:rPr>
      </w:pPr>
      <w:r w:rsidRPr="00D8075A">
        <w:rPr>
          <w:rFonts w:asciiTheme="minorHAnsi" w:hAnsiTheme="minorHAnsi"/>
          <w:bCs/>
        </w:rPr>
        <w:t xml:space="preserve">The PBAC acknowledged that </w:t>
      </w:r>
      <w:proofErr w:type="spellStart"/>
      <w:r w:rsidR="008E209C" w:rsidRPr="00D8075A">
        <w:rPr>
          <w:rFonts w:asciiTheme="minorHAnsi" w:hAnsiTheme="minorHAnsi"/>
          <w:bCs/>
        </w:rPr>
        <w:t>m</w:t>
      </w:r>
      <w:r w:rsidRPr="00D8075A">
        <w:rPr>
          <w:rFonts w:asciiTheme="minorHAnsi" w:hAnsiTheme="minorHAnsi"/>
          <w:bCs/>
        </w:rPr>
        <w:t>MCC</w:t>
      </w:r>
      <w:proofErr w:type="spellEnd"/>
      <w:r w:rsidRPr="00D8075A">
        <w:rPr>
          <w:rFonts w:asciiTheme="minorHAnsi" w:hAnsiTheme="minorHAnsi"/>
          <w:bCs/>
        </w:rPr>
        <w:t xml:space="preserve"> is an aggressive</w:t>
      </w:r>
      <w:r w:rsidR="008E209C" w:rsidRPr="00D8075A">
        <w:rPr>
          <w:rFonts w:asciiTheme="minorHAnsi" w:hAnsiTheme="minorHAnsi"/>
          <w:bCs/>
        </w:rPr>
        <w:t>,</w:t>
      </w:r>
      <w:r w:rsidRPr="00D8075A">
        <w:rPr>
          <w:rFonts w:asciiTheme="minorHAnsi" w:hAnsiTheme="minorHAnsi"/>
          <w:bCs/>
        </w:rPr>
        <w:t xml:space="preserve"> rare cancer and there </w:t>
      </w:r>
      <w:r w:rsidR="00F346E5" w:rsidRPr="00D8075A">
        <w:rPr>
          <w:rFonts w:asciiTheme="minorHAnsi" w:hAnsiTheme="minorHAnsi"/>
          <w:bCs/>
        </w:rPr>
        <w:t xml:space="preserve">is </w:t>
      </w:r>
      <w:r w:rsidRPr="00D8075A">
        <w:rPr>
          <w:rFonts w:asciiTheme="minorHAnsi" w:hAnsiTheme="minorHAnsi"/>
          <w:bCs/>
        </w:rPr>
        <w:t xml:space="preserve">a high unmet need for new treatments in this condition. Although </w:t>
      </w:r>
      <w:r w:rsidR="008E209C" w:rsidRPr="00D8075A">
        <w:rPr>
          <w:rFonts w:asciiTheme="minorHAnsi" w:hAnsiTheme="minorHAnsi"/>
          <w:bCs/>
        </w:rPr>
        <w:t xml:space="preserve">noting that the data </w:t>
      </w:r>
      <w:r w:rsidR="00734C4D" w:rsidRPr="00D8075A">
        <w:rPr>
          <w:rFonts w:asciiTheme="minorHAnsi" w:hAnsiTheme="minorHAnsi"/>
          <w:bCs/>
        </w:rPr>
        <w:t>presented, particularly in the first line setting,</w:t>
      </w:r>
      <w:r w:rsidR="008E209C" w:rsidRPr="00D8075A">
        <w:rPr>
          <w:rFonts w:asciiTheme="minorHAnsi" w:hAnsiTheme="minorHAnsi"/>
          <w:bCs/>
        </w:rPr>
        <w:t xml:space="preserve"> </w:t>
      </w:r>
      <w:r w:rsidR="00710ADD" w:rsidRPr="00D8075A">
        <w:rPr>
          <w:rFonts w:asciiTheme="minorHAnsi" w:hAnsiTheme="minorHAnsi"/>
          <w:bCs/>
        </w:rPr>
        <w:t>are</w:t>
      </w:r>
      <w:r w:rsidRPr="00D8075A">
        <w:rPr>
          <w:rFonts w:asciiTheme="minorHAnsi" w:hAnsiTheme="minorHAnsi"/>
          <w:bCs/>
        </w:rPr>
        <w:t xml:space="preserve"> limited and immature, the PBAC considered </w:t>
      </w:r>
      <w:r w:rsidR="00734C4D" w:rsidRPr="00D8075A">
        <w:rPr>
          <w:rFonts w:asciiTheme="minorHAnsi" w:hAnsiTheme="minorHAnsi"/>
          <w:bCs/>
        </w:rPr>
        <w:t xml:space="preserve">that </w:t>
      </w:r>
      <w:r w:rsidRPr="00D8075A">
        <w:rPr>
          <w:rFonts w:asciiTheme="minorHAnsi" w:hAnsiTheme="minorHAnsi"/>
          <w:bCs/>
        </w:rPr>
        <w:t xml:space="preserve">a </w:t>
      </w:r>
      <w:r w:rsidR="0022338D" w:rsidRPr="00D8075A">
        <w:rPr>
          <w:rFonts w:asciiTheme="minorHAnsi" w:hAnsiTheme="minorHAnsi"/>
          <w:bCs/>
        </w:rPr>
        <w:t>listing that enables use in the first line setting</w:t>
      </w:r>
      <w:r w:rsidR="00710ADD" w:rsidRPr="00D8075A">
        <w:rPr>
          <w:rFonts w:asciiTheme="minorHAnsi" w:hAnsiTheme="minorHAnsi"/>
          <w:bCs/>
        </w:rPr>
        <w:t xml:space="preserve"> </w:t>
      </w:r>
      <w:r w:rsidRPr="00D8075A">
        <w:rPr>
          <w:rFonts w:asciiTheme="minorHAnsi" w:hAnsiTheme="minorHAnsi"/>
          <w:bCs/>
        </w:rPr>
        <w:t>w</w:t>
      </w:r>
      <w:r w:rsidR="00734C4D" w:rsidRPr="00D8075A">
        <w:rPr>
          <w:rFonts w:asciiTheme="minorHAnsi" w:hAnsiTheme="minorHAnsi"/>
          <w:bCs/>
        </w:rPr>
        <w:t>ould</w:t>
      </w:r>
      <w:r w:rsidRPr="00D8075A">
        <w:rPr>
          <w:rFonts w:asciiTheme="minorHAnsi" w:hAnsiTheme="minorHAnsi"/>
          <w:bCs/>
        </w:rPr>
        <w:t xml:space="preserve"> allow equitable access to patients</w:t>
      </w:r>
      <w:r w:rsidR="00203D6F" w:rsidRPr="00D8075A">
        <w:rPr>
          <w:rFonts w:asciiTheme="minorHAnsi" w:hAnsiTheme="minorHAnsi"/>
          <w:bCs/>
        </w:rPr>
        <w:t>.</w:t>
      </w:r>
    </w:p>
    <w:p w:rsidR="00577094" w:rsidRPr="00D8075A" w:rsidRDefault="00F51F26" w:rsidP="00092F08">
      <w:pPr>
        <w:numPr>
          <w:ilvl w:val="1"/>
          <w:numId w:val="1"/>
        </w:numPr>
        <w:spacing w:after="120"/>
        <w:rPr>
          <w:rFonts w:asciiTheme="minorHAnsi" w:hAnsiTheme="minorHAnsi"/>
          <w:bCs/>
        </w:rPr>
      </w:pPr>
      <w:r w:rsidRPr="00D8075A">
        <w:rPr>
          <w:rFonts w:asciiTheme="minorHAnsi" w:hAnsiTheme="minorHAnsi"/>
          <w:bCs/>
        </w:rPr>
        <w:t xml:space="preserve">The PBAC considered that the sponsor hearing and the consumer comments were informative and provided </w:t>
      </w:r>
      <w:r w:rsidR="00203D6F" w:rsidRPr="00D8075A">
        <w:rPr>
          <w:rFonts w:asciiTheme="minorHAnsi" w:hAnsiTheme="minorHAnsi"/>
          <w:bCs/>
        </w:rPr>
        <w:t xml:space="preserve">clinical </w:t>
      </w:r>
      <w:r w:rsidRPr="00D8075A">
        <w:rPr>
          <w:rFonts w:asciiTheme="minorHAnsi" w:hAnsiTheme="minorHAnsi"/>
          <w:bCs/>
        </w:rPr>
        <w:t xml:space="preserve">insight into the current treatment available for this rare condition. The PBAC noted that the comments described avelumab </w:t>
      </w:r>
      <w:r w:rsidR="00F346E5" w:rsidRPr="00D8075A">
        <w:rPr>
          <w:rFonts w:asciiTheme="minorHAnsi" w:hAnsiTheme="minorHAnsi"/>
          <w:bCs/>
        </w:rPr>
        <w:t xml:space="preserve">as being </w:t>
      </w:r>
      <w:r w:rsidRPr="00D8075A">
        <w:rPr>
          <w:rFonts w:asciiTheme="minorHAnsi" w:hAnsiTheme="minorHAnsi"/>
          <w:bCs/>
        </w:rPr>
        <w:t>more effective and tolerable than chemotherapy</w:t>
      </w:r>
      <w:r w:rsidR="00166FCE" w:rsidRPr="00D8075A">
        <w:rPr>
          <w:rFonts w:asciiTheme="minorHAnsi" w:hAnsiTheme="minorHAnsi"/>
          <w:bCs/>
        </w:rPr>
        <w:t xml:space="preserve"> and considered that</w:t>
      </w:r>
      <w:r w:rsidR="000C2F59" w:rsidRPr="00D8075A">
        <w:rPr>
          <w:rFonts w:asciiTheme="minorHAnsi" w:hAnsiTheme="minorHAnsi"/>
          <w:bCs/>
        </w:rPr>
        <w:t xml:space="preserve"> </w:t>
      </w:r>
      <w:r w:rsidR="00166FCE" w:rsidRPr="00D8075A">
        <w:rPr>
          <w:rFonts w:asciiTheme="minorHAnsi" w:hAnsiTheme="minorHAnsi"/>
          <w:bCs/>
        </w:rPr>
        <w:t>t</w:t>
      </w:r>
      <w:r w:rsidR="00657E85" w:rsidRPr="00D8075A">
        <w:rPr>
          <w:rFonts w:asciiTheme="minorHAnsi" w:hAnsiTheme="minorHAnsi"/>
          <w:bCs/>
        </w:rPr>
        <w:t xml:space="preserve">his </w:t>
      </w:r>
      <w:r w:rsidR="00166FCE" w:rsidRPr="00D8075A">
        <w:rPr>
          <w:rFonts w:asciiTheme="minorHAnsi" w:hAnsiTheme="minorHAnsi"/>
          <w:bCs/>
        </w:rPr>
        <w:t>wa</w:t>
      </w:r>
      <w:r w:rsidR="00254DF9" w:rsidRPr="00D8075A">
        <w:rPr>
          <w:rFonts w:asciiTheme="minorHAnsi" w:hAnsiTheme="minorHAnsi"/>
          <w:bCs/>
        </w:rPr>
        <w:t xml:space="preserve">s particularly important as the average age of patients with MCC is </w:t>
      </w:r>
      <w:r w:rsidR="00F346E5" w:rsidRPr="00D8075A">
        <w:rPr>
          <w:rFonts w:asciiTheme="minorHAnsi" w:hAnsiTheme="minorHAnsi"/>
          <w:bCs/>
        </w:rPr>
        <w:t xml:space="preserve">approximately </w:t>
      </w:r>
      <w:r w:rsidR="00254DF9" w:rsidRPr="00D8075A">
        <w:rPr>
          <w:rFonts w:asciiTheme="minorHAnsi" w:hAnsiTheme="minorHAnsi"/>
          <w:bCs/>
        </w:rPr>
        <w:t xml:space="preserve">70 years </w:t>
      </w:r>
      <w:r w:rsidR="000C2F59" w:rsidRPr="00D8075A">
        <w:rPr>
          <w:rFonts w:asciiTheme="minorHAnsi" w:hAnsiTheme="minorHAnsi"/>
          <w:bCs/>
        </w:rPr>
        <w:t>and these patients are likely to</w:t>
      </w:r>
      <w:r w:rsidR="00254DF9" w:rsidRPr="00D8075A">
        <w:rPr>
          <w:rFonts w:asciiTheme="minorHAnsi" w:hAnsiTheme="minorHAnsi"/>
          <w:bCs/>
        </w:rPr>
        <w:t xml:space="preserve"> have </w:t>
      </w:r>
      <w:r w:rsidR="002D0515" w:rsidRPr="00D8075A">
        <w:rPr>
          <w:rFonts w:asciiTheme="minorHAnsi" w:hAnsiTheme="minorHAnsi"/>
          <w:bCs/>
        </w:rPr>
        <w:t>comorbid</w:t>
      </w:r>
      <w:r w:rsidR="00657E85" w:rsidRPr="00D8075A">
        <w:rPr>
          <w:rFonts w:asciiTheme="minorHAnsi" w:hAnsiTheme="minorHAnsi"/>
          <w:bCs/>
        </w:rPr>
        <w:t xml:space="preserve"> </w:t>
      </w:r>
      <w:r w:rsidR="0022338D" w:rsidRPr="00D8075A">
        <w:rPr>
          <w:rFonts w:asciiTheme="minorHAnsi" w:hAnsiTheme="minorHAnsi"/>
          <w:bCs/>
        </w:rPr>
        <w:t>diseases that</w:t>
      </w:r>
      <w:r w:rsidR="002D0515" w:rsidRPr="00D8075A">
        <w:rPr>
          <w:rFonts w:asciiTheme="minorHAnsi" w:hAnsiTheme="minorHAnsi"/>
          <w:bCs/>
        </w:rPr>
        <w:t xml:space="preserve"> </w:t>
      </w:r>
      <w:r w:rsidR="000C2F59" w:rsidRPr="00D8075A">
        <w:rPr>
          <w:rFonts w:asciiTheme="minorHAnsi" w:hAnsiTheme="minorHAnsi"/>
          <w:bCs/>
        </w:rPr>
        <w:t xml:space="preserve">may result in </w:t>
      </w:r>
      <w:r w:rsidR="002D0515" w:rsidRPr="00D8075A">
        <w:rPr>
          <w:rFonts w:asciiTheme="minorHAnsi" w:hAnsiTheme="minorHAnsi"/>
          <w:bCs/>
        </w:rPr>
        <w:t xml:space="preserve">chemotherapy not </w:t>
      </w:r>
      <w:r w:rsidR="000C2F59" w:rsidRPr="00D8075A">
        <w:rPr>
          <w:rFonts w:asciiTheme="minorHAnsi" w:hAnsiTheme="minorHAnsi"/>
          <w:bCs/>
        </w:rPr>
        <w:t xml:space="preserve">being </w:t>
      </w:r>
      <w:r w:rsidR="002D0515" w:rsidRPr="00D8075A">
        <w:rPr>
          <w:rFonts w:asciiTheme="minorHAnsi" w:hAnsiTheme="minorHAnsi"/>
          <w:bCs/>
        </w:rPr>
        <w:t xml:space="preserve">well tolerated. </w:t>
      </w:r>
      <w:r w:rsidR="004E13BE" w:rsidRPr="00D8075A">
        <w:rPr>
          <w:rFonts w:asciiTheme="minorHAnsi" w:hAnsiTheme="minorHAnsi"/>
          <w:bCs/>
        </w:rPr>
        <w:t>There was strong support for a listing</w:t>
      </w:r>
      <w:r w:rsidR="00D21EAE" w:rsidRPr="00D8075A">
        <w:rPr>
          <w:rFonts w:asciiTheme="minorHAnsi" w:hAnsiTheme="minorHAnsi"/>
          <w:bCs/>
        </w:rPr>
        <w:t xml:space="preserve"> of avelumab</w:t>
      </w:r>
      <w:r w:rsidR="000C2F59" w:rsidRPr="00D8075A">
        <w:rPr>
          <w:rFonts w:asciiTheme="minorHAnsi" w:hAnsiTheme="minorHAnsi"/>
          <w:bCs/>
        </w:rPr>
        <w:t xml:space="preserve"> that includes first line use</w:t>
      </w:r>
      <w:r w:rsidR="004E13BE" w:rsidRPr="00D8075A">
        <w:rPr>
          <w:rFonts w:asciiTheme="minorHAnsi" w:hAnsiTheme="minorHAnsi"/>
          <w:bCs/>
        </w:rPr>
        <w:t xml:space="preserve">. </w:t>
      </w:r>
      <w:r w:rsidR="00E206F7" w:rsidRPr="00D8075A">
        <w:rPr>
          <w:rFonts w:asciiTheme="minorHAnsi" w:hAnsiTheme="minorHAnsi"/>
          <w:bCs/>
        </w:rPr>
        <w:t xml:space="preserve">The comments also highlighted that </w:t>
      </w:r>
      <w:r w:rsidR="000C2F59" w:rsidRPr="00D8075A">
        <w:rPr>
          <w:rFonts w:asciiTheme="minorHAnsi" w:hAnsiTheme="minorHAnsi"/>
          <w:bCs/>
        </w:rPr>
        <w:t xml:space="preserve">PBS listing of </w:t>
      </w:r>
      <w:r w:rsidRPr="00D8075A">
        <w:rPr>
          <w:rFonts w:asciiTheme="minorHAnsi" w:hAnsiTheme="minorHAnsi"/>
          <w:bCs/>
        </w:rPr>
        <w:t>avelumab would help with the financial burden of having a rare cancer</w:t>
      </w:r>
      <w:r w:rsidR="000C2F59" w:rsidRPr="00D8075A">
        <w:rPr>
          <w:rFonts w:asciiTheme="minorHAnsi" w:hAnsiTheme="minorHAnsi"/>
          <w:bCs/>
        </w:rPr>
        <w:t>,</w:t>
      </w:r>
      <w:r w:rsidR="00E206F7" w:rsidRPr="00D8075A">
        <w:rPr>
          <w:rFonts w:asciiTheme="minorHAnsi" w:hAnsiTheme="minorHAnsi"/>
          <w:bCs/>
        </w:rPr>
        <w:t xml:space="preserve"> and </w:t>
      </w:r>
      <w:r w:rsidR="00166FCE" w:rsidRPr="00D8075A">
        <w:rPr>
          <w:rFonts w:asciiTheme="minorHAnsi" w:hAnsiTheme="minorHAnsi"/>
          <w:bCs/>
        </w:rPr>
        <w:t xml:space="preserve">noted </w:t>
      </w:r>
      <w:r w:rsidR="00166FCE" w:rsidRPr="00D8075A">
        <w:rPr>
          <w:rFonts w:asciiTheme="minorHAnsi" w:hAnsiTheme="minorHAnsi"/>
          <w:bCs/>
        </w:rPr>
        <w:lastRenderedPageBreak/>
        <w:t xml:space="preserve">that </w:t>
      </w:r>
      <w:r w:rsidR="00E206F7" w:rsidRPr="00D8075A">
        <w:rPr>
          <w:rFonts w:asciiTheme="minorHAnsi" w:hAnsiTheme="minorHAnsi"/>
          <w:bCs/>
        </w:rPr>
        <w:t xml:space="preserve">there </w:t>
      </w:r>
      <w:r w:rsidR="00166FCE" w:rsidRPr="00D8075A">
        <w:rPr>
          <w:rFonts w:asciiTheme="minorHAnsi" w:hAnsiTheme="minorHAnsi"/>
          <w:bCs/>
        </w:rPr>
        <w:t>is</w:t>
      </w:r>
      <w:r w:rsidR="00E206F7" w:rsidRPr="00D8075A">
        <w:rPr>
          <w:rFonts w:asciiTheme="minorHAnsi" w:hAnsiTheme="minorHAnsi"/>
          <w:bCs/>
        </w:rPr>
        <w:t xml:space="preserve"> emerging data </w:t>
      </w:r>
      <w:r w:rsidR="000C2F59" w:rsidRPr="00D8075A">
        <w:rPr>
          <w:rFonts w:asciiTheme="minorHAnsi" w:hAnsiTheme="minorHAnsi"/>
          <w:bCs/>
        </w:rPr>
        <w:t>for</w:t>
      </w:r>
      <w:r w:rsidR="00E206F7" w:rsidRPr="00D8075A">
        <w:rPr>
          <w:rFonts w:asciiTheme="minorHAnsi" w:hAnsiTheme="minorHAnsi"/>
          <w:bCs/>
        </w:rPr>
        <w:t xml:space="preserve"> PD-1 inhibitors which demonstrate effective</w:t>
      </w:r>
      <w:r w:rsidR="00166FCE" w:rsidRPr="00D8075A">
        <w:rPr>
          <w:rFonts w:asciiTheme="minorHAnsi" w:hAnsiTheme="minorHAnsi"/>
          <w:bCs/>
        </w:rPr>
        <w:t>ness</w:t>
      </w:r>
      <w:r w:rsidR="00E206F7" w:rsidRPr="00D8075A">
        <w:rPr>
          <w:rFonts w:asciiTheme="minorHAnsi" w:hAnsiTheme="minorHAnsi"/>
          <w:bCs/>
        </w:rPr>
        <w:t xml:space="preserve"> in treating MCC</w:t>
      </w:r>
      <w:r w:rsidRPr="00D8075A">
        <w:rPr>
          <w:rFonts w:asciiTheme="minorHAnsi" w:hAnsiTheme="minorHAnsi"/>
          <w:bCs/>
        </w:rPr>
        <w:t xml:space="preserve">. </w:t>
      </w:r>
    </w:p>
    <w:p w:rsidR="009A79E8" w:rsidRPr="00D8075A" w:rsidRDefault="00456A1A" w:rsidP="00092F08">
      <w:pPr>
        <w:numPr>
          <w:ilvl w:val="1"/>
          <w:numId w:val="1"/>
        </w:numPr>
        <w:spacing w:after="120"/>
        <w:rPr>
          <w:rFonts w:asciiTheme="minorHAnsi" w:hAnsiTheme="minorHAnsi"/>
          <w:bCs/>
        </w:rPr>
      </w:pPr>
      <w:r w:rsidRPr="00D8075A">
        <w:rPr>
          <w:rFonts w:asciiTheme="minorHAnsi" w:hAnsiTheme="minorHAnsi"/>
          <w:bCs/>
        </w:rPr>
        <w:t xml:space="preserve">The PBAC recommended that avelumab should be </w:t>
      </w:r>
      <w:r w:rsidR="003426E3" w:rsidRPr="00D8075A">
        <w:rPr>
          <w:rFonts w:asciiTheme="minorHAnsi" w:hAnsiTheme="minorHAnsi"/>
          <w:bCs/>
        </w:rPr>
        <w:t>available</w:t>
      </w:r>
      <w:r w:rsidRPr="00D8075A">
        <w:rPr>
          <w:rFonts w:asciiTheme="minorHAnsi" w:hAnsiTheme="minorHAnsi"/>
          <w:bCs/>
        </w:rPr>
        <w:t xml:space="preserve"> as an Authority </w:t>
      </w:r>
      <w:r w:rsidR="00D371FE" w:rsidRPr="00D8075A">
        <w:rPr>
          <w:rFonts w:asciiTheme="minorHAnsi" w:hAnsiTheme="minorHAnsi"/>
          <w:bCs/>
        </w:rPr>
        <w:t xml:space="preserve">Required </w:t>
      </w:r>
      <w:r w:rsidRPr="00D8075A">
        <w:rPr>
          <w:rFonts w:asciiTheme="minorHAnsi" w:hAnsiTheme="minorHAnsi"/>
          <w:bCs/>
        </w:rPr>
        <w:t>Streamlined listing</w:t>
      </w:r>
      <w:r w:rsidR="003426E3" w:rsidRPr="00D8075A">
        <w:rPr>
          <w:rFonts w:asciiTheme="minorHAnsi" w:hAnsiTheme="minorHAnsi"/>
          <w:bCs/>
        </w:rPr>
        <w:t xml:space="preserve"> under special arrangements under Section 100</w:t>
      </w:r>
      <w:r w:rsidR="00A11E44" w:rsidRPr="00D8075A">
        <w:rPr>
          <w:rFonts w:asciiTheme="minorHAnsi" w:hAnsiTheme="minorHAnsi"/>
          <w:bCs/>
        </w:rPr>
        <w:t xml:space="preserve">, Efficient </w:t>
      </w:r>
      <w:r w:rsidR="0022338D">
        <w:rPr>
          <w:rFonts w:asciiTheme="minorHAnsi" w:hAnsiTheme="minorHAnsi"/>
          <w:bCs/>
        </w:rPr>
        <w:t>F</w:t>
      </w:r>
      <w:r w:rsidR="0022338D" w:rsidRPr="00D8075A">
        <w:rPr>
          <w:rFonts w:asciiTheme="minorHAnsi" w:hAnsiTheme="minorHAnsi"/>
          <w:bCs/>
        </w:rPr>
        <w:t xml:space="preserve">unding </w:t>
      </w:r>
      <w:r w:rsidR="00A11E44" w:rsidRPr="00D8075A">
        <w:rPr>
          <w:rFonts w:asciiTheme="minorHAnsi" w:hAnsiTheme="minorHAnsi"/>
          <w:bCs/>
        </w:rPr>
        <w:t xml:space="preserve">of </w:t>
      </w:r>
      <w:r w:rsidR="0022338D">
        <w:rPr>
          <w:rFonts w:asciiTheme="minorHAnsi" w:hAnsiTheme="minorHAnsi"/>
          <w:bCs/>
        </w:rPr>
        <w:t>C</w:t>
      </w:r>
      <w:r w:rsidR="0022338D" w:rsidRPr="00D8075A">
        <w:rPr>
          <w:rFonts w:asciiTheme="minorHAnsi" w:hAnsiTheme="minorHAnsi"/>
          <w:bCs/>
        </w:rPr>
        <w:t xml:space="preserve">hemotherapy </w:t>
      </w:r>
      <w:r w:rsidR="00A11E44" w:rsidRPr="00D8075A">
        <w:rPr>
          <w:rFonts w:asciiTheme="minorHAnsi" w:hAnsiTheme="minorHAnsi"/>
          <w:bCs/>
        </w:rPr>
        <w:t xml:space="preserve">program. </w:t>
      </w:r>
    </w:p>
    <w:p w:rsidR="00631447" w:rsidRPr="00D8075A" w:rsidRDefault="00631447" w:rsidP="00092F08">
      <w:pPr>
        <w:numPr>
          <w:ilvl w:val="1"/>
          <w:numId w:val="1"/>
        </w:numPr>
        <w:spacing w:after="120"/>
        <w:rPr>
          <w:rFonts w:asciiTheme="minorHAnsi" w:hAnsiTheme="minorHAnsi"/>
          <w:bCs/>
        </w:rPr>
      </w:pPr>
      <w:r w:rsidRPr="00D8075A">
        <w:rPr>
          <w:rFonts w:asciiTheme="minorHAnsi" w:hAnsiTheme="minorHAnsi"/>
          <w:bCs/>
        </w:rPr>
        <w:t>The PBAC considered that a grandfather restriction</w:t>
      </w:r>
      <w:r w:rsidR="00D33E0F" w:rsidRPr="00D8075A">
        <w:rPr>
          <w:rFonts w:asciiTheme="minorHAnsi" w:hAnsiTheme="minorHAnsi"/>
          <w:bCs/>
        </w:rPr>
        <w:t xml:space="preserve"> was not </w:t>
      </w:r>
      <w:r w:rsidR="0022338D" w:rsidRPr="00D8075A">
        <w:rPr>
          <w:rFonts w:asciiTheme="minorHAnsi" w:hAnsiTheme="minorHAnsi"/>
          <w:bCs/>
        </w:rPr>
        <w:t>necessary,</w:t>
      </w:r>
      <w:r w:rsidR="00D33E0F" w:rsidRPr="00D8075A">
        <w:rPr>
          <w:rFonts w:asciiTheme="minorHAnsi" w:hAnsiTheme="minorHAnsi"/>
          <w:bCs/>
        </w:rPr>
        <w:t xml:space="preserve"> as patients </w:t>
      </w:r>
      <w:r w:rsidRPr="00D8075A">
        <w:rPr>
          <w:rFonts w:asciiTheme="minorHAnsi" w:hAnsiTheme="minorHAnsi"/>
          <w:bCs/>
        </w:rPr>
        <w:t>who are in the early access program for avelumab</w:t>
      </w:r>
      <w:r w:rsidR="00D33E0F" w:rsidRPr="00D8075A">
        <w:rPr>
          <w:rFonts w:asciiTheme="minorHAnsi" w:hAnsiTheme="minorHAnsi"/>
          <w:bCs/>
        </w:rPr>
        <w:t xml:space="preserve"> would meet the criteria in the initial restriction.</w:t>
      </w:r>
    </w:p>
    <w:p w:rsidR="003426E3" w:rsidRPr="00D8075A" w:rsidRDefault="00ED0638" w:rsidP="00092F08">
      <w:pPr>
        <w:numPr>
          <w:ilvl w:val="1"/>
          <w:numId w:val="1"/>
        </w:numPr>
        <w:spacing w:after="120"/>
        <w:rPr>
          <w:rFonts w:asciiTheme="minorHAnsi" w:hAnsiTheme="minorHAnsi"/>
          <w:bCs/>
        </w:rPr>
      </w:pPr>
      <w:r w:rsidRPr="00D8075A">
        <w:rPr>
          <w:rFonts w:asciiTheme="minorHAnsi" w:hAnsiTheme="minorHAnsi"/>
          <w:bCs/>
        </w:rPr>
        <w:t xml:space="preserve">The PBAC considered that </w:t>
      </w:r>
      <w:r w:rsidR="00577094" w:rsidRPr="00D8075A">
        <w:rPr>
          <w:rFonts w:asciiTheme="minorHAnsi" w:hAnsiTheme="minorHAnsi"/>
          <w:bCs/>
        </w:rPr>
        <w:t xml:space="preserve">the proposed </w:t>
      </w:r>
      <w:r w:rsidRPr="00D8075A">
        <w:rPr>
          <w:rFonts w:asciiTheme="minorHAnsi" w:hAnsiTheme="minorHAnsi"/>
          <w:bCs/>
        </w:rPr>
        <w:t>maximum amount (units) of 6 is appropriate in the initial</w:t>
      </w:r>
      <w:r w:rsidR="00BD29AB" w:rsidRPr="00D8075A">
        <w:rPr>
          <w:rFonts w:asciiTheme="minorHAnsi" w:hAnsiTheme="minorHAnsi"/>
          <w:bCs/>
        </w:rPr>
        <w:t xml:space="preserve"> and </w:t>
      </w:r>
      <w:r w:rsidRPr="00D8075A">
        <w:rPr>
          <w:rFonts w:asciiTheme="minorHAnsi" w:hAnsiTheme="minorHAnsi"/>
          <w:bCs/>
        </w:rPr>
        <w:t>continuing restriction</w:t>
      </w:r>
      <w:r w:rsidR="00273AB8" w:rsidRPr="00D8075A">
        <w:rPr>
          <w:rFonts w:asciiTheme="minorHAnsi" w:hAnsiTheme="minorHAnsi"/>
          <w:bCs/>
        </w:rPr>
        <w:t>s</w:t>
      </w:r>
      <w:r w:rsidRPr="00D8075A">
        <w:rPr>
          <w:rFonts w:asciiTheme="minorHAnsi" w:hAnsiTheme="minorHAnsi"/>
          <w:bCs/>
        </w:rPr>
        <w:t xml:space="preserve">. The PBAC considered that a maximum of 8 repeats is appropriate for the initial restriction, and a maximum of 11 repeats is appropriate for the continuing restriction. </w:t>
      </w:r>
    </w:p>
    <w:p w:rsidR="00492EB8" w:rsidRPr="00D8075A" w:rsidRDefault="00885775" w:rsidP="00406CA7">
      <w:pPr>
        <w:numPr>
          <w:ilvl w:val="1"/>
          <w:numId w:val="1"/>
        </w:numPr>
        <w:spacing w:after="120"/>
        <w:rPr>
          <w:rFonts w:asciiTheme="minorHAnsi" w:hAnsiTheme="minorHAnsi"/>
          <w:bCs/>
        </w:rPr>
      </w:pPr>
      <w:r w:rsidRPr="00D8075A">
        <w:rPr>
          <w:rFonts w:asciiTheme="minorHAnsi" w:hAnsiTheme="minorHAnsi"/>
          <w:bCs/>
        </w:rPr>
        <w:t>The PBAC recommended that the listing not be restricted based on WHO or ECOG status.</w:t>
      </w:r>
    </w:p>
    <w:p w:rsidR="00747B1C" w:rsidRPr="00D8075A" w:rsidRDefault="00747B1C" w:rsidP="00406CA7">
      <w:pPr>
        <w:numPr>
          <w:ilvl w:val="1"/>
          <w:numId w:val="1"/>
        </w:numPr>
        <w:spacing w:after="120"/>
        <w:rPr>
          <w:rFonts w:asciiTheme="minorHAnsi" w:hAnsiTheme="minorHAnsi"/>
          <w:bCs/>
        </w:rPr>
      </w:pPr>
      <w:r w:rsidRPr="00D8075A">
        <w:rPr>
          <w:rFonts w:asciiTheme="minorHAnsi" w:hAnsiTheme="minorHAnsi"/>
          <w:bCs/>
        </w:rPr>
        <w:t>The PBAC considered</w:t>
      </w:r>
      <w:r w:rsidR="00CD6EA1" w:rsidRPr="00D8075A">
        <w:rPr>
          <w:rFonts w:asciiTheme="minorHAnsi" w:hAnsiTheme="minorHAnsi"/>
          <w:bCs/>
        </w:rPr>
        <w:t xml:space="preserve"> that</w:t>
      </w:r>
      <w:r w:rsidRPr="00D8075A">
        <w:rPr>
          <w:rFonts w:asciiTheme="minorHAnsi" w:hAnsiTheme="minorHAnsi"/>
          <w:bCs/>
        </w:rPr>
        <w:t xml:space="preserve"> </w:t>
      </w:r>
      <w:r w:rsidR="00CD6EA1" w:rsidRPr="00D8075A">
        <w:rPr>
          <w:rFonts w:asciiTheme="minorHAnsi" w:hAnsiTheme="minorHAnsi"/>
          <w:bCs/>
        </w:rPr>
        <w:t>chemotherapy</w:t>
      </w:r>
      <w:r w:rsidR="00E11486" w:rsidRPr="00D8075A">
        <w:rPr>
          <w:rFonts w:asciiTheme="minorHAnsi" w:hAnsiTheme="minorHAnsi"/>
          <w:bCs/>
        </w:rPr>
        <w:t xml:space="preserve"> as the main comparator,</w:t>
      </w:r>
      <w:r w:rsidR="00CD6EA1" w:rsidRPr="00D8075A">
        <w:rPr>
          <w:rFonts w:asciiTheme="minorHAnsi" w:hAnsiTheme="minorHAnsi"/>
          <w:bCs/>
        </w:rPr>
        <w:t xml:space="preserve"> which is </w:t>
      </w:r>
      <w:r w:rsidR="00D45046" w:rsidRPr="00D8075A">
        <w:rPr>
          <w:rFonts w:asciiTheme="minorHAnsi" w:hAnsiTheme="minorHAnsi"/>
          <w:bCs/>
        </w:rPr>
        <w:t xml:space="preserve">the </w:t>
      </w:r>
      <w:r w:rsidR="00CD6EA1" w:rsidRPr="00D8075A">
        <w:rPr>
          <w:rFonts w:asciiTheme="minorHAnsi" w:hAnsiTheme="minorHAnsi"/>
          <w:bCs/>
        </w:rPr>
        <w:t xml:space="preserve">current Australian standard of care, </w:t>
      </w:r>
      <w:r w:rsidRPr="00D8075A">
        <w:rPr>
          <w:rFonts w:asciiTheme="minorHAnsi" w:hAnsiTheme="minorHAnsi"/>
          <w:bCs/>
        </w:rPr>
        <w:t>was appropriate</w:t>
      </w:r>
      <w:r w:rsidR="004E13BE" w:rsidRPr="00D8075A">
        <w:rPr>
          <w:rFonts w:asciiTheme="minorHAnsi" w:hAnsiTheme="minorHAnsi"/>
          <w:bCs/>
        </w:rPr>
        <w:t>.</w:t>
      </w:r>
    </w:p>
    <w:p w:rsidR="004E13BE" w:rsidRPr="00D8075A" w:rsidRDefault="00BA311D" w:rsidP="00BA311D">
      <w:pPr>
        <w:numPr>
          <w:ilvl w:val="1"/>
          <w:numId w:val="1"/>
        </w:numPr>
        <w:spacing w:after="120"/>
        <w:rPr>
          <w:rFonts w:asciiTheme="minorHAnsi" w:hAnsiTheme="minorHAnsi"/>
          <w:bCs/>
        </w:rPr>
      </w:pPr>
      <w:r w:rsidRPr="00D8075A">
        <w:rPr>
          <w:rFonts w:asciiTheme="minorHAnsi" w:hAnsiTheme="minorHAnsi"/>
          <w:bCs/>
        </w:rPr>
        <w:t xml:space="preserve">The PBAC </w:t>
      </w:r>
      <w:r w:rsidR="006B0BCD" w:rsidRPr="00D8075A">
        <w:rPr>
          <w:rFonts w:asciiTheme="minorHAnsi" w:hAnsiTheme="minorHAnsi"/>
          <w:bCs/>
        </w:rPr>
        <w:t>noted</w:t>
      </w:r>
      <w:r w:rsidRPr="00D8075A">
        <w:rPr>
          <w:rFonts w:asciiTheme="minorHAnsi" w:hAnsiTheme="minorHAnsi"/>
          <w:bCs/>
        </w:rPr>
        <w:t xml:space="preserve"> the </w:t>
      </w:r>
      <w:r w:rsidR="00D61D5E" w:rsidRPr="00D8075A">
        <w:rPr>
          <w:rFonts w:asciiTheme="minorHAnsi" w:hAnsiTheme="minorHAnsi"/>
          <w:bCs/>
        </w:rPr>
        <w:t xml:space="preserve">phase II JAVELIN </w:t>
      </w:r>
      <w:r w:rsidR="00906A2C" w:rsidRPr="00D8075A">
        <w:rPr>
          <w:rFonts w:asciiTheme="minorHAnsi" w:hAnsiTheme="minorHAnsi"/>
          <w:bCs/>
        </w:rPr>
        <w:t xml:space="preserve">Merkel 200 </w:t>
      </w:r>
      <w:r w:rsidR="00266861" w:rsidRPr="00D8075A">
        <w:rPr>
          <w:rFonts w:asciiTheme="minorHAnsi" w:hAnsiTheme="minorHAnsi"/>
          <w:bCs/>
        </w:rPr>
        <w:t xml:space="preserve">study </w:t>
      </w:r>
      <w:r w:rsidR="00D61D5E" w:rsidRPr="00D8075A">
        <w:rPr>
          <w:rFonts w:asciiTheme="minorHAnsi" w:hAnsiTheme="minorHAnsi"/>
          <w:bCs/>
        </w:rPr>
        <w:t xml:space="preserve">that was used to support the submission. JAVELIN </w:t>
      </w:r>
      <w:r w:rsidR="001E2E7D" w:rsidRPr="00D8075A">
        <w:rPr>
          <w:rFonts w:asciiTheme="minorHAnsi" w:hAnsiTheme="minorHAnsi"/>
          <w:bCs/>
        </w:rPr>
        <w:t xml:space="preserve">Merkel 200 </w:t>
      </w:r>
      <w:r w:rsidR="00D61D5E" w:rsidRPr="00D8075A">
        <w:rPr>
          <w:rFonts w:asciiTheme="minorHAnsi" w:hAnsiTheme="minorHAnsi"/>
          <w:bCs/>
        </w:rPr>
        <w:t>is</w:t>
      </w:r>
      <w:r w:rsidR="00F346E5" w:rsidRPr="00D8075A">
        <w:rPr>
          <w:rFonts w:asciiTheme="minorHAnsi" w:hAnsiTheme="minorHAnsi"/>
          <w:bCs/>
        </w:rPr>
        <w:t xml:space="preserve"> </w:t>
      </w:r>
      <w:r w:rsidR="000C2F59" w:rsidRPr="00D8075A">
        <w:rPr>
          <w:rFonts w:asciiTheme="minorHAnsi" w:hAnsiTheme="minorHAnsi"/>
          <w:bCs/>
        </w:rPr>
        <w:t>an</w:t>
      </w:r>
      <w:r w:rsidRPr="00D8075A">
        <w:rPr>
          <w:rFonts w:asciiTheme="minorHAnsi" w:hAnsiTheme="minorHAnsi"/>
          <w:bCs/>
        </w:rPr>
        <w:t xml:space="preserve"> open label study of patients treated with avelumab in first-line</w:t>
      </w:r>
      <w:r w:rsidR="003A067D" w:rsidRPr="00D8075A">
        <w:rPr>
          <w:rFonts w:asciiTheme="minorHAnsi" w:hAnsiTheme="minorHAnsi"/>
          <w:bCs/>
        </w:rPr>
        <w:t xml:space="preserve"> (part B</w:t>
      </w:r>
      <w:r w:rsidR="00AA65BC" w:rsidRPr="00D8075A">
        <w:rPr>
          <w:rFonts w:asciiTheme="minorHAnsi" w:hAnsiTheme="minorHAnsi"/>
          <w:bCs/>
        </w:rPr>
        <w:t>)</w:t>
      </w:r>
      <w:r w:rsidRPr="00D8075A">
        <w:rPr>
          <w:rFonts w:asciiTheme="minorHAnsi" w:hAnsiTheme="minorHAnsi"/>
          <w:bCs/>
        </w:rPr>
        <w:t xml:space="preserve"> and second-line </w:t>
      </w:r>
      <w:r w:rsidR="00AA65BC" w:rsidRPr="00D8075A">
        <w:rPr>
          <w:rFonts w:asciiTheme="minorHAnsi" w:hAnsiTheme="minorHAnsi"/>
          <w:bCs/>
        </w:rPr>
        <w:t xml:space="preserve">(part </w:t>
      </w:r>
      <w:r w:rsidR="003A067D" w:rsidRPr="00D8075A">
        <w:rPr>
          <w:rFonts w:asciiTheme="minorHAnsi" w:hAnsiTheme="minorHAnsi"/>
          <w:bCs/>
        </w:rPr>
        <w:t>A</w:t>
      </w:r>
      <w:r w:rsidR="00AA65BC" w:rsidRPr="00D8075A">
        <w:rPr>
          <w:rFonts w:asciiTheme="minorHAnsi" w:hAnsiTheme="minorHAnsi"/>
          <w:bCs/>
        </w:rPr>
        <w:t>)</w:t>
      </w:r>
      <w:r w:rsidR="00F346E5" w:rsidRPr="00D8075A">
        <w:rPr>
          <w:rFonts w:asciiTheme="minorHAnsi" w:hAnsiTheme="minorHAnsi"/>
          <w:bCs/>
        </w:rPr>
        <w:t xml:space="preserve"> </w:t>
      </w:r>
      <w:proofErr w:type="spellStart"/>
      <w:r w:rsidR="00F346E5" w:rsidRPr="00D8075A">
        <w:rPr>
          <w:rFonts w:asciiTheme="minorHAnsi" w:hAnsiTheme="minorHAnsi"/>
          <w:bCs/>
        </w:rPr>
        <w:t>mMCC</w:t>
      </w:r>
      <w:proofErr w:type="spellEnd"/>
      <w:r w:rsidR="001E24E5" w:rsidRPr="00D8075A">
        <w:rPr>
          <w:rFonts w:asciiTheme="minorHAnsi" w:hAnsiTheme="minorHAnsi"/>
          <w:bCs/>
        </w:rPr>
        <w:t>.</w:t>
      </w:r>
      <w:r w:rsidR="00D61D5E" w:rsidRPr="00D8075A">
        <w:rPr>
          <w:rFonts w:asciiTheme="minorHAnsi" w:hAnsiTheme="minorHAnsi"/>
          <w:bCs/>
        </w:rPr>
        <w:t xml:space="preserve"> </w:t>
      </w:r>
      <w:r w:rsidR="00E54069" w:rsidRPr="00D8075A">
        <w:rPr>
          <w:rFonts w:asciiTheme="minorHAnsi" w:hAnsiTheme="minorHAnsi"/>
          <w:bCs/>
        </w:rPr>
        <w:t xml:space="preserve">A naïve comparison with data from </w:t>
      </w:r>
      <w:r w:rsidR="00F346E5" w:rsidRPr="00D8075A">
        <w:rPr>
          <w:rFonts w:asciiTheme="minorHAnsi" w:hAnsiTheme="minorHAnsi"/>
          <w:bCs/>
        </w:rPr>
        <w:t>one key</w:t>
      </w:r>
      <w:r w:rsidR="00E54069" w:rsidRPr="00D8075A">
        <w:rPr>
          <w:rFonts w:asciiTheme="minorHAnsi" w:hAnsiTheme="minorHAnsi"/>
          <w:bCs/>
        </w:rPr>
        <w:t xml:space="preserve"> </w:t>
      </w:r>
      <w:r w:rsidRPr="00D8075A">
        <w:rPr>
          <w:rFonts w:asciiTheme="minorHAnsi" w:hAnsiTheme="minorHAnsi"/>
          <w:bCs/>
        </w:rPr>
        <w:t>retrospective observational cohort study of pati</w:t>
      </w:r>
      <w:r w:rsidR="006B0BCD" w:rsidRPr="00D8075A">
        <w:rPr>
          <w:rFonts w:asciiTheme="minorHAnsi" w:hAnsiTheme="minorHAnsi"/>
          <w:bCs/>
        </w:rPr>
        <w:t xml:space="preserve">ents treated with chemotherapy </w:t>
      </w:r>
      <w:r w:rsidR="00E54069" w:rsidRPr="00D8075A">
        <w:rPr>
          <w:rFonts w:asciiTheme="minorHAnsi" w:hAnsiTheme="minorHAnsi"/>
          <w:bCs/>
        </w:rPr>
        <w:t>(</w:t>
      </w:r>
      <w:r w:rsidRPr="00D8075A">
        <w:rPr>
          <w:rFonts w:asciiTheme="minorHAnsi" w:hAnsiTheme="minorHAnsi"/>
          <w:bCs/>
        </w:rPr>
        <w:t>Obs001</w:t>
      </w:r>
      <w:r w:rsidR="00E54069" w:rsidRPr="00D8075A">
        <w:rPr>
          <w:rFonts w:asciiTheme="minorHAnsi" w:hAnsiTheme="minorHAnsi"/>
          <w:bCs/>
        </w:rPr>
        <w:t>,</w:t>
      </w:r>
      <w:r w:rsidRPr="00D8075A">
        <w:rPr>
          <w:rFonts w:asciiTheme="minorHAnsi" w:hAnsiTheme="minorHAnsi"/>
          <w:bCs/>
        </w:rPr>
        <w:t xml:space="preserve"> N=121)</w:t>
      </w:r>
      <w:r w:rsidR="00D61D5E" w:rsidRPr="00D8075A">
        <w:rPr>
          <w:rFonts w:asciiTheme="minorHAnsi" w:hAnsiTheme="minorHAnsi"/>
          <w:bCs/>
        </w:rPr>
        <w:t xml:space="preserve"> and </w:t>
      </w:r>
      <w:r w:rsidR="00F346E5" w:rsidRPr="00D8075A">
        <w:rPr>
          <w:rFonts w:asciiTheme="minorHAnsi" w:hAnsiTheme="minorHAnsi"/>
          <w:bCs/>
        </w:rPr>
        <w:t xml:space="preserve">one supportive </w:t>
      </w:r>
      <w:r w:rsidRPr="00D8075A">
        <w:rPr>
          <w:rFonts w:asciiTheme="minorHAnsi" w:hAnsiTheme="minorHAnsi"/>
          <w:bCs/>
        </w:rPr>
        <w:t>retrospective observa</w:t>
      </w:r>
      <w:r w:rsidR="006B0BCD" w:rsidRPr="00D8075A">
        <w:rPr>
          <w:rFonts w:asciiTheme="minorHAnsi" w:hAnsiTheme="minorHAnsi"/>
          <w:bCs/>
        </w:rPr>
        <w:t>tional cohort study</w:t>
      </w:r>
      <w:r w:rsidRPr="00D8075A">
        <w:rPr>
          <w:rFonts w:asciiTheme="minorHAnsi" w:hAnsiTheme="minorHAnsi"/>
          <w:bCs/>
        </w:rPr>
        <w:t xml:space="preserve"> </w:t>
      </w:r>
      <w:r w:rsidR="00E54069" w:rsidRPr="00D8075A">
        <w:rPr>
          <w:rFonts w:asciiTheme="minorHAnsi" w:hAnsiTheme="minorHAnsi"/>
          <w:bCs/>
        </w:rPr>
        <w:t>(</w:t>
      </w:r>
      <w:proofErr w:type="spellStart"/>
      <w:r w:rsidRPr="00D8075A">
        <w:rPr>
          <w:rFonts w:asciiTheme="minorHAnsi" w:hAnsiTheme="minorHAnsi"/>
          <w:bCs/>
        </w:rPr>
        <w:t>Iyer</w:t>
      </w:r>
      <w:proofErr w:type="spellEnd"/>
      <w:r w:rsidRPr="00D8075A">
        <w:rPr>
          <w:rFonts w:asciiTheme="minorHAnsi" w:hAnsiTheme="minorHAnsi"/>
          <w:bCs/>
        </w:rPr>
        <w:t xml:space="preserve"> 2016</w:t>
      </w:r>
      <w:r w:rsidR="00F346E5" w:rsidRPr="00D8075A">
        <w:rPr>
          <w:rFonts w:asciiTheme="minorHAnsi" w:hAnsiTheme="minorHAnsi"/>
          <w:bCs/>
        </w:rPr>
        <w:t>, N=30</w:t>
      </w:r>
      <w:r w:rsidR="00E54069" w:rsidRPr="00D8075A">
        <w:rPr>
          <w:rFonts w:asciiTheme="minorHAnsi" w:hAnsiTheme="minorHAnsi"/>
          <w:bCs/>
        </w:rPr>
        <w:t>) was presented in the submission</w:t>
      </w:r>
      <w:r w:rsidRPr="00D8075A">
        <w:rPr>
          <w:rFonts w:asciiTheme="minorHAnsi" w:hAnsiTheme="minorHAnsi"/>
          <w:bCs/>
        </w:rPr>
        <w:t>. The PBAC noted that no head-to-head trials were available.</w:t>
      </w:r>
      <w:r w:rsidR="00A50897" w:rsidRPr="00D8075A">
        <w:rPr>
          <w:rFonts w:asciiTheme="minorHAnsi" w:hAnsiTheme="minorHAnsi"/>
          <w:bCs/>
        </w:rPr>
        <w:t xml:space="preserve"> </w:t>
      </w:r>
      <w:r w:rsidR="00166FCE" w:rsidRPr="00D8075A">
        <w:rPr>
          <w:rFonts w:asciiTheme="minorHAnsi" w:hAnsiTheme="minorHAnsi"/>
          <w:bCs/>
        </w:rPr>
        <w:t xml:space="preserve">The PBAC considered that </w:t>
      </w:r>
      <w:r w:rsidR="00A50897" w:rsidRPr="00D8075A">
        <w:rPr>
          <w:rFonts w:asciiTheme="minorHAnsi" w:hAnsiTheme="minorHAnsi"/>
          <w:bCs/>
        </w:rPr>
        <w:t xml:space="preserve">the evidence presented </w:t>
      </w:r>
      <w:r w:rsidR="00166FCE" w:rsidRPr="00D8075A">
        <w:rPr>
          <w:rFonts w:asciiTheme="minorHAnsi" w:hAnsiTheme="minorHAnsi"/>
          <w:bCs/>
        </w:rPr>
        <w:t xml:space="preserve">in the submission </w:t>
      </w:r>
      <w:r w:rsidR="00A50897" w:rsidRPr="00D8075A">
        <w:rPr>
          <w:rFonts w:asciiTheme="minorHAnsi" w:hAnsiTheme="minorHAnsi"/>
          <w:bCs/>
        </w:rPr>
        <w:t xml:space="preserve">was </w:t>
      </w:r>
      <w:r w:rsidR="00D75E65" w:rsidRPr="00D8075A">
        <w:rPr>
          <w:rFonts w:asciiTheme="minorHAnsi" w:hAnsiTheme="minorHAnsi"/>
          <w:bCs/>
        </w:rPr>
        <w:t>immature</w:t>
      </w:r>
      <w:r w:rsidR="00166FCE" w:rsidRPr="00D8075A">
        <w:rPr>
          <w:rFonts w:asciiTheme="minorHAnsi" w:hAnsiTheme="minorHAnsi"/>
          <w:bCs/>
        </w:rPr>
        <w:t xml:space="preserve">, particularly in the first line setting, </w:t>
      </w:r>
      <w:r w:rsidR="00896307" w:rsidRPr="00D8075A">
        <w:rPr>
          <w:rFonts w:asciiTheme="minorHAnsi" w:hAnsiTheme="minorHAnsi"/>
          <w:bCs/>
        </w:rPr>
        <w:t xml:space="preserve">and the </w:t>
      </w:r>
      <w:r w:rsidR="00166FCE" w:rsidRPr="00D8075A">
        <w:rPr>
          <w:rFonts w:asciiTheme="minorHAnsi" w:hAnsiTheme="minorHAnsi"/>
          <w:bCs/>
        </w:rPr>
        <w:t xml:space="preserve">magnitude of </w:t>
      </w:r>
      <w:r w:rsidR="00896307" w:rsidRPr="00D8075A">
        <w:rPr>
          <w:rFonts w:asciiTheme="minorHAnsi" w:hAnsiTheme="minorHAnsi"/>
          <w:bCs/>
        </w:rPr>
        <w:t>benefit</w:t>
      </w:r>
      <w:r w:rsidR="00E54069" w:rsidRPr="00D8075A">
        <w:rPr>
          <w:rFonts w:asciiTheme="minorHAnsi" w:hAnsiTheme="minorHAnsi"/>
          <w:bCs/>
        </w:rPr>
        <w:t xml:space="preserve"> was uncertain</w:t>
      </w:r>
      <w:r w:rsidR="0024171E" w:rsidRPr="00D8075A">
        <w:rPr>
          <w:rFonts w:asciiTheme="minorHAnsi" w:hAnsiTheme="minorHAnsi"/>
          <w:bCs/>
        </w:rPr>
        <w:t>. However,</w:t>
      </w:r>
      <w:r w:rsidR="00D75E65" w:rsidRPr="00D8075A">
        <w:rPr>
          <w:rFonts w:asciiTheme="minorHAnsi" w:hAnsiTheme="minorHAnsi"/>
          <w:bCs/>
        </w:rPr>
        <w:t xml:space="preserve"> the </w:t>
      </w:r>
      <w:r w:rsidR="0024171E" w:rsidRPr="00D8075A">
        <w:rPr>
          <w:rFonts w:asciiTheme="minorHAnsi" w:hAnsiTheme="minorHAnsi"/>
          <w:bCs/>
        </w:rPr>
        <w:t>C</w:t>
      </w:r>
      <w:r w:rsidR="00166FCE" w:rsidRPr="00D8075A">
        <w:rPr>
          <w:rFonts w:asciiTheme="minorHAnsi" w:hAnsiTheme="minorHAnsi"/>
          <w:bCs/>
        </w:rPr>
        <w:t xml:space="preserve">ommittee also </w:t>
      </w:r>
      <w:r w:rsidR="00BB7A7E" w:rsidRPr="00D8075A">
        <w:rPr>
          <w:rFonts w:asciiTheme="minorHAnsi" w:hAnsiTheme="minorHAnsi"/>
          <w:bCs/>
        </w:rPr>
        <w:t>considered</w:t>
      </w:r>
      <w:r w:rsidR="00752D77" w:rsidRPr="00D8075A">
        <w:rPr>
          <w:rFonts w:asciiTheme="minorHAnsi" w:hAnsiTheme="minorHAnsi"/>
          <w:bCs/>
        </w:rPr>
        <w:t xml:space="preserve"> that </w:t>
      </w:r>
      <w:r w:rsidR="00D75E65" w:rsidRPr="00D8075A">
        <w:t xml:space="preserve">it was unlikely that phase </w:t>
      </w:r>
      <w:r w:rsidR="000F2902" w:rsidRPr="00D8075A">
        <w:t>III</w:t>
      </w:r>
      <w:r w:rsidR="00D75E65" w:rsidRPr="00D8075A">
        <w:t xml:space="preserve"> data would be available in the near future. </w:t>
      </w:r>
      <w:r w:rsidR="00ED240E" w:rsidRPr="00D8075A">
        <w:t xml:space="preserve">The PBAC noted that there is emerging phase II data for anti-PD-1 drugs such as </w:t>
      </w:r>
      <w:proofErr w:type="spellStart"/>
      <w:r w:rsidR="00ED240E" w:rsidRPr="00D8075A">
        <w:t>nivolumab</w:t>
      </w:r>
      <w:proofErr w:type="spellEnd"/>
      <w:r w:rsidR="00ED240E" w:rsidRPr="00D8075A">
        <w:t xml:space="preserve"> and </w:t>
      </w:r>
      <w:r w:rsidR="0022338D" w:rsidRPr="00D8075A">
        <w:t>pembrolizumab that</w:t>
      </w:r>
      <w:r w:rsidR="006B263F" w:rsidRPr="00D8075A">
        <w:t xml:space="preserve"> show </w:t>
      </w:r>
      <w:r w:rsidR="00E54069" w:rsidRPr="00D8075A">
        <w:t>this class of drugs are effective in the treatment of MCC</w:t>
      </w:r>
      <w:r w:rsidR="00ED240E" w:rsidRPr="00D8075A">
        <w:t>.</w:t>
      </w:r>
    </w:p>
    <w:p w:rsidR="008502A2" w:rsidRPr="00D8075A" w:rsidRDefault="00B063BC" w:rsidP="00C020EB">
      <w:pPr>
        <w:numPr>
          <w:ilvl w:val="1"/>
          <w:numId w:val="1"/>
        </w:numPr>
        <w:spacing w:after="120"/>
        <w:rPr>
          <w:rFonts w:asciiTheme="minorHAnsi" w:hAnsiTheme="minorHAnsi"/>
          <w:bCs/>
        </w:rPr>
      </w:pPr>
      <w:r w:rsidRPr="00D8075A">
        <w:rPr>
          <w:rFonts w:asciiTheme="minorHAnsi" w:hAnsiTheme="minorHAnsi"/>
          <w:bCs/>
        </w:rPr>
        <w:t xml:space="preserve">The PBAC considered that the claim of superior effectiveness compared with chemotherapy was </w:t>
      </w:r>
      <w:r w:rsidR="00166FCE" w:rsidRPr="00D8075A">
        <w:rPr>
          <w:rFonts w:asciiTheme="minorHAnsi" w:hAnsiTheme="minorHAnsi"/>
          <w:bCs/>
        </w:rPr>
        <w:t>reasonable</w:t>
      </w:r>
      <w:r w:rsidRPr="00D8075A">
        <w:rPr>
          <w:rFonts w:asciiTheme="minorHAnsi" w:hAnsiTheme="minorHAnsi"/>
          <w:bCs/>
        </w:rPr>
        <w:t xml:space="preserve">. </w:t>
      </w:r>
      <w:r w:rsidR="00276A42" w:rsidRPr="00D8075A">
        <w:rPr>
          <w:rFonts w:asciiTheme="minorHAnsi" w:hAnsiTheme="minorHAnsi"/>
          <w:bCs/>
        </w:rPr>
        <w:t xml:space="preserve">In the second line setting, </w:t>
      </w:r>
      <w:r w:rsidR="00133E79" w:rsidRPr="00D8075A">
        <w:rPr>
          <w:rFonts w:asciiTheme="minorHAnsi" w:hAnsiTheme="minorHAnsi"/>
          <w:szCs w:val="20"/>
        </w:rPr>
        <w:t xml:space="preserve">the PBAC </w:t>
      </w:r>
      <w:r w:rsidR="003E5ACE" w:rsidRPr="00D8075A">
        <w:rPr>
          <w:rFonts w:asciiTheme="minorHAnsi" w:hAnsiTheme="minorHAnsi"/>
          <w:szCs w:val="20"/>
        </w:rPr>
        <w:t>noted PFS at 1 year</w:t>
      </w:r>
      <w:r w:rsidR="0041173A" w:rsidRPr="00D8075A">
        <w:rPr>
          <w:rFonts w:asciiTheme="minorHAnsi" w:hAnsiTheme="minorHAnsi"/>
          <w:szCs w:val="20"/>
        </w:rPr>
        <w:t xml:space="preserve"> with avelumab was 30% compared with 0% for standard of care, and OS at 6 months was 70% compared with approximately 30%, and at 12 months was 50% compared with 0%</w:t>
      </w:r>
      <w:r w:rsidR="00685ACC" w:rsidRPr="00D8075A">
        <w:rPr>
          <w:rFonts w:asciiTheme="minorHAnsi" w:hAnsiTheme="minorHAnsi"/>
          <w:bCs/>
        </w:rPr>
        <w:t>.</w:t>
      </w:r>
      <w:r w:rsidR="0041173A" w:rsidRPr="00D8075A">
        <w:rPr>
          <w:rFonts w:asciiTheme="minorHAnsi" w:hAnsiTheme="minorHAnsi"/>
          <w:bCs/>
        </w:rPr>
        <w:t xml:space="preserve"> The PBAC also noted for responders, an extended duration of benefit with the median duration of response not reached in the analysis based on a </w:t>
      </w:r>
      <w:r w:rsidR="008C5628" w:rsidRPr="00D8075A">
        <w:rPr>
          <w:rFonts w:asciiTheme="minorHAnsi" w:hAnsiTheme="minorHAnsi" w:cstheme="minorHAnsi"/>
          <w:bCs/>
        </w:rPr>
        <w:t>≥</w:t>
      </w:r>
      <w:r w:rsidR="00271CC7" w:rsidRPr="00D8075A">
        <w:rPr>
          <w:rFonts w:asciiTheme="minorHAnsi" w:hAnsiTheme="minorHAnsi"/>
          <w:bCs/>
        </w:rPr>
        <w:t>24 months of follow-up.</w:t>
      </w:r>
      <w:r w:rsidR="00685ACC" w:rsidRPr="00D8075A">
        <w:rPr>
          <w:rFonts w:asciiTheme="minorHAnsi" w:hAnsiTheme="minorHAnsi"/>
          <w:bCs/>
        </w:rPr>
        <w:t xml:space="preserve"> </w:t>
      </w:r>
      <w:r w:rsidR="00531B09" w:rsidRPr="00D8075A">
        <w:rPr>
          <w:rFonts w:asciiTheme="minorHAnsi" w:hAnsiTheme="minorHAnsi"/>
          <w:bCs/>
        </w:rPr>
        <w:t xml:space="preserve">In the first line setting, the PBAC noted that JAVELIN </w:t>
      </w:r>
      <w:r w:rsidR="001E2E7D" w:rsidRPr="00D8075A">
        <w:rPr>
          <w:rFonts w:asciiTheme="minorHAnsi" w:hAnsiTheme="minorHAnsi"/>
          <w:bCs/>
        </w:rPr>
        <w:t xml:space="preserve">Merkel 200 </w:t>
      </w:r>
      <w:r w:rsidR="00531B09" w:rsidRPr="00D8075A">
        <w:rPr>
          <w:rFonts w:asciiTheme="minorHAnsi" w:hAnsiTheme="minorHAnsi"/>
          <w:bCs/>
        </w:rPr>
        <w:t xml:space="preserve">study part B only had 30 patients and the data was less mature. However, the results were favourable towards avelumab relative to </w:t>
      </w:r>
      <w:r w:rsidR="008C5628" w:rsidRPr="00D8075A">
        <w:rPr>
          <w:rFonts w:asciiTheme="minorHAnsi" w:hAnsiTheme="minorHAnsi"/>
          <w:bCs/>
        </w:rPr>
        <w:t>standard of care (</w:t>
      </w:r>
      <w:r w:rsidR="00531B09" w:rsidRPr="00D8075A">
        <w:rPr>
          <w:rFonts w:asciiTheme="minorHAnsi" w:hAnsiTheme="minorHAnsi"/>
          <w:bCs/>
        </w:rPr>
        <w:t xml:space="preserve">Study Obs001 and </w:t>
      </w:r>
      <w:proofErr w:type="spellStart"/>
      <w:r w:rsidR="00531B09" w:rsidRPr="00D8075A">
        <w:rPr>
          <w:rFonts w:asciiTheme="minorHAnsi" w:hAnsiTheme="minorHAnsi"/>
          <w:bCs/>
        </w:rPr>
        <w:t>Iyer</w:t>
      </w:r>
      <w:proofErr w:type="spellEnd"/>
      <w:r w:rsidR="00531B09" w:rsidRPr="00D8075A">
        <w:rPr>
          <w:rFonts w:asciiTheme="minorHAnsi" w:hAnsiTheme="minorHAnsi"/>
          <w:bCs/>
        </w:rPr>
        <w:t xml:space="preserve"> 2016</w:t>
      </w:r>
      <w:r w:rsidR="008C5628" w:rsidRPr="00D8075A">
        <w:rPr>
          <w:rFonts w:asciiTheme="minorHAnsi" w:hAnsiTheme="minorHAnsi"/>
          <w:bCs/>
        </w:rPr>
        <w:t>)</w:t>
      </w:r>
      <w:r w:rsidR="00531B09" w:rsidRPr="00D8075A">
        <w:rPr>
          <w:rFonts w:asciiTheme="minorHAnsi" w:hAnsiTheme="minorHAnsi"/>
          <w:bCs/>
        </w:rPr>
        <w:t xml:space="preserve"> demonstrating improved ORR (50%-51% vs. 29%-55%), a higher CR rate (16%-18% vs. 13%-14%), improved duration of response (11.3 </w:t>
      </w:r>
      <w:r w:rsidR="00531B09" w:rsidRPr="00D8075A">
        <w:rPr>
          <w:rFonts w:asciiTheme="minorHAnsi" w:hAnsiTheme="minorHAnsi"/>
          <w:bCs/>
        </w:rPr>
        <w:lastRenderedPageBreak/>
        <w:t>months vs 2.8-6.7 months), and improved 6-month OS (83% vs. 67%).</w:t>
      </w:r>
      <w:r w:rsidR="00C020EB" w:rsidRPr="00D8075A">
        <w:rPr>
          <w:rFonts w:asciiTheme="minorHAnsi" w:hAnsiTheme="minorHAnsi"/>
          <w:bCs/>
        </w:rPr>
        <w:t xml:space="preserve"> Additionally, the PBAC noted that the durable response rate (DRR) was higher in the first-line cohort (37.4%) than in the second-line and later cohort (29.1%) of the JAVELIN</w:t>
      </w:r>
      <w:r w:rsidR="001E2E7D" w:rsidRPr="00D8075A">
        <w:rPr>
          <w:rFonts w:asciiTheme="minorHAnsi" w:hAnsiTheme="minorHAnsi"/>
          <w:bCs/>
        </w:rPr>
        <w:t xml:space="preserve"> Merkel 200</w:t>
      </w:r>
      <w:r w:rsidR="00C020EB" w:rsidRPr="00D8075A">
        <w:rPr>
          <w:rFonts w:asciiTheme="minorHAnsi" w:hAnsiTheme="minorHAnsi"/>
          <w:bCs/>
        </w:rPr>
        <w:t xml:space="preserve"> study, and this is consistent with the claim that avelumab may provide greater benefit in the first-line </w:t>
      </w:r>
      <w:r w:rsidR="008C5628" w:rsidRPr="00D8075A">
        <w:rPr>
          <w:rFonts w:asciiTheme="minorHAnsi" w:hAnsiTheme="minorHAnsi"/>
          <w:bCs/>
        </w:rPr>
        <w:t>compared with</w:t>
      </w:r>
      <w:r w:rsidR="00C020EB" w:rsidRPr="00D8075A">
        <w:rPr>
          <w:rFonts w:asciiTheme="minorHAnsi" w:hAnsiTheme="minorHAnsi"/>
          <w:bCs/>
        </w:rPr>
        <w:t xml:space="preserve"> second-line and later setting.</w:t>
      </w:r>
      <w:r w:rsidR="00C53439" w:rsidRPr="00D8075A">
        <w:rPr>
          <w:rFonts w:asciiTheme="minorHAnsi" w:hAnsiTheme="minorHAnsi"/>
          <w:bCs/>
        </w:rPr>
        <w:t xml:space="preserve"> The PBAC noted that this was consistent with the advice from the sponsor hearing.</w:t>
      </w:r>
    </w:p>
    <w:p w:rsidR="009E124F" w:rsidRPr="00D8075A" w:rsidRDefault="009E124F" w:rsidP="009E124F">
      <w:pPr>
        <w:numPr>
          <w:ilvl w:val="1"/>
          <w:numId w:val="1"/>
        </w:numPr>
        <w:spacing w:after="120"/>
        <w:rPr>
          <w:rFonts w:asciiTheme="minorHAnsi" w:hAnsiTheme="minorHAnsi"/>
          <w:bCs/>
        </w:rPr>
      </w:pPr>
      <w:r w:rsidRPr="00D8075A">
        <w:rPr>
          <w:rFonts w:asciiTheme="minorHAnsi" w:hAnsiTheme="minorHAnsi"/>
          <w:bCs/>
        </w:rPr>
        <w:t xml:space="preserve">The PBAC considered that the claim of non-inferior safety compared with chemotherapy was </w:t>
      </w:r>
      <w:r w:rsidR="008C5628" w:rsidRPr="00D8075A">
        <w:rPr>
          <w:rFonts w:asciiTheme="minorHAnsi" w:hAnsiTheme="minorHAnsi"/>
          <w:szCs w:val="20"/>
        </w:rPr>
        <w:t>reasonable.</w:t>
      </w:r>
      <w:r w:rsidRPr="00D8075A">
        <w:rPr>
          <w:rFonts w:asciiTheme="minorHAnsi" w:hAnsiTheme="minorHAnsi"/>
          <w:bCs/>
        </w:rPr>
        <w:t xml:space="preserve"> Although a formal comparison was not possible</w:t>
      </w:r>
      <w:r w:rsidR="003C0C9E" w:rsidRPr="00D8075A">
        <w:rPr>
          <w:rFonts w:asciiTheme="minorHAnsi" w:hAnsiTheme="minorHAnsi"/>
          <w:bCs/>
        </w:rPr>
        <w:t xml:space="preserve"> given </w:t>
      </w:r>
      <w:r w:rsidR="004267A4" w:rsidRPr="00D8075A">
        <w:rPr>
          <w:rFonts w:asciiTheme="minorHAnsi" w:hAnsiTheme="minorHAnsi"/>
          <w:bCs/>
        </w:rPr>
        <w:t xml:space="preserve">the </w:t>
      </w:r>
      <w:r w:rsidR="003C0C9E" w:rsidRPr="00D8075A">
        <w:rPr>
          <w:rFonts w:asciiTheme="minorHAnsi" w:hAnsiTheme="minorHAnsi"/>
          <w:bCs/>
        </w:rPr>
        <w:t>limited data available</w:t>
      </w:r>
      <w:r w:rsidRPr="00D8075A">
        <w:rPr>
          <w:rFonts w:asciiTheme="minorHAnsi" w:hAnsiTheme="minorHAnsi"/>
          <w:bCs/>
        </w:rPr>
        <w:t xml:space="preserve">, the PBAC noted </w:t>
      </w:r>
      <w:r w:rsidR="008C5628" w:rsidRPr="00D8075A">
        <w:rPr>
          <w:rFonts w:asciiTheme="minorHAnsi" w:hAnsiTheme="minorHAnsi"/>
          <w:szCs w:val="20"/>
        </w:rPr>
        <w:t xml:space="preserve">the different mechanism of action of avelumab versus chemotherapy, and </w:t>
      </w:r>
      <w:r w:rsidRPr="00D8075A">
        <w:rPr>
          <w:rFonts w:asciiTheme="minorHAnsi" w:hAnsiTheme="minorHAnsi"/>
          <w:bCs/>
        </w:rPr>
        <w:t xml:space="preserve">the TGA Delegate’s </w:t>
      </w:r>
      <w:r w:rsidR="008C5628" w:rsidRPr="00D8075A">
        <w:rPr>
          <w:rFonts w:asciiTheme="minorHAnsi" w:hAnsiTheme="minorHAnsi"/>
          <w:bCs/>
        </w:rPr>
        <w:t xml:space="preserve">view </w:t>
      </w:r>
      <w:r w:rsidRPr="00D8075A">
        <w:rPr>
          <w:rFonts w:asciiTheme="minorHAnsi" w:hAnsiTheme="minorHAnsi"/>
          <w:bCs/>
        </w:rPr>
        <w:t>that for most patients (especially the elderly with comorbid conditions), avelumab is probably more tolerable than platinum-based chemotherapy.</w:t>
      </w:r>
    </w:p>
    <w:p w:rsidR="00615CBE" w:rsidRPr="00D8075A" w:rsidRDefault="00055AD8" w:rsidP="009E124F">
      <w:pPr>
        <w:numPr>
          <w:ilvl w:val="1"/>
          <w:numId w:val="1"/>
        </w:numPr>
        <w:spacing w:after="120"/>
        <w:rPr>
          <w:rFonts w:asciiTheme="minorHAnsi" w:hAnsiTheme="minorHAnsi"/>
          <w:bCs/>
        </w:rPr>
      </w:pPr>
      <w:r w:rsidRPr="00D8075A">
        <w:rPr>
          <w:rFonts w:asciiTheme="minorHAnsi" w:hAnsiTheme="minorHAnsi"/>
          <w:bCs/>
        </w:rPr>
        <w:t xml:space="preserve">The PBAC noted that the economic model comparing avelumab and chemotherapy </w:t>
      </w:r>
      <w:r w:rsidR="00865F21" w:rsidRPr="00D8075A">
        <w:t>was based on non-randomised</w:t>
      </w:r>
      <w:r w:rsidR="002E798A" w:rsidRPr="00D8075A">
        <w:t>,</w:t>
      </w:r>
      <w:r w:rsidR="00865F21" w:rsidRPr="00D8075A">
        <w:t xml:space="preserve"> observational, open-label studies that may be biased due to observed and unobserved confounders. </w:t>
      </w:r>
      <w:r w:rsidR="009B7FF4" w:rsidRPr="00D8075A">
        <w:t>The PBAC noted that the model was</w:t>
      </w:r>
      <w:r w:rsidR="002E798A" w:rsidRPr="00D8075A">
        <w:t xml:space="preserve"> particularly</w:t>
      </w:r>
      <w:r w:rsidR="009B7FF4" w:rsidRPr="00D8075A">
        <w:t xml:space="preserve"> sensitive to the time horizon and the duration of </w:t>
      </w:r>
      <w:r w:rsidR="008C5628" w:rsidRPr="00D8075A">
        <w:t xml:space="preserve">avelumab </w:t>
      </w:r>
      <w:r w:rsidR="009B7FF4" w:rsidRPr="00D8075A">
        <w:t>treatment.</w:t>
      </w:r>
    </w:p>
    <w:p w:rsidR="00865F21" w:rsidRPr="00D8075A" w:rsidRDefault="009A0F3E" w:rsidP="00E52E0C">
      <w:pPr>
        <w:numPr>
          <w:ilvl w:val="1"/>
          <w:numId w:val="1"/>
        </w:numPr>
        <w:spacing w:after="120"/>
        <w:rPr>
          <w:rFonts w:asciiTheme="minorHAnsi" w:hAnsiTheme="minorHAnsi"/>
          <w:bCs/>
        </w:rPr>
      </w:pPr>
      <w:r w:rsidRPr="00D8075A">
        <w:t>The PBAC noted the magnitude of the incremental benefit with avelumab was uncertain given the clinical evidence base and that extrapolation of the trial results further increased the extent of the uncertainty. The PBAC therefore considered that a 7 year time horizon was not appropriate for the base case analysis and that a 5 year time horizon should be used.</w:t>
      </w:r>
    </w:p>
    <w:p w:rsidR="00324A62" w:rsidRPr="00D8075A" w:rsidRDefault="009F270D" w:rsidP="00C3432B">
      <w:pPr>
        <w:numPr>
          <w:ilvl w:val="1"/>
          <w:numId w:val="1"/>
        </w:numPr>
        <w:spacing w:after="120"/>
        <w:rPr>
          <w:rFonts w:asciiTheme="minorHAnsi" w:hAnsiTheme="minorHAnsi"/>
          <w:bCs/>
        </w:rPr>
      </w:pPr>
      <w:r w:rsidRPr="00D8075A">
        <w:rPr>
          <w:rFonts w:asciiTheme="minorHAnsi" w:hAnsiTheme="minorHAnsi"/>
          <w:bCs/>
        </w:rPr>
        <w:t xml:space="preserve">The PBAC considered there was </w:t>
      </w:r>
      <w:r w:rsidR="002E798A" w:rsidRPr="00D8075A">
        <w:rPr>
          <w:rFonts w:asciiTheme="minorHAnsi" w:hAnsiTheme="minorHAnsi"/>
          <w:bCs/>
        </w:rPr>
        <w:t xml:space="preserve">significant </w:t>
      </w:r>
      <w:r w:rsidRPr="00D8075A">
        <w:rPr>
          <w:rFonts w:asciiTheme="minorHAnsi" w:hAnsiTheme="minorHAnsi"/>
          <w:bCs/>
        </w:rPr>
        <w:t>uncertainty surrounding the duration of treatment</w:t>
      </w:r>
      <w:r w:rsidR="001B68C4" w:rsidRPr="00D8075A">
        <w:rPr>
          <w:rFonts w:asciiTheme="minorHAnsi" w:hAnsiTheme="minorHAnsi"/>
          <w:bCs/>
        </w:rPr>
        <w:t xml:space="preserve"> </w:t>
      </w:r>
      <w:r w:rsidR="009A0F3E" w:rsidRPr="00D8075A">
        <w:rPr>
          <w:rFonts w:asciiTheme="minorHAnsi" w:hAnsiTheme="minorHAnsi"/>
          <w:bCs/>
        </w:rPr>
        <w:t xml:space="preserve">assumed </w:t>
      </w:r>
      <w:r w:rsidR="001B68C4" w:rsidRPr="00D8075A">
        <w:rPr>
          <w:rFonts w:asciiTheme="minorHAnsi" w:hAnsiTheme="minorHAnsi"/>
          <w:bCs/>
        </w:rPr>
        <w:t>in the model</w:t>
      </w:r>
      <w:r w:rsidRPr="00D8075A">
        <w:rPr>
          <w:rFonts w:asciiTheme="minorHAnsi" w:hAnsiTheme="minorHAnsi"/>
          <w:bCs/>
        </w:rPr>
        <w:t xml:space="preserve">. </w:t>
      </w:r>
      <w:r w:rsidR="00667085" w:rsidRPr="00D8075A">
        <w:rPr>
          <w:rFonts w:asciiTheme="minorHAnsi" w:hAnsiTheme="minorHAnsi"/>
          <w:bCs/>
        </w:rPr>
        <w:t xml:space="preserve">The PBAC noted the duration of treatment with avelumab was based on time on treatment in the JAVELIN </w:t>
      </w:r>
      <w:r w:rsidR="008E70C8" w:rsidRPr="00D8075A">
        <w:rPr>
          <w:rFonts w:asciiTheme="minorHAnsi" w:hAnsiTheme="minorHAnsi"/>
          <w:bCs/>
        </w:rPr>
        <w:t>study</w:t>
      </w:r>
      <w:r w:rsidR="00420F25" w:rsidRPr="00D8075A">
        <w:rPr>
          <w:rFonts w:asciiTheme="minorHAnsi" w:hAnsiTheme="minorHAnsi"/>
          <w:bCs/>
        </w:rPr>
        <w:t xml:space="preserve"> and</w:t>
      </w:r>
      <w:r w:rsidR="00667085" w:rsidRPr="00D8075A">
        <w:rPr>
          <w:rFonts w:asciiTheme="minorHAnsi" w:hAnsiTheme="minorHAnsi"/>
          <w:bCs/>
        </w:rPr>
        <w:t xml:space="preserve"> extrapolated using a log-logistic function. </w:t>
      </w:r>
      <w:r w:rsidR="009A0F3E" w:rsidRPr="00D8075A">
        <w:rPr>
          <w:rFonts w:asciiTheme="minorHAnsi" w:hAnsiTheme="minorHAnsi"/>
          <w:bCs/>
        </w:rPr>
        <w:t>T</w:t>
      </w:r>
      <w:r w:rsidR="00667085" w:rsidRPr="00D8075A">
        <w:rPr>
          <w:rFonts w:asciiTheme="minorHAnsi" w:hAnsiTheme="minorHAnsi"/>
          <w:bCs/>
        </w:rPr>
        <w:t xml:space="preserve">he submission assumed the time on treatment did not exceed PFS, </w:t>
      </w:r>
      <w:r w:rsidR="009A0F3E" w:rsidRPr="00D8075A">
        <w:rPr>
          <w:rFonts w:asciiTheme="minorHAnsi" w:hAnsiTheme="minorHAnsi"/>
          <w:bCs/>
        </w:rPr>
        <w:t>and</w:t>
      </w:r>
      <w:r w:rsidR="00667085" w:rsidRPr="00D8075A">
        <w:rPr>
          <w:rFonts w:asciiTheme="minorHAnsi" w:hAnsiTheme="minorHAnsi"/>
          <w:bCs/>
        </w:rPr>
        <w:t xml:space="preserve"> that 5% of patients remain on treatment after two years and continue on treatment until a maximum of five years.</w:t>
      </w:r>
      <w:r w:rsidR="00EB7A19" w:rsidRPr="00D8075A">
        <w:rPr>
          <w:rFonts w:asciiTheme="minorHAnsi" w:hAnsiTheme="minorHAnsi"/>
          <w:bCs/>
        </w:rPr>
        <w:t xml:space="preserve"> </w:t>
      </w:r>
      <w:r w:rsidRPr="00D8075A">
        <w:rPr>
          <w:rFonts w:asciiTheme="minorHAnsi" w:hAnsiTheme="minorHAnsi"/>
          <w:bCs/>
        </w:rPr>
        <w:t xml:space="preserve">The PBAC </w:t>
      </w:r>
      <w:r w:rsidR="00EB7A19" w:rsidRPr="00D8075A">
        <w:rPr>
          <w:rFonts w:asciiTheme="minorHAnsi" w:hAnsiTheme="minorHAnsi"/>
          <w:bCs/>
        </w:rPr>
        <w:t xml:space="preserve">noted ESC’s advice that it is likely that patients who respond to therapy will have </w:t>
      </w:r>
      <w:proofErr w:type="gramStart"/>
      <w:r w:rsidR="00EB7A19" w:rsidRPr="00D8075A">
        <w:rPr>
          <w:rFonts w:asciiTheme="minorHAnsi" w:hAnsiTheme="minorHAnsi"/>
          <w:bCs/>
        </w:rPr>
        <w:t>an extended</w:t>
      </w:r>
      <w:proofErr w:type="gramEnd"/>
      <w:r w:rsidR="00EB7A19" w:rsidRPr="00D8075A">
        <w:rPr>
          <w:rFonts w:asciiTheme="minorHAnsi" w:hAnsiTheme="minorHAnsi"/>
          <w:bCs/>
        </w:rPr>
        <w:t xml:space="preserve"> treatment duration, given the long tail observed in the Kaplan-Meier </w:t>
      </w:r>
      <w:r w:rsidR="009A0F3E" w:rsidRPr="00D8075A">
        <w:rPr>
          <w:rFonts w:asciiTheme="minorHAnsi" w:hAnsiTheme="minorHAnsi"/>
          <w:bCs/>
        </w:rPr>
        <w:t xml:space="preserve">PFS </w:t>
      </w:r>
      <w:r w:rsidR="00EB7A19" w:rsidRPr="00D8075A">
        <w:rPr>
          <w:rFonts w:asciiTheme="minorHAnsi" w:hAnsiTheme="minorHAnsi"/>
          <w:bCs/>
        </w:rPr>
        <w:t xml:space="preserve">curves of the JAVELIN study. </w:t>
      </w:r>
      <w:r w:rsidR="009A0F3E" w:rsidRPr="00D8075A">
        <w:rPr>
          <w:rFonts w:asciiTheme="minorHAnsi" w:hAnsiTheme="minorHAnsi"/>
          <w:bCs/>
        </w:rPr>
        <w:t>T</w:t>
      </w:r>
      <w:r w:rsidR="009A0F3E" w:rsidRPr="00D8075A">
        <w:rPr>
          <w:rFonts w:asciiTheme="minorHAnsi" w:eastAsiaTheme="minorHAnsi" w:hAnsiTheme="minorHAnsi" w:cstheme="minorBidi"/>
          <w:snapToGrid/>
        </w:rPr>
        <w:t>he PBAC considered that the average treatment duration would be longer in clinical practice with a list</w:t>
      </w:r>
      <w:r w:rsidR="00562CC0" w:rsidRPr="00D8075A">
        <w:rPr>
          <w:rFonts w:asciiTheme="minorHAnsi" w:eastAsiaTheme="minorHAnsi" w:hAnsiTheme="minorHAnsi" w:cstheme="minorBidi"/>
          <w:snapToGrid/>
        </w:rPr>
        <w:t>ing agnostic to treatment line.</w:t>
      </w:r>
      <w:r w:rsidR="002631F9" w:rsidRPr="00D8075A">
        <w:rPr>
          <w:rFonts w:asciiTheme="minorHAnsi" w:hAnsiTheme="minorHAnsi"/>
          <w:bCs/>
        </w:rPr>
        <w:t xml:space="preserve"> </w:t>
      </w:r>
      <w:r w:rsidR="009A0F3E" w:rsidRPr="00D8075A">
        <w:rPr>
          <w:rFonts w:asciiTheme="minorHAnsi" w:hAnsiTheme="minorHAnsi"/>
          <w:bCs/>
        </w:rPr>
        <w:t xml:space="preserve">The PBAC noted the sponsor proposed that the uncertainty associated with the treatment duration be </w:t>
      </w:r>
      <w:r w:rsidR="00562CC0" w:rsidRPr="00D8075A">
        <w:rPr>
          <w:rFonts w:cs="Calibri"/>
          <w:snapToGrid/>
          <w:szCs w:val="24"/>
          <w:lang w:eastAsia="en-AU"/>
        </w:rPr>
        <w:t>addressed through a</w:t>
      </w:r>
      <w:r w:rsidR="00323B43" w:rsidRPr="00D8075A">
        <w:rPr>
          <w:rFonts w:cs="Calibri"/>
          <w:snapToGrid/>
          <w:szCs w:val="24"/>
          <w:lang w:eastAsia="en-AU"/>
        </w:rPr>
        <w:t xml:space="preserve"> risk sharing arrangement</w:t>
      </w:r>
      <w:r w:rsidR="009A0F3E" w:rsidRPr="00D8075A">
        <w:rPr>
          <w:rFonts w:cs="Calibri"/>
          <w:snapToGrid/>
          <w:szCs w:val="24"/>
          <w:lang w:eastAsia="en-AU"/>
        </w:rPr>
        <w:t xml:space="preserve"> </w:t>
      </w:r>
      <w:r w:rsidR="00323B43" w:rsidRPr="00D8075A">
        <w:rPr>
          <w:rFonts w:cs="Calibri"/>
          <w:snapToGrid/>
          <w:szCs w:val="24"/>
          <w:lang w:eastAsia="en-AU"/>
        </w:rPr>
        <w:t>(</w:t>
      </w:r>
      <w:r w:rsidR="009A0F3E" w:rsidRPr="00D8075A">
        <w:rPr>
          <w:rFonts w:cs="Calibri"/>
          <w:snapToGrid/>
          <w:szCs w:val="24"/>
          <w:lang w:eastAsia="en-AU"/>
        </w:rPr>
        <w:t>RSA</w:t>
      </w:r>
      <w:r w:rsidR="00323B43" w:rsidRPr="00D8075A">
        <w:rPr>
          <w:rFonts w:cs="Calibri"/>
          <w:snapToGrid/>
          <w:szCs w:val="24"/>
          <w:lang w:eastAsia="en-AU"/>
        </w:rPr>
        <w:t>)</w:t>
      </w:r>
      <w:r w:rsidR="009A0F3E" w:rsidRPr="00D8075A">
        <w:rPr>
          <w:rFonts w:cs="Calibri"/>
          <w:snapToGrid/>
          <w:szCs w:val="24"/>
          <w:lang w:eastAsia="en-AU"/>
        </w:rPr>
        <w:t xml:space="preserve">. </w:t>
      </w:r>
    </w:p>
    <w:p w:rsidR="008351A8" w:rsidRPr="00D8075A" w:rsidRDefault="00324A62" w:rsidP="001A23F8">
      <w:pPr>
        <w:numPr>
          <w:ilvl w:val="1"/>
          <w:numId w:val="1"/>
        </w:numPr>
        <w:spacing w:after="120"/>
        <w:rPr>
          <w:rFonts w:asciiTheme="minorHAnsi" w:hAnsiTheme="minorHAnsi"/>
          <w:bCs/>
        </w:rPr>
      </w:pPr>
      <w:r w:rsidRPr="00D8075A">
        <w:rPr>
          <w:rFonts w:asciiTheme="minorHAnsi" w:hAnsiTheme="minorHAnsi"/>
          <w:bCs/>
        </w:rPr>
        <w:t>The PBAC considered</w:t>
      </w:r>
      <w:r w:rsidR="00C727DF" w:rsidRPr="00D8075A">
        <w:rPr>
          <w:rFonts w:asciiTheme="minorHAnsi" w:hAnsiTheme="minorHAnsi"/>
          <w:bCs/>
        </w:rPr>
        <w:t>, given the uncertainties associated with the magnitude of the clinical benefit</w:t>
      </w:r>
      <w:r w:rsidRPr="00D8075A">
        <w:rPr>
          <w:rFonts w:asciiTheme="minorHAnsi" w:hAnsiTheme="minorHAnsi"/>
          <w:bCs/>
        </w:rPr>
        <w:t xml:space="preserve"> </w:t>
      </w:r>
      <w:r w:rsidR="00C727DF" w:rsidRPr="00D8075A">
        <w:rPr>
          <w:rFonts w:asciiTheme="minorHAnsi" w:hAnsiTheme="minorHAnsi"/>
          <w:bCs/>
        </w:rPr>
        <w:t xml:space="preserve">and treatment duration, </w:t>
      </w:r>
      <w:r w:rsidRPr="00D8075A">
        <w:t xml:space="preserve">an ICER </w:t>
      </w:r>
      <w:r w:rsidR="00C727DF" w:rsidRPr="00D8075A">
        <w:rPr>
          <w:rFonts w:asciiTheme="minorHAnsi" w:hAnsiTheme="minorHAnsi"/>
          <w:bCs/>
        </w:rPr>
        <w:t>at or below</w:t>
      </w:r>
      <w:r w:rsidR="00C727DF" w:rsidRPr="00D8075A" w:rsidDel="00324A62">
        <w:t xml:space="preserve"> </w:t>
      </w:r>
      <w:r w:rsidRPr="00D8075A">
        <w:t>$</w:t>
      </w:r>
      <w:r w:rsidR="001A23F8" w:rsidRPr="001A23F8">
        <w:t>45,000/QALY - $75,000/QALY</w:t>
      </w:r>
      <w:r w:rsidRPr="00D8075A">
        <w:t xml:space="preserve"> would be </w:t>
      </w:r>
      <w:r w:rsidR="00C727DF" w:rsidRPr="00D8075A">
        <w:t xml:space="preserve">required with a model time horizon of 5 years for avelumab to be considered cost-effective. </w:t>
      </w:r>
    </w:p>
    <w:p w:rsidR="008B4296" w:rsidRPr="00D8075A" w:rsidRDefault="00324A62" w:rsidP="002631F9">
      <w:pPr>
        <w:numPr>
          <w:ilvl w:val="1"/>
          <w:numId w:val="1"/>
        </w:numPr>
        <w:spacing w:after="120"/>
        <w:rPr>
          <w:rFonts w:asciiTheme="minorHAnsi" w:hAnsiTheme="minorHAnsi"/>
          <w:bCs/>
        </w:rPr>
      </w:pPr>
      <w:r w:rsidRPr="00D8075A">
        <w:t xml:space="preserve">The PBAC noted </w:t>
      </w:r>
      <w:r w:rsidR="00C727DF" w:rsidRPr="00D8075A">
        <w:t>estimates of the financial impact were presented</w:t>
      </w:r>
      <w:r w:rsidR="00FB1175" w:rsidRPr="00D8075A">
        <w:t xml:space="preserve"> in the submission</w:t>
      </w:r>
      <w:r w:rsidR="00C727DF" w:rsidRPr="00D8075A">
        <w:t xml:space="preserve"> for a second line listing as well as for a line agnostic listing, and that the treatment duration was assumed to be the same for both scenarios.</w:t>
      </w:r>
      <w:r w:rsidRPr="00D8075A">
        <w:t xml:space="preserve"> </w:t>
      </w:r>
      <w:r w:rsidR="008B4296" w:rsidRPr="00D8075A">
        <w:t xml:space="preserve">The PBAC </w:t>
      </w:r>
      <w:r w:rsidR="00C727DF" w:rsidRPr="00D8075A">
        <w:t xml:space="preserve">also </w:t>
      </w:r>
      <w:r w:rsidR="008B4296" w:rsidRPr="00D8075A">
        <w:t xml:space="preserve">noted DUSC </w:t>
      </w:r>
      <w:r w:rsidR="008B4296" w:rsidRPr="00D8075A">
        <w:lastRenderedPageBreak/>
        <w:t xml:space="preserve">advised that given the potential greater efficacy in the first-line setting, </w:t>
      </w:r>
      <w:r w:rsidR="00C727DF" w:rsidRPr="00D8075A">
        <w:t xml:space="preserve">the average </w:t>
      </w:r>
      <w:r w:rsidR="008B4296" w:rsidRPr="00D8075A">
        <w:t xml:space="preserve">time on treatment </w:t>
      </w:r>
      <w:r w:rsidR="002E798A" w:rsidRPr="00D8075A">
        <w:t xml:space="preserve">may </w:t>
      </w:r>
      <w:r w:rsidR="008B4296" w:rsidRPr="00D8075A">
        <w:t xml:space="preserve">be greater with a line agnostic listing. </w:t>
      </w:r>
    </w:p>
    <w:p w:rsidR="009F6C7D" w:rsidRPr="00D8075A" w:rsidRDefault="009F6C7D" w:rsidP="009F6C7D">
      <w:pPr>
        <w:pStyle w:val="ListParagraph"/>
        <w:numPr>
          <w:ilvl w:val="1"/>
          <w:numId w:val="1"/>
        </w:numPr>
      </w:pPr>
      <w:r w:rsidRPr="00D8075A">
        <w:t xml:space="preserve">The PBAC considered </w:t>
      </w:r>
      <w:r w:rsidR="00C727DF" w:rsidRPr="00D8075A">
        <w:rPr>
          <w:rFonts w:asciiTheme="minorHAnsi" w:hAnsiTheme="minorHAnsi"/>
          <w:bCs/>
        </w:rPr>
        <w:t xml:space="preserve">that a </w:t>
      </w:r>
      <w:r w:rsidR="00323B43" w:rsidRPr="00D8075A">
        <w:rPr>
          <w:rFonts w:asciiTheme="minorHAnsi" w:hAnsiTheme="minorHAnsi"/>
          <w:bCs/>
        </w:rPr>
        <w:t>RSA</w:t>
      </w:r>
      <w:r w:rsidR="00C727DF" w:rsidRPr="00D8075A">
        <w:rPr>
          <w:rFonts w:asciiTheme="minorHAnsi" w:hAnsiTheme="minorHAnsi"/>
          <w:bCs/>
        </w:rPr>
        <w:t xml:space="preserve"> would need to be entered into to manage uncertainties around the uptake rates and time on treatment. The PBAC considered the financial caps should be based on the patient numbers </w:t>
      </w:r>
      <w:r w:rsidR="00FB1175" w:rsidRPr="00D8075A">
        <w:rPr>
          <w:rFonts w:asciiTheme="minorHAnsi" w:hAnsiTheme="minorHAnsi"/>
          <w:bCs/>
        </w:rPr>
        <w:t>estimated</w:t>
      </w:r>
      <w:r w:rsidR="00C727DF" w:rsidRPr="00D8075A">
        <w:rPr>
          <w:rFonts w:asciiTheme="minorHAnsi" w:hAnsiTheme="minorHAnsi"/>
          <w:bCs/>
        </w:rPr>
        <w:t xml:space="preserve"> in the submission for </w:t>
      </w:r>
      <w:r w:rsidR="00FB1175" w:rsidRPr="00D8075A">
        <w:rPr>
          <w:rFonts w:asciiTheme="minorHAnsi" w:hAnsiTheme="minorHAnsi"/>
          <w:bCs/>
        </w:rPr>
        <w:t>a line agnostic listing (</w:t>
      </w:r>
      <w:r w:rsidR="00F540A2">
        <w:rPr>
          <w:rFonts w:asciiTheme="minorHAnsi" w:hAnsiTheme="minorHAnsi"/>
          <w:bCs/>
        </w:rPr>
        <w:t>less than 10,000</w:t>
      </w:r>
      <w:r w:rsidR="00F540A2" w:rsidRPr="00D8075A">
        <w:rPr>
          <w:rFonts w:asciiTheme="minorHAnsi" w:hAnsiTheme="minorHAnsi"/>
          <w:bCs/>
        </w:rPr>
        <w:t xml:space="preserve"> </w:t>
      </w:r>
      <w:r w:rsidR="00BE2C4F" w:rsidRPr="00D8075A">
        <w:rPr>
          <w:rFonts w:asciiTheme="minorHAnsi" w:hAnsiTheme="minorHAnsi"/>
          <w:bCs/>
        </w:rPr>
        <w:t>patients</w:t>
      </w:r>
      <w:r w:rsidR="00FB1175" w:rsidRPr="00D8075A">
        <w:rPr>
          <w:rFonts w:asciiTheme="minorHAnsi" w:hAnsiTheme="minorHAnsi"/>
          <w:bCs/>
        </w:rPr>
        <w:t xml:space="preserve"> in year 1 increasing to </w:t>
      </w:r>
      <w:r w:rsidR="00F540A2">
        <w:rPr>
          <w:rFonts w:asciiTheme="minorHAnsi" w:hAnsiTheme="minorHAnsi"/>
          <w:bCs/>
        </w:rPr>
        <w:t>less than 10,000</w:t>
      </w:r>
      <w:r w:rsidR="00F540A2" w:rsidRPr="00D8075A">
        <w:rPr>
          <w:rFonts w:asciiTheme="minorHAnsi" w:hAnsiTheme="minorHAnsi"/>
          <w:bCs/>
        </w:rPr>
        <w:t xml:space="preserve"> </w:t>
      </w:r>
      <w:r w:rsidR="00BE2C4F" w:rsidRPr="00D8075A">
        <w:rPr>
          <w:rFonts w:asciiTheme="minorHAnsi" w:hAnsiTheme="minorHAnsi"/>
          <w:bCs/>
        </w:rPr>
        <w:t>patients</w:t>
      </w:r>
      <w:r w:rsidR="00FB1175" w:rsidRPr="00D8075A">
        <w:rPr>
          <w:rFonts w:asciiTheme="minorHAnsi" w:hAnsiTheme="minorHAnsi"/>
          <w:bCs/>
        </w:rPr>
        <w:t xml:space="preserve"> in year 6)</w:t>
      </w:r>
      <w:r w:rsidR="00C727DF" w:rsidRPr="00D8075A">
        <w:rPr>
          <w:rFonts w:asciiTheme="minorHAnsi" w:hAnsiTheme="minorHAnsi"/>
          <w:bCs/>
        </w:rPr>
        <w:t xml:space="preserve"> </w:t>
      </w:r>
      <w:r w:rsidR="00FB1175" w:rsidRPr="00D8075A">
        <w:rPr>
          <w:rFonts w:asciiTheme="minorHAnsi" w:hAnsiTheme="minorHAnsi"/>
          <w:bCs/>
        </w:rPr>
        <w:t xml:space="preserve">and that the rebate level should be </w:t>
      </w:r>
      <w:r w:rsidR="00E43539">
        <w:rPr>
          <w:rFonts w:asciiTheme="minorHAnsi" w:hAnsiTheme="minorHAnsi"/>
          <w:bCs/>
          <w:noProof/>
          <w:color w:val="000000"/>
          <w:highlight w:val="black"/>
        </w:rPr>
        <w:t>'''''''</w:t>
      </w:r>
      <w:r w:rsidR="00FB1175" w:rsidRPr="00D8075A">
        <w:rPr>
          <w:rFonts w:asciiTheme="minorHAnsi" w:hAnsiTheme="minorHAnsi"/>
          <w:bCs/>
        </w:rPr>
        <w:t>% for use beyond the caps.</w:t>
      </w:r>
    </w:p>
    <w:p w:rsidR="003426E3" w:rsidRPr="00D8075A" w:rsidRDefault="00E6169B" w:rsidP="00E6169B">
      <w:pPr>
        <w:numPr>
          <w:ilvl w:val="1"/>
          <w:numId w:val="1"/>
        </w:numPr>
        <w:spacing w:after="120"/>
        <w:rPr>
          <w:rFonts w:asciiTheme="minorHAnsi" w:hAnsiTheme="minorHAnsi"/>
          <w:bCs/>
        </w:rPr>
      </w:pPr>
      <w:r w:rsidRPr="00D8075A">
        <w:rPr>
          <w:rFonts w:asciiTheme="minorHAnsi" w:hAnsiTheme="minorHAnsi"/>
          <w:bCs/>
        </w:rPr>
        <w:t xml:space="preserve">Under section 101(3BA) of the </w:t>
      </w:r>
      <w:r w:rsidRPr="00D8075A">
        <w:rPr>
          <w:rFonts w:asciiTheme="minorHAnsi" w:hAnsiTheme="minorHAnsi"/>
          <w:bCs/>
          <w:i/>
        </w:rPr>
        <w:t>National Health Act 1953</w:t>
      </w:r>
      <w:r w:rsidRPr="00D8075A">
        <w:rPr>
          <w:rFonts w:asciiTheme="minorHAnsi" w:hAnsiTheme="minorHAnsi"/>
          <w:bCs/>
        </w:rPr>
        <w:t>, t</w:t>
      </w:r>
      <w:r w:rsidR="003426E3" w:rsidRPr="00D8075A">
        <w:rPr>
          <w:rFonts w:asciiTheme="minorHAnsi" w:hAnsiTheme="minorHAnsi"/>
          <w:bCs/>
        </w:rPr>
        <w:t xml:space="preserve">he PBAC recommended that </w:t>
      </w:r>
      <w:r w:rsidR="009F5482" w:rsidRPr="00D8075A">
        <w:rPr>
          <w:rFonts w:asciiTheme="minorHAnsi" w:hAnsiTheme="minorHAnsi"/>
          <w:bCs/>
        </w:rPr>
        <w:t>avelumab</w:t>
      </w:r>
      <w:r w:rsidR="003426E3" w:rsidRPr="00D8075A">
        <w:rPr>
          <w:rFonts w:asciiTheme="minorHAnsi" w:hAnsiTheme="minorHAnsi"/>
          <w:bCs/>
        </w:rPr>
        <w:t xml:space="preserve"> should</w:t>
      </w:r>
      <w:r w:rsidR="009F5482" w:rsidRPr="00D8075A">
        <w:rPr>
          <w:rFonts w:asciiTheme="minorHAnsi" w:hAnsiTheme="minorHAnsi"/>
          <w:bCs/>
        </w:rPr>
        <w:t xml:space="preserve"> not</w:t>
      </w:r>
      <w:r w:rsidR="003426E3" w:rsidRPr="00D8075A">
        <w:rPr>
          <w:rFonts w:asciiTheme="minorHAnsi" w:hAnsiTheme="minorHAnsi"/>
          <w:bCs/>
        </w:rPr>
        <w:t xml:space="preserve"> be treated as interchangeable on an individual patient basis with any other drugs</w:t>
      </w:r>
      <w:r w:rsidR="009F5482" w:rsidRPr="00D8075A">
        <w:rPr>
          <w:rFonts w:asciiTheme="minorHAnsi" w:hAnsiTheme="minorHAnsi"/>
          <w:bCs/>
        </w:rPr>
        <w:t xml:space="preserve">. </w:t>
      </w:r>
    </w:p>
    <w:p w:rsidR="00DB3473" w:rsidRPr="00D8075A" w:rsidRDefault="00DB3473" w:rsidP="00E6169B">
      <w:pPr>
        <w:numPr>
          <w:ilvl w:val="1"/>
          <w:numId w:val="1"/>
        </w:numPr>
        <w:spacing w:after="120"/>
        <w:rPr>
          <w:rFonts w:asciiTheme="minorHAnsi" w:hAnsiTheme="minorHAnsi"/>
          <w:bCs/>
        </w:rPr>
      </w:pPr>
      <w:r w:rsidRPr="00D8075A">
        <w:rPr>
          <w:rFonts w:asciiTheme="minorHAnsi" w:hAnsiTheme="minorHAnsi"/>
          <w:bCs/>
        </w:rPr>
        <w:t>The PBAC advised that avelumab is not suitable for pres</w:t>
      </w:r>
      <w:r w:rsidR="00AA0EB5" w:rsidRPr="00D8075A">
        <w:rPr>
          <w:rFonts w:asciiTheme="minorHAnsi" w:hAnsiTheme="minorHAnsi"/>
          <w:bCs/>
        </w:rPr>
        <w:t>cribing by nurse practitioners as antineoplastic agents are currently considered to be out of scope for prescribing by nurse practitioners. Medical practitioners have been included as the appropriate prescriber type in the restriction.</w:t>
      </w:r>
    </w:p>
    <w:p w:rsidR="003426E3" w:rsidRPr="00D8075A" w:rsidRDefault="003426E3" w:rsidP="00C3432B">
      <w:pPr>
        <w:numPr>
          <w:ilvl w:val="1"/>
          <w:numId w:val="1"/>
        </w:numPr>
        <w:spacing w:after="120"/>
        <w:rPr>
          <w:rFonts w:asciiTheme="minorHAnsi" w:hAnsiTheme="minorHAnsi"/>
          <w:bCs/>
        </w:rPr>
      </w:pPr>
      <w:r w:rsidRPr="00D8075A">
        <w:rPr>
          <w:rFonts w:asciiTheme="minorHAnsi" w:hAnsiTheme="minorHAnsi"/>
          <w:bCs/>
        </w:rPr>
        <w:t>The PBAC recommended that the Early Supply Rule should not apply</w:t>
      </w:r>
      <w:r w:rsidR="009F5482" w:rsidRPr="00D8075A">
        <w:rPr>
          <w:rFonts w:asciiTheme="minorHAnsi" w:hAnsiTheme="minorHAnsi"/>
          <w:bCs/>
        </w:rPr>
        <w:t xml:space="preserve"> as it currently does not apply to Section 100 Efficient Funding of Chemotherapy listings</w:t>
      </w:r>
      <w:r w:rsidRPr="00D8075A">
        <w:rPr>
          <w:rFonts w:asciiTheme="minorHAnsi" w:hAnsiTheme="minorHAnsi"/>
          <w:bCs/>
        </w:rPr>
        <w:t>.</w:t>
      </w:r>
    </w:p>
    <w:p w:rsidR="003426E3" w:rsidRPr="00D8075A" w:rsidRDefault="003426E3" w:rsidP="00173A09">
      <w:pPr>
        <w:numPr>
          <w:ilvl w:val="1"/>
          <w:numId w:val="1"/>
        </w:numPr>
        <w:spacing w:after="120"/>
        <w:rPr>
          <w:rFonts w:asciiTheme="minorHAnsi" w:hAnsiTheme="minorHAnsi"/>
          <w:bCs/>
          <w:i/>
        </w:rPr>
      </w:pPr>
      <w:r w:rsidRPr="00D8075A">
        <w:rPr>
          <w:rFonts w:asciiTheme="minorHAnsi" w:hAnsiTheme="minorHAnsi"/>
          <w:bCs/>
        </w:rPr>
        <w:t>The PBAC noted that this submission is not eligible for an Independent Review</w:t>
      </w:r>
      <w:r w:rsidR="00173A09" w:rsidRPr="00D8075A">
        <w:rPr>
          <w:rFonts w:asciiTheme="minorHAnsi" w:hAnsiTheme="minorHAnsi"/>
          <w:bCs/>
        </w:rPr>
        <w:t xml:space="preserve"> because it received a positive recommendation.</w:t>
      </w:r>
    </w:p>
    <w:p w:rsidR="003426E3" w:rsidRPr="00D8075A" w:rsidRDefault="003426E3" w:rsidP="003426E3">
      <w:pPr>
        <w:spacing w:before="240"/>
        <w:rPr>
          <w:rFonts w:asciiTheme="minorHAnsi" w:hAnsiTheme="minorHAnsi"/>
          <w:b/>
          <w:bCs/>
        </w:rPr>
      </w:pPr>
      <w:r w:rsidRPr="00D8075A">
        <w:rPr>
          <w:rFonts w:asciiTheme="minorHAnsi" w:hAnsiTheme="minorHAnsi"/>
          <w:b/>
          <w:bCs/>
        </w:rPr>
        <w:t>Outcome:</w:t>
      </w:r>
    </w:p>
    <w:p w:rsidR="003426E3" w:rsidRPr="00D8075A" w:rsidRDefault="003426E3" w:rsidP="003426E3">
      <w:pPr>
        <w:rPr>
          <w:rFonts w:asciiTheme="minorHAnsi" w:hAnsiTheme="minorHAnsi"/>
          <w:bCs/>
        </w:rPr>
      </w:pPr>
      <w:r w:rsidRPr="00D8075A">
        <w:rPr>
          <w:rFonts w:asciiTheme="minorHAnsi" w:hAnsiTheme="minorHAnsi"/>
          <w:bCs/>
        </w:rPr>
        <w:t>Recommended</w:t>
      </w:r>
    </w:p>
    <w:p w:rsidR="003426E3" w:rsidRPr="00C5610D" w:rsidRDefault="003426E3" w:rsidP="00C5610D">
      <w:pPr>
        <w:pStyle w:val="PBACHeading1"/>
        <w:keepNext/>
        <w:spacing w:before="240" w:after="120"/>
        <w:outlineLvl w:val="0"/>
      </w:pPr>
      <w:r w:rsidRPr="00D8075A">
        <w:t>Recommended listing</w:t>
      </w:r>
    </w:p>
    <w:p w:rsidR="006A3CF0" w:rsidRPr="00D8075A" w:rsidRDefault="00EF6063" w:rsidP="006A3CF0">
      <w:pPr>
        <w:numPr>
          <w:ilvl w:val="1"/>
          <w:numId w:val="1"/>
        </w:numPr>
        <w:spacing w:after="120"/>
        <w:rPr>
          <w:rFonts w:asciiTheme="minorHAnsi" w:hAnsiTheme="minorHAnsi"/>
          <w:b/>
          <w:bCs/>
        </w:rPr>
      </w:pPr>
      <w:r w:rsidRPr="00D8075A">
        <w:rPr>
          <w:rFonts w:asciiTheme="minorHAnsi" w:hAnsiTheme="minorHAnsi"/>
          <w:bCs/>
        </w:rPr>
        <w:t>Add new item</w:t>
      </w:r>
      <w:r w:rsidR="003426E3" w:rsidRPr="00D8075A">
        <w:rPr>
          <w:rFonts w:asciiTheme="minorHAnsi" w:hAnsiTheme="minorHAnsi"/>
          <w:bCs/>
        </w:rPr>
        <w:t>:</w:t>
      </w:r>
    </w:p>
    <w:tbl>
      <w:tblPr>
        <w:tblW w:w="9072" w:type="dxa"/>
        <w:tblInd w:w="108" w:type="dxa"/>
        <w:shd w:val="clear" w:color="auto" w:fill="DAEEF3"/>
        <w:tblLayout w:type="fixed"/>
        <w:tblLook w:val="0000" w:firstRow="0" w:lastRow="0" w:firstColumn="0" w:lastColumn="0" w:noHBand="0" w:noVBand="0"/>
      </w:tblPr>
      <w:tblGrid>
        <w:gridCol w:w="3261"/>
        <w:gridCol w:w="850"/>
        <w:gridCol w:w="709"/>
        <w:gridCol w:w="1701"/>
        <w:gridCol w:w="2551"/>
      </w:tblGrid>
      <w:tr w:rsidR="004850D2" w:rsidRPr="00D8075A" w:rsidTr="00F83202">
        <w:trPr>
          <w:cantSplit/>
          <w:trHeight w:val="471"/>
        </w:trPr>
        <w:tc>
          <w:tcPr>
            <w:tcW w:w="3261" w:type="dxa"/>
            <w:tcBorders>
              <w:top w:val="single" w:sz="4" w:space="0" w:color="auto"/>
              <w:left w:val="single" w:sz="4" w:space="0" w:color="auto"/>
              <w:bottom w:val="single" w:sz="4" w:space="0" w:color="auto"/>
            </w:tcBorders>
            <w:shd w:val="clear" w:color="auto" w:fill="auto"/>
          </w:tcPr>
          <w:p w:rsidR="004850D2" w:rsidRPr="00D8075A" w:rsidRDefault="004850D2" w:rsidP="004136AF">
            <w:pPr>
              <w:pStyle w:val="TableText0"/>
              <w:rPr>
                <w:b/>
                <w:szCs w:val="20"/>
              </w:rPr>
            </w:pPr>
            <w:r w:rsidRPr="00D8075A">
              <w:rPr>
                <w:b/>
                <w:szCs w:val="20"/>
              </w:rPr>
              <w:t>Name,</w:t>
            </w:r>
            <w:r w:rsidRPr="00D8075A">
              <w:t xml:space="preserve"> </w:t>
            </w:r>
            <w:r w:rsidRPr="00D8075A">
              <w:rPr>
                <w:b/>
                <w:szCs w:val="20"/>
              </w:rPr>
              <w:t>Restriction,</w:t>
            </w:r>
          </w:p>
          <w:p w:rsidR="004850D2" w:rsidRPr="00D8075A" w:rsidRDefault="004850D2" w:rsidP="004136AF">
            <w:pPr>
              <w:pStyle w:val="TableText0"/>
              <w:rPr>
                <w:b/>
                <w:szCs w:val="20"/>
              </w:rPr>
            </w:pPr>
            <w:r w:rsidRPr="00D8075A">
              <w:rPr>
                <w:b/>
                <w:szCs w:val="20"/>
              </w:rPr>
              <w:t>Manner of administration and form</w:t>
            </w:r>
          </w:p>
        </w:tc>
        <w:tc>
          <w:tcPr>
            <w:tcW w:w="850" w:type="dxa"/>
            <w:tcBorders>
              <w:top w:val="single" w:sz="4" w:space="0" w:color="auto"/>
              <w:bottom w:val="single" w:sz="4" w:space="0" w:color="auto"/>
            </w:tcBorders>
            <w:shd w:val="clear" w:color="auto" w:fill="auto"/>
          </w:tcPr>
          <w:p w:rsidR="004850D2" w:rsidRPr="00D8075A" w:rsidRDefault="004850D2" w:rsidP="004136AF">
            <w:pPr>
              <w:pStyle w:val="TableText0"/>
              <w:rPr>
                <w:b/>
                <w:szCs w:val="20"/>
              </w:rPr>
            </w:pPr>
            <w:r w:rsidRPr="00D8075A">
              <w:rPr>
                <w:b/>
                <w:szCs w:val="20"/>
              </w:rPr>
              <w:t>Max.</w:t>
            </w:r>
            <w:r w:rsidRPr="00D8075A">
              <w:rPr>
                <w:b/>
                <w:szCs w:val="20"/>
              </w:rPr>
              <w:br/>
              <w:t>Amount (units)</w:t>
            </w:r>
          </w:p>
        </w:tc>
        <w:tc>
          <w:tcPr>
            <w:tcW w:w="709" w:type="dxa"/>
            <w:tcBorders>
              <w:top w:val="single" w:sz="4" w:space="0" w:color="auto"/>
              <w:bottom w:val="single" w:sz="4" w:space="0" w:color="auto"/>
            </w:tcBorders>
            <w:shd w:val="clear" w:color="auto" w:fill="auto"/>
          </w:tcPr>
          <w:p w:rsidR="004850D2" w:rsidRPr="00D8075A" w:rsidRDefault="004850D2" w:rsidP="004136AF">
            <w:pPr>
              <w:pStyle w:val="TableText0"/>
              <w:rPr>
                <w:b/>
                <w:szCs w:val="20"/>
              </w:rPr>
            </w:pPr>
            <w:r w:rsidRPr="00D8075A">
              <w:rPr>
                <w:b/>
                <w:szCs w:val="20"/>
              </w:rPr>
              <w:t>№.of</w:t>
            </w:r>
            <w:r w:rsidRPr="00D8075A">
              <w:rPr>
                <w:b/>
                <w:szCs w:val="20"/>
              </w:rPr>
              <w:br/>
              <w:t>Rpts</w:t>
            </w:r>
          </w:p>
        </w:tc>
        <w:tc>
          <w:tcPr>
            <w:tcW w:w="1701" w:type="dxa"/>
            <w:tcBorders>
              <w:top w:val="single" w:sz="4" w:space="0" w:color="auto"/>
              <w:bottom w:val="single" w:sz="4" w:space="0" w:color="auto"/>
            </w:tcBorders>
            <w:shd w:val="clear" w:color="auto" w:fill="auto"/>
          </w:tcPr>
          <w:p w:rsidR="004850D2" w:rsidRPr="00D8075A" w:rsidRDefault="004850D2" w:rsidP="004136AF">
            <w:pPr>
              <w:pStyle w:val="TableText0"/>
              <w:rPr>
                <w:b/>
                <w:szCs w:val="20"/>
              </w:rPr>
            </w:pPr>
            <w:r w:rsidRPr="00D8075A">
              <w:rPr>
                <w:b/>
                <w:szCs w:val="20"/>
              </w:rPr>
              <w:t xml:space="preserve">Proprietary name </w:t>
            </w:r>
          </w:p>
        </w:tc>
        <w:tc>
          <w:tcPr>
            <w:tcW w:w="2551" w:type="dxa"/>
            <w:tcBorders>
              <w:top w:val="single" w:sz="4" w:space="0" w:color="auto"/>
              <w:bottom w:val="single" w:sz="4" w:space="0" w:color="auto"/>
              <w:right w:val="single" w:sz="4" w:space="0" w:color="auto"/>
            </w:tcBorders>
            <w:shd w:val="clear" w:color="auto" w:fill="auto"/>
          </w:tcPr>
          <w:p w:rsidR="004850D2" w:rsidRPr="00D8075A" w:rsidRDefault="004850D2" w:rsidP="004136AF">
            <w:pPr>
              <w:pStyle w:val="TableText0"/>
              <w:rPr>
                <w:b/>
                <w:szCs w:val="20"/>
              </w:rPr>
            </w:pPr>
            <w:r w:rsidRPr="00D8075A">
              <w:rPr>
                <w:b/>
                <w:szCs w:val="20"/>
              </w:rPr>
              <w:t>Manufacturer</w:t>
            </w:r>
          </w:p>
        </w:tc>
      </w:tr>
      <w:tr w:rsidR="004850D2" w:rsidRPr="00D8075A" w:rsidTr="00F83202">
        <w:trPr>
          <w:cantSplit/>
          <w:trHeight w:val="577"/>
        </w:trPr>
        <w:tc>
          <w:tcPr>
            <w:tcW w:w="3261" w:type="dxa"/>
            <w:tcBorders>
              <w:top w:val="single" w:sz="4" w:space="0" w:color="auto"/>
              <w:left w:val="single" w:sz="4" w:space="0" w:color="auto"/>
              <w:bottom w:val="single" w:sz="4" w:space="0" w:color="auto"/>
            </w:tcBorders>
            <w:shd w:val="clear" w:color="auto" w:fill="auto"/>
          </w:tcPr>
          <w:p w:rsidR="004850D2" w:rsidRPr="00D8075A" w:rsidRDefault="004850D2" w:rsidP="004136AF">
            <w:pPr>
              <w:pStyle w:val="TableText0"/>
              <w:rPr>
                <w:strike/>
                <w:szCs w:val="20"/>
              </w:rPr>
            </w:pPr>
            <w:r w:rsidRPr="00D8075A">
              <w:rPr>
                <w:szCs w:val="20"/>
              </w:rPr>
              <w:t>avelumab 200 mg/10 mL injection, 10 mL vial</w:t>
            </w:r>
          </w:p>
        </w:tc>
        <w:tc>
          <w:tcPr>
            <w:tcW w:w="850" w:type="dxa"/>
            <w:tcBorders>
              <w:top w:val="single" w:sz="4" w:space="0" w:color="auto"/>
              <w:bottom w:val="single" w:sz="4" w:space="0" w:color="auto"/>
            </w:tcBorders>
            <w:shd w:val="clear" w:color="auto" w:fill="auto"/>
          </w:tcPr>
          <w:p w:rsidR="004850D2" w:rsidRPr="00D8075A" w:rsidRDefault="004850D2" w:rsidP="004136AF">
            <w:pPr>
              <w:pStyle w:val="TableText0"/>
              <w:rPr>
                <w:szCs w:val="20"/>
              </w:rPr>
            </w:pPr>
            <w:r w:rsidRPr="00D8075A">
              <w:rPr>
                <w:szCs w:val="20"/>
              </w:rPr>
              <w:t>6</w:t>
            </w:r>
          </w:p>
        </w:tc>
        <w:tc>
          <w:tcPr>
            <w:tcW w:w="709" w:type="dxa"/>
            <w:tcBorders>
              <w:top w:val="single" w:sz="4" w:space="0" w:color="auto"/>
              <w:bottom w:val="single" w:sz="4" w:space="0" w:color="auto"/>
            </w:tcBorders>
            <w:shd w:val="clear" w:color="auto" w:fill="auto"/>
          </w:tcPr>
          <w:p w:rsidR="004850D2" w:rsidRPr="00D8075A" w:rsidRDefault="004850D2" w:rsidP="004136AF">
            <w:pPr>
              <w:pStyle w:val="TableText0"/>
              <w:rPr>
                <w:szCs w:val="20"/>
              </w:rPr>
            </w:pPr>
            <w:r w:rsidRPr="00D8075A">
              <w:rPr>
                <w:szCs w:val="20"/>
              </w:rPr>
              <w:t>8</w:t>
            </w:r>
          </w:p>
        </w:tc>
        <w:tc>
          <w:tcPr>
            <w:tcW w:w="1701" w:type="dxa"/>
            <w:tcBorders>
              <w:top w:val="single" w:sz="4" w:space="0" w:color="auto"/>
              <w:bottom w:val="single" w:sz="4" w:space="0" w:color="auto"/>
            </w:tcBorders>
            <w:shd w:val="clear" w:color="auto" w:fill="auto"/>
          </w:tcPr>
          <w:p w:rsidR="004850D2" w:rsidRPr="00D8075A" w:rsidRDefault="004850D2" w:rsidP="004850D2">
            <w:pPr>
              <w:pStyle w:val="TableText0"/>
              <w:rPr>
                <w:szCs w:val="20"/>
              </w:rPr>
            </w:pPr>
            <w:proofErr w:type="spellStart"/>
            <w:r w:rsidRPr="00D8075A">
              <w:rPr>
                <w:rStyle w:val="Emphasis"/>
                <w:rFonts w:cs="Arial"/>
                <w:bCs/>
                <w:i w:val="0"/>
                <w:iCs w:val="0"/>
                <w:szCs w:val="20"/>
                <w:shd w:val="clear" w:color="auto" w:fill="FFFFFF"/>
              </w:rPr>
              <w:t>Bavencio</w:t>
            </w:r>
            <w:proofErr w:type="spellEnd"/>
            <w:r w:rsidRPr="00D8075A">
              <w:rPr>
                <w:rStyle w:val="Emphasis"/>
                <w:rFonts w:cs="Arial"/>
                <w:b/>
                <w:bCs/>
                <w:i w:val="0"/>
                <w:iCs w:val="0"/>
                <w:szCs w:val="20"/>
                <w:shd w:val="clear" w:color="auto" w:fill="FFFFFF"/>
              </w:rPr>
              <w:t xml:space="preserve">® </w:t>
            </w:r>
          </w:p>
        </w:tc>
        <w:tc>
          <w:tcPr>
            <w:tcW w:w="2551" w:type="dxa"/>
            <w:tcBorders>
              <w:top w:val="single" w:sz="4" w:space="0" w:color="auto"/>
              <w:bottom w:val="single" w:sz="4" w:space="0" w:color="auto"/>
              <w:right w:val="single" w:sz="4" w:space="0" w:color="auto"/>
            </w:tcBorders>
            <w:shd w:val="clear" w:color="auto" w:fill="auto"/>
          </w:tcPr>
          <w:p w:rsidR="004850D2" w:rsidRPr="00D8075A" w:rsidRDefault="004850D2" w:rsidP="004136AF">
            <w:pPr>
              <w:pStyle w:val="TableText0"/>
              <w:rPr>
                <w:szCs w:val="20"/>
              </w:rPr>
            </w:pPr>
            <w:r w:rsidRPr="00D8075A">
              <w:rPr>
                <w:szCs w:val="20"/>
              </w:rPr>
              <w:t xml:space="preserve">Merck </w:t>
            </w:r>
            <w:proofErr w:type="spellStart"/>
            <w:r w:rsidRPr="00D8075A">
              <w:rPr>
                <w:szCs w:val="20"/>
              </w:rPr>
              <w:t>Serono</w:t>
            </w:r>
            <w:proofErr w:type="spellEnd"/>
            <w:r w:rsidRPr="00D8075A">
              <w:rPr>
                <w:szCs w:val="20"/>
              </w:rPr>
              <w:t xml:space="preserve"> Australia Pty Ltd</w:t>
            </w:r>
          </w:p>
        </w:tc>
      </w:tr>
      <w:tr w:rsidR="006A3CF0" w:rsidRPr="00D8075A" w:rsidTr="004136AF">
        <w:tblPrEx>
          <w:shd w:val="clear" w:color="auto" w:fill="auto"/>
        </w:tblPrEx>
        <w:trPr>
          <w:cantSplit/>
          <w:trHeight w:val="360"/>
        </w:trPr>
        <w:tc>
          <w:tcPr>
            <w:tcW w:w="3261" w:type="dxa"/>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Category / Program:</w:t>
            </w:r>
          </w:p>
        </w:tc>
        <w:tc>
          <w:tcPr>
            <w:tcW w:w="5811" w:type="dxa"/>
            <w:gridSpan w:val="4"/>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Section 100 – Efficient funding of chemotherapy</w:t>
            </w:r>
          </w:p>
        </w:tc>
      </w:tr>
      <w:tr w:rsidR="006A3CF0" w:rsidRPr="00D8075A" w:rsidTr="004136AF">
        <w:tblPrEx>
          <w:shd w:val="clear" w:color="auto" w:fill="auto"/>
        </w:tblPrEx>
        <w:trPr>
          <w:cantSplit/>
          <w:trHeight w:val="360"/>
        </w:trPr>
        <w:tc>
          <w:tcPr>
            <w:tcW w:w="3261" w:type="dxa"/>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Prescriber type:</w:t>
            </w:r>
          </w:p>
        </w:tc>
        <w:tc>
          <w:tcPr>
            <w:tcW w:w="5811" w:type="dxa"/>
            <w:gridSpan w:val="4"/>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Medical Practitioners</w:t>
            </w:r>
          </w:p>
        </w:tc>
      </w:tr>
      <w:tr w:rsidR="006A3CF0" w:rsidRPr="00D8075A" w:rsidTr="004136AF">
        <w:tblPrEx>
          <w:shd w:val="clear" w:color="auto" w:fill="auto"/>
        </w:tblPrEx>
        <w:trPr>
          <w:cantSplit/>
          <w:trHeight w:val="360"/>
        </w:trPr>
        <w:tc>
          <w:tcPr>
            <w:tcW w:w="3261" w:type="dxa"/>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proofErr w:type="spellStart"/>
            <w:r w:rsidRPr="00D8075A">
              <w:t>Episodicity</w:t>
            </w:r>
            <w:proofErr w:type="spellEnd"/>
            <w:r w:rsidRPr="00D8075A">
              <w:t>:</w:t>
            </w:r>
          </w:p>
        </w:tc>
        <w:tc>
          <w:tcPr>
            <w:tcW w:w="5811" w:type="dxa"/>
            <w:gridSpan w:val="4"/>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w:t>
            </w:r>
          </w:p>
        </w:tc>
      </w:tr>
      <w:tr w:rsidR="006A3CF0" w:rsidRPr="00D8075A" w:rsidTr="004136AF">
        <w:tblPrEx>
          <w:shd w:val="clear" w:color="auto" w:fill="auto"/>
        </w:tblPrEx>
        <w:trPr>
          <w:cantSplit/>
          <w:trHeight w:val="360"/>
        </w:trPr>
        <w:tc>
          <w:tcPr>
            <w:tcW w:w="3261" w:type="dxa"/>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Severity:</w:t>
            </w:r>
          </w:p>
        </w:tc>
        <w:tc>
          <w:tcPr>
            <w:tcW w:w="5811" w:type="dxa"/>
            <w:gridSpan w:val="4"/>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Stage IV (metastatic)</w:t>
            </w:r>
          </w:p>
        </w:tc>
      </w:tr>
      <w:tr w:rsidR="006A3CF0" w:rsidRPr="00D8075A" w:rsidTr="004136AF">
        <w:tblPrEx>
          <w:shd w:val="clear" w:color="auto" w:fill="auto"/>
        </w:tblPrEx>
        <w:trPr>
          <w:cantSplit/>
          <w:trHeight w:val="360"/>
        </w:trPr>
        <w:tc>
          <w:tcPr>
            <w:tcW w:w="3261" w:type="dxa"/>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Condition:</w:t>
            </w:r>
          </w:p>
        </w:tc>
        <w:tc>
          <w:tcPr>
            <w:tcW w:w="5811" w:type="dxa"/>
            <w:gridSpan w:val="4"/>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Merkel Cell Carcinoma</w:t>
            </w:r>
          </w:p>
        </w:tc>
      </w:tr>
      <w:tr w:rsidR="006A3CF0" w:rsidRPr="00D8075A" w:rsidTr="004136AF">
        <w:tblPrEx>
          <w:shd w:val="clear" w:color="auto" w:fill="auto"/>
        </w:tblPrEx>
        <w:trPr>
          <w:cantSplit/>
          <w:trHeight w:val="360"/>
        </w:trPr>
        <w:tc>
          <w:tcPr>
            <w:tcW w:w="3261" w:type="dxa"/>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PBS Indication:</w:t>
            </w:r>
          </w:p>
        </w:tc>
        <w:tc>
          <w:tcPr>
            <w:tcW w:w="5811" w:type="dxa"/>
            <w:gridSpan w:val="4"/>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Stage IV (metastatic) Merkel Cell Carcinoma</w:t>
            </w:r>
          </w:p>
        </w:tc>
      </w:tr>
      <w:tr w:rsidR="006A3CF0" w:rsidRPr="00D8075A" w:rsidTr="004136AF">
        <w:tblPrEx>
          <w:shd w:val="clear" w:color="auto" w:fill="auto"/>
        </w:tblPrEx>
        <w:trPr>
          <w:cantSplit/>
          <w:trHeight w:val="360"/>
        </w:trPr>
        <w:tc>
          <w:tcPr>
            <w:tcW w:w="3261" w:type="dxa"/>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rPr>
                <w:i/>
              </w:rPr>
            </w:pPr>
            <w:r w:rsidRPr="00D8075A">
              <w:t>Treatment phase:</w:t>
            </w:r>
          </w:p>
        </w:tc>
        <w:tc>
          <w:tcPr>
            <w:tcW w:w="5811" w:type="dxa"/>
            <w:gridSpan w:val="4"/>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Initial treatment</w:t>
            </w:r>
          </w:p>
        </w:tc>
      </w:tr>
      <w:tr w:rsidR="006A3CF0" w:rsidRPr="00D8075A" w:rsidTr="004136AF">
        <w:tblPrEx>
          <w:shd w:val="clear" w:color="auto" w:fill="auto"/>
        </w:tblPrEx>
        <w:trPr>
          <w:cantSplit/>
          <w:trHeight w:val="360"/>
        </w:trPr>
        <w:tc>
          <w:tcPr>
            <w:tcW w:w="3261" w:type="dxa"/>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Restriction:</w:t>
            </w:r>
          </w:p>
        </w:tc>
        <w:tc>
          <w:tcPr>
            <w:tcW w:w="5811" w:type="dxa"/>
            <w:gridSpan w:val="4"/>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fldChar w:fldCharType="begin">
                <w:ffData>
                  <w:name w:val="Check5"/>
                  <w:enabled/>
                  <w:calcOnExit w:val="0"/>
                  <w:checkBox>
                    <w:sizeAuto/>
                    <w:default w:val="1"/>
                  </w:checkBox>
                </w:ffData>
              </w:fldChar>
            </w:r>
            <w:r w:rsidRPr="00D8075A">
              <w:instrText xml:space="preserve"> FORMCHECKBOX </w:instrText>
            </w:r>
            <w:r w:rsidR="0020366A">
              <w:fldChar w:fldCharType="separate"/>
            </w:r>
            <w:r w:rsidRPr="00D8075A">
              <w:fldChar w:fldCharType="end"/>
            </w:r>
            <w:r w:rsidRPr="00D8075A">
              <w:t>Streamlined</w:t>
            </w:r>
          </w:p>
        </w:tc>
      </w:tr>
      <w:tr w:rsidR="006A3CF0" w:rsidRPr="00D8075A" w:rsidTr="004136AF">
        <w:tblPrEx>
          <w:shd w:val="clear" w:color="auto" w:fill="auto"/>
        </w:tblPrEx>
        <w:trPr>
          <w:cantSplit/>
          <w:trHeight w:val="360"/>
        </w:trPr>
        <w:tc>
          <w:tcPr>
            <w:tcW w:w="3261" w:type="dxa"/>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lastRenderedPageBreak/>
              <w:t>Treatment criteria:</w:t>
            </w:r>
          </w:p>
        </w:tc>
        <w:tc>
          <w:tcPr>
            <w:tcW w:w="5811" w:type="dxa"/>
            <w:gridSpan w:val="4"/>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w:t>
            </w:r>
          </w:p>
        </w:tc>
      </w:tr>
      <w:tr w:rsidR="006A3CF0" w:rsidRPr="00D8075A" w:rsidTr="004136AF">
        <w:tblPrEx>
          <w:shd w:val="clear" w:color="auto" w:fill="auto"/>
        </w:tblPrEx>
        <w:trPr>
          <w:cantSplit/>
          <w:trHeight w:val="360"/>
        </w:trPr>
        <w:tc>
          <w:tcPr>
            <w:tcW w:w="3261" w:type="dxa"/>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Clinical criteria:</w:t>
            </w:r>
          </w:p>
          <w:p w:rsidR="006A3CF0" w:rsidRPr="00D8075A" w:rsidRDefault="006A3CF0" w:rsidP="004136AF">
            <w:pPr>
              <w:pStyle w:val="Tabletext"/>
            </w:pPr>
          </w:p>
        </w:tc>
        <w:tc>
          <w:tcPr>
            <w:tcW w:w="5811" w:type="dxa"/>
            <w:gridSpan w:val="4"/>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 xml:space="preserve">The treatment must be the sole PBS-subsidised therapy for this condition; </w:t>
            </w:r>
          </w:p>
          <w:p w:rsidR="006A3CF0" w:rsidRPr="00D8075A" w:rsidRDefault="006A3CF0" w:rsidP="004136AF">
            <w:pPr>
              <w:pStyle w:val="Tabletext"/>
            </w:pPr>
            <w:r w:rsidRPr="00D8075A">
              <w:t xml:space="preserve">AND </w:t>
            </w:r>
          </w:p>
          <w:p w:rsidR="0073503F" w:rsidRPr="00D8075A" w:rsidRDefault="006A3CF0" w:rsidP="0073503F">
            <w:pPr>
              <w:pStyle w:val="Tabletext"/>
            </w:pPr>
            <w:r w:rsidRPr="00D8075A">
              <w:t>The treatment must not exceed a total of 9 doses at a maximum dose of 10 mg per kg every 2 weeks</w:t>
            </w:r>
            <w:r w:rsidR="00F855A5" w:rsidRPr="00D8075A">
              <w:t xml:space="preserve"> under this restriction</w:t>
            </w:r>
          </w:p>
        </w:tc>
      </w:tr>
      <w:tr w:rsidR="006A3CF0" w:rsidRPr="00D8075A" w:rsidTr="004136AF">
        <w:tblPrEx>
          <w:shd w:val="clear" w:color="auto" w:fill="auto"/>
        </w:tblPrEx>
        <w:trPr>
          <w:cantSplit/>
          <w:trHeight w:val="360"/>
        </w:trPr>
        <w:tc>
          <w:tcPr>
            <w:tcW w:w="3261" w:type="dxa"/>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Prescriber Instructions</w:t>
            </w:r>
          </w:p>
          <w:p w:rsidR="006A3CF0" w:rsidRPr="00D8075A" w:rsidRDefault="006A3CF0" w:rsidP="004136AF">
            <w:pPr>
              <w:pStyle w:val="Tabletext"/>
            </w:pPr>
          </w:p>
        </w:tc>
        <w:tc>
          <w:tcPr>
            <w:tcW w:w="5811" w:type="dxa"/>
            <w:gridSpan w:val="4"/>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The patient’s body weight must be documented in the patient’s medical records at the time treatment is initiated.</w:t>
            </w:r>
          </w:p>
        </w:tc>
      </w:tr>
      <w:tr w:rsidR="006A3CF0" w:rsidRPr="00D8075A" w:rsidTr="004136AF">
        <w:tblPrEx>
          <w:shd w:val="clear" w:color="auto" w:fill="auto"/>
        </w:tblPrEx>
        <w:trPr>
          <w:cantSplit/>
          <w:trHeight w:val="311"/>
        </w:trPr>
        <w:tc>
          <w:tcPr>
            <w:tcW w:w="3261" w:type="dxa"/>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Administrative advice</w:t>
            </w:r>
          </w:p>
        </w:tc>
        <w:tc>
          <w:tcPr>
            <w:tcW w:w="5811" w:type="dxa"/>
            <w:gridSpan w:val="4"/>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rPr>
                <w:rFonts w:cs="Arial"/>
              </w:rPr>
            </w:pPr>
            <w:r w:rsidRPr="00D8075A">
              <w:rPr>
                <w:rFonts w:cs="Arial"/>
              </w:rPr>
              <w:t>No increase in the maximum number of repeats may be authorised.</w:t>
            </w:r>
          </w:p>
          <w:p w:rsidR="00A068D8" w:rsidRPr="00D8075A" w:rsidRDefault="00A068D8" w:rsidP="004136AF">
            <w:pPr>
              <w:pStyle w:val="Tabletext"/>
              <w:rPr>
                <w:rFonts w:cs="Arial"/>
              </w:rPr>
            </w:pPr>
          </w:p>
          <w:p w:rsidR="00A068D8" w:rsidRPr="00D8075A" w:rsidRDefault="006A3CF0" w:rsidP="004136AF">
            <w:pPr>
              <w:pStyle w:val="Tabletext"/>
              <w:rPr>
                <w:rFonts w:cs="Arial"/>
              </w:rPr>
            </w:pPr>
            <w:r w:rsidRPr="00D8075A">
              <w:rPr>
                <w:rFonts w:cs="Arial"/>
              </w:rPr>
              <w:t>Special Pricing Arrangements apply.</w:t>
            </w:r>
          </w:p>
        </w:tc>
      </w:tr>
    </w:tbl>
    <w:p w:rsidR="004136AF" w:rsidRPr="00D8075A" w:rsidRDefault="004136AF" w:rsidP="007E0999">
      <w:pPr>
        <w:pStyle w:val="PBACHeading1"/>
        <w:numPr>
          <w:ilvl w:val="0"/>
          <w:numId w:val="0"/>
        </w:numPr>
      </w:pPr>
    </w:p>
    <w:tbl>
      <w:tblPr>
        <w:tblW w:w="9072" w:type="dxa"/>
        <w:tblInd w:w="108" w:type="dxa"/>
        <w:shd w:val="clear" w:color="auto" w:fill="DAEEF3"/>
        <w:tblLayout w:type="fixed"/>
        <w:tblLook w:val="0000" w:firstRow="0" w:lastRow="0" w:firstColumn="0" w:lastColumn="0" w:noHBand="0" w:noVBand="0"/>
      </w:tblPr>
      <w:tblGrid>
        <w:gridCol w:w="3261"/>
        <w:gridCol w:w="850"/>
        <w:gridCol w:w="709"/>
        <w:gridCol w:w="1701"/>
        <w:gridCol w:w="2551"/>
      </w:tblGrid>
      <w:tr w:rsidR="004850D2" w:rsidRPr="00D8075A" w:rsidTr="00F83202">
        <w:trPr>
          <w:cantSplit/>
          <w:trHeight w:val="471"/>
        </w:trPr>
        <w:tc>
          <w:tcPr>
            <w:tcW w:w="3261" w:type="dxa"/>
            <w:tcBorders>
              <w:top w:val="single" w:sz="4" w:space="0" w:color="auto"/>
              <w:left w:val="single" w:sz="4" w:space="0" w:color="auto"/>
              <w:bottom w:val="single" w:sz="4" w:space="0" w:color="auto"/>
            </w:tcBorders>
            <w:shd w:val="clear" w:color="auto" w:fill="auto"/>
          </w:tcPr>
          <w:p w:rsidR="004850D2" w:rsidRPr="00D8075A" w:rsidRDefault="004850D2" w:rsidP="004136AF">
            <w:pPr>
              <w:pStyle w:val="TableText0"/>
              <w:rPr>
                <w:b/>
                <w:szCs w:val="20"/>
              </w:rPr>
            </w:pPr>
            <w:r w:rsidRPr="00D8075A">
              <w:rPr>
                <w:b/>
                <w:szCs w:val="20"/>
              </w:rPr>
              <w:t>Name,</w:t>
            </w:r>
            <w:r w:rsidRPr="00D8075A">
              <w:t xml:space="preserve"> </w:t>
            </w:r>
            <w:r w:rsidRPr="00D8075A">
              <w:rPr>
                <w:b/>
                <w:szCs w:val="20"/>
              </w:rPr>
              <w:t>Restriction,</w:t>
            </w:r>
          </w:p>
          <w:p w:rsidR="004850D2" w:rsidRPr="00D8075A" w:rsidRDefault="004850D2" w:rsidP="004136AF">
            <w:pPr>
              <w:pStyle w:val="TableText0"/>
              <w:rPr>
                <w:b/>
                <w:szCs w:val="20"/>
              </w:rPr>
            </w:pPr>
            <w:r w:rsidRPr="00D8075A">
              <w:rPr>
                <w:b/>
                <w:szCs w:val="20"/>
              </w:rPr>
              <w:t>Manner of administration and form</w:t>
            </w:r>
          </w:p>
        </w:tc>
        <w:tc>
          <w:tcPr>
            <w:tcW w:w="850" w:type="dxa"/>
            <w:tcBorders>
              <w:top w:val="single" w:sz="4" w:space="0" w:color="auto"/>
              <w:bottom w:val="single" w:sz="4" w:space="0" w:color="auto"/>
            </w:tcBorders>
            <w:shd w:val="clear" w:color="auto" w:fill="auto"/>
          </w:tcPr>
          <w:p w:rsidR="004850D2" w:rsidRPr="00D8075A" w:rsidRDefault="004850D2" w:rsidP="004136AF">
            <w:pPr>
              <w:pStyle w:val="TableText0"/>
              <w:rPr>
                <w:b/>
                <w:szCs w:val="20"/>
              </w:rPr>
            </w:pPr>
            <w:r w:rsidRPr="00D8075A">
              <w:rPr>
                <w:b/>
                <w:szCs w:val="20"/>
              </w:rPr>
              <w:t>Max.</w:t>
            </w:r>
            <w:r w:rsidRPr="00D8075A">
              <w:rPr>
                <w:b/>
                <w:szCs w:val="20"/>
              </w:rPr>
              <w:br/>
              <w:t>Amount (units)</w:t>
            </w:r>
          </w:p>
        </w:tc>
        <w:tc>
          <w:tcPr>
            <w:tcW w:w="709" w:type="dxa"/>
            <w:tcBorders>
              <w:top w:val="single" w:sz="4" w:space="0" w:color="auto"/>
              <w:bottom w:val="single" w:sz="4" w:space="0" w:color="auto"/>
            </w:tcBorders>
            <w:shd w:val="clear" w:color="auto" w:fill="auto"/>
          </w:tcPr>
          <w:p w:rsidR="004850D2" w:rsidRPr="00D8075A" w:rsidRDefault="004850D2" w:rsidP="004136AF">
            <w:pPr>
              <w:pStyle w:val="TableText0"/>
              <w:rPr>
                <w:b/>
                <w:szCs w:val="20"/>
              </w:rPr>
            </w:pPr>
            <w:r w:rsidRPr="00D8075A">
              <w:rPr>
                <w:b/>
                <w:szCs w:val="20"/>
              </w:rPr>
              <w:t>№.of</w:t>
            </w:r>
            <w:r w:rsidRPr="00D8075A">
              <w:rPr>
                <w:b/>
                <w:szCs w:val="20"/>
              </w:rPr>
              <w:br/>
              <w:t>Rpts</w:t>
            </w:r>
          </w:p>
        </w:tc>
        <w:tc>
          <w:tcPr>
            <w:tcW w:w="1701" w:type="dxa"/>
            <w:tcBorders>
              <w:top w:val="single" w:sz="4" w:space="0" w:color="auto"/>
              <w:bottom w:val="single" w:sz="4" w:space="0" w:color="auto"/>
            </w:tcBorders>
            <w:shd w:val="clear" w:color="auto" w:fill="auto"/>
          </w:tcPr>
          <w:p w:rsidR="004850D2" w:rsidRPr="00D8075A" w:rsidRDefault="004850D2" w:rsidP="004136AF">
            <w:pPr>
              <w:pStyle w:val="TableText0"/>
              <w:rPr>
                <w:b/>
                <w:szCs w:val="20"/>
              </w:rPr>
            </w:pPr>
            <w:r w:rsidRPr="00D8075A">
              <w:rPr>
                <w:b/>
                <w:szCs w:val="20"/>
              </w:rPr>
              <w:t xml:space="preserve">Proprietary name </w:t>
            </w:r>
          </w:p>
        </w:tc>
        <w:tc>
          <w:tcPr>
            <w:tcW w:w="2551" w:type="dxa"/>
            <w:tcBorders>
              <w:top w:val="single" w:sz="4" w:space="0" w:color="auto"/>
              <w:bottom w:val="single" w:sz="4" w:space="0" w:color="auto"/>
              <w:right w:val="single" w:sz="4" w:space="0" w:color="auto"/>
            </w:tcBorders>
            <w:shd w:val="clear" w:color="auto" w:fill="auto"/>
          </w:tcPr>
          <w:p w:rsidR="004850D2" w:rsidRPr="00D8075A" w:rsidRDefault="004850D2" w:rsidP="004136AF">
            <w:pPr>
              <w:pStyle w:val="TableText0"/>
              <w:rPr>
                <w:b/>
                <w:szCs w:val="20"/>
              </w:rPr>
            </w:pPr>
            <w:r w:rsidRPr="00D8075A">
              <w:rPr>
                <w:b/>
                <w:szCs w:val="20"/>
              </w:rPr>
              <w:t>Manufacturer</w:t>
            </w:r>
          </w:p>
        </w:tc>
      </w:tr>
      <w:tr w:rsidR="004850D2" w:rsidRPr="00D8075A" w:rsidTr="00F83202">
        <w:trPr>
          <w:cantSplit/>
          <w:trHeight w:val="577"/>
        </w:trPr>
        <w:tc>
          <w:tcPr>
            <w:tcW w:w="3261" w:type="dxa"/>
            <w:tcBorders>
              <w:top w:val="single" w:sz="4" w:space="0" w:color="auto"/>
              <w:left w:val="single" w:sz="4" w:space="0" w:color="auto"/>
              <w:bottom w:val="single" w:sz="4" w:space="0" w:color="auto"/>
            </w:tcBorders>
            <w:shd w:val="clear" w:color="auto" w:fill="auto"/>
          </w:tcPr>
          <w:p w:rsidR="004850D2" w:rsidRPr="00D8075A" w:rsidRDefault="004850D2" w:rsidP="004136AF">
            <w:pPr>
              <w:pStyle w:val="TableText0"/>
              <w:rPr>
                <w:szCs w:val="20"/>
              </w:rPr>
            </w:pPr>
            <w:r w:rsidRPr="00D8075A">
              <w:rPr>
                <w:szCs w:val="20"/>
              </w:rPr>
              <w:t>avelumab 200 mg/10 mL injection, 10 mL vial</w:t>
            </w:r>
          </w:p>
        </w:tc>
        <w:tc>
          <w:tcPr>
            <w:tcW w:w="850" w:type="dxa"/>
            <w:tcBorders>
              <w:top w:val="single" w:sz="4" w:space="0" w:color="auto"/>
              <w:bottom w:val="single" w:sz="4" w:space="0" w:color="auto"/>
            </w:tcBorders>
            <w:shd w:val="clear" w:color="auto" w:fill="auto"/>
          </w:tcPr>
          <w:p w:rsidR="004850D2" w:rsidRPr="00D8075A" w:rsidRDefault="004850D2" w:rsidP="004136AF">
            <w:pPr>
              <w:pStyle w:val="TableText0"/>
              <w:rPr>
                <w:szCs w:val="20"/>
              </w:rPr>
            </w:pPr>
            <w:r w:rsidRPr="00D8075A">
              <w:rPr>
                <w:szCs w:val="20"/>
              </w:rPr>
              <w:t>6</w:t>
            </w:r>
          </w:p>
        </w:tc>
        <w:tc>
          <w:tcPr>
            <w:tcW w:w="709" w:type="dxa"/>
            <w:tcBorders>
              <w:top w:val="single" w:sz="4" w:space="0" w:color="auto"/>
              <w:bottom w:val="single" w:sz="4" w:space="0" w:color="auto"/>
            </w:tcBorders>
            <w:shd w:val="clear" w:color="auto" w:fill="auto"/>
          </w:tcPr>
          <w:p w:rsidR="004850D2" w:rsidRPr="00D8075A" w:rsidRDefault="004850D2" w:rsidP="004136AF">
            <w:pPr>
              <w:pStyle w:val="TableText0"/>
              <w:rPr>
                <w:szCs w:val="20"/>
              </w:rPr>
            </w:pPr>
            <w:r w:rsidRPr="00D8075A">
              <w:rPr>
                <w:szCs w:val="20"/>
              </w:rPr>
              <w:t>11</w:t>
            </w:r>
          </w:p>
        </w:tc>
        <w:tc>
          <w:tcPr>
            <w:tcW w:w="1701" w:type="dxa"/>
            <w:tcBorders>
              <w:top w:val="single" w:sz="4" w:space="0" w:color="auto"/>
              <w:bottom w:val="single" w:sz="4" w:space="0" w:color="auto"/>
            </w:tcBorders>
            <w:shd w:val="clear" w:color="auto" w:fill="auto"/>
          </w:tcPr>
          <w:p w:rsidR="004850D2" w:rsidRPr="00D8075A" w:rsidRDefault="004850D2" w:rsidP="004850D2">
            <w:pPr>
              <w:pStyle w:val="TableText0"/>
              <w:rPr>
                <w:szCs w:val="20"/>
              </w:rPr>
            </w:pPr>
            <w:proofErr w:type="spellStart"/>
            <w:r w:rsidRPr="00D8075A">
              <w:rPr>
                <w:rStyle w:val="Emphasis"/>
                <w:rFonts w:cs="Arial"/>
                <w:bCs/>
                <w:i w:val="0"/>
                <w:iCs w:val="0"/>
                <w:shd w:val="clear" w:color="auto" w:fill="FFFFFF"/>
              </w:rPr>
              <w:t>Bavencio</w:t>
            </w:r>
            <w:proofErr w:type="spellEnd"/>
            <w:r w:rsidRPr="00D8075A">
              <w:rPr>
                <w:rStyle w:val="Emphasis"/>
                <w:rFonts w:cs="Arial"/>
                <w:b/>
                <w:bCs/>
                <w:i w:val="0"/>
                <w:iCs w:val="0"/>
                <w:shd w:val="clear" w:color="auto" w:fill="FFFFFF"/>
              </w:rPr>
              <w:t xml:space="preserve">® </w:t>
            </w:r>
          </w:p>
        </w:tc>
        <w:tc>
          <w:tcPr>
            <w:tcW w:w="2551" w:type="dxa"/>
            <w:tcBorders>
              <w:top w:val="single" w:sz="4" w:space="0" w:color="auto"/>
              <w:bottom w:val="single" w:sz="4" w:space="0" w:color="auto"/>
              <w:right w:val="single" w:sz="4" w:space="0" w:color="auto"/>
            </w:tcBorders>
            <w:shd w:val="clear" w:color="auto" w:fill="auto"/>
          </w:tcPr>
          <w:p w:rsidR="004850D2" w:rsidRPr="00D8075A" w:rsidRDefault="004850D2" w:rsidP="004136AF">
            <w:pPr>
              <w:pStyle w:val="TableText0"/>
              <w:rPr>
                <w:szCs w:val="20"/>
              </w:rPr>
            </w:pPr>
            <w:r w:rsidRPr="00D8075A">
              <w:rPr>
                <w:szCs w:val="20"/>
              </w:rPr>
              <w:t xml:space="preserve">Merck </w:t>
            </w:r>
            <w:proofErr w:type="spellStart"/>
            <w:r w:rsidRPr="00D8075A">
              <w:rPr>
                <w:szCs w:val="20"/>
              </w:rPr>
              <w:t>Serono</w:t>
            </w:r>
            <w:proofErr w:type="spellEnd"/>
            <w:r w:rsidRPr="00D8075A">
              <w:rPr>
                <w:szCs w:val="20"/>
              </w:rPr>
              <w:t xml:space="preserve"> Australia Pty Ltd</w:t>
            </w:r>
          </w:p>
        </w:tc>
      </w:tr>
      <w:tr w:rsidR="006A3CF0" w:rsidRPr="00D8075A" w:rsidTr="004136AF">
        <w:tblPrEx>
          <w:shd w:val="clear" w:color="auto" w:fill="auto"/>
        </w:tblPrEx>
        <w:trPr>
          <w:cantSplit/>
          <w:trHeight w:val="360"/>
        </w:trPr>
        <w:tc>
          <w:tcPr>
            <w:tcW w:w="3261" w:type="dxa"/>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Category / Program:</w:t>
            </w:r>
          </w:p>
        </w:tc>
        <w:tc>
          <w:tcPr>
            <w:tcW w:w="5811" w:type="dxa"/>
            <w:gridSpan w:val="4"/>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Section 100 – Efficient funding of chemotherapy</w:t>
            </w:r>
          </w:p>
        </w:tc>
      </w:tr>
      <w:tr w:rsidR="006A3CF0" w:rsidRPr="00D8075A" w:rsidTr="004136AF">
        <w:tblPrEx>
          <w:shd w:val="clear" w:color="auto" w:fill="auto"/>
        </w:tblPrEx>
        <w:trPr>
          <w:cantSplit/>
          <w:trHeight w:val="360"/>
        </w:trPr>
        <w:tc>
          <w:tcPr>
            <w:tcW w:w="3261" w:type="dxa"/>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Prescriber type:</w:t>
            </w:r>
          </w:p>
        </w:tc>
        <w:tc>
          <w:tcPr>
            <w:tcW w:w="5811" w:type="dxa"/>
            <w:gridSpan w:val="4"/>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Medical Practitioners</w:t>
            </w:r>
          </w:p>
        </w:tc>
      </w:tr>
      <w:tr w:rsidR="006A3CF0" w:rsidRPr="00D8075A" w:rsidTr="004136AF">
        <w:tblPrEx>
          <w:shd w:val="clear" w:color="auto" w:fill="auto"/>
        </w:tblPrEx>
        <w:trPr>
          <w:cantSplit/>
          <w:trHeight w:val="360"/>
        </w:trPr>
        <w:tc>
          <w:tcPr>
            <w:tcW w:w="3261" w:type="dxa"/>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proofErr w:type="spellStart"/>
            <w:r w:rsidRPr="00D8075A">
              <w:t>Episodicity</w:t>
            </w:r>
            <w:proofErr w:type="spellEnd"/>
            <w:r w:rsidRPr="00D8075A">
              <w:t>:</w:t>
            </w:r>
          </w:p>
        </w:tc>
        <w:tc>
          <w:tcPr>
            <w:tcW w:w="5811" w:type="dxa"/>
            <w:gridSpan w:val="4"/>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w:t>
            </w:r>
          </w:p>
        </w:tc>
      </w:tr>
      <w:tr w:rsidR="006A3CF0" w:rsidRPr="00D8075A" w:rsidTr="004136AF">
        <w:tblPrEx>
          <w:shd w:val="clear" w:color="auto" w:fill="auto"/>
        </w:tblPrEx>
        <w:trPr>
          <w:cantSplit/>
          <w:trHeight w:val="360"/>
        </w:trPr>
        <w:tc>
          <w:tcPr>
            <w:tcW w:w="3261" w:type="dxa"/>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Severity:</w:t>
            </w:r>
          </w:p>
        </w:tc>
        <w:tc>
          <w:tcPr>
            <w:tcW w:w="5811" w:type="dxa"/>
            <w:gridSpan w:val="4"/>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Stage IV (metastatic)</w:t>
            </w:r>
          </w:p>
        </w:tc>
      </w:tr>
      <w:tr w:rsidR="006A3CF0" w:rsidRPr="00D8075A" w:rsidTr="004136AF">
        <w:tblPrEx>
          <w:shd w:val="clear" w:color="auto" w:fill="auto"/>
        </w:tblPrEx>
        <w:trPr>
          <w:cantSplit/>
          <w:trHeight w:val="360"/>
        </w:trPr>
        <w:tc>
          <w:tcPr>
            <w:tcW w:w="3261" w:type="dxa"/>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Condition:</w:t>
            </w:r>
          </w:p>
        </w:tc>
        <w:tc>
          <w:tcPr>
            <w:tcW w:w="5811" w:type="dxa"/>
            <w:gridSpan w:val="4"/>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Merkel Cell Carcinoma</w:t>
            </w:r>
          </w:p>
        </w:tc>
      </w:tr>
      <w:tr w:rsidR="006A3CF0" w:rsidRPr="00D8075A" w:rsidTr="004136AF">
        <w:tblPrEx>
          <w:shd w:val="clear" w:color="auto" w:fill="auto"/>
        </w:tblPrEx>
        <w:trPr>
          <w:cantSplit/>
          <w:trHeight w:val="360"/>
        </w:trPr>
        <w:tc>
          <w:tcPr>
            <w:tcW w:w="3261" w:type="dxa"/>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PBS Indication:</w:t>
            </w:r>
          </w:p>
        </w:tc>
        <w:tc>
          <w:tcPr>
            <w:tcW w:w="5811" w:type="dxa"/>
            <w:gridSpan w:val="4"/>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Stage IV (metastatic) Merkel Cell Carcinoma</w:t>
            </w:r>
          </w:p>
        </w:tc>
      </w:tr>
      <w:tr w:rsidR="006A3CF0" w:rsidRPr="00D8075A" w:rsidTr="004136AF">
        <w:tblPrEx>
          <w:shd w:val="clear" w:color="auto" w:fill="auto"/>
        </w:tblPrEx>
        <w:trPr>
          <w:cantSplit/>
          <w:trHeight w:val="360"/>
        </w:trPr>
        <w:tc>
          <w:tcPr>
            <w:tcW w:w="3261" w:type="dxa"/>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rPr>
                <w:i/>
              </w:rPr>
            </w:pPr>
            <w:r w:rsidRPr="00D8075A">
              <w:t>Treatment phase:</w:t>
            </w:r>
          </w:p>
        </w:tc>
        <w:tc>
          <w:tcPr>
            <w:tcW w:w="5811" w:type="dxa"/>
            <w:gridSpan w:val="4"/>
            <w:tcBorders>
              <w:top w:val="single" w:sz="4" w:space="0" w:color="auto"/>
              <w:left w:val="single" w:sz="4" w:space="0" w:color="auto"/>
              <w:bottom w:val="single" w:sz="4" w:space="0" w:color="auto"/>
              <w:right w:val="single" w:sz="4" w:space="0" w:color="auto"/>
            </w:tcBorders>
          </w:tcPr>
          <w:p w:rsidR="006A3CF0" w:rsidRPr="00D8075A" w:rsidRDefault="006A3CF0" w:rsidP="00485176">
            <w:pPr>
              <w:pStyle w:val="Tabletext"/>
            </w:pPr>
            <w:r w:rsidRPr="00D8075A">
              <w:t>Continuing treatment</w:t>
            </w:r>
          </w:p>
        </w:tc>
      </w:tr>
      <w:tr w:rsidR="006A3CF0" w:rsidRPr="00D8075A" w:rsidTr="004136AF">
        <w:tblPrEx>
          <w:shd w:val="clear" w:color="auto" w:fill="auto"/>
        </w:tblPrEx>
        <w:trPr>
          <w:cantSplit/>
          <w:trHeight w:val="360"/>
        </w:trPr>
        <w:tc>
          <w:tcPr>
            <w:tcW w:w="3261" w:type="dxa"/>
            <w:tcBorders>
              <w:top w:val="single" w:sz="4" w:space="0" w:color="auto"/>
              <w:left w:val="single" w:sz="4" w:space="0" w:color="auto"/>
              <w:bottom w:val="single" w:sz="4" w:space="0" w:color="auto"/>
              <w:right w:val="single" w:sz="4" w:space="0" w:color="auto"/>
            </w:tcBorders>
          </w:tcPr>
          <w:p w:rsidR="006A3CF0" w:rsidRPr="00D8075A" w:rsidRDefault="006A3CF0" w:rsidP="006440F5">
            <w:pPr>
              <w:pStyle w:val="Tabletext"/>
            </w:pPr>
            <w:r w:rsidRPr="00D8075A">
              <w:t>Restriction:</w:t>
            </w:r>
          </w:p>
        </w:tc>
        <w:tc>
          <w:tcPr>
            <w:tcW w:w="5811" w:type="dxa"/>
            <w:gridSpan w:val="4"/>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fldChar w:fldCharType="begin">
                <w:ffData>
                  <w:name w:val="Check5"/>
                  <w:enabled/>
                  <w:calcOnExit w:val="0"/>
                  <w:checkBox>
                    <w:sizeAuto/>
                    <w:default w:val="1"/>
                  </w:checkBox>
                </w:ffData>
              </w:fldChar>
            </w:r>
            <w:r w:rsidRPr="00D8075A">
              <w:instrText xml:space="preserve"> FORMCHECKBOX </w:instrText>
            </w:r>
            <w:r w:rsidR="0020366A">
              <w:fldChar w:fldCharType="separate"/>
            </w:r>
            <w:r w:rsidRPr="00D8075A">
              <w:fldChar w:fldCharType="end"/>
            </w:r>
            <w:r w:rsidRPr="00D8075A">
              <w:t>Streamlined</w:t>
            </w:r>
          </w:p>
        </w:tc>
      </w:tr>
      <w:tr w:rsidR="006A3CF0" w:rsidRPr="00D8075A" w:rsidTr="004136AF">
        <w:tblPrEx>
          <w:shd w:val="clear" w:color="auto" w:fill="auto"/>
        </w:tblPrEx>
        <w:trPr>
          <w:cantSplit/>
          <w:trHeight w:val="360"/>
        </w:trPr>
        <w:tc>
          <w:tcPr>
            <w:tcW w:w="3261" w:type="dxa"/>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Treatment criteria:</w:t>
            </w:r>
          </w:p>
        </w:tc>
        <w:tc>
          <w:tcPr>
            <w:tcW w:w="5811" w:type="dxa"/>
            <w:gridSpan w:val="4"/>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w:t>
            </w:r>
          </w:p>
        </w:tc>
      </w:tr>
      <w:tr w:rsidR="006A3CF0" w:rsidRPr="00D8075A" w:rsidTr="004136AF">
        <w:tblPrEx>
          <w:shd w:val="clear" w:color="auto" w:fill="auto"/>
        </w:tblPrEx>
        <w:trPr>
          <w:cantSplit/>
          <w:trHeight w:val="360"/>
        </w:trPr>
        <w:tc>
          <w:tcPr>
            <w:tcW w:w="3261" w:type="dxa"/>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 xml:space="preserve">Clinical criteria: </w:t>
            </w:r>
          </w:p>
        </w:tc>
        <w:tc>
          <w:tcPr>
            <w:tcW w:w="5811" w:type="dxa"/>
            <w:gridSpan w:val="4"/>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 xml:space="preserve">The treatment must be the sole PBS-subsidised therapy for this condition; </w:t>
            </w:r>
          </w:p>
          <w:p w:rsidR="006A3CF0" w:rsidRPr="00D8075A" w:rsidRDefault="006A3CF0" w:rsidP="004136AF">
            <w:pPr>
              <w:pStyle w:val="Tabletext"/>
            </w:pPr>
            <w:r w:rsidRPr="00D8075A">
              <w:t xml:space="preserve">AND </w:t>
            </w:r>
          </w:p>
          <w:p w:rsidR="006A3CF0" w:rsidRPr="00D8075A" w:rsidRDefault="006A3CF0" w:rsidP="004136AF">
            <w:pPr>
              <w:pStyle w:val="Tabletext"/>
            </w:pPr>
            <w:r w:rsidRPr="00D8075A">
              <w:t xml:space="preserve">Patient must have previously </w:t>
            </w:r>
            <w:r w:rsidR="00EE315A" w:rsidRPr="00D8075A">
              <w:t xml:space="preserve">received PBS-subsidised treatment with </w:t>
            </w:r>
            <w:r w:rsidRPr="00D8075A">
              <w:t>this drug for this condition;</w:t>
            </w:r>
          </w:p>
          <w:p w:rsidR="006A3CF0" w:rsidRPr="00D8075A" w:rsidRDefault="006A3CF0" w:rsidP="004136AF">
            <w:pPr>
              <w:pStyle w:val="Tabletext"/>
            </w:pPr>
            <w:r w:rsidRPr="00D8075A">
              <w:t xml:space="preserve">AND </w:t>
            </w:r>
          </w:p>
          <w:p w:rsidR="006A3CF0" w:rsidRPr="00D8075A" w:rsidRDefault="006A3CF0" w:rsidP="004136AF">
            <w:pPr>
              <w:pStyle w:val="Tabletext"/>
            </w:pPr>
            <w:r w:rsidRPr="00D8075A">
              <w:t>Patient must have stable or responding disease</w:t>
            </w:r>
          </w:p>
          <w:p w:rsidR="006A3CF0" w:rsidRPr="00D8075A" w:rsidRDefault="006A3CF0" w:rsidP="004136AF">
            <w:pPr>
              <w:pStyle w:val="Tabletext"/>
            </w:pPr>
            <w:r w:rsidRPr="00D8075A">
              <w:t xml:space="preserve">AND </w:t>
            </w:r>
          </w:p>
          <w:p w:rsidR="006A3CF0" w:rsidRPr="00D8075A" w:rsidRDefault="006A3CF0" w:rsidP="004136AF">
            <w:pPr>
              <w:pStyle w:val="Tabletext"/>
            </w:pPr>
            <w:r w:rsidRPr="00D8075A">
              <w:t xml:space="preserve">The treatment must not exceed a </w:t>
            </w:r>
            <w:r w:rsidR="007365F4" w:rsidRPr="00D8075A">
              <w:t xml:space="preserve">total of </w:t>
            </w:r>
            <w:r w:rsidR="009E539A" w:rsidRPr="00D8075A">
              <w:t>12</w:t>
            </w:r>
            <w:r w:rsidR="007365F4" w:rsidRPr="00D8075A">
              <w:t xml:space="preserve"> doses at a </w:t>
            </w:r>
            <w:r w:rsidRPr="00D8075A">
              <w:t>maximum dose of 10 mg per kg every 2 weeks</w:t>
            </w:r>
            <w:r w:rsidR="007365F4" w:rsidRPr="00D8075A">
              <w:t xml:space="preserve"> under this restriction</w:t>
            </w:r>
          </w:p>
        </w:tc>
      </w:tr>
      <w:tr w:rsidR="006A3CF0" w:rsidRPr="00D8075A" w:rsidTr="004136AF">
        <w:tblPrEx>
          <w:shd w:val="clear" w:color="auto" w:fill="auto"/>
        </w:tblPrEx>
        <w:trPr>
          <w:cantSplit/>
          <w:trHeight w:val="360"/>
        </w:trPr>
        <w:tc>
          <w:tcPr>
            <w:tcW w:w="3261" w:type="dxa"/>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rPr>
                <w:i/>
              </w:rPr>
            </w:pPr>
            <w:r w:rsidRPr="00D8075A">
              <w:t>Administrative Advice</w:t>
            </w:r>
          </w:p>
        </w:tc>
        <w:tc>
          <w:tcPr>
            <w:tcW w:w="5811" w:type="dxa"/>
            <w:gridSpan w:val="4"/>
            <w:tcBorders>
              <w:top w:val="single" w:sz="4" w:space="0" w:color="auto"/>
              <w:left w:val="single" w:sz="4" w:space="0" w:color="auto"/>
              <w:bottom w:val="single" w:sz="4" w:space="0" w:color="auto"/>
              <w:right w:val="single" w:sz="4" w:space="0" w:color="auto"/>
            </w:tcBorders>
          </w:tcPr>
          <w:p w:rsidR="006A3CF0" w:rsidRPr="00D8075A" w:rsidRDefault="006A3CF0" w:rsidP="004136AF">
            <w:pPr>
              <w:pStyle w:val="Tabletext"/>
            </w:pPr>
            <w:r w:rsidRPr="00D8075A">
              <w:t>No increase in the maximum number of repeats may be authorised.</w:t>
            </w:r>
          </w:p>
          <w:p w:rsidR="00A068D8" w:rsidRPr="00D8075A" w:rsidRDefault="00A068D8" w:rsidP="004136AF">
            <w:pPr>
              <w:pStyle w:val="Tabletext"/>
              <w:rPr>
                <w:rFonts w:cs="Arial"/>
              </w:rPr>
            </w:pPr>
          </w:p>
          <w:p w:rsidR="006A3CF0" w:rsidRPr="00D8075A" w:rsidRDefault="006A3CF0" w:rsidP="00AC1C42">
            <w:pPr>
              <w:pStyle w:val="Tabletext"/>
            </w:pPr>
            <w:r w:rsidRPr="00D8075A">
              <w:rPr>
                <w:rFonts w:cs="Arial"/>
              </w:rPr>
              <w:t>Special Pricing Arrangements apply.</w:t>
            </w:r>
          </w:p>
        </w:tc>
      </w:tr>
    </w:tbl>
    <w:p w:rsidR="007B3029" w:rsidRDefault="00C5610D" w:rsidP="00C5610D">
      <w:pPr>
        <w:pStyle w:val="PBACHeading1"/>
        <w:keepNext/>
        <w:spacing w:before="240" w:after="120"/>
        <w:outlineLvl w:val="0"/>
      </w:pPr>
      <w:r>
        <w:t>Context for Decision</w:t>
      </w:r>
    </w:p>
    <w:p w:rsidR="00C5610D" w:rsidRPr="00C07617" w:rsidRDefault="00C5610D" w:rsidP="00C5610D">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5610D" w:rsidRPr="00C5610D" w:rsidRDefault="00C5610D" w:rsidP="00C5610D">
      <w:pPr>
        <w:pStyle w:val="PBACHeading1"/>
        <w:keepNext/>
        <w:spacing w:before="240" w:after="120"/>
        <w:outlineLvl w:val="0"/>
      </w:pPr>
      <w:bookmarkStart w:id="19" w:name="_GoBack"/>
      <w:bookmarkEnd w:id="19"/>
      <w:r>
        <w:lastRenderedPageBreak/>
        <w:t xml:space="preserve">Sponsor’s Comment </w:t>
      </w:r>
    </w:p>
    <w:p w:rsidR="003426E3" w:rsidRPr="007B3029" w:rsidRDefault="00E91FE7" w:rsidP="00E91FE7">
      <w:r w:rsidRPr="00E91FE7">
        <w:rPr>
          <w:rFonts w:asciiTheme="minorHAnsi" w:hAnsiTheme="minorHAnsi"/>
          <w:bCs/>
          <w:lang w:val="en-GB"/>
        </w:rPr>
        <w:t>The Sponsor welcomes the PBAC’s decision to recommend avelumab for patients with metastatic MCC, a rare and aggressive skin cancer with high unmet clinical need and will work with the Department of Health towards a PBS listing at the earliest opportunity. The Sponsor would also like to thank the support of the MCC community, especially those who have participated in our clinical trials, including the now fully recruited first-line metastatic MCC trial.</w:t>
      </w:r>
    </w:p>
    <w:sectPr w:rsidR="003426E3" w:rsidRPr="007B3029" w:rsidSect="00E21358">
      <w:headerReference w:type="default" r:id="rId19"/>
      <w:footerReference w:type="default" r:id="rId20"/>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DB20E6" w15:done="0"/>
  <w15:commentEx w15:paraId="3A400781" w15:paraIdParent="41DB20E6" w15:done="0"/>
  <w15:commentEx w15:paraId="235B1B2D" w15:done="0"/>
  <w15:commentEx w15:paraId="789F9A08" w15:done="0"/>
  <w15:commentEx w15:paraId="3D26AF6C" w15:paraIdParent="789F9A08" w15:done="0"/>
  <w15:commentEx w15:paraId="0762900B" w15:done="0"/>
  <w15:commentEx w15:paraId="675043B7" w15:paraIdParent="0762900B" w15:done="0"/>
  <w15:commentEx w15:paraId="0CEE9096" w15:done="0"/>
  <w15:commentEx w15:paraId="637F0ABE" w15:paraIdParent="0CEE9096" w15:done="0"/>
  <w15:commentEx w15:paraId="016E31B2" w15:done="0"/>
  <w15:commentEx w15:paraId="4AD19BC4" w15:done="0"/>
  <w15:commentEx w15:paraId="672131CD" w15:done="0"/>
  <w15:commentEx w15:paraId="3DC86DAE" w15:paraIdParent="672131CD" w15:done="0"/>
  <w15:commentEx w15:paraId="55BA730A" w15:done="0"/>
  <w15:commentEx w15:paraId="1B38AEB3" w15:paraIdParent="55BA730A" w15:done="0"/>
  <w15:commentEx w15:paraId="410E5371" w15:done="0"/>
  <w15:commentEx w15:paraId="4354FEE7" w15:paraIdParent="410E53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DB20E6" w16cid:durableId="1F0B4993"/>
  <w16cid:commentId w16cid:paraId="3A400781" w16cid:durableId="1F0B4A32"/>
  <w16cid:commentId w16cid:paraId="235B1B2D" w16cid:durableId="1F0C948B"/>
  <w16cid:commentId w16cid:paraId="789F9A08" w16cid:durableId="1F0B4994"/>
  <w16cid:commentId w16cid:paraId="3D26AF6C" w16cid:durableId="1F0B4C4B"/>
  <w16cid:commentId w16cid:paraId="0762900B" w16cid:durableId="1F0B4995"/>
  <w16cid:commentId w16cid:paraId="675043B7" w16cid:durableId="1F0C93FA"/>
  <w16cid:commentId w16cid:paraId="0CEE9096" w16cid:durableId="1F0B4996"/>
  <w16cid:commentId w16cid:paraId="637F0ABE" w16cid:durableId="1F0C9409"/>
  <w16cid:commentId w16cid:paraId="016E31B2" w16cid:durableId="1F0C9516"/>
  <w16cid:commentId w16cid:paraId="4AD19BC4" w16cid:durableId="1F0B4997"/>
  <w16cid:commentId w16cid:paraId="672131CD" w16cid:durableId="1F0B4998"/>
  <w16cid:commentId w16cid:paraId="3DC86DAE" w16cid:durableId="1F0C95B3"/>
  <w16cid:commentId w16cid:paraId="55BA730A" w16cid:durableId="1F0B4999"/>
  <w16cid:commentId w16cid:paraId="1B38AEB3" w16cid:durableId="1F0C9628"/>
  <w16cid:commentId w16cid:paraId="410E5371" w16cid:durableId="1F0B499A"/>
  <w16cid:commentId w16cid:paraId="4354FEE7" w16cid:durableId="1F0C96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539" w:rsidRDefault="00E43539" w:rsidP="00124A51">
      <w:r>
        <w:separator/>
      </w:r>
    </w:p>
    <w:p w:rsidR="00E43539" w:rsidRDefault="00E43539"/>
  </w:endnote>
  <w:endnote w:type="continuationSeparator" w:id="0">
    <w:p w:rsidR="00E43539" w:rsidRDefault="00E43539" w:rsidP="00124A51">
      <w:r>
        <w:continuationSeparator/>
      </w:r>
    </w:p>
    <w:p w:rsidR="00E43539" w:rsidRDefault="00E43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539" w:rsidRDefault="00E435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539" w:rsidRDefault="00E43539" w:rsidP="006F39F8">
    <w:pPr>
      <w:ind w:right="360"/>
      <w:jc w:val="center"/>
      <w:rPr>
        <w:szCs w:val="24"/>
      </w:rPr>
    </w:pPr>
  </w:p>
  <w:p w:rsidR="00E43539" w:rsidRPr="006F39F8" w:rsidRDefault="00E43539" w:rsidP="006F39F8">
    <w:pPr>
      <w:pStyle w:val="Footer"/>
      <w:ind w:left="360"/>
      <w:jc w:val="center"/>
      <w:rPr>
        <w:b/>
        <w:sz w:val="20"/>
      </w:rPr>
    </w:pPr>
    <w:r w:rsidRPr="00F90A91">
      <w:rPr>
        <w:b/>
        <w:sz w:val="20"/>
      </w:rPr>
      <w:fldChar w:fldCharType="begin"/>
    </w:r>
    <w:r w:rsidRPr="00F90A91">
      <w:rPr>
        <w:b/>
        <w:sz w:val="20"/>
      </w:rPr>
      <w:instrText xml:space="preserve"> PAGE   \* MERGEFORMAT </w:instrText>
    </w:r>
    <w:r w:rsidRPr="00F90A91">
      <w:rPr>
        <w:b/>
        <w:sz w:val="20"/>
      </w:rPr>
      <w:fldChar w:fldCharType="separate"/>
    </w:r>
    <w:r w:rsidR="0020366A">
      <w:rPr>
        <w:b/>
        <w:noProof/>
        <w:sz w:val="20"/>
      </w:rPr>
      <w:t>13</w:t>
    </w:r>
    <w:r w:rsidRPr="00F90A91">
      <w:rPr>
        <w:b/>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539" w:rsidRDefault="00E4353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539" w:rsidRDefault="00E43539" w:rsidP="005C2B48">
    <w:pPr>
      <w:ind w:right="360"/>
      <w:jc w:val="center"/>
      <w:rPr>
        <w:szCs w:val="24"/>
      </w:rPr>
    </w:pPr>
  </w:p>
  <w:p w:rsidR="00E43539" w:rsidRPr="00E92A37" w:rsidRDefault="00E43539" w:rsidP="00E92A37">
    <w:pPr>
      <w:pStyle w:val="Footer"/>
      <w:ind w:left="360"/>
      <w:jc w:val="center"/>
      <w:rPr>
        <w:b/>
        <w:sz w:val="20"/>
      </w:rPr>
    </w:pPr>
    <w:r w:rsidRPr="00F90A91">
      <w:rPr>
        <w:b/>
        <w:sz w:val="20"/>
      </w:rPr>
      <w:fldChar w:fldCharType="begin"/>
    </w:r>
    <w:r w:rsidRPr="00F90A91">
      <w:rPr>
        <w:b/>
        <w:sz w:val="20"/>
      </w:rPr>
      <w:instrText xml:space="preserve"> PAGE   \* MERGEFORMAT </w:instrText>
    </w:r>
    <w:r w:rsidRPr="00F90A91">
      <w:rPr>
        <w:b/>
        <w:sz w:val="20"/>
      </w:rPr>
      <w:fldChar w:fldCharType="separate"/>
    </w:r>
    <w:r w:rsidR="0020366A">
      <w:rPr>
        <w:b/>
        <w:noProof/>
        <w:sz w:val="20"/>
      </w:rPr>
      <w:t>35</w:t>
    </w:r>
    <w:r w:rsidRPr="00F90A91">
      <w:rPr>
        <w:b/>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539" w:rsidRDefault="00E43539" w:rsidP="00124A51">
      <w:r>
        <w:separator/>
      </w:r>
    </w:p>
    <w:p w:rsidR="00E43539" w:rsidRDefault="00E43539"/>
  </w:footnote>
  <w:footnote w:type="continuationSeparator" w:id="0">
    <w:p w:rsidR="00E43539" w:rsidRDefault="00E43539" w:rsidP="00124A51">
      <w:r>
        <w:continuationSeparator/>
      </w:r>
    </w:p>
    <w:p w:rsidR="00E43539" w:rsidRDefault="00E43539"/>
  </w:footnote>
  <w:footnote w:id="1">
    <w:p w:rsidR="00E43539" w:rsidRDefault="00E43539">
      <w:pPr>
        <w:pStyle w:val="FootnoteText"/>
      </w:pPr>
      <w:r>
        <w:rPr>
          <w:rStyle w:val="FootnoteReference"/>
        </w:rPr>
        <w:footnoteRef/>
      </w:r>
      <w:r>
        <w:t xml:space="preserve"> </w:t>
      </w:r>
      <w:r w:rsidRPr="00A530D2">
        <w:t xml:space="preserve">Nghiem et al. ASCO ASM 2018, </w:t>
      </w:r>
      <w:r>
        <w:rPr>
          <w:color w:val="000000"/>
          <w:lang w:val="en"/>
        </w:rPr>
        <w:t xml:space="preserve">Two-year efficacy and safety update from JAVELIN Merkel 200 part A: A </w:t>
      </w:r>
      <w:proofErr w:type="spellStart"/>
      <w:r>
        <w:rPr>
          <w:color w:val="000000"/>
          <w:lang w:val="en"/>
        </w:rPr>
        <w:t>registrational</w:t>
      </w:r>
      <w:proofErr w:type="spellEnd"/>
      <w:r>
        <w:rPr>
          <w:color w:val="000000"/>
          <w:lang w:val="en"/>
        </w:rPr>
        <w:t xml:space="preserve"> study of avelumab in metastatic Merkel cell carcinoma progressed on chemotherapy, </w:t>
      </w:r>
      <w:r w:rsidRPr="00A530D2">
        <w:t>abstract 9507</w:t>
      </w:r>
      <w:r>
        <w:t>.</w:t>
      </w:r>
    </w:p>
  </w:footnote>
  <w:footnote w:id="2">
    <w:p w:rsidR="00E43539" w:rsidRPr="0078252A" w:rsidRDefault="00E43539">
      <w:pPr>
        <w:pStyle w:val="FootnoteText"/>
        <w:rPr>
          <w:lang w:val="en-GB"/>
        </w:rPr>
      </w:pPr>
      <w:r>
        <w:rPr>
          <w:rStyle w:val="FootnoteReference"/>
        </w:rPr>
        <w:footnoteRef/>
      </w:r>
      <w:r>
        <w:t xml:space="preserve"> </w:t>
      </w:r>
      <w:r w:rsidRPr="0078252A">
        <w:rPr>
          <w:lang w:val="en-US"/>
        </w:rPr>
        <w:t>Walker et al. ASCO ASM 2018</w:t>
      </w:r>
      <w:r>
        <w:rPr>
          <w:lang w:val="en-US"/>
        </w:rPr>
        <w:t>,</w:t>
      </w:r>
      <w:r w:rsidRPr="0078252A">
        <w:rPr>
          <w:lang w:val="en-GB"/>
        </w:rPr>
        <w:t xml:space="preserve"> </w:t>
      </w:r>
      <w:r w:rsidRPr="00CC5C0B">
        <w:rPr>
          <w:lang w:val="en-GB"/>
        </w:rPr>
        <w:t xml:space="preserve">Second-line </w:t>
      </w:r>
      <w:r>
        <w:rPr>
          <w:lang w:val="en-GB"/>
        </w:rPr>
        <w:t xml:space="preserve">avelumab treatment of patients </w:t>
      </w:r>
      <w:r w:rsidRPr="00CC5C0B">
        <w:rPr>
          <w:lang w:val="en-GB"/>
        </w:rPr>
        <w:t>with metastatic Merkel cell carcinoma: Experience from a</w:t>
      </w:r>
      <w:r>
        <w:rPr>
          <w:lang w:val="en-GB"/>
        </w:rPr>
        <w:t xml:space="preserve"> global expanded access program, </w:t>
      </w:r>
      <w:r w:rsidRPr="0078252A">
        <w:rPr>
          <w:lang w:val="en-GB"/>
        </w:rPr>
        <w:t xml:space="preserve">Abstract No. 9537 </w:t>
      </w:r>
    </w:p>
  </w:footnote>
  <w:footnote w:id="3">
    <w:p w:rsidR="00E43539" w:rsidRDefault="00E43539">
      <w:pPr>
        <w:pStyle w:val="FootnoteText"/>
      </w:pPr>
      <w:r>
        <w:rPr>
          <w:rStyle w:val="FootnoteReference"/>
        </w:rPr>
        <w:footnoteRef/>
      </w:r>
      <w:r>
        <w:t xml:space="preserve"> </w:t>
      </w:r>
      <w:proofErr w:type="spellStart"/>
      <w:r w:rsidRPr="00FA4AD3">
        <w:rPr>
          <w:rFonts w:asciiTheme="minorHAnsi" w:hAnsiTheme="minorHAnsi"/>
          <w:bCs/>
        </w:rPr>
        <w:t>Cherny</w:t>
      </w:r>
      <w:proofErr w:type="spellEnd"/>
      <w:r w:rsidRPr="00FA4AD3">
        <w:rPr>
          <w:rFonts w:asciiTheme="minorHAnsi" w:hAnsiTheme="minorHAnsi"/>
          <w:bCs/>
        </w:rPr>
        <w:t xml:space="preserve"> NI, Dafni U, </w:t>
      </w:r>
      <w:proofErr w:type="spellStart"/>
      <w:r w:rsidRPr="00FA4AD3">
        <w:rPr>
          <w:rFonts w:asciiTheme="minorHAnsi" w:hAnsiTheme="minorHAnsi"/>
          <w:bCs/>
        </w:rPr>
        <w:t>Bogaerts</w:t>
      </w:r>
      <w:proofErr w:type="spellEnd"/>
      <w:r w:rsidRPr="00FA4AD3">
        <w:rPr>
          <w:rFonts w:asciiTheme="minorHAnsi" w:hAnsiTheme="minorHAnsi"/>
          <w:bCs/>
        </w:rPr>
        <w:t xml:space="preserve"> J, et al: ESMO-Magnitude of Clinical Benefit Scale version 1.1. Annals of Oncology 28:2340-2366,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539" w:rsidRDefault="00E435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539" w:rsidRPr="007B3029" w:rsidRDefault="00E43539" w:rsidP="007B3029">
    <w:pPr>
      <w:widowControl/>
      <w:tabs>
        <w:tab w:val="center" w:pos="4513"/>
        <w:tab w:val="right" w:pos="9026"/>
      </w:tabs>
      <w:jc w:val="center"/>
      <w:rPr>
        <w:rFonts w:asciiTheme="minorHAnsi" w:eastAsiaTheme="minorHAnsi" w:hAnsiTheme="minorHAnsi" w:cstheme="minorHAnsi"/>
        <w:i/>
        <w:snapToGrid/>
        <w:color w:val="808080"/>
        <w:sz w:val="22"/>
      </w:rPr>
    </w:pPr>
    <w:r w:rsidRPr="007B3029">
      <w:rPr>
        <w:rFonts w:asciiTheme="minorHAnsi" w:eastAsiaTheme="minorHAnsi" w:hAnsiTheme="minorHAnsi" w:cstheme="minorHAnsi"/>
        <w:i/>
        <w:snapToGrid/>
        <w:color w:val="808080"/>
        <w:sz w:val="22"/>
      </w:rPr>
      <w:t xml:space="preserve">Public Summary Document – </w:t>
    </w:r>
    <w:r>
      <w:rPr>
        <w:rFonts w:asciiTheme="minorHAnsi" w:eastAsiaTheme="minorHAnsi" w:hAnsiTheme="minorHAnsi" w:cstheme="minorHAnsi"/>
        <w:i/>
        <w:snapToGrid/>
        <w:color w:val="808080"/>
        <w:sz w:val="22"/>
      </w:rPr>
      <w:t>July 2018</w:t>
    </w:r>
    <w:r w:rsidRPr="007B3029">
      <w:rPr>
        <w:rFonts w:asciiTheme="minorHAnsi" w:eastAsiaTheme="minorHAnsi" w:hAnsiTheme="minorHAnsi" w:cstheme="minorHAnsi"/>
        <w:i/>
        <w:snapToGrid/>
        <w:color w:val="808080"/>
        <w:sz w:val="22"/>
      </w:rPr>
      <w:t xml:space="preserve"> PBAC Meeting</w:t>
    </w:r>
  </w:p>
  <w:p w:rsidR="00E43539" w:rsidRPr="008C7ECB" w:rsidRDefault="00E435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539" w:rsidRDefault="00E4353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539" w:rsidRPr="00F90A91" w:rsidRDefault="00E43539" w:rsidP="00D546BE">
    <w:pPr>
      <w:pStyle w:val="Header"/>
      <w:ind w:left="360"/>
      <w:jc w:val="center"/>
      <w:rPr>
        <w:rFonts w:asciiTheme="minorHAnsi" w:hAnsiTheme="minorHAnsi"/>
        <w:i/>
        <w:color w:val="808080"/>
        <w:sz w:val="22"/>
      </w:rPr>
    </w:pPr>
    <w:r>
      <w:rPr>
        <w:rFonts w:asciiTheme="minorHAnsi" w:hAnsiTheme="minorHAnsi"/>
        <w:i/>
        <w:color w:val="808080"/>
        <w:sz w:val="22"/>
      </w:rPr>
      <w:t>Ratified</w:t>
    </w:r>
    <w:r w:rsidRPr="00F90A91">
      <w:rPr>
        <w:rFonts w:asciiTheme="minorHAnsi" w:hAnsiTheme="minorHAnsi"/>
        <w:i/>
        <w:color w:val="808080"/>
        <w:sz w:val="22"/>
      </w:rPr>
      <w:t xml:space="preserve"> Minutes</w:t>
    </w:r>
    <w:r>
      <w:rPr>
        <w:rFonts w:asciiTheme="minorHAnsi" w:hAnsiTheme="minorHAnsi"/>
        <w:i/>
        <w:color w:val="808080"/>
        <w:sz w:val="22"/>
      </w:rPr>
      <w:t xml:space="preserve"> </w:t>
    </w:r>
    <w:r w:rsidRPr="00F90A91">
      <w:rPr>
        <w:rFonts w:asciiTheme="minorHAnsi" w:hAnsiTheme="minorHAnsi"/>
        <w:i/>
        <w:color w:val="808080"/>
        <w:sz w:val="22"/>
      </w:rPr>
      <w:t xml:space="preserve">– </w:t>
    </w:r>
    <w:r>
      <w:rPr>
        <w:rFonts w:asciiTheme="minorHAnsi" w:hAnsiTheme="minorHAnsi"/>
        <w:i/>
        <w:color w:val="808080"/>
        <w:sz w:val="22"/>
      </w:rPr>
      <w:t xml:space="preserve">July 2018 </w:t>
    </w:r>
    <w:r w:rsidRPr="00F90A91">
      <w:rPr>
        <w:rFonts w:asciiTheme="minorHAnsi" w:hAnsiTheme="minorHAnsi"/>
        <w:i/>
        <w:color w:val="808080"/>
        <w:sz w:val="22"/>
      </w:rPr>
      <w:t>PBAC Meeting</w:t>
    </w:r>
  </w:p>
  <w:p w:rsidR="00E43539" w:rsidRPr="00F90A91" w:rsidRDefault="00E43539" w:rsidP="00D546BE">
    <w:pPr>
      <w:pStyle w:val="Header"/>
      <w:ind w:left="360"/>
      <w:jc w:val="center"/>
      <w:rPr>
        <w:rFonts w:asciiTheme="minorHAnsi" w:hAnsiTheme="minorHAnsi"/>
        <w:i/>
        <w:color w:val="808080"/>
        <w:sz w:val="22"/>
      </w:rPr>
    </w:pPr>
    <w:r w:rsidRPr="00F90A91">
      <w:rPr>
        <w:rFonts w:asciiTheme="minorHAnsi" w:hAnsiTheme="minorHAnsi"/>
        <w:i/>
        <w:color w:val="808080"/>
        <w:sz w:val="22"/>
      </w:rPr>
      <w:t>Commercial-in-Confidence</w:t>
    </w:r>
  </w:p>
  <w:p w:rsidR="00E43539" w:rsidRPr="009F45E6" w:rsidRDefault="00E43539" w:rsidP="00570E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ED35613"/>
    <w:multiLevelType w:val="hybridMultilevel"/>
    <w:tmpl w:val="B0A42FB0"/>
    <w:lvl w:ilvl="0" w:tplc="ED1E5F1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AF73FB"/>
    <w:multiLevelType w:val="multilevel"/>
    <w:tmpl w:val="57FCFAE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9AE67C8"/>
    <w:multiLevelType w:val="hybridMultilevel"/>
    <w:tmpl w:val="4BBC02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2006832"/>
    <w:multiLevelType w:val="hybridMultilevel"/>
    <w:tmpl w:val="D3E81B8E"/>
    <w:lvl w:ilvl="0" w:tplc="6C660A88">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68C4AEA"/>
    <w:multiLevelType w:val="hybridMultilevel"/>
    <w:tmpl w:val="B47ECD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20B6ECC"/>
    <w:multiLevelType w:val="hybridMultilevel"/>
    <w:tmpl w:val="D9C4D238"/>
    <w:lvl w:ilvl="0" w:tplc="ED1E5F1E">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87E4D1D6">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cs="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cs="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9">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C56830"/>
    <w:multiLevelType w:val="hybridMultilevel"/>
    <w:tmpl w:val="E326EDAC"/>
    <w:lvl w:ilvl="0" w:tplc="75E07DAE">
      <w:start w:val="2"/>
      <w:numFmt w:val="bullet"/>
      <w:lvlText w:val="-"/>
      <w:lvlJc w:val="left"/>
      <w:pPr>
        <w:ind w:left="720" w:hanging="360"/>
      </w:pPr>
      <w:rPr>
        <w:rFonts w:ascii="Arial Narrow" w:eastAsia="Arial Narrow" w:hAnsi="Arial Narrow" w:cs="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BBE35C7"/>
    <w:multiLevelType w:val="hybridMultilevel"/>
    <w:tmpl w:val="D3E81B8E"/>
    <w:lvl w:ilvl="0" w:tplc="6C660A88">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84D033C"/>
    <w:multiLevelType w:val="multilevel"/>
    <w:tmpl w:val="804EBD6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D6E2AB9"/>
    <w:multiLevelType w:val="hybridMultilevel"/>
    <w:tmpl w:val="831C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8"/>
  </w:num>
  <w:num w:numId="4">
    <w:abstractNumId w:val="10"/>
  </w:num>
  <w:num w:numId="5">
    <w:abstractNumId w:val="4"/>
  </w:num>
  <w:num w:numId="6">
    <w:abstractNumId w:val="3"/>
  </w:num>
  <w:num w:numId="7">
    <w:abstractNumId w:val="14"/>
  </w:num>
  <w:num w:numId="8">
    <w:abstractNumId w:val="2"/>
  </w:num>
  <w:num w:numId="9">
    <w:abstractNumId w:val="7"/>
  </w:num>
  <w:num w:numId="10">
    <w:abstractNumId w:val="11"/>
  </w:num>
  <w:num w:numId="11">
    <w:abstractNumId w:val="1"/>
  </w:num>
  <w:num w:numId="12">
    <w:abstractNumId w:val="0"/>
  </w:num>
  <w:num w:numId="13">
    <w:abstractNumId w:val="5"/>
  </w:num>
  <w:num w:numId="14">
    <w:abstractNumId w:val="12"/>
  </w:num>
  <w:num w:numId="15">
    <w:abstractNumId w:val="6"/>
  </w:num>
  <w:num w:numId="16">
    <w:abstractNumId w:val="13"/>
  </w:num>
  <w:num w:numId="17">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 Grimison">
    <w15:presenceInfo w15:providerId="Windows Live" w15:userId="3f62feba809989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A0MjYyszA2MDczMDBT0lEKTi0uzszPAykwrAUA5CuaaSwAAAA="/>
  </w:docVars>
  <w:rsids>
    <w:rsidRoot w:val="00E65E79"/>
    <w:rsid w:val="00000588"/>
    <w:rsid w:val="00000688"/>
    <w:rsid w:val="00000790"/>
    <w:rsid w:val="0000110B"/>
    <w:rsid w:val="00001B8C"/>
    <w:rsid w:val="00002C92"/>
    <w:rsid w:val="00003499"/>
    <w:rsid w:val="000039B7"/>
    <w:rsid w:val="00004268"/>
    <w:rsid w:val="0000517A"/>
    <w:rsid w:val="0000576E"/>
    <w:rsid w:val="0000605E"/>
    <w:rsid w:val="0000716F"/>
    <w:rsid w:val="0000772B"/>
    <w:rsid w:val="00010391"/>
    <w:rsid w:val="0001092A"/>
    <w:rsid w:val="00010F62"/>
    <w:rsid w:val="000117EF"/>
    <w:rsid w:val="00012B87"/>
    <w:rsid w:val="00013247"/>
    <w:rsid w:val="00013A7B"/>
    <w:rsid w:val="000144DF"/>
    <w:rsid w:val="00015447"/>
    <w:rsid w:val="0001568B"/>
    <w:rsid w:val="000156E2"/>
    <w:rsid w:val="00015886"/>
    <w:rsid w:val="000162EF"/>
    <w:rsid w:val="000165F3"/>
    <w:rsid w:val="00016635"/>
    <w:rsid w:val="000171AC"/>
    <w:rsid w:val="00017253"/>
    <w:rsid w:val="00017FE9"/>
    <w:rsid w:val="000216D3"/>
    <w:rsid w:val="0002225F"/>
    <w:rsid w:val="00023763"/>
    <w:rsid w:val="0002468F"/>
    <w:rsid w:val="000300BC"/>
    <w:rsid w:val="0003264D"/>
    <w:rsid w:val="00032CEA"/>
    <w:rsid w:val="00033759"/>
    <w:rsid w:val="00033863"/>
    <w:rsid w:val="00034844"/>
    <w:rsid w:val="00035DC0"/>
    <w:rsid w:val="00036829"/>
    <w:rsid w:val="000375ED"/>
    <w:rsid w:val="00037FA0"/>
    <w:rsid w:val="00040895"/>
    <w:rsid w:val="00041F98"/>
    <w:rsid w:val="000432FE"/>
    <w:rsid w:val="00043C37"/>
    <w:rsid w:val="00043E3E"/>
    <w:rsid w:val="00045017"/>
    <w:rsid w:val="00045A2B"/>
    <w:rsid w:val="0004698F"/>
    <w:rsid w:val="00051F16"/>
    <w:rsid w:val="00052461"/>
    <w:rsid w:val="0005254E"/>
    <w:rsid w:val="000530AF"/>
    <w:rsid w:val="000539D0"/>
    <w:rsid w:val="00053DA0"/>
    <w:rsid w:val="00054621"/>
    <w:rsid w:val="000546D7"/>
    <w:rsid w:val="00055A8D"/>
    <w:rsid w:val="00055AD8"/>
    <w:rsid w:val="00055CE5"/>
    <w:rsid w:val="00056BE3"/>
    <w:rsid w:val="0005767D"/>
    <w:rsid w:val="00061F35"/>
    <w:rsid w:val="0006235B"/>
    <w:rsid w:val="00063C3B"/>
    <w:rsid w:val="00065219"/>
    <w:rsid w:val="000662FE"/>
    <w:rsid w:val="00066360"/>
    <w:rsid w:val="000663D6"/>
    <w:rsid w:val="000673D0"/>
    <w:rsid w:val="00071248"/>
    <w:rsid w:val="00071E20"/>
    <w:rsid w:val="000720B9"/>
    <w:rsid w:val="000737F7"/>
    <w:rsid w:val="0007535D"/>
    <w:rsid w:val="00075530"/>
    <w:rsid w:val="0007672F"/>
    <w:rsid w:val="00076EEE"/>
    <w:rsid w:val="000774F0"/>
    <w:rsid w:val="000777F0"/>
    <w:rsid w:val="000804E6"/>
    <w:rsid w:val="00080909"/>
    <w:rsid w:val="000812CA"/>
    <w:rsid w:val="0008258D"/>
    <w:rsid w:val="00083E99"/>
    <w:rsid w:val="0008413B"/>
    <w:rsid w:val="000856C5"/>
    <w:rsid w:val="00085A78"/>
    <w:rsid w:val="00085B64"/>
    <w:rsid w:val="000869F1"/>
    <w:rsid w:val="00086C57"/>
    <w:rsid w:val="000870BE"/>
    <w:rsid w:val="00090C7E"/>
    <w:rsid w:val="00090D47"/>
    <w:rsid w:val="00092600"/>
    <w:rsid w:val="0009262B"/>
    <w:rsid w:val="00092B6D"/>
    <w:rsid w:val="00092F08"/>
    <w:rsid w:val="00093310"/>
    <w:rsid w:val="0009445C"/>
    <w:rsid w:val="00095135"/>
    <w:rsid w:val="00095FE5"/>
    <w:rsid w:val="00096284"/>
    <w:rsid w:val="00097E1E"/>
    <w:rsid w:val="000A3BEF"/>
    <w:rsid w:val="000A3C59"/>
    <w:rsid w:val="000A4380"/>
    <w:rsid w:val="000A72A9"/>
    <w:rsid w:val="000A7595"/>
    <w:rsid w:val="000A7D08"/>
    <w:rsid w:val="000A7F51"/>
    <w:rsid w:val="000B0670"/>
    <w:rsid w:val="000B0E75"/>
    <w:rsid w:val="000B3683"/>
    <w:rsid w:val="000B3B9B"/>
    <w:rsid w:val="000B4831"/>
    <w:rsid w:val="000B619B"/>
    <w:rsid w:val="000B63E6"/>
    <w:rsid w:val="000B6512"/>
    <w:rsid w:val="000B6CAC"/>
    <w:rsid w:val="000B70D0"/>
    <w:rsid w:val="000B7612"/>
    <w:rsid w:val="000B7DF5"/>
    <w:rsid w:val="000C0F90"/>
    <w:rsid w:val="000C2F59"/>
    <w:rsid w:val="000C3DF9"/>
    <w:rsid w:val="000C43DA"/>
    <w:rsid w:val="000C4E5A"/>
    <w:rsid w:val="000C5541"/>
    <w:rsid w:val="000C56AF"/>
    <w:rsid w:val="000C60CC"/>
    <w:rsid w:val="000C6713"/>
    <w:rsid w:val="000D0BF4"/>
    <w:rsid w:val="000D1BFC"/>
    <w:rsid w:val="000D1DE0"/>
    <w:rsid w:val="000D281A"/>
    <w:rsid w:val="000D326A"/>
    <w:rsid w:val="000D51FB"/>
    <w:rsid w:val="000D78E7"/>
    <w:rsid w:val="000E0D76"/>
    <w:rsid w:val="000E135D"/>
    <w:rsid w:val="000E4E3B"/>
    <w:rsid w:val="000E7117"/>
    <w:rsid w:val="000F00BA"/>
    <w:rsid w:val="000F2902"/>
    <w:rsid w:val="000F316A"/>
    <w:rsid w:val="000F3C74"/>
    <w:rsid w:val="000F4BB8"/>
    <w:rsid w:val="000F7127"/>
    <w:rsid w:val="000F784E"/>
    <w:rsid w:val="00100F8A"/>
    <w:rsid w:val="0010360E"/>
    <w:rsid w:val="001057D8"/>
    <w:rsid w:val="00105AE2"/>
    <w:rsid w:val="00106B23"/>
    <w:rsid w:val="00106B80"/>
    <w:rsid w:val="0011032E"/>
    <w:rsid w:val="00110F44"/>
    <w:rsid w:val="001110F4"/>
    <w:rsid w:val="001122E1"/>
    <w:rsid w:val="001123C2"/>
    <w:rsid w:val="0011348B"/>
    <w:rsid w:val="00115976"/>
    <w:rsid w:val="00115982"/>
    <w:rsid w:val="001161E8"/>
    <w:rsid w:val="00116C53"/>
    <w:rsid w:val="00120210"/>
    <w:rsid w:val="00120EBF"/>
    <w:rsid w:val="00120EC1"/>
    <w:rsid w:val="00121799"/>
    <w:rsid w:val="00121B71"/>
    <w:rsid w:val="001222FC"/>
    <w:rsid w:val="00122C4A"/>
    <w:rsid w:val="00124A51"/>
    <w:rsid w:val="001255F2"/>
    <w:rsid w:val="001257B5"/>
    <w:rsid w:val="00126621"/>
    <w:rsid w:val="00127192"/>
    <w:rsid w:val="001272FE"/>
    <w:rsid w:val="00127B20"/>
    <w:rsid w:val="00127BE4"/>
    <w:rsid w:val="00127DDC"/>
    <w:rsid w:val="001301E9"/>
    <w:rsid w:val="00131D82"/>
    <w:rsid w:val="00132C12"/>
    <w:rsid w:val="0013367E"/>
    <w:rsid w:val="00133D36"/>
    <w:rsid w:val="00133E79"/>
    <w:rsid w:val="00136C01"/>
    <w:rsid w:val="00137645"/>
    <w:rsid w:val="0014015A"/>
    <w:rsid w:val="00140966"/>
    <w:rsid w:val="00140E99"/>
    <w:rsid w:val="00140F74"/>
    <w:rsid w:val="0014104E"/>
    <w:rsid w:val="00141634"/>
    <w:rsid w:val="00142B2E"/>
    <w:rsid w:val="0014363D"/>
    <w:rsid w:val="00144085"/>
    <w:rsid w:val="00145540"/>
    <w:rsid w:val="001456B0"/>
    <w:rsid w:val="0014780B"/>
    <w:rsid w:val="00150D6B"/>
    <w:rsid w:val="00151DE6"/>
    <w:rsid w:val="0015329B"/>
    <w:rsid w:val="00154A69"/>
    <w:rsid w:val="0015637B"/>
    <w:rsid w:val="0015660A"/>
    <w:rsid w:val="00157130"/>
    <w:rsid w:val="001576B1"/>
    <w:rsid w:val="001604D5"/>
    <w:rsid w:val="00160A4C"/>
    <w:rsid w:val="00161827"/>
    <w:rsid w:val="00162913"/>
    <w:rsid w:val="00162932"/>
    <w:rsid w:val="00162AB6"/>
    <w:rsid w:val="00163EFF"/>
    <w:rsid w:val="00164281"/>
    <w:rsid w:val="00164305"/>
    <w:rsid w:val="00164E16"/>
    <w:rsid w:val="00164E3E"/>
    <w:rsid w:val="001661FB"/>
    <w:rsid w:val="00166FCE"/>
    <w:rsid w:val="00173565"/>
    <w:rsid w:val="00173A09"/>
    <w:rsid w:val="00173B07"/>
    <w:rsid w:val="00175185"/>
    <w:rsid w:val="00177BD2"/>
    <w:rsid w:val="00181D9C"/>
    <w:rsid w:val="00184613"/>
    <w:rsid w:val="001850B7"/>
    <w:rsid w:val="0018655A"/>
    <w:rsid w:val="0018752F"/>
    <w:rsid w:val="001904D5"/>
    <w:rsid w:val="0019171D"/>
    <w:rsid w:val="00193214"/>
    <w:rsid w:val="001935E1"/>
    <w:rsid w:val="00195222"/>
    <w:rsid w:val="001975D8"/>
    <w:rsid w:val="00197F77"/>
    <w:rsid w:val="001A1B31"/>
    <w:rsid w:val="001A23F8"/>
    <w:rsid w:val="001A43FA"/>
    <w:rsid w:val="001A56E1"/>
    <w:rsid w:val="001A59FB"/>
    <w:rsid w:val="001A5DCA"/>
    <w:rsid w:val="001A6354"/>
    <w:rsid w:val="001A6C86"/>
    <w:rsid w:val="001A7AE8"/>
    <w:rsid w:val="001B0C44"/>
    <w:rsid w:val="001B17E3"/>
    <w:rsid w:val="001B204E"/>
    <w:rsid w:val="001B2152"/>
    <w:rsid w:val="001B3188"/>
    <w:rsid w:val="001B3443"/>
    <w:rsid w:val="001B4D20"/>
    <w:rsid w:val="001B4ED2"/>
    <w:rsid w:val="001B5082"/>
    <w:rsid w:val="001B530C"/>
    <w:rsid w:val="001B68C4"/>
    <w:rsid w:val="001B7EBE"/>
    <w:rsid w:val="001C10C5"/>
    <w:rsid w:val="001C275A"/>
    <w:rsid w:val="001C2A9B"/>
    <w:rsid w:val="001C41EF"/>
    <w:rsid w:val="001C4299"/>
    <w:rsid w:val="001C5F94"/>
    <w:rsid w:val="001C6E66"/>
    <w:rsid w:val="001D23C1"/>
    <w:rsid w:val="001D3F8D"/>
    <w:rsid w:val="001D458D"/>
    <w:rsid w:val="001D4EB5"/>
    <w:rsid w:val="001D5081"/>
    <w:rsid w:val="001D547F"/>
    <w:rsid w:val="001D59A2"/>
    <w:rsid w:val="001E0F3F"/>
    <w:rsid w:val="001E22D4"/>
    <w:rsid w:val="001E238E"/>
    <w:rsid w:val="001E2483"/>
    <w:rsid w:val="001E24E5"/>
    <w:rsid w:val="001E2B1E"/>
    <w:rsid w:val="001E2E7D"/>
    <w:rsid w:val="001E30D4"/>
    <w:rsid w:val="001E3264"/>
    <w:rsid w:val="001E4645"/>
    <w:rsid w:val="001E52EB"/>
    <w:rsid w:val="001E5A06"/>
    <w:rsid w:val="001E5A15"/>
    <w:rsid w:val="001E61D2"/>
    <w:rsid w:val="001E740C"/>
    <w:rsid w:val="001F0CDE"/>
    <w:rsid w:val="001F1235"/>
    <w:rsid w:val="001F1820"/>
    <w:rsid w:val="001F1CB3"/>
    <w:rsid w:val="001F1CB9"/>
    <w:rsid w:val="001F38B5"/>
    <w:rsid w:val="001F412C"/>
    <w:rsid w:val="001F7361"/>
    <w:rsid w:val="001F7F6E"/>
    <w:rsid w:val="002000D6"/>
    <w:rsid w:val="002004A9"/>
    <w:rsid w:val="002011B0"/>
    <w:rsid w:val="00201961"/>
    <w:rsid w:val="00203181"/>
    <w:rsid w:val="0020366A"/>
    <w:rsid w:val="00203783"/>
    <w:rsid w:val="0020385F"/>
    <w:rsid w:val="00203D6F"/>
    <w:rsid w:val="0020486E"/>
    <w:rsid w:val="00207021"/>
    <w:rsid w:val="0020732F"/>
    <w:rsid w:val="00207966"/>
    <w:rsid w:val="00207D00"/>
    <w:rsid w:val="002105C1"/>
    <w:rsid w:val="002107F1"/>
    <w:rsid w:val="00212ADE"/>
    <w:rsid w:val="00213278"/>
    <w:rsid w:val="002175AF"/>
    <w:rsid w:val="00222F47"/>
    <w:rsid w:val="0022338D"/>
    <w:rsid w:val="00223B49"/>
    <w:rsid w:val="00223F46"/>
    <w:rsid w:val="00223FC4"/>
    <w:rsid w:val="00224259"/>
    <w:rsid w:val="00224A85"/>
    <w:rsid w:val="00224DD4"/>
    <w:rsid w:val="00226677"/>
    <w:rsid w:val="00227F99"/>
    <w:rsid w:val="002309CC"/>
    <w:rsid w:val="00230F4F"/>
    <w:rsid w:val="0023209F"/>
    <w:rsid w:val="00232F90"/>
    <w:rsid w:val="002356E5"/>
    <w:rsid w:val="002358AF"/>
    <w:rsid w:val="0023629D"/>
    <w:rsid w:val="00237255"/>
    <w:rsid w:val="00237A86"/>
    <w:rsid w:val="00237D50"/>
    <w:rsid w:val="00240440"/>
    <w:rsid w:val="002408FB"/>
    <w:rsid w:val="0024171E"/>
    <w:rsid w:val="002417A1"/>
    <w:rsid w:val="002424AF"/>
    <w:rsid w:val="002439DC"/>
    <w:rsid w:val="00244DC8"/>
    <w:rsid w:val="002454A6"/>
    <w:rsid w:val="002458BA"/>
    <w:rsid w:val="0024636C"/>
    <w:rsid w:val="00246AB6"/>
    <w:rsid w:val="00247925"/>
    <w:rsid w:val="00247B05"/>
    <w:rsid w:val="00250774"/>
    <w:rsid w:val="00254B13"/>
    <w:rsid w:val="00254DCF"/>
    <w:rsid w:val="00254DF9"/>
    <w:rsid w:val="0025534B"/>
    <w:rsid w:val="00255BB7"/>
    <w:rsid w:val="00257541"/>
    <w:rsid w:val="00260698"/>
    <w:rsid w:val="00261CE4"/>
    <w:rsid w:val="00261DF9"/>
    <w:rsid w:val="00262A1A"/>
    <w:rsid w:val="00262A87"/>
    <w:rsid w:val="002631F9"/>
    <w:rsid w:val="0026466A"/>
    <w:rsid w:val="00264D26"/>
    <w:rsid w:val="002659A8"/>
    <w:rsid w:val="002660A7"/>
    <w:rsid w:val="00266861"/>
    <w:rsid w:val="00266986"/>
    <w:rsid w:val="00266B26"/>
    <w:rsid w:val="0026707A"/>
    <w:rsid w:val="00267642"/>
    <w:rsid w:val="00267A2D"/>
    <w:rsid w:val="00267AEA"/>
    <w:rsid w:val="002700E6"/>
    <w:rsid w:val="00271CC7"/>
    <w:rsid w:val="0027200C"/>
    <w:rsid w:val="0027294B"/>
    <w:rsid w:val="002737CF"/>
    <w:rsid w:val="00273AB8"/>
    <w:rsid w:val="00275112"/>
    <w:rsid w:val="002756C8"/>
    <w:rsid w:val="0027588F"/>
    <w:rsid w:val="00275C5A"/>
    <w:rsid w:val="00275DA4"/>
    <w:rsid w:val="00276A42"/>
    <w:rsid w:val="00277B42"/>
    <w:rsid w:val="002806B4"/>
    <w:rsid w:val="00281014"/>
    <w:rsid w:val="00281726"/>
    <w:rsid w:val="002841AA"/>
    <w:rsid w:val="002842B4"/>
    <w:rsid w:val="0028496F"/>
    <w:rsid w:val="002863EE"/>
    <w:rsid w:val="00286CC7"/>
    <w:rsid w:val="00291CD8"/>
    <w:rsid w:val="002938C2"/>
    <w:rsid w:val="002951EC"/>
    <w:rsid w:val="002966E7"/>
    <w:rsid w:val="00296DE9"/>
    <w:rsid w:val="00297669"/>
    <w:rsid w:val="002A0116"/>
    <w:rsid w:val="002A1162"/>
    <w:rsid w:val="002A14AB"/>
    <w:rsid w:val="002A2F50"/>
    <w:rsid w:val="002A37F9"/>
    <w:rsid w:val="002A4175"/>
    <w:rsid w:val="002A5967"/>
    <w:rsid w:val="002A64CA"/>
    <w:rsid w:val="002A6971"/>
    <w:rsid w:val="002B09A4"/>
    <w:rsid w:val="002B1C1F"/>
    <w:rsid w:val="002B2388"/>
    <w:rsid w:val="002B300D"/>
    <w:rsid w:val="002B34E4"/>
    <w:rsid w:val="002B3E57"/>
    <w:rsid w:val="002B432F"/>
    <w:rsid w:val="002B5D99"/>
    <w:rsid w:val="002B62B3"/>
    <w:rsid w:val="002B6754"/>
    <w:rsid w:val="002B6840"/>
    <w:rsid w:val="002B6C73"/>
    <w:rsid w:val="002B6CCE"/>
    <w:rsid w:val="002C0374"/>
    <w:rsid w:val="002C0751"/>
    <w:rsid w:val="002C1F0C"/>
    <w:rsid w:val="002C23D9"/>
    <w:rsid w:val="002C2510"/>
    <w:rsid w:val="002C2775"/>
    <w:rsid w:val="002C27C1"/>
    <w:rsid w:val="002C3229"/>
    <w:rsid w:val="002C37C0"/>
    <w:rsid w:val="002C5099"/>
    <w:rsid w:val="002C519A"/>
    <w:rsid w:val="002C5889"/>
    <w:rsid w:val="002C5B49"/>
    <w:rsid w:val="002C5D4C"/>
    <w:rsid w:val="002C71CE"/>
    <w:rsid w:val="002C768E"/>
    <w:rsid w:val="002D050F"/>
    <w:rsid w:val="002D0515"/>
    <w:rsid w:val="002D072C"/>
    <w:rsid w:val="002D24BE"/>
    <w:rsid w:val="002D2E1C"/>
    <w:rsid w:val="002D5775"/>
    <w:rsid w:val="002D577C"/>
    <w:rsid w:val="002E15B9"/>
    <w:rsid w:val="002E2158"/>
    <w:rsid w:val="002E24AC"/>
    <w:rsid w:val="002E2E75"/>
    <w:rsid w:val="002E3411"/>
    <w:rsid w:val="002E4303"/>
    <w:rsid w:val="002E5481"/>
    <w:rsid w:val="002E73A3"/>
    <w:rsid w:val="002E7722"/>
    <w:rsid w:val="002E798A"/>
    <w:rsid w:val="002F07BA"/>
    <w:rsid w:val="002F0DA9"/>
    <w:rsid w:val="002F1E71"/>
    <w:rsid w:val="002F3C8E"/>
    <w:rsid w:val="002F4820"/>
    <w:rsid w:val="002F51E9"/>
    <w:rsid w:val="002F643C"/>
    <w:rsid w:val="002F71C0"/>
    <w:rsid w:val="00300C0B"/>
    <w:rsid w:val="00301017"/>
    <w:rsid w:val="0030155F"/>
    <w:rsid w:val="00301B04"/>
    <w:rsid w:val="00303534"/>
    <w:rsid w:val="00304751"/>
    <w:rsid w:val="00304C8D"/>
    <w:rsid w:val="0030587B"/>
    <w:rsid w:val="00306D98"/>
    <w:rsid w:val="0030786C"/>
    <w:rsid w:val="003078D0"/>
    <w:rsid w:val="0031031A"/>
    <w:rsid w:val="00310338"/>
    <w:rsid w:val="00310981"/>
    <w:rsid w:val="00310DD5"/>
    <w:rsid w:val="00312DA4"/>
    <w:rsid w:val="003145DB"/>
    <w:rsid w:val="00315498"/>
    <w:rsid w:val="00317114"/>
    <w:rsid w:val="003174A4"/>
    <w:rsid w:val="0032064D"/>
    <w:rsid w:val="00321451"/>
    <w:rsid w:val="00322107"/>
    <w:rsid w:val="00322846"/>
    <w:rsid w:val="00323B43"/>
    <w:rsid w:val="00324421"/>
    <w:rsid w:val="00324975"/>
    <w:rsid w:val="00324A62"/>
    <w:rsid w:val="00325494"/>
    <w:rsid w:val="00326979"/>
    <w:rsid w:val="00326DA7"/>
    <w:rsid w:val="003270E4"/>
    <w:rsid w:val="0033058A"/>
    <w:rsid w:val="00330F5C"/>
    <w:rsid w:val="00332CDB"/>
    <w:rsid w:val="003342B8"/>
    <w:rsid w:val="00336352"/>
    <w:rsid w:val="003366C9"/>
    <w:rsid w:val="00336FAC"/>
    <w:rsid w:val="003371B0"/>
    <w:rsid w:val="00340646"/>
    <w:rsid w:val="00340DF1"/>
    <w:rsid w:val="003426E3"/>
    <w:rsid w:val="00342FBC"/>
    <w:rsid w:val="003434F3"/>
    <w:rsid w:val="003452ED"/>
    <w:rsid w:val="003454DF"/>
    <w:rsid w:val="0034566E"/>
    <w:rsid w:val="00347AAC"/>
    <w:rsid w:val="0035167B"/>
    <w:rsid w:val="003517F9"/>
    <w:rsid w:val="00351A45"/>
    <w:rsid w:val="00353B6F"/>
    <w:rsid w:val="0035441F"/>
    <w:rsid w:val="0035620E"/>
    <w:rsid w:val="00356D2C"/>
    <w:rsid w:val="003624C4"/>
    <w:rsid w:val="00362B2E"/>
    <w:rsid w:val="003654AC"/>
    <w:rsid w:val="00366F33"/>
    <w:rsid w:val="003710CF"/>
    <w:rsid w:val="00371B58"/>
    <w:rsid w:val="00372045"/>
    <w:rsid w:val="00372861"/>
    <w:rsid w:val="003733AE"/>
    <w:rsid w:val="0037358A"/>
    <w:rsid w:val="00373BB8"/>
    <w:rsid w:val="00374CAD"/>
    <w:rsid w:val="003750F6"/>
    <w:rsid w:val="003760FC"/>
    <w:rsid w:val="00377AD2"/>
    <w:rsid w:val="00380A2F"/>
    <w:rsid w:val="0038365C"/>
    <w:rsid w:val="0038369B"/>
    <w:rsid w:val="00383AEF"/>
    <w:rsid w:val="00383B78"/>
    <w:rsid w:val="003847EE"/>
    <w:rsid w:val="00384CB4"/>
    <w:rsid w:val="00385602"/>
    <w:rsid w:val="00385A9D"/>
    <w:rsid w:val="00386D2F"/>
    <w:rsid w:val="00387C1E"/>
    <w:rsid w:val="003902B1"/>
    <w:rsid w:val="00391441"/>
    <w:rsid w:val="00391DE1"/>
    <w:rsid w:val="00392679"/>
    <w:rsid w:val="00392724"/>
    <w:rsid w:val="0039285F"/>
    <w:rsid w:val="00393128"/>
    <w:rsid w:val="00396896"/>
    <w:rsid w:val="00396AF6"/>
    <w:rsid w:val="00396FD0"/>
    <w:rsid w:val="00397CD0"/>
    <w:rsid w:val="003A067D"/>
    <w:rsid w:val="003A1659"/>
    <w:rsid w:val="003A1A7A"/>
    <w:rsid w:val="003A2392"/>
    <w:rsid w:val="003A25C2"/>
    <w:rsid w:val="003A2831"/>
    <w:rsid w:val="003A2D05"/>
    <w:rsid w:val="003A397C"/>
    <w:rsid w:val="003A3ED1"/>
    <w:rsid w:val="003A5919"/>
    <w:rsid w:val="003A6B7C"/>
    <w:rsid w:val="003A7CB9"/>
    <w:rsid w:val="003B1C56"/>
    <w:rsid w:val="003B2870"/>
    <w:rsid w:val="003B3676"/>
    <w:rsid w:val="003B36EB"/>
    <w:rsid w:val="003B44E5"/>
    <w:rsid w:val="003B47DB"/>
    <w:rsid w:val="003B57C3"/>
    <w:rsid w:val="003B5B61"/>
    <w:rsid w:val="003B5CCA"/>
    <w:rsid w:val="003B72AF"/>
    <w:rsid w:val="003B7F04"/>
    <w:rsid w:val="003C0C9E"/>
    <w:rsid w:val="003C1654"/>
    <w:rsid w:val="003C75A4"/>
    <w:rsid w:val="003C765B"/>
    <w:rsid w:val="003C78A3"/>
    <w:rsid w:val="003C7D19"/>
    <w:rsid w:val="003D11FE"/>
    <w:rsid w:val="003D1828"/>
    <w:rsid w:val="003D1DE4"/>
    <w:rsid w:val="003D2422"/>
    <w:rsid w:val="003D39A1"/>
    <w:rsid w:val="003D3DDB"/>
    <w:rsid w:val="003D3FB7"/>
    <w:rsid w:val="003D3FBF"/>
    <w:rsid w:val="003D4632"/>
    <w:rsid w:val="003D4A30"/>
    <w:rsid w:val="003D6666"/>
    <w:rsid w:val="003D79BB"/>
    <w:rsid w:val="003D7C98"/>
    <w:rsid w:val="003E0087"/>
    <w:rsid w:val="003E0522"/>
    <w:rsid w:val="003E0543"/>
    <w:rsid w:val="003E2271"/>
    <w:rsid w:val="003E31D4"/>
    <w:rsid w:val="003E3503"/>
    <w:rsid w:val="003E4DC9"/>
    <w:rsid w:val="003E5568"/>
    <w:rsid w:val="003E5AC4"/>
    <w:rsid w:val="003E5ACE"/>
    <w:rsid w:val="003E5B10"/>
    <w:rsid w:val="003E5BD2"/>
    <w:rsid w:val="003E6AC3"/>
    <w:rsid w:val="003F07E3"/>
    <w:rsid w:val="003F0969"/>
    <w:rsid w:val="003F11B9"/>
    <w:rsid w:val="003F2C4C"/>
    <w:rsid w:val="003F4156"/>
    <w:rsid w:val="003F4853"/>
    <w:rsid w:val="003F4A1B"/>
    <w:rsid w:val="0040024F"/>
    <w:rsid w:val="00400876"/>
    <w:rsid w:val="00400B29"/>
    <w:rsid w:val="0040159A"/>
    <w:rsid w:val="004033C8"/>
    <w:rsid w:val="00403B35"/>
    <w:rsid w:val="0040504B"/>
    <w:rsid w:val="00406CA7"/>
    <w:rsid w:val="0040799B"/>
    <w:rsid w:val="00410708"/>
    <w:rsid w:val="004107EE"/>
    <w:rsid w:val="00410EC7"/>
    <w:rsid w:val="0041173A"/>
    <w:rsid w:val="00411B39"/>
    <w:rsid w:val="00412539"/>
    <w:rsid w:val="004127DA"/>
    <w:rsid w:val="00412F14"/>
    <w:rsid w:val="004136AF"/>
    <w:rsid w:val="004139B6"/>
    <w:rsid w:val="00413A1E"/>
    <w:rsid w:val="00414476"/>
    <w:rsid w:val="00414AAA"/>
    <w:rsid w:val="00414C2E"/>
    <w:rsid w:val="004151CF"/>
    <w:rsid w:val="00416364"/>
    <w:rsid w:val="00416463"/>
    <w:rsid w:val="00417721"/>
    <w:rsid w:val="0042014D"/>
    <w:rsid w:val="00420AA6"/>
    <w:rsid w:val="00420B9F"/>
    <w:rsid w:val="00420F25"/>
    <w:rsid w:val="00420F64"/>
    <w:rsid w:val="00422260"/>
    <w:rsid w:val="00422410"/>
    <w:rsid w:val="00422C51"/>
    <w:rsid w:val="00423980"/>
    <w:rsid w:val="00423F8E"/>
    <w:rsid w:val="0042413F"/>
    <w:rsid w:val="00424FFA"/>
    <w:rsid w:val="004250A2"/>
    <w:rsid w:val="00426269"/>
    <w:rsid w:val="004264B6"/>
    <w:rsid w:val="004267A4"/>
    <w:rsid w:val="004319F8"/>
    <w:rsid w:val="00431E55"/>
    <w:rsid w:val="004321F6"/>
    <w:rsid w:val="00432543"/>
    <w:rsid w:val="00433044"/>
    <w:rsid w:val="004348D6"/>
    <w:rsid w:val="004375B9"/>
    <w:rsid w:val="00440388"/>
    <w:rsid w:val="00441BA5"/>
    <w:rsid w:val="00441BDC"/>
    <w:rsid w:val="004428D0"/>
    <w:rsid w:val="00444314"/>
    <w:rsid w:val="004443A7"/>
    <w:rsid w:val="0044442C"/>
    <w:rsid w:val="004457B2"/>
    <w:rsid w:val="00445941"/>
    <w:rsid w:val="00446210"/>
    <w:rsid w:val="004464D2"/>
    <w:rsid w:val="004464EB"/>
    <w:rsid w:val="00447D26"/>
    <w:rsid w:val="004501A0"/>
    <w:rsid w:val="004501D5"/>
    <w:rsid w:val="0045114A"/>
    <w:rsid w:val="004536B8"/>
    <w:rsid w:val="00453900"/>
    <w:rsid w:val="004554B8"/>
    <w:rsid w:val="00455AB8"/>
    <w:rsid w:val="00455D45"/>
    <w:rsid w:val="00456A1A"/>
    <w:rsid w:val="004606BB"/>
    <w:rsid w:val="004608C2"/>
    <w:rsid w:val="00461CDC"/>
    <w:rsid w:val="00463723"/>
    <w:rsid w:val="00464595"/>
    <w:rsid w:val="00464FF7"/>
    <w:rsid w:val="0046508F"/>
    <w:rsid w:val="00465756"/>
    <w:rsid w:val="004659B5"/>
    <w:rsid w:val="00466603"/>
    <w:rsid w:val="00466AF4"/>
    <w:rsid w:val="004673B4"/>
    <w:rsid w:val="00470463"/>
    <w:rsid w:val="00472A79"/>
    <w:rsid w:val="00473F19"/>
    <w:rsid w:val="0047462A"/>
    <w:rsid w:val="00475001"/>
    <w:rsid w:val="004758C6"/>
    <w:rsid w:val="00475E22"/>
    <w:rsid w:val="00476891"/>
    <w:rsid w:val="0048088E"/>
    <w:rsid w:val="00482720"/>
    <w:rsid w:val="00482C27"/>
    <w:rsid w:val="004835E7"/>
    <w:rsid w:val="0048471E"/>
    <w:rsid w:val="004850D2"/>
    <w:rsid w:val="00485176"/>
    <w:rsid w:val="0048519A"/>
    <w:rsid w:val="00485415"/>
    <w:rsid w:val="004867E2"/>
    <w:rsid w:val="00491B3A"/>
    <w:rsid w:val="00492CFD"/>
    <w:rsid w:val="00492EB8"/>
    <w:rsid w:val="0049478A"/>
    <w:rsid w:val="00494C84"/>
    <w:rsid w:val="00494DD5"/>
    <w:rsid w:val="004954E2"/>
    <w:rsid w:val="004958AF"/>
    <w:rsid w:val="00496203"/>
    <w:rsid w:val="004962D2"/>
    <w:rsid w:val="00496BDC"/>
    <w:rsid w:val="004A0DA1"/>
    <w:rsid w:val="004A1020"/>
    <w:rsid w:val="004A1550"/>
    <w:rsid w:val="004A2F28"/>
    <w:rsid w:val="004A4A92"/>
    <w:rsid w:val="004A52E9"/>
    <w:rsid w:val="004A5A53"/>
    <w:rsid w:val="004A6597"/>
    <w:rsid w:val="004A77D7"/>
    <w:rsid w:val="004A7848"/>
    <w:rsid w:val="004B0137"/>
    <w:rsid w:val="004B0805"/>
    <w:rsid w:val="004B13D3"/>
    <w:rsid w:val="004B1CB4"/>
    <w:rsid w:val="004B2CC0"/>
    <w:rsid w:val="004B2F18"/>
    <w:rsid w:val="004B34D0"/>
    <w:rsid w:val="004B363C"/>
    <w:rsid w:val="004B3DDB"/>
    <w:rsid w:val="004B44FD"/>
    <w:rsid w:val="004B4F44"/>
    <w:rsid w:val="004B5CFC"/>
    <w:rsid w:val="004B6087"/>
    <w:rsid w:val="004B624F"/>
    <w:rsid w:val="004B774D"/>
    <w:rsid w:val="004C086B"/>
    <w:rsid w:val="004C0BC2"/>
    <w:rsid w:val="004C16DA"/>
    <w:rsid w:val="004C2CBE"/>
    <w:rsid w:val="004C3F0D"/>
    <w:rsid w:val="004C4156"/>
    <w:rsid w:val="004C4AED"/>
    <w:rsid w:val="004C4C85"/>
    <w:rsid w:val="004C4E3E"/>
    <w:rsid w:val="004C5DE6"/>
    <w:rsid w:val="004C6089"/>
    <w:rsid w:val="004C6F27"/>
    <w:rsid w:val="004C7A2A"/>
    <w:rsid w:val="004D06BB"/>
    <w:rsid w:val="004D13B4"/>
    <w:rsid w:val="004D17B9"/>
    <w:rsid w:val="004D1A51"/>
    <w:rsid w:val="004D2C2D"/>
    <w:rsid w:val="004D3961"/>
    <w:rsid w:val="004D71F7"/>
    <w:rsid w:val="004D7227"/>
    <w:rsid w:val="004E0669"/>
    <w:rsid w:val="004E0E7F"/>
    <w:rsid w:val="004E0EB8"/>
    <w:rsid w:val="004E0F63"/>
    <w:rsid w:val="004E0FE9"/>
    <w:rsid w:val="004E13BE"/>
    <w:rsid w:val="004E13E7"/>
    <w:rsid w:val="004E2ADC"/>
    <w:rsid w:val="004E2C66"/>
    <w:rsid w:val="004E30CD"/>
    <w:rsid w:val="004E3237"/>
    <w:rsid w:val="004E3E08"/>
    <w:rsid w:val="004E43B2"/>
    <w:rsid w:val="004E751F"/>
    <w:rsid w:val="004F1A96"/>
    <w:rsid w:val="004F1D02"/>
    <w:rsid w:val="004F2540"/>
    <w:rsid w:val="004F2679"/>
    <w:rsid w:val="004F2F21"/>
    <w:rsid w:val="004F5515"/>
    <w:rsid w:val="004F6913"/>
    <w:rsid w:val="004F6AAC"/>
    <w:rsid w:val="004F7786"/>
    <w:rsid w:val="004F7865"/>
    <w:rsid w:val="00500B8A"/>
    <w:rsid w:val="0050219B"/>
    <w:rsid w:val="0050262B"/>
    <w:rsid w:val="00503F17"/>
    <w:rsid w:val="005050A4"/>
    <w:rsid w:val="00505661"/>
    <w:rsid w:val="00506928"/>
    <w:rsid w:val="00506C19"/>
    <w:rsid w:val="00507722"/>
    <w:rsid w:val="00510A09"/>
    <w:rsid w:val="0051113B"/>
    <w:rsid w:val="00512820"/>
    <w:rsid w:val="00512FFD"/>
    <w:rsid w:val="00513291"/>
    <w:rsid w:val="0051333A"/>
    <w:rsid w:val="005137CB"/>
    <w:rsid w:val="005144B7"/>
    <w:rsid w:val="005152B5"/>
    <w:rsid w:val="00521319"/>
    <w:rsid w:val="00522BC8"/>
    <w:rsid w:val="00523C28"/>
    <w:rsid w:val="0052605A"/>
    <w:rsid w:val="00527F47"/>
    <w:rsid w:val="00531B09"/>
    <w:rsid w:val="00532C20"/>
    <w:rsid w:val="0053359B"/>
    <w:rsid w:val="00534C42"/>
    <w:rsid w:val="00536DC2"/>
    <w:rsid w:val="00536F42"/>
    <w:rsid w:val="00537182"/>
    <w:rsid w:val="00537AF2"/>
    <w:rsid w:val="005419F0"/>
    <w:rsid w:val="00542743"/>
    <w:rsid w:val="00542B8E"/>
    <w:rsid w:val="00542C2D"/>
    <w:rsid w:val="0054304E"/>
    <w:rsid w:val="00544655"/>
    <w:rsid w:val="005454DE"/>
    <w:rsid w:val="005472BA"/>
    <w:rsid w:val="00551985"/>
    <w:rsid w:val="00552557"/>
    <w:rsid w:val="0055278B"/>
    <w:rsid w:val="00552BD3"/>
    <w:rsid w:val="00553C9A"/>
    <w:rsid w:val="00555109"/>
    <w:rsid w:val="0055579C"/>
    <w:rsid w:val="005572E1"/>
    <w:rsid w:val="00557517"/>
    <w:rsid w:val="00557927"/>
    <w:rsid w:val="00561AD7"/>
    <w:rsid w:val="00561C8D"/>
    <w:rsid w:val="00562297"/>
    <w:rsid w:val="0056262D"/>
    <w:rsid w:val="005627AE"/>
    <w:rsid w:val="005628CA"/>
    <w:rsid w:val="00562CC0"/>
    <w:rsid w:val="0056696F"/>
    <w:rsid w:val="00570EF4"/>
    <w:rsid w:val="00572269"/>
    <w:rsid w:val="0057244A"/>
    <w:rsid w:val="00573C52"/>
    <w:rsid w:val="005740BE"/>
    <w:rsid w:val="00574809"/>
    <w:rsid w:val="00574B14"/>
    <w:rsid w:val="00575D8D"/>
    <w:rsid w:val="00576405"/>
    <w:rsid w:val="005765AF"/>
    <w:rsid w:val="00576972"/>
    <w:rsid w:val="00577094"/>
    <w:rsid w:val="00577ED2"/>
    <w:rsid w:val="0058017E"/>
    <w:rsid w:val="00581B41"/>
    <w:rsid w:val="00583699"/>
    <w:rsid w:val="00583945"/>
    <w:rsid w:val="005847E6"/>
    <w:rsid w:val="00584AA9"/>
    <w:rsid w:val="00585B00"/>
    <w:rsid w:val="00585CDD"/>
    <w:rsid w:val="00587058"/>
    <w:rsid w:val="0059108E"/>
    <w:rsid w:val="00591957"/>
    <w:rsid w:val="00591C39"/>
    <w:rsid w:val="00592368"/>
    <w:rsid w:val="005938B2"/>
    <w:rsid w:val="00594C23"/>
    <w:rsid w:val="00595C9D"/>
    <w:rsid w:val="00595CAF"/>
    <w:rsid w:val="00597BF9"/>
    <w:rsid w:val="005A0B30"/>
    <w:rsid w:val="005A216A"/>
    <w:rsid w:val="005A2580"/>
    <w:rsid w:val="005A2D66"/>
    <w:rsid w:val="005A2F22"/>
    <w:rsid w:val="005A373D"/>
    <w:rsid w:val="005A5FCD"/>
    <w:rsid w:val="005A7278"/>
    <w:rsid w:val="005B1AA1"/>
    <w:rsid w:val="005B20C1"/>
    <w:rsid w:val="005B29FA"/>
    <w:rsid w:val="005B40F7"/>
    <w:rsid w:val="005B4567"/>
    <w:rsid w:val="005B53C7"/>
    <w:rsid w:val="005B5857"/>
    <w:rsid w:val="005B6159"/>
    <w:rsid w:val="005C054A"/>
    <w:rsid w:val="005C0F96"/>
    <w:rsid w:val="005C1392"/>
    <w:rsid w:val="005C18E3"/>
    <w:rsid w:val="005C1B83"/>
    <w:rsid w:val="005C2B48"/>
    <w:rsid w:val="005C2D55"/>
    <w:rsid w:val="005C346B"/>
    <w:rsid w:val="005C53A0"/>
    <w:rsid w:val="005D044D"/>
    <w:rsid w:val="005D0ABD"/>
    <w:rsid w:val="005D1142"/>
    <w:rsid w:val="005D18AD"/>
    <w:rsid w:val="005D26B4"/>
    <w:rsid w:val="005D43D2"/>
    <w:rsid w:val="005D5376"/>
    <w:rsid w:val="005D6B9E"/>
    <w:rsid w:val="005D7A9E"/>
    <w:rsid w:val="005E0E8F"/>
    <w:rsid w:val="005E181C"/>
    <w:rsid w:val="005E53B4"/>
    <w:rsid w:val="005E6629"/>
    <w:rsid w:val="005E6908"/>
    <w:rsid w:val="005E6CBC"/>
    <w:rsid w:val="005E73C0"/>
    <w:rsid w:val="005F0138"/>
    <w:rsid w:val="005F128F"/>
    <w:rsid w:val="005F1619"/>
    <w:rsid w:val="005F26D1"/>
    <w:rsid w:val="005F2706"/>
    <w:rsid w:val="005F5E82"/>
    <w:rsid w:val="005F63DF"/>
    <w:rsid w:val="005F6A8F"/>
    <w:rsid w:val="0060068A"/>
    <w:rsid w:val="00603DB9"/>
    <w:rsid w:val="00605432"/>
    <w:rsid w:val="00605D1F"/>
    <w:rsid w:val="00606247"/>
    <w:rsid w:val="006065D5"/>
    <w:rsid w:val="00607669"/>
    <w:rsid w:val="00607AFD"/>
    <w:rsid w:val="00610000"/>
    <w:rsid w:val="006105AD"/>
    <w:rsid w:val="00611CE2"/>
    <w:rsid w:val="00612F5C"/>
    <w:rsid w:val="00612F97"/>
    <w:rsid w:val="0061345D"/>
    <w:rsid w:val="006138A2"/>
    <w:rsid w:val="00613DD9"/>
    <w:rsid w:val="00614B95"/>
    <w:rsid w:val="00615CBE"/>
    <w:rsid w:val="006167B9"/>
    <w:rsid w:val="00616802"/>
    <w:rsid w:val="00617E12"/>
    <w:rsid w:val="00617F0C"/>
    <w:rsid w:val="00620880"/>
    <w:rsid w:val="00621477"/>
    <w:rsid w:val="00622646"/>
    <w:rsid w:val="00623C0A"/>
    <w:rsid w:val="006251D7"/>
    <w:rsid w:val="00625498"/>
    <w:rsid w:val="00625C10"/>
    <w:rsid w:val="00626AA1"/>
    <w:rsid w:val="00627B14"/>
    <w:rsid w:val="0063054A"/>
    <w:rsid w:val="00630556"/>
    <w:rsid w:val="00631447"/>
    <w:rsid w:val="0063158F"/>
    <w:rsid w:val="00631D6B"/>
    <w:rsid w:val="00632F28"/>
    <w:rsid w:val="006330A1"/>
    <w:rsid w:val="00633B3F"/>
    <w:rsid w:val="0063479F"/>
    <w:rsid w:val="006353F0"/>
    <w:rsid w:val="00635FB7"/>
    <w:rsid w:val="006364A1"/>
    <w:rsid w:val="00637BFD"/>
    <w:rsid w:val="00637F9D"/>
    <w:rsid w:val="00640E4A"/>
    <w:rsid w:val="006412AB"/>
    <w:rsid w:val="006412F4"/>
    <w:rsid w:val="00641C4E"/>
    <w:rsid w:val="00642252"/>
    <w:rsid w:val="00642B4B"/>
    <w:rsid w:val="00642EEC"/>
    <w:rsid w:val="006437AF"/>
    <w:rsid w:val="006440F5"/>
    <w:rsid w:val="006445A8"/>
    <w:rsid w:val="00647006"/>
    <w:rsid w:val="006471CC"/>
    <w:rsid w:val="0065079F"/>
    <w:rsid w:val="00650B04"/>
    <w:rsid w:val="00650E94"/>
    <w:rsid w:val="00653450"/>
    <w:rsid w:val="0065379F"/>
    <w:rsid w:val="00653D4D"/>
    <w:rsid w:val="006561A5"/>
    <w:rsid w:val="00657E85"/>
    <w:rsid w:val="00660887"/>
    <w:rsid w:val="0066113E"/>
    <w:rsid w:val="00661716"/>
    <w:rsid w:val="00661859"/>
    <w:rsid w:val="00661C6B"/>
    <w:rsid w:val="00663C89"/>
    <w:rsid w:val="006640F3"/>
    <w:rsid w:val="006657AF"/>
    <w:rsid w:val="00665A53"/>
    <w:rsid w:val="00666D39"/>
    <w:rsid w:val="00667085"/>
    <w:rsid w:val="0066767D"/>
    <w:rsid w:val="006702D8"/>
    <w:rsid w:val="00670F37"/>
    <w:rsid w:val="00672858"/>
    <w:rsid w:val="00672B3B"/>
    <w:rsid w:val="00674E42"/>
    <w:rsid w:val="00675D05"/>
    <w:rsid w:val="00677C65"/>
    <w:rsid w:val="006818A3"/>
    <w:rsid w:val="00681AA8"/>
    <w:rsid w:val="00681F6E"/>
    <w:rsid w:val="00682112"/>
    <w:rsid w:val="00683EED"/>
    <w:rsid w:val="00685ACC"/>
    <w:rsid w:val="00685E44"/>
    <w:rsid w:val="00686957"/>
    <w:rsid w:val="006872BA"/>
    <w:rsid w:val="006872D8"/>
    <w:rsid w:val="00690844"/>
    <w:rsid w:val="00690CBC"/>
    <w:rsid w:val="00691648"/>
    <w:rsid w:val="006917D7"/>
    <w:rsid w:val="006927B5"/>
    <w:rsid w:val="00693BB2"/>
    <w:rsid w:val="00693F29"/>
    <w:rsid w:val="00694239"/>
    <w:rsid w:val="00694A09"/>
    <w:rsid w:val="00694ACC"/>
    <w:rsid w:val="00694F44"/>
    <w:rsid w:val="00695CBF"/>
    <w:rsid w:val="006A0890"/>
    <w:rsid w:val="006A2A3E"/>
    <w:rsid w:val="006A3463"/>
    <w:rsid w:val="006A3CF0"/>
    <w:rsid w:val="006A3D14"/>
    <w:rsid w:val="006A475E"/>
    <w:rsid w:val="006A5663"/>
    <w:rsid w:val="006A61C3"/>
    <w:rsid w:val="006A7E5F"/>
    <w:rsid w:val="006B0BCD"/>
    <w:rsid w:val="006B0C79"/>
    <w:rsid w:val="006B1043"/>
    <w:rsid w:val="006B1181"/>
    <w:rsid w:val="006B154C"/>
    <w:rsid w:val="006B1D9F"/>
    <w:rsid w:val="006B261B"/>
    <w:rsid w:val="006B263D"/>
    <w:rsid w:val="006B263F"/>
    <w:rsid w:val="006B2890"/>
    <w:rsid w:val="006B2C90"/>
    <w:rsid w:val="006B4B9F"/>
    <w:rsid w:val="006B524F"/>
    <w:rsid w:val="006B58B3"/>
    <w:rsid w:val="006B63A1"/>
    <w:rsid w:val="006B65EA"/>
    <w:rsid w:val="006B6DD0"/>
    <w:rsid w:val="006B7583"/>
    <w:rsid w:val="006C11A2"/>
    <w:rsid w:val="006C1C57"/>
    <w:rsid w:val="006C1F92"/>
    <w:rsid w:val="006C2041"/>
    <w:rsid w:val="006C2A8E"/>
    <w:rsid w:val="006C315D"/>
    <w:rsid w:val="006C3EA0"/>
    <w:rsid w:val="006C4FE1"/>
    <w:rsid w:val="006C6417"/>
    <w:rsid w:val="006C792D"/>
    <w:rsid w:val="006D095F"/>
    <w:rsid w:val="006D1219"/>
    <w:rsid w:val="006D212A"/>
    <w:rsid w:val="006D314C"/>
    <w:rsid w:val="006D33FE"/>
    <w:rsid w:val="006D3920"/>
    <w:rsid w:val="006D39B1"/>
    <w:rsid w:val="006D3C7D"/>
    <w:rsid w:val="006D562D"/>
    <w:rsid w:val="006D5D5F"/>
    <w:rsid w:val="006D6E32"/>
    <w:rsid w:val="006E0485"/>
    <w:rsid w:val="006E0A71"/>
    <w:rsid w:val="006E0AC5"/>
    <w:rsid w:val="006E1B03"/>
    <w:rsid w:val="006E3BE9"/>
    <w:rsid w:val="006F0448"/>
    <w:rsid w:val="006F28F8"/>
    <w:rsid w:val="006F306C"/>
    <w:rsid w:val="006F3741"/>
    <w:rsid w:val="006F39F8"/>
    <w:rsid w:val="006F3CCC"/>
    <w:rsid w:val="006F48B6"/>
    <w:rsid w:val="006F63A5"/>
    <w:rsid w:val="006F66EE"/>
    <w:rsid w:val="006F6EB2"/>
    <w:rsid w:val="006F717E"/>
    <w:rsid w:val="006F778F"/>
    <w:rsid w:val="006F7F58"/>
    <w:rsid w:val="0070074E"/>
    <w:rsid w:val="00700989"/>
    <w:rsid w:val="0070142B"/>
    <w:rsid w:val="007018CF"/>
    <w:rsid w:val="0070276E"/>
    <w:rsid w:val="00702DE3"/>
    <w:rsid w:val="00702F8F"/>
    <w:rsid w:val="0070441B"/>
    <w:rsid w:val="00704D46"/>
    <w:rsid w:val="007063FF"/>
    <w:rsid w:val="00710ADD"/>
    <w:rsid w:val="007116F3"/>
    <w:rsid w:val="00711A36"/>
    <w:rsid w:val="00712C24"/>
    <w:rsid w:val="00715269"/>
    <w:rsid w:val="0071529C"/>
    <w:rsid w:val="007172AD"/>
    <w:rsid w:val="00720AEC"/>
    <w:rsid w:val="007214E8"/>
    <w:rsid w:val="00721C6B"/>
    <w:rsid w:val="007229B7"/>
    <w:rsid w:val="00722B1B"/>
    <w:rsid w:val="00722D11"/>
    <w:rsid w:val="00723D48"/>
    <w:rsid w:val="0072416F"/>
    <w:rsid w:val="00724269"/>
    <w:rsid w:val="007253E9"/>
    <w:rsid w:val="00727C94"/>
    <w:rsid w:val="00730A67"/>
    <w:rsid w:val="00731989"/>
    <w:rsid w:val="00731EAE"/>
    <w:rsid w:val="007324CD"/>
    <w:rsid w:val="00733604"/>
    <w:rsid w:val="00733DCC"/>
    <w:rsid w:val="00733E8B"/>
    <w:rsid w:val="00734C4D"/>
    <w:rsid w:val="00735033"/>
    <w:rsid w:val="0073503F"/>
    <w:rsid w:val="007351A4"/>
    <w:rsid w:val="00735328"/>
    <w:rsid w:val="007365F4"/>
    <w:rsid w:val="0073685B"/>
    <w:rsid w:val="00742720"/>
    <w:rsid w:val="00747B1C"/>
    <w:rsid w:val="00752142"/>
    <w:rsid w:val="007523F9"/>
    <w:rsid w:val="00752D77"/>
    <w:rsid w:val="007536FF"/>
    <w:rsid w:val="007573E8"/>
    <w:rsid w:val="00760C4E"/>
    <w:rsid w:val="007647DE"/>
    <w:rsid w:val="00764FEA"/>
    <w:rsid w:val="00765B1A"/>
    <w:rsid w:val="0076633E"/>
    <w:rsid w:val="007679DA"/>
    <w:rsid w:val="00767A7A"/>
    <w:rsid w:val="00772F64"/>
    <w:rsid w:val="00773138"/>
    <w:rsid w:val="0077318D"/>
    <w:rsid w:val="007735FB"/>
    <w:rsid w:val="0077368D"/>
    <w:rsid w:val="00774C55"/>
    <w:rsid w:val="00777786"/>
    <w:rsid w:val="00780B9B"/>
    <w:rsid w:val="0078252A"/>
    <w:rsid w:val="007843F2"/>
    <w:rsid w:val="00785501"/>
    <w:rsid w:val="00785637"/>
    <w:rsid w:val="0078571F"/>
    <w:rsid w:val="00786BD8"/>
    <w:rsid w:val="00787DB3"/>
    <w:rsid w:val="00792812"/>
    <w:rsid w:val="0079325B"/>
    <w:rsid w:val="00795922"/>
    <w:rsid w:val="007A0A12"/>
    <w:rsid w:val="007A132D"/>
    <w:rsid w:val="007A330F"/>
    <w:rsid w:val="007A4445"/>
    <w:rsid w:val="007A5C0B"/>
    <w:rsid w:val="007A600B"/>
    <w:rsid w:val="007A695B"/>
    <w:rsid w:val="007B0B8B"/>
    <w:rsid w:val="007B0D68"/>
    <w:rsid w:val="007B251D"/>
    <w:rsid w:val="007B2804"/>
    <w:rsid w:val="007B2857"/>
    <w:rsid w:val="007B2FB8"/>
    <w:rsid w:val="007B3029"/>
    <w:rsid w:val="007B33F5"/>
    <w:rsid w:val="007B35B2"/>
    <w:rsid w:val="007B37B5"/>
    <w:rsid w:val="007B4425"/>
    <w:rsid w:val="007B4F58"/>
    <w:rsid w:val="007B528D"/>
    <w:rsid w:val="007B76D3"/>
    <w:rsid w:val="007B77D1"/>
    <w:rsid w:val="007C0718"/>
    <w:rsid w:val="007C1CD9"/>
    <w:rsid w:val="007C26E4"/>
    <w:rsid w:val="007C2823"/>
    <w:rsid w:val="007C313D"/>
    <w:rsid w:val="007C361D"/>
    <w:rsid w:val="007C3AC2"/>
    <w:rsid w:val="007C4B84"/>
    <w:rsid w:val="007C5B76"/>
    <w:rsid w:val="007C5DD9"/>
    <w:rsid w:val="007C602C"/>
    <w:rsid w:val="007C638E"/>
    <w:rsid w:val="007D004F"/>
    <w:rsid w:val="007D0B38"/>
    <w:rsid w:val="007D22F7"/>
    <w:rsid w:val="007D243C"/>
    <w:rsid w:val="007D284E"/>
    <w:rsid w:val="007D4C6B"/>
    <w:rsid w:val="007D4D1E"/>
    <w:rsid w:val="007D4FA9"/>
    <w:rsid w:val="007D5440"/>
    <w:rsid w:val="007D74C5"/>
    <w:rsid w:val="007D7636"/>
    <w:rsid w:val="007E0999"/>
    <w:rsid w:val="007E18EB"/>
    <w:rsid w:val="007E2E39"/>
    <w:rsid w:val="007E5A6C"/>
    <w:rsid w:val="007E6378"/>
    <w:rsid w:val="007E6F35"/>
    <w:rsid w:val="007F08ED"/>
    <w:rsid w:val="007F1017"/>
    <w:rsid w:val="007F3B29"/>
    <w:rsid w:val="007F3D3E"/>
    <w:rsid w:val="007F427B"/>
    <w:rsid w:val="007F442E"/>
    <w:rsid w:val="007F4A3F"/>
    <w:rsid w:val="007F4A61"/>
    <w:rsid w:val="007F61C2"/>
    <w:rsid w:val="007F73DD"/>
    <w:rsid w:val="007F73F3"/>
    <w:rsid w:val="0080217D"/>
    <w:rsid w:val="00802F50"/>
    <w:rsid w:val="00803670"/>
    <w:rsid w:val="00805142"/>
    <w:rsid w:val="00806A29"/>
    <w:rsid w:val="00807306"/>
    <w:rsid w:val="00807A8B"/>
    <w:rsid w:val="008108AD"/>
    <w:rsid w:val="00810F68"/>
    <w:rsid w:val="00811383"/>
    <w:rsid w:val="00811865"/>
    <w:rsid w:val="00812149"/>
    <w:rsid w:val="00812698"/>
    <w:rsid w:val="00812CAC"/>
    <w:rsid w:val="00813D93"/>
    <w:rsid w:val="00815A0B"/>
    <w:rsid w:val="008166EF"/>
    <w:rsid w:val="0082047D"/>
    <w:rsid w:val="0082100A"/>
    <w:rsid w:val="00822B47"/>
    <w:rsid w:val="0082369C"/>
    <w:rsid w:val="008236BB"/>
    <w:rsid w:val="00823EA9"/>
    <w:rsid w:val="00825751"/>
    <w:rsid w:val="008257AD"/>
    <w:rsid w:val="008264EB"/>
    <w:rsid w:val="008279C3"/>
    <w:rsid w:val="00827C43"/>
    <w:rsid w:val="0083274A"/>
    <w:rsid w:val="0083398B"/>
    <w:rsid w:val="00833B05"/>
    <w:rsid w:val="0083479A"/>
    <w:rsid w:val="008351A8"/>
    <w:rsid w:val="008352A4"/>
    <w:rsid w:val="008362B4"/>
    <w:rsid w:val="008378E7"/>
    <w:rsid w:val="00837B57"/>
    <w:rsid w:val="00840226"/>
    <w:rsid w:val="00840CA2"/>
    <w:rsid w:val="00842B16"/>
    <w:rsid w:val="0084374F"/>
    <w:rsid w:val="00845FD4"/>
    <w:rsid w:val="008463B8"/>
    <w:rsid w:val="00846809"/>
    <w:rsid w:val="00847DF5"/>
    <w:rsid w:val="008502A2"/>
    <w:rsid w:val="00850772"/>
    <w:rsid w:val="00850F82"/>
    <w:rsid w:val="0085309D"/>
    <w:rsid w:val="00856752"/>
    <w:rsid w:val="00856897"/>
    <w:rsid w:val="00856D74"/>
    <w:rsid w:val="00856E9A"/>
    <w:rsid w:val="00860207"/>
    <w:rsid w:val="0086075D"/>
    <w:rsid w:val="0086239B"/>
    <w:rsid w:val="00862502"/>
    <w:rsid w:val="00864112"/>
    <w:rsid w:val="0086419F"/>
    <w:rsid w:val="0086520E"/>
    <w:rsid w:val="00865E4B"/>
    <w:rsid w:val="00865F21"/>
    <w:rsid w:val="008660D4"/>
    <w:rsid w:val="008662E0"/>
    <w:rsid w:val="0086660A"/>
    <w:rsid w:val="008675DA"/>
    <w:rsid w:val="008675E7"/>
    <w:rsid w:val="0087072F"/>
    <w:rsid w:val="00871FA9"/>
    <w:rsid w:val="008728E9"/>
    <w:rsid w:val="00872B44"/>
    <w:rsid w:val="00872E88"/>
    <w:rsid w:val="00873841"/>
    <w:rsid w:val="00873A35"/>
    <w:rsid w:val="00874A61"/>
    <w:rsid w:val="00874FD0"/>
    <w:rsid w:val="008756E1"/>
    <w:rsid w:val="008758B2"/>
    <w:rsid w:val="00880C00"/>
    <w:rsid w:val="00881815"/>
    <w:rsid w:val="00881AEA"/>
    <w:rsid w:val="00881E8E"/>
    <w:rsid w:val="0088203F"/>
    <w:rsid w:val="00882874"/>
    <w:rsid w:val="00883787"/>
    <w:rsid w:val="0088460B"/>
    <w:rsid w:val="008849D1"/>
    <w:rsid w:val="00884E56"/>
    <w:rsid w:val="00885775"/>
    <w:rsid w:val="00886CD2"/>
    <w:rsid w:val="00890B30"/>
    <w:rsid w:val="00892A36"/>
    <w:rsid w:val="00893239"/>
    <w:rsid w:val="00894489"/>
    <w:rsid w:val="00894FBA"/>
    <w:rsid w:val="00895C80"/>
    <w:rsid w:val="00895E67"/>
    <w:rsid w:val="00896307"/>
    <w:rsid w:val="008963A5"/>
    <w:rsid w:val="008A0D62"/>
    <w:rsid w:val="008A0DF0"/>
    <w:rsid w:val="008A2A2C"/>
    <w:rsid w:val="008A2BE8"/>
    <w:rsid w:val="008A2C51"/>
    <w:rsid w:val="008A3363"/>
    <w:rsid w:val="008A3371"/>
    <w:rsid w:val="008A38A4"/>
    <w:rsid w:val="008A3981"/>
    <w:rsid w:val="008A3C3E"/>
    <w:rsid w:val="008A3E1A"/>
    <w:rsid w:val="008A45D2"/>
    <w:rsid w:val="008A5BCC"/>
    <w:rsid w:val="008A79DE"/>
    <w:rsid w:val="008B00A6"/>
    <w:rsid w:val="008B00D9"/>
    <w:rsid w:val="008B0B17"/>
    <w:rsid w:val="008B1757"/>
    <w:rsid w:val="008B2B87"/>
    <w:rsid w:val="008B3A82"/>
    <w:rsid w:val="008B4296"/>
    <w:rsid w:val="008B47E8"/>
    <w:rsid w:val="008B799D"/>
    <w:rsid w:val="008B7D7E"/>
    <w:rsid w:val="008C0A4D"/>
    <w:rsid w:val="008C230A"/>
    <w:rsid w:val="008C2BEA"/>
    <w:rsid w:val="008C34AB"/>
    <w:rsid w:val="008C4131"/>
    <w:rsid w:val="008C44C6"/>
    <w:rsid w:val="008C5101"/>
    <w:rsid w:val="008C5628"/>
    <w:rsid w:val="008C6585"/>
    <w:rsid w:val="008C7ECB"/>
    <w:rsid w:val="008D03AD"/>
    <w:rsid w:val="008D1581"/>
    <w:rsid w:val="008D233F"/>
    <w:rsid w:val="008D3D44"/>
    <w:rsid w:val="008D41CB"/>
    <w:rsid w:val="008D4755"/>
    <w:rsid w:val="008D4C3D"/>
    <w:rsid w:val="008E0A6F"/>
    <w:rsid w:val="008E0D3C"/>
    <w:rsid w:val="008E1B9E"/>
    <w:rsid w:val="008E209C"/>
    <w:rsid w:val="008E3010"/>
    <w:rsid w:val="008E3162"/>
    <w:rsid w:val="008E3B5B"/>
    <w:rsid w:val="008E46FE"/>
    <w:rsid w:val="008E48F1"/>
    <w:rsid w:val="008E4DBC"/>
    <w:rsid w:val="008E55AB"/>
    <w:rsid w:val="008E5CA0"/>
    <w:rsid w:val="008E70C8"/>
    <w:rsid w:val="008F120A"/>
    <w:rsid w:val="008F1400"/>
    <w:rsid w:val="008F24F1"/>
    <w:rsid w:val="008F27E0"/>
    <w:rsid w:val="008F2B8B"/>
    <w:rsid w:val="008F48EB"/>
    <w:rsid w:val="008F4F0B"/>
    <w:rsid w:val="008F6FFF"/>
    <w:rsid w:val="009046C4"/>
    <w:rsid w:val="009048F1"/>
    <w:rsid w:val="009062A5"/>
    <w:rsid w:val="00906A2C"/>
    <w:rsid w:val="0090782A"/>
    <w:rsid w:val="00907AC0"/>
    <w:rsid w:val="00910187"/>
    <w:rsid w:val="00911272"/>
    <w:rsid w:val="009117E2"/>
    <w:rsid w:val="009134FC"/>
    <w:rsid w:val="009135D6"/>
    <w:rsid w:val="00914C77"/>
    <w:rsid w:val="009177EA"/>
    <w:rsid w:val="00917911"/>
    <w:rsid w:val="00917D3A"/>
    <w:rsid w:val="00920099"/>
    <w:rsid w:val="009206B0"/>
    <w:rsid w:val="00922399"/>
    <w:rsid w:val="0092369B"/>
    <w:rsid w:val="009239E4"/>
    <w:rsid w:val="009257C5"/>
    <w:rsid w:val="00927D18"/>
    <w:rsid w:val="00927E0B"/>
    <w:rsid w:val="009322F4"/>
    <w:rsid w:val="00936B4B"/>
    <w:rsid w:val="00936D66"/>
    <w:rsid w:val="00937E3E"/>
    <w:rsid w:val="00941B1B"/>
    <w:rsid w:val="00941D5B"/>
    <w:rsid w:val="00941D6B"/>
    <w:rsid w:val="00942BF7"/>
    <w:rsid w:val="00943A50"/>
    <w:rsid w:val="00943BB4"/>
    <w:rsid w:val="00950594"/>
    <w:rsid w:val="009510A2"/>
    <w:rsid w:val="009514B7"/>
    <w:rsid w:val="00951F45"/>
    <w:rsid w:val="00952566"/>
    <w:rsid w:val="00952AA2"/>
    <w:rsid w:val="00953257"/>
    <w:rsid w:val="00953482"/>
    <w:rsid w:val="0095382A"/>
    <w:rsid w:val="00954D52"/>
    <w:rsid w:val="009554B5"/>
    <w:rsid w:val="00957E15"/>
    <w:rsid w:val="009608DE"/>
    <w:rsid w:val="00961168"/>
    <w:rsid w:val="00961738"/>
    <w:rsid w:val="00962CB9"/>
    <w:rsid w:val="00963BB2"/>
    <w:rsid w:val="00964312"/>
    <w:rsid w:val="00965B5C"/>
    <w:rsid w:val="00965B8A"/>
    <w:rsid w:val="00970569"/>
    <w:rsid w:val="009717AC"/>
    <w:rsid w:val="009751E4"/>
    <w:rsid w:val="00977C27"/>
    <w:rsid w:val="00983E57"/>
    <w:rsid w:val="009865BC"/>
    <w:rsid w:val="0098675D"/>
    <w:rsid w:val="00987524"/>
    <w:rsid w:val="0099105D"/>
    <w:rsid w:val="00992FDE"/>
    <w:rsid w:val="00993B2E"/>
    <w:rsid w:val="0099673B"/>
    <w:rsid w:val="00996B1A"/>
    <w:rsid w:val="009970CE"/>
    <w:rsid w:val="009A037D"/>
    <w:rsid w:val="009A0F3E"/>
    <w:rsid w:val="009A1125"/>
    <w:rsid w:val="009A1CEF"/>
    <w:rsid w:val="009A59AA"/>
    <w:rsid w:val="009A5BEF"/>
    <w:rsid w:val="009A79E8"/>
    <w:rsid w:val="009A7EA5"/>
    <w:rsid w:val="009A7F10"/>
    <w:rsid w:val="009B032F"/>
    <w:rsid w:val="009B1ED5"/>
    <w:rsid w:val="009B25DC"/>
    <w:rsid w:val="009B2C26"/>
    <w:rsid w:val="009B2D62"/>
    <w:rsid w:val="009B3E26"/>
    <w:rsid w:val="009B7FF4"/>
    <w:rsid w:val="009C069C"/>
    <w:rsid w:val="009C10D7"/>
    <w:rsid w:val="009C1685"/>
    <w:rsid w:val="009C33E7"/>
    <w:rsid w:val="009C383F"/>
    <w:rsid w:val="009C3BC6"/>
    <w:rsid w:val="009C6975"/>
    <w:rsid w:val="009C6B9E"/>
    <w:rsid w:val="009C6CEA"/>
    <w:rsid w:val="009C75C2"/>
    <w:rsid w:val="009C7688"/>
    <w:rsid w:val="009C7B5B"/>
    <w:rsid w:val="009C7B85"/>
    <w:rsid w:val="009D1191"/>
    <w:rsid w:val="009D181C"/>
    <w:rsid w:val="009D4807"/>
    <w:rsid w:val="009D5B91"/>
    <w:rsid w:val="009D6D98"/>
    <w:rsid w:val="009D792E"/>
    <w:rsid w:val="009E03B2"/>
    <w:rsid w:val="009E0498"/>
    <w:rsid w:val="009E0DFE"/>
    <w:rsid w:val="009E124F"/>
    <w:rsid w:val="009E1917"/>
    <w:rsid w:val="009E1B80"/>
    <w:rsid w:val="009E33A8"/>
    <w:rsid w:val="009E4C07"/>
    <w:rsid w:val="009E518D"/>
    <w:rsid w:val="009E539A"/>
    <w:rsid w:val="009E6E3F"/>
    <w:rsid w:val="009E7185"/>
    <w:rsid w:val="009E7F3F"/>
    <w:rsid w:val="009F0469"/>
    <w:rsid w:val="009F05E3"/>
    <w:rsid w:val="009F0BAE"/>
    <w:rsid w:val="009F270D"/>
    <w:rsid w:val="009F4F19"/>
    <w:rsid w:val="009F5482"/>
    <w:rsid w:val="009F59B9"/>
    <w:rsid w:val="009F5FCF"/>
    <w:rsid w:val="009F6C7D"/>
    <w:rsid w:val="009F7611"/>
    <w:rsid w:val="00A00289"/>
    <w:rsid w:val="00A01184"/>
    <w:rsid w:val="00A01A18"/>
    <w:rsid w:val="00A022D4"/>
    <w:rsid w:val="00A025F9"/>
    <w:rsid w:val="00A03D43"/>
    <w:rsid w:val="00A04380"/>
    <w:rsid w:val="00A0515F"/>
    <w:rsid w:val="00A05D8F"/>
    <w:rsid w:val="00A068D8"/>
    <w:rsid w:val="00A06A71"/>
    <w:rsid w:val="00A110CE"/>
    <w:rsid w:val="00A11CD0"/>
    <w:rsid w:val="00A11E44"/>
    <w:rsid w:val="00A12028"/>
    <w:rsid w:val="00A12D36"/>
    <w:rsid w:val="00A13948"/>
    <w:rsid w:val="00A143D4"/>
    <w:rsid w:val="00A1555B"/>
    <w:rsid w:val="00A155C5"/>
    <w:rsid w:val="00A158E2"/>
    <w:rsid w:val="00A159B8"/>
    <w:rsid w:val="00A16386"/>
    <w:rsid w:val="00A16AD8"/>
    <w:rsid w:val="00A21317"/>
    <w:rsid w:val="00A215DA"/>
    <w:rsid w:val="00A21CF3"/>
    <w:rsid w:val="00A2383D"/>
    <w:rsid w:val="00A25043"/>
    <w:rsid w:val="00A2530B"/>
    <w:rsid w:val="00A254AA"/>
    <w:rsid w:val="00A26491"/>
    <w:rsid w:val="00A268F0"/>
    <w:rsid w:val="00A27AEC"/>
    <w:rsid w:val="00A300A3"/>
    <w:rsid w:val="00A3197E"/>
    <w:rsid w:val="00A320DB"/>
    <w:rsid w:val="00A34BC5"/>
    <w:rsid w:val="00A35D16"/>
    <w:rsid w:val="00A37BCD"/>
    <w:rsid w:val="00A40B51"/>
    <w:rsid w:val="00A43C59"/>
    <w:rsid w:val="00A4630B"/>
    <w:rsid w:val="00A47CD6"/>
    <w:rsid w:val="00A47D82"/>
    <w:rsid w:val="00A50897"/>
    <w:rsid w:val="00A509DD"/>
    <w:rsid w:val="00A50ECD"/>
    <w:rsid w:val="00A5121D"/>
    <w:rsid w:val="00A518F3"/>
    <w:rsid w:val="00A51E9E"/>
    <w:rsid w:val="00A51F00"/>
    <w:rsid w:val="00A52729"/>
    <w:rsid w:val="00A52A08"/>
    <w:rsid w:val="00A530D2"/>
    <w:rsid w:val="00A53675"/>
    <w:rsid w:val="00A55F3B"/>
    <w:rsid w:val="00A564D7"/>
    <w:rsid w:val="00A56B6A"/>
    <w:rsid w:val="00A578DC"/>
    <w:rsid w:val="00A602DE"/>
    <w:rsid w:val="00A60CAE"/>
    <w:rsid w:val="00A6276C"/>
    <w:rsid w:val="00A62F22"/>
    <w:rsid w:val="00A6358F"/>
    <w:rsid w:val="00A63F06"/>
    <w:rsid w:val="00A653F7"/>
    <w:rsid w:val="00A66852"/>
    <w:rsid w:val="00A66FFF"/>
    <w:rsid w:val="00A6725B"/>
    <w:rsid w:val="00A67498"/>
    <w:rsid w:val="00A675AE"/>
    <w:rsid w:val="00A702D7"/>
    <w:rsid w:val="00A70605"/>
    <w:rsid w:val="00A70CD3"/>
    <w:rsid w:val="00A70DD3"/>
    <w:rsid w:val="00A727A3"/>
    <w:rsid w:val="00A73134"/>
    <w:rsid w:val="00A7380A"/>
    <w:rsid w:val="00A741B2"/>
    <w:rsid w:val="00A74E68"/>
    <w:rsid w:val="00A777B2"/>
    <w:rsid w:val="00A8061B"/>
    <w:rsid w:val="00A81362"/>
    <w:rsid w:val="00A815FC"/>
    <w:rsid w:val="00A81E1B"/>
    <w:rsid w:val="00A84CB5"/>
    <w:rsid w:val="00A85405"/>
    <w:rsid w:val="00A86017"/>
    <w:rsid w:val="00A86969"/>
    <w:rsid w:val="00A86E8B"/>
    <w:rsid w:val="00A87164"/>
    <w:rsid w:val="00A910CB"/>
    <w:rsid w:val="00A912FE"/>
    <w:rsid w:val="00A92787"/>
    <w:rsid w:val="00A93072"/>
    <w:rsid w:val="00A93953"/>
    <w:rsid w:val="00A939FC"/>
    <w:rsid w:val="00A959D8"/>
    <w:rsid w:val="00A96AD9"/>
    <w:rsid w:val="00A972D9"/>
    <w:rsid w:val="00AA020E"/>
    <w:rsid w:val="00AA0EB5"/>
    <w:rsid w:val="00AA113D"/>
    <w:rsid w:val="00AA2FCF"/>
    <w:rsid w:val="00AA65BC"/>
    <w:rsid w:val="00AA685A"/>
    <w:rsid w:val="00AA6C7D"/>
    <w:rsid w:val="00AA7FD6"/>
    <w:rsid w:val="00AB042A"/>
    <w:rsid w:val="00AB15C7"/>
    <w:rsid w:val="00AB2D34"/>
    <w:rsid w:val="00AB3430"/>
    <w:rsid w:val="00AB35B3"/>
    <w:rsid w:val="00AB4368"/>
    <w:rsid w:val="00AB4AD1"/>
    <w:rsid w:val="00AB655F"/>
    <w:rsid w:val="00AB7CFA"/>
    <w:rsid w:val="00AC1C42"/>
    <w:rsid w:val="00AC5B48"/>
    <w:rsid w:val="00AC7019"/>
    <w:rsid w:val="00AD0540"/>
    <w:rsid w:val="00AD1D1D"/>
    <w:rsid w:val="00AD331B"/>
    <w:rsid w:val="00AD3A5B"/>
    <w:rsid w:val="00AD3C5C"/>
    <w:rsid w:val="00AD5B6B"/>
    <w:rsid w:val="00AD6502"/>
    <w:rsid w:val="00AE01CE"/>
    <w:rsid w:val="00AE18AE"/>
    <w:rsid w:val="00AE2885"/>
    <w:rsid w:val="00AE357A"/>
    <w:rsid w:val="00AE47DB"/>
    <w:rsid w:val="00AE5BCA"/>
    <w:rsid w:val="00AE5E38"/>
    <w:rsid w:val="00AE5F0B"/>
    <w:rsid w:val="00AE7967"/>
    <w:rsid w:val="00AF11CC"/>
    <w:rsid w:val="00AF1315"/>
    <w:rsid w:val="00AF19BF"/>
    <w:rsid w:val="00AF1CA2"/>
    <w:rsid w:val="00AF2257"/>
    <w:rsid w:val="00AF2DC3"/>
    <w:rsid w:val="00AF317C"/>
    <w:rsid w:val="00AF452D"/>
    <w:rsid w:val="00AF5A4C"/>
    <w:rsid w:val="00AF74FF"/>
    <w:rsid w:val="00AF7800"/>
    <w:rsid w:val="00B009D5"/>
    <w:rsid w:val="00B0185E"/>
    <w:rsid w:val="00B01FAF"/>
    <w:rsid w:val="00B0316F"/>
    <w:rsid w:val="00B033E5"/>
    <w:rsid w:val="00B0386D"/>
    <w:rsid w:val="00B03A63"/>
    <w:rsid w:val="00B063BC"/>
    <w:rsid w:val="00B06777"/>
    <w:rsid w:val="00B0730E"/>
    <w:rsid w:val="00B140F9"/>
    <w:rsid w:val="00B14DD9"/>
    <w:rsid w:val="00B172D4"/>
    <w:rsid w:val="00B17A50"/>
    <w:rsid w:val="00B2019F"/>
    <w:rsid w:val="00B201A4"/>
    <w:rsid w:val="00B20D4F"/>
    <w:rsid w:val="00B213A6"/>
    <w:rsid w:val="00B2278B"/>
    <w:rsid w:val="00B24C33"/>
    <w:rsid w:val="00B24DF6"/>
    <w:rsid w:val="00B24E23"/>
    <w:rsid w:val="00B25B6A"/>
    <w:rsid w:val="00B26DDD"/>
    <w:rsid w:val="00B30CD1"/>
    <w:rsid w:val="00B3154C"/>
    <w:rsid w:val="00B315B1"/>
    <w:rsid w:val="00B33A84"/>
    <w:rsid w:val="00B3444B"/>
    <w:rsid w:val="00B34FE2"/>
    <w:rsid w:val="00B357D8"/>
    <w:rsid w:val="00B3656B"/>
    <w:rsid w:val="00B36AC6"/>
    <w:rsid w:val="00B37A62"/>
    <w:rsid w:val="00B37BF1"/>
    <w:rsid w:val="00B37BFC"/>
    <w:rsid w:val="00B4002D"/>
    <w:rsid w:val="00B40358"/>
    <w:rsid w:val="00B41609"/>
    <w:rsid w:val="00B41614"/>
    <w:rsid w:val="00B4259E"/>
    <w:rsid w:val="00B42787"/>
    <w:rsid w:val="00B42851"/>
    <w:rsid w:val="00B42F80"/>
    <w:rsid w:val="00B435C9"/>
    <w:rsid w:val="00B435CB"/>
    <w:rsid w:val="00B44067"/>
    <w:rsid w:val="00B444A8"/>
    <w:rsid w:val="00B456A5"/>
    <w:rsid w:val="00B4591B"/>
    <w:rsid w:val="00B4686F"/>
    <w:rsid w:val="00B50DB8"/>
    <w:rsid w:val="00B51AA8"/>
    <w:rsid w:val="00B51DFA"/>
    <w:rsid w:val="00B53324"/>
    <w:rsid w:val="00B53654"/>
    <w:rsid w:val="00B53905"/>
    <w:rsid w:val="00B53EDC"/>
    <w:rsid w:val="00B54B5B"/>
    <w:rsid w:val="00B54B8D"/>
    <w:rsid w:val="00B54FFA"/>
    <w:rsid w:val="00B5562E"/>
    <w:rsid w:val="00B57000"/>
    <w:rsid w:val="00B5721E"/>
    <w:rsid w:val="00B60939"/>
    <w:rsid w:val="00B60AFD"/>
    <w:rsid w:val="00B61512"/>
    <w:rsid w:val="00B61B67"/>
    <w:rsid w:val="00B6253E"/>
    <w:rsid w:val="00B62715"/>
    <w:rsid w:val="00B6421D"/>
    <w:rsid w:val="00B645CB"/>
    <w:rsid w:val="00B649D8"/>
    <w:rsid w:val="00B6781E"/>
    <w:rsid w:val="00B70895"/>
    <w:rsid w:val="00B71ECC"/>
    <w:rsid w:val="00B74928"/>
    <w:rsid w:val="00B7492C"/>
    <w:rsid w:val="00B80321"/>
    <w:rsid w:val="00B818A4"/>
    <w:rsid w:val="00B82B3A"/>
    <w:rsid w:val="00B84117"/>
    <w:rsid w:val="00B8488F"/>
    <w:rsid w:val="00B85AA2"/>
    <w:rsid w:val="00B8649C"/>
    <w:rsid w:val="00B86679"/>
    <w:rsid w:val="00B87F0A"/>
    <w:rsid w:val="00B913A3"/>
    <w:rsid w:val="00B92D0B"/>
    <w:rsid w:val="00B94945"/>
    <w:rsid w:val="00B9781B"/>
    <w:rsid w:val="00BA27F3"/>
    <w:rsid w:val="00BA311D"/>
    <w:rsid w:val="00BA322D"/>
    <w:rsid w:val="00BA3613"/>
    <w:rsid w:val="00BA36C3"/>
    <w:rsid w:val="00BA44C1"/>
    <w:rsid w:val="00BA465A"/>
    <w:rsid w:val="00BA4B2C"/>
    <w:rsid w:val="00BA4D2E"/>
    <w:rsid w:val="00BA519F"/>
    <w:rsid w:val="00BA640F"/>
    <w:rsid w:val="00BB0BDD"/>
    <w:rsid w:val="00BB1383"/>
    <w:rsid w:val="00BB2A73"/>
    <w:rsid w:val="00BB2E8B"/>
    <w:rsid w:val="00BB2ECF"/>
    <w:rsid w:val="00BB4ACC"/>
    <w:rsid w:val="00BB5B4F"/>
    <w:rsid w:val="00BB703E"/>
    <w:rsid w:val="00BB7405"/>
    <w:rsid w:val="00BB771E"/>
    <w:rsid w:val="00BB7A7E"/>
    <w:rsid w:val="00BC007E"/>
    <w:rsid w:val="00BC03AD"/>
    <w:rsid w:val="00BC0F2F"/>
    <w:rsid w:val="00BC183A"/>
    <w:rsid w:val="00BC3631"/>
    <w:rsid w:val="00BC4CB2"/>
    <w:rsid w:val="00BC6A12"/>
    <w:rsid w:val="00BD0023"/>
    <w:rsid w:val="00BD0CA7"/>
    <w:rsid w:val="00BD0F32"/>
    <w:rsid w:val="00BD2340"/>
    <w:rsid w:val="00BD29AB"/>
    <w:rsid w:val="00BD3C88"/>
    <w:rsid w:val="00BD4FFC"/>
    <w:rsid w:val="00BD5891"/>
    <w:rsid w:val="00BD5CB1"/>
    <w:rsid w:val="00BD5F4B"/>
    <w:rsid w:val="00BD66CA"/>
    <w:rsid w:val="00BD68A3"/>
    <w:rsid w:val="00BD6938"/>
    <w:rsid w:val="00BD6CF3"/>
    <w:rsid w:val="00BD6D26"/>
    <w:rsid w:val="00BD7367"/>
    <w:rsid w:val="00BD745E"/>
    <w:rsid w:val="00BD77C8"/>
    <w:rsid w:val="00BD790E"/>
    <w:rsid w:val="00BE1CB9"/>
    <w:rsid w:val="00BE2180"/>
    <w:rsid w:val="00BE21F2"/>
    <w:rsid w:val="00BE29B5"/>
    <w:rsid w:val="00BE2C4F"/>
    <w:rsid w:val="00BE3649"/>
    <w:rsid w:val="00BE4275"/>
    <w:rsid w:val="00BE4C0E"/>
    <w:rsid w:val="00BE4D5C"/>
    <w:rsid w:val="00BE6CEA"/>
    <w:rsid w:val="00BF0692"/>
    <w:rsid w:val="00BF0F95"/>
    <w:rsid w:val="00BF1ED3"/>
    <w:rsid w:val="00BF2238"/>
    <w:rsid w:val="00BF2433"/>
    <w:rsid w:val="00BF49AC"/>
    <w:rsid w:val="00BF61C9"/>
    <w:rsid w:val="00BF6C94"/>
    <w:rsid w:val="00C00424"/>
    <w:rsid w:val="00C00E16"/>
    <w:rsid w:val="00C01388"/>
    <w:rsid w:val="00C0180C"/>
    <w:rsid w:val="00C020EB"/>
    <w:rsid w:val="00C0243D"/>
    <w:rsid w:val="00C06883"/>
    <w:rsid w:val="00C070BA"/>
    <w:rsid w:val="00C119C6"/>
    <w:rsid w:val="00C11CE7"/>
    <w:rsid w:val="00C12C14"/>
    <w:rsid w:val="00C13629"/>
    <w:rsid w:val="00C138C5"/>
    <w:rsid w:val="00C13F7D"/>
    <w:rsid w:val="00C200AA"/>
    <w:rsid w:val="00C237ED"/>
    <w:rsid w:val="00C24269"/>
    <w:rsid w:val="00C24632"/>
    <w:rsid w:val="00C24D5A"/>
    <w:rsid w:val="00C25418"/>
    <w:rsid w:val="00C25D9C"/>
    <w:rsid w:val="00C25E80"/>
    <w:rsid w:val="00C26915"/>
    <w:rsid w:val="00C2778B"/>
    <w:rsid w:val="00C31649"/>
    <w:rsid w:val="00C3432B"/>
    <w:rsid w:val="00C34783"/>
    <w:rsid w:val="00C37EB7"/>
    <w:rsid w:val="00C40385"/>
    <w:rsid w:val="00C40569"/>
    <w:rsid w:val="00C40889"/>
    <w:rsid w:val="00C40AE4"/>
    <w:rsid w:val="00C40EA6"/>
    <w:rsid w:val="00C4119D"/>
    <w:rsid w:val="00C4348F"/>
    <w:rsid w:val="00C439C3"/>
    <w:rsid w:val="00C43BDE"/>
    <w:rsid w:val="00C44589"/>
    <w:rsid w:val="00C449B9"/>
    <w:rsid w:val="00C45090"/>
    <w:rsid w:val="00C46FF3"/>
    <w:rsid w:val="00C475AA"/>
    <w:rsid w:val="00C50289"/>
    <w:rsid w:val="00C50DA0"/>
    <w:rsid w:val="00C53439"/>
    <w:rsid w:val="00C557B3"/>
    <w:rsid w:val="00C5610D"/>
    <w:rsid w:val="00C57431"/>
    <w:rsid w:val="00C602BC"/>
    <w:rsid w:val="00C60666"/>
    <w:rsid w:val="00C61BD6"/>
    <w:rsid w:val="00C62754"/>
    <w:rsid w:val="00C65576"/>
    <w:rsid w:val="00C65884"/>
    <w:rsid w:val="00C66165"/>
    <w:rsid w:val="00C664B4"/>
    <w:rsid w:val="00C66B35"/>
    <w:rsid w:val="00C7151A"/>
    <w:rsid w:val="00C71F60"/>
    <w:rsid w:val="00C720C9"/>
    <w:rsid w:val="00C72241"/>
    <w:rsid w:val="00C727DF"/>
    <w:rsid w:val="00C72B7D"/>
    <w:rsid w:val="00C750C8"/>
    <w:rsid w:val="00C7560F"/>
    <w:rsid w:val="00C80A0E"/>
    <w:rsid w:val="00C811F8"/>
    <w:rsid w:val="00C8213F"/>
    <w:rsid w:val="00C84220"/>
    <w:rsid w:val="00C8797A"/>
    <w:rsid w:val="00C87C4D"/>
    <w:rsid w:val="00C900B8"/>
    <w:rsid w:val="00C90C01"/>
    <w:rsid w:val="00C90C71"/>
    <w:rsid w:val="00C914F8"/>
    <w:rsid w:val="00C91815"/>
    <w:rsid w:val="00C91E23"/>
    <w:rsid w:val="00C92824"/>
    <w:rsid w:val="00C931CF"/>
    <w:rsid w:val="00C938CF"/>
    <w:rsid w:val="00C946DC"/>
    <w:rsid w:val="00C9526D"/>
    <w:rsid w:val="00C95436"/>
    <w:rsid w:val="00C95F55"/>
    <w:rsid w:val="00C9624D"/>
    <w:rsid w:val="00C969DA"/>
    <w:rsid w:val="00C97AA4"/>
    <w:rsid w:val="00CA17BA"/>
    <w:rsid w:val="00CA2C77"/>
    <w:rsid w:val="00CA3595"/>
    <w:rsid w:val="00CA396A"/>
    <w:rsid w:val="00CA444F"/>
    <w:rsid w:val="00CA5245"/>
    <w:rsid w:val="00CA6C30"/>
    <w:rsid w:val="00CA71F4"/>
    <w:rsid w:val="00CA7B09"/>
    <w:rsid w:val="00CB2037"/>
    <w:rsid w:val="00CB2F2A"/>
    <w:rsid w:val="00CB4B5E"/>
    <w:rsid w:val="00CB5226"/>
    <w:rsid w:val="00CB59A5"/>
    <w:rsid w:val="00CB5B1A"/>
    <w:rsid w:val="00CB66BC"/>
    <w:rsid w:val="00CB6B22"/>
    <w:rsid w:val="00CB75C0"/>
    <w:rsid w:val="00CB7F5F"/>
    <w:rsid w:val="00CC08D0"/>
    <w:rsid w:val="00CC1B39"/>
    <w:rsid w:val="00CC28AD"/>
    <w:rsid w:val="00CC392F"/>
    <w:rsid w:val="00CC539A"/>
    <w:rsid w:val="00CC5C0B"/>
    <w:rsid w:val="00CC5DBB"/>
    <w:rsid w:val="00CC68F5"/>
    <w:rsid w:val="00CD0C20"/>
    <w:rsid w:val="00CD1005"/>
    <w:rsid w:val="00CD1120"/>
    <w:rsid w:val="00CD2456"/>
    <w:rsid w:val="00CD4203"/>
    <w:rsid w:val="00CD6ADC"/>
    <w:rsid w:val="00CD6EA1"/>
    <w:rsid w:val="00CD71FC"/>
    <w:rsid w:val="00CD74BE"/>
    <w:rsid w:val="00CD7BAC"/>
    <w:rsid w:val="00CE1492"/>
    <w:rsid w:val="00CE1D1C"/>
    <w:rsid w:val="00CE4CFC"/>
    <w:rsid w:val="00CE6274"/>
    <w:rsid w:val="00CE6479"/>
    <w:rsid w:val="00CE7266"/>
    <w:rsid w:val="00CF294A"/>
    <w:rsid w:val="00CF2993"/>
    <w:rsid w:val="00CF2B8D"/>
    <w:rsid w:val="00CF4018"/>
    <w:rsid w:val="00CF456B"/>
    <w:rsid w:val="00CF52FC"/>
    <w:rsid w:val="00CF5A22"/>
    <w:rsid w:val="00CF7107"/>
    <w:rsid w:val="00D01B98"/>
    <w:rsid w:val="00D01CDB"/>
    <w:rsid w:val="00D0262E"/>
    <w:rsid w:val="00D02FB6"/>
    <w:rsid w:val="00D033E5"/>
    <w:rsid w:val="00D03DDD"/>
    <w:rsid w:val="00D065CF"/>
    <w:rsid w:val="00D068CB"/>
    <w:rsid w:val="00D06D02"/>
    <w:rsid w:val="00D10A74"/>
    <w:rsid w:val="00D110BD"/>
    <w:rsid w:val="00D119F9"/>
    <w:rsid w:val="00D1331E"/>
    <w:rsid w:val="00D13675"/>
    <w:rsid w:val="00D13CB3"/>
    <w:rsid w:val="00D141E1"/>
    <w:rsid w:val="00D162CA"/>
    <w:rsid w:val="00D17BB6"/>
    <w:rsid w:val="00D17D6C"/>
    <w:rsid w:val="00D2100C"/>
    <w:rsid w:val="00D2141D"/>
    <w:rsid w:val="00D21EAE"/>
    <w:rsid w:val="00D2754D"/>
    <w:rsid w:val="00D27B27"/>
    <w:rsid w:val="00D31B57"/>
    <w:rsid w:val="00D3231C"/>
    <w:rsid w:val="00D32840"/>
    <w:rsid w:val="00D330BB"/>
    <w:rsid w:val="00D33BE9"/>
    <w:rsid w:val="00D33E0F"/>
    <w:rsid w:val="00D34686"/>
    <w:rsid w:val="00D34694"/>
    <w:rsid w:val="00D357FF"/>
    <w:rsid w:val="00D36B6C"/>
    <w:rsid w:val="00D371FE"/>
    <w:rsid w:val="00D41069"/>
    <w:rsid w:val="00D424C7"/>
    <w:rsid w:val="00D426D1"/>
    <w:rsid w:val="00D43B2A"/>
    <w:rsid w:val="00D45046"/>
    <w:rsid w:val="00D45759"/>
    <w:rsid w:val="00D4610D"/>
    <w:rsid w:val="00D47575"/>
    <w:rsid w:val="00D47A27"/>
    <w:rsid w:val="00D545E4"/>
    <w:rsid w:val="00D546BE"/>
    <w:rsid w:val="00D556FA"/>
    <w:rsid w:val="00D575EB"/>
    <w:rsid w:val="00D606FB"/>
    <w:rsid w:val="00D61181"/>
    <w:rsid w:val="00D61D5E"/>
    <w:rsid w:val="00D629A5"/>
    <w:rsid w:val="00D64015"/>
    <w:rsid w:val="00D65376"/>
    <w:rsid w:val="00D66808"/>
    <w:rsid w:val="00D66CB9"/>
    <w:rsid w:val="00D67881"/>
    <w:rsid w:val="00D70F16"/>
    <w:rsid w:val="00D74C79"/>
    <w:rsid w:val="00D75E65"/>
    <w:rsid w:val="00D76194"/>
    <w:rsid w:val="00D76A44"/>
    <w:rsid w:val="00D80020"/>
    <w:rsid w:val="00D8075A"/>
    <w:rsid w:val="00D81513"/>
    <w:rsid w:val="00D815EF"/>
    <w:rsid w:val="00D82443"/>
    <w:rsid w:val="00D840B2"/>
    <w:rsid w:val="00D84879"/>
    <w:rsid w:val="00D84C24"/>
    <w:rsid w:val="00D85A09"/>
    <w:rsid w:val="00D8603A"/>
    <w:rsid w:val="00D86ADD"/>
    <w:rsid w:val="00D86F75"/>
    <w:rsid w:val="00D909A7"/>
    <w:rsid w:val="00D909F8"/>
    <w:rsid w:val="00D91923"/>
    <w:rsid w:val="00D92769"/>
    <w:rsid w:val="00D92BCC"/>
    <w:rsid w:val="00D92BE7"/>
    <w:rsid w:val="00D931C2"/>
    <w:rsid w:val="00D93753"/>
    <w:rsid w:val="00DA00D0"/>
    <w:rsid w:val="00DA04EA"/>
    <w:rsid w:val="00DA1BB8"/>
    <w:rsid w:val="00DA1E8A"/>
    <w:rsid w:val="00DA25DD"/>
    <w:rsid w:val="00DA3167"/>
    <w:rsid w:val="00DA4DC3"/>
    <w:rsid w:val="00DA4F12"/>
    <w:rsid w:val="00DA5BE1"/>
    <w:rsid w:val="00DA6178"/>
    <w:rsid w:val="00DA710D"/>
    <w:rsid w:val="00DA77A5"/>
    <w:rsid w:val="00DB0CE3"/>
    <w:rsid w:val="00DB3473"/>
    <w:rsid w:val="00DB4238"/>
    <w:rsid w:val="00DB484F"/>
    <w:rsid w:val="00DB4B18"/>
    <w:rsid w:val="00DB6461"/>
    <w:rsid w:val="00DB6722"/>
    <w:rsid w:val="00DC01BE"/>
    <w:rsid w:val="00DC04F6"/>
    <w:rsid w:val="00DC09D3"/>
    <w:rsid w:val="00DC1A18"/>
    <w:rsid w:val="00DC2E17"/>
    <w:rsid w:val="00DC3C57"/>
    <w:rsid w:val="00DC5501"/>
    <w:rsid w:val="00DC7034"/>
    <w:rsid w:val="00DC75EF"/>
    <w:rsid w:val="00DD0115"/>
    <w:rsid w:val="00DD1210"/>
    <w:rsid w:val="00DD184A"/>
    <w:rsid w:val="00DD1C32"/>
    <w:rsid w:val="00DD23F7"/>
    <w:rsid w:val="00DD2476"/>
    <w:rsid w:val="00DD273C"/>
    <w:rsid w:val="00DD3F28"/>
    <w:rsid w:val="00DD42E2"/>
    <w:rsid w:val="00DD4537"/>
    <w:rsid w:val="00DD4653"/>
    <w:rsid w:val="00DD4E15"/>
    <w:rsid w:val="00DD5920"/>
    <w:rsid w:val="00DD59FC"/>
    <w:rsid w:val="00DE1656"/>
    <w:rsid w:val="00DE3138"/>
    <w:rsid w:val="00DE37F8"/>
    <w:rsid w:val="00DE46A0"/>
    <w:rsid w:val="00DE4FCB"/>
    <w:rsid w:val="00DE50C5"/>
    <w:rsid w:val="00DE6936"/>
    <w:rsid w:val="00DE7832"/>
    <w:rsid w:val="00DF095A"/>
    <w:rsid w:val="00DF18FC"/>
    <w:rsid w:val="00DF1900"/>
    <w:rsid w:val="00DF5D2B"/>
    <w:rsid w:val="00E00E8E"/>
    <w:rsid w:val="00E04619"/>
    <w:rsid w:val="00E04FE0"/>
    <w:rsid w:val="00E0544C"/>
    <w:rsid w:val="00E05630"/>
    <w:rsid w:val="00E05E73"/>
    <w:rsid w:val="00E06DBB"/>
    <w:rsid w:val="00E07108"/>
    <w:rsid w:val="00E10149"/>
    <w:rsid w:val="00E11486"/>
    <w:rsid w:val="00E13749"/>
    <w:rsid w:val="00E13A4D"/>
    <w:rsid w:val="00E16372"/>
    <w:rsid w:val="00E20101"/>
    <w:rsid w:val="00E206F7"/>
    <w:rsid w:val="00E20834"/>
    <w:rsid w:val="00E20E4D"/>
    <w:rsid w:val="00E20ED6"/>
    <w:rsid w:val="00E21358"/>
    <w:rsid w:val="00E2249B"/>
    <w:rsid w:val="00E22A0D"/>
    <w:rsid w:val="00E24D8E"/>
    <w:rsid w:val="00E26C9A"/>
    <w:rsid w:val="00E272B2"/>
    <w:rsid w:val="00E2744A"/>
    <w:rsid w:val="00E2771E"/>
    <w:rsid w:val="00E3057C"/>
    <w:rsid w:val="00E3197C"/>
    <w:rsid w:val="00E32B74"/>
    <w:rsid w:val="00E34948"/>
    <w:rsid w:val="00E36212"/>
    <w:rsid w:val="00E37569"/>
    <w:rsid w:val="00E400E6"/>
    <w:rsid w:val="00E41E30"/>
    <w:rsid w:val="00E43539"/>
    <w:rsid w:val="00E43D70"/>
    <w:rsid w:val="00E44935"/>
    <w:rsid w:val="00E466F3"/>
    <w:rsid w:val="00E46F73"/>
    <w:rsid w:val="00E47B2C"/>
    <w:rsid w:val="00E51560"/>
    <w:rsid w:val="00E525CD"/>
    <w:rsid w:val="00E52ABF"/>
    <w:rsid w:val="00E52E0C"/>
    <w:rsid w:val="00E54069"/>
    <w:rsid w:val="00E54347"/>
    <w:rsid w:val="00E55424"/>
    <w:rsid w:val="00E55BB5"/>
    <w:rsid w:val="00E566EE"/>
    <w:rsid w:val="00E60C89"/>
    <w:rsid w:val="00E60FC1"/>
    <w:rsid w:val="00E6169B"/>
    <w:rsid w:val="00E622D0"/>
    <w:rsid w:val="00E643F3"/>
    <w:rsid w:val="00E65687"/>
    <w:rsid w:val="00E65E79"/>
    <w:rsid w:val="00E6689C"/>
    <w:rsid w:val="00E66BA2"/>
    <w:rsid w:val="00E67416"/>
    <w:rsid w:val="00E70CDC"/>
    <w:rsid w:val="00E718B6"/>
    <w:rsid w:val="00E723BA"/>
    <w:rsid w:val="00E72734"/>
    <w:rsid w:val="00E73581"/>
    <w:rsid w:val="00E76DE3"/>
    <w:rsid w:val="00E779BC"/>
    <w:rsid w:val="00E81378"/>
    <w:rsid w:val="00E82655"/>
    <w:rsid w:val="00E82B2C"/>
    <w:rsid w:val="00E833F7"/>
    <w:rsid w:val="00E83682"/>
    <w:rsid w:val="00E83BDF"/>
    <w:rsid w:val="00E85D07"/>
    <w:rsid w:val="00E868D2"/>
    <w:rsid w:val="00E86C0D"/>
    <w:rsid w:val="00E874DA"/>
    <w:rsid w:val="00E87A1D"/>
    <w:rsid w:val="00E90242"/>
    <w:rsid w:val="00E91FE7"/>
    <w:rsid w:val="00E926A5"/>
    <w:rsid w:val="00E92A37"/>
    <w:rsid w:val="00E9385F"/>
    <w:rsid w:val="00E95A33"/>
    <w:rsid w:val="00E96EA4"/>
    <w:rsid w:val="00EA0DC0"/>
    <w:rsid w:val="00EA12FD"/>
    <w:rsid w:val="00EA17C3"/>
    <w:rsid w:val="00EA1891"/>
    <w:rsid w:val="00EA2CAA"/>
    <w:rsid w:val="00EA3483"/>
    <w:rsid w:val="00EA3864"/>
    <w:rsid w:val="00EA40DD"/>
    <w:rsid w:val="00EB03B3"/>
    <w:rsid w:val="00EB06F4"/>
    <w:rsid w:val="00EB15B6"/>
    <w:rsid w:val="00EB2C0C"/>
    <w:rsid w:val="00EB31B5"/>
    <w:rsid w:val="00EB334B"/>
    <w:rsid w:val="00EB3E7C"/>
    <w:rsid w:val="00EB4916"/>
    <w:rsid w:val="00EB4AB3"/>
    <w:rsid w:val="00EB6089"/>
    <w:rsid w:val="00EB63B9"/>
    <w:rsid w:val="00EB6AB7"/>
    <w:rsid w:val="00EB6E15"/>
    <w:rsid w:val="00EB7602"/>
    <w:rsid w:val="00EB7A19"/>
    <w:rsid w:val="00EC00C9"/>
    <w:rsid w:val="00EC0981"/>
    <w:rsid w:val="00EC1A57"/>
    <w:rsid w:val="00EC2491"/>
    <w:rsid w:val="00EC2649"/>
    <w:rsid w:val="00EC28F1"/>
    <w:rsid w:val="00EC452D"/>
    <w:rsid w:val="00EC4B35"/>
    <w:rsid w:val="00ED022F"/>
    <w:rsid w:val="00ED0638"/>
    <w:rsid w:val="00ED1A22"/>
    <w:rsid w:val="00ED240E"/>
    <w:rsid w:val="00ED3015"/>
    <w:rsid w:val="00ED3CCD"/>
    <w:rsid w:val="00ED3D5F"/>
    <w:rsid w:val="00ED40FE"/>
    <w:rsid w:val="00ED4791"/>
    <w:rsid w:val="00ED51DB"/>
    <w:rsid w:val="00ED57EA"/>
    <w:rsid w:val="00ED669C"/>
    <w:rsid w:val="00ED7D2E"/>
    <w:rsid w:val="00ED7E87"/>
    <w:rsid w:val="00EE07D3"/>
    <w:rsid w:val="00EE1F09"/>
    <w:rsid w:val="00EE22AF"/>
    <w:rsid w:val="00EE315A"/>
    <w:rsid w:val="00EE3ED4"/>
    <w:rsid w:val="00EE413B"/>
    <w:rsid w:val="00EF0171"/>
    <w:rsid w:val="00EF02C0"/>
    <w:rsid w:val="00EF1AC5"/>
    <w:rsid w:val="00EF1B25"/>
    <w:rsid w:val="00EF2845"/>
    <w:rsid w:val="00EF440B"/>
    <w:rsid w:val="00EF4747"/>
    <w:rsid w:val="00EF4BF8"/>
    <w:rsid w:val="00EF5212"/>
    <w:rsid w:val="00EF6010"/>
    <w:rsid w:val="00EF6063"/>
    <w:rsid w:val="00F00682"/>
    <w:rsid w:val="00F00EF6"/>
    <w:rsid w:val="00F02253"/>
    <w:rsid w:val="00F03C2E"/>
    <w:rsid w:val="00F04A66"/>
    <w:rsid w:val="00F0516C"/>
    <w:rsid w:val="00F05D9E"/>
    <w:rsid w:val="00F067A2"/>
    <w:rsid w:val="00F07025"/>
    <w:rsid w:val="00F07DD7"/>
    <w:rsid w:val="00F07E49"/>
    <w:rsid w:val="00F1026E"/>
    <w:rsid w:val="00F10B5E"/>
    <w:rsid w:val="00F11C59"/>
    <w:rsid w:val="00F1263A"/>
    <w:rsid w:val="00F168B7"/>
    <w:rsid w:val="00F17AF0"/>
    <w:rsid w:val="00F21344"/>
    <w:rsid w:val="00F22189"/>
    <w:rsid w:val="00F228EE"/>
    <w:rsid w:val="00F23F14"/>
    <w:rsid w:val="00F24692"/>
    <w:rsid w:val="00F24837"/>
    <w:rsid w:val="00F24EAC"/>
    <w:rsid w:val="00F2575F"/>
    <w:rsid w:val="00F26792"/>
    <w:rsid w:val="00F26BC9"/>
    <w:rsid w:val="00F27565"/>
    <w:rsid w:val="00F30CBA"/>
    <w:rsid w:val="00F310D4"/>
    <w:rsid w:val="00F31D5A"/>
    <w:rsid w:val="00F33235"/>
    <w:rsid w:val="00F33DE9"/>
    <w:rsid w:val="00F346E5"/>
    <w:rsid w:val="00F34A1A"/>
    <w:rsid w:val="00F3545B"/>
    <w:rsid w:val="00F359D0"/>
    <w:rsid w:val="00F3619A"/>
    <w:rsid w:val="00F361EE"/>
    <w:rsid w:val="00F37D80"/>
    <w:rsid w:val="00F40A89"/>
    <w:rsid w:val="00F40AAA"/>
    <w:rsid w:val="00F40BA7"/>
    <w:rsid w:val="00F4142B"/>
    <w:rsid w:val="00F440F1"/>
    <w:rsid w:val="00F45C77"/>
    <w:rsid w:val="00F46CB6"/>
    <w:rsid w:val="00F47A52"/>
    <w:rsid w:val="00F47DE8"/>
    <w:rsid w:val="00F51F15"/>
    <w:rsid w:val="00F51F26"/>
    <w:rsid w:val="00F53E2B"/>
    <w:rsid w:val="00F540A2"/>
    <w:rsid w:val="00F542C1"/>
    <w:rsid w:val="00F54373"/>
    <w:rsid w:val="00F54A92"/>
    <w:rsid w:val="00F55E73"/>
    <w:rsid w:val="00F55E92"/>
    <w:rsid w:val="00F55EDA"/>
    <w:rsid w:val="00F60092"/>
    <w:rsid w:val="00F60AD0"/>
    <w:rsid w:val="00F6177E"/>
    <w:rsid w:val="00F648BD"/>
    <w:rsid w:val="00F65032"/>
    <w:rsid w:val="00F65CD8"/>
    <w:rsid w:val="00F65F4B"/>
    <w:rsid w:val="00F66BE6"/>
    <w:rsid w:val="00F67057"/>
    <w:rsid w:val="00F70C9D"/>
    <w:rsid w:val="00F70E1F"/>
    <w:rsid w:val="00F717BF"/>
    <w:rsid w:val="00F7468E"/>
    <w:rsid w:val="00F746C3"/>
    <w:rsid w:val="00F74BA0"/>
    <w:rsid w:val="00F74CD9"/>
    <w:rsid w:val="00F750E2"/>
    <w:rsid w:val="00F75A3C"/>
    <w:rsid w:val="00F75EA0"/>
    <w:rsid w:val="00F769FE"/>
    <w:rsid w:val="00F76C54"/>
    <w:rsid w:val="00F76EF3"/>
    <w:rsid w:val="00F80A7B"/>
    <w:rsid w:val="00F80E5D"/>
    <w:rsid w:val="00F826B5"/>
    <w:rsid w:val="00F82BE0"/>
    <w:rsid w:val="00F83202"/>
    <w:rsid w:val="00F846BB"/>
    <w:rsid w:val="00F851CE"/>
    <w:rsid w:val="00F855A5"/>
    <w:rsid w:val="00F90D12"/>
    <w:rsid w:val="00F91219"/>
    <w:rsid w:val="00F91504"/>
    <w:rsid w:val="00F91D77"/>
    <w:rsid w:val="00F93F07"/>
    <w:rsid w:val="00F9505B"/>
    <w:rsid w:val="00F97218"/>
    <w:rsid w:val="00F97A78"/>
    <w:rsid w:val="00FA0B20"/>
    <w:rsid w:val="00FA133F"/>
    <w:rsid w:val="00FA24E7"/>
    <w:rsid w:val="00FA4AD3"/>
    <w:rsid w:val="00FA4D9E"/>
    <w:rsid w:val="00FB1175"/>
    <w:rsid w:val="00FB1DDA"/>
    <w:rsid w:val="00FB2688"/>
    <w:rsid w:val="00FB2FCB"/>
    <w:rsid w:val="00FB3CEB"/>
    <w:rsid w:val="00FB4227"/>
    <w:rsid w:val="00FC047A"/>
    <w:rsid w:val="00FC1074"/>
    <w:rsid w:val="00FC1884"/>
    <w:rsid w:val="00FC371D"/>
    <w:rsid w:val="00FC3FD3"/>
    <w:rsid w:val="00FC5783"/>
    <w:rsid w:val="00FC5F0B"/>
    <w:rsid w:val="00FC6B2E"/>
    <w:rsid w:val="00FC7037"/>
    <w:rsid w:val="00FD2100"/>
    <w:rsid w:val="00FD24D8"/>
    <w:rsid w:val="00FD25A6"/>
    <w:rsid w:val="00FD2943"/>
    <w:rsid w:val="00FD305A"/>
    <w:rsid w:val="00FD3E54"/>
    <w:rsid w:val="00FD436C"/>
    <w:rsid w:val="00FD446D"/>
    <w:rsid w:val="00FD46D7"/>
    <w:rsid w:val="00FD4A70"/>
    <w:rsid w:val="00FD5BDC"/>
    <w:rsid w:val="00FD6394"/>
    <w:rsid w:val="00FD7141"/>
    <w:rsid w:val="00FE0E6C"/>
    <w:rsid w:val="00FE3147"/>
    <w:rsid w:val="00FE3F8E"/>
    <w:rsid w:val="00FE48D4"/>
    <w:rsid w:val="00FE5174"/>
    <w:rsid w:val="00FE557E"/>
    <w:rsid w:val="00FE680D"/>
    <w:rsid w:val="00FE70C3"/>
    <w:rsid w:val="00FF02AC"/>
    <w:rsid w:val="00FF0935"/>
    <w:rsid w:val="00FF38EB"/>
    <w:rsid w:val="00FF38F7"/>
    <w:rsid w:val="00FF3DCF"/>
    <w:rsid w:val="00FF492C"/>
    <w:rsid w:val="00FF4A21"/>
    <w:rsid w:val="00FF4C84"/>
    <w:rsid w:val="00FF5AA3"/>
    <w:rsid w:val="00FF5AD8"/>
    <w:rsid w:val="00FF5B40"/>
    <w:rsid w:val="00FF6BF2"/>
    <w:rsid w:val="00FF7CC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ing 8" w:uiPriority="7" w:qFormat="1"/>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HTML Bottom of Form" w:uiPriority="99"/>
    <w:lsdException w:name="Normal (Web)" w:uiPriority="99"/>
    <w:lsdException w:name="No List" w:uiPriority="99"/>
    <w:lsdException w:name="Table Grid" w:uiPriority="3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Figure caption1 Char Char,IB Caption,Medical Caption,Medical Caption Char,Caption Char1 Char Char,Caption Char Char Char Char,Caption Char1 Char,Caption Char Char Char Char Char,Caption Char Char,Caption Char Char Char Char1,...,c"/>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Figure caption Char,Figure caption1 Char Char Char,IB Caption Char,Medical Caption Char1,Medical Caption Char Char,Caption Char1 Char Char Char,Caption Char Char Char Char Char1,Caption Char1 Char Char1,Caption Char Char Char Char 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ullet point,List Paragraph11,Recommendation"/>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ullet point Char,List Paragraph11 Char,Recommendation Char"/>
    <w:basedOn w:val="DefaultParagraphFont"/>
    <w:link w:val="ListParagraph"/>
    <w:uiPriority w:val="72"/>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Page header"/>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Page header Char"/>
    <w:basedOn w:val="DefaultParagraphFont"/>
    <w:link w:val="Header"/>
    <w:uiPriority w:val="99"/>
    <w:rsid w:val="00124A51"/>
    <w:rPr>
      <w:rFonts w:ascii="Arial" w:hAnsi="Arial" w:cs="Arial"/>
      <w:snapToGrid w:val="0"/>
      <w:sz w:val="22"/>
      <w:lang w:eastAsia="en-US"/>
    </w:rPr>
  </w:style>
  <w:style w:type="paragraph" w:styleId="Footer">
    <w:name w:val="footer"/>
    <w:aliases w:val="Page Footer"/>
    <w:basedOn w:val="Normal"/>
    <w:link w:val="FooterChar"/>
    <w:uiPriority w:val="99"/>
    <w:rsid w:val="00124A51"/>
    <w:pPr>
      <w:tabs>
        <w:tab w:val="center" w:pos="4513"/>
        <w:tab w:val="right" w:pos="9026"/>
      </w:tabs>
    </w:pPr>
  </w:style>
  <w:style w:type="character" w:customStyle="1" w:styleId="FooterChar">
    <w:name w:val="Footer Char"/>
    <w:aliases w:val="Page 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uiPriority w:val="99"/>
    <w:unhideWhenUsed/>
    <w:qFormat/>
    <w:rsid w:val="000870BE"/>
    <w:rPr>
      <w:sz w:val="20"/>
      <w:szCs w:val="20"/>
    </w:rPr>
  </w:style>
  <w:style w:type="character" w:customStyle="1" w:styleId="FootnoteTextChar">
    <w:name w:val="Footnote Text Char"/>
    <w:basedOn w:val="DefaultParagraphFont"/>
    <w:link w:val="FootnoteText"/>
    <w:uiPriority w:val="99"/>
    <w:rsid w:val="000870BE"/>
    <w:rPr>
      <w:rFonts w:ascii="Calibri" w:hAnsi="Calibri" w:cs="Arial"/>
      <w:snapToGrid w:val="0"/>
      <w:lang w:eastAsia="en-US"/>
    </w:rPr>
  </w:style>
  <w:style w:type="character" w:styleId="FootnoteReference">
    <w:name w:val="footnote reference"/>
    <w:basedOn w:val="DefaultParagraphFont"/>
    <w:uiPriority w:val="99"/>
    <w:unhideWhenUsed/>
    <w:rsid w:val="000870BE"/>
    <w:rPr>
      <w:vertAlign w:val="superscript"/>
    </w:rPr>
  </w:style>
  <w:style w:type="character" w:customStyle="1" w:styleId="Heading1Char">
    <w:name w:val="Heading 1 Char"/>
    <w:basedOn w:val="DefaultParagraphFont"/>
    <w:link w:val="Heading1"/>
    <w:rsid w:val="000870BE"/>
    <w:rPr>
      <w:rFonts w:ascii="Calibri" w:hAnsi="Calibri" w:cs="Arial"/>
      <w:b/>
      <w:caps/>
      <w:snapToGrid w:val="0"/>
      <w:sz w:val="32"/>
      <w:szCs w:val="22"/>
      <w:lang w:eastAsia="en-US"/>
    </w:rPr>
  </w:style>
  <w:style w:type="paragraph" w:styleId="z-BottomofForm">
    <w:name w:val="HTML Bottom of Form"/>
    <w:basedOn w:val="Normal"/>
    <w:next w:val="Normal"/>
    <w:link w:val="z-BottomofFormChar"/>
    <w:hidden/>
    <w:uiPriority w:val="99"/>
    <w:semiHidden/>
    <w:unhideWhenUsed/>
    <w:rsid w:val="000870BE"/>
    <w:pPr>
      <w:widowControl/>
      <w:pBdr>
        <w:top w:val="single" w:sz="6" w:space="1" w:color="auto"/>
      </w:pBdr>
      <w:jc w:val="center"/>
    </w:pPr>
    <w:rPr>
      <w:rFonts w:ascii="Arial" w:hAnsi="Arial"/>
      <w:snapToGrid/>
      <w:vanish/>
      <w:sz w:val="16"/>
      <w:szCs w:val="16"/>
      <w:lang w:eastAsia="en-AU"/>
    </w:rPr>
  </w:style>
  <w:style w:type="character" w:customStyle="1" w:styleId="z-BottomofFormChar">
    <w:name w:val="z-Bottom of Form Char"/>
    <w:basedOn w:val="DefaultParagraphFont"/>
    <w:link w:val="z-BottomofForm"/>
    <w:uiPriority w:val="99"/>
    <w:semiHidden/>
    <w:rsid w:val="000870BE"/>
    <w:rPr>
      <w:rFonts w:ascii="Arial" w:hAnsi="Arial" w:cs="Arial"/>
      <w:vanish/>
      <w:sz w:val="16"/>
      <w:szCs w:val="16"/>
    </w:rPr>
  </w:style>
  <w:style w:type="paragraph" w:customStyle="1" w:styleId="Default">
    <w:name w:val="Default"/>
    <w:link w:val="DefaultChar"/>
    <w:rsid w:val="000870BE"/>
    <w:pPr>
      <w:autoSpaceDE w:val="0"/>
      <w:autoSpaceDN w:val="0"/>
      <w:adjustRightInd w:val="0"/>
    </w:pPr>
    <w:rPr>
      <w:rFonts w:ascii="Arial" w:eastAsia="Calibri" w:hAnsi="Arial" w:cs="Arial"/>
      <w:color w:val="000000"/>
      <w:sz w:val="24"/>
      <w:szCs w:val="24"/>
    </w:rPr>
  </w:style>
  <w:style w:type="character" w:customStyle="1" w:styleId="DefaultChar">
    <w:name w:val="Default Char"/>
    <w:link w:val="Default"/>
    <w:rsid w:val="000870BE"/>
    <w:rPr>
      <w:rFonts w:ascii="Arial" w:eastAsia="Calibri" w:hAnsi="Arial" w:cs="Arial"/>
      <w:color w:val="000000"/>
      <w:sz w:val="24"/>
      <w:szCs w:val="24"/>
    </w:rPr>
  </w:style>
  <w:style w:type="paragraph" w:styleId="Quote">
    <w:name w:val="Quote"/>
    <w:basedOn w:val="Normal"/>
    <w:next w:val="Normal"/>
    <w:link w:val="QuoteChar"/>
    <w:uiPriority w:val="29"/>
    <w:rsid w:val="000870BE"/>
    <w:pPr>
      <w:widowControl/>
      <w:spacing w:before="120" w:after="120" w:line="360" w:lineRule="auto"/>
      <w:jc w:val="left"/>
    </w:pPr>
    <w:rPr>
      <w:rFonts w:eastAsia="Calibri" w:cs="Times New Roman"/>
      <w:i/>
      <w:iCs/>
      <w:snapToGrid/>
      <w:color w:val="000000"/>
      <w:sz w:val="22"/>
    </w:rPr>
  </w:style>
  <w:style w:type="character" w:customStyle="1" w:styleId="QuoteChar">
    <w:name w:val="Quote Char"/>
    <w:basedOn w:val="DefaultParagraphFont"/>
    <w:link w:val="Quote"/>
    <w:uiPriority w:val="29"/>
    <w:rsid w:val="000870BE"/>
    <w:rPr>
      <w:rFonts w:ascii="Calibri" w:eastAsia="Calibri" w:hAnsi="Calibri"/>
      <w:i/>
      <w:iCs/>
      <w:color w:val="000000"/>
      <w:sz w:val="22"/>
      <w:szCs w:val="22"/>
      <w:lang w:eastAsia="en-US"/>
    </w:rPr>
  </w:style>
  <w:style w:type="paragraph" w:customStyle="1" w:styleId="tabletextsuperscript">
    <w:name w:val="table text superscript"/>
    <w:basedOn w:val="Tabletext"/>
    <w:qFormat/>
    <w:rsid w:val="000870BE"/>
    <w:pPr>
      <w:adjustRightInd w:val="0"/>
      <w:snapToGrid w:val="0"/>
      <w:spacing w:before="40" w:after="40"/>
      <w:jc w:val="center"/>
    </w:pPr>
    <w:rPr>
      <w:rFonts w:ascii="Calibri" w:eastAsia="SimSun" w:hAnsi="Calibri"/>
      <w:sz w:val="18"/>
    </w:rPr>
  </w:style>
  <w:style w:type="paragraph" w:customStyle="1" w:styleId="TableText0">
    <w:name w:val="Table Text"/>
    <w:basedOn w:val="Normal"/>
    <w:qFormat/>
    <w:rsid w:val="000870BE"/>
    <w:pPr>
      <w:keepNext/>
      <w:widowControl/>
      <w:spacing w:before="40" w:after="40"/>
      <w:jc w:val="left"/>
    </w:pPr>
    <w:rPr>
      <w:rFonts w:ascii="Arial Narrow" w:eastAsia="Calibri" w:hAnsi="Arial Narrow" w:cs="Times New Roman"/>
      <w:snapToGrid/>
      <w:sz w:val="20"/>
    </w:rPr>
  </w:style>
  <w:style w:type="numbering" w:customStyle="1" w:styleId="NoList1">
    <w:name w:val="No List1"/>
    <w:next w:val="NoList"/>
    <w:uiPriority w:val="99"/>
    <w:semiHidden/>
    <w:unhideWhenUsed/>
    <w:rsid w:val="000870BE"/>
  </w:style>
  <w:style w:type="paragraph" w:customStyle="1" w:styleId="TableorfigureAbbreviationsandSource">
    <w:name w:val="Table or figure Abbreviations and Source"/>
    <w:next w:val="Normal"/>
    <w:qFormat/>
    <w:rsid w:val="000870BE"/>
    <w:pPr>
      <w:spacing w:after="240"/>
      <w:contextualSpacing/>
    </w:pPr>
    <w:rPr>
      <w:rFonts w:ascii="Calibri" w:eastAsia="Calibri" w:hAnsi="Calibri"/>
      <w:sz w:val="16"/>
      <w:szCs w:val="22"/>
      <w:lang w:eastAsia="zh-CN"/>
    </w:rPr>
  </w:style>
  <w:style w:type="table" w:customStyle="1" w:styleId="TableGrid1">
    <w:name w:val="Table Grid1"/>
    <w:basedOn w:val="TableNormal"/>
    <w:next w:val="TableGrid"/>
    <w:uiPriority w:val="59"/>
    <w:rsid w:val="000870BE"/>
    <w:rPr>
      <w:rFonts w:eastAsia="Batang"/>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870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0">
    <w:name w:val="Table Heading"/>
    <w:basedOn w:val="Normal"/>
    <w:qFormat/>
    <w:rsid w:val="000870BE"/>
    <w:pPr>
      <w:keepNext/>
      <w:widowControl/>
      <w:spacing w:after="60"/>
      <w:jc w:val="left"/>
    </w:pPr>
    <w:rPr>
      <w:rFonts w:ascii="Arial Narrow" w:eastAsia="Calibri" w:hAnsi="Arial Narrow" w:cs="Times New Roman"/>
      <w:b/>
      <w:snapToGrid/>
      <w:sz w:val="20"/>
    </w:rPr>
  </w:style>
  <w:style w:type="character" w:customStyle="1" w:styleId="Heading3Char">
    <w:name w:val="Heading 3 Char"/>
    <w:basedOn w:val="DefaultParagraphFont"/>
    <w:link w:val="Heading3"/>
    <w:rsid w:val="000870BE"/>
    <w:rPr>
      <w:rFonts w:ascii="Calibri" w:hAnsi="Calibri" w:cs="Arial"/>
      <w:snapToGrid w:val="0"/>
      <w:sz w:val="24"/>
      <w:szCs w:val="22"/>
      <w:u w:val="single"/>
      <w:lang w:eastAsia="en-US"/>
    </w:rPr>
  </w:style>
  <w:style w:type="character" w:customStyle="1" w:styleId="Heading4Char">
    <w:name w:val="Heading 4 Char"/>
    <w:basedOn w:val="DefaultParagraphFont"/>
    <w:link w:val="Heading4"/>
    <w:rsid w:val="000870BE"/>
    <w:rPr>
      <w:rFonts w:ascii="Calibri" w:hAnsi="Calibri" w:cs="Arial"/>
      <w:b/>
      <w:bCs/>
      <w:i/>
      <w:snapToGrid w:val="0"/>
      <w:sz w:val="26"/>
      <w:szCs w:val="28"/>
      <w:lang w:eastAsia="en-US"/>
    </w:rPr>
  </w:style>
  <w:style w:type="table" w:customStyle="1" w:styleId="TableGrid11">
    <w:name w:val="Table Grid11"/>
    <w:basedOn w:val="TableNormal"/>
    <w:next w:val="TableGrid"/>
    <w:uiPriority w:val="59"/>
    <w:rsid w:val="000870BE"/>
    <w:rPr>
      <w:rFonts w:eastAsia="Batang"/>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5-NormalBodyText">
    <w:name w:val="05 - Normal Body Text"/>
    <w:basedOn w:val="Normal"/>
    <w:link w:val="05-NormalBodyTextChar"/>
    <w:qFormat/>
    <w:rsid w:val="0088460B"/>
    <w:pPr>
      <w:widowControl/>
      <w:spacing w:before="120" w:after="120" w:line="360" w:lineRule="auto"/>
      <w:jc w:val="left"/>
    </w:pPr>
    <w:rPr>
      <w:rFonts w:eastAsia="Calibri" w:cs="Times New Roman"/>
      <w:snapToGrid/>
      <w:sz w:val="22"/>
    </w:rPr>
  </w:style>
  <w:style w:type="character" w:customStyle="1" w:styleId="05-NormalBodyTextChar">
    <w:name w:val="05 - Normal Body Text Char"/>
    <w:link w:val="05-NormalBodyText"/>
    <w:rsid w:val="0088460B"/>
    <w:rPr>
      <w:rFonts w:ascii="Calibri" w:eastAsia="Calibri" w:hAnsi="Calibri"/>
      <w:sz w:val="22"/>
      <w:szCs w:val="22"/>
      <w:lang w:eastAsia="en-US"/>
    </w:rPr>
  </w:style>
  <w:style w:type="character" w:customStyle="1" w:styleId="Heading5Char">
    <w:name w:val="Heading 5 Char"/>
    <w:basedOn w:val="DefaultParagraphFont"/>
    <w:link w:val="Heading5"/>
    <w:rsid w:val="00694239"/>
    <w:rPr>
      <w:rFonts w:ascii="Calibri" w:hAnsi="Calibri" w:cs="Arial"/>
      <w:b/>
      <w:bCs/>
      <w:iCs/>
      <w:snapToGrid w:val="0"/>
      <w:sz w:val="26"/>
      <w:szCs w:val="26"/>
      <w:lang w:eastAsia="en-US"/>
    </w:rPr>
  </w:style>
  <w:style w:type="character" w:customStyle="1" w:styleId="Heading6Char">
    <w:name w:val="Heading 6 Char"/>
    <w:basedOn w:val="DefaultParagraphFont"/>
    <w:link w:val="Heading6"/>
    <w:rsid w:val="00694239"/>
    <w:rPr>
      <w:rFonts w:ascii="Calibri" w:hAnsi="Calibri" w:cs="Arial"/>
      <w:b/>
      <w:bCs/>
      <w:i/>
      <w:snapToGrid w:val="0"/>
      <w:sz w:val="24"/>
      <w:szCs w:val="22"/>
      <w:lang w:eastAsia="en-US"/>
    </w:rPr>
  </w:style>
  <w:style w:type="table" w:customStyle="1" w:styleId="TableGrid12">
    <w:name w:val="Table Grid12"/>
    <w:basedOn w:val="TableNormal"/>
    <w:next w:val="TableGrid"/>
    <w:uiPriority w:val="39"/>
    <w:rsid w:val="006942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2100C"/>
    <w:pPr>
      <w:widowControl/>
      <w:spacing w:after="160" w:line="240" w:lineRule="exact"/>
      <w:jc w:val="left"/>
    </w:pPr>
    <w:rPr>
      <w:rFonts w:ascii="Verdana" w:eastAsia="MS Mincho" w:hAnsi="Verdana" w:cs="Verdana"/>
      <w:snapToGrid/>
      <w:sz w:val="20"/>
      <w:szCs w:val="20"/>
      <w:lang w:val="en-US"/>
    </w:rPr>
  </w:style>
  <w:style w:type="character" w:styleId="IntenseReference">
    <w:name w:val="Intense Reference"/>
    <w:uiPriority w:val="32"/>
    <w:qFormat/>
    <w:rsid w:val="00D2100C"/>
    <w:rPr>
      <w:b/>
      <w:bCs/>
      <w:smallCaps/>
      <w:color w:val="C0504D"/>
      <w:spacing w:val="5"/>
      <w:u w:val="single"/>
    </w:rPr>
  </w:style>
  <w:style w:type="character" w:styleId="Emphasis">
    <w:name w:val="Emphasis"/>
    <w:uiPriority w:val="20"/>
    <w:qFormat/>
    <w:rsid w:val="00EA40DD"/>
    <w:rPr>
      <w:i/>
      <w:iCs/>
    </w:rPr>
  </w:style>
  <w:style w:type="character" w:customStyle="1" w:styleId="ilfuvd">
    <w:name w:val="ilfuvd"/>
    <w:basedOn w:val="DefaultParagraphFont"/>
    <w:rsid w:val="004F55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ing 8" w:uiPriority="7" w:qFormat="1"/>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HTML Bottom of Form" w:uiPriority="99"/>
    <w:lsdException w:name="Normal (Web)" w:uiPriority="99"/>
    <w:lsdException w:name="No List" w:uiPriority="99"/>
    <w:lsdException w:name="Table Grid" w:uiPriority="3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Figure caption1 Char Char,IB Caption,Medical Caption,Medical Caption Char,Caption Char1 Char Char,Caption Char Char Char Char,Caption Char1 Char,Caption Char Char Char Char Char,Caption Char Char,Caption Char Char Char Char1,...,c"/>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Figure caption Char,Figure caption1 Char Char Char,IB Caption Char,Medical Caption Char1,Medical Caption Char Char,Caption Char1 Char Char Char,Caption Char Char Char Char Char1,Caption Char1 Char Char1,Caption Char Char Char Char 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ullet point,List Paragraph11,Recommendation"/>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ullet point Char,List Paragraph11 Char,Recommendation Char"/>
    <w:basedOn w:val="DefaultParagraphFont"/>
    <w:link w:val="ListParagraph"/>
    <w:uiPriority w:val="72"/>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Page header"/>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Page header Char"/>
    <w:basedOn w:val="DefaultParagraphFont"/>
    <w:link w:val="Header"/>
    <w:uiPriority w:val="99"/>
    <w:rsid w:val="00124A51"/>
    <w:rPr>
      <w:rFonts w:ascii="Arial" w:hAnsi="Arial" w:cs="Arial"/>
      <w:snapToGrid w:val="0"/>
      <w:sz w:val="22"/>
      <w:lang w:eastAsia="en-US"/>
    </w:rPr>
  </w:style>
  <w:style w:type="paragraph" w:styleId="Footer">
    <w:name w:val="footer"/>
    <w:aliases w:val="Page Footer"/>
    <w:basedOn w:val="Normal"/>
    <w:link w:val="FooterChar"/>
    <w:uiPriority w:val="99"/>
    <w:rsid w:val="00124A51"/>
    <w:pPr>
      <w:tabs>
        <w:tab w:val="center" w:pos="4513"/>
        <w:tab w:val="right" w:pos="9026"/>
      </w:tabs>
    </w:pPr>
  </w:style>
  <w:style w:type="character" w:customStyle="1" w:styleId="FooterChar">
    <w:name w:val="Footer Char"/>
    <w:aliases w:val="Page 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uiPriority w:val="99"/>
    <w:unhideWhenUsed/>
    <w:qFormat/>
    <w:rsid w:val="000870BE"/>
    <w:rPr>
      <w:sz w:val="20"/>
      <w:szCs w:val="20"/>
    </w:rPr>
  </w:style>
  <w:style w:type="character" w:customStyle="1" w:styleId="FootnoteTextChar">
    <w:name w:val="Footnote Text Char"/>
    <w:basedOn w:val="DefaultParagraphFont"/>
    <w:link w:val="FootnoteText"/>
    <w:uiPriority w:val="99"/>
    <w:rsid w:val="000870BE"/>
    <w:rPr>
      <w:rFonts w:ascii="Calibri" w:hAnsi="Calibri" w:cs="Arial"/>
      <w:snapToGrid w:val="0"/>
      <w:lang w:eastAsia="en-US"/>
    </w:rPr>
  </w:style>
  <w:style w:type="character" w:styleId="FootnoteReference">
    <w:name w:val="footnote reference"/>
    <w:basedOn w:val="DefaultParagraphFont"/>
    <w:uiPriority w:val="99"/>
    <w:unhideWhenUsed/>
    <w:rsid w:val="000870BE"/>
    <w:rPr>
      <w:vertAlign w:val="superscript"/>
    </w:rPr>
  </w:style>
  <w:style w:type="character" w:customStyle="1" w:styleId="Heading1Char">
    <w:name w:val="Heading 1 Char"/>
    <w:basedOn w:val="DefaultParagraphFont"/>
    <w:link w:val="Heading1"/>
    <w:rsid w:val="000870BE"/>
    <w:rPr>
      <w:rFonts w:ascii="Calibri" w:hAnsi="Calibri" w:cs="Arial"/>
      <w:b/>
      <w:caps/>
      <w:snapToGrid w:val="0"/>
      <w:sz w:val="32"/>
      <w:szCs w:val="22"/>
      <w:lang w:eastAsia="en-US"/>
    </w:rPr>
  </w:style>
  <w:style w:type="paragraph" w:styleId="z-BottomofForm">
    <w:name w:val="HTML Bottom of Form"/>
    <w:basedOn w:val="Normal"/>
    <w:next w:val="Normal"/>
    <w:link w:val="z-BottomofFormChar"/>
    <w:hidden/>
    <w:uiPriority w:val="99"/>
    <w:semiHidden/>
    <w:unhideWhenUsed/>
    <w:rsid w:val="000870BE"/>
    <w:pPr>
      <w:widowControl/>
      <w:pBdr>
        <w:top w:val="single" w:sz="6" w:space="1" w:color="auto"/>
      </w:pBdr>
      <w:jc w:val="center"/>
    </w:pPr>
    <w:rPr>
      <w:rFonts w:ascii="Arial" w:hAnsi="Arial"/>
      <w:snapToGrid/>
      <w:vanish/>
      <w:sz w:val="16"/>
      <w:szCs w:val="16"/>
      <w:lang w:eastAsia="en-AU"/>
    </w:rPr>
  </w:style>
  <w:style w:type="character" w:customStyle="1" w:styleId="z-BottomofFormChar">
    <w:name w:val="z-Bottom of Form Char"/>
    <w:basedOn w:val="DefaultParagraphFont"/>
    <w:link w:val="z-BottomofForm"/>
    <w:uiPriority w:val="99"/>
    <w:semiHidden/>
    <w:rsid w:val="000870BE"/>
    <w:rPr>
      <w:rFonts w:ascii="Arial" w:hAnsi="Arial" w:cs="Arial"/>
      <w:vanish/>
      <w:sz w:val="16"/>
      <w:szCs w:val="16"/>
    </w:rPr>
  </w:style>
  <w:style w:type="paragraph" w:customStyle="1" w:styleId="Default">
    <w:name w:val="Default"/>
    <w:link w:val="DefaultChar"/>
    <w:rsid w:val="000870BE"/>
    <w:pPr>
      <w:autoSpaceDE w:val="0"/>
      <w:autoSpaceDN w:val="0"/>
      <w:adjustRightInd w:val="0"/>
    </w:pPr>
    <w:rPr>
      <w:rFonts w:ascii="Arial" w:eastAsia="Calibri" w:hAnsi="Arial" w:cs="Arial"/>
      <w:color w:val="000000"/>
      <w:sz w:val="24"/>
      <w:szCs w:val="24"/>
    </w:rPr>
  </w:style>
  <w:style w:type="character" w:customStyle="1" w:styleId="DefaultChar">
    <w:name w:val="Default Char"/>
    <w:link w:val="Default"/>
    <w:rsid w:val="000870BE"/>
    <w:rPr>
      <w:rFonts w:ascii="Arial" w:eastAsia="Calibri" w:hAnsi="Arial" w:cs="Arial"/>
      <w:color w:val="000000"/>
      <w:sz w:val="24"/>
      <w:szCs w:val="24"/>
    </w:rPr>
  </w:style>
  <w:style w:type="paragraph" w:styleId="Quote">
    <w:name w:val="Quote"/>
    <w:basedOn w:val="Normal"/>
    <w:next w:val="Normal"/>
    <w:link w:val="QuoteChar"/>
    <w:uiPriority w:val="29"/>
    <w:rsid w:val="000870BE"/>
    <w:pPr>
      <w:widowControl/>
      <w:spacing w:before="120" w:after="120" w:line="360" w:lineRule="auto"/>
      <w:jc w:val="left"/>
    </w:pPr>
    <w:rPr>
      <w:rFonts w:eastAsia="Calibri" w:cs="Times New Roman"/>
      <w:i/>
      <w:iCs/>
      <w:snapToGrid/>
      <w:color w:val="000000"/>
      <w:sz w:val="22"/>
    </w:rPr>
  </w:style>
  <w:style w:type="character" w:customStyle="1" w:styleId="QuoteChar">
    <w:name w:val="Quote Char"/>
    <w:basedOn w:val="DefaultParagraphFont"/>
    <w:link w:val="Quote"/>
    <w:uiPriority w:val="29"/>
    <w:rsid w:val="000870BE"/>
    <w:rPr>
      <w:rFonts w:ascii="Calibri" w:eastAsia="Calibri" w:hAnsi="Calibri"/>
      <w:i/>
      <w:iCs/>
      <w:color w:val="000000"/>
      <w:sz w:val="22"/>
      <w:szCs w:val="22"/>
      <w:lang w:eastAsia="en-US"/>
    </w:rPr>
  </w:style>
  <w:style w:type="paragraph" w:customStyle="1" w:styleId="tabletextsuperscript">
    <w:name w:val="table text superscript"/>
    <w:basedOn w:val="Tabletext"/>
    <w:qFormat/>
    <w:rsid w:val="000870BE"/>
    <w:pPr>
      <w:adjustRightInd w:val="0"/>
      <w:snapToGrid w:val="0"/>
      <w:spacing w:before="40" w:after="40"/>
      <w:jc w:val="center"/>
    </w:pPr>
    <w:rPr>
      <w:rFonts w:ascii="Calibri" w:eastAsia="SimSun" w:hAnsi="Calibri"/>
      <w:sz w:val="18"/>
    </w:rPr>
  </w:style>
  <w:style w:type="paragraph" w:customStyle="1" w:styleId="TableText0">
    <w:name w:val="Table Text"/>
    <w:basedOn w:val="Normal"/>
    <w:qFormat/>
    <w:rsid w:val="000870BE"/>
    <w:pPr>
      <w:keepNext/>
      <w:widowControl/>
      <w:spacing w:before="40" w:after="40"/>
      <w:jc w:val="left"/>
    </w:pPr>
    <w:rPr>
      <w:rFonts w:ascii="Arial Narrow" w:eastAsia="Calibri" w:hAnsi="Arial Narrow" w:cs="Times New Roman"/>
      <w:snapToGrid/>
      <w:sz w:val="20"/>
    </w:rPr>
  </w:style>
  <w:style w:type="numbering" w:customStyle="1" w:styleId="NoList1">
    <w:name w:val="No List1"/>
    <w:next w:val="NoList"/>
    <w:uiPriority w:val="99"/>
    <w:semiHidden/>
    <w:unhideWhenUsed/>
    <w:rsid w:val="000870BE"/>
  </w:style>
  <w:style w:type="paragraph" w:customStyle="1" w:styleId="TableorfigureAbbreviationsandSource">
    <w:name w:val="Table or figure Abbreviations and Source"/>
    <w:next w:val="Normal"/>
    <w:qFormat/>
    <w:rsid w:val="000870BE"/>
    <w:pPr>
      <w:spacing w:after="240"/>
      <w:contextualSpacing/>
    </w:pPr>
    <w:rPr>
      <w:rFonts w:ascii="Calibri" w:eastAsia="Calibri" w:hAnsi="Calibri"/>
      <w:sz w:val="16"/>
      <w:szCs w:val="22"/>
      <w:lang w:eastAsia="zh-CN"/>
    </w:rPr>
  </w:style>
  <w:style w:type="table" w:customStyle="1" w:styleId="TableGrid1">
    <w:name w:val="Table Grid1"/>
    <w:basedOn w:val="TableNormal"/>
    <w:next w:val="TableGrid"/>
    <w:uiPriority w:val="59"/>
    <w:rsid w:val="000870BE"/>
    <w:rPr>
      <w:rFonts w:eastAsia="Batang"/>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870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0">
    <w:name w:val="Table Heading"/>
    <w:basedOn w:val="Normal"/>
    <w:qFormat/>
    <w:rsid w:val="000870BE"/>
    <w:pPr>
      <w:keepNext/>
      <w:widowControl/>
      <w:spacing w:after="60"/>
      <w:jc w:val="left"/>
    </w:pPr>
    <w:rPr>
      <w:rFonts w:ascii="Arial Narrow" w:eastAsia="Calibri" w:hAnsi="Arial Narrow" w:cs="Times New Roman"/>
      <w:b/>
      <w:snapToGrid/>
      <w:sz w:val="20"/>
    </w:rPr>
  </w:style>
  <w:style w:type="character" w:customStyle="1" w:styleId="Heading3Char">
    <w:name w:val="Heading 3 Char"/>
    <w:basedOn w:val="DefaultParagraphFont"/>
    <w:link w:val="Heading3"/>
    <w:rsid w:val="000870BE"/>
    <w:rPr>
      <w:rFonts w:ascii="Calibri" w:hAnsi="Calibri" w:cs="Arial"/>
      <w:snapToGrid w:val="0"/>
      <w:sz w:val="24"/>
      <w:szCs w:val="22"/>
      <w:u w:val="single"/>
      <w:lang w:eastAsia="en-US"/>
    </w:rPr>
  </w:style>
  <w:style w:type="character" w:customStyle="1" w:styleId="Heading4Char">
    <w:name w:val="Heading 4 Char"/>
    <w:basedOn w:val="DefaultParagraphFont"/>
    <w:link w:val="Heading4"/>
    <w:rsid w:val="000870BE"/>
    <w:rPr>
      <w:rFonts w:ascii="Calibri" w:hAnsi="Calibri" w:cs="Arial"/>
      <w:b/>
      <w:bCs/>
      <w:i/>
      <w:snapToGrid w:val="0"/>
      <w:sz w:val="26"/>
      <w:szCs w:val="28"/>
      <w:lang w:eastAsia="en-US"/>
    </w:rPr>
  </w:style>
  <w:style w:type="table" w:customStyle="1" w:styleId="TableGrid11">
    <w:name w:val="Table Grid11"/>
    <w:basedOn w:val="TableNormal"/>
    <w:next w:val="TableGrid"/>
    <w:uiPriority w:val="59"/>
    <w:rsid w:val="000870BE"/>
    <w:rPr>
      <w:rFonts w:eastAsia="Batang"/>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5-NormalBodyText">
    <w:name w:val="05 - Normal Body Text"/>
    <w:basedOn w:val="Normal"/>
    <w:link w:val="05-NormalBodyTextChar"/>
    <w:qFormat/>
    <w:rsid w:val="0088460B"/>
    <w:pPr>
      <w:widowControl/>
      <w:spacing w:before="120" w:after="120" w:line="360" w:lineRule="auto"/>
      <w:jc w:val="left"/>
    </w:pPr>
    <w:rPr>
      <w:rFonts w:eastAsia="Calibri" w:cs="Times New Roman"/>
      <w:snapToGrid/>
      <w:sz w:val="22"/>
    </w:rPr>
  </w:style>
  <w:style w:type="character" w:customStyle="1" w:styleId="05-NormalBodyTextChar">
    <w:name w:val="05 - Normal Body Text Char"/>
    <w:link w:val="05-NormalBodyText"/>
    <w:rsid w:val="0088460B"/>
    <w:rPr>
      <w:rFonts w:ascii="Calibri" w:eastAsia="Calibri" w:hAnsi="Calibri"/>
      <w:sz w:val="22"/>
      <w:szCs w:val="22"/>
      <w:lang w:eastAsia="en-US"/>
    </w:rPr>
  </w:style>
  <w:style w:type="character" w:customStyle="1" w:styleId="Heading5Char">
    <w:name w:val="Heading 5 Char"/>
    <w:basedOn w:val="DefaultParagraphFont"/>
    <w:link w:val="Heading5"/>
    <w:rsid w:val="00694239"/>
    <w:rPr>
      <w:rFonts w:ascii="Calibri" w:hAnsi="Calibri" w:cs="Arial"/>
      <w:b/>
      <w:bCs/>
      <w:iCs/>
      <w:snapToGrid w:val="0"/>
      <w:sz w:val="26"/>
      <w:szCs w:val="26"/>
      <w:lang w:eastAsia="en-US"/>
    </w:rPr>
  </w:style>
  <w:style w:type="character" w:customStyle="1" w:styleId="Heading6Char">
    <w:name w:val="Heading 6 Char"/>
    <w:basedOn w:val="DefaultParagraphFont"/>
    <w:link w:val="Heading6"/>
    <w:rsid w:val="00694239"/>
    <w:rPr>
      <w:rFonts w:ascii="Calibri" w:hAnsi="Calibri" w:cs="Arial"/>
      <w:b/>
      <w:bCs/>
      <w:i/>
      <w:snapToGrid w:val="0"/>
      <w:sz w:val="24"/>
      <w:szCs w:val="22"/>
      <w:lang w:eastAsia="en-US"/>
    </w:rPr>
  </w:style>
  <w:style w:type="table" w:customStyle="1" w:styleId="TableGrid12">
    <w:name w:val="Table Grid12"/>
    <w:basedOn w:val="TableNormal"/>
    <w:next w:val="TableGrid"/>
    <w:uiPriority w:val="39"/>
    <w:rsid w:val="006942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2100C"/>
    <w:pPr>
      <w:widowControl/>
      <w:spacing w:after="160" w:line="240" w:lineRule="exact"/>
      <w:jc w:val="left"/>
    </w:pPr>
    <w:rPr>
      <w:rFonts w:ascii="Verdana" w:eastAsia="MS Mincho" w:hAnsi="Verdana" w:cs="Verdana"/>
      <w:snapToGrid/>
      <w:sz w:val="20"/>
      <w:szCs w:val="20"/>
      <w:lang w:val="en-US"/>
    </w:rPr>
  </w:style>
  <w:style w:type="character" w:styleId="IntenseReference">
    <w:name w:val="Intense Reference"/>
    <w:uiPriority w:val="32"/>
    <w:qFormat/>
    <w:rsid w:val="00D2100C"/>
    <w:rPr>
      <w:b/>
      <w:bCs/>
      <w:smallCaps/>
      <w:color w:val="C0504D"/>
      <w:spacing w:val="5"/>
      <w:u w:val="single"/>
    </w:rPr>
  </w:style>
  <w:style w:type="character" w:styleId="Emphasis">
    <w:name w:val="Emphasis"/>
    <w:uiPriority w:val="20"/>
    <w:qFormat/>
    <w:rsid w:val="00EA40DD"/>
    <w:rPr>
      <w:i/>
      <w:iCs/>
    </w:rPr>
  </w:style>
  <w:style w:type="character" w:customStyle="1" w:styleId="ilfuvd">
    <w:name w:val="ilfuvd"/>
    <w:basedOn w:val="DefaultParagraphFont"/>
    <w:rsid w:val="004F5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24407">
      <w:bodyDiv w:val="1"/>
      <w:marLeft w:val="0"/>
      <w:marRight w:val="0"/>
      <w:marTop w:val="0"/>
      <w:marBottom w:val="0"/>
      <w:divBdr>
        <w:top w:val="none" w:sz="0" w:space="0" w:color="auto"/>
        <w:left w:val="none" w:sz="0" w:space="0" w:color="auto"/>
        <w:bottom w:val="none" w:sz="0" w:space="0" w:color="auto"/>
        <w:right w:val="none" w:sz="0" w:space="0" w:color="auto"/>
      </w:divBdr>
    </w:div>
    <w:div w:id="1589147937">
      <w:bodyDiv w:val="1"/>
      <w:marLeft w:val="0"/>
      <w:marRight w:val="0"/>
      <w:marTop w:val="0"/>
      <w:marBottom w:val="0"/>
      <w:divBdr>
        <w:top w:val="none" w:sz="0" w:space="0" w:color="auto"/>
        <w:left w:val="none" w:sz="0" w:space="0" w:color="auto"/>
        <w:bottom w:val="none" w:sz="0" w:space="0" w:color="auto"/>
        <w:right w:val="none" w:sz="0" w:space="0" w:color="auto"/>
      </w:divBdr>
    </w:div>
    <w:div w:id="1640645687">
      <w:bodyDiv w:val="1"/>
      <w:marLeft w:val="0"/>
      <w:marRight w:val="0"/>
      <w:marTop w:val="0"/>
      <w:marBottom w:val="0"/>
      <w:divBdr>
        <w:top w:val="none" w:sz="0" w:space="0" w:color="auto"/>
        <w:left w:val="none" w:sz="0" w:space="0" w:color="auto"/>
        <w:bottom w:val="none" w:sz="0" w:space="0" w:color="auto"/>
        <w:right w:val="none" w:sz="0" w:space="0" w:color="auto"/>
      </w:divBdr>
    </w:div>
    <w:div w:id="1746100320">
      <w:bodyDiv w:val="1"/>
      <w:marLeft w:val="0"/>
      <w:marRight w:val="0"/>
      <w:marTop w:val="0"/>
      <w:marBottom w:val="0"/>
      <w:divBdr>
        <w:top w:val="none" w:sz="0" w:space="0" w:color="auto"/>
        <w:left w:val="none" w:sz="0" w:space="0" w:color="auto"/>
        <w:bottom w:val="none" w:sz="0" w:space="0" w:color="auto"/>
        <w:right w:val="none" w:sz="0" w:space="0" w:color="auto"/>
      </w:divBdr>
    </w:div>
    <w:div w:id="2046902584">
      <w:bodyDiv w:val="1"/>
      <w:marLeft w:val="0"/>
      <w:marRight w:val="0"/>
      <w:marTop w:val="0"/>
      <w:marBottom w:val="0"/>
      <w:divBdr>
        <w:top w:val="none" w:sz="0" w:space="0" w:color="auto"/>
        <w:left w:val="none" w:sz="0" w:space="0" w:color="auto"/>
        <w:bottom w:val="none" w:sz="0" w:space="0" w:color="auto"/>
        <w:right w:val="none" w:sz="0" w:space="0" w:color="auto"/>
      </w:divBdr>
    </w:div>
    <w:div w:id="204945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2.tmp"/><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1.png"/><Relationship Id="rId23" Type="http://schemas.microsoft.com/office/2016/09/relationships/commentsIds" Target="commentsIds.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00783-4575-4B18-AB85-25802326E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12849</Words>
  <Characters>71434</Characters>
  <Application>Microsoft Office Word</Application>
  <DocSecurity>0</DocSecurity>
  <Lines>595</Lines>
  <Paragraphs>168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2018-10-08T03:06:00Z</dcterms:created>
  <dcterms:modified xsi:type="dcterms:W3CDTF">2018-10-18T05:36:00Z</dcterms:modified>
</cp:coreProperties>
</file>