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09" w:rsidRPr="00221309" w:rsidRDefault="00221309" w:rsidP="00850F49">
      <w:pPr>
        <w:pStyle w:val="Title"/>
        <w:spacing w:before="120" w:after="160"/>
        <w:ind w:left="720" w:hanging="720"/>
        <w:rPr>
          <w:rFonts w:asciiTheme="minorHAnsi" w:hAnsiTheme="minorHAnsi"/>
          <w:sz w:val="36"/>
          <w:szCs w:val="36"/>
        </w:rPr>
      </w:pPr>
      <w:r>
        <w:rPr>
          <w:rFonts w:asciiTheme="minorHAnsi" w:hAnsiTheme="minorHAnsi"/>
          <w:sz w:val="36"/>
          <w:szCs w:val="36"/>
        </w:rPr>
        <w:t>5.12</w:t>
      </w:r>
      <w:r w:rsidR="006D6493" w:rsidRPr="002B5596">
        <w:rPr>
          <w:rFonts w:asciiTheme="minorHAnsi" w:hAnsiTheme="minorHAnsi"/>
          <w:sz w:val="36"/>
          <w:szCs w:val="36"/>
        </w:rPr>
        <w:tab/>
      </w:r>
      <w:r>
        <w:rPr>
          <w:rFonts w:asciiTheme="minorHAnsi" w:hAnsiTheme="minorHAnsi"/>
          <w:sz w:val="36"/>
          <w:szCs w:val="36"/>
        </w:rPr>
        <w:t>ADALIMUMAB</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Pr="00221309">
        <w:rPr>
          <w:rFonts w:asciiTheme="minorHAnsi" w:hAnsiTheme="minorHAnsi"/>
          <w:sz w:val="36"/>
          <w:szCs w:val="36"/>
        </w:rPr>
        <w:t>Injection 20 mg in 0.4 mL pre-filled syringe</w:t>
      </w:r>
    </w:p>
    <w:p w:rsidR="00221309" w:rsidRPr="00221309" w:rsidRDefault="00221309" w:rsidP="00F86229">
      <w:pPr>
        <w:pStyle w:val="Title"/>
        <w:spacing w:before="120" w:after="160"/>
        <w:ind w:left="720"/>
        <w:outlineLvl w:val="9"/>
        <w:rPr>
          <w:rFonts w:asciiTheme="minorHAnsi" w:hAnsiTheme="minorHAnsi"/>
          <w:sz w:val="36"/>
          <w:szCs w:val="36"/>
        </w:rPr>
      </w:pPr>
      <w:r w:rsidRPr="00221309">
        <w:rPr>
          <w:rFonts w:asciiTheme="minorHAnsi" w:hAnsiTheme="minorHAnsi"/>
          <w:sz w:val="36"/>
          <w:szCs w:val="36"/>
        </w:rPr>
        <w:t>Injection 40 mg in 0.8 mL pre-filled syringe</w:t>
      </w:r>
    </w:p>
    <w:p w:rsidR="006D6493" w:rsidRPr="00577C4D" w:rsidRDefault="00221309" w:rsidP="00F86229">
      <w:pPr>
        <w:pStyle w:val="Title"/>
        <w:spacing w:before="120" w:after="160"/>
        <w:ind w:left="720" w:hanging="11"/>
        <w:outlineLvl w:val="9"/>
        <w:rPr>
          <w:rFonts w:asciiTheme="minorHAnsi" w:hAnsiTheme="minorHAnsi"/>
          <w:sz w:val="36"/>
          <w:szCs w:val="36"/>
        </w:rPr>
      </w:pPr>
      <w:r w:rsidRPr="00221309">
        <w:rPr>
          <w:rFonts w:asciiTheme="minorHAnsi" w:hAnsiTheme="minorHAnsi"/>
          <w:sz w:val="36"/>
          <w:szCs w:val="36"/>
        </w:rPr>
        <w:t>Injection 40 mg in 0.8 mL pre-filled pen</w:t>
      </w:r>
      <w:r w:rsidR="006D6493" w:rsidRPr="002B5596">
        <w:rPr>
          <w:rFonts w:asciiTheme="minorHAnsi" w:hAnsiTheme="minorHAnsi"/>
          <w:sz w:val="36"/>
          <w:szCs w:val="36"/>
        </w:rPr>
        <w:br/>
      </w:r>
      <w:proofErr w:type="spellStart"/>
      <w:r>
        <w:rPr>
          <w:rFonts w:asciiTheme="minorHAnsi" w:hAnsiTheme="minorHAnsi"/>
          <w:sz w:val="36"/>
          <w:szCs w:val="36"/>
        </w:rPr>
        <w:t>A</w:t>
      </w:r>
      <w:r w:rsidR="00F86229">
        <w:rPr>
          <w:rFonts w:asciiTheme="minorHAnsi" w:hAnsiTheme="minorHAnsi"/>
          <w:sz w:val="36"/>
          <w:szCs w:val="36"/>
        </w:rPr>
        <w:t>mgevita</w:t>
      </w:r>
      <w:proofErr w:type="spellEnd"/>
      <w:r w:rsidR="006D6493" w:rsidRPr="00F86229">
        <w:rPr>
          <w:rFonts w:asciiTheme="minorHAnsi" w:hAnsiTheme="minorHAnsi"/>
          <w:sz w:val="36"/>
          <w:szCs w:val="36"/>
        </w:rPr>
        <w:t>®</w:t>
      </w:r>
      <w:r>
        <w:rPr>
          <w:rFonts w:asciiTheme="minorHAnsi" w:hAnsiTheme="minorHAnsi"/>
          <w:sz w:val="36"/>
          <w:szCs w:val="36"/>
        </w:rPr>
        <w:t>, Amgen Australia</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221309"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minor submission </w:t>
      </w:r>
      <w:r>
        <w:rPr>
          <w:rFonts w:asciiTheme="minorHAnsi" w:eastAsiaTheme="minorHAnsi" w:hAnsiTheme="minorHAnsi" w:cstheme="minorBidi"/>
          <w:snapToGrid/>
          <w:sz w:val="24"/>
          <w:szCs w:val="22"/>
        </w:rPr>
        <w:t xml:space="preserve">sought </w:t>
      </w:r>
      <w:r w:rsidR="00012623">
        <w:rPr>
          <w:rFonts w:asciiTheme="minorHAnsi" w:eastAsiaTheme="minorHAnsi" w:hAnsiTheme="minorHAnsi" w:cstheme="minorBidi"/>
          <w:snapToGrid/>
          <w:sz w:val="24"/>
          <w:szCs w:val="22"/>
        </w:rPr>
        <w:t xml:space="preserve">an Authority </w:t>
      </w:r>
      <w:proofErr w:type="gramStart"/>
      <w:r w:rsidR="00012623">
        <w:rPr>
          <w:rFonts w:asciiTheme="minorHAnsi" w:eastAsiaTheme="minorHAnsi" w:hAnsiTheme="minorHAnsi" w:cstheme="minorBidi"/>
          <w:snapToGrid/>
          <w:sz w:val="24"/>
          <w:szCs w:val="22"/>
        </w:rPr>
        <w:t>Required</w:t>
      </w:r>
      <w:proofErr w:type="gramEnd"/>
      <w:r w:rsidR="00012623">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listing for a new biosimilar brand of adalimumab (</w:t>
      </w:r>
      <w:proofErr w:type="spellStart"/>
      <w:r>
        <w:rPr>
          <w:rFonts w:asciiTheme="minorHAnsi" w:eastAsiaTheme="minorHAnsi" w:hAnsiTheme="minorHAnsi" w:cstheme="minorBidi"/>
          <w:snapToGrid/>
          <w:sz w:val="24"/>
          <w:szCs w:val="22"/>
        </w:rPr>
        <w:t>Amgevita</w:t>
      </w:r>
      <w:proofErr w:type="spellEnd"/>
      <w:r w:rsidRPr="007F5DF9">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w:t>
      </w:r>
      <w:r w:rsidR="00012623">
        <w:rPr>
          <w:rFonts w:asciiTheme="minorHAnsi" w:eastAsiaTheme="minorHAnsi" w:hAnsiTheme="minorHAnsi" w:cstheme="minorBidi"/>
          <w:snapToGrid/>
          <w:sz w:val="24"/>
          <w:szCs w:val="22"/>
        </w:rPr>
        <w:t>.</w:t>
      </w:r>
    </w:p>
    <w:p w:rsidR="006A12A5" w:rsidRPr="00221309" w:rsidRDefault="006A12A5" w:rsidP="00221309">
      <w:pPr>
        <w:pStyle w:val="PBACHeading1"/>
        <w:spacing w:before="240" w:after="120"/>
        <w:ind w:left="709" w:hanging="709"/>
        <w:rPr>
          <w:rFonts w:asciiTheme="minorHAnsi" w:hAnsiTheme="minorHAnsi"/>
          <w:sz w:val="32"/>
          <w:szCs w:val="32"/>
        </w:rPr>
      </w:pPr>
      <w:r w:rsidRPr="00221309">
        <w:rPr>
          <w:rFonts w:asciiTheme="minorHAnsi" w:hAnsiTheme="minorHAnsi"/>
          <w:sz w:val="32"/>
          <w:szCs w:val="32"/>
        </w:rPr>
        <w:t>Requested listing</w:t>
      </w:r>
    </w:p>
    <w:p w:rsidR="00826F6D" w:rsidRDefault="00EF44A0" w:rsidP="00850F4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listing</w:t>
      </w:r>
      <w:r w:rsidR="00221309">
        <w:rPr>
          <w:rFonts w:asciiTheme="minorHAnsi" w:eastAsiaTheme="minorHAnsi" w:hAnsiTheme="minorHAnsi" w:cstheme="minorBidi"/>
          <w:snapToGrid/>
          <w:sz w:val="24"/>
          <w:szCs w:val="22"/>
        </w:rPr>
        <w:t xml:space="preserve"> </w:t>
      </w:r>
      <w:proofErr w:type="spellStart"/>
      <w:r w:rsidR="00221309">
        <w:rPr>
          <w:rFonts w:asciiTheme="minorHAnsi" w:eastAsiaTheme="minorHAnsi" w:hAnsiTheme="minorHAnsi" w:cstheme="minorBidi"/>
          <w:snapToGrid/>
          <w:sz w:val="24"/>
          <w:szCs w:val="22"/>
        </w:rPr>
        <w:t>Amgevita</w:t>
      </w:r>
      <w:proofErr w:type="spellEnd"/>
      <w:r w:rsidR="00221309">
        <w:rPr>
          <w:rFonts w:asciiTheme="minorHAnsi" w:eastAsiaTheme="minorHAnsi" w:hAnsiTheme="minorHAnsi" w:cstheme="minorBidi"/>
          <w:snapToGrid/>
          <w:sz w:val="24"/>
          <w:szCs w:val="22"/>
        </w:rPr>
        <w:t xml:space="preserve"> for all indications for which the reference brand Humira is currently PBS listed: </w:t>
      </w:r>
    </w:p>
    <w:p w:rsidR="00CD7A8C" w:rsidRPr="00636514" w:rsidRDefault="00CD7A8C" w:rsidP="00850F49">
      <w:pPr>
        <w:pStyle w:val="ListParagraph"/>
        <w:numPr>
          <w:ilvl w:val="1"/>
          <w:numId w:val="21"/>
        </w:numPr>
        <w:contextualSpacing w:val="0"/>
        <w:rPr>
          <w:rFonts w:asciiTheme="minorHAnsi" w:eastAsiaTheme="minorHAnsi" w:hAnsiTheme="minorHAnsi" w:cstheme="minorBidi"/>
          <w:snapToGrid/>
          <w:sz w:val="24"/>
          <w:szCs w:val="22"/>
        </w:rPr>
      </w:pPr>
      <w:r w:rsidRPr="00636514">
        <w:rPr>
          <w:rFonts w:asciiTheme="minorHAnsi" w:eastAsiaTheme="minorHAnsi" w:hAnsiTheme="minorHAnsi" w:cstheme="minorBidi"/>
          <w:snapToGrid/>
          <w:sz w:val="24"/>
          <w:szCs w:val="22"/>
        </w:rPr>
        <w:t xml:space="preserve">Severe active rheumatoid arthritis </w:t>
      </w:r>
    </w:p>
    <w:p w:rsidR="00CD7A8C" w:rsidRPr="00636514" w:rsidRDefault="00CD7A8C" w:rsidP="00850F49">
      <w:pPr>
        <w:pStyle w:val="ListParagraph"/>
        <w:numPr>
          <w:ilvl w:val="1"/>
          <w:numId w:val="21"/>
        </w:numPr>
        <w:contextualSpacing w:val="0"/>
        <w:rPr>
          <w:rFonts w:asciiTheme="minorHAnsi" w:eastAsiaTheme="minorHAnsi" w:hAnsiTheme="minorHAnsi" w:cstheme="minorBidi"/>
          <w:snapToGrid/>
          <w:sz w:val="24"/>
          <w:szCs w:val="22"/>
        </w:rPr>
      </w:pPr>
      <w:r w:rsidRPr="00636514">
        <w:rPr>
          <w:rFonts w:asciiTheme="minorHAnsi" w:eastAsiaTheme="minorHAnsi" w:hAnsiTheme="minorHAnsi" w:cstheme="minorBidi"/>
          <w:snapToGrid/>
          <w:sz w:val="24"/>
          <w:szCs w:val="22"/>
        </w:rPr>
        <w:t xml:space="preserve">Severe psoriatic arthritis </w:t>
      </w:r>
    </w:p>
    <w:p w:rsidR="00CD7A8C" w:rsidRPr="00636514" w:rsidRDefault="00CD7A8C" w:rsidP="00850F49">
      <w:pPr>
        <w:pStyle w:val="ListParagraph"/>
        <w:numPr>
          <w:ilvl w:val="1"/>
          <w:numId w:val="21"/>
        </w:numPr>
        <w:contextualSpacing w:val="0"/>
        <w:rPr>
          <w:rFonts w:asciiTheme="minorHAnsi" w:eastAsiaTheme="minorHAnsi" w:hAnsiTheme="minorHAnsi" w:cstheme="minorBidi"/>
          <w:snapToGrid/>
          <w:sz w:val="24"/>
          <w:szCs w:val="22"/>
        </w:rPr>
      </w:pPr>
      <w:r w:rsidRPr="00636514">
        <w:rPr>
          <w:rFonts w:asciiTheme="minorHAnsi" w:eastAsiaTheme="minorHAnsi" w:hAnsiTheme="minorHAnsi" w:cstheme="minorBidi"/>
          <w:snapToGrid/>
          <w:sz w:val="24"/>
          <w:szCs w:val="22"/>
        </w:rPr>
        <w:t xml:space="preserve">Ankylosing spondylitis </w:t>
      </w:r>
    </w:p>
    <w:p w:rsidR="00CD7A8C" w:rsidRPr="00636514" w:rsidRDefault="00CD7A8C" w:rsidP="00850F49">
      <w:pPr>
        <w:pStyle w:val="ListParagraph"/>
        <w:numPr>
          <w:ilvl w:val="1"/>
          <w:numId w:val="21"/>
        </w:numPr>
        <w:contextualSpacing w:val="0"/>
        <w:rPr>
          <w:rFonts w:asciiTheme="minorHAnsi" w:eastAsiaTheme="minorHAnsi" w:hAnsiTheme="minorHAnsi" w:cstheme="minorBidi"/>
          <w:snapToGrid/>
          <w:sz w:val="24"/>
          <w:szCs w:val="22"/>
        </w:rPr>
      </w:pPr>
      <w:r w:rsidRPr="00636514">
        <w:rPr>
          <w:rFonts w:asciiTheme="minorHAnsi" w:eastAsiaTheme="minorHAnsi" w:hAnsiTheme="minorHAnsi" w:cstheme="minorBidi"/>
          <w:snapToGrid/>
          <w:sz w:val="24"/>
          <w:szCs w:val="22"/>
        </w:rPr>
        <w:t xml:space="preserve">Severe chronic plaque psoriasis </w:t>
      </w:r>
    </w:p>
    <w:p w:rsidR="00CD7A8C" w:rsidRPr="00636514" w:rsidRDefault="00CD7A8C" w:rsidP="00850F49">
      <w:pPr>
        <w:pStyle w:val="ListParagraph"/>
        <w:numPr>
          <w:ilvl w:val="1"/>
          <w:numId w:val="21"/>
        </w:numPr>
        <w:contextualSpacing w:val="0"/>
        <w:rPr>
          <w:rFonts w:asciiTheme="minorHAnsi" w:eastAsiaTheme="minorHAnsi" w:hAnsiTheme="minorHAnsi" w:cstheme="minorBidi"/>
          <w:snapToGrid/>
          <w:sz w:val="24"/>
          <w:szCs w:val="22"/>
        </w:rPr>
      </w:pPr>
      <w:r w:rsidRPr="00636514">
        <w:rPr>
          <w:rFonts w:asciiTheme="minorHAnsi" w:eastAsiaTheme="minorHAnsi" w:hAnsiTheme="minorHAnsi" w:cstheme="minorBidi"/>
          <w:snapToGrid/>
          <w:sz w:val="24"/>
          <w:szCs w:val="22"/>
        </w:rPr>
        <w:t xml:space="preserve">Juvenile Idiopathic Arthritis </w:t>
      </w:r>
    </w:p>
    <w:p w:rsidR="00CD7A8C" w:rsidRPr="00636514" w:rsidRDefault="00AB5600" w:rsidP="00850F49">
      <w:pPr>
        <w:pStyle w:val="ListParagraph"/>
        <w:numPr>
          <w:ilvl w:val="1"/>
          <w:numId w:val="21"/>
        </w:numPr>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Severe </w:t>
      </w:r>
      <w:r w:rsidR="00CD7A8C" w:rsidRPr="00636514">
        <w:rPr>
          <w:rFonts w:asciiTheme="minorHAnsi" w:eastAsiaTheme="minorHAnsi" w:hAnsiTheme="minorHAnsi" w:cstheme="minorBidi"/>
          <w:snapToGrid/>
          <w:sz w:val="24"/>
          <w:szCs w:val="22"/>
        </w:rPr>
        <w:t xml:space="preserve">Crohn disease </w:t>
      </w:r>
    </w:p>
    <w:p w:rsidR="00CD7A8C" w:rsidRPr="00636514" w:rsidRDefault="00F14EF3" w:rsidP="00850F49">
      <w:pPr>
        <w:pStyle w:val="ListParagraph"/>
        <w:numPr>
          <w:ilvl w:val="1"/>
          <w:numId w:val="21"/>
        </w:numPr>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Refractory fistulis</w:t>
      </w:r>
      <w:r w:rsidR="00CD7A8C" w:rsidRPr="00636514">
        <w:rPr>
          <w:rFonts w:asciiTheme="minorHAnsi" w:eastAsiaTheme="minorHAnsi" w:hAnsiTheme="minorHAnsi" w:cstheme="minorBidi"/>
          <w:snapToGrid/>
          <w:sz w:val="24"/>
          <w:szCs w:val="22"/>
        </w:rPr>
        <w:t>ing Crohn disease</w:t>
      </w:r>
    </w:p>
    <w:p w:rsidR="00CD7A8C" w:rsidRPr="00636514" w:rsidRDefault="00AB5600" w:rsidP="00850F49">
      <w:pPr>
        <w:pStyle w:val="ListParagraph"/>
        <w:numPr>
          <w:ilvl w:val="1"/>
          <w:numId w:val="21"/>
        </w:numPr>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Moderate to severe u</w:t>
      </w:r>
      <w:r w:rsidR="00CD7A8C" w:rsidRPr="00636514">
        <w:rPr>
          <w:rFonts w:asciiTheme="minorHAnsi" w:eastAsiaTheme="minorHAnsi" w:hAnsiTheme="minorHAnsi" w:cstheme="minorBidi"/>
          <w:snapToGrid/>
          <w:sz w:val="24"/>
          <w:szCs w:val="22"/>
        </w:rPr>
        <w:t xml:space="preserve">lcerative colitis </w:t>
      </w:r>
    </w:p>
    <w:p w:rsidR="00CD7A8C" w:rsidRDefault="00CD7A8C" w:rsidP="00850F49">
      <w:pPr>
        <w:pStyle w:val="ListParagraph"/>
        <w:numPr>
          <w:ilvl w:val="1"/>
          <w:numId w:val="21"/>
        </w:numPr>
        <w:contextualSpacing w:val="0"/>
        <w:rPr>
          <w:rFonts w:asciiTheme="minorHAnsi" w:eastAsiaTheme="minorHAnsi" w:hAnsiTheme="minorHAnsi" w:cstheme="minorBidi"/>
          <w:snapToGrid/>
          <w:sz w:val="24"/>
          <w:szCs w:val="22"/>
        </w:rPr>
      </w:pPr>
      <w:r w:rsidRPr="00636514">
        <w:rPr>
          <w:rFonts w:asciiTheme="minorHAnsi" w:eastAsiaTheme="minorHAnsi" w:hAnsiTheme="minorHAnsi" w:cstheme="minorBidi"/>
          <w:snapToGrid/>
          <w:sz w:val="24"/>
          <w:szCs w:val="22"/>
        </w:rPr>
        <w:t xml:space="preserve">Moderate to severe hidradenitis </w:t>
      </w:r>
      <w:proofErr w:type="spellStart"/>
      <w:r w:rsidRPr="00636514">
        <w:rPr>
          <w:rFonts w:asciiTheme="minorHAnsi" w:eastAsiaTheme="minorHAnsi" w:hAnsiTheme="minorHAnsi" w:cstheme="minorBidi"/>
          <w:snapToGrid/>
          <w:sz w:val="24"/>
          <w:szCs w:val="22"/>
        </w:rPr>
        <w:t>suppurativa</w:t>
      </w:r>
      <w:proofErr w:type="spellEnd"/>
    </w:p>
    <w:p w:rsidR="00004AE6" w:rsidRDefault="00004AE6" w:rsidP="00850F49">
      <w:pPr>
        <w:pStyle w:val="ListParagraph"/>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sponsor has requested listing on the General PBS schedule (Section 85) for all indications except paediatric juvenile idiopathic arthritis, </w:t>
      </w:r>
      <w:r w:rsidR="00D812A1">
        <w:rPr>
          <w:rFonts w:asciiTheme="minorHAnsi" w:eastAsiaTheme="minorHAnsi" w:hAnsiTheme="minorHAnsi" w:cstheme="minorBidi"/>
          <w:snapToGrid/>
          <w:sz w:val="24"/>
          <w:szCs w:val="22"/>
        </w:rPr>
        <w:t xml:space="preserve">for </w:t>
      </w:r>
      <w:r>
        <w:rPr>
          <w:rFonts w:asciiTheme="minorHAnsi" w:eastAsiaTheme="minorHAnsi" w:hAnsiTheme="minorHAnsi" w:cstheme="minorBidi"/>
          <w:snapToGrid/>
          <w:sz w:val="24"/>
          <w:szCs w:val="22"/>
        </w:rPr>
        <w:t xml:space="preserve">which </w:t>
      </w:r>
      <w:r w:rsidR="00D812A1">
        <w:rPr>
          <w:rFonts w:asciiTheme="minorHAnsi" w:eastAsiaTheme="minorHAnsi" w:hAnsiTheme="minorHAnsi" w:cstheme="minorBidi"/>
          <w:snapToGrid/>
          <w:sz w:val="24"/>
          <w:szCs w:val="22"/>
        </w:rPr>
        <w:t>it has requested</w:t>
      </w:r>
      <w:r>
        <w:rPr>
          <w:rFonts w:asciiTheme="minorHAnsi" w:eastAsiaTheme="minorHAnsi" w:hAnsiTheme="minorHAnsi" w:cstheme="minorBidi"/>
          <w:snapToGrid/>
          <w:sz w:val="24"/>
          <w:szCs w:val="22"/>
        </w:rPr>
        <w:t xml:space="preserve"> a Section 100 Highly Specialised Drug</w:t>
      </w:r>
      <w:r w:rsidR="00D812A1">
        <w:rPr>
          <w:rFonts w:asciiTheme="minorHAnsi" w:eastAsiaTheme="minorHAnsi" w:hAnsiTheme="minorHAnsi" w:cstheme="minorBidi"/>
          <w:snapToGrid/>
          <w:sz w:val="24"/>
          <w:szCs w:val="22"/>
        </w:rPr>
        <w:t xml:space="preserve"> listing in line with </w:t>
      </w:r>
      <w:r w:rsidR="00E9799E">
        <w:rPr>
          <w:rFonts w:asciiTheme="minorHAnsi" w:eastAsiaTheme="minorHAnsi" w:hAnsiTheme="minorHAnsi" w:cstheme="minorBidi"/>
          <w:snapToGrid/>
          <w:sz w:val="24"/>
          <w:szCs w:val="22"/>
        </w:rPr>
        <w:t xml:space="preserve">the reference brand, </w:t>
      </w:r>
      <w:r w:rsidR="00D812A1">
        <w:rPr>
          <w:rFonts w:asciiTheme="minorHAnsi" w:eastAsiaTheme="minorHAnsi" w:hAnsiTheme="minorHAnsi" w:cstheme="minorBidi"/>
          <w:snapToGrid/>
          <w:sz w:val="24"/>
          <w:szCs w:val="22"/>
        </w:rPr>
        <w:t>Humira</w:t>
      </w:r>
      <w:r>
        <w:rPr>
          <w:rFonts w:asciiTheme="minorHAnsi" w:eastAsiaTheme="minorHAnsi" w:hAnsiTheme="minorHAnsi" w:cstheme="minorBidi"/>
          <w:snapToGrid/>
          <w:sz w:val="24"/>
          <w:szCs w:val="22"/>
        </w:rPr>
        <w:t>.</w:t>
      </w:r>
    </w:p>
    <w:p w:rsidR="00412C52" w:rsidRDefault="00004AE6" w:rsidP="00850F49">
      <w:pPr>
        <w:pStyle w:val="ListParagraph"/>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accordance with the Government’s biosimilar uptake measures, t</w:t>
      </w:r>
      <w:r w:rsidR="00344D2C" w:rsidRPr="00636514">
        <w:rPr>
          <w:rFonts w:asciiTheme="minorHAnsi" w:eastAsiaTheme="minorHAnsi" w:hAnsiTheme="minorHAnsi" w:cstheme="minorBidi"/>
          <w:snapToGrid/>
          <w:sz w:val="24"/>
          <w:szCs w:val="22"/>
        </w:rPr>
        <w:t xml:space="preserve">he </w:t>
      </w:r>
      <w:r>
        <w:rPr>
          <w:rFonts w:asciiTheme="minorHAnsi" w:eastAsiaTheme="minorHAnsi" w:hAnsiTheme="minorHAnsi" w:cstheme="minorBidi"/>
          <w:snapToGrid/>
          <w:sz w:val="24"/>
          <w:szCs w:val="22"/>
        </w:rPr>
        <w:t>sponsor proposed</w:t>
      </w:r>
      <w:r w:rsidR="00412C52">
        <w:rPr>
          <w:rFonts w:asciiTheme="minorHAnsi" w:eastAsiaTheme="minorHAnsi" w:hAnsiTheme="minorHAnsi" w:cstheme="minorBidi"/>
          <w:snapToGrid/>
          <w:sz w:val="24"/>
          <w:szCs w:val="22"/>
        </w:rPr>
        <w:t>:</w:t>
      </w:r>
    </w:p>
    <w:p w:rsidR="00A57911" w:rsidRDefault="00004AE6" w:rsidP="00850F49">
      <w:pPr>
        <w:pStyle w:val="ListParagraph"/>
        <w:numPr>
          <w:ilvl w:val="1"/>
          <w:numId w:val="21"/>
        </w:numPr>
        <w:spacing w:before="120" w:after="16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splitting</w:t>
      </w:r>
      <w:proofErr w:type="gramEnd"/>
      <w:r>
        <w:rPr>
          <w:rFonts w:asciiTheme="minorHAnsi" w:eastAsiaTheme="minorHAnsi" w:hAnsiTheme="minorHAnsi" w:cstheme="minorBidi"/>
          <w:snapToGrid/>
          <w:sz w:val="24"/>
          <w:szCs w:val="22"/>
        </w:rPr>
        <w:t xml:space="preserve"> the continuation criteria</w:t>
      </w:r>
      <w:r w:rsidR="00636514" w:rsidRPr="00636514">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for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and Humira to allow for a less stringent </w:t>
      </w:r>
      <w:r w:rsidR="00D812A1">
        <w:rPr>
          <w:rFonts w:asciiTheme="minorHAnsi" w:eastAsiaTheme="minorHAnsi" w:hAnsiTheme="minorHAnsi" w:cstheme="minorBidi"/>
          <w:snapToGrid/>
          <w:sz w:val="24"/>
          <w:szCs w:val="22"/>
        </w:rPr>
        <w:t>prescription</w:t>
      </w:r>
      <w:r>
        <w:rPr>
          <w:rFonts w:asciiTheme="minorHAnsi" w:eastAsiaTheme="minorHAnsi" w:hAnsiTheme="minorHAnsi" w:cstheme="minorBidi"/>
          <w:snapToGrid/>
          <w:sz w:val="24"/>
          <w:szCs w:val="22"/>
        </w:rPr>
        <w:t xml:space="preserve"> authority level </w:t>
      </w:r>
      <w:r w:rsidR="00D812A1">
        <w:rPr>
          <w:rFonts w:asciiTheme="minorHAnsi" w:eastAsiaTheme="minorHAnsi" w:hAnsiTheme="minorHAnsi" w:cstheme="minorBidi"/>
          <w:snapToGrid/>
          <w:sz w:val="24"/>
          <w:szCs w:val="22"/>
        </w:rPr>
        <w:t xml:space="preserve">to be applied to </w:t>
      </w:r>
      <w:r>
        <w:rPr>
          <w:rFonts w:asciiTheme="minorHAnsi" w:eastAsiaTheme="minorHAnsi" w:hAnsiTheme="minorHAnsi" w:cstheme="minorBidi"/>
          <w:snapToGrid/>
          <w:sz w:val="24"/>
          <w:szCs w:val="22"/>
        </w:rPr>
        <w:t xml:space="preserve">subsequent continuing scripts for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‘First continuing’ scripts will remain as written authority for Humira and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and ‘subsequent continuing’ scripts will be written authority for Humira and Streamlined authority for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w:t>
      </w:r>
      <w:r w:rsidRPr="00004AE6">
        <w:rPr>
          <w:rFonts w:asciiTheme="minorHAnsi" w:eastAsiaTheme="minorHAnsi" w:hAnsiTheme="minorHAnsi" w:cstheme="minorBidi"/>
          <w:snapToGrid/>
          <w:sz w:val="24"/>
          <w:szCs w:val="22"/>
        </w:rPr>
        <w:t xml:space="preserve">Initial 1 </w:t>
      </w:r>
      <w:r>
        <w:rPr>
          <w:rFonts w:asciiTheme="minorHAnsi" w:eastAsiaTheme="minorHAnsi" w:hAnsiTheme="minorHAnsi" w:cstheme="minorBidi"/>
          <w:snapToGrid/>
          <w:sz w:val="24"/>
          <w:szCs w:val="22"/>
        </w:rPr>
        <w:t xml:space="preserve">scripts </w:t>
      </w:r>
      <w:r w:rsidRPr="00004AE6">
        <w:rPr>
          <w:rFonts w:asciiTheme="minorHAnsi" w:eastAsiaTheme="minorHAnsi" w:hAnsiTheme="minorHAnsi" w:cstheme="minorBidi"/>
          <w:snapToGrid/>
          <w:sz w:val="24"/>
          <w:szCs w:val="22"/>
        </w:rPr>
        <w:t xml:space="preserve">(new patients) and Initial 2 scripts (recommencement or </w:t>
      </w:r>
      <w:r w:rsidR="00D812A1">
        <w:rPr>
          <w:rFonts w:asciiTheme="minorHAnsi" w:eastAsiaTheme="minorHAnsi" w:hAnsiTheme="minorHAnsi" w:cstheme="minorBidi"/>
          <w:snapToGrid/>
          <w:sz w:val="24"/>
          <w:szCs w:val="22"/>
        </w:rPr>
        <w:t>switch) will remain as written a</w:t>
      </w:r>
      <w:r w:rsidRPr="00004AE6">
        <w:rPr>
          <w:rFonts w:asciiTheme="minorHAnsi" w:eastAsiaTheme="minorHAnsi" w:hAnsiTheme="minorHAnsi" w:cstheme="minorBidi"/>
          <w:snapToGrid/>
          <w:sz w:val="24"/>
          <w:szCs w:val="22"/>
        </w:rPr>
        <w:t xml:space="preserve">uthorities for </w:t>
      </w:r>
      <w:r>
        <w:rPr>
          <w:rFonts w:asciiTheme="minorHAnsi" w:eastAsiaTheme="minorHAnsi" w:hAnsiTheme="minorHAnsi" w:cstheme="minorBidi"/>
          <w:snapToGrid/>
          <w:sz w:val="24"/>
          <w:szCs w:val="22"/>
        </w:rPr>
        <w:t>both brands</w:t>
      </w:r>
      <w:r w:rsidR="00412C52">
        <w:rPr>
          <w:rFonts w:asciiTheme="minorHAnsi" w:eastAsiaTheme="minorHAnsi" w:hAnsiTheme="minorHAnsi" w:cstheme="minorBidi"/>
          <w:snapToGrid/>
          <w:sz w:val="24"/>
          <w:szCs w:val="22"/>
        </w:rPr>
        <w:t>; and</w:t>
      </w:r>
    </w:p>
    <w:p w:rsidR="00412C52" w:rsidRDefault="00412C52" w:rsidP="00850F49">
      <w:pPr>
        <w:pStyle w:val="ListParagraph"/>
        <w:numPr>
          <w:ilvl w:val="1"/>
          <w:numId w:val="21"/>
        </w:numPr>
        <w:spacing w:before="120" w:after="16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the</w:t>
      </w:r>
      <w:proofErr w:type="gramEnd"/>
      <w:r>
        <w:rPr>
          <w:rFonts w:asciiTheme="minorHAnsi" w:eastAsiaTheme="minorHAnsi" w:hAnsiTheme="minorHAnsi" w:cstheme="minorBidi"/>
          <w:snapToGrid/>
          <w:sz w:val="24"/>
          <w:szCs w:val="22"/>
        </w:rPr>
        <w:t xml:space="preserve"> application of an Administrative Note encouraging the use of </w:t>
      </w:r>
      <w:r w:rsidR="00E51B48">
        <w:rPr>
          <w:rFonts w:asciiTheme="minorHAnsi" w:eastAsiaTheme="minorHAnsi" w:hAnsiTheme="minorHAnsi" w:cstheme="minorBidi"/>
          <w:snapToGrid/>
          <w:sz w:val="24"/>
          <w:szCs w:val="22"/>
        </w:rPr>
        <w:t>biosimilar brands for treatment naïve patients</w:t>
      </w:r>
      <w:r>
        <w:rPr>
          <w:rFonts w:asciiTheme="minorHAnsi" w:eastAsiaTheme="minorHAnsi" w:hAnsiTheme="minorHAnsi" w:cstheme="minorBidi"/>
          <w:snapToGrid/>
          <w:sz w:val="24"/>
          <w:szCs w:val="22"/>
        </w:rPr>
        <w:t>.</w:t>
      </w:r>
    </w:p>
    <w:p w:rsidR="00344D2C" w:rsidRDefault="00DD6EAE" w:rsidP="00850F49">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636514">
        <w:rPr>
          <w:rFonts w:asciiTheme="minorHAnsi" w:eastAsiaTheme="minorHAnsi" w:hAnsiTheme="minorHAnsi" w:cstheme="minorBidi"/>
          <w:snapToGrid/>
          <w:sz w:val="24"/>
          <w:szCs w:val="22"/>
        </w:rPr>
        <w:lastRenderedPageBreak/>
        <w:t xml:space="preserve">The presentations and pack sizes for </w:t>
      </w:r>
      <w:proofErr w:type="spellStart"/>
      <w:r w:rsidRPr="00636514">
        <w:rPr>
          <w:rFonts w:asciiTheme="minorHAnsi" w:eastAsiaTheme="minorHAnsi" w:hAnsiTheme="minorHAnsi" w:cstheme="minorBidi"/>
          <w:snapToGrid/>
          <w:sz w:val="24"/>
          <w:szCs w:val="22"/>
        </w:rPr>
        <w:t>Amgevita</w:t>
      </w:r>
      <w:proofErr w:type="spellEnd"/>
      <w:r w:rsidRPr="00636514">
        <w:rPr>
          <w:rFonts w:asciiTheme="minorHAnsi" w:eastAsiaTheme="minorHAnsi" w:hAnsiTheme="minorHAnsi" w:cstheme="minorBidi"/>
          <w:snapToGrid/>
          <w:sz w:val="24"/>
          <w:szCs w:val="22"/>
        </w:rPr>
        <w:t xml:space="preserve"> correspond with those </w:t>
      </w:r>
      <w:r w:rsidR="000533AF">
        <w:rPr>
          <w:rFonts w:asciiTheme="minorHAnsi" w:eastAsiaTheme="minorHAnsi" w:hAnsiTheme="minorHAnsi" w:cstheme="minorBidi"/>
          <w:snapToGrid/>
          <w:sz w:val="24"/>
          <w:szCs w:val="22"/>
        </w:rPr>
        <w:t xml:space="preserve">listed on the PBS </w:t>
      </w:r>
      <w:r w:rsidRPr="00636514">
        <w:rPr>
          <w:rFonts w:asciiTheme="minorHAnsi" w:eastAsiaTheme="minorHAnsi" w:hAnsiTheme="minorHAnsi" w:cstheme="minorBidi"/>
          <w:snapToGrid/>
          <w:sz w:val="24"/>
          <w:szCs w:val="22"/>
        </w:rPr>
        <w:t>for Humira</w:t>
      </w:r>
      <w:r w:rsidR="004B4440">
        <w:rPr>
          <w:rFonts w:asciiTheme="minorHAnsi" w:eastAsiaTheme="minorHAnsi" w:hAnsiTheme="minorHAnsi" w:cstheme="minorBidi"/>
          <w:snapToGrid/>
          <w:sz w:val="24"/>
          <w:szCs w:val="22"/>
        </w:rPr>
        <w:t xml:space="preserve"> as of July 2018. The PBAC noted that</w:t>
      </w:r>
      <w:r w:rsidR="000533AF">
        <w:rPr>
          <w:rFonts w:asciiTheme="minorHAnsi" w:eastAsiaTheme="minorHAnsi" w:hAnsiTheme="minorHAnsi" w:cstheme="minorBidi"/>
          <w:snapToGrid/>
          <w:sz w:val="24"/>
          <w:szCs w:val="22"/>
        </w:rPr>
        <w:t>, at its July 2018 meeting, it was considering the following new strengths and forms of Humira: 20 mg/0.2 mL pre-filled syringe and 80 mg/0.8 mL pre-filled syringe and cartridge</w:t>
      </w:r>
      <w:r w:rsidRPr="00636514">
        <w:rPr>
          <w:rFonts w:asciiTheme="minorHAnsi" w:eastAsiaTheme="minorHAnsi" w:hAnsiTheme="minorHAnsi" w:cstheme="minorBidi"/>
          <w:snapToGrid/>
          <w:sz w:val="24"/>
          <w:szCs w:val="22"/>
        </w:rPr>
        <w:t>.</w:t>
      </w:r>
    </w:p>
    <w:p w:rsidR="00A57911" w:rsidRPr="00636514" w:rsidRDefault="00A57911" w:rsidP="00850F49">
      <w:pPr>
        <w:pStyle w:val="ListParagraph"/>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is TGA approved </w:t>
      </w:r>
      <w:r w:rsidR="00BA4D0C">
        <w:rPr>
          <w:rFonts w:asciiTheme="minorHAnsi" w:eastAsiaTheme="minorHAnsi" w:hAnsiTheme="minorHAnsi" w:cstheme="minorBidi"/>
          <w:snapToGrid/>
          <w:sz w:val="24"/>
          <w:szCs w:val="22"/>
        </w:rPr>
        <w:t>for</w:t>
      </w:r>
      <w:r>
        <w:rPr>
          <w:rFonts w:asciiTheme="minorHAnsi" w:eastAsiaTheme="minorHAnsi" w:hAnsiTheme="minorHAnsi" w:cstheme="minorBidi"/>
          <w:snapToGrid/>
          <w:sz w:val="24"/>
          <w:szCs w:val="22"/>
        </w:rPr>
        <w:t xml:space="preserve"> the same indications as</w:t>
      </w:r>
      <w:r w:rsidR="00E51B48">
        <w:rPr>
          <w:rFonts w:asciiTheme="minorHAnsi" w:eastAsiaTheme="minorHAnsi" w:hAnsiTheme="minorHAnsi" w:cstheme="minorBidi"/>
          <w:snapToGrid/>
          <w:sz w:val="24"/>
          <w:szCs w:val="22"/>
        </w:rPr>
        <w:t xml:space="preserve"> the reference brand,</w:t>
      </w:r>
      <w:r>
        <w:rPr>
          <w:rFonts w:asciiTheme="minorHAnsi" w:eastAsiaTheme="minorHAnsi" w:hAnsiTheme="minorHAnsi" w:cstheme="minorBidi"/>
          <w:snapToGrid/>
          <w:sz w:val="24"/>
          <w:szCs w:val="22"/>
        </w:rPr>
        <w:t xml:space="preserve"> Humira.</w:t>
      </w:r>
      <w:r w:rsidR="00977B02">
        <w:rPr>
          <w:rFonts w:asciiTheme="minorHAnsi" w:eastAsiaTheme="minorHAnsi" w:hAnsiTheme="minorHAnsi" w:cstheme="minorBidi"/>
          <w:snapToGrid/>
          <w:sz w:val="24"/>
          <w:szCs w:val="22"/>
        </w:rPr>
        <w:t xml:space="preserve"> The sponsor sought</w:t>
      </w:r>
      <w:r w:rsidR="00412C52">
        <w:rPr>
          <w:rFonts w:asciiTheme="minorHAnsi" w:eastAsiaTheme="minorHAnsi" w:hAnsiTheme="minorHAnsi" w:cstheme="minorBidi"/>
          <w:snapToGrid/>
          <w:sz w:val="24"/>
          <w:szCs w:val="22"/>
        </w:rPr>
        <w:t xml:space="preserve"> PBS listing for the same indications and restrictions as Humira</w:t>
      </w:r>
      <w:r w:rsidR="00977B02">
        <w:rPr>
          <w:rFonts w:asciiTheme="minorHAnsi" w:eastAsiaTheme="minorHAnsi" w:hAnsiTheme="minorHAnsi" w:cstheme="minorBidi"/>
          <w:snapToGrid/>
          <w:sz w:val="24"/>
          <w:szCs w:val="22"/>
        </w:rPr>
        <w:t xml:space="preserve">, and </w:t>
      </w:r>
      <w:r w:rsidR="00412C52">
        <w:rPr>
          <w:rFonts w:asciiTheme="minorHAnsi" w:eastAsiaTheme="minorHAnsi" w:hAnsiTheme="minorHAnsi" w:cstheme="minorBidi"/>
          <w:snapToGrid/>
          <w:sz w:val="24"/>
          <w:szCs w:val="22"/>
        </w:rPr>
        <w:t>note</w:t>
      </w:r>
      <w:r w:rsidR="00977B02">
        <w:rPr>
          <w:rFonts w:asciiTheme="minorHAnsi" w:eastAsiaTheme="minorHAnsi" w:hAnsiTheme="minorHAnsi" w:cstheme="minorBidi"/>
          <w:snapToGrid/>
          <w:sz w:val="24"/>
          <w:szCs w:val="22"/>
        </w:rPr>
        <w:t>d</w:t>
      </w:r>
      <w:r w:rsidR="00412C52">
        <w:rPr>
          <w:rFonts w:asciiTheme="minorHAnsi" w:eastAsiaTheme="minorHAnsi" w:hAnsiTheme="minorHAnsi" w:cstheme="minorBidi"/>
          <w:snapToGrid/>
          <w:sz w:val="24"/>
          <w:szCs w:val="22"/>
        </w:rPr>
        <w:t xml:space="preserve"> that </w:t>
      </w:r>
      <w:r w:rsidR="00977B02">
        <w:rPr>
          <w:rFonts w:asciiTheme="minorHAnsi" w:eastAsiaTheme="minorHAnsi" w:hAnsiTheme="minorHAnsi" w:cstheme="minorBidi"/>
          <w:snapToGrid/>
          <w:sz w:val="24"/>
          <w:szCs w:val="22"/>
        </w:rPr>
        <w:t xml:space="preserve">although </w:t>
      </w:r>
      <w:r w:rsidR="00412C52">
        <w:rPr>
          <w:rFonts w:asciiTheme="minorHAnsi" w:eastAsiaTheme="minorHAnsi" w:hAnsiTheme="minorHAnsi" w:cstheme="minorBidi"/>
          <w:snapToGrid/>
          <w:sz w:val="24"/>
          <w:szCs w:val="22"/>
        </w:rPr>
        <w:t xml:space="preserve">both </w:t>
      </w:r>
      <w:r w:rsidR="00977B02">
        <w:rPr>
          <w:rFonts w:asciiTheme="minorHAnsi" w:eastAsiaTheme="minorHAnsi" w:hAnsiTheme="minorHAnsi" w:cstheme="minorBidi"/>
          <w:snapToGrid/>
          <w:sz w:val="24"/>
          <w:szCs w:val="22"/>
        </w:rPr>
        <w:t>brands</w:t>
      </w:r>
      <w:r w:rsidR="00412C52">
        <w:rPr>
          <w:rFonts w:asciiTheme="minorHAnsi" w:eastAsiaTheme="minorHAnsi" w:hAnsiTheme="minorHAnsi" w:cstheme="minorBidi"/>
          <w:snapToGrid/>
          <w:sz w:val="24"/>
          <w:szCs w:val="22"/>
        </w:rPr>
        <w:t xml:space="preserve"> are</w:t>
      </w:r>
      <w:r w:rsidR="00977B02">
        <w:rPr>
          <w:rFonts w:asciiTheme="minorHAnsi" w:eastAsiaTheme="minorHAnsi" w:hAnsiTheme="minorHAnsi" w:cstheme="minorBidi"/>
          <w:snapToGrid/>
          <w:sz w:val="24"/>
          <w:szCs w:val="22"/>
        </w:rPr>
        <w:t xml:space="preserve"> TGA-approved for use in uveitis, </w:t>
      </w:r>
      <w:r w:rsidR="00412C52">
        <w:rPr>
          <w:rFonts w:asciiTheme="minorHAnsi" w:eastAsiaTheme="minorHAnsi" w:hAnsiTheme="minorHAnsi" w:cstheme="minorBidi"/>
          <w:snapToGrid/>
          <w:sz w:val="24"/>
          <w:szCs w:val="22"/>
        </w:rPr>
        <w:t xml:space="preserve">given that Humira is not currently PBS-listed for this indication, PBS listing for </w:t>
      </w:r>
      <w:proofErr w:type="spellStart"/>
      <w:r w:rsidR="00412C52">
        <w:rPr>
          <w:rFonts w:asciiTheme="minorHAnsi" w:eastAsiaTheme="minorHAnsi" w:hAnsiTheme="minorHAnsi" w:cstheme="minorBidi"/>
          <w:snapToGrid/>
          <w:sz w:val="24"/>
          <w:szCs w:val="22"/>
        </w:rPr>
        <w:t>Amgevita</w:t>
      </w:r>
      <w:proofErr w:type="spellEnd"/>
      <w:r w:rsidR="00412C52">
        <w:rPr>
          <w:rFonts w:asciiTheme="minorHAnsi" w:eastAsiaTheme="minorHAnsi" w:hAnsiTheme="minorHAnsi" w:cstheme="minorBidi"/>
          <w:snapToGrid/>
          <w:sz w:val="24"/>
          <w:szCs w:val="22"/>
        </w:rPr>
        <w:t xml:space="preserve"> for uveitis</w:t>
      </w:r>
      <w:r w:rsidR="00977B02">
        <w:rPr>
          <w:rFonts w:asciiTheme="minorHAnsi" w:eastAsiaTheme="minorHAnsi" w:hAnsiTheme="minorHAnsi" w:cstheme="minorBidi"/>
          <w:snapToGrid/>
          <w:sz w:val="24"/>
          <w:szCs w:val="22"/>
        </w:rPr>
        <w:t xml:space="preserve"> is not being sought</w:t>
      </w:r>
      <w:r w:rsidR="00412C52">
        <w:rPr>
          <w:rFonts w:asciiTheme="minorHAnsi" w:eastAsiaTheme="minorHAnsi" w:hAnsiTheme="minorHAnsi" w:cstheme="minorBidi"/>
          <w:snapToGrid/>
          <w:sz w:val="24"/>
          <w:szCs w:val="22"/>
        </w:rPr>
        <w:t>.</w:t>
      </w:r>
    </w:p>
    <w:p w:rsidR="00F77BBD" w:rsidRPr="0014529D" w:rsidRDefault="00F77BBD" w:rsidP="0014529D">
      <w:pPr>
        <w:spacing w:before="120" w:after="160"/>
        <w:rPr>
          <w:rFonts w:asciiTheme="minorHAnsi" w:hAnsiTheme="minorHAnsi"/>
          <w:i/>
        </w:rPr>
      </w:pPr>
      <w:r w:rsidRPr="00F77BBD">
        <w:rPr>
          <w:rFonts w:asciiTheme="minorHAnsi" w:hAnsiTheme="minorHAnsi"/>
          <w:i/>
        </w:rPr>
        <w:t>For more deta</w:t>
      </w:r>
      <w:r w:rsidR="003E1018">
        <w:rPr>
          <w:rFonts w:asciiTheme="minorHAnsi" w:hAnsiTheme="minorHAnsi"/>
          <w:i/>
        </w:rPr>
        <w:t>il on PBAC’s view, see section 5</w:t>
      </w:r>
      <w:r w:rsidRPr="00F77BBD">
        <w:rPr>
          <w:rFonts w:asciiTheme="minorHAnsi" w:hAnsiTheme="minorHAnsi"/>
          <w:i/>
        </w:rPr>
        <w:t xml:space="preserve">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6B0D94" w:rsidRDefault="00B47FB8"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brand of adalimumab was TGA approved on 18 October 2017.</w:t>
      </w:r>
      <w:r w:rsidR="002B1AE6" w:rsidRPr="001B2BBC">
        <w:rPr>
          <w:rFonts w:asciiTheme="minorHAnsi" w:eastAsiaTheme="minorHAnsi" w:hAnsiTheme="minorHAnsi" w:cstheme="minorBidi"/>
          <w:snapToGrid/>
          <w:sz w:val="24"/>
          <w:szCs w:val="22"/>
        </w:rPr>
        <w:t xml:space="preserve"> </w:t>
      </w:r>
    </w:p>
    <w:p w:rsidR="00890FA2" w:rsidRPr="001B2BBC" w:rsidRDefault="00890FA2"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its meeting on 4 August 2017, the ACM advised at that, overall, bioequivalence criteria for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were met (ACM meeting minutes, 4 August 2017).</w:t>
      </w:r>
    </w:p>
    <w:p w:rsidR="00B47FB8" w:rsidRPr="001321E5" w:rsidRDefault="00B47FB8" w:rsidP="00B47FB8">
      <w:pPr>
        <w:pStyle w:val="ListParagraph"/>
        <w:widowControl/>
        <w:numPr>
          <w:ilvl w:val="1"/>
          <w:numId w:val="14"/>
        </w:numPr>
        <w:spacing w:before="120" w:after="160"/>
        <w:contextualSpacing w:val="0"/>
        <w:rPr>
          <w:rFonts w:asciiTheme="minorHAnsi" w:hAnsiTheme="minorHAnsi"/>
          <w:i/>
          <w:iCs/>
          <w:sz w:val="24"/>
          <w:szCs w:val="24"/>
        </w:rPr>
      </w:pPr>
      <w:r>
        <w:rPr>
          <w:rFonts w:asciiTheme="minorHAnsi" w:hAnsiTheme="minorHAnsi"/>
          <w:iCs/>
          <w:sz w:val="24"/>
          <w:szCs w:val="24"/>
        </w:rPr>
        <w:t>The PBAC has not previously considered a submission for this brand of adalimumab.</w:t>
      </w:r>
    </w:p>
    <w:p w:rsidR="001321E5" w:rsidRPr="00655839" w:rsidRDefault="001321E5" w:rsidP="00B47FB8">
      <w:pPr>
        <w:pStyle w:val="ListParagraph"/>
        <w:widowControl/>
        <w:numPr>
          <w:ilvl w:val="1"/>
          <w:numId w:val="14"/>
        </w:numPr>
        <w:spacing w:before="120" w:after="160"/>
        <w:contextualSpacing w:val="0"/>
        <w:rPr>
          <w:rFonts w:asciiTheme="minorHAnsi" w:hAnsiTheme="minorHAnsi"/>
          <w:i/>
          <w:iCs/>
          <w:sz w:val="24"/>
          <w:szCs w:val="24"/>
        </w:rPr>
      </w:pPr>
      <w:r>
        <w:rPr>
          <w:rFonts w:asciiTheme="minorHAnsi" w:hAnsiTheme="minorHAnsi"/>
          <w:iCs/>
          <w:sz w:val="24"/>
          <w:szCs w:val="24"/>
        </w:rPr>
        <w:t xml:space="preserve">At its July 2018 meeting, the PBAC also considered another adalimumab biosimilar brand, </w:t>
      </w:r>
      <w:r w:rsidRPr="00F77BBD">
        <w:rPr>
          <w:rFonts w:asciiTheme="minorHAnsi" w:eastAsiaTheme="minorHAnsi" w:hAnsiTheme="minorHAnsi" w:cstheme="minorBidi"/>
          <w:snapToGrid/>
          <w:sz w:val="24"/>
          <w:szCs w:val="22"/>
        </w:rPr>
        <w:t>Hadlima® for severe active rheumatoid arthritis</w:t>
      </w:r>
      <w:r>
        <w:rPr>
          <w:rFonts w:asciiTheme="minorHAnsi" w:eastAsiaTheme="minorHAnsi" w:hAnsiTheme="minorHAnsi" w:cstheme="minorBidi"/>
          <w:snapToGrid/>
          <w:sz w:val="24"/>
          <w:szCs w:val="22"/>
        </w:rPr>
        <w:t>, with Humira as the reference product.</w:t>
      </w:r>
    </w:p>
    <w:p w:rsidR="00AC0AF9" w:rsidRPr="006F711E" w:rsidRDefault="00AC0AF9" w:rsidP="006F711E">
      <w:pPr>
        <w:spacing w:before="120" w:after="160"/>
        <w:rPr>
          <w:rStyle w:val="Emphasis"/>
          <w:rFonts w:asciiTheme="minorHAnsi" w:hAnsiTheme="minorHAnsi"/>
          <w:b/>
        </w:rPr>
      </w:pPr>
      <w:r w:rsidRPr="006F711E">
        <w:rPr>
          <w:rStyle w:val="Emphasis"/>
          <w:rFonts w:asciiTheme="minorHAnsi" w:hAnsiTheme="minorHAnsi"/>
          <w:b/>
        </w:rPr>
        <w:t>Brand equivalence and substitution at the pharmacist level (‘a’ flagging)</w:t>
      </w:r>
    </w:p>
    <w:p w:rsidR="00AC0AF9" w:rsidRPr="00AC41FF" w:rsidRDefault="00AC0AF9" w:rsidP="00AC0AF9">
      <w:pPr>
        <w:pStyle w:val="ListParagraph"/>
        <w:widowControl/>
        <w:numPr>
          <w:ilvl w:val="1"/>
          <w:numId w:val="5"/>
        </w:numPr>
        <w:rPr>
          <w:rFonts w:asciiTheme="minorHAnsi" w:hAnsiTheme="minorHAnsi"/>
          <w:sz w:val="24"/>
          <w:szCs w:val="24"/>
        </w:rPr>
      </w:pPr>
      <w:r w:rsidRPr="00AC41FF">
        <w:rPr>
          <w:rFonts w:asciiTheme="minorHAnsi" w:hAnsiTheme="minorHAnsi"/>
          <w:sz w:val="24"/>
          <w:szCs w:val="24"/>
        </w:rPr>
        <w:t xml:space="preserve">The Schedule of Pharmaceutical Benefits provide the following definition of brand equivalence: </w:t>
      </w:r>
    </w:p>
    <w:p w:rsidR="00AC0AF9" w:rsidRPr="00AC41FF" w:rsidRDefault="00AC0AF9" w:rsidP="00AC0AF9">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C41FF">
        <w:rPr>
          <w:rFonts w:asciiTheme="minorHAnsi" w:hAnsiTheme="minorHAnsi" w:cs="Arial"/>
          <w:b/>
          <w:szCs w:val="24"/>
          <w:lang w:val="en-AU"/>
        </w:rPr>
        <w:t>Extract from the Explanatory Notes to the PBS Schedule</w:t>
      </w:r>
      <w:r w:rsidRPr="00AC41FF">
        <w:rPr>
          <w:rFonts w:asciiTheme="minorHAnsi" w:hAnsiTheme="minorHAnsi"/>
          <w:b/>
          <w:szCs w:val="24"/>
          <w:vertAlign w:val="superscript"/>
          <w:lang w:val="en-AU"/>
        </w:rPr>
        <w:footnoteReference w:id="1"/>
      </w:r>
    </w:p>
    <w:p w:rsidR="00AC0AF9" w:rsidRPr="00AC41FF" w:rsidRDefault="00AC0AF9" w:rsidP="00AC0AF9">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C41FF">
        <w:rPr>
          <w:rFonts w:asciiTheme="minorHAnsi" w:hAnsiTheme="minorHAnsi" w:cs="Arial"/>
          <w:b/>
          <w:szCs w:val="24"/>
          <w:lang w:val="en-AU"/>
        </w:rPr>
        <w:t>BRAND EQUIVALENCE</w:t>
      </w:r>
    </w:p>
    <w:p w:rsidR="00AC0AF9" w:rsidRPr="00AC41FF" w:rsidRDefault="00AC0AF9" w:rsidP="00AC0AF9">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szCs w:val="24"/>
          <w:lang w:val="en-AU"/>
        </w:rPr>
      </w:pPr>
      <w:r w:rsidRPr="00AC41FF">
        <w:rPr>
          <w:rFonts w:asciiTheme="minorHAnsi" w:hAnsiTheme="minorHAnsi" w:cs="Arial"/>
          <w:szCs w:val="24"/>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AC0AF9" w:rsidRPr="00A43833" w:rsidRDefault="00AC0AF9" w:rsidP="00AC0AF9">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43833">
        <w:rPr>
          <w:rFonts w:asciiTheme="minorHAnsi" w:eastAsiaTheme="minorHAnsi" w:hAnsiTheme="minorHAnsi" w:cstheme="minorBidi"/>
          <w:snapToGrid/>
          <w:sz w:val="24"/>
          <w:szCs w:val="22"/>
        </w:rPr>
        <w:t xml:space="preserve">Many medicines are available on the PBS in different brands. The Schedule of Pharmaceutical Benefits indicates where different brands are considered equivalent for the purposes of substitution at the point of dispensing by using </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a</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 xml:space="preserve"> flags.  </w:t>
      </w:r>
    </w:p>
    <w:p w:rsidR="002F3C11" w:rsidRPr="00AB31DE" w:rsidRDefault="002F3C11" w:rsidP="002F3C1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lastRenderedPageBreak/>
        <w:t xml:space="preserve">The ability for prescribers and pharmacists to substitute generic </w:t>
      </w:r>
      <w:r>
        <w:rPr>
          <w:rFonts w:asciiTheme="minorHAnsi" w:eastAsiaTheme="minorHAnsi" w:hAnsiTheme="minorHAnsi" w:cstheme="minorBidi"/>
          <w:snapToGrid/>
          <w:sz w:val="24"/>
          <w:szCs w:val="22"/>
        </w:rPr>
        <w:t xml:space="preserve">or biosimilar </w:t>
      </w:r>
      <w:r w:rsidRPr="00AB31DE">
        <w:rPr>
          <w:rFonts w:asciiTheme="minorHAnsi" w:eastAsiaTheme="minorHAnsi" w:hAnsiTheme="minorHAnsi" w:cstheme="minorBidi"/>
          <w:snapToGrid/>
          <w:sz w:val="24"/>
          <w:szCs w:val="22"/>
        </w:rPr>
        <w:t xml:space="preserve">brands for originator brands is an important part of encouraging use of generics </w:t>
      </w:r>
      <w:r>
        <w:rPr>
          <w:rFonts w:asciiTheme="minorHAnsi" w:eastAsiaTheme="minorHAnsi" w:hAnsiTheme="minorHAnsi" w:cstheme="minorBidi"/>
          <w:snapToGrid/>
          <w:sz w:val="24"/>
          <w:szCs w:val="22"/>
        </w:rPr>
        <w:t xml:space="preserve">and </w:t>
      </w:r>
      <w:proofErr w:type="spellStart"/>
      <w:r>
        <w:rPr>
          <w:rFonts w:asciiTheme="minorHAnsi" w:eastAsiaTheme="minorHAnsi" w:hAnsiTheme="minorHAnsi" w:cstheme="minorBidi"/>
          <w:snapToGrid/>
          <w:sz w:val="24"/>
          <w:szCs w:val="22"/>
        </w:rPr>
        <w:t>biosimilars</w:t>
      </w:r>
      <w:proofErr w:type="spellEnd"/>
      <w:r>
        <w:rPr>
          <w:rFonts w:asciiTheme="minorHAnsi" w:eastAsiaTheme="minorHAnsi" w:hAnsiTheme="minorHAnsi" w:cstheme="minorBidi"/>
          <w:snapToGrid/>
          <w:sz w:val="24"/>
          <w:szCs w:val="22"/>
        </w:rPr>
        <w:t xml:space="preserve"> </w:t>
      </w:r>
      <w:r w:rsidRPr="00AB31DE">
        <w:rPr>
          <w:rFonts w:asciiTheme="minorHAnsi" w:eastAsiaTheme="minorHAnsi" w:hAnsiTheme="minorHAnsi" w:cstheme="minorBidi"/>
          <w:snapToGrid/>
          <w:sz w:val="24"/>
          <w:szCs w:val="22"/>
        </w:rPr>
        <w:t>in the marketplace and adds to the sustainability of the PBS.</w:t>
      </w:r>
    </w:p>
    <w:p w:rsidR="00AC0AF9" w:rsidRPr="00A43833" w:rsidRDefault="00AC0AF9" w:rsidP="00AC0AF9">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43833">
        <w:rPr>
          <w:rFonts w:asciiTheme="minorHAnsi" w:eastAsiaTheme="minorHAnsi" w:hAnsiTheme="minorHAnsi" w:cstheme="minorBidi"/>
          <w:snapToGrid/>
          <w:sz w:val="24"/>
          <w:szCs w:val="22"/>
        </w:rPr>
        <w:t xml:space="preserve">For any individual prescription, a prescriber may choose to not permit brand substitution by indicating ‘substitution not permitted’ on the prescription.  Likewise, when substitution is permitted, a patient may nominate which </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a</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 xml:space="preserve"> flagged brand they wish to receive from the pharmacist, except when State or Territory Law prohibits substitution (e.g. for Schedule 8 drugs of dependence). The substitution process allows for patient and prescriber choice and is not automatic.</w:t>
      </w:r>
    </w:p>
    <w:p w:rsidR="00AC0AF9" w:rsidRPr="00A43833" w:rsidRDefault="00AC0AF9" w:rsidP="00AC0AF9">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43833">
        <w:rPr>
          <w:rFonts w:asciiTheme="minorHAnsi" w:eastAsiaTheme="minorHAnsi" w:hAnsiTheme="minorHAnsi" w:cstheme="minorBidi"/>
          <w:snapToGrid/>
          <w:sz w:val="24"/>
          <w:szCs w:val="22"/>
        </w:rPr>
        <w:t xml:space="preserve">The </w:t>
      </w:r>
      <w:r w:rsidRPr="00BC3E75">
        <w:rPr>
          <w:rFonts w:asciiTheme="minorHAnsi" w:eastAsiaTheme="minorHAnsi" w:hAnsiTheme="minorHAnsi" w:cstheme="minorBidi"/>
          <w:i/>
          <w:snapToGrid/>
          <w:sz w:val="24"/>
          <w:szCs w:val="22"/>
        </w:rPr>
        <w:t>National Health Act</w:t>
      </w:r>
      <w:r w:rsidRPr="00A43833">
        <w:rPr>
          <w:rFonts w:asciiTheme="minorHAnsi" w:eastAsiaTheme="minorHAnsi" w:hAnsiTheme="minorHAnsi" w:cstheme="minorBidi"/>
          <w:snapToGrid/>
          <w:sz w:val="24"/>
          <w:szCs w:val="22"/>
        </w:rPr>
        <w:t xml:space="preserve"> 1953 (“The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2F3C11" w:rsidRPr="00AB31DE" w:rsidRDefault="00004E04" w:rsidP="00B72DF6">
      <w:pPr>
        <w:pStyle w:val="ListParagraph"/>
        <w:widowControl/>
        <w:numPr>
          <w:ilvl w:val="1"/>
          <w:numId w:val="5"/>
        </w:numPr>
        <w:spacing w:before="120" w:after="160"/>
        <w:contextualSpacing w:val="0"/>
        <w:rPr>
          <w:rFonts w:asciiTheme="minorHAnsi" w:hAnsiTheme="minorHAnsi"/>
        </w:rPr>
      </w:pPr>
      <w:r>
        <w:rPr>
          <w:rFonts w:asciiTheme="minorHAnsi" w:eastAsiaTheme="minorHAnsi" w:hAnsiTheme="minorHAnsi" w:cstheme="minorBidi"/>
          <w:snapToGrid/>
          <w:sz w:val="24"/>
          <w:szCs w:val="22"/>
        </w:rPr>
        <w:t>At its</w:t>
      </w:r>
      <w:r w:rsidR="002F3C11">
        <w:rPr>
          <w:rFonts w:asciiTheme="minorHAnsi" w:eastAsiaTheme="minorHAnsi" w:hAnsiTheme="minorHAnsi" w:cstheme="minorBidi"/>
          <w:snapToGrid/>
          <w:sz w:val="24"/>
          <w:szCs w:val="22"/>
        </w:rPr>
        <w:t xml:space="preserve"> March 2018 meeting, the PBAC advised that the following revised considerations will be used to make a recommendation on brand equivalence (‘a’ flagged) of </w:t>
      </w:r>
      <w:proofErr w:type="spellStart"/>
      <w:r w:rsidR="002F3C11">
        <w:rPr>
          <w:rFonts w:asciiTheme="minorHAnsi" w:eastAsiaTheme="minorHAnsi" w:hAnsiTheme="minorHAnsi" w:cstheme="minorBidi"/>
          <w:snapToGrid/>
          <w:sz w:val="24"/>
          <w:szCs w:val="22"/>
        </w:rPr>
        <w:t>biosimilars</w:t>
      </w:r>
      <w:proofErr w:type="spellEnd"/>
      <w:r w:rsidR="002F3C11">
        <w:rPr>
          <w:rFonts w:asciiTheme="minorHAnsi" w:eastAsiaTheme="minorHAnsi" w:hAnsiTheme="minorHAnsi" w:cstheme="minorBidi"/>
          <w:snapToGrid/>
          <w:sz w:val="24"/>
          <w:szCs w:val="22"/>
        </w:rPr>
        <w:t xml:space="preserve"> with the reference brand;</w:t>
      </w:r>
    </w:p>
    <w:p w:rsidR="002F3C11" w:rsidRPr="00FA2051" w:rsidRDefault="002F3C11" w:rsidP="00B72DF6">
      <w:pPr>
        <w:pStyle w:val="PBACheading10"/>
        <w:numPr>
          <w:ilvl w:val="0"/>
          <w:numId w:val="26"/>
        </w:numPr>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The Therapeutic Goods Administration has determined that the product is a biosimilar of the reference medicine as evidenced by ARTG registration documentation;</w:t>
      </w:r>
    </w:p>
    <w:p w:rsidR="002F3C11" w:rsidRPr="00FA2051" w:rsidRDefault="002F3C11" w:rsidP="00B72DF6">
      <w:pPr>
        <w:pStyle w:val="PBACheading10"/>
        <w:numPr>
          <w:ilvl w:val="0"/>
          <w:numId w:val="26"/>
        </w:numPr>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Availability of supportive data relating to the effects of switching between the reference product and the biosimilar product/s; and</w:t>
      </w:r>
    </w:p>
    <w:p w:rsidR="002F3C11" w:rsidRPr="00FA2051" w:rsidRDefault="002F3C11" w:rsidP="00B72DF6">
      <w:pPr>
        <w:pStyle w:val="PBACheading10"/>
        <w:numPr>
          <w:ilvl w:val="0"/>
          <w:numId w:val="26"/>
        </w:numPr>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Practical considerations relating to substitution by the pharmacist at the point of dispensing. This includes strength of formulation, number of units per pack and maximum quantities between the brands, which may make substitution at the pharmacy level difficult from a practical perspective.</w:t>
      </w:r>
    </w:p>
    <w:p w:rsidR="002F3C11" w:rsidRPr="00AB31DE" w:rsidRDefault="002F3C11" w:rsidP="00B72DF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1B1214">
        <w:rPr>
          <w:rFonts w:asciiTheme="minorHAnsi" w:eastAsiaTheme="minorHAnsi" w:hAnsiTheme="minorHAnsi" w:cstheme="minorBidi"/>
          <w:snapToGrid/>
          <w:sz w:val="24"/>
          <w:szCs w:val="22"/>
        </w:rPr>
        <w:t xml:space="preserve">The PBAC considered that where a biosimilar product could not be recommended to be brand equivalent (‘a’ flagged) at the </w:t>
      </w:r>
      <w:r w:rsidRPr="00AB31DE">
        <w:rPr>
          <w:rFonts w:asciiTheme="minorHAnsi" w:eastAsiaTheme="minorHAnsi" w:hAnsiTheme="minorHAnsi" w:cstheme="minorBidi"/>
          <w:snapToGrid/>
          <w:sz w:val="24"/>
          <w:szCs w:val="22"/>
        </w:rPr>
        <w:t xml:space="preserve">time of PBS listing, data should be collected to support </w:t>
      </w:r>
      <w:r>
        <w:rPr>
          <w:rFonts w:asciiTheme="minorHAnsi" w:eastAsiaTheme="minorHAnsi" w:hAnsiTheme="minorHAnsi" w:cstheme="minorBidi"/>
          <w:snapToGrid/>
          <w:sz w:val="24"/>
          <w:szCs w:val="22"/>
        </w:rPr>
        <w:t>this consideration</w:t>
      </w:r>
      <w:r w:rsidRPr="00AB31DE">
        <w:rPr>
          <w:rFonts w:asciiTheme="minorHAnsi" w:eastAsiaTheme="minorHAnsi" w:hAnsiTheme="minorHAnsi" w:cstheme="minorBidi"/>
          <w:snapToGrid/>
          <w:sz w:val="24"/>
          <w:szCs w:val="22"/>
        </w:rPr>
        <w:t xml:space="preserve"> at a later point.</w:t>
      </w:r>
    </w:p>
    <w:p w:rsidR="002F3C11" w:rsidRPr="00AB31DE" w:rsidRDefault="002F3C11" w:rsidP="00B72DF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If</w:t>
      </w:r>
      <w:r w:rsidRPr="00AB31DE">
        <w:rPr>
          <w:rFonts w:asciiTheme="minorHAnsi" w:eastAsiaTheme="minorHAnsi" w:hAnsiTheme="minorHAnsi" w:cstheme="minorBidi"/>
          <w:snapToGrid/>
          <w:sz w:val="24"/>
          <w:szCs w:val="22"/>
        </w:rPr>
        <w:t xml:space="preserve"> the PBAC provides advice</w:t>
      </w:r>
      <w:r>
        <w:rPr>
          <w:rFonts w:asciiTheme="minorHAnsi" w:eastAsiaTheme="minorHAnsi" w:hAnsiTheme="minorHAnsi" w:cstheme="minorBidi"/>
          <w:snapToGrid/>
          <w:sz w:val="24"/>
          <w:szCs w:val="22"/>
        </w:rPr>
        <w:t xml:space="preserve"> on brand equivalence (‘a’ flagging)</w:t>
      </w:r>
      <w:r w:rsidRPr="00AB31DE">
        <w:rPr>
          <w:rFonts w:asciiTheme="minorHAnsi" w:eastAsiaTheme="minorHAnsi" w:hAnsiTheme="minorHAnsi" w:cstheme="minorBidi"/>
          <w:snapToGrid/>
          <w:sz w:val="24"/>
          <w:szCs w:val="22"/>
        </w:rPr>
        <w:t xml:space="preserve">, the decision to apply brand equivalence to listings in the Schedule is made by the Minister for Health (or Delegate). </w:t>
      </w:r>
    </w:p>
    <w:p w:rsidR="00AC0AF9" w:rsidRPr="00050196" w:rsidRDefault="00AC0AF9" w:rsidP="00AC0AF9">
      <w:pPr>
        <w:pStyle w:val="PBACHeading1"/>
        <w:numPr>
          <w:ilvl w:val="0"/>
          <w:numId w:val="0"/>
        </w:numPr>
        <w:spacing w:after="160"/>
        <w:outlineLvl w:val="9"/>
        <w:rPr>
          <w:rStyle w:val="Emphasis"/>
          <w:rFonts w:asciiTheme="minorHAnsi" w:hAnsiTheme="minorHAnsi"/>
          <w:sz w:val="24"/>
          <w:szCs w:val="24"/>
        </w:rPr>
      </w:pPr>
      <w:r w:rsidRPr="00050196">
        <w:rPr>
          <w:rStyle w:val="Emphasis"/>
          <w:rFonts w:asciiTheme="minorHAnsi" w:hAnsiTheme="minorHAnsi"/>
          <w:sz w:val="24"/>
          <w:szCs w:val="24"/>
        </w:rPr>
        <w:t>Biosimilar uptake measures</w:t>
      </w:r>
    </w:p>
    <w:p w:rsidR="00AC0AF9" w:rsidRDefault="00AC0AF9" w:rsidP="00AC0AF9">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4C7B43">
        <w:rPr>
          <w:rFonts w:asciiTheme="minorHAnsi" w:eastAsiaTheme="minorHAnsi" w:hAnsiTheme="minorHAnsi" w:cstheme="minorBidi"/>
          <w:snapToGrid/>
          <w:sz w:val="24"/>
          <w:szCs w:val="22"/>
        </w:rPr>
        <w:t xml:space="preserve">The biosimilar uptake </w:t>
      </w:r>
      <w:r>
        <w:rPr>
          <w:rFonts w:asciiTheme="minorHAnsi" w:eastAsiaTheme="minorHAnsi" w:hAnsiTheme="minorHAnsi" w:cstheme="minorBidi"/>
          <w:snapToGrid/>
          <w:sz w:val="24"/>
          <w:szCs w:val="22"/>
        </w:rPr>
        <w:t>measures</w:t>
      </w:r>
      <w:r w:rsidRPr="004C7B43">
        <w:rPr>
          <w:rFonts w:asciiTheme="minorHAnsi" w:eastAsiaTheme="minorHAnsi" w:hAnsiTheme="minorHAnsi" w:cstheme="minorBidi"/>
          <w:snapToGrid/>
          <w:sz w:val="24"/>
          <w:szCs w:val="22"/>
        </w:rPr>
        <w:t xml:space="preserve"> were agreed as part of the strategic agreements that the Government reached with Medicines Australia, the Generic and Biosimilar Medicines Association and the Pharmacy Guild of Australia as part of the 2017 Budget process.  </w:t>
      </w:r>
    </w:p>
    <w:p w:rsidR="00AC0AF9" w:rsidRPr="0082740D" w:rsidRDefault="00AC0AF9" w:rsidP="00AC0AF9">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4C7B43">
        <w:rPr>
          <w:rFonts w:asciiTheme="minorHAnsi" w:eastAsiaTheme="minorHAnsi" w:hAnsiTheme="minorHAnsi" w:cstheme="minorBidi"/>
          <w:snapToGrid/>
          <w:sz w:val="24"/>
          <w:szCs w:val="22"/>
        </w:rPr>
        <w:lastRenderedPageBreak/>
        <w:t>The PBAC will advis</w:t>
      </w:r>
      <w:r>
        <w:rPr>
          <w:rFonts w:asciiTheme="minorHAnsi" w:eastAsiaTheme="minorHAnsi" w:hAnsiTheme="minorHAnsi" w:cstheme="minorBidi"/>
          <w:snapToGrid/>
          <w:sz w:val="24"/>
          <w:szCs w:val="22"/>
        </w:rPr>
        <w:t>e</w:t>
      </w:r>
      <w:r w:rsidRPr="004C7B43">
        <w:rPr>
          <w:rFonts w:asciiTheme="minorHAnsi" w:eastAsiaTheme="minorHAnsi" w:hAnsiTheme="minorHAnsi" w:cstheme="minorBidi"/>
          <w:snapToGrid/>
          <w:sz w:val="24"/>
          <w:szCs w:val="22"/>
        </w:rPr>
        <w:t xml:space="preserve"> whether implementation of the uptake drivers is likely to raise any clinical or other concerns about appropriate use on the PBS.  </w:t>
      </w:r>
      <w:r w:rsidRPr="0082740D">
        <w:rPr>
          <w:rFonts w:asciiTheme="minorHAnsi" w:eastAsiaTheme="minorHAnsi" w:hAnsiTheme="minorHAnsi" w:cstheme="minorBidi"/>
          <w:snapToGrid/>
          <w:sz w:val="24"/>
          <w:szCs w:val="22"/>
        </w:rPr>
        <w:t xml:space="preserve">The PBAC may, on a case-by-case basis, provide advice relating to: </w:t>
      </w:r>
    </w:p>
    <w:p w:rsidR="00AC0AF9" w:rsidRPr="0082740D" w:rsidRDefault="00AC0AF9" w:rsidP="00AC0AF9">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r w:rsidRPr="0082740D">
        <w:rPr>
          <w:rFonts w:asciiTheme="minorHAnsi" w:eastAsiaTheme="minorHAnsi" w:hAnsiTheme="minorHAnsi" w:cstheme="minorBidi"/>
          <w:snapToGrid/>
          <w:sz w:val="24"/>
          <w:szCs w:val="22"/>
        </w:rPr>
        <w:t xml:space="preserve">encouraging the prescribing of a biosimilar brand for treatment naïve patients;  and </w:t>
      </w:r>
    </w:p>
    <w:p w:rsidR="00AC0AF9" w:rsidRPr="0082740D" w:rsidRDefault="00AC0AF9" w:rsidP="00AC0AF9">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proofErr w:type="gramStart"/>
      <w:r w:rsidRPr="0082740D">
        <w:rPr>
          <w:rFonts w:asciiTheme="minorHAnsi" w:eastAsiaTheme="minorHAnsi" w:hAnsiTheme="minorHAnsi" w:cstheme="minorBidi"/>
          <w:snapToGrid/>
          <w:sz w:val="24"/>
          <w:szCs w:val="22"/>
        </w:rPr>
        <w:t>applying</w:t>
      </w:r>
      <w:proofErr w:type="gramEnd"/>
      <w:r w:rsidRPr="0082740D">
        <w:rPr>
          <w:rFonts w:asciiTheme="minorHAnsi" w:eastAsiaTheme="minorHAnsi" w:hAnsiTheme="minorHAnsi" w:cstheme="minorBidi"/>
          <w:snapToGrid/>
          <w:sz w:val="24"/>
          <w:szCs w:val="22"/>
        </w:rPr>
        <w:t xml:space="preserve"> a lower level of authority to biosimilar brand(s) than exists for the reference brand of biological medicines. </w:t>
      </w:r>
    </w:p>
    <w:p w:rsidR="00AC0AF9" w:rsidRDefault="00AC0AF9" w:rsidP="00AC0AF9">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4C7B43">
        <w:rPr>
          <w:rFonts w:asciiTheme="minorHAnsi" w:eastAsiaTheme="minorHAnsi" w:hAnsiTheme="minorHAnsi" w:cstheme="minorBidi"/>
          <w:snapToGrid/>
          <w:sz w:val="24"/>
          <w:szCs w:val="22"/>
        </w:rPr>
        <w:t xml:space="preserve">After PBAC advice is received, a decision will be made about applying the drivers for the relevant medicine. The policy provides for lower authority requirements only for biosimilar brands, but there will be no increase in authority requirements to prescribe reference brands. </w:t>
      </w:r>
    </w:p>
    <w:p w:rsidR="00AC0AF9" w:rsidRDefault="00AC0AF9" w:rsidP="00AC0AF9">
      <w:pPr>
        <w:pStyle w:val="ListParagraph"/>
        <w:numPr>
          <w:ilvl w:val="1"/>
          <w:numId w:val="5"/>
        </w:numPr>
        <w:spacing w:before="120" w:after="160"/>
        <w:rPr>
          <w:rFonts w:asciiTheme="minorHAnsi" w:hAnsiTheme="minorHAnsi"/>
          <w:sz w:val="24"/>
          <w:szCs w:val="24"/>
        </w:rPr>
      </w:pPr>
      <w:r w:rsidRPr="00FD6434">
        <w:rPr>
          <w:rFonts w:asciiTheme="minorHAnsi" w:hAnsiTheme="minorHAnsi"/>
          <w:sz w:val="24"/>
          <w:szCs w:val="24"/>
        </w:rPr>
        <w:t xml:space="preserve">The PBAC has previously stated it had no concerns </w:t>
      </w:r>
      <w:r w:rsidRPr="00050196">
        <w:rPr>
          <w:rFonts w:asciiTheme="minorHAnsi" w:hAnsiTheme="minorHAnsi"/>
          <w:sz w:val="24"/>
          <w:szCs w:val="24"/>
        </w:rPr>
        <w:t>about encouraging prescribing of a biosimilar brand rather than the</w:t>
      </w:r>
      <w:r>
        <w:rPr>
          <w:rFonts w:asciiTheme="minorHAnsi" w:hAnsiTheme="minorHAnsi"/>
          <w:sz w:val="24"/>
          <w:szCs w:val="24"/>
        </w:rPr>
        <w:t xml:space="preserve"> </w:t>
      </w:r>
      <w:r w:rsidRPr="00050196">
        <w:rPr>
          <w:rFonts w:asciiTheme="minorHAnsi" w:hAnsiTheme="minorHAnsi"/>
          <w:sz w:val="24"/>
          <w:szCs w:val="24"/>
        </w:rPr>
        <w:t>reference biological agent brand for treatment naïve patients, including through notes in</w:t>
      </w:r>
      <w:r>
        <w:rPr>
          <w:rFonts w:asciiTheme="minorHAnsi" w:hAnsiTheme="minorHAnsi"/>
          <w:sz w:val="24"/>
          <w:szCs w:val="24"/>
        </w:rPr>
        <w:t xml:space="preserve"> </w:t>
      </w:r>
      <w:r w:rsidRPr="00050196">
        <w:rPr>
          <w:rFonts w:asciiTheme="minorHAnsi" w:hAnsiTheme="minorHAnsi"/>
          <w:sz w:val="24"/>
          <w:szCs w:val="24"/>
        </w:rPr>
        <w:t>the Schedule and prescribing software changes. (</w:t>
      </w:r>
      <w:r>
        <w:rPr>
          <w:rFonts w:asciiTheme="minorHAnsi" w:hAnsiTheme="minorHAnsi"/>
          <w:sz w:val="24"/>
          <w:szCs w:val="24"/>
        </w:rPr>
        <w:t xml:space="preserve">Etanercept (Brenzys) Public Summary Document, </w:t>
      </w:r>
      <w:r w:rsidRPr="00050196">
        <w:rPr>
          <w:rFonts w:asciiTheme="minorHAnsi" w:hAnsiTheme="minorHAnsi"/>
          <w:sz w:val="24"/>
          <w:szCs w:val="24"/>
        </w:rPr>
        <w:t>August 2017</w:t>
      </w:r>
      <w:r>
        <w:rPr>
          <w:rFonts w:asciiTheme="minorHAnsi" w:hAnsiTheme="minorHAnsi"/>
          <w:sz w:val="24"/>
          <w:szCs w:val="24"/>
        </w:rPr>
        <w:t xml:space="preserve"> </w:t>
      </w:r>
      <w:r w:rsidRPr="00050196">
        <w:rPr>
          <w:rFonts w:asciiTheme="minorHAnsi" w:hAnsiTheme="minorHAnsi"/>
          <w:sz w:val="24"/>
          <w:szCs w:val="24"/>
        </w:rPr>
        <w:t>PBAC Meeting).</w:t>
      </w:r>
    </w:p>
    <w:p w:rsidR="00850F49" w:rsidRPr="00F77BBD" w:rsidRDefault="00F77BBD" w:rsidP="00B72DF6">
      <w:pPr>
        <w:pStyle w:val="PBACHeading1"/>
        <w:numPr>
          <w:ilvl w:val="0"/>
          <w:numId w:val="0"/>
        </w:numPr>
        <w:outlineLvl w:val="9"/>
        <w:rPr>
          <w:rFonts w:asciiTheme="minorHAnsi" w:hAnsiTheme="minorHAnsi"/>
          <w:b w:val="0"/>
          <w:i/>
          <w:sz w:val="24"/>
          <w:szCs w:val="24"/>
        </w:rPr>
      </w:pPr>
      <w:r w:rsidRPr="00F77BBD">
        <w:rPr>
          <w:rFonts w:asciiTheme="minorHAnsi" w:hAnsiTheme="minorHAnsi"/>
          <w:b w:val="0"/>
          <w:i/>
          <w:sz w:val="24"/>
          <w:szCs w:val="24"/>
        </w:rPr>
        <w:t xml:space="preserve">For more detail on PBAC’s view, see section </w:t>
      </w:r>
      <w:r w:rsidR="00004E04">
        <w:rPr>
          <w:rFonts w:asciiTheme="minorHAnsi" w:hAnsiTheme="minorHAnsi"/>
          <w:b w:val="0"/>
          <w:i/>
          <w:sz w:val="24"/>
          <w:szCs w:val="24"/>
        </w:rPr>
        <w:t>5</w:t>
      </w:r>
      <w:r w:rsidRPr="00F77BBD">
        <w:rPr>
          <w:rFonts w:asciiTheme="minorHAnsi" w:hAnsiTheme="minorHAnsi"/>
          <w:b w:val="0"/>
          <w:i/>
          <w:sz w:val="24"/>
          <w:szCs w:val="24"/>
        </w:rPr>
        <w:t xml:space="preserve"> PBAC outcome.</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F77BBD" w:rsidRPr="00525B39" w:rsidRDefault="00F77BBD" w:rsidP="00B72DF6">
      <w:pPr>
        <w:widowControl w:val="0"/>
        <w:spacing w:before="240" w:line="276" w:lineRule="auto"/>
        <w:jc w:val="both"/>
        <w:outlineLvl w:val="1"/>
        <w:rPr>
          <w:rFonts w:asciiTheme="minorHAnsi" w:hAnsiTheme="minorHAnsi" w:cs="Arial"/>
          <w:b/>
          <w:bCs/>
          <w:i/>
          <w:snapToGrid w:val="0"/>
          <w:sz w:val="28"/>
          <w:szCs w:val="28"/>
        </w:rPr>
      </w:pPr>
      <w:r w:rsidRPr="00525B39">
        <w:rPr>
          <w:rFonts w:asciiTheme="minorHAnsi" w:hAnsiTheme="minorHAnsi" w:cs="Arial"/>
          <w:b/>
          <w:bCs/>
          <w:i/>
          <w:snapToGrid w:val="0"/>
          <w:sz w:val="28"/>
          <w:szCs w:val="28"/>
        </w:rPr>
        <w:t>Sponsor hearing</w:t>
      </w:r>
    </w:p>
    <w:p w:rsidR="00F77BBD" w:rsidRPr="00525B39" w:rsidRDefault="00F77BBD" w:rsidP="00F77BBD">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w:t>
      </w:r>
      <w:r w:rsidRPr="00525B39">
        <w:rPr>
          <w:rFonts w:asciiTheme="minorHAnsi" w:hAnsiTheme="minorHAnsi" w:cs="Arial"/>
          <w:bCs/>
          <w:snapToGrid w:val="0"/>
        </w:rPr>
        <w:t xml:space="preserve"> was no hearing for this item as it was a minor submission.</w:t>
      </w:r>
    </w:p>
    <w:p w:rsidR="00F77BBD" w:rsidRPr="00525B39" w:rsidRDefault="00F77BBD" w:rsidP="00B72DF6">
      <w:pPr>
        <w:widowControl w:val="0"/>
        <w:spacing w:before="240" w:line="276" w:lineRule="auto"/>
        <w:jc w:val="both"/>
        <w:outlineLvl w:val="1"/>
        <w:rPr>
          <w:rFonts w:asciiTheme="minorHAnsi" w:hAnsiTheme="minorHAnsi" w:cs="Arial"/>
          <w:b/>
          <w:bCs/>
          <w:i/>
          <w:snapToGrid w:val="0"/>
          <w:sz w:val="28"/>
          <w:szCs w:val="28"/>
        </w:rPr>
      </w:pPr>
      <w:r w:rsidRPr="00525B39">
        <w:rPr>
          <w:rFonts w:asciiTheme="minorHAnsi" w:hAnsiTheme="minorHAnsi" w:cs="Arial"/>
          <w:b/>
          <w:bCs/>
          <w:i/>
          <w:snapToGrid w:val="0"/>
          <w:sz w:val="28"/>
          <w:szCs w:val="28"/>
        </w:rPr>
        <w:t>Consumer comments</w:t>
      </w:r>
    </w:p>
    <w:p w:rsidR="00F77BBD" w:rsidRPr="00F77BBD" w:rsidRDefault="00F77BBD" w:rsidP="00F77BBD">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 PBAC noted and welcom</w:t>
      </w:r>
      <w:r>
        <w:rPr>
          <w:rFonts w:asciiTheme="minorHAnsi" w:hAnsiTheme="minorHAnsi" w:cs="Arial"/>
          <w:bCs/>
          <w:snapToGrid w:val="0"/>
        </w:rPr>
        <w:t xml:space="preserve">ed the input from individuals (1) </w:t>
      </w:r>
      <w:r w:rsidRPr="00525B39">
        <w:rPr>
          <w:rFonts w:asciiTheme="minorHAnsi" w:hAnsiTheme="minorHAnsi" w:cs="Arial"/>
          <w:bCs/>
          <w:snapToGrid w:val="0"/>
        </w:rPr>
        <w:t xml:space="preserve">via the Consumer Comments facility on the PBS website.  </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7000D7" w:rsidRDefault="00314BE4" w:rsidP="00217BE1">
      <w:pPr>
        <w:pStyle w:val="ListParagraph"/>
        <w:widowControl/>
        <w:numPr>
          <w:ilvl w:val="1"/>
          <w:numId w:val="14"/>
        </w:numPr>
        <w:spacing w:before="120" w:after="60"/>
        <w:contextualSpacing w:val="0"/>
        <w:rPr>
          <w:rFonts w:ascii="Arial Narrow" w:hAnsi="Arial Narrow"/>
          <w:b/>
          <w:sz w:val="20"/>
        </w:rPr>
      </w:pPr>
      <w:r w:rsidRPr="0048719E">
        <w:rPr>
          <w:rFonts w:asciiTheme="minorHAnsi" w:eastAsiaTheme="minorHAnsi" w:hAnsiTheme="minorHAnsi" w:cstheme="minorBidi"/>
          <w:snapToGrid/>
          <w:sz w:val="24"/>
          <w:szCs w:val="22"/>
        </w:rPr>
        <w:t>The minor submission presented the following clinical trials</w:t>
      </w:r>
      <w:r w:rsidR="0048719E" w:rsidRPr="0048719E">
        <w:rPr>
          <w:rFonts w:asciiTheme="minorHAnsi" w:eastAsiaTheme="minorHAnsi" w:hAnsiTheme="minorHAnsi" w:cstheme="minorBidi"/>
          <w:snapToGrid/>
          <w:sz w:val="24"/>
          <w:szCs w:val="22"/>
        </w:rPr>
        <w:t xml:space="preserve"> to support the efficacy, safety and immunogenicity of </w:t>
      </w:r>
      <w:proofErr w:type="spellStart"/>
      <w:r w:rsidR="0048719E" w:rsidRPr="0048719E">
        <w:rPr>
          <w:rFonts w:asciiTheme="minorHAnsi" w:eastAsiaTheme="minorHAnsi" w:hAnsiTheme="minorHAnsi" w:cstheme="minorBidi"/>
          <w:snapToGrid/>
          <w:sz w:val="24"/>
          <w:szCs w:val="22"/>
        </w:rPr>
        <w:t>Amgevita</w:t>
      </w:r>
      <w:proofErr w:type="spellEnd"/>
      <w:r w:rsidR="0048719E" w:rsidRPr="0048719E">
        <w:rPr>
          <w:rFonts w:asciiTheme="minorHAnsi" w:eastAsiaTheme="minorHAnsi" w:hAnsiTheme="minorHAnsi" w:cstheme="minorBidi"/>
          <w:snapToGrid/>
          <w:sz w:val="24"/>
          <w:szCs w:val="22"/>
        </w:rPr>
        <w:t xml:space="preserve"> compared to Humira. </w:t>
      </w:r>
    </w:p>
    <w:p w:rsidR="00850F49" w:rsidRDefault="00850F49">
      <w:pPr>
        <w:rPr>
          <w:rFonts w:ascii="Arial Narrow" w:hAnsi="Arial Narrow"/>
          <w:b/>
          <w:sz w:val="20"/>
          <w:szCs w:val="22"/>
        </w:rPr>
      </w:pPr>
      <w:r>
        <w:rPr>
          <w:rFonts w:ascii="Arial Narrow" w:hAnsi="Arial Narrow"/>
          <w:b/>
          <w:sz w:val="20"/>
        </w:rPr>
        <w:br w:type="page"/>
      </w:r>
    </w:p>
    <w:p w:rsidR="007000D7" w:rsidRPr="007000D7" w:rsidRDefault="007000D7" w:rsidP="007000D7">
      <w:pPr>
        <w:pStyle w:val="NoSpacing"/>
        <w:spacing w:after="60"/>
        <w:rPr>
          <w:rFonts w:ascii="Arial Narrow" w:hAnsi="Arial Narrow"/>
          <w:b/>
          <w:sz w:val="20"/>
        </w:rPr>
      </w:pPr>
      <w:proofErr w:type="gramStart"/>
      <w:r>
        <w:rPr>
          <w:rFonts w:ascii="Arial Narrow" w:hAnsi="Arial Narrow"/>
          <w:b/>
          <w:sz w:val="20"/>
        </w:rPr>
        <w:lastRenderedPageBreak/>
        <w:t>Table 1.</w:t>
      </w:r>
      <w:proofErr w:type="gramEnd"/>
      <w:r>
        <w:rPr>
          <w:rFonts w:ascii="Arial Narrow" w:hAnsi="Arial Narrow"/>
          <w:b/>
          <w:sz w:val="20"/>
        </w:rPr>
        <w:t xml:space="preserve"> </w:t>
      </w:r>
      <w:r w:rsidRPr="007000D7">
        <w:rPr>
          <w:rFonts w:ascii="Arial Narrow" w:hAnsi="Arial Narrow"/>
          <w:b/>
          <w:sz w:val="20"/>
        </w:rPr>
        <w:t>Trials and associated reports presented in the submission</w:t>
      </w:r>
    </w:p>
    <w:tbl>
      <w:tblPr>
        <w:tblStyle w:val="TableGridLight1"/>
        <w:tblW w:w="0" w:type="auto"/>
        <w:tblLook w:val="04A0" w:firstRow="1" w:lastRow="0" w:firstColumn="1" w:lastColumn="0" w:noHBand="0" w:noVBand="1"/>
        <w:tblCaption w:val="Table 1. Trials and associated reports presented in the submission "/>
      </w:tblPr>
      <w:tblGrid>
        <w:gridCol w:w="1525"/>
        <w:gridCol w:w="4485"/>
        <w:gridCol w:w="3006"/>
      </w:tblGrid>
      <w:tr w:rsidR="00314BE4" w:rsidRPr="00200A42" w:rsidTr="009B2664">
        <w:trPr>
          <w:cnfStyle w:val="100000000000" w:firstRow="1" w:lastRow="0" w:firstColumn="0" w:lastColumn="0" w:oddVBand="0" w:evenVBand="0" w:oddHBand="0" w:evenHBand="0" w:firstRowFirstColumn="0" w:firstRowLastColumn="0" w:lastRowFirstColumn="0" w:lastRowLastColumn="0"/>
          <w:tblHeader/>
        </w:trPr>
        <w:tc>
          <w:tcPr>
            <w:tcW w:w="1525" w:type="dxa"/>
          </w:tcPr>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Trial ID (Full Study No.)</w:t>
            </w:r>
          </w:p>
        </w:tc>
        <w:tc>
          <w:tcPr>
            <w:tcW w:w="4485" w:type="dxa"/>
          </w:tcPr>
          <w:p w:rsidR="00314BE4" w:rsidRPr="00314BE4" w:rsidRDefault="00314BE4" w:rsidP="00850F49">
            <w:pPr>
              <w:pStyle w:val="tabletextsubmission"/>
              <w:rPr>
                <w:rFonts w:ascii="Arial Narrow" w:hAnsi="Arial Narrow"/>
                <w:b/>
                <w:sz w:val="20"/>
                <w:szCs w:val="20"/>
              </w:rPr>
            </w:pPr>
            <w:r w:rsidRPr="00314BE4">
              <w:rPr>
                <w:rFonts w:ascii="Arial Narrow" w:hAnsi="Arial Narrow"/>
                <w:b/>
                <w:sz w:val="20"/>
                <w:szCs w:val="20"/>
              </w:rPr>
              <w:t>Protocol title/publication title</w:t>
            </w:r>
          </w:p>
        </w:tc>
        <w:tc>
          <w:tcPr>
            <w:tcW w:w="3006" w:type="dxa"/>
          </w:tcPr>
          <w:p w:rsidR="00314BE4" w:rsidRPr="00314BE4" w:rsidRDefault="00314BE4" w:rsidP="00314BE4">
            <w:pPr>
              <w:pStyle w:val="tabletextsubmission"/>
              <w:rPr>
                <w:rFonts w:ascii="Arial Narrow" w:hAnsi="Arial Narrow"/>
                <w:b/>
                <w:sz w:val="20"/>
                <w:szCs w:val="20"/>
              </w:rPr>
            </w:pPr>
            <w:r w:rsidRPr="00314BE4">
              <w:rPr>
                <w:rFonts w:ascii="Arial Narrow" w:hAnsi="Arial Narrow"/>
                <w:b/>
                <w:sz w:val="20"/>
                <w:szCs w:val="20"/>
              </w:rPr>
              <w:t>Publication citation</w:t>
            </w:r>
          </w:p>
        </w:tc>
      </w:tr>
      <w:tr w:rsidR="00314BE4" w:rsidRPr="00A160D2" w:rsidTr="00314BE4">
        <w:tc>
          <w:tcPr>
            <w:tcW w:w="9016" w:type="dxa"/>
            <w:gridSpan w:val="3"/>
          </w:tcPr>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Direct randomised trials</w:t>
            </w:r>
          </w:p>
        </w:tc>
      </w:tr>
      <w:tr w:rsidR="0048719E" w:rsidRPr="009A0703" w:rsidTr="00314BE4">
        <w:tc>
          <w:tcPr>
            <w:tcW w:w="1525" w:type="dxa"/>
            <w:vMerge w:val="restart"/>
          </w:tcPr>
          <w:p w:rsidR="0048719E" w:rsidRPr="00314BE4" w:rsidRDefault="0048719E" w:rsidP="00850F49">
            <w:pPr>
              <w:pStyle w:val="tabletextsubmission"/>
              <w:jc w:val="left"/>
              <w:rPr>
                <w:rFonts w:ascii="Arial Narrow" w:hAnsi="Arial Narrow"/>
                <w:b/>
                <w:sz w:val="20"/>
                <w:szCs w:val="20"/>
              </w:rPr>
            </w:pPr>
            <w:r w:rsidRPr="00314BE4">
              <w:rPr>
                <w:rFonts w:ascii="Arial Narrow" w:hAnsi="Arial Narrow"/>
                <w:b/>
                <w:sz w:val="20"/>
                <w:szCs w:val="20"/>
              </w:rPr>
              <w:t>Study 262 (20120262)</w:t>
            </w:r>
          </w:p>
          <w:p w:rsidR="0048719E" w:rsidRPr="00314BE4" w:rsidRDefault="0048719E" w:rsidP="00850F49">
            <w:pPr>
              <w:pStyle w:val="tabletextsubmission"/>
              <w:jc w:val="left"/>
              <w:rPr>
                <w:rFonts w:ascii="Arial Narrow" w:hAnsi="Arial Narrow"/>
                <w:b/>
                <w:sz w:val="20"/>
                <w:szCs w:val="20"/>
              </w:rPr>
            </w:pPr>
            <w:r w:rsidRPr="00314BE4">
              <w:rPr>
                <w:rFonts w:ascii="Arial Narrow" w:hAnsi="Arial Narrow"/>
                <w:b/>
                <w:sz w:val="20"/>
                <w:szCs w:val="20"/>
              </w:rPr>
              <w:t>RA</w:t>
            </w:r>
          </w:p>
        </w:tc>
        <w:tc>
          <w:tcPr>
            <w:tcW w:w="4485" w:type="dxa"/>
          </w:tcPr>
          <w:p w:rsidR="0048719E" w:rsidRPr="00314BE4" w:rsidRDefault="0048719E" w:rsidP="00850F49">
            <w:pPr>
              <w:pStyle w:val="tabletextsubmission"/>
              <w:rPr>
                <w:rFonts w:ascii="Arial Narrow" w:hAnsi="Arial Narrow"/>
                <w:sz w:val="20"/>
                <w:szCs w:val="20"/>
              </w:rPr>
            </w:pPr>
            <w:r w:rsidRPr="00314BE4">
              <w:rPr>
                <w:rFonts w:ascii="Arial Narrow" w:hAnsi="Arial Narrow"/>
                <w:sz w:val="20"/>
                <w:szCs w:val="20"/>
              </w:rPr>
              <w:t xml:space="preserve">A randomized, double-blind, phase 3 study of ABP 501 efficacy and safety compared to adalimumab in subjects with moderate to severe rheumatoid arthritis.  </w:t>
            </w:r>
          </w:p>
        </w:tc>
        <w:tc>
          <w:tcPr>
            <w:tcW w:w="3006" w:type="dxa"/>
          </w:tcPr>
          <w:p w:rsidR="0048719E" w:rsidRPr="00314BE4" w:rsidRDefault="0048719E" w:rsidP="00314BE4">
            <w:pPr>
              <w:pStyle w:val="tabletextsubmission"/>
              <w:rPr>
                <w:rFonts w:ascii="Arial Narrow" w:hAnsi="Arial Narrow"/>
                <w:sz w:val="20"/>
                <w:szCs w:val="20"/>
              </w:rPr>
            </w:pPr>
            <w:r w:rsidRPr="00314BE4">
              <w:rPr>
                <w:rFonts w:ascii="Arial Narrow" w:hAnsi="Arial Narrow"/>
                <w:sz w:val="20"/>
                <w:szCs w:val="20"/>
              </w:rPr>
              <w:t>Clinical Study Report</w:t>
            </w:r>
            <w:r w:rsidRPr="00314BE4">
              <w:rPr>
                <w:rFonts w:ascii="Arial Narrow" w:hAnsi="Arial Narrow"/>
                <w:sz w:val="20"/>
                <w:szCs w:val="20"/>
              </w:rPr>
              <w:fldChar w:fldCharType="begin"/>
            </w:r>
            <w:r w:rsidRPr="00314BE4">
              <w:rPr>
                <w:rFonts w:ascii="Arial Narrow" w:hAnsi="Arial Narrow"/>
                <w:sz w:val="20"/>
                <w:szCs w:val="20"/>
              </w:rPr>
              <w:instrText xml:space="preserve"> ADDIN EN.CITE &lt;EndNote&gt;&lt;Cite&gt;&lt;Author&gt;20120262&lt;/Author&gt;&lt;Year&gt;2015&lt;/Year&gt;&lt;RecNum&gt;21&lt;/RecNum&gt;&lt;DisplayText&gt;&lt;style face="superscript"&gt;3&lt;/style&gt;&lt;/DisplayText&gt;&lt;record&gt;&lt;rec-number&gt;21&lt;/rec-number&gt;&lt;foreign-keys&gt;&lt;key app="EN" db-id="50rrer2f32a59yevaf5xfrs2v0szx90zsvtx" timestamp="1523425394"&gt;21&lt;/key&gt;&lt;/foreign-keys&gt;&lt;ref-type name="Report"&gt;27&lt;/ref-type&gt;&lt;contributors&gt;&lt;authors&gt;&lt;author&gt;Clinical Study Report 20120262&lt;/author&gt;&lt;/authors&gt;&lt;/contributors&gt;&lt;titles&gt;&lt;title&gt;A randomized, double-blind, phase 3 study of ABP 501 efficacy and safety compared to adalimumab in subjects with moderate to severe rheumatoid arthritis.  &lt;/title&gt;&lt;/titles&gt;&lt;dates&gt;&lt;year&gt;2015&lt;/year&gt;&lt;/dates&gt;&lt;urls&gt;&lt;/urls&gt;&lt;/record&gt;&lt;/Cite&gt;&lt;/EndNote&gt;</w:instrText>
            </w:r>
            <w:r w:rsidRPr="00314BE4">
              <w:rPr>
                <w:rFonts w:ascii="Arial Narrow" w:hAnsi="Arial Narrow"/>
                <w:sz w:val="20"/>
                <w:szCs w:val="20"/>
              </w:rPr>
              <w:fldChar w:fldCharType="separate"/>
            </w:r>
            <w:r w:rsidRPr="00314BE4">
              <w:rPr>
                <w:rFonts w:ascii="Arial Narrow" w:hAnsi="Arial Narrow"/>
                <w:noProof/>
                <w:sz w:val="20"/>
                <w:szCs w:val="20"/>
                <w:vertAlign w:val="superscript"/>
              </w:rPr>
              <w:t>3</w:t>
            </w:r>
            <w:r w:rsidRPr="00314BE4">
              <w:rPr>
                <w:rFonts w:ascii="Arial Narrow" w:hAnsi="Arial Narrow"/>
                <w:sz w:val="20"/>
                <w:szCs w:val="20"/>
              </w:rPr>
              <w:fldChar w:fldCharType="end"/>
            </w:r>
          </w:p>
          <w:p w:rsidR="0048719E" w:rsidRPr="00314BE4" w:rsidRDefault="0048719E" w:rsidP="00314BE4">
            <w:pPr>
              <w:pStyle w:val="tabletextsubmission"/>
              <w:rPr>
                <w:rFonts w:ascii="Arial Narrow" w:hAnsi="Arial Narrow"/>
                <w:sz w:val="20"/>
                <w:szCs w:val="20"/>
              </w:rPr>
            </w:pPr>
            <w:r w:rsidRPr="00314BE4">
              <w:rPr>
                <w:rFonts w:ascii="Arial Narrow" w:hAnsi="Arial Narrow"/>
                <w:sz w:val="20"/>
                <w:szCs w:val="20"/>
              </w:rPr>
              <w:t>Report date: 21 May 2015</w:t>
            </w:r>
          </w:p>
          <w:p w:rsidR="0048719E" w:rsidRPr="00314BE4" w:rsidRDefault="0048719E" w:rsidP="00314BE4">
            <w:pPr>
              <w:pStyle w:val="tabletextsubmission"/>
              <w:rPr>
                <w:rFonts w:ascii="Arial Narrow" w:hAnsi="Arial Narrow"/>
                <w:sz w:val="20"/>
                <w:szCs w:val="20"/>
              </w:rPr>
            </w:pPr>
            <w:bookmarkStart w:id="0" w:name="_ENREF_3"/>
            <w:r w:rsidRPr="00314BE4">
              <w:rPr>
                <w:rFonts w:ascii="Arial Narrow" w:hAnsi="Arial Narrow"/>
                <w:sz w:val="20"/>
                <w:szCs w:val="20"/>
              </w:rPr>
              <w:t>..</w:t>
            </w:r>
            <w:bookmarkEnd w:id="0"/>
          </w:p>
        </w:tc>
      </w:tr>
      <w:tr w:rsidR="0048719E" w:rsidRPr="009A0703" w:rsidTr="00314BE4">
        <w:tc>
          <w:tcPr>
            <w:tcW w:w="1525" w:type="dxa"/>
            <w:vMerge/>
          </w:tcPr>
          <w:p w:rsidR="0048719E" w:rsidRPr="00314BE4" w:rsidRDefault="0048719E" w:rsidP="00850F49">
            <w:pPr>
              <w:pStyle w:val="tabletextsubmission"/>
              <w:jc w:val="left"/>
              <w:rPr>
                <w:rFonts w:ascii="Arial Narrow" w:hAnsi="Arial Narrow"/>
                <w:b/>
                <w:sz w:val="20"/>
                <w:szCs w:val="20"/>
              </w:rPr>
            </w:pPr>
          </w:p>
        </w:tc>
        <w:tc>
          <w:tcPr>
            <w:tcW w:w="4485" w:type="dxa"/>
          </w:tcPr>
          <w:p w:rsidR="0048719E" w:rsidRPr="00314BE4" w:rsidRDefault="0048719E" w:rsidP="00850F49">
            <w:pPr>
              <w:pStyle w:val="tabletextsubmission"/>
              <w:rPr>
                <w:rFonts w:ascii="Arial Narrow" w:hAnsi="Arial Narrow"/>
                <w:sz w:val="20"/>
                <w:szCs w:val="20"/>
                <w:u w:val="single"/>
              </w:rPr>
            </w:pPr>
            <w:r w:rsidRPr="00314BE4">
              <w:rPr>
                <w:rFonts w:ascii="Arial Narrow" w:hAnsi="Arial Narrow"/>
                <w:sz w:val="20"/>
                <w:szCs w:val="20"/>
                <w:u w:val="single"/>
              </w:rPr>
              <w:t>Main publication</w:t>
            </w:r>
          </w:p>
          <w:p w:rsidR="0048719E" w:rsidRPr="00314BE4" w:rsidRDefault="0048719E" w:rsidP="00850F49">
            <w:pPr>
              <w:pStyle w:val="tabletextsubmission"/>
              <w:rPr>
                <w:rFonts w:ascii="Arial Narrow" w:hAnsi="Arial Narrow"/>
                <w:sz w:val="20"/>
                <w:szCs w:val="20"/>
              </w:rPr>
            </w:pPr>
            <w:r w:rsidRPr="00314BE4">
              <w:rPr>
                <w:rFonts w:ascii="Arial Narrow" w:hAnsi="Arial Narrow"/>
                <w:sz w:val="20"/>
                <w:szCs w:val="20"/>
              </w:rPr>
              <w:t>Cohen S, Genovese MC, Choy E, et al. Efficacy and safety of the biosimilar ABP 501 compared with adalimumab in patients with moderate to severe rheumatoid arthritis: a randomised, double-blind, phase III equivalence study</w:t>
            </w:r>
          </w:p>
          <w:p w:rsidR="0048719E" w:rsidRPr="00314BE4" w:rsidRDefault="0048719E" w:rsidP="00850F49">
            <w:pPr>
              <w:pStyle w:val="tabletextsubmission"/>
              <w:rPr>
                <w:rFonts w:ascii="Arial Narrow" w:hAnsi="Arial Narrow"/>
                <w:sz w:val="20"/>
                <w:szCs w:val="20"/>
              </w:rPr>
            </w:pPr>
          </w:p>
          <w:p w:rsidR="0048719E" w:rsidRPr="00314BE4" w:rsidRDefault="0048719E" w:rsidP="00850F49">
            <w:pPr>
              <w:pStyle w:val="tabletextsubmission"/>
              <w:rPr>
                <w:rFonts w:ascii="Arial Narrow" w:hAnsi="Arial Narrow"/>
                <w:sz w:val="20"/>
                <w:szCs w:val="20"/>
              </w:rPr>
            </w:pPr>
            <w:r w:rsidRPr="00314BE4">
              <w:rPr>
                <w:rFonts w:ascii="Arial Narrow" w:hAnsi="Arial Narrow"/>
                <w:sz w:val="20"/>
                <w:szCs w:val="20"/>
              </w:rPr>
              <w:t xml:space="preserve">Cohen S, </w:t>
            </w:r>
            <w:proofErr w:type="spellStart"/>
            <w:r w:rsidRPr="00314BE4">
              <w:rPr>
                <w:rFonts w:ascii="Arial Narrow" w:hAnsi="Arial Narrow"/>
                <w:sz w:val="20"/>
                <w:szCs w:val="20"/>
              </w:rPr>
              <w:t>Pablos</w:t>
            </w:r>
            <w:proofErr w:type="spellEnd"/>
            <w:r w:rsidRPr="00314BE4">
              <w:rPr>
                <w:rFonts w:ascii="Arial Narrow" w:hAnsi="Arial Narrow"/>
                <w:sz w:val="20"/>
                <w:szCs w:val="20"/>
              </w:rPr>
              <w:t xml:space="preserve"> JL, </w:t>
            </w:r>
            <w:proofErr w:type="gramStart"/>
            <w:r w:rsidRPr="00314BE4">
              <w:rPr>
                <w:rFonts w:ascii="Arial Narrow" w:hAnsi="Arial Narrow"/>
                <w:sz w:val="20"/>
                <w:szCs w:val="20"/>
              </w:rPr>
              <w:t>Zhang</w:t>
            </w:r>
            <w:proofErr w:type="gramEnd"/>
            <w:r w:rsidRPr="00314BE4">
              <w:rPr>
                <w:rFonts w:ascii="Arial Narrow" w:hAnsi="Arial Narrow"/>
                <w:sz w:val="20"/>
                <w:szCs w:val="20"/>
              </w:rPr>
              <w:t xml:space="preserve"> N, et al. ABP 501 Long-Term Safety/Efficacy: Interim Results from an Open-Label Extension Study [abstract]. Available at: </w:t>
            </w:r>
            <w:hyperlink r:id="rId9" w:history="1">
              <w:r w:rsidRPr="00314BE4">
                <w:rPr>
                  <w:rStyle w:val="Hyperlink"/>
                  <w:rFonts w:ascii="Arial Narrow" w:hAnsi="Arial Narrow"/>
                  <w:sz w:val="20"/>
                  <w:szCs w:val="20"/>
                </w:rPr>
                <w:t>http://acrabstracts.org/abstract/ABP-501-long-term-safetyefficacy-interim-results-from-an-open-label-extension-study/</w:t>
              </w:r>
            </w:hyperlink>
          </w:p>
        </w:tc>
        <w:tc>
          <w:tcPr>
            <w:tcW w:w="3006" w:type="dxa"/>
          </w:tcPr>
          <w:p w:rsidR="0048719E" w:rsidRPr="00314BE4" w:rsidRDefault="0048719E" w:rsidP="00314BE4">
            <w:pPr>
              <w:pStyle w:val="tabletextsubmission"/>
              <w:rPr>
                <w:rFonts w:ascii="Arial Narrow" w:hAnsi="Arial Narrow"/>
                <w:sz w:val="20"/>
                <w:szCs w:val="20"/>
              </w:rPr>
            </w:pPr>
            <w:r w:rsidRPr="00314BE4">
              <w:rPr>
                <w:rFonts w:ascii="Arial Narrow" w:hAnsi="Arial Narrow"/>
                <w:sz w:val="20"/>
                <w:szCs w:val="20"/>
              </w:rPr>
              <w:t>Ann Rheum Dis. 2017a;76:1679-1687</w:t>
            </w:r>
            <w:r w:rsidRPr="00314BE4">
              <w:rPr>
                <w:rFonts w:ascii="Arial Narrow" w:hAnsi="Arial Narrow"/>
                <w:sz w:val="20"/>
                <w:szCs w:val="20"/>
              </w:rPr>
              <w:fldChar w:fldCharType="begin">
                <w:fldData xml:space="preserve">PEVuZE5vdGU+PENpdGU+PEF1dGhvcj5Db2hlbjwvQXV0aG9yPjxZZWFyPjIwMTc8L1llYXI+PFJl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</w:fldData>
              </w:fldChar>
            </w:r>
            <w:r w:rsidRPr="00314BE4">
              <w:rPr>
                <w:rFonts w:ascii="Arial Narrow" w:hAnsi="Arial Narrow"/>
                <w:sz w:val="20"/>
                <w:szCs w:val="20"/>
              </w:rPr>
              <w:instrText xml:space="preserve"> ADDIN EN.CITE </w:instrText>
            </w:r>
            <w:r w:rsidRPr="00314BE4">
              <w:rPr>
                <w:rFonts w:ascii="Arial Narrow" w:hAnsi="Arial Narrow"/>
                <w:sz w:val="20"/>
                <w:szCs w:val="20"/>
              </w:rPr>
              <w:fldChar w:fldCharType="begin">
                <w:fldData xml:space="preserve">PEVuZE5vdGU+PENpdGU+PEF1dGhvcj5Db2hlbjwvQXV0aG9yPjxZZWFyPjIwMTc8L1llYXI+PFJl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</w:fldData>
              </w:fldChar>
            </w:r>
            <w:r w:rsidRPr="00314BE4">
              <w:rPr>
                <w:rFonts w:ascii="Arial Narrow" w:hAnsi="Arial Narrow"/>
                <w:sz w:val="20"/>
                <w:szCs w:val="20"/>
              </w:rPr>
              <w:instrText xml:space="preserve"> ADDIN EN.CITE.DATA </w:instrText>
            </w:r>
            <w:r w:rsidRPr="00314BE4">
              <w:rPr>
                <w:rFonts w:ascii="Arial Narrow" w:hAnsi="Arial Narrow"/>
                <w:sz w:val="20"/>
                <w:szCs w:val="20"/>
              </w:rPr>
            </w:r>
            <w:r w:rsidRPr="00314BE4">
              <w:rPr>
                <w:rFonts w:ascii="Arial Narrow" w:hAnsi="Arial Narrow"/>
                <w:sz w:val="20"/>
                <w:szCs w:val="20"/>
              </w:rPr>
              <w:fldChar w:fldCharType="end"/>
            </w:r>
            <w:r w:rsidRPr="00314BE4">
              <w:rPr>
                <w:rFonts w:ascii="Arial Narrow" w:hAnsi="Arial Narrow"/>
                <w:sz w:val="20"/>
                <w:szCs w:val="20"/>
              </w:rPr>
            </w:r>
            <w:r w:rsidRPr="00314BE4">
              <w:rPr>
                <w:rFonts w:ascii="Arial Narrow" w:hAnsi="Arial Narrow"/>
                <w:sz w:val="20"/>
                <w:szCs w:val="20"/>
              </w:rPr>
              <w:fldChar w:fldCharType="separate"/>
            </w:r>
            <w:r w:rsidRPr="00314BE4">
              <w:rPr>
                <w:rFonts w:ascii="Arial Narrow" w:hAnsi="Arial Narrow"/>
                <w:noProof/>
                <w:sz w:val="20"/>
                <w:szCs w:val="20"/>
                <w:vertAlign w:val="superscript"/>
              </w:rPr>
              <w:t>4</w:t>
            </w:r>
            <w:r w:rsidRPr="00314BE4">
              <w:rPr>
                <w:rFonts w:ascii="Arial Narrow" w:hAnsi="Arial Narrow"/>
                <w:sz w:val="20"/>
                <w:szCs w:val="20"/>
              </w:rPr>
              <w:fldChar w:fldCharType="end"/>
            </w:r>
          </w:p>
        </w:tc>
      </w:tr>
      <w:tr w:rsidR="0048719E" w:rsidRPr="009A0703" w:rsidTr="00314BE4">
        <w:tc>
          <w:tcPr>
            <w:tcW w:w="1525" w:type="dxa"/>
            <w:vMerge w:val="restart"/>
          </w:tcPr>
          <w:p w:rsidR="0048719E" w:rsidRPr="00314BE4" w:rsidRDefault="0048719E" w:rsidP="00850F49">
            <w:pPr>
              <w:pStyle w:val="tabletextsubmission"/>
              <w:jc w:val="left"/>
              <w:rPr>
                <w:rFonts w:ascii="Arial Narrow" w:hAnsi="Arial Narrow"/>
                <w:b/>
                <w:sz w:val="20"/>
                <w:szCs w:val="20"/>
              </w:rPr>
            </w:pPr>
            <w:r w:rsidRPr="00314BE4">
              <w:rPr>
                <w:rFonts w:ascii="Arial Narrow" w:hAnsi="Arial Narrow"/>
                <w:b/>
                <w:sz w:val="20"/>
                <w:szCs w:val="20"/>
              </w:rPr>
              <w:t>Study 263 (20120263)</w:t>
            </w:r>
          </w:p>
          <w:p w:rsidR="0048719E" w:rsidRPr="00314BE4" w:rsidRDefault="0048719E" w:rsidP="00850F49">
            <w:pPr>
              <w:pStyle w:val="tabletextsubmission"/>
              <w:jc w:val="left"/>
              <w:rPr>
                <w:rFonts w:ascii="Arial Narrow" w:hAnsi="Arial Narrow"/>
                <w:b/>
                <w:sz w:val="20"/>
                <w:szCs w:val="20"/>
              </w:rPr>
            </w:pPr>
            <w:proofErr w:type="spellStart"/>
            <w:r w:rsidRPr="00314BE4">
              <w:rPr>
                <w:rFonts w:ascii="Arial Narrow" w:hAnsi="Arial Narrow"/>
                <w:b/>
                <w:sz w:val="20"/>
                <w:szCs w:val="20"/>
              </w:rPr>
              <w:t>PsO</w:t>
            </w:r>
            <w:proofErr w:type="spellEnd"/>
          </w:p>
        </w:tc>
        <w:tc>
          <w:tcPr>
            <w:tcW w:w="4485" w:type="dxa"/>
          </w:tcPr>
          <w:p w:rsidR="0048719E" w:rsidRPr="00314BE4" w:rsidRDefault="0048719E" w:rsidP="00850F49">
            <w:pPr>
              <w:pStyle w:val="tabletextsubmission"/>
              <w:rPr>
                <w:rFonts w:ascii="Arial Narrow" w:hAnsi="Arial Narrow"/>
                <w:sz w:val="20"/>
                <w:szCs w:val="20"/>
              </w:rPr>
            </w:pPr>
            <w:r w:rsidRPr="00314BE4">
              <w:rPr>
                <w:rFonts w:ascii="Arial Narrow" w:hAnsi="Arial Narrow"/>
                <w:sz w:val="20"/>
                <w:szCs w:val="20"/>
              </w:rPr>
              <w:t xml:space="preserve">A phase 3, multicenter, randomised, double-blind study evaluating the efficacy and safety if ABP 501 compared with adalimumab in subjects with moderate to severe plaque psoriasis. </w:t>
            </w:r>
          </w:p>
        </w:tc>
        <w:tc>
          <w:tcPr>
            <w:tcW w:w="3006" w:type="dxa"/>
          </w:tcPr>
          <w:p w:rsidR="0048719E" w:rsidRPr="00314BE4" w:rsidRDefault="0048719E" w:rsidP="00314BE4">
            <w:pPr>
              <w:pStyle w:val="tabletextsubmission"/>
              <w:rPr>
                <w:rFonts w:ascii="Arial Narrow" w:hAnsi="Arial Narrow"/>
                <w:sz w:val="20"/>
                <w:szCs w:val="20"/>
              </w:rPr>
            </w:pPr>
            <w:r w:rsidRPr="00314BE4">
              <w:rPr>
                <w:rFonts w:ascii="Arial Narrow" w:hAnsi="Arial Narrow"/>
                <w:sz w:val="20"/>
                <w:szCs w:val="20"/>
              </w:rPr>
              <w:t>Clinical Study Report</w:t>
            </w:r>
          </w:p>
          <w:p w:rsidR="0048719E" w:rsidRPr="00314BE4" w:rsidRDefault="0048719E" w:rsidP="00314BE4">
            <w:pPr>
              <w:pStyle w:val="tabletextsubmission"/>
              <w:rPr>
                <w:rFonts w:ascii="Arial Narrow" w:hAnsi="Arial Narrow"/>
                <w:sz w:val="20"/>
                <w:szCs w:val="20"/>
              </w:rPr>
            </w:pPr>
            <w:r w:rsidRPr="00314BE4">
              <w:rPr>
                <w:rFonts w:ascii="Arial Narrow" w:hAnsi="Arial Narrow"/>
                <w:sz w:val="20"/>
                <w:szCs w:val="20"/>
              </w:rPr>
              <w:t>Report date: 22 July 2015</w:t>
            </w:r>
            <w:r w:rsidRPr="00314BE4">
              <w:rPr>
                <w:rFonts w:ascii="Arial Narrow" w:hAnsi="Arial Narrow"/>
                <w:sz w:val="20"/>
                <w:szCs w:val="20"/>
              </w:rPr>
              <w:fldChar w:fldCharType="begin"/>
            </w:r>
            <w:r w:rsidRPr="00314BE4">
              <w:rPr>
                <w:rFonts w:ascii="Arial Narrow" w:hAnsi="Arial Narrow"/>
                <w:sz w:val="20"/>
                <w:szCs w:val="20"/>
              </w:rPr>
              <w:instrText xml:space="preserve"> ADDIN EN.CITE &lt;EndNote&gt;&lt;Cite&gt;&lt;Author&gt;263&lt;/Author&gt;&lt;Year&gt;2015&lt;/Year&gt;&lt;RecNum&gt;23&lt;/RecNum&gt;&lt;DisplayText&gt;&lt;style face="superscript"&gt;5&lt;/style&gt;&lt;/DisplayText&gt;&lt;record&gt;&lt;rec-number&gt;23&lt;/rec-number&gt;&lt;foreign-keys&gt;&lt;key app="EN" db-id="50rrer2f32a59yevaf5xfrs2v0szx90zsvtx" timestamp="1523428245"&gt;23&lt;/key&gt;&lt;/foreign-keys&gt;&lt;ref-type name="Journal Article"&gt;17&lt;/ref-type&gt;&lt;contributors&gt;&lt;authors&gt;&lt;author&gt;Clinical Study Report 20120263&lt;/author&gt;&lt;/authors&gt;&lt;/contributors&gt;&lt;titles&gt;&lt;title&gt;A phase 3, multicenter, randomised, double-blind study evaluating the efficacy and safety if ABP 501 compared with adalimumab in subjects with moderate to severe plaque psoriasis&lt;/title&gt;&lt;/titles&gt;&lt;dates&gt;&lt;year&gt;2015&lt;/year&gt;&lt;/dates&gt;&lt;urls&gt;&lt;/urls&gt;&lt;/record&gt;&lt;/Cite&gt;&lt;/EndNote&gt;</w:instrText>
            </w:r>
            <w:r w:rsidRPr="00314BE4">
              <w:rPr>
                <w:rFonts w:ascii="Arial Narrow" w:hAnsi="Arial Narrow"/>
                <w:sz w:val="20"/>
                <w:szCs w:val="20"/>
              </w:rPr>
              <w:fldChar w:fldCharType="separate"/>
            </w:r>
            <w:r w:rsidRPr="00314BE4">
              <w:rPr>
                <w:rFonts w:ascii="Arial Narrow" w:hAnsi="Arial Narrow"/>
                <w:noProof/>
                <w:sz w:val="20"/>
                <w:szCs w:val="20"/>
                <w:vertAlign w:val="superscript"/>
              </w:rPr>
              <w:t>5</w:t>
            </w:r>
            <w:r w:rsidRPr="00314BE4">
              <w:rPr>
                <w:rFonts w:ascii="Arial Narrow" w:hAnsi="Arial Narrow"/>
                <w:sz w:val="20"/>
                <w:szCs w:val="20"/>
              </w:rPr>
              <w:fldChar w:fldCharType="end"/>
            </w:r>
          </w:p>
          <w:p w:rsidR="0048719E" w:rsidRPr="00314BE4" w:rsidRDefault="0048719E" w:rsidP="00314BE4">
            <w:pPr>
              <w:pStyle w:val="tabletextsubmission"/>
              <w:rPr>
                <w:rFonts w:ascii="Arial Narrow" w:hAnsi="Arial Narrow"/>
                <w:sz w:val="20"/>
                <w:szCs w:val="20"/>
              </w:rPr>
            </w:pPr>
          </w:p>
        </w:tc>
      </w:tr>
      <w:tr w:rsidR="0048719E" w:rsidRPr="009A0703" w:rsidTr="00314BE4">
        <w:tc>
          <w:tcPr>
            <w:tcW w:w="1525" w:type="dxa"/>
            <w:vMerge/>
          </w:tcPr>
          <w:p w:rsidR="0048719E" w:rsidRPr="00314BE4" w:rsidRDefault="0048719E" w:rsidP="00850F49">
            <w:pPr>
              <w:pStyle w:val="tabletextsubmission"/>
              <w:jc w:val="left"/>
              <w:rPr>
                <w:rFonts w:ascii="Arial Narrow" w:hAnsi="Arial Narrow"/>
                <w:sz w:val="20"/>
                <w:szCs w:val="20"/>
              </w:rPr>
            </w:pPr>
          </w:p>
        </w:tc>
        <w:tc>
          <w:tcPr>
            <w:tcW w:w="4485" w:type="dxa"/>
          </w:tcPr>
          <w:p w:rsidR="0048719E" w:rsidRPr="00314BE4" w:rsidRDefault="0048719E" w:rsidP="00850F49">
            <w:pPr>
              <w:pStyle w:val="tabletextsubmission"/>
              <w:rPr>
                <w:rFonts w:ascii="Arial Narrow" w:hAnsi="Arial Narrow"/>
                <w:noProof/>
                <w:sz w:val="20"/>
                <w:szCs w:val="20"/>
                <w:u w:val="single"/>
              </w:rPr>
            </w:pPr>
            <w:r w:rsidRPr="00314BE4">
              <w:rPr>
                <w:rFonts w:ascii="Arial Narrow" w:hAnsi="Arial Narrow"/>
                <w:noProof/>
                <w:sz w:val="20"/>
                <w:szCs w:val="20"/>
                <w:u w:val="single"/>
              </w:rPr>
              <w:t>Main publication</w:t>
            </w:r>
          </w:p>
          <w:p w:rsidR="0048719E" w:rsidRPr="00314BE4" w:rsidRDefault="0048719E" w:rsidP="00850F49">
            <w:pPr>
              <w:pStyle w:val="tabletextsubmission"/>
              <w:rPr>
                <w:rFonts w:ascii="Arial Narrow" w:hAnsi="Arial Narrow"/>
                <w:noProof/>
                <w:sz w:val="20"/>
                <w:szCs w:val="20"/>
              </w:rPr>
            </w:pPr>
            <w:r w:rsidRPr="00314BE4">
              <w:rPr>
                <w:rFonts w:ascii="Arial Narrow" w:hAnsi="Arial Narrow"/>
                <w:noProof/>
                <w:sz w:val="20"/>
                <w:szCs w:val="20"/>
              </w:rPr>
              <w:t xml:space="preserve">Papp K, Bachelez H, Costanzo A, et al. Clinical similarity of biosimilar ABP 501 to adalimumab in the treatment of patients with moderate to severe plaque psoriasis: A randomized, double-blind, multicenter, phase III study. </w:t>
            </w:r>
          </w:p>
        </w:tc>
        <w:tc>
          <w:tcPr>
            <w:tcW w:w="3006" w:type="dxa"/>
          </w:tcPr>
          <w:p w:rsidR="0048719E" w:rsidRPr="00314BE4" w:rsidRDefault="0048719E" w:rsidP="00850F49">
            <w:pPr>
              <w:pStyle w:val="tabletextsubmission"/>
              <w:rPr>
                <w:rFonts w:ascii="Arial Narrow" w:hAnsi="Arial Narrow"/>
                <w:sz w:val="20"/>
                <w:szCs w:val="20"/>
              </w:rPr>
            </w:pPr>
            <w:r w:rsidRPr="00314BE4">
              <w:rPr>
                <w:rFonts w:ascii="Arial Narrow" w:hAnsi="Arial Narrow"/>
                <w:sz w:val="20"/>
                <w:szCs w:val="20"/>
              </w:rPr>
              <w:t xml:space="preserve">J Am </w:t>
            </w:r>
            <w:proofErr w:type="spellStart"/>
            <w:r w:rsidRPr="00314BE4">
              <w:rPr>
                <w:rFonts w:ascii="Arial Narrow" w:hAnsi="Arial Narrow"/>
                <w:sz w:val="20"/>
                <w:szCs w:val="20"/>
              </w:rPr>
              <w:t>Acad</w:t>
            </w:r>
            <w:proofErr w:type="spellEnd"/>
            <w:r w:rsidRPr="00314BE4">
              <w:rPr>
                <w:rFonts w:ascii="Arial Narrow" w:hAnsi="Arial Narrow"/>
                <w:sz w:val="20"/>
                <w:szCs w:val="20"/>
              </w:rPr>
              <w:t xml:space="preserve"> </w:t>
            </w:r>
            <w:proofErr w:type="spellStart"/>
            <w:r w:rsidRPr="00314BE4">
              <w:rPr>
                <w:rFonts w:ascii="Arial Narrow" w:hAnsi="Arial Narrow"/>
                <w:sz w:val="20"/>
                <w:szCs w:val="20"/>
              </w:rPr>
              <w:t>Dermatol</w:t>
            </w:r>
            <w:proofErr w:type="spellEnd"/>
            <w:r w:rsidRPr="00314BE4">
              <w:rPr>
                <w:rFonts w:ascii="Arial Narrow" w:hAnsi="Arial Narrow"/>
                <w:sz w:val="20"/>
                <w:szCs w:val="20"/>
              </w:rPr>
              <w:t xml:space="preserve"> 2017</w:t>
            </w:r>
            <w:proofErr w:type="gramStart"/>
            <w:r w:rsidRPr="00314BE4">
              <w:rPr>
                <w:rFonts w:ascii="Arial Narrow" w:hAnsi="Arial Narrow"/>
                <w:sz w:val="20"/>
                <w:szCs w:val="20"/>
              </w:rPr>
              <w:t>;76:1093</w:t>
            </w:r>
            <w:proofErr w:type="gramEnd"/>
            <w:r w:rsidRPr="00314BE4">
              <w:rPr>
                <w:rFonts w:ascii="Arial Narrow" w:hAnsi="Arial Narrow"/>
                <w:sz w:val="20"/>
                <w:szCs w:val="20"/>
              </w:rPr>
              <w:t>-102</w:t>
            </w:r>
            <w:r w:rsidRPr="00314BE4">
              <w:rPr>
                <w:rFonts w:ascii="Arial Narrow" w:hAnsi="Arial Narrow"/>
                <w:sz w:val="20"/>
                <w:szCs w:val="20"/>
              </w:rPr>
              <w:fldChar w:fldCharType="begin">
                <w:fldData xml:space="preserve">PEVuZE5vdGU+PENpdGU+PEF1dGhvcj5QYXBwPC9BdXRob3I+PFllYXI+MjAxNzwvWWVhcj48UmVj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</w:fldData>
              </w:fldChar>
            </w:r>
            <w:r w:rsidRPr="00314BE4">
              <w:rPr>
                <w:rFonts w:ascii="Arial Narrow" w:hAnsi="Arial Narrow"/>
                <w:sz w:val="20"/>
                <w:szCs w:val="20"/>
              </w:rPr>
              <w:instrText xml:space="preserve"> ADDIN EN.CITE </w:instrText>
            </w:r>
            <w:r w:rsidRPr="00314BE4">
              <w:rPr>
                <w:rFonts w:ascii="Arial Narrow" w:hAnsi="Arial Narrow"/>
                <w:sz w:val="20"/>
                <w:szCs w:val="20"/>
              </w:rPr>
              <w:fldChar w:fldCharType="begin">
                <w:fldData xml:space="preserve">PEVuZE5vdGU+PENpdGU+PEF1dGhvcj5QYXBwPC9BdXRob3I+PFllYXI+MjAxNzwvWWVhcj48UmVj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</w:fldData>
              </w:fldChar>
            </w:r>
            <w:r w:rsidRPr="00314BE4">
              <w:rPr>
                <w:rFonts w:ascii="Arial Narrow" w:hAnsi="Arial Narrow"/>
                <w:sz w:val="20"/>
                <w:szCs w:val="20"/>
              </w:rPr>
              <w:instrText xml:space="preserve"> ADDIN EN.CITE.DATA </w:instrText>
            </w:r>
            <w:r w:rsidRPr="00314BE4">
              <w:rPr>
                <w:rFonts w:ascii="Arial Narrow" w:hAnsi="Arial Narrow"/>
                <w:sz w:val="20"/>
                <w:szCs w:val="20"/>
              </w:rPr>
            </w:r>
            <w:r w:rsidRPr="00314BE4">
              <w:rPr>
                <w:rFonts w:ascii="Arial Narrow" w:hAnsi="Arial Narrow"/>
                <w:sz w:val="20"/>
                <w:szCs w:val="20"/>
              </w:rPr>
              <w:fldChar w:fldCharType="end"/>
            </w:r>
            <w:r w:rsidRPr="00314BE4">
              <w:rPr>
                <w:rFonts w:ascii="Arial Narrow" w:hAnsi="Arial Narrow"/>
                <w:sz w:val="20"/>
                <w:szCs w:val="20"/>
              </w:rPr>
            </w:r>
            <w:r w:rsidRPr="00314BE4">
              <w:rPr>
                <w:rFonts w:ascii="Arial Narrow" w:hAnsi="Arial Narrow"/>
                <w:sz w:val="20"/>
                <w:szCs w:val="20"/>
              </w:rPr>
              <w:fldChar w:fldCharType="separate"/>
            </w:r>
            <w:r w:rsidRPr="00314BE4">
              <w:rPr>
                <w:rFonts w:ascii="Arial Narrow" w:hAnsi="Arial Narrow"/>
                <w:noProof/>
                <w:sz w:val="20"/>
                <w:szCs w:val="20"/>
                <w:vertAlign w:val="superscript"/>
              </w:rPr>
              <w:t>6</w:t>
            </w:r>
            <w:r w:rsidRPr="00314BE4">
              <w:rPr>
                <w:rFonts w:ascii="Arial Narrow" w:hAnsi="Arial Narrow"/>
                <w:sz w:val="20"/>
                <w:szCs w:val="20"/>
              </w:rPr>
              <w:fldChar w:fldCharType="end"/>
            </w:r>
            <w:r w:rsidRPr="00314BE4">
              <w:rPr>
                <w:rFonts w:ascii="Arial Narrow" w:hAnsi="Arial Narrow"/>
                <w:sz w:val="20"/>
                <w:szCs w:val="20"/>
              </w:rPr>
              <w:t>.</w:t>
            </w:r>
          </w:p>
        </w:tc>
      </w:tr>
      <w:tr w:rsidR="0048719E" w:rsidRPr="009A0703" w:rsidTr="00314BE4">
        <w:tc>
          <w:tcPr>
            <w:tcW w:w="1525" w:type="dxa"/>
            <w:vMerge/>
          </w:tcPr>
          <w:p w:rsidR="0048719E" w:rsidRPr="00314BE4" w:rsidRDefault="0048719E" w:rsidP="00850F49">
            <w:pPr>
              <w:pStyle w:val="tabletextsubmission"/>
              <w:jc w:val="left"/>
              <w:rPr>
                <w:rFonts w:ascii="Arial Narrow" w:hAnsi="Arial Narrow"/>
                <w:sz w:val="20"/>
                <w:szCs w:val="20"/>
              </w:rPr>
            </w:pPr>
          </w:p>
        </w:tc>
        <w:tc>
          <w:tcPr>
            <w:tcW w:w="4485" w:type="dxa"/>
          </w:tcPr>
          <w:p w:rsidR="0048719E" w:rsidRPr="00314BE4" w:rsidRDefault="0048719E" w:rsidP="00850F49">
            <w:pPr>
              <w:pStyle w:val="EndNoteBibliography"/>
              <w:rPr>
                <w:rFonts w:ascii="Arial Narrow" w:hAnsi="Arial Narrow"/>
                <w:sz w:val="20"/>
                <w:szCs w:val="20"/>
              </w:rPr>
            </w:pPr>
            <w:r w:rsidRPr="00314BE4">
              <w:rPr>
                <w:rFonts w:ascii="Arial Narrow" w:eastAsiaTheme="minorEastAsia" w:hAnsi="Arial Narrow" w:cstheme="minorBidi"/>
                <w:sz w:val="20"/>
                <w:szCs w:val="20"/>
                <w:lang w:eastAsia="ja-JP"/>
              </w:rPr>
              <w:t xml:space="preserve">Papp K, Bachelez H, Costanzo A, et al. Clinical similarity of the biosimilar ABP 501 compared with adalimumab after single transition: long-term results from a randomized controlled, double-blind, 52-week, phase III trial in patients with moderate-to-severe plaque psoriasis. </w:t>
            </w:r>
          </w:p>
        </w:tc>
        <w:tc>
          <w:tcPr>
            <w:tcW w:w="3006" w:type="dxa"/>
          </w:tcPr>
          <w:p w:rsidR="0048719E" w:rsidRPr="00314BE4" w:rsidRDefault="0048719E" w:rsidP="00314BE4">
            <w:pPr>
              <w:pStyle w:val="tabletextsubmission"/>
              <w:rPr>
                <w:rFonts w:ascii="Arial Narrow" w:hAnsi="Arial Narrow"/>
                <w:sz w:val="20"/>
                <w:szCs w:val="20"/>
              </w:rPr>
            </w:pPr>
            <w:r w:rsidRPr="00314BE4">
              <w:rPr>
                <w:rFonts w:ascii="Arial Narrow" w:hAnsi="Arial Narrow" w:cs="Segoe UI"/>
                <w:sz w:val="20"/>
                <w:szCs w:val="20"/>
              </w:rPr>
              <w:t xml:space="preserve">Br J </w:t>
            </w:r>
            <w:proofErr w:type="spellStart"/>
            <w:r w:rsidRPr="00314BE4">
              <w:rPr>
                <w:rFonts w:ascii="Arial Narrow" w:hAnsi="Arial Narrow" w:cs="Segoe UI"/>
                <w:sz w:val="20"/>
                <w:szCs w:val="20"/>
              </w:rPr>
              <w:t>Dermatol</w:t>
            </w:r>
            <w:proofErr w:type="spellEnd"/>
            <w:r w:rsidRPr="00314BE4">
              <w:rPr>
                <w:rFonts w:ascii="Arial Narrow" w:hAnsi="Arial Narrow" w:cs="Segoe UI"/>
                <w:sz w:val="20"/>
                <w:szCs w:val="20"/>
              </w:rPr>
              <w:t xml:space="preserve"> </w:t>
            </w:r>
            <w:r w:rsidRPr="00314BE4">
              <w:rPr>
                <w:rFonts w:ascii="Arial Narrow" w:hAnsi="Arial Narrow"/>
                <w:noProof/>
                <w:sz w:val="20"/>
                <w:szCs w:val="20"/>
              </w:rPr>
              <w:t>2017;177:1562-74</w:t>
            </w:r>
            <w:r w:rsidRPr="00314BE4">
              <w:rPr>
                <w:rFonts w:ascii="Arial Narrow" w:hAnsi="Arial Narrow"/>
                <w:noProof/>
                <w:sz w:val="20"/>
                <w:szCs w:val="20"/>
              </w:rPr>
              <w:fldChar w:fldCharType="begin">
                <w:fldData xml:space="preserve">PEVuZE5vdGU+PENpdGU+PEF1dGhvcj5QYXBwPC9BdXRob3I+PFllYXI+MjAxNzwvWWVhcj48UmVj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</w:fldData>
              </w:fldChar>
            </w:r>
            <w:r w:rsidRPr="00314BE4">
              <w:rPr>
                <w:rFonts w:ascii="Arial Narrow" w:hAnsi="Arial Narrow"/>
                <w:noProof/>
                <w:sz w:val="20"/>
                <w:szCs w:val="20"/>
              </w:rPr>
              <w:instrText xml:space="preserve"> ADDIN EN.CITE </w:instrText>
            </w:r>
            <w:r w:rsidRPr="00314BE4">
              <w:rPr>
                <w:rFonts w:ascii="Arial Narrow" w:hAnsi="Arial Narrow"/>
                <w:noProof/>
                <w:sz w:val="20"/>
                <w:szCs w:val="20"/>
              </w:rPr>
              <w:fldChar w:fldCharType="begin">
                <w:fldData xml:space="preserve">PEVuZE5vdGU+PENpdGU+PEF1dGhvcj5QYXBwPC9BdXRob3I+PFllYXI+MjAxNzwvWWVhcj48UmVj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</w:fldData>
              </w:fldChar>
            </w:r>
            <w:r w:rsidRPr="00314BE4">
              <w:rPr>
                <w:rFonts w:ascii="Arial Narrow" w:hAnsi="Arial Narrow"/>
                <w:noProof/>
                <w:sz w:val="20"/>
                <w:szCs w:val="20"/>
              </w:rPr>
              <w:instrText xml:space="preserve"> ADDIN EN.CITE.DATA </w:instrText>
            </w:r>
            <w:r w:rsidRPr="00314BE4">
              <w:rPr>
                <w:rFonts w:ascii="Arial Narrow" w:hAnsi="Arial Narrow"/>
                <w:noProof/>
                <w:sz w:val="20"/>
                <w:szCs w:val="20"/>
              </w:rPr>
            </w:r>
            <w:r w:rsidRPr="00314BE4">
              <w:rPr>
                <w:rFonts w:ascii="Arial Narrow" w:hAnsi="Arial Narrow"/>
                <w:noProof/>
                <w:sz w:val="20"/>
                <w:szCs w:val="20"/>
              </w:rPr>
              <w:fldChar w:fldCharType="end"/>
            </w:r>
            <w:r w:rsidRPr="00314BE4">
              <w:rPr>
                <w:rFonts w:ascii="Arial Narrow" w:hAnsi="Arial Narrow"/>
                <w:noProof/>
                <w:sz w:val="20"/>
                <w:szCs w:val="20"/>
              </w:rPr>
            </w:r>
            <w:r w:rsidRPr="00314BE4">
              <w:rPr>
                <w:rFonts w:ascii="Arial Narrow" w:hAnsi="Arial Narrow"/>
                <w:noProof/>
                <w:sz w:val="20"/>
                <w:szCs w:val="20"/>
              </w:rPr>
              <w:fldChar w:fldCharType="separate"/>
            </w:r>
            <w:r w:rsidRPr="00314BE4">
              <w:rPr>
                <w:rFonts w:ascii="Arial Narrow" w:hAnsi="Arial Narrow"/>
                <w:noProof/>
                <w:sz w:val="20"/>
                <w:szCs w:val="20"/>
                <w:vertAlign w:val="superscript"/>
              </w:rPr>
              <w:t>7</w:t>
            </w:r>
            <w:r w:rsidRPr="00314BE4">
              <w:rPr>
                <w:rFonts w:ascii="Arial Narrow" w:hAnsi="Arial Narrow"/>
                <w:noProof/>
                <w:sz w:val="20"/>
                <w:szCs w:val="20"/>
              </w:rPr>
              <w:fldChar w:fldCharType="end"/>
            </w:r>
            <w:r w:rsidRPr="00314BE4">
              <w:rPr>
                <w:rFonts w:ascii="Arial Narrow" w:hAnsi="Arial Narrow"/>
                <w:noProof/>
                <w:sz w:val="20"/>
                <w:szCs w:val="20"/>
              </w:rPr>
              <w:t>.</w:t>
            </w:r>
          </w:p>
        </w:tc>
      </w:tr>
      <w:tr w:rsidR="00314BE4" w:rsidRPr="00A160D2" w:rsidTr="00314BE4">
        <w:tc>
          <w:tcPr>
            <w:tcW w:w="9016" w:type="dxa"/>
            <w:gridSpan w:val="3"/>
          </w:tcPr>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Supporting studies</w:t>
            </w:r>
          </w:p>
        </w:tc>
      </w:tr>
      <w:tr w:rsidR="00314BE4" w:rsidRPr="009A0703" w:rsidTr="00314BE4">
        <w:tc>
          <w:tcPr>
            <w:tcW w:w="1525" w:type="dxa"/>
          </w:tcPr>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Study 258 (20130258)</w:t>
            </w:r>
          </w:p>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Open-label extension, RA</w:t>
            </w:r>
          </w:p>
        </w:tc>
        <w:tc>
          <w:tcPr>
            <w:tcW w:w="4485" w:type="dxa"/>
          </w:tcPr>
          <w:p w:rsidR="00314BE4" w:rsidRPr="00314BE4" w:rsidRDefault="00314BE4" w:rsidP="00850F49">
            <w:pPr>
              <w:pStyle w:val="tabletextsubmission"/>
              <w:rPr>
                <w:rFonts w:ascii="Arial Narrow" w:hAnsi="Arial Narrow"/>
                <w:sz w:val="20"/>
                <w:szCs w:val="20"/>
              </w:rPr>
            </w:pPr>
            <w:bookmarkStart w:id="1" w:name="_ENREF_4"/>
            <w:r w:rsidRPr="00314BE4">
              <w:rPr>
                <w:rFonts w:ascii="Arial Narrow" w:hAnsi="Arial Narrow"/>
                <w:sz w:val="20"/>
                <w:szCs w:val="20"/>
              </w:rPr>
              <w:t>An open-label single-arm extension study to evaluate the long-term safety and efficacy of ABP 501 in subjects with moderate to severe rheumatoid arthritis</w:t>
            </w:r>
          </w:p>
          <w:p w:rsidR="00314BE4" w:rsidRPr="00314BE4" w:rsidRDefault="00314BE4" w:rsidP="00850F49">
            <w:pPr>
              <w:pStyle w:val="tabletextsubmission"/>
              <w:rPr>
                <w:rFonts w:ascii="Arial Narrow" w:hAnsi="Arial Narrow"/>
                <w:sz w:val="20"/>
                <w:szCs w:val="20"/>
              </w:rPr>
            </w:pPr>
          </w:p>
          <w:p w:rsidR="00314BE4" w:rsidRPr="00314BE4" w:rsidRDefault="00314BE4" w:rsidP="00850F49">
            <w:pPr>
              <w:pStyle w:val="tabletextsubmission"/>
              <w:rPr>
                <w:rFonts w:ascii="Arial Narrow" w:hAnsi="Arial Narrow"/>
                <w:sz w:val="20"/>
                <w:szCs w:val="20"/>
                <w:u w:val="single"/>
              </w:rPr>
            </w:pPr>
            <w:r w:rsidRPr="00314BE4">
              <w:rPr>
                <w:rFonts w:ascii="Arial Narrow" w:hAnsi="Arial Narrow"/>
                <w:sz w:val="20"/>
                <w:szCs w:val="20"/>
                <w:u w:val="single"/>
              </w:rPr>
              <w:t>Main Publication</w:t>
            </w:r>
          </w:p>
          <w:p w:rsidR="00314BE4" w:rsidRPr="00314BE4" w:rsidRDefault="00314BE4" w:rsidP="00850F49">
            <w:pPr>
              <w:pStyle w:val="tabletextsubmission"/>
              <w:rPr>
                <w:rFonts w:ascii="Arial Narrow" w:hAnsi="Arial Narrow"/>
                <w:sz w:val="20"/>
                <w:szCs w:val="20"/>
              </w:rPr>
            </w:pPr>
            <w:r w:rsidRPr="00314BE4">
              <w:rPr>
                <w:rFonts w:ascii="Arial Narrow" w:hAnsi="Arial Narrow"/>
                <w:sz w:val="20"/>
                <w:szCs w:val="20"/>
              </w:rPr>
              <w:t xml:space="preserve">Cohen S, </w:t>
            </w:r>
            <w:proofErr w:type="spellStart"/>
            <w:r w:rsidRPr="00314BE4">
              <w:rPr>
                <w:rFonts w:ascii="Arial Narrow" w:hAnsi="Arial Narrow"/>
                <w:sz w:val="20"/>
                <w:szCs w:val="20"/>
              </w:rPr>
              <w:t>Pablos</w:t>
            </w:r>
            <w:proofErr w:type="spellEnd"/>
            <w:r w:rsidRPr="00314BE4">
              <w:rPr>
                <w:rFonts w:ascii="Arial Narrow" w:hAnsi="Arial Narrow"/>
                <w:sz w:val="20"/>
                <w:szCs w:val="20"/>
              </w:rPr>
              <w:t xml:space="preserve"> JL, </w:t>
            </w:r>
            <w:proofErr w:type="gramStart"/>
            <w:r w:rsidRPr="00314BE4">
              <w:rPr>
                <w:rFonts w:ascii="Arial Narrow" w:hAnsi="Arial Narrow"/>
                <w:sz w:val="20"/>
                <w:szCs w:val="20"/>
              </w:rPr>
              <w:t>Wang</w:t>
            </w:r>
            <w:proofErr w:type="gramEnd"/>
            <w:r w:rsidRPr="00314BE4">
              <w:rPr>
                <w:rFonts w:ascii="Arial Narrow" w:hAnsi="Arial Narrow"/>
                <w:sz w:val="20"/>
                <w:szCs w:val="20"/>
              </w:rPr>
              <w:t xml:space="preserve"> H, et al. ABP 501 biosimilar to adalimumab: Final safety, immunogenicity, and efficacy results from an open-label extension study.</w:t>
            </w:r>
            <w:bookmarkEnd w:id="1"/>
          </w:p>
          <w:p w:rsidR="00314BE4" w:rsidRPr="00314BE4" w:rsidRDefault="00314BE4" w:rsidP="00850F49">
            <w:pPr>
              <w:pStyle w:val="tabletextsubmission"/>
              <w:rPr>
                <w:rFonts w:ascii="Arial Narrow" w:hAnsi="Arial Narrow"/>
                <w:sz w:val="20"/>
                <w:szCs w:val="20"/>
              </w:rPr>
            </w:pPr>
          </w:p>
        </w:tc>
        <w:tc>
          <w:tcPr>
            <w:tcW w:w="3006" w:type="dxa"/>
          </w:tcPr>
          <w:p w:rsidR="00314BE4" w:rsidRPr="00314BE4" w:rsidRDefault="00314BE4" w:rsidP="00314BE4">
            <w:pPr>
              <w:pStyle w:val="tabletextsubmission"/>
              <w:rPr>
                <w:rFonts w:ascii="Arial Narrow" w:hAnsi="Arial Narrow"/>
                <w:sz w:val="20"/>
                <w:szCs w:val="20"/>
              </w:rPr>
            </w:pPr>
            <w:r w:rsidRPr="00314BE4">
              <w:rPr>
                <w:rFonts w:ascii="Arial Narrow" w:hAnsi="Arial Narrow"/>
                <w:sz w:val="20"/>
                <w:szCs w:val="20"/>
              </w:rPr>
              <w:t>Clinical Study Report</w:t>
            </w:r>
          </w:p>
          <w:p w:rsidR="00314BE4" w:rsidRDefault="00314BE4" w:rsidP="00314BE4">
            <w:pPr>
              <w:pStyle w:val="tabletextsubmission"/>
              <w:rPr>
                <w:rFonts w:ascii="Arial Narrow" w:hAnsi="Arial Narrow"/>
                <w:sz w:val="20"/>
                <w:szCs w:val="20"/>
              </w:rPr>
            </w:pPr>
            <w:r w:rsidRPr="00314BE4">
              <w:rPr>
                <w:rFonts w:ascii="Arial Narrow" w:hAnsi="Arial Narrow"/>
                <w:sz w:val="20"/>
                <w:szCs w:val="20"/>
              </w:rPr>
              <w:t>Report date: 5 October 2016</w:t>
            </w:r>
            <w:r w:rsidRPr="00314BE4">
              <w:rPr>
                <w:rFonts w:ascii="Arial Narrow" w:hAnsi="Arial Narrow"/>
                <w:sz w:val="20"/>
                <w:szCs w:val="20"/>
              </w:rPr>
              <w:fldChar w:fldCharType="begin"/>
            </w:r>
            <w:r w:rsidRPr="00314BE4">
              <w:rPr>
                <w:rFonts w:ascii="Arial Narrow" w:hAnsi="Arial Narrow"/>
                <w:sz w:val="20"/>
                <w:szCs w:val="20"/>
              </w:rPr>
              <w:instrText xml:space="preserve"> ADDIN EN.CITE &lt;EndNote&gt;&lt;Cite&gt;&lt;Author&gt;20130258&lt;/Author&gt;&lt;Year&gt;2016&lt;/Year&gt;&lt;RecNum&gt;24&lt;/RecNum&gt;&lt;DisplayText&gt;&lt;style face="superscript"&gt;12&lt;/style&gt;&lt;/DisplayText&gt;&lt;record&gt;&lt;rec-number&gt;24&lt;/rec-number&gt;&lt;foreign-keys&gt;&lt;key app="EN" db-id="50rrer2f32a59yevaf5xfrs2v0szx90zsvtx" timestamp="1523433895"&gt;24&lt;/key&gt;&lt;/foreign-keys&gt;&lt;ref-type name="Report"&gt;27&lt;/ref-type&gt;&lt;contributors&gt;&lt;authors&gt;&lt;author&gt;Clinical Study Report 20130258&lt;/author&gt;&lt;/authors&gt;&lt;/contributors&gt;&lt;titles&gt;&lt;title&gt;An open-label single-arm extension study to evaluate the long-term safety and efficacy of ABP 501 in subjects with moderate to severe rheumatoid arthritis&lt;/title&gt;&lt;/titles&gt;&lt;dates&gt;&lt;year&gt;2016&lt;/year&gt;&lt;/dates&gt;&lt;urls&gt;&lt;/urls&gt;&lt;/record&gt;&lt;/Cite&gt;&lt;/EndNote&gt;</w:instrText>
            </w:r>
            <w:r w:rsidRPr="00314BE4">
              <w:rPr>
                <w:rFonts w:ascii="Arial Narrow" w:hAnsi="Arial Narrow"/>
                <w:sz w:val="20"/>
                <w:szCs w:val="20"/>
              </w:rPr>
              <w:fldChar w:fldCharType="separate"/>
            </w:r>
            <w:r w:rsidRPr="00314BE4">
              <w:rPr>
                <w:rFonts w:ascii="Arial Narrow" w:hAnsi="Arial Narrow"/>
                <w:noProof/>
                <w:sz w:val="20"/>
                <w:szCs w:val="20"/>
                <w:vertAlign w:val="superscript"/>
              </w:rPr>
              <w:t>12</w:t>
            </w:r>
            <w:r w:rsidRPr="00314BE4">
              <w:rPr>
                <w:rFonts w:ascii="Arial Narrow" w:hAnsi="Arial Narrow"/>
                <w:sz w:val="20"/>
                <w:szCs w:val="20"/>
              </w:rPr>
              <w:fldChar w:fldCharType="end"/>
            </w:r>
          </w:p>
          <w:p w:rsidR="009B2664" w:rsidRPr="00314BE4" w:rsidRDefault="009B2664" w:rsidP="00314BE4">
            <w:pPr>
              <w:pStyle w:val="tabletextsubmission"/>
              <w:rPr>
                <w:rFonts w:ascii="Arial Narrow" w:hAnsi="Arial Narrow"/>
                <w:sz w:val="20"/>
                <w:szCs w:val="20"/>
              </w:rPr>
            </w:pPr>
          </w:p>
          <w:p w:rsidR="00314BE4" w:rsidRPr="00314BE4" w:rsidRDefault="00314BE4" w:rsidP="00314BE4">
            <w:pPr>
              <w:pStyle w:val="tabletextsubmission"/>
              <w:rPr>
                <w:rFonts w:ascii="Arial Narrow" w:hAnsi="Arial Narrow"/>
                <w:sz w:val="20"/>
                <w:szCs w:val="20"/>
              </w:rPr>
            </w:pPr>
            <w:r w:rsidRPr="00314BE4">
              <w:rPr>
                <w:rFonts w:ascii="Arial Narrow" w:hAnsi="Arial Narrow"/>
                <w:sz w:val="20"/>
                <w:szCs w:val="20"/>
              </w:rPr>
              <w:t>Poster presented at: European League Against Rheumatism Congress; Madrid, Spain; June 14-17, 2017b</w:t>
            </w:r>
            <w:r w:rsidRPr="00314BE4">
              <w:rPr>
                <w:rFonts w:ascii="Arial Narrow" w:hAnsi="Arial Narrow"/>
                <w:sz w:val="20"/>
                <w:szCs w:val="20"/>
              </w:rPr>
              <w:fldChar w:fldCharType="begin"/>
            </w:r>
            <w:r w:rsidRPr="00314BE4">
              <w:rPr>
                <w:rFonts w:ascii="Arial Narrow" w:hAnsi="Arial Narrow"/>
                <w:sz w:val="20"/>
                <w:szCs w:val="20"/>
              </w:rPr>
              <w:instrText xml:space="preserve"> ADDIN EN.CITE &lt;EndNote&gt;&lt;Cite&gt;&lt;Author&gt;Cohen S&lt;/Author&gt;&lt;Year&gt;2016&lt;/Year&gt;&lt;RecNum&gt;22&lt;/RecNum&gt;&lt;DisplayText&gt;&lt;style face="superscript"&gt;13&lt;/style&gt;&lt;/DisplayText&gt;&lt;record&gt;&lt;rec-number&gt;22&lt;/rec-number&gt;&lt;foreign-keys&gt;&lt;key app="EN" db-id="50rrer2f32a59yevaf5xfrs2v0szx90zsvtx" timestamp="1523428115"&gt;22&lt;/key&gt;&lt;/foreign-keys&gt;&lt;ref-type name="Journal Article"&gt;17&lt;/ref-type&gt;&lt;contributors&gt;&lt;authors&gt;&lt;author&gt;Cohen S, Pablos JL, Zhang N, et al.&lt;/author&gt;&lt;/authors&gt;&lt;/contributors&gt;&lt;titles&gt;&lt;title&gt;ABP 501 Long-Term Safety/Efficacy: Interim Results from an Open-Label Extension Study&lt;/title&gt;&lt;secondary-title&gt;Arthritis Rheumatol &lt;/secondary-title&gt;&lt;/titles&gt;&lt;periodical&gt;&lt;full-title&gt;Arthritis Rheumatol&lt;/full-title&gt;&lt;/periodical&gt;&lt;volume&gt;68&lt;/volume&gt;&lt;number&gt;suppl 10&lt;/number&gt;&lt;dates&gt;&lt;year&gt;2016&lt;/year&gt;&lt;/dates&gt;&lt;urls&gt;&lt;related-urls&gt;&lt;url&gt;&lt;style face="underline" font="default" size="100%"&gt;http://acrabstracts.org/abstract/abp-501-long-term-safetyefficacy-interim-results-from-an-open-label-extension-study/&lt;/style&gt;&lt;/url&gt;&lt;/related-urls&gt;&lt;/urls&gt;&lt;/record&gt;&lt;/Cite&gt;&lt;/EndNote&gt;</w:instrText>
            </w:r>
            <w:r w:rsidRPr="00314BE4">
              <w:rPr>
                <w:rFonts w:ascii="Arial Narrow" w:hAnsi="Arial Narrow"/>
                <w:sz w:val="20"/>
                <w:szCs w:val="20"/>
              </w:rPr>
              <w:fldChar w:fldCharType="separate"/>
            </w:r>
            <w:r w:rsidRPr="00314BE4">
              <w:rPr>
                <w:rFonts w:ascii="Arial Narrow" w:hAnsi="Arial Narrow"/>
                <w:noProof/>
                <w:sz w:val="20"/>
                <w:szCs w:val="20"/>
                <w:vertAlign w:val="superscript"/>
              </w:rPr>
              <w:t>13</w:t>
            </w:r>
            <w:r w:rsidRPr="00314BE4">
              <w:rPr>
                <w:rFonts w:ascii="Arial Narrow" w:hAnsi="Arial Narrow"/>
                <w:sz w:val="20"/>
                <w:szCs w:val="20"/>
              </w:rPr>
              <w:fldChar w:fldCharType="end"/>
            </w:r>
          </w:p>
        </w:tc>
      </w:tr>
      <w:tr w:rsidR="00314BE4" w:rsidRPr="009A0703" w:rsidTr="00314BE4">
        <w:tc>
          <w:tcPr>
            <w:tcW w:w="1525" w:type="dxa"/>
          </w:tcPr>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 xml:space="preserve">Study 217 </w:t>
            </w:r>
          </w:p>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(Study 20110217)</w:t>
            </w:r>
          </w:p>
          <w:p w:rsidR="00314BE4" w:rsidRPr="00314BE4" w:rsidRDefault="00314BE4" w:rsidP="00850F49">
            <w:pPr>
              <w:pStyle w:val="tabletextsubmission"/>
              <w:jc w:val="left"/>
              <w:rPr>
                <w:rFonts w:ascii="Arial Narrow" w:hAnsi="Arial Narrow"/>
                <w:b/>
                <w:sz w:val="20"/>
                <w:szCs w:val="20"/>
              </w:rPr>
            </w:pPr>
            <w:r w:rsidRPr="00314BE4">
              <w:rPr>
                <w:rFonts w:ascii="Arial Narrow" w:hAnsi="Arial Narrow"/>
                <w:b/>
                <w:sz w:val="20"/>
                <w:szCs w:val="20"/>
              </w:rPr>
              <w:t>PK Study</w:t>
            </w:r>
          </w:p>
          <w:p w:rsidR="00314BE4" w:rsidRPr="00314BE4" w:rsidRDefault="00314BE4" w:rsidP="00850F49">
            <w:pPr>
              <w:pStyle w:val="tabletextsubmission"/>
              <w:jc w:val="left"/>
              <w:rPr>
                <w:rFonts w:ascii="Arial Narrow" w:hAnsi="Arial Narrow"/>
                <w:b/>
                <w:sz w:val="20"/>
                <w:szCs w:val="20"/>
              </w:rPr>
            </w:pPr>
          </w:p>
        </w:tc>
        <w:tc>
          <w:tcPr>
            <w:tcW w:w="4485" w:type="dxa"/>
          </w:tcPr>
          <w:p w:rsidR="00314BE4" w:rsidRPr="00314BE4" w:rsidRDefault="00314BE4" w:rsidP="00850F49">
            <w:pPr>
              <w:pStyle w:val="tabletextsubmission"/>
              <w:rPr>
                <w:rFonts w:ascii="Arial Narrow" w:hAnsi="Arial Narrow"/>
                <w:sz w:val="20"/>
                <w:szCs w:val="20"/>
              </w:rPr>
            </w:pPr>
            <w:r w:rsidRPr="00314BE4">
              <w:rPr>
                <w:rFonts w:ascii="Arial Narrow" w:hAnsi="Arial Narrow"/>
                <w:sz w:val="20"/>
                <w:szCs w:val="20"/>
              </w:rPr>
              <w:t>A Randomized, Single-Blind, Single-Dose, 3-Arm, Parallel-Group Study to Determine the Pharmacokinetic Equivalence of ABP 501 and Adalimumab</w:t>
            </w:r>
          </w:p>
          <w:p w:rsidR="00314BE4" w:rsidRPr="00314BE4" w:rsidRDefault="00314BE4" w:rsidP="00850F49">
            <w:pPr>
              <w:pStyle w:val="tabletextsubmission"/>
              <w:rPr>
                <w:rFonts w:ascii="Arial Narrow" w:hAnsi="Arial Narrow"/>
                <w:sz w:val="20"/>
                <w:szCs w:val="20"/>
              </w:rPr>
            </w:pPr>
            <w:r w:rsidRPr="00314BE4">
              <w:rPr>
                <w:rFonts w:ascii="Arial Narrow" w:hAnsi="Arial Narrow"/>
                <w:sz w:val="20"/>
                <w:szCs w:val="20"/>
              </w:rPr>
              <w:t>(Humira®) in Healthy Adult Subjects</w:t>
            </w:r>
          </w:p>
          <w:p w:rsidR="00314BE4" w:rsidRPr="00314BE4" w:rsidRDefault="00314BE4" w:rsidP="00850F49">
            <w:pPr>
              <w:pStyle w:val="tabletextsubmission"/>
              <w:rPr>
                <w:rFonts w:ascii="Arial Narrow" w:hAnsi="Arial Narrow"/>
                <w:sz w:val="20"/>
                <w:szCs w:val="20"/>
                <w:u w:val="single"/>
              </w:rPr>
            </w:pPr>
          </w:p>
          <w:p w:rsidR="00314BE4" w:rsidRPr="00314BE4" w:rsidRDefault="00314BE4" w:rsidP="00850F49">
            <w:pPr>
              <w:pStyle w:val="tabletextsubmission"/>
              <w:rPr>
                <w:rFonts w:ascii="Arial Narrow" w:hAnsi="Arial Narrow"/>
                <w:sz w:val="20"/>
                <w:szCs w:val="20"/>
                <w:u w:val="single"/>
              </w:rPr>
            </w:pPr>
            <w:r w:rsidRPr="00314BE4">
              <w:rPr>
                <w:rFonts w:ascii="Arial Narrow" w:hAnsi="Arial Narrow"/>
                <w:sz w:val="20"/>
                <w:szCs w:val="20"/>
                <w:u w:val="single"/>
              </w:rPr>
              <w:t>Main publication</w:t>
            </w:r>
          </w:p>
          <w:p w:rsidR="00314BE4" w:rsidRPr="00314BE4" w:rsidRDefault="00314BE4" w:rsidP="00850F49">
            <w:pPr>
              <w:pStyle w:val="tabletextsubmission"/>
              <w:rPr>
                <w:rFonts w:ascii="Arial Narrow" w:hAnsi="Arial Narrow"/>
                <w:sz w:val="20"/>
                <w:szCs w:val="20"/>
              </w:rPr>
            </w:pPr>
            <w:r w:rsidRPr="00314BE4">
              <w:rPr>
                <w:rFonts w:ascii="Arial Narrow" w:eastAsia="Batang" w:hAnsi="Arial Narrow" w:cs="Arial"/>
                <w:sz w:val="20"/>
                <w:szCs w:val="20"/>
                <w:lang w:val="en-GB" w:eastAsia="en-AU"/>
              </w:rPr>
              <w:t xml:space="preserve">Kaur P, Chow V, Zhang N, et al. A randomised, single-blind, single-dose, three-arm, parallel-group study in healthy subjects to demonstrate pharmacokinetic equivalence of ABP 501 and adalimumab. </w:t>
            </w:r>
          </w:p>
        </w:tc>
        <w:tc>
          <w:tcPr>
            <w:tcW w:w="3006" w:type="dxa"/>
          </w:tcPr>
          <w:p w:rsidR="00314BE4" w:rsidRPr="00314BE4" w:rsidRDefault="00314BE4" w:rsidP="00314BE4">
            <w:pPr>
              <w:pStyle w:val="tabletextsubmission"/>
              <w:rPr>
                <w:rFonts w:ascii="Arial Narrow" w:hAnsi="Arial Narrow"/>
                <w:sz w:val="20"/>
                <w:szCs w:val="20"/>
              </w:rPr>
            </w:pPr>
            <w:r w:rsidRPr="00314BE4">
              <w:rPr>
                <w:rFonts w:ascii="Arial Narrow" w:hAnsi="Arial Narrow"/>
                <w:sz w:val="20"/>
                <w:szCs w:val="20"/>
              </w:rPr>
              <w:t>Clinical Study Report</w:t>
            </w:r>
          </w:p>
          <w:p w:rsidR="00314BE4" w:rsidRPr="00314BE4" w:rsidRDefault="00314BE4" w:rsidP="00314BE4">
            <w:pPr>
              <w:pStyle w:val="tabletextsubmission"/>
              <w:rPr>
                <w:rFonts w:ascii="Arial Narrow" w:hAnsi="Arial Narrow"/>
                <w:sz w:val="20"/>
                <w:szCs w:val="20"/>
              </w:rPr>
            </w:pPr>
            <w:r w:rsidRPr="00314BE4">
              <w:rPr>
                <w:rFonts w:ascii="Arial Narrow" w:hAnsi="Arial Narrow"/>
                <w:sz w:val="20"/>
                <w:szCs w:val="20"/>
              </w:rPr>
              <w:t>Report date: 18 April 2013</w:t>
            </w:r>
            <w:r w:rsidRPr="00314BE4">
              <w:rPr>
                <w:rFonts w:ascii="Arial Narrow" w:hAnsi="Arial Narrow"/>
                <w:sz w:val="20"/>
                <w:szCs w:val="20"/>
              </w:rPr>
              <w:fldChar w:fldCharType="begin"/>
            </w:r>
            <w:r w:rsidRPr="00314BE4">
              <w:rPr>
                <w:rFonts w:ascii="Arial Narrow" w:hAnsi="Arial Narrow"/>
                <w:sz w:val="20"/>
                <w:szCs w:val="20"/>
              </w:rPr>
              <w:instrText xml:space="preserve"> ADDIN EN.CITE &lt;EndNote&gt;&lt;Cite&gt;&lt;Author&gt;20110217&lt;/Author&gt;&lt;Year&gt;2012&lt;/Year&gt;&lt;RecNum&gt;25&lt;/RecNum&gt;&lt;DisplayText&gt;&lt;style face="superscript"&gt;10&lt;/style&gt;&lt;/DisplayText&gt;&lt;record&gt;&lt;rec-number&gt;25&lt;/rec-number&gt;&lt;foreign-keys&gt;&lt;key app="EN" db-id="50rrer2f32a59yevaf5xfrs2v0szx90zsvtx" timestamp="1523434359"&gt;25&lt;/key&gt;&lt;/foreign-keys&gt;&lt;ref-type name="Report"&gt;27&lt;/ref-type&gt;&lt;contributors&gt;&lt;authors&gt;&lt;author&gt;Clinical Study Report 20110217&lt;/author&gt;&lt;/authors&gt;&lt;/contributors&gt;&lt;titles&gt;&lt;title&gt;A Randomized, Single-Blind, Single-Dose, 3-Arm, Parallel-Group Study to Determine the Pharmacokinetic Equivalence of ABP 501 and Adalimumab (Humira®) in Healthy Adult Subjects&lt;/title&gt;&lt;/titles&gt;&lt;dates&gt;&lt;year&gt;2012&lt;/year&gt;&lt;/dates&gt;&lt;urls&gt;&lt;/urls&gt;&lt;/record&gt;&lt;/Cite&gt;&lt;/EndNote&gt;</w:instrText>
            </w:r>
            <w:r w:rsidRPr="00314BE4">
              <w:rPr>
                <w:rFonts w:ascii="Arial Narrow" w:hAnsi="Arial Narrow"/>
                <w:sz w:val="20"/>
                <w:szCs w:val="20"/>
              </w:rPr>
              <w:fldChar w:fldCharType="separate"/>
            </w:r>
            <w:r w:rsidRPr="00314BE4">
              <w:rPr>
                <w:rFonts w:ascii="Arial Narrow" w:hAnsi="Arial Narrow"/>
                <w:noProof/>
                <w:sz w:val="20"/>
                <w:szCs w:val="20"/>
                <w:vertAlign w:val="superscript"/>
              </w:rPr>
              <w:t>10</w:t>
            </w:r>
            <w:r w:rsidRPr="00314BE4">
              <w:rPr>
                <w:rFonts w:ascii="Arial Narrow" w:hAnsi="Arial Narrow"/>
                <w:sz w:val="20"/>
                <w:szCs w:val="20"/>
              </w:rPr>
              <w:fldChar w:fldCharType="end"/>
            </w:r>
          </w:p>
          <w:p w:rsidR="00314BE4" w:rsidRPr="00314BE4" w:rsidRDefault="00314BE4" w:rsidP="00314BE4">
            <w:pPr>
              <w:pStyle w:val="tabletextsubmission"/>
              <w:rPr>
                <w:rFonts w:ascii="Arial Narrow" w:hAnsi="Arial Narrow"/>
                <w:sz w:val="20"/>
                <w:szCs w:val="20"/>
              </w:rPr>
            </w:pPr>
          </w:p>
          <w:p w:rsidR="00314BE4" w:rsidRPr="00314BE4" w:rsidRDefault="00314BE4" w:rsidP="00314BE4">
            <w:pPr>
              <w:pStyle w:val="tabletextsubmission"/>
              <w:rPr>
                <w:rFonts w:ascii="Arial Narrow" w:hAnsi="Arial Narrow"/>
                <w:sz w:val="20"/>
                <w:szCs w:val="20"/>
              </w:rPr>
            </w:pPr>
            <w:r w:rsidRPr="00314BE4">
              <w:rPr>
                <w:rFonts w:ascii="Arial Narrow" w:hAnsi="Arial Narrow"/>
                <w:sz w:val="20"/>
                <w:szCs w:val="20"/>
              </w:rPr>
              <w:t>Ann Rheum Dis. 2017; 76:526-533</w:t>
            </w:r>
            <w:r w:rsidRPr="00314BE4">
              <w:rPr>
                <w:rFonts w:ascii="Arial Narrow" w:hAnsi="Arial Narrow"/>
                <w:sz w:val="20"/>
                <w:szCs w:val="20"/>
              </w:rPr>
              <w:fldChar w:fldCharType="begin">
                <w:fldData xml:space="preserve">PEVuZE5vdGU+PENpdGU+PEF1dGhvcj5LYXVyPC9BdXRob3I+PFllYXI+MjAxNzwvWWVhcj48UmVj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</w:fldData>
              </w:fldChar>
            </w:r>
            <w:r w:rsidRPr="00314BE4">
              <w:rPr>
                <w:rFonts w:ascii="Arial Narrow" w:hAnsi="Arial Narrow"/>
                <w:sz w:val="20"/>
                <w:szCs w:val="20"/>
              </w:rPr>
              <w:instrText xml:space="preserve"> ADDIN EN.CITE </w:instrText>
            </w:r>
            <w:r w:rsidRPr="00314BE4">
              <w:rPr>
                <w:rFonts w:ascii="Arial Narrow" w:hAnsi="Arial Narrow"/>
                <w:sz w:val="20"/>
                <w:szCs w:val="20"/>
              </w:rPr>
              <w:fldChar w:fldCharType="begin">
                <w:fldData xml:space="preserve">PEVuZE5vdGU+PENpdGU+PEF1dGhvcj5LYXVyPC9BdXRob3I+PFllYXI+MjAxNzwvWWVhcj48UmVj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</w:fldData>
              </w:fldChar>
            </w:r>
            <w:r w:rsidRPr="00314BE4">
              <w:rPr>
                <w:rFonts w:ascii="Arial Narrow" w:hAnsi="Arial Narrow"/>
                <w:sz w:val="20"/>
                <w:szCs w:val="20"/>
              </w:rPr>
              <w:instrText xml:space="preserve"> ADDIN EN.CITE.DATA </w:instrText>
            </w:r>
            <w:r w:rsidRPr="00314BE4">
              <w:rPr>
                <w:rFonts w:ascii="Arial Narrow" w:hAnsi="Arial Narrow"/>
                <w:sz w:val="20"/>
                <w:szCs w:val="20"/>
              </w:rPr>
            </w:r>
            <w:r w:rsidRPr="00314BE4">
              <w:rPr>
                <w:rFonts w:ascii="Arial Narrow" w:hAnsi="Arial Narrow"/>
                <w:sz w:val="20"/>
                <w:szCs w:val="20"/>
              </w:rPr>
              <w:fldChar w:fldCharType="end"/>
            </w:r>
            <w:r w:rsidRPr="00314BE4">
              <w:rPr>
                <w:rFonts w:ascii="Arial Narrow" w:hAnsi="Arial Narrow"/>
                <w:sz w:val="20"/>
                <w:szCs w:val="20"/>
              </w:rPr>
            </w:r>
            <w:r w:rsidRPr="00314BE4">
              <w:rPr>
                <w:rFonts w:ascii="Arial Narrow" w:hAnsi="Arial Narrow"/>
                <w:sz w:val="20"/>
                <w:szCs w:val="20"/>
              </w:rPr>
              <w:fldChar w:fldCharType="separate"/>
            </w:r>
            <w:r w:rsidRPr="00314BE4">
              <w:rPr>
                <w:rFonts w:ascii="Arial Narrow" w:hAnsi="Arial Narrow"/>
                <w:noProof/>
                <w:sz w:val="20"/>
                <w:szCs w:val="20"/>
                <w:vertAlign w:val="superscript"/>
              </w:rPr>
              <w:t>11</w:t>
            </w:r>
            <w:r w:rsidRPr="00314BE4">
              <w:rPr>
                <w:rFonts w:ascii="Arial Narrow" w:hAnsi="Arial Narrow"/>
                <w:sz w:val="20"/>
                <w:szCs w:val="20"/>
              </w:rPr>
              <w:fldChar w:fldCharType="end"/>
            </w:r>
            <w:r w:rsidRPr="00314BE4">
              <w:rPr>
                <w:rFonts w:ascii="Arial Narrow" w:hAnsi="Arial Narrow"/>
                <w:sz w:val="20"/>
                <w:szCs w:val="20"/>
              </w:rPr>
              <w:t>.</w:t>
            </w:r>
          </w:p>
        </w:tc>
      </w:tr>
    </w:tbl>
    <w:p w:rsidR="0076420C" w:rsidRPr="00937958" w:rsidRDefault="0076420C" w:rsidP="004A71D1">
      <w:pPr>
        <w:pStyle w:val="tablenotes"/>
        <w:spacing w:after="120"/>
        <w:rPr>
          <w:rFonts w:ascii="Arial Narrow" w:hAnsi="Arial Narrow"/>
          <w:sz w:val="18"/>
          <w:szCs w:val="18"/>
        </w:rPr>
      </w:pPr>
      <w:r w:rsidRPr="00937958">
        <w:rPr>
          <w:rFonts w:ascii="Arial Narrow" w:hAnsi="Arial Narrow"/>
          <w:sz w:val="18"/>
          <w:szCs w:val="18"/>
        </w:rPr>
        <w:t xml:space="preserve">Source: </w:t>
      </w:r>
      <w:r w:rsidR="006B795F">
        <w:rPr>
          <w:rFonts w:ascii="Arial Narrow" w:hAnsi="Arial Narrow"/>
          <w:sz w:val="18"/>
          <w:szCs w:val="18"/>
        </w:rPr>
        <w:t>Table 2-1 of the submission.</w:t>
      </w:r>
    </w:p>
    <w:p w:rsidR="004A747A" w:rsidRDefault="004A747A" w:rsidP="008306F3">
      <w:pPr>
        <w:pStyle w:val="Heading2"/>
        <w:keepLines/>
        <w:spacing w:before="240" w:after="120"/>
        <w:rPr>
          <w:rFonts w:asciiTheme="minorHAnsi" w:eastAsiaTheme="majorEastAsia" w:hAnsiTheme="minorHAnsi" w:cstheme="majorBidi"/>
          <w:sz w:val="28"/>
          <w:szCs w:val="28"/>
          <w:lang w:eastAsia="en-US"/>
        </w:rPr>
      </w:pPr>
      <w:bookmarkStart w:id="2" w:name="_GoBack"/>
      <w:r>
        <w:rPr>
          <w:rFonts w:asciiTheme="minorHAnsi" w:eastAsiaTheme="majorEastAsia" w:hAnsiTheme="minorHAnsi" w:cstheme="majorBidi"/>
          <w:sz w:val="28"/>
          <w:szCs w:val="28"/>
          <w:lang w:eastAsia="en-US"/>
        </w:rPr>
        <w:lastRenderedPageBreak/>
        <w:t>Benefits &amp; harms</w:t>
      </w:r>
    </w:p>
    <w:bookmarkEnd w:id="2"/>
    <w:p w:rsidR="004A747A" w:rsidRPr="00295AE5" w:rsidRDefault="004A747A" w:rsidP="004A747A">
      <w:pPr>
        <w:pStyle w:val="ListParagraph"/>
        <w:widowControl/>
        <w:numPr>
          <w:ilvl w:val="1"/>
          <w:numId w:val="14"/>
        </w:numPr>
        <w:spacing w:before="120" w:after="60"/>
        <w:contextualSpacing w:val="0"/>
        <w:rPr>
          <w:rFonts w:ascii="Arial Narrow" w:hAnsi="Arial Narrow"/>
          <w:b/>
          <w:sz w:val="20"/>
        </w:rPr>
      </w:pPr>
      <w:r w:rsidRPr="00890FA2">
        <w:rPr>
          <w:rFonts w:asciiTheme="minorHAnsi" w:eastAsiaTheme="minorHAnsi" w:hAnsiTheme="minorHAnsi" w:cstheme="minorBidi"/>
          <w:snapToGrid/>
          <w:sz w:val="24"/>
          <w:szCs w:val="22"/>
        </w:rPr>
        <w:t xml:space="preserve">The submission’s clinical claim was that </w:t>
      </w:r>
      <w:proofErr w:type="spellStart"/>
      <w:r w:rsidRPr="00890FA2">
        <w:rPr>
          <w:rFonts w:asciiTheme="minorHAnsi" w:eastAsiaTheme="minorHAnsi" w:hAnsiTheme="minorHAnsi" w:cstheme="minorBidi"/>
          <w:snapToGrid/>
          <w:sz w:val="24"/>
          <w:szCs w:val="22"/>
        </w:rPr>
        <w:t>Amgevita</w:t>
      </w:r>
      <w:proofErr w:type="spellEnd"/>
      <w:r w:rsidRPr="00890FA2">
        <w:rPr>
          <w:rFonts w:asciiTheme="minorHAnsi" w:eastAsiaTheme="minorHAnsi" w:hAnsiTheme="minorHAnsi" w:cstheme="minorBidi"/>
          <w:snapToGrid/>
          <w:sz w:val="24"/>
          <w:szCs w:val="22"/>
        </w:rPr>
        <w:t xml:space="preserve"> is non-inferior to Humira in terms of effectiveness, and has a comparable safety profile to Humira.</w:t>
      </w:r>
    </w:p>
    <w:p w:rsidR="00DE7720" w:rsidRDefault="00DE7720" w:rsidP="004A747A">
      <w:pPr>
        <w:pStyle w:val="ListParagraph"/>
        <w:widowControl/>
        <w:numPr>
          <w:ilvl w:val="1"/>
          <w:numId w:val="14"/>
        </w:numPr>
        <w:spacing w:before="120" w:after="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sponsor provided a copy of the draft Australian Public Assessment Report for </w:t>
      </w:r>
      <w:proofErr w:type="spellStart"/>
      <w:r>
        <w:rPr>
          <w:rFonts w:asciiTheme="minorHAnsi" w:eastAsiaTheme="minorHAnsi" w:hAnsiTheme="minorHAnsi" w:cstheme="minorBidi"/>
          <w:snapToGrid/>
          <w:sz w:val="24"/>
          <w:szCs w:val="22"/>
        </w:rPr>
        <w:t>Amgevita</w:t>
      </w:r>
      <w:proofErr w:type="spellEnd"/>
      <w:r w:rsidR="00714260">
        <w:rPr>
          <w:rFonts w:asciiTheme="minorHAnsi" w:eastAsiaTheme="minorHAnsi" w:hAnsiTheme="minorHAnsi" w:cstheme="minorBidi"/>
          <w:snapToGrid/>
          <w:sz w:val="24"/>
          <w:szCs w:val="22"/>
        </w:rPr>
        <w:t xml:space="preserve"> which provided the following information on the clinical trials.</w:t>
      </w:r>
    </w:p>
    <w:p w:rsidR="00340DCD" w:rsidRPr="00727E64" w:rsidRDefault="00340DCD" w:rsidP="004A747A">
      <w:pPr>
        <w:pStyle w:val="ListParagraph"/>
        <w:widowControl/>
        <w:numPr>
          <w:ilvl w:val="1"/>
          <w:numId w:val="14"/>
        </w:numPr>
        <w:spacing w:before="120" w:after="60"/>
        <w:contextualSpacing w:val="0"/>
        <w:rPr>
          <w:rFonts w:asciiTheme="minorHAnsi" w:eastAsiaTheme="minorHAnsi" w:hAnsiTheme="minorHAnsi" w:cstheme="minorBidi"/>
          <w:snapToGrid/>
          <w:sz w:val="24"/>
          <w:szCs w:val="22"/>
        </w:rPr>
      </w:pPr>
      <w:r w:rsidRPr="00295AE5">
        <w:rPr>
          <w:rFonts w:asciiTheme="minorHAnsi" w:eastAsiaTheme="minorHAnsi" w:hAnsiTheme="minorHAnsi" w:cstheme="minorBidi"/>
          <w:snapToGrid/>
          <w:sz w:val="24"/>
          <w:szCs w:val="22"/>
        </w:rPr>
        <w:t xml:space="preserve">In Study 262, patients with rheumatoid arthritis received either </w:t>
      </w:r>
      <w:proofErr w:type="spellStart"/>
      <w:r w:rsidRPr="00295AE5">
        <w:rPr>
          <w:rFonts w:asciiTheme="minorHAnsi" w:eastAsiaTheme="minorHAnsi" w:hAnsiTheme="minorHAnsi" w:cstheme="minorBidi"/>
          <w:snapToGrid/>
          <w:sz w:val="24"/>
          <w:szCs w:val="22"/>
        </w:rPr>
        <w:t>Amgevita</w:t>
      </w:r>
      <w:proofErr w:type="spellEnd"/>
      <w:r w:rsidRPr="00295AE5">
        <w:rPr>
          <w:rFonts w:asciiTheme="minorHAnsi" w:eastAsiaTheme="minorHAnsi" w:hAnsiTheme="minorHAnsi" w:cstheme="minorBidi"/>
          <w:snapToGrid/>
          <w:sz w:val="24"/>
          <w:szCs w:val="22"/>
        </w:rPr>
        <w:t xml:space="preserve"> or Humira for up to 30 weeks. The primary efficacy endpoint was the risk ratio of at least 20% improvement in a core set of measures assessing rheumatoid arthritis symptoms at Week 24. Results were within the pre-defined limits for equivalence</w:t>
      </w:r>
      <w:r w:rsidR="00727E64">
        <w:rPr>
          <w:rFonts w:asciiTheme="minorHAnsi" w:eastAsiaTheme="minorHAnsi" w:hAnsiTheme="minorHAnsi" w:cstheme="minorBidi"/>
          <w:snapToGrid/>
          <w:sz w:val="24"/>
          <w:szCs w:val="22"/>
        </w:rPr>
        <w:t>.</w:t>
      </w:r>
    </w:p>
    <w:p w:rsidR="00A6171F" w:rsidRPr="00295AE5" w:rsidRDefault="00A6171F" w:rsidP="004A747A">
      <w:pPr>
        <w:pStyle w:val="ListParagraph"/>
        <w:widowControl/>
        <w:numPr>
          <w:ilvl w:val="1"/>
          <w:numId w:val="14"/>
        </w:numPr>
        <w:spacing w:before="120" w:after="60"/>
        <w:contextualSpacing w:val="0"/>
        <w:rPr>
          <w:rFonts w:ascii="Arial Narrow" w:hAnsi="Arial Narrow"/>
          <w:b/>
          <w:sz w:val="20"/>
        </w:rPr>
      </w:pPr>
      <w:r>
        <w:rPr>
          <w:rFonts w:asciiTheme="minorHAnsi" w:eastAsiaTheme="minorHAnsi" w:hAnsiTheme="minorHAnsi" w:cstheme="minorBidi"/>
          <w:snapToGrid/>
          <w:sz w:val="24"/>
          <w:szCs w:val="22"/>
        </w:rPr>
        <w:t xml:space="preserve">In Study 263, patients </w:t>
      </w:r>
      <w:r w:rsidR="00727E64">
        <w:rPr>
          <w:rFonts w:asciiTheme="minorHAnsi" w:eastAsiaTheme="minorHAnsi" w:hAnsiTheme="minorHAnsi" w:cstheme="minorBidi"/>
          <w:snapToGrid/>
          <w:sz w:val="24"/>
          <w:szCs w:val="22"/>
        </w:rPr>
        <w:t xml:space="preserve">with severe chronic plaque psoriasis </w:t>
      </w:r>
      <w:r>
        <w:rPr>
          <w:rFonts w:asciiTheme="minorHAnsi" w:eastAsiaTheme="minorHAnsi" w:hAnsiTheme="minorHAnsi" w:cstheme="minorBidi"/>
          <w:snapToGrid/>
          <w:sz w:val="24"/>
          <w:szCs w:val="22"/>
        </w:rPr>
        <w:t xml:space="preserve">were randomised to receive either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or adalimumab. At week 16, patients with 50% or more improvement in Psoriasis Area and Severity Index (PASI) score from baseline were eligible to continue in the study</w:t>
      </w:r>
      <w:r w:rsidR="00727E64">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those initially receiving </w:t>
      </w:r>
      <w:proofErr w:type="spellStart"/>
      <w:r>
        <w:rPr>
          <w:rFonts w:asciiTheme="minorHAnsi" w:eastAsiaTheme="minorHAnsi" w:hAnsiTheme="minorHAnsi" w:cstheme="minorBidi"/>
          <w:snapToGrid/>
          <w:sz w:val="24"/>
          <w:szCs w:val="22"/>
        </w:rPr>
        <w:t>Amgevita</w:t>
      </w:r>
      <w:proofErr w:type="spellEnd"/>
      <w:r>
        <w:rPr>
          <w:rFonts w:asciiTheme="minorHAnsi" w:eastAsiaTheme="minorHAnsi" w:hAnsiTheme="minorHAnsi" w:cstheme="minorBidi"/>
          <w:snapToGrid/>
          <w:sz w:val="24"/>
          <w:szCs w:val="22"/>
        </w:rPr>
        <w:t xml:space="preserve"> continued treatment and patients receiving adalimumab were re-randomised to either continue adalimumab or switch to </w:t>
      </w:r>
      <w:proofErr w:type="spellStart"/>
      <w:r>
        <w:rPr>
          <w:rFonts w:asciiTheme="minorHAnsi" w:eastAsiaTheme="minorHAnsi" w:hAnsiTheme="minorHAnsi" w:cstheme="minorBidi"/>
          <w:snapToGrid/>
          <w:sz w:val="24"/>
          <w:szCs w:val="22"/>
        </w:rPr>
        <w:t>Amgevita</w:t>
      </w:r>
      <w:proofErr w:type="spellEnd"/>
      <w:r w:rsidR="00727E64">
        <w:rPr>
          <w:rFonts w:asciiTheme="minorHAnsi" w:eastAsiaTheme="minorHAnsi" w:hAnsiTheme="minorHAnsi" w:cstheme="minorBidi"/>
          <w:snapToGrid/>
          <w:sz w:val="24"/>
          <w:szCs w:val="22"/>
        </w:rPr>
        <w:t xml:space="preserve"> (see Figure 1)</w:t>
      </w:r>
      <w:r>
        <w:rPr>
          <w:rFonts w:asciiTheme="minorHAnsi" w:eastAsiaTheme="minorHAnsi" w:hAnsiTheme="minorHAnsi" w:cstheme="minorBidi"/>
          <w:snapToGrid/>
          <w:sz w:val="24"/>
          <w:szCs w:val="22"/>
        </w:rPr>
        <w:t>.</w:t>
      </w:r>
      <w:r w:rsidR="00412F6C">
        <w:rPr>
          <w:rFonts w:asciiTheme="minorHAnsi" w:eastAsiaTheme="minorHAnsi" w:hAnsiTheme="minorHAnsi" w:cstheme="minorBidi"/>
          <w:snapToGrid/>
          <w:sz w:val="24"/>
          <w:szCs w:val="22"/>
        </w:rPr>
        <w:t xml:space="preserve"> The treatment effect was maintained in all treatment groups</w:t>
      </w:r>
      <w:r w:rsidR="00DE7720">
        <w:rPr>
          <w:rFonts w:asciiTheme="minorHAnsi" w:eastAsiaTheme="minorHAnsi" w:hAnsiTheme="minorHAnsi" w:cstheme="minorBidi"/>
          <w:snapToGrid/>
          <w:sz w:val="24"/>
          <w:szCs w:val="22"/>
        </w:rPr>
        <w:t xml:space="preserve"> and the results were within the pre-defined limits for equivalence</w:t>
      </w:r>
      <w:r w:rsidR="00340DCD">
        <w:rPr>
          <w:rFonts w:asciiTheme="minorHAnsi" w:eastAsiaTheme="minorHAnsi" w:hAnsiTheme="minorHAnsi" w:cstheme="minorBidi"/>
          <w:snapToGrid/>
          <w:sz w:val="24"/>
          <w:szCs w:val="22"/>
        </w:rPr>
        <w:t xml:space="preserve">. </w:t>
      </w:r>
    </w:p>
    <w:p w:rsidR="00340DCD" w:rsidRPr="00295AE5" w:rsidRDefault="00DE7720" w:rsidP="004A747A">
      <w:pPr>
        <w:pStyle w:val="ListParagraph"/>
        <w:widowControl/>
        <w:numPr>
          <w:ilvl w:val="1"/>
          <w:numId w:val="14"/>
        </w:numPr>
        <w:spacing w:before="120" w:after="60"/>
        <w:contextualSpacing w:val="0"/>
        <w:rPr>
          <w:rFonts w:ascii="Arial Narrow" w:hAnsi="Arial Narrow"/>
          <w:b/>
          <w:sz w:val="20"/>
        </w:rPr>
      </w:pPr>
      <w:r>
        <w:rPr>
          <w:rFonts w:asciiTheme="minorHAnsi" w:eastAsiaTheme="minorHAnsi" w:hAnsiTheme="minorHAnsi" w:cstheme="minorBidi"/>
          <w:snapToGrid/>
          <w:sz w:val="24"/>
          <w:szCs w:val="22"/>
        </w:rPr>
        <w:t>The</w:t>
      </w:r>
      <w:r w:rsidR="00340DCD">
        <w:rPr>
          <w:rFonts w:asciiTheme="minorHAnsi" w:eastAsiaTheme="minorHAnsi" w:hAnsiTheme="minorHAnsi" w:cstheme="minorBidi"/>
          <w:snapToGrid/>
          <w:sz w:val="24"/>
          <w:szCs w:val="22"/>
        </w:rPr>
        <w:t xml:space="preserve"> safety data from the two equivalence studies did not show clinically significant differences in any of the safety outcome</w:t>
      </w:r>
      <w:r w:rsidR="00004E04">
        <w:rPr>
          <w:rFonts w:asciiTheme="minorHAnsi" w:eastAsiaTheme="minorHAnsi" w:hAnsiTheme="minorHAnsi" w:cstheme="minorBidi"/>
          <w:snapToGrid/>
          <w:sz w:val="24"/>
          <w:szCs w:val="22"/>
        </w:rPr>
        <w:t>s</w:t>
      </w:r>
      <w:r w:rsidR="00340DCD">
        <w:rPr>
          <w:rFonts w:asciiTheme="minorHAnsi" w:eastAsiaTheme="minorHAnsi" w:hAnsiTheme="minorHAnsi" w:cstheme="minorBidi"/>
          <w:snapToGrid/>
          <w:sz w:val="24"/>
          <w:szCs w:val="22"/>
        </w:rPr>
        <w:t xml:space="preserve"> assessed.</w:t>
      </w:r>
    </w:p>
    <w:p w:rsidR="00DE7720" w:rsidRPr="00295AE5" w:rsidRDefault="00DE7720" w:rsidP="004A747A">
      <w:pPr>
        <w:pStyle w:val="ListParagraph"/>
        <w:widowControl/>
        <w:numPr>
          <w:ilvl w:val="1"/>
          <w:numId w:val="14"/>
        </w:numPr>
        <w:spacing w:before="120" w:after="60"/>
        <w:contextualSpacing w:val="0"/>
        <w:rPr>
          <w:rFonts w:ascii="Arial Narrow" w:hAnsi="Arial Narrow"/>
          <w:b/>
          <w:sz w:val="20"/>
        </w:rPr>
      </w:pPr>
      <w:r>
        <w:rPr>
          <w:rFonts w:asciiTheme="minorHAnsi" w:eastAsiaTheme="minorHAnsi" w:hAnsiTheme="minorHAnsi" w:cstheme="minorBidi"/>
          <w:snapToGrid/>
          <w:sz w:val="24"/>
          <w:szCs w:val="22"/>
        </w:rPr>
        <w:t>Overall, the TGA Delegate found that the two clinical equivalence studies convincingly demonstrated clinical equivalence for subjects with rheumatoid arthritis and plaque psoriasis.</w:t>
      </w:r>
    </w:p>
    <w:p w:rsidR="00714260" w:rsidRPr="00295AE5" w:rsidRDefault="00714260" w:rsidP="009973AE">
      <w:pPr>
        <w:keepNext/>
        <w:spacing w:before="120" w:after="60"/>
        <w:rPr>
          <w:rFonts w:ascii="Arial Narrow" w:hAnsi="Arial Narrow"/>
          <w:b/>
          <w:snapToGrid w:val="0"/>
          <w:sz w:val="20"/>
        </w:rPr>
      </w:pPr>
      <w:proofErr w:type="gramStart"/>
      <w:r w:rsidRPr="00295AE5">
        <w:rPr>
          <w:rFonts w:ascii="Arial Narrow" w:hAnsi="Arial Narrow"/>
          <w:b/>
          <w:snapToGrid w:val="0"/>
          <w:sz w:val="20"/>
        </w:rPr>
        <w:t>Figure 1.</w:t>
      </w:r>
      <w:proofErr w:type="gramEnd"/>
      <w:r w:rsidRPr="00295AE5">
        <w:rPr>
          <w:rFonts w:ascii="Arial Narrow" w:hAnsi="Arial Narrow"/>
          <w:b/>
          <w:snapToGrid w:val="0"/>
          <w:sz w:val="20"/>
        </w:rPr>
        <w:t xml:space="preserve"> Trial design for Study 263</w:t>
      </w:r>
    </w:p>
    <w:p w:rsidR="000E6A06" w:rsidRDefault="004A747A" w:rsidP="00295AE5">
      <w:pPr>
        <w:pStyle w:val="ListParagraph"/>
        <w:widowControl/>
        <w:spacing w:before="120" w:after="60"/>
        <w:contextualSpacing w:val="0"/>
        <w:rPr>
          <w:rFonts w:ascii="Arial Narrow" w:hAnsi="Arial Narrow"/>
          <w:sz w:val="18"/>
        </w:rPr>
      </w:pPr>
      <w:r>
        <w:rPr>
          <w:noProof/>
          <w:lang w:eastAsia="en-AU"/>
        </w:rPr>
        <w:drawing>
          <wp:inline distT="0" distB="0" distL="0" distR="0" wp14:anchorId="1338074D" wp14:editId="677CCF0A">
            <wp:extent cx="4709160" cy="2756371"/>
            <wp:effectExtent l="0" t="0" r="0" b="6350"/>
            <wp:docPr id="20" name="Picture 20" title="Figure 1. Trial design for Study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sO study-desig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7354" cy="2772874"/>
                    </a:xfrm>
                    <a:prstGeom prst="rect">
                      <a:avLst/>
                    </a:prstGeom>
                  </pic:spPr>
                </pic:pic>
              </a:graphicData>
            </a:graphic>
          </wp:inline>
        </w:drawing>
      </w:r>
    </w:p>
    <w:p w:rsidR="004A747A" w:rsidRPr="00295AE5" w:rsidRDefault="004A747A" w:rsidP="00295AE5">
      <w:pPr>
        <w:pStyle w:val="ListParagraph"/>
        <w:widowControl/>
        <w:spacing w:before="120" w:after="60"/>
        <w:contextualSpacing w:val="0"/>
        <w:rPr>
          <w:rFonts w:ascii="Arial Narrow" w:hAnsi="Arial Narrow"/>
          <w:b/>
          <w:sz w:val="20"/>
        </w:rPr>
      </w:pPr>
      <w:r w:rsidRPr="00850F49">
        <w:rPr>
          <w:rFonts w:ascii="Arial Narrow" w:hAnsi="Arial Narrow"/>
          <w:sz w:val="18"/>
        </w:rPr>
        <w:t>Source:</w:t>
      </w:r>
      <w:r w:rsidR="000E6A06">
        <w:rPr>
          <w:rFonts w:ascii="Arial Narrow" w:hAnsi="Arial Narrow"/>
          <w:sz w:val="18"/>
        </w:rPr>
        <w:t xml:space="preserve"> </w:t>
      </w:r>
      <w:r w:rsidRPr="00850F49">
        <w:rPr>
          <w:rFonts w:ascii="Arial Narrow" w:hAnsi="Arial Narrow"/>
          <w:sz w:val="18"/>
        </w:rPr>
        <w:t>Submission, Figure 2-2</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Estimated PBS usage &amp; financial implications</w:t>
      </w:r>
    </w:p>
    <w:p w:rsidR="00BB7EC3" w:rsidRPr="002013F8" w:rsidRDefault="006B795F" w:rsidP="006B795F">
      <w:pPr>
        <w:pStyle w:val="ListParagraph"/>
        <w:widowControl/>
        <w:numPr>
          <w:ilvl w:val="1"/>
          <w:numId w:val="14"/>
        </w:numPr>
        <w:spacing w:after="120"/>
        <w:contextualSpacing w:val="0"/>
        <w:rPr>
          <w:rFonts w:asciiTheme="minorHAnsi" w:hAnsiTheme="minorHAnsi"/>
        </w:rPr>
      </w:pPr>
      <w:r w:rsidRPr="00CB571F">
        <w:rPr>
          <w:rFonts w:asciiTheme="minorHAnsi" w:eastAsiaTheme="minorHAnsi" w:hAnsiTheme="minorHAnsi" w:cstheme="minorBidi"/>
          <w:snapToGrid/>
          <w:sz w:val="24"/>
          <w:szCs w:val="22"/>
        </w:rPr>
        <w:t xml:space="preserve">The minor submission estimated that the savings to the PBS/RPBS if </w:t>
      </w:r>
      <w:proofErr w:type="spellStart"/>
      <w:r w:rsidRPr="00CB571F">
        <w:rPr>
          <w:rFonts w:asciiTheme="minorHAnsi" w:eastAsiaTheme="minorHAnsi" w:hAnsiTheme="minorHAnsi" w:cstheme="minorBidi"/>
          <w:snapToGrid/>
          <w:sz w:val="24"/>
          <w:szCs w:val="22"/>
        </w:rPr>
        <w:t>Amgevita</w:t>
      </w:r>
      <w:proofErr w:type="spellEnd"/>
      <w:r w:rsidRPr="00CB571F">
        <w:rPr>
          <w:rFonts w:asciiTheme="minorHAnsi" w:eastAsiaTheme="minorHAnsi" w:hAnsiTheme="minorHAnsi" w:cstheme="minorBidi"/>
          <w:snapToGrid/>
          <w:sz w:val="24"/>
          <w:szCs w:val="22"/>
        </w:rPr>
        <w:t xml:space="preserve"> is listed would be $</w:t>
      </w:r>
      <w:r w:rsidR="008F5AC0">
        <w:rPr>
          <w:rFonts w:asciiTheme="minorHAnsi" w:eastAsiaTheme="minorHAnsi" w:hAnsiTheme="minorHAnsi" w:cstheme="minorBidi"/>
          <w:snapToGrid/>
          <w:sz w:val="24"/>
          <w:szCs w:val="22"/>
        </w:rPr>
        <w:t>30 - $60</w:t>
      </w:r>
      <w:r w:rsidRPr="00CB571F">
        <w:rPr>
          <w:rFonts w:asciiTheme="minorHAnsi" w:eastAsiaTheme="minorHAnsi" w:hAnsiTheme="minorHAnsi" w:cstheme="minorBidi"/>
          <w:snapToGrid/>
          <w:sz w:val="24"/>
          <w:szCs w:val="22"/>
        </w:rPr>
        <w:t xml:space="preserve"> million per year (Year 1-6), without accounting for any price disclosure cuts, and that this would increase to </w:t>
      </w:r>
      <w:r w:rsidR="008F5AC0">
        <w:rPr>
          <w:rFonts w:asciiTheme="minorHAnsi" w:eastAsiaTheme="minorHAnsi" w:hAnsiTheme="minorHAnsi" w:cstheme="minorBidi"/>
          <w:snapToGrid/>
          <w:sz w:val="24"/>
          <w:szCs w:val="22"/>
        </w:rPr>
        <w:t xml:space="preserve">more than $100 million </w:t>
      </w:r>
      <w:r w:rsidRPr="00CB571F">
        <w:rPr>
          <w:rFonts w:asciiTheme="minorHAnsi" w:eastAsiaTheme="minorHAnsi" w:hAnsiTheme="minorHAnsi" w:cstheme="minorBidi"/>
          <w:snapToGrid/>
          <w:sz w:val="24"/>
          <w:szCs w:val="22"/>
        </w:rPr>
        <w:t>by Year 6 if price disclosure cuts are realised.</w:t>
      </w:r>
    </w:p>
    <w:p w:rsidR="002013F8" w:rsidRPr="002013F8" w:rsidRDefault="002013F8" w:rsidP="006B795F">
      <w:pPr>
        <w:pStyle w:val="ListParagraph"/>
        <w:widowControl/>
        <w:numPr>
          <w:ilvl w:val="1"/>
          <w:numId w:val="14"/>
        </w:numPr>
        <w:spacing w:after="120"/>
        <w:contextualSpacing w:val="0"/>
        <w:rPr>
          <w:rFonts w:asciiTheme="minorHAnsi" w:hAnsiTheme="minorHAnsi"/>
        </w:rPr>
      </w:pPr>
      <w:r>
        <w:rPr>
          <w:rFonts w:asciiTheme="minorHAnsi" w:eastAsiaTheme="minorHAnsi" w:hAnsiTheme="minorHAnsi" w:cstheme="minorBidi"/>
          <w:snapToGrid/>
          <w:sz w:val="24"/>
          <w:szCs w:val="22"/>
        </w:rPr>
        <w:t xml:space="preserve">In formulating the estimated </w:t>
      </w:r>
      <w:r w:rsidR="00977B02">
        <w:rPr>
          <w:rFonts w:asciiTheme="minorHAnsi" w:eastAsiaTheme="minorHAnsi" w:hAnsiTheme="minorHAnsi" w:cstheme="minorBidi"/>
          <w:snapToGrid/>
          <w:sz w:val="24"/>
          <w:szCs w:val="22"/>
        </w:rPr>
        <w:t>savings</w:t>
      </w:r>
      <w:r>
        <w:rPr>
          <w:rFonts w:asciiTheme="minorHAnsi" w:eastAsiaTheme="minorHAnsi" w:hAnsiTheme="minorHAnsi" w:cstheme="minorBidi"/>
          <w:snapToGrid/>
          <w:sz w:val="24"/>
          <w:szCs w:val="22"/>
        </w:rPr>
        <w:t>, the sponsor made the following assumptions:</w:t>
      </w:r>
    </w:p>
    <w:p w:rsidR="002013F8" w:rsidRPr="00977B02" w:rsidRDefault="002013F8" w:rsidP="00B8288E">
      <w:pPr>
        <w:pStyle w:val="ListParagraph"/>
        <w:widowControl/>
        <w:numPr>
          <w:ilvl w:val="0"/>
          <w:numId w:val="38"/>
        </w:numPr>
        <w:spacing w:after="120"/>
        <w:ind w:left="1134"/>
        <w:contextualSpacing w:val="0"/>
        <w:rPr>
          <w:rFonts w:asciiTheme="minorHAnsi" w:hAnsiTheme="minorHAnsi"/>
        </w:rPr>
      </w:pPr>
      <w:r>
        <w:rPr>
          <w:rFonts w:asciiTheme="minorHAnsi" w:eastAsiaTheme="minorHAnsi" w:hAnsiTheme="minorHAnsi" w:cstheme="minorBidi"/>
          <w:snapToGrid/>
          <w:sz w:val="24"/>
          <w:szCs w:val="22"/>
        </w:rPr>
        <w:t xml:space="preserve">A 7% annual growth rate for adalimumab services (based on </w:t>
      </w:r>
      <w:r w:rsidR="00977B02">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average annual historical growth rate for Humira from 2014-2017)</w:t>
      </w:r>
      <w:r w:rsidR="00977B02">
        <w:rPr>
          <w:rFonts w:asciiTheme="minorHAnsi" w:eastAsiaTheme="minorHAnsi" w:hAnsiTheme="minorHAnsi" w:cstheme="minorBidi"/>
          <w:snapToGrid/>
          <w:sz w:val="24"/>
          <w:szCs w:val="22"/>
        </w:rPr>
        <w:t>;</w:t>
      </w:r>
    </w:p>
    <w:p w:rsidR="00977B02" w:rsidRPr="00977B02" w:rsidRDefault="00977B02" w:rsidP="00B8288E">
      <w:pPr>
        <w:pStyle w:val="ListParagraph"/>
        <w:widowControl/>
        <w:numPr>
          <w:ilvl w:val="0"/>
          <w:numId w:val="38"/>
        </w:numPr>
        <w:spacing w:after="120"/>
        <w:ind w:left="1134"/>
        <w:contextualSpacing w:val="0"/>
        <w:rPr>
          <w:rFonts w:asciiTheme="minorHAnsi" w:hAnsiTheme="minorHAnsi"/>
        </w:rPr>
      </w:pPr>
      <w:r>
        <w:rPr>
          <w:rFonts w:asciiTheme="minorHAnsi" w:eastAsiaTheme="minorHAnsi" w:hAnsiTheme="minorHAnsi" w:cstheme="minorBidi"/>
          <w:snapToGrid/>
          <w:sz w:val="24"/>
          <w:szCs w:val="22"/>
        </w:rPr>
        <w:t>An uptake rate of adalimumab biosimilars of 10% to 30%, increasing over the 6 year period; and</w:t>
      </w:r>
    </w:p>
    <w:p w:rsidR="00977B02" w:rsidRPr="00F77BBD" w:rsidRDefault="00977B02" w:rsidP="00B8288E">
      <w:pPr>
        <w:pStyle w:val="ListParagraph"/>
        <w:widowControl/>
        <w:numPr>
          <w:ilvl w:val="0"/>
          <w:numId w:val="38"/>
        </w:numPr>
        <w:spacing w:after="120"/>
        <w:ind w:left="1134"/>
        <w:contextualSpacing w:val="0"/>
        <w:rPr>
          <w:rFonts w:asciiTheme="minorHAnsi" w:hAnsiTheme="minorHAnsi"/>
        </w:rPr>
      </w:pPr>
      <w:r>
        <w:rPr>
          <w:rFonts w:asciiTheme="minorHAnsi" w:eastAsiaTheme="minorHAnsi" w:hAnsiTheme="minorHAnsi" w:cstheme="minorBidi"/>
          <w:snapToGrid/>
          <w:sz w:val="24"/>
          <w:szCs w:val="22"/>
        </w:rPr>
        <w:t>The removal of existing SPA rebates for Humira once Amgevita is PBS listed. The sponsor estimated the rebate to be 28%, based on the revealed rebate when Enbrel (etanercept) moved from F1 to F2.</w:t>
      </w:r>
    </w:p>
    <w:p w:rsidR="009971C4" w:rsidRPr="009971C4" w:rsidRDefault="00F77BBD" w:rsidP="00AE22D3">
      <w:pPr>
        <w:rPr>
          <w:rFonts w:asciiTheme="minorHAnsi" w:hAnsiTheme="minorHAnsi"/>
          <w:i/>
        </w:rPr>
      </w:pPr>
      <w:r w:rsidRPr="00F77BBD">
        <w:rPr>
          <w:rFonts w:asciiTheme="minorHAnsi" w:hAnsiTheme="minorHAnsi"/>
          <w:i/>
        </w:rPr>
        <w:t xml:space="preserve">For more detail on PBAC’s view, see section </w:t>
      </w:r>
      <w:r w:rsidR="00347492">
        <w:rPr>
          <w:rFonts w:asciiTheme="minorHAnsi" w:hAnsiTheme="minorHAnsi"/>
          <w:i/>
        </w:rPr>
        <w:t>5</w:t>
      </w:r>
      <w:r w:rsidRPr="00F77BBD">
        <w:rPr>
          <w:rFonts w:asciiTheme="minorHAnsi" w:hAnsiTheme="minorHAnsi"/>
          <w:i/>
        </w:rPr>
        <w:t xml:space="preserve"> PBAC outcome.</w:t>
      </w:r>
    </w:p>
    <w:p w:rsidR="00F77BBD" w:rsidRPr="00B72DF6" w:rsidRDefault="00F77BBD" w:rsidP="002C424B">
      <w:pPr>
        <w:widowControl w:val="0"/>
        <w:numPr>
          <w:ilvl w:val="0"/>
          <w:numId w:val="5"/>
        </w:numPr>
        <w:spacing w:before="240" w:after="120"/>
        <w:jc w:val="both"/>
        <w:outlineLvl w:val="0"/>
        <w:rPr>
          <w:rFonts w:asciiTheme="minorHAnsi" w:hAnsiTheme="minorHAnsi" w:cs="Arial"/>
          <w:b/>
          <w:bCs/>
          <w:snapToGrid w:val="0"/>
          <w:sz w:val="32"/>
        </w:rPr>
      </w:pPr>
      <w:r w:rsidRPr="00B72DF6">
        <w:rPr>
          <w:rFonts w:asciiTheme="minorHAnsi" w:hAnsiTheme="minorHAnsi" w:cs="Arial"/>
          <w:b/>
          <w:bCs/>
          <w:snapToGrid w:val="0"/>
          <w:sz w:val="32"/>
        </w:rPr>
        <w:t>PBAC Outcome</w:t>
      </w:r>
    </w:p>
    <w:p w:rsidR="00F77BBD" w:rsidRDefault="00F77BBD" w:rsidP="00F77BBD">
      <w:pPr>
        <w:widowControl w:val="0"/>
        <w:numPr>
          <w:ilvl w:val="1"/>
          <w:numId w:val="5"/>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recommended the listing of </w:t>
      </w:r>
      <w:r w:rsidR="00347492">
        <w:rPr>
          <w:rFonts w:asciiTheme="minorHAnsi" w:hAnsiTheme="minorHAnsi" w:cs="Arial"/>
          <w:bCs/>
          <w:snapToGrid w:val="0"/>
          <w:lang w:val="en-GB"/>
        </w:rPr>
        <w:t>adalimumab (Amgevita) as a biosimilar of adalimumab (Humira) for all of the indications for which Humira is PBS-listed.</w:t>
      </w:r>
    </w:p>
    <w:p w:rsidR="00004E04" w:rsidRPr="00525B39" w:rsidRDefault="00004E04" w:rsidP="00F77BBD">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ACM was satisfied that the bioequivalence criteria for </w:t>
      </w:r>
      <w:proofErr w:type="spellStart"/>
      <w:r>
        <w:rPr>
          <w:rFonts w:asciiTheme="minorHAnsi" w:hAnsiTheme="minorHAnsi" w:cs="Arial"/>
          <w:bCs/>
          <w:snapToGrid w:val="0"/>
          <w:lang w:val="en-GB"/>
        </w:rPr>
        <w:t>Amgevita</w:t>
      </w:r>
      <w:proofErr w:type="spellEnd"/>
      <w:r>
        <w:rPr>
          <w:rFonts w:asciiTheme="minorHAnsi" w:hAnsiTheme="minorHAnsi" w:cs="Arial"/>
          <w:bCs/>
          <w:snapToGrid w:val="0"/>
          <w:lang w:val="en-GB"/>
        </w:rPr>
        <w:t xml:space="preserve"> were met.</w:t>
      </w:r>
    </w:p>
    <w:p w:rsidR="00F77BBD" w:rsidRDefault="00004E04" w:rsidP="00F77BBD">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the TGA Delegate was satisfied that the two clinical equivalence studies presented in the submission convincingly demonstrated clinical equivalence for subjects with rheumatoid arthritis and plaque psoriasis, and that the safety data from the trials did not show clinically significant differences in any of the safety outcomes assessed.</w:t>
      </w:r>
    </w:p>
    <w:p w:rsidR="00F5347B" w:rsidRDefault="00F5347B" w:rsidP="00F77BBD">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296EBC">
        <w:rPr>
          <w:rFonts w:asciiTheme="minorHAnsi" w:hAnsiTheme="minorHAnsi" w:cs="Arial"/>
          <w:bCs/>
          <w:snapToGrid w:val="0"/>
          <w:lang w:val="en-GB"/>
        </w:rPr>
        <w:t xml:space="preserve">agreed </w:t>
      </w:r>
      <w:r w:rsidR="00CC7A8A">
        <w:rPr>
          <w:rFonts w:asciiTheme="minorHAnsi" w:hAnsiTheme="minorHAnsi" w:cs="Arial"/>
          <w:bCs/>
          <w:snapToGrid w:val="0"/>
          <w:lang w:val="en-GB"/>
        </w:rPr>
        <w:t>that the following</w:t>
      </w:r>
      <w:r>
        <w:rPr>
          <w:rFonts w:asciiTheme="minorHAnsi" w:hAnsiTheme="minorHAnsi" w:cs="Arial"/>
          <w:bCs/>
          <w:snapToGrid w:val="0"/>
          <w:lang w:val="en-GB"/>
        </w:rPr>
        <w:t xml:space="preserve"> biosimilar uptake drivers</w:t>
      </w:r>
      <w:r w:rsidR="004B6F22">
        <w:rPr>
          <w:rFonts w:asciiTheme="minorHAnsi" w:hAnsiTheme="minorHAnsi" w:cs="Arial"/>
          <w:bCs/>
          <w:snapToGrid w:val="0"/>
          <w:lang w:val="en-GB"/>
        </w:rPr>
        <w:t xml:space="preserve"> should be applied </w:t>
      </w:r>
      <w:r w:rsidR="00853B96">
        <w:rPr>
          <w:rFonts w:asciiTheme="minorHAnsi" w:hAnsiTheme="minorHAnsi" w:cs="Arial"/>
          <w:bCs/>
          <w:snapToGrid w:val="0"/>
          <w:lang w:val="en-GB"/>
        </w:rPr>
        <w:t xml:space="preserve">to adalimumab </w:t>
      </w:r>
      <w:r w:rsidR="004B6F22">
        <w:rPr>
          <w:rFonts w:asciiTheme="minorHAnsi" w:hAnsiTheme="minorHAnsi" w:cs="Arial"/>
          <w:bCs/>
          <w:snapToGrid w:val="0"/>
          <w:lang w:val="en-GB"/>
        </w:rPr>
        <w:t xml:space="preserve">consistent </w:t>
      </w:r>
      <w:r w:rsidR="00853B96">
        <w:rPr>
          <w:rFonts w:asciiTheme="minorHAnsi" w:hAnsiTheme="minorHAnsi" w:cs="Arial"/>
          <w:bCs/>
          <w:snapToGrid w:val="0"/>
          <w:lang w:val="en-GB"/>
        </w:rPr>
        <w:t xml:space="preserve">with </w:t>
      </w:r>
      <w:r w:rsidR="00BD79B0">
        <w:rPr>
          <w:rFonts w:asciiTheme="minorHAnsi" w:hAnsiTheme="minorHAnsi" w:cs="Arial"/>
          <w:bCs/>
          <w:snapToGrid w:val="0"/>
          <w:lang w:val="en-GB"/>
        </w:rPr>
        <w:t xml:space="preserve">previous recommendations regarding </w:t>
      </w:r>
      <w:r w:rsidR="004B6F22">
        <w:rPr>
          <w:rFonts w:asciiTheme="minorHAnsi" w:hAnsiTheme="minorHAnsi" w:cs="Arial"/>
          <w:bCs/>
          <w:snapToGrid w:val="0"/>
          <w:lang w:val="en-GB"/>
        </w:rPr>
        <w:t>the</w:t>
      </w:r>
      <w:r w:rsidR="00853B96">
        <w:rPr>
          <w:rFonts w:asciiTheme="minorHAnsi" w:hAnsiTheme="minorHAnsi" w:cs="Arial"/>
          <w:bCs/>
          <w:snapToGrid w:val="0"/>
          <w:lang w:val="en-GB"/>
        </w:rPr>
        <w:t xml:space="preserve"> application of the drivers to other biosimilar biological medicines </w:t>
      </w:r>
      <w:r w:rsidR="00BD79B0">
        <w:rPr>
          <w:rFonts w:asciiTheme="minorHAnsi" w:hAnsiTheme="minorHAnsi" w:cs="Arial"/>
          <w:bCs/>
          <w:snapToGrid w:val="0"/>
          <w:lang w:val="en-GB"/>
        </w:rPr>
        <w:t>listed for the same indications</w:t>
      </w:r>
      <w:r w:rsidR="008527CF">
        <w:rPr>
          <w:rFonts w:asciiTheme="minorHAnsi" w:hAnsiTheme="minorHAnsi" w:cs="Arial"/>
          <w:bCs/>
          <w:snapToGrid w:val="0"/>
          <w:lang w:val="en-GB"/>
        </w:rPr>
        <w:t>.  These are as follows</w:t>
      </w:r>
      <w:r>
        <w:rPr>
          <w:rFonts w:asciiTheme="minorHAnsi" w:hAnsiTheme="minorHAnsi" w:cs="Arial"/>
          <w:bCs/>
          <w:snapToGrid w:val="0"/>
          <w:lang w:val="en-GB"/>
        </w:rPr>
        <w:t>:</w:t>
      </w:r>
    </w:p>
    <w:p w:rsidR="00E806C0" w:rsidRDefault="00E806C0" w:rsidP="00F5347B">
      <w:pPr>
        <w:widowControl w:val="0"/>
        <w:numPr>
          <w:ilvl w:val="1"/>
          <w:numId w:val="35"/>
        </w:numPr>
        <w:spacing w:after="120"/>
        <w:ind w:left="1276" w:hanging="567"/>
        <w:jc w:val="both"/>
        <w:rPr>
          <w:rFonts w:asciiTheme="minorHAnsi" w:hAnsiTheme="minorHAnsi" w:cs="Arial"/>
          <w:bCs/>
          <w:snapToGrid w:val="0"/>
          <w:lang w:val="en-GB"/>
        </w:rPr>
      </w:pPr>
      <w:r>
        <w:rPr>
          <w:rFonts w:asciiTheme="minorHAnsi" w:hAnsiTheme="minorHAnsi" w:cs="Arial"/>
          <w:bCs/>
          <w:snapToGrid w:val="0"/>
          <w:lang w:val="en-GB"/>
        </w:rPr>
        <w:t>R</w:t>
      </w:r>
      <w:r w:rsidR="000B18D0">
        <w:rPr>
          <w:rFonts w:asciiTheme="minorHAnsi" w:hAnsiTheme="minorHAnsi" w:cs="Arial"/>
          <w:bCs/>
          <w:snapToGrid w:val="0"/>
          <w:lang w:val="en-GB"/>
        </w:rPr>
        <w:t>etain</w:t>
      </w:r>
      <w:r>
        <w:rPr>
          <w:rFonts w:asciiTheme="minorHAnsi" w:hAnsiTheme="minorHAnsi" w:cs="Arial"/>
          <w:bCs/>
          <w:snapToGrid w:val="0"/>
          <w:lang w:val="en-GB"/>
        </w:rPr>
        <w:t xml:space="preserve"> the initial 1 and 2 restriction</w:t>
      </w:r>
      <w:r w:rsidR="008E0254">
        <w:rPr>
          <w:rFonts w:asciiTheme="minorHAnsi" w:hAnsiTheme="minorHAnsi" w:cs="Arial"/>
          <w:bCs/>
          <w:snapToGrid w:val="0"/>
          <w:lang w:val="en-GB"/>
        </w:rPr>
        <w:t>s</w:t>
      </w:r>
      <w:r>
        <w:rPr>
          <w:rFonts w:asciiTheme="minorHAnsi" w:hAnsiTheme="minorHAnsi" w:cs="Arial"/>
          <w:bCs/>
          <w:snapToGrid w:val="0"/>
          <w:lang w:val="en-GB"/>
        </w:rPr>
        <w:t xml:space="preserve"> as Authority Required (written) benefits; and</w:t>
      </w:r>
    </w:p>
    <w:p w:rsidR="00F5347B" w:rsidRDefault="00F5347B" w:rsidP="00F5347B">
      <w:pPr>
        <w:widowControl w:val="0"/>
        <w:numPr>
          <w:ilvl w:val="1"/>
          <w:numId w:val="35"/>
        </w:numPr>
        <w:spacing w:after="120"/>
        <w:ind w:left="1276" w:hanging="567"/>
        <w:jc w:val="both"/>
        <w:rPr>
          <w:rFonts w:asciiTheme="minorHAnsi" w:hAnsiTheme="minorHAnsi" w:cs="Arial"/>
          <w:bCs/>
          <w:snapToGrid w:val="0"/>
          <w:lang w:val="en-GB"/>
        </w:rPr>
      </w:pPr>
      <w:r>
        <w:rPr>
          <w:rFonts w:asciiTheme="minorHAnsi" w:hAnsiTheme="minorHAnsi" w:cs="Arial"/>
          <w:bCs/>
          <w:snapToGrid w:val="0"/>
          <w:lang w:val="en-GB"/>
        </w:rPr>
        <w:t xml:space="preserve">split the continuation criteria into ‘first continuing’ and ‘subsequent continuing’, to allow for </w:t>
      </w:r>
      <w:r w:rsidR="00992571">
        <w:rPr>
          <w:rFonts w:asciiTheme="minorHAnsi" w:hAnsiTheme="minorHAnsi" w:cs="Arial"/>
          <w:bCs/>
          <w:snapToGrid w:val="0"/>
          <w:lang w:val="en-GB"/>
        </w:rPr>
        <w:t xml:space="preserve">the </w:t>
      </w:r>
      <w:r>
        <w:rPr>
          <w:rFonts w:asciiTheme="minorHAnsi" w:hAnsiTheme="minorHAnsi" w:cs="Arial"/>
          <w:bCs/>
          <w:snapToGrid w:val="0"/>
          <w:lang w:val="en-GB"/>
        </w:rPr>
        <w:t xml:space="preserve">subsequent continuing </w:t>
      </w:r>
      <w:r w:rsidR="00992571">
        <w:rPr>
          <w:rFonts w:asciiTheme="minorHAnsi" w:hAnsiTheme="minorHAnsi" w:cs="Arial"/>
          <w:bCs/>
          <w:snapToGrid w:val="0"/>
          <w:lang w:val="en-GB"/>
        </w:rPr>
        <w:t xml:space="preserve">restriction for the biosimilar </w:t>
      </w:r>
      <w:r>
        <w:rPr>
          <w:rFonts w:asciiTheme="minorHAnsi" w:hAnsiTheme="minorHAnsi" w:cs="Arial"/>
          <w:bCs/>
          <w:snapToGrid w:val="0"/>
          <w:lang w:val="en-GB"/>
        </w:rPr>
        <w:t xml:space="preserve">to be Streamlined authority while subsequent continuing </w:t>
      </w:r>
      <w:r w:rsidR="00866510">
        <w:rPr>
          <w:rFonts w:asciiTheme="minorHAnsi" w:hAnsiTheme="minorHAnsi" w:cs="Arial"/>
          <w:bCs/>
          <w:snapToGrid w:val="0"/>
          <w:lang w:val="en-GB"/>
        </w:rPr>
        <w:t>restriction</w:t>
      </w:r>
      <w:r>
        <w:rPr>
          <w:rFonts w:asciiTheme="minorHAnsi" w:hAnsiTheme="minorHAnsi" w:cs="Arial"/>
          <w:bCs/>
          <w:snapToGrid w:val="0"/>
          <w:lang w:val="en-GB"/>
        </w:rPr>
        <w:t xml:space="preserve"> for </w:t>
      </w:r>
      <w:r w:rsidR="00866510">
        <w:rPr>
          <w:rFonts w:asciiTheme="minorHAnsi" w:hAnsiTheme="minorHAnsi" w:cs="Arial"/>
          <w:bCs/>
          <w:snapToGrid w:val="0"/>
          <w:lang w:val="en-GB"/>
        </w:rPr>
        <w:t xml:space="preserve">the </w:t>
      </w:r>
      <w:r w:rsidR="00002A9A">
        <w:rPr>
          <w:rFonts w:asciiTheme="minorHAnsi" w:hAnsiTheme="minorHAnsi" w:cs="Arial"/>
          <w:bCs/>
          <w:snapToGrid w:val="0"/>
          <w:lang w:val="en-GB"/>
        </w:rPr>
        <w:t>reference biological medicine</w:t>
      </w:r>
      <w:r>
        <w:rPr>
          <w:rFonts w:asciiTheme="minorHAnsi" w:hAnsiTheme="minorHAnsi" w:cs="Arial"/>
          <w:bCs/>
          <w:snapToGrid w:val="0"/>
          <w:lang w:val="en-GB"/>
        </w:rPr>
        <w:t xml:space="preserve"> will remain as </w:t>
      </w:r>
      <w:r w:rsidR="0016446E">
        <w:rPr>
          <w:rFonts w:asciiTheme="minorHAnsi" w:hAnsiTheme="minorHAnsi" w:cs="Arial"/>
          <w:bCs/>
          <w:snapToGrid w:val="0"/>
          <w:lang w:val="en-GB"/>
        </w:rPr>
        <w:t xml:space="preserve">a </w:t>
      </w:r>
      <w:r>
        <w:rPr>
          <w:rFonts w:asciiTheme="minorHAnsi" w:hAnsiTheme="minorHAnsi" w:cs="Arial"/>
          <w:bCs/>
          <w:snapToGrid w:val="0"/>
          <w:lang w:val="en-GB"/>
        </w:rPr>
        <w:t>written authority; and</w:t>
      </w:r>
    </w:p>
    <w:p w:rsidR="00F5347B" w:rsidRPr="00525B39" w:rsidRDefault="00F5347B" w:rsidP="00F5347B">
      <w:pPr>
        <w:widowControl w:val="0"/>
        <w:numPr>
          <w:ilvl w:val="1"/>
          <w:numId w:val="35"/>
        </w:numPr>
        <w:spacing w:after="120"/>
        <w:ind w:left="1276" w:hanging="567"/>
        <w:jc w:val="both"/>
        <w:rPr>
          <w:rFonts w:asciiTheme="minorHAnsi" w:hAnsiTheme="minorHAnsi" w:cs="Arial"/>
          <w:bCs/>
          <w:snapToGrid w:val="0"/>
          <w:lang w:val="en-GB"/>
        </w:rPr>
      </w:pPr>
      <w:proofErr w:type="gramStart"/>
      <w:r>
        <w:rPr>
          <w:rFonts w:asciiTheme="minorHAnsi" w:hAnsiTheme="minorHAnsi" w:cs="Arial"/>
          <w:bCs/>
          <w:snapToGrid w:val="0"/>
          <w:lang w:val="en-GB"/>
        </w:rPr>
        <w:t>the</w:t>
      </w:r>
      <w:proofErr w:type="gramEnd"/>
      <w:r>
        <w:rPr>
          <w:rFonts w:asciiTheme="minorHAnsi" w:hAnsiTheme="minorHAnsi" w:cs="Arial"/>
          <w:bCs/>
          <w:snapToGrid w:val="0"/>
          <w:lang w:val="en-GB"/>
        </w:rPr>
        <w:t xml:space="preserve"> application of an Administrative Note encouraging the use of biosimilar brands for treatment naïve patients.</w:t>
      </w:r>
    </w:p>
    <w:p w:rsidR="001235EC" w:rsidRDefault="001235EC" w:rsidP="001235EC">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The PBAC noted that the Advisory Committee on Medicines (ACM), i</w:t>
      </w:r>
      <w:r w:rsidRPr="00F77BBD">
        <w:rPr>
          <w:rFonts w:asciiTheme="minorHAnsi" w:eastAsiaTheme="minorHAnsi" w:hAnsiTheme="minorHAnsi" w:cstheme="minorBidi"/>
          <w:snapToGrid/>
          <w:sz w:val="24"/>
          <w:szCs w:val="22"/>
        </w:rPr>
        <w:t xml:space="preserve">n its consideration of </w:t>
      </w:r>
      <w:proofErr w:type="spellStart"/>
      <w:r w:rsidRPr="00F77BBD">
        <w:rPr>
          <w:rFonts w:asciiTheme="minorHAnsi" w:eastAsiaTheme="minorHAnsi" w:hAnsiTheme="minorHAnsi" w:cstheme="minorBidi"/>
          <w:snapToGrid/>
          <w:sz w:val="24"/>
          <w:szCs w:val="22"/>
        </w:rPr>
        <w:t>Amgevita</w:t>
      </w:r>
      <w:proofErr w:type="spellEnd"/>
      <w:r w:rsidRPr="00F77BBD">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stated</w:t>
      </w:r>
      <w:r w:rsidRPr="00F77BBD">
        <w:rPr>
          <w:rFonts w:asciiTheme="minorHAnsi" w:eastAsiaTheme="minorHAnsi" w:hAnsiTheme="minorHAnsi" w:cstheme="minorBidi"/>
          <w:snapToGrid/>
          <w:sz w:val="24"/>
          <w:szCs w:val="22"/>
        </w:rPr>
        <w:t xml:space="preserve"> that a quality use of medicine issue was ‘the potential difference in injection device in the context of switching between biosimilar medicines’. </w:t>
      </w:r>
      <w:r>
        <w:rPr>
          <w:rFonts w:asciiTheme="minorHAnsi" w:eastAsiaTheme="minorHAnsi" w:hAnsiTheme="minorHAnsi" w:cstheme="minorBidi"/>
          <w:snapToGrid/>
          <w:sz w:val="24"/>
          <w:szCs w:val="22"/>
        </w:rPr>
        <w:t>T</w:t>
      </w:r>
      <w:r w:rsidRPr="00F77BBD">
        <w:rPr>
          <w:rFonts w:asciiTheme="minorHAnsi" w:eastAsiaTheme="minorHAnsi" w:hAnsiTheme="minorHAnsi" w:cstheme="minorBidi"/>
          <w:snapToGrid/>
          <w:sz w:val="24"/>
          <w:szCs w:val="22"/>
        </w:rPr>
        <w:t xml:space="preserve">he PBAC </w:t>
      </w:r>
      <w:r>
        <w:rPr>
          <w:rFonts w:asciiTheme="minorHAnsi" w:eastAsiaTheme="minorHAnsi" w:hAnsiTheme="minorHAnsi" w:cstheme="minorBidi"/>
          <w:snapToGrid/>
          <w:sz w:val="24"/>
          <w:szCs w:val="22"/>
        </w:rPr>
        <w:t xml:space="preserve">recalled that it had </w:t>
      </w:r>
      <w:r w:rsidRPr="00F77BBD">
        <w:rPr>
          <w:rFonts w:asciiTheme="minorHAnsi" w:eastAsiaTheme="minorHAnsi" w:hAnsiTheme="minorHAnsi" w:cstheme="minorBidi"/>
          <w:snapToGrid/>
          <w:sz w:val="24"/>
          <w:szCs w:val="22"/>
        </w:rPr>
        <w:t>encountered this issue in its consideration of the etanercept biosimilar, Brenzys, and stated</w:t>
      </w:r>
      <w:r>
        <w:rPr>
          <w:rFonts w:asciiTheme="minorHAnsi" w:eastAsiaTheme="minorHAnsi" w:hAnsiTheme="minorHAnsi" w:cstheme="minorBidi"/>
          <w:snapToGrid/>
          <w:sz w:val="24"/>
          <w:szCs w:val="22"/>
        </w:rPr>
        <w:t xml:space="preserve"> in that case</w:t>
      </w:r>
      <w:r w:rsidRPr="00F77BBD">
        <w:rPr>
          <w:rFonts w:asciiTheme="minorHAnsi" w:eastAsiaTheme="minorHAnsi" w:hAnsiTheme="minorHAnsi" w:cstheme="minorBidi"/>
          <w:snapToGrid/>
          <w:sz w:val="24"/>
          <w:szCs w:val="22"/>
        </w:rPr>
        <w:t xml:space="preserve"> that differences in auto injector presentations were ‘likely to be minor and can be managed through the regular patient education and counselling on the use of the devices that is provided to patients by prescribers and pharmacists.’ (</w:t>
      </w:r>
      <w:proofErr w:type="gramStart"/>
      <w:r w:rsidRPr="00F77BBD">
        <w:rPr>
          <w:rFonts w:asciiTheme="minorHAnsi" w:eastAsiaTheme="minorHAnsi" w:hAnsiTheme="minorHAnsi" w:cstheme="minorBidi"/>
          <w:snapToGrid/>
          <w:sz w:val="24"/>
          <w:szCs w:val="22"/>
        </w:rPr>
        <w:t>etanercept</w:t>
      </w:r>
      <w:proofErr w:type="gramEnd"/>
      <w:r w:rsidRPr="00F77BBD">
        <w:rPr>
          <w:rFonts w:asciiTheme="minorHAnsi" w:eastAsiaTheme="minorHAnsi" w:hAnsiTheme="minorHAnsi" w:cstheme="minorBidi"/>
          <w:snapToGrid/>
          <w:sz w:val="24"/>
          <w:szCs w:val="22"/>
        </w:rPr>
        <w:t xml:space="preserve"> public summary document, July 2016).</w:t>
      </w:r>
      <w:r w:rsidR="001F0CB7">
        <w:rPr>
          <w:rFonts w:asciiTheme="minorHAnsi" w:eastAsiaTheme="minorHAnsi" w:hAnsiTheme="minorHAnsi" w:cstheme="minorBidi"/>
          <w:snapToGrid/>
          <w:sz w:val="24"/>
          <w:szCs w:val="22"/>
        </w:rPr>
        <w:t xml:space="preserve"> The PBAC considered that, as with Brenzys, the differences between </w:t>
      </w:r>
      <w:proofErr w:type="spellStart"/>
      <w:r w:rsidR="001F0CB7">
        <w:rPr>
          <w:rFonts w:asciiTheme="minorHAnsi" w:eastAsiaTheme="minorHAnsi" w:hAnsiTheme="minorHAnsi" w:cstheme="minorBidi"/>
          <w:snapToGrid/>
          <w:sz w:val="24"/>
          <w:szCs w:val="22"/>
        </w:rPr>
        <w:t>Amgevita</w:t>
      </w:r>
      <w:proofErr w:type="spellEnd"/>
      <w:r w:rsidR="001F0CB7">
        <w:rPr>
          <w:rFonts w:asciiTheme="minorHAnsi" w:eastAsiaTheme="minorHAnsi" w:hAnsiTheme="minorHAnsi" w:cstheme="minorBidi"/>
          <w:snapToGrid/>
          <w:sz w:val="24"/>
          <w:szCs w:val="22"/>
        </w:rPr>
        <w:t xml:space="preserve"> and Humira are likely to be minor and manageable.</w:t>
      </w:r>
    </w:p>
    <w:p w:rsidR="00227091" w:rsidRPr="00DF05B7" w:rsidRDefault="00227091" w:rsidP="001F0CB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227091">
        <w:rPr>
          <w:rFonts w:asciiTheme="minorHAnsi" w:eastAsiaTheme="minorHAnsi" w:hAnsiTheme="minorHAnsi" w:cstheme="minorBidi"/>
          <w:snapToGrid/>
          <w:sz w:val="24"/>
          <w:szCs w:val="22"/>
        </w:rPr>
        <w:t xml:space="preserve">The PBAC noted that another adalimumab biosimilar brand, Hadlima® for severe active rheumatoid arthritis, was also considered at its July 2018 PBAC meeting, with Humira as the reference product. The PBAC considered that it would be appropriate for all three brands of adalimumab (Humira, </w:t>
      </w:r>
      <w:proofErr w:type="spellStart"/>
      <w:r w:rsidRPr="00227091">
        <w:rPr>
          <w:rFonts w:asciiTheme="minorHAnsi" w:eastAsiaTheme="minorHAnsi" w:hAnsiTheme="minorHAnsi" w:cstheme="minorBidi"/>
          <w:snapToGrid/>
          <w:sz w:val="24"/>
          <w:szCs w:val="22"/>
        </w:rPr>
        <w:t>Amgevita</w:t>
      </w:r>
      <w:proofErr w:type="spellEnd"/>
      <w:r w:rsidRPr="00227091">
        <w:rPr>
          <w:rFonts w:asciiTheme="minorHAnsi" w:eastAsiaTheme="minorHAnsi" w:hAnsiTheme="minorHAnsi" w:cstheme="minorBidi"/>
          <w:snapToGrid/>
          <w:sz w:val="24"/>
          <w:szCs w:val="22"/>
        </w:rPr>
        <w:t xml:space="preserve"> and Hadlima) to be ‘a’ flagged to each other.</w:t>
      </w:r>
    </w:p>
    <w:p w:rsidR="00227091" w:rsidRPr="00DF05B7" w:rsidRDefault="001235EC" w:rsidP="00DF05B7">
      <w:pPr>
        <w:pStyle w:val="ListParagraph"/>
        <w:widowControl/>
        <w:numPr>
          <w:ilvl w:val="1"/>
          <w:numId w:val="5"/>
        </w:numPr>
        <w:spacing w:after="120"/>
        <w:contextualSpacing w:val="0"/>
        <w:rPr>
          <w:rFonts w:asciiTheme="minorHAnsi" w:eastAsiaTheme="minorHAnsi" w:hAnsiTheme="minorHAnsi" w:cstheme="minorBidi"/>
          <w:szCs w:val="22"/>
        </w:rPr>
      </w:pPr>
      <w:r w:rsidRPr="00227091">
        <w:rPr>
          <w:rFonts w:asciiTheme="minorHAnsi" w:eastAsiaTheme="minorHAnsi" w:hAnsiTheme="minorHAnsi" w:cstheme="minorBidi"/>
          <w:snapToGrid/>
          <w:sz w:val="24"/>
          <w:szCs w:val="22"/>
        </w:rPr>
        <w:t xml:space="preserve">The PBAC advised that, under Section 101(4AACD) of the </w:t>
      </w:r>
      <w:r w:rsidRPr="008F0547">
        <w:rPr>
          <w:rFonts w:asciiTheme="minorHAnsi" w:eastAsiaTheme="minorHAnsi" w:hAnsiTheme="minorHAnsi" w:cstheme="minorBidi"/>
          <w:i/>
          <w:snapToGrid/>
          <w:sz w:val="24"/>
          <w:szCs w:val="22"/>
        </w:rPr>
        <w:t>National Health Act, 1953</w:t>
      </w:r>
      <w:r w:rsidR="001953C5" w:rsidRPr="008F0547">
        <w:rPr>
          <w:rFonts w:asciiTheme="minorHAnsi" w:eastAsiaTheme="minorHAnsi" w:hAnsiTheme="minorHAnsi" w:cstheme="minorBidi"/>
          <w:i/>
          <w:snapToGrid/>
          <w:sz w:val="24"/>
          <w:szCs w:val="22"/>
        </w:rPr>
        <w:t>,</w:t>
      </w:r>
      <w:r w:rsidRPr="00227091">
        <w:rPr>
          <w:rFonts w:asciiTheme="minorHAnsi" w:eastAsiaTheme="minorHAnsi" w:hAnsiTheme="minorHAnsi" w:cstheme="minorBidi"/>
          <w:snapToGrid/>
          <w:sz w:val="24"/>
          <w:szCs w:val="22"/>
        </w:rPr>
        <w:t xml:space="preserve"> </w:t>
      </w:r>
      <w:r w:rsidR="001953C5" w:rsidRPr="00DF05B7">
        <w:rPr>
          <w:rFonts w:asciiTheme="minorHAnsi" w:hAnsiTheme="minorHAnsi" w:cstheme="minorHAnsi"/>
          <w:sz w:val="24"/>
          <w:szCs w:val="24"/>
        </w:rPr>
        <w:t xml:space="preserve">in the Schedule of Pharmaceutical Benefits, </w:t>
      </w:r>
      <w:proofErr w:type="spellStart"/>
      <w:r w:rsidR="001953C5" w:rsidRPr="00DF05B7">
        <w:rPr>
          <w:rFonts w:asciiTheme="minorHAnsi" w:hAnsiTheme="minorHAnsi" w:cstheme="minorHAnsi"/>
          <w:sz w:val="24"/>
          <w:szCs w:val="24"/>
        </w:rPr>
        <w:t>Amgevita</w:t>
      </w:r>
      <w:proofErr w:type="spellEnd"/>
      <w:r w:rsidR="001953C5" w:rsidRPr="00DF05B7">
        <w:rPr>
          <w:rFonts w:asciiTheme="minorHAnsi" w:hAnsiTheme="minorHAnsi" w:cstheme="minorHAnsi"/>
          <w:sz w:val="24"/>
          <w:szCs w:val="24"/>
        </w:rPr>
        <w:t xml:space="preserve">, Hadlima and Humira pre-filled syringes should be treated as equivalent to each other and </w:t>
      </w:r>
      <w:proofErr w:type="spellStart"/>
      <w:r w:rsidR="001953C5" w:rsidRPr="00DF05B7">
        <w:rPr>
          <w:rFonts w:asciiTheme="minorHAnsi" w:hAnsiTheme="minorHAnsi" w:cstheme="minorHAnsi"/>
          <w:sz w:val="24"/>
          <w:szCs w:val="24"/>
        </w:rPr>
        <w:t>Amgevita</w:t>
      </w:r>
      <w:proofErr w:type="spellEnd"/>
      <w:r w:rsidR="001953C5" w:rsidRPr="00DF05B7">
        <w:rPr>
          <w:rFonts w:asciiTheme="minorHAnsi" w:hAnsiTheme="minorHAnsi" w:cstheme="minorHAnsi"/>
          <w:sz w:val="24"/>
          <w:szCs w:val="24"/>
        </w:rPr>
        <w:t>, Hadlima and Humira cartridges should be treated as equivalent to each other.</w:t>
      </w:r>
    </w:p>
    <w:p w:rsidR="00BA4D0C" w:rsidRDefault="00BA4D0C" w:rsidP="00BA4D0C">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reiterated its previous advice that adalimumab should not be exempt from the Early Supply Rule.</w:t>
      </w:r>
    </w:p>
    <w:p w:rsidR="00BA4D0C" w:rsidRPr="00525B39" w:rsidRDefault="00BA4D0C" w:rsidP="00BA4D0C">
      <w:pPr>
        <w:widowControl w:val="0"/>
        <w:numPr>
          <w:ilvl w:val="1"/>
          <w:numId w:val="5"/>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w:t>
      </w:r>
      <w:r>
        <w:rPr>
          <w:rFonts w:asciiTheme="minorHAnsi" w:hAnsiTheme="minorHAnsi" w:cs="Arial"/>
          <w:bCs/>
          <w:snapToGrid w:val="0"/>
          <w:lang w:val="en-GB"/>
        </w:rPr>
        <w:t xml:space="preserve">reiterated its previous advice that adalimumab </w:t>
      </w:r>
      <w:r w:rsidRPr="00525B39">
        <w:rPr>
          <w:rFonts w:asciiTheme="minorHAnsi" w:hAnsiTheme="minorHAnsi" w:cs="Arial"/>
          <w:bCs/>
          <w:snapToGrid w:val="0"/>
          <w:lang w:val="en-GB"/>
        </w:rPr>
        <w:t xml:space="preserve">is not suitable for prescribing by nurse practitioners.  </w:t>
      </w:r>
    </w:p>
    <w:p w:rsidR="00BA4D0C" w:rsidRPr="001235EC" w:rsidRDefault="00BA4D0C" w:rsidP="00BA4D0C">
      <w:pPr>
        <w:widowControl w:val="0"/>
        <w:numPr>
          <w:ilvl w:val="1"/>
          <w:numId w:val="5"/>
        </w:numPr>
        <w:spacing w:after="120"/>
        <w:jc w:val="both"/>
        <w:rPr>
          <w:rFonts w:asciiTheme="minorHAnsi" w:hAnsiTheme="minorHAnsi" w:cs="Arial"/>
          <w:bCs/>
          <w:i/>
          <w:snapToGrid w:val="0"/>
          <w:lang w:val="en-GB"/>
        </w:rPr>
      </w:pPr>
      <w:r w:rsidRPr="00525B39">
        <w:rPr>
          <w:rFonts w:asciiTheme="minorHAnsi" w:hAnsiTheme="minorHAnsi" w:cs="Arial"/>
          <w:bCs/>
          <w:snapToGrid w:val="0"/>
          <w:lang w:val="en-GB"/>
        </w:rPr>
        <w:t>The PBAC noted that this submission is not eligible for an Independent Review</w:t>
      </w:r>
      <w:r>
        <w:rPr>
          <w:rFonts w:asciiTheme="minorHAnsi" w:hAnsiTheme="minorHAnsi" w:cs="Arial"/>
          <w:bCs/>
          <w:snapToGrid w:val="0"/>
          <w:lang w:val="en-GB"/>
        </w:rPr>
        <w:t xml:space="preserve"> as it received a positive recommendation.</w:t>
      </w:r>
    </w:p>
    <w:p w:rsidR="00F77BBD" w:rsidRPr="00525B39" w:rsidRDefault="00F77BBD" w:rsidP="00F77BBD">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F77BBD" w:rsidRPr="0014529D" w:rsidRDefault="00F77BBD" w:rsidP="0014529D">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F77BBD" w:rsidRPr="00525B39" w:rsidRDefault="00F77BBD" w:rsidP="00B72DF6">
      <w:pPr>
        <w:widowControl w:val="0"/>
        <w:numPr>
          <w:ilvl w:val="0"/>
          <w:numId w:val="5"/>
        </w:numPr>
        <w:spacing w:before="24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296EBC" w:rsidRDefault="00296EBC" w:rsidP="00AD370B">
      <w:pPr>
        <w:widowControl w:val="0"/>
        <w:jc w:val="both"/>
        <w:rPr>
          <w:rFonts w:asciiTheme="minorHAnsi" w:hAnsiTheme="minorHAnsi" w:cs="Arial"/>
          <w:bCs/>
          <w:snapToGrid w:val="0"/>
        </w:rPr>
      </w:pPr>
      <w:r>
        <w:rPr>
          <w:rFonts w:asciiTheme="minorHAnsi" w:hAnsiTheme="minorHAnsi" w:cs="Arial"/>
          <w:bCs/>
          <w:snapToGrid w:val="0"/>
        </w:rPr>
        <w:t xml:space="preserve">The full restriction for the hidradenitis </w:t>
      </w:r>
      <w:proofErr w:type="spellStart"/>
      <w:r w:rsidR="00AB0AF3">
        <w:rPr>
          <w:rFonts w:asciiTheme="minorHAnsi" w:hAnsiTheme="minorHAnsi" w:cs="Arial"/>
          <w:bCs/>
          <w:snapToGrid w:val="0"/>
        </w:rPr>
        <w:t>suppurativa</w:t>
      </w:r>
      <w:proofErr w:type="spellEnd"/>
      <w:r>
        <w:rPr>
          <w:rFonts w:asciiTheme="minorHAnsi" w:hAnsiTheme="minorHAnsi" w:cs="Arial"/>
          <w:bCs/>
          <w:snapToGrid w:val="0"/>
        </w:rPr>
        <w:t xml:space="preserve"> indication is shown below. </w:t>
      </w:r>
      <w:r w:rsidR="00DB4EE2">
        <w:rPr>
          <w:rFonts w:asciiTheme="minorHAnsi" w:hAnsiTheme="minorHAnsi" w:cs="Arial"/>
          <w:bCs/>
          <w:snapToGrid w:val="0"/>
        </w:rPr>
        <w:t>The restrictions for all other indications</w:t>
      </w:r>
      <w:r w:rsidR="00AB0AF3">
        <w:rPr>
          <w:rFonts w:asciiTheme="minorHAnsi" w:hAnsiTheme="minorHAnsi" w:cs="Arial"/>
          <w:bCs/>
          <w:snapToGrid w:val="0"/>
        </w:rPr>
        <w:t xml:space="preserve"> will be based upon the etanercept and infliximab biosimilar restrictions, which will incorporate the same biosimilar uptake drivers as </w:t>
      </w:r>
      <w:r w:rsidR="0002684D">
        <w:rPr>
          <w:rFonts w:asciiTheme="minorHAnsi" w:hAnsiTheme="minorHAnsi" w:cs="Arial"/>
          <w:bCs/>
          <w:snapToGrid w:val="0"/>
        </w:rPr>
        <w:t xml:space="preserve">the </w:t>
      </w:r>
      <w:proofErr w:type="spellStart"/>
      <w:r w:rsidR="00AB0AF3">
        <w:rPr>
          <w:rFonts w:asciiTheme="minorHAnsi" w:hAnsiTheme="minorHAnsi" w:cs="Arial"/>
          <w:bCs/>
          <w:snapToGrid w:val="0"/>
        </w:rPr>
        <w:t>Amgevita</w:t>
      </w:r>
      <w:proofErr w:type="spellEnd"/>
      <w:r w:rsidR="0002684D">
        <w:rPr>
          <w:rFonts w:asciiTheme="minorHAnsi" w:hAnsiTheme="minorHAnsi" w:cs="Arial"/>
          <w:bCs/>
          <w:snapToGrid w:val="0"/>
        </w:rPr>
        <w:t xml:space="preserve"> restriction</w:t>
      </w:r>
      <w:r w:rsidR="00AB0AF3">
        <w:rPr>
          <w:rFonts w:asciiTheme="minorHAnsi" w:hAnsiTheme="minorHAnsi" w:cs="Arial"/>
          <w:bCs/>
          <w:snapToGrid w:val="0"/>
        </w:rPr>
        <w:t>.</w:t>
      </w:r>
    </w:p>
    <w:p w:rsidR="004B32AE" w:rsidRDefault="004B32AE" w:rsidP="00AD370B">
      <w:pPr>
        <w:widowControl w:val="0"/>
        <w:jc w:val="both"/>
        <w:rPr>
          <w:rFonts w:asciiTheme="minorHAnsi" w:hAnsiTheme="minorHAnsi" w:cs="Arial"/>
          <w:bCs/>
          <w:snapToGrid w:val="0"/>
        </w:rPr>
      </w:pPr>
    </w:p>
    <w:p w:rsidR="00F77BBD" w:rsidRDefault="00F77BBD" w:rsidP="00AD370B">
      <w:pPr>
        <w:widowControl w:val="0"/>
        <w:jc w:val="both"/>
        <w:rPr>
          <w:rFonts w:asciiTheme="minorHAnsi" w:hAnsiTheme="minorHAnsi" w:cs="Arial"/>
          <w:bCs/>
          <w:snapToGrid w:val="0"/>
        </w:rPr>
      </w:pPr>
      <w:r w:rsidRPr="00525B39">
        <w:rPr>
          <w:rFonts w:asciiTheme="minorHAnsi" w:hAnsiTheme="minorHAnsi" w:cs="Arial"/>
          <w:bCs/>
          <w:snapToGrid w:val="0"/>
        </w:rPr>
        <w:t>Add new item:</w:t>
      </w:r>
    </w:p>
    <w:p w:rsidR="00B72DF6" w:rsidRPr="00525B39" w:rsidRDefault="00B72DF6" w:rsidP="00AD370B">
      <w:pPr>
        <w:widowControl w:val="0"/>
        <w:jc w:val="both"/>
        <w:rPr>
          <w:rFonts w:asciiTheme="minorHAnsi" w:hAnsiTheme="minorHAnsi" w:cs="Arial"/>
          <w:bCs/>
          <w:snapToGrid w:val="0"/>
        </w:rPr>
      </w:pPr>
    </w:p>
    <w:p w:rsidR="00AD370B" w:rsidRPr="00AD370B" w:rsidRDefault="00AD370B" w:rsidP="00AD370B">
      <w:pPr>
        <w:pStyle w:val="Heading2"/>
        <w:rPr>
          <w:rFonts w:ascii="Arial Narrow" w:hAnsi="Arial Narrow"/>
          <w:sz w:val="20"/>
          <w:szCs w:val="20"/>
        </w:rPr>
      </w:pPr>
      <w:bookmarkStart w:id="3" w:name="_Toc517860420"/>
      <w:r w:rsidRPr="00AD370B">
        <w:rPr>
          <w:rFonts w:ascii="Arial Narrow" w:hAnsi="Arial Narrow"/>
          <w:sz w:val="20"/>
          <w:szCs w:val="20"/>
        </w:rPr>
        <w:lastRenderedPageBreak/>
        <w:t>Initial 1</w:t>
      </w:r>
      <w:bookmarkEnd w:id="3"/>
    </w:p>
    <w:tbl>
      <w:tblPr>
        <w:tblW w:w="9101" w:type="dxa"/>
        <w:tblInd w:w="108" w:type="dxa"/>
        <w:tblLayout w:type="fixed"/>
        <w:tblLook w:val="0000" w:firstRow="0" w:lastRow="0" w:firstColumn="0" w:lastColumn="0" w:noHBand="0" w:noVBand="0"/>
      </w:tblPr>
      <w:tblGrid>
        <w:gridCol w:w="1730"/>
        <w:gridCol w:w="2381"/>
        <w:gridCol w:w="851"/>
        <w:gridCol w:w="992"/>
        <w:gridCol w:w="992"/>
        <w:gridCol w:w="1446"/>
        <w:gridCol w:w="709"/>
      </w:tblGrid>
      <w:tr w:rsidR="00AD370B" w:rsidRPr="00AD370B" w:rsidTr="00AD370B">
        <w:trPr>
          <w:trHeight w:val="471"/>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Name, Restriction,</w:t>
            </w:r>
          </w:p>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Manner of administration and form</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Packs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Units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№.of</w:t>
            </w:r>
          </w:p>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Rpts</w:t>
            </w:r>
          </w:p>
        </w:tc>
        <w:tc>
          <w:tcPr>
            <w:tcW w:w="2155"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lang w:val="fr-FR"/>
              </w:rPr>
            </w:pPr>
            <w:r w:rsidRPr="00AD370B">
              <w:rPr>
                <w:rFonts w:ascii="Arial Narrow" w:hAnsi="Arial Narrow" w:cstheme="minorHAnsi"/>
                <w:sz w:val="20"/>
                <w:szCs w:val="20"/>
              </w:rPr>
              <w:t>Proprietary Name and Manufacturer</w:t>
            </w:r>
          </w:p>
        </w:tc>
      </w:tr>
      <w:tr w:rsidR="00AD370B" w:rsidRPr="00AD370B" w:rsidTr="00AD370B">
        <w:trPr>
          <w:trHeight w:val="577"/>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mallCaps/>
                <w:sz w:val="20"/>
                <w:szCs w:val="20"/>
              </w:rPr>
              <w:t>ADALIMUMAB</w:t>
            </w:r>
          </w:p>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eastAsiaTheme="minorHAnsi" w:hAnsi="Arial Narrow" w:cstheme="minorHAnsi"/>
                <w:b/>
                <w:bCs/>
                <w:sz w:val="20"/>
                <w:szCs w:val="20"/>
                <w:lang w:eastAsia="en-US"/>
              </w:rPr>
              <w:t>adalimumab 40 mg/0.8 mL injection, 6 x 0.8 mL pre-filled pens</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0</w:t>
            </w:r>
          </w:p>
        </w:tc>
        <w:tc>
          <w:tcPr>
            <w:tcW w:w="1446"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AMGEVITA</w:t>
            </w:r>
          </w:p>
        </w:tc>
        <w:tc>
          <w:tcPr>
            <w:tcW w:w="709"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AN</w:t>
            </w:r>
          </w:p>
        </w:tc>
      </w:tr>
      <w:tr w:rsidR="00AD370B" w:rsidRPr="00AD370B" w:rsidTr="00AD370B">
        <w:trPr>
          <w:trHeight w:val="16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Category/Program</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Authority Required</w:t>
            </w:r>
          </w:p>
        </w:tc>
      </w:tr>
      <w:tr w:rsidR="00AD370B" w:rsidRPr="00AD370B" w:rsidTr="00AD370B">
        <w:trPr>
          <w:trHeight w:val="253"/>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w:t>
            </w:r>
          </w:p>
        </w:tc>
      </w:tr>
      <w:tr w:rsidR="00AD370B" w:rsidRPr="00AD370B" w:rsidTr="00AD370B">
        <w:trPr>
          <w:trHeight w:val="28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41"/>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27"/>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i/>
                <w:sz w:val="20"/>
                <w:szCs w:val="20"/>
              </w:rPr>
            </w:pPr>
            <w:r w:rsidRPr="00AD370B">
              <w:rPr>
                <w:rFonts w:ascii="Arial Narrow" w:hAnsi="Arial Narrow" w:cstheme="minorHAnsi"/>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Initial treatment 1 - New patient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Restriction Level / Method:</w:t>
            </w:r>
          </w:p>
          <w:p w:rsidR="00AD370B" w:rsidRPr="00AD370B" w:rsidRDefault="00AD370B" w:rsidP="00AD370B">
            <w:pPr>
              <w:spacing w:line="276" w:lineRule="auto"/>
              <w:rPr>
                <w:rFonts w:ascii="Arial Narrow" w:hAnsi="Arial Narrow" w:cstheme="minorHAnsi"/>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1"/>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 xml:space="preserve">Restricted benefit </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1"/>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In Writing</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Telephone</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Emergency</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5"/>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Electronic</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val="0"/>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Streamlined</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Clinical criteria:</w:t>
            </w:r>
          </w:p>
          <w:p w:rsidR="00AD370B" w:rsidRPr="00AD370B" w:rsidRDefault="00AD370B" w:rsidP="00AD370B">
            <w:pPr>
              <w:spacing w:line="276" w:lineRule="auto"/>
              <w:jc w:val="both"/>
              <w:rPr>
                <w:rFonts w:ascii="Arial Narrow" w:hAnsi="Arial Narrow" w:cstheme="minorHAnsi"/>
                <w:i/>
                <w:sz w:val="20"/>
                <w:szCs w:val="20"/>
              </w:rPr>
            </w:pPr>
          </w:p>
          <w:p w:rsidR="00AD370B" w:rsidRPr="00AD370B" w:rsidRDefault="00AD370B" w:rsidP="00AD370B">
            <w:pPr>
              <w:spacing w:line="276" w:lineRule="auto"/>
              <w:jc w:val="both"/>
              <w:rPr>
                <w:rFonts w:ascii="Arial Narrow" w:hAnsi="Arial Narrow" w:cstheme="minorHAns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Patient must have, at the time of application, a Hurley stage II or III grading with an abscess and inflammatory nodule (AN) count greater than or equal to 3,</w:t>
            </w:r>
          </w:p>
          <w:p w:rsidR="00AD370B" w:rsidRPr="00AD370B" w:rsidRDefault="00AD370B" w:rsidP="00AD370B">
            <w:pPr>
              <w:spacing w:line="276" w:lineRule="auto"/>
              <w:rPr>
                <w:rFonts w:ascii="Arial Narrow" w:eastAsiaTheme="minorHAnsi" w:hAnsi="Arial Narrow" w:cstheme="minorHAnsi"/>
                <w:b/>
                <w:sz w:val="20"/>
                <w:szCs w:val="20"/>
                <w:lang w:eastAsia="en-US"/>
              </w:rPr>
            </w:pPr>
            <w:r w:rsidRPr="00AD370B">
              <w:rPr>
                <w:rFonts w:ascii="Arial Narrow" w:eastAsiaTheme="minorHAnsi" w:hAnsi="Arial Narrow" w:cstheme="minorHAnsi"/>
                <w:b/>
                <w:sz w:val="20"/>
                <w:szCs w:val="20"/>
                <w:lang w:eastAsia="en-US"/>
              </w:rPr>
              <w:t>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Patient must have failed to achieve an adequate response to 2 courses of different antibiotics each for 3 months prior to initiation of PBS subsidised treatment with this drug for this condition; </w:t>
            </w:r>
            <w:r w:rsidRPr="00AD370B">
              <w:rPr>
                <w:rFonts w:ascii="Arial Narrow" w:eastAsiaTheme="minorHAnsi" w:hAnsi="Arial Narrow" w:cstheme="minorHAnsi"/>
                <w:b/>
                <w:sz w:val="20"/>
                <w:szCs w:val="20"/>
                <w:lang w:eastAsia="en-US"/>
              </w:rPr>
              <w:t>OR</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w:t>
            </w:r>
            <w:r w:rsidRPr="00AD370B">
              <w:rPr>
                <w:rFonts w:ascii="Arial Narrow" w:eastAsiaTheme="minorHAnsi" w:hAnsi="Arial Narrow" w:cstheme="minorHAnsi"/>
                <w:b/>
                <w:sz w:val="20"/>
                <w:szCs w:val="20"/>
                <w:lang w:eastAsia="en-US"/>
              </w:rPr>
              <w:t>OR</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w:t>
            </w:r>
          </w:p>
          <w:p w:rsidR="00AD370B" w:rsidRPr="00AD370B" w:rsidRDefault="00AD370B" w:rsidP="00AD370B">
            <w:pPr>
              <w:spacing w:line="276" w:lineRule="auto"/>
              <w:rPr>
                <w:rFonts w:ascii="Arial Narrow" w:eastAsiaTheme="minorHAnsi" w:hAnsi="Arial Narrow" w:cstheme="minorHAnsi"/>
                <w:b/>
                <w:sz w:val="20"/>
                <w:szCs w:val="20"/>
                <w:lang w:eastAsia="en-US"/>
              </w:rPr>
            </w:pPr>
            <w:r w:rsidRPr="00AD370B">
              <w:rPr>
                <w:rFonts w:ascii="Arial Narrow" w:eastAsiaTheme="minorHAnsi" w:hAnsi="Arial Narrow" w:cstheme="minorHAnsi"/>
                <w:b/>
                <w:sz w:val="20"/>
                <w:szCs w:val="20"/>
                <w:lang w:eastAsia="en-US"/>
              </w:rPr>
              <w:t>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The treatment must be limited to a maximum duration of 16 weeks.</w:t>
            </w:r>
          </w:p>
        </w:tc>
      </w:tr>
      <w:tr w:rsidR="00AD370B" w:rsidRPr="00AD370B" w:rsidTr="00AD370B">
        <w:trPr>
          <w:trHeight w:val="29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Population criteria:</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b/>
                <w:sz w:val="20"/>
                <w:szCs w:val="20"/>
              </w:rPr>
              <w:t>Treatment criteria:</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Must be treated by a dermatologist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Prescriber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Assessment of disease severity must be no more than 1 month old at the time of application.</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An assessment of the patient's response to this recommencement course of treatment must be made following a minimum of 12 weeks of treatment.</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At the time of authority application the prescriber must request the first 4 weeks of treatment under this restriction; and weeks 5 to 16 of treatment under Initial treatment 1 - New patient or Initial treatment 2 - Recommencement of treatment - balance of supply</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The authority application must be made in writing and must include:</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(a) a completed authority prescription form; and</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 xml:space="preserve">(b) a completed hidradenitis </w:t>
            </w:r>
            <w:proofErr w:type="spellStart"/>
            <w:r w:rsidRPr="00AD370B">
              <w:rPr>
                <w:rFonts w:ascii="Arial Narrow" w:hAnsi="Arial Narrow" w:cstheme="minorHAnsi"/>
                <w:sz w:val="20"/>
                <w:szCs w:val="20"/>
              </w:rPr>
              <w:t>suppurativa</w:t>
            </w:r>
            <w:proofErr w:type="spellEnd"/>
            <w:r w:rsidRPr="00AD370B">
              <w:rPr>
                <w:rFonts w:ascii="Arial Narrow" w:hAnsi="Arial Narrow" w:cstheme="minorHAnsi"/>
                <w:sz w:val="20"/>
                <w:szCs w:val="20"/>
              </w:rPr>
              <w:t xml:space="preserve"> PBS authority application supporting Information form which must include:</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w:t>
            </w:r>
            <w:proofErr w:type="spellStart"/>
            <w:r w:rsidRPr="00AD370B">
              <w:rPr>
                <w:rFonts w:ascii="Arial Narrow" w:hAnsi="Arial Narrow" w:cstheme="minorHAnsi"/>
                <w:sz w:val="20"/>
                <w:szCs w:val="20"/>
              </w:rPr>
              <w:t>i</w:t>
            </w:r>
            <w:proofErr w:type="spellEnd"/>
            <w:r w:rsidRPr="00AD370B">
              <w:rPr>
                <w:rFonts w:ascii="Arial Narrow" w:hAnsi="Arial Narrow" w:cstheme="minorHAnsi"/>
                <w:sz w:val="20"/>
                <w:szCs w:val="20"/>
              </w:rPr>
              <w:t>) the Hurley stage grading; and</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(ii) the AN count; and</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(iii) the name of the antibiotic/s received for two separate courses each of three months; or</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lastRenderedPageBreak/>
              <w:t xml:space="preserve">(iv) </w:t>
            </w:r>
            <w:proofErr w:type="gramStart"/>
            <w:r w:rsidRPr="00AD370B">
              <w:rPr>
                <w:rFonts w:ascii="Arial Narrow" w:hAnsi="Arial Narrow" w:cstheme="minorHAnsi"/>
                <w:sz w:val="20"/>
                <w:szCs w:val="20"/>
              </w:rPr>
              <w:t>confirmation</w:t>
            </w:r>
            <w:proofErr w:type="gramEnd"/>
            <w:r w:rsidRPr="00AD370B">
              <w:rPr>
                <w:rFonts w:ascii="Arial Narrow" w:hAnsi="Arial Narrow" w:cstheme="minorHAnsi"/>
                <w:sz w:val="20"/>
                <w:szCs w:val="20"/>
              </w:rPr>
              <w:t xml:space="preserve"> that the adverse reaction or allergy to an antibiotic necessitated permanent treatment withdrawal resulting in the patient being unable to complete a three month course of antibiotics. 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 xml:space="preserve">(v) </w:t>
            </w:r>
            <w:proofErr w:type="gramStart"/>
            <w:r w:rsidRPr="00AD370B">
              <w:rPr>
                <w:rFonts w:ascii="Arial Narrow" w:hAnsi="Arial Narrow" w:cstheme="minorHAnsi"/>
                <w:sz w:val="20"/>
                <w:szCs w:val="20"/>
              </w:rPr>
              <w:t>a</w:t>
            </w:r>
            <w:proofErr w:type="gramEnd"/>
            <w:r w:rsidRPr="00AD370B">
              <w:rPr>
                <w:rFonts w:ascii="Arial Narrow" w:hAnsi="Arial Narrow" w:cstheme="minorHAnsi"/>
                <w:sz w:val="20"/>
                <w:szCs w:val="20"/>
              </w:rPr>
              <w:t xml:space="preserve"> signed patient acknowledgement.</w:t>
            </w:r>
          </w:p>
          <w:p w:rsidR="00AD370B" w:rsidRPr="00AD370B" w:rsidRDefault="00AD370B" w:rsidP="00AD370B">
            <w:pPr>
              <w:spacing w:line="276" w:lineRule="auto"/>
              <w:rPr>
                <w:rFonts w:ascii="Arial Narrow" w:hAnsi="Arial Narrow" w:cstheme="minorHAnsi"/>
                <w:sz w:val="20"/>
                <w:szCs w:val="20"/>
              </w:rPr>
            </w:pP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lastRenderedPageBreak/>
              <w:t>Administrative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rPr>
                <w:rFonts w:ascii="Arial Narrow" w:hAnsi="Arial Narrow"/>
                <w:b/>
                <w:sz w:val="20"/>
                <w:szCs w:val="20"/>
              </w:rPr>
            </w:pPr>
            <w:r w:rsidRPr="00AD370B">
              <w:rPr>
                <w:rFonts w:ascii="Arial Narrow" w:hAnsi="Arial Narrow"/>
                <w:b/>
                <w:sz w:val="20"/>
                <w:szCs w:val="20"/>
              </w:rPr>
              <w:t>Note</w:t>
            </w:r>
          </w:p>
          <w:p w:rsidR="00AD370B" w:rsidRPr="00AD370B" w:rsidRDefault="00AD370B" w:rsidP="00AD370B">
            <w:pPr>
              <w:rPr>
                <w:rFonts w:ascii="Arial Narrow" w:hAnsi="Arial Narrow"/>
                <w:b/>
                <w:sz w:val="20"/>
                <w:szCs w:val="20"/>
              </w:rPr>
            </w:pPr>
            <w:r w:rsidRPr="00AD370B">
              <w:rPr>
                <w:rFonts w:ascii="Arial Narrow" w:hAnsi="Arial Narrow"/>
                <w:b/>
                <w:sz w:val="20"/>
                <w:szCs w:val="20"/>
              </w:rPr>
              <w:t xml:space="preserve">Biosimilar prescribing policy </w:t>
            </w:r>
          </w:p>
          <w:p w:rsidR="00AD370B" w:rsidRPr="00AD370B" w:rsidRDefault="00AD370B" w:rsidP="00AD370B">
            <w:pPr>
              <w:rPr>
                <w:rFonts w:ascii="Arial Narrow" w:hAnsi="Arial Narrow"/>
                <w:sz w:val="20"/>
                <w:szCs w:val="20"/>
              </w:rPr>
            </w:pPr>
            <w:r w:rsidRPr="00AD370B">
              <w:rPr>
                <w:rFonts w:ascii="Arial Narrow" w:hAnsi="Arial Narrow"/>
                <w:sz w:val="20"/>
                <w:szCs w:val="20"/>
              </w:rPr>
              <w:t>Prescribing of the biosimilar brand</w:t>
            </w:r>
            <w:r w:rsidR="00FC52A9">
              <w:rPr>
                <w:rFonts w:ascii="Arial Narrow" w:hAnsi="Arial Narrow"/>
                <w:sz w:val="20"/>
                <w:szCs w:val="20"/>
              </w:rPr>
              <w:t>s</w:t>
            </w:r>
            <w:r w:rsidRPr="00AD370B">
              <w:rPr>
                <w:rFonts w:ascii="Arial Narrow" w:hAnsi="Arial Narrow"/>
                <w:sz w:val="20"/>
                <w:szCs w:val="20"/>
              </w:rPr>
              <w:t xml:space="preserve"> AMGEVITA</w:t>
            </w:r>
            <w:r w:rsidR="00FC52A9">
              <w:rPr>
                <w:rFonts w:ascii="Arial Narrow" w:hAnsi="Arial Narrow"/>
                <w:sz w:val="20"/>
                <w:szCs w:val="20"/>
              </w:rPr>
              <w:t xml:space="preserve"> and HADLIMA are</w:t>
            </w:r>
            <w:r w:rsidRPr="00AD370B">
              <w:rPr>
                <w:rFonts w:ascii="Arial Narrow" w:hAnsi="Arial Narrow"/>
                <w:sz w:val="20"/>
                <w:szCs w:val="20"/>
              </w:rPr>
              <w:t xml:space="preserve"> encouraged for treatment naive patients. </w:t>
            </w:r>
          </w:p>
          <w:p w:rsidR="00AD370B" w:rsidRPr="00AD370B" w:rsidRDefault="00AD370B" w:rsidP="00AD370B">
            <w:pPr>
              <w:rPr>
                <w:rFonts w:ascii="Arial Narrow" w:hAnsi="Arial Narrow"/>
                <w:sz w:val="20"/>
                <w:szCs w:val="20"/>
              </w:rPr>
            </w:pPr>
            <w:r w:rsidRPr="00AD370B">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p w:rsidR="00AD370B" w:rsidRPr="00AD370B" w:rsidRDefault="00AD370B" w:rsidP="00AD370B">
            <w:pPr>
              <w:rPr>
                <w:rFonts w:ascii="Arial Narrow" w:hAnsi="Arial Narrow"/>
                <w:sz w:val="20"/>
                <w:szCs w:val="20"/>
                <w:lang w:eastAsia="ja-JP"/>
              </w:rPr>
            </w:pPr>
          </w:p>
          <w:p w:rsidR="00AD370B" w:rsidRPr="00AD370B" w:rsidRDefault="00AD370B" w:rsidP="00AD370B">
            <w:pPr>
              <w:rPr>
                <w:rFonts w:ascii="Arial Narrow" w:hAnsi="Arial Narrow"/>
                <w:b/>
                <w:sz w:val="20"/>
                <w:szCs w:val="20"/>
                <w:lang w:eastAsia="ja-JP"/>
              </w:rPr>
            </w:pPr>
            <w:r w:rsidRPr="00AD370B">
              <w:rPr>
                <w:rFonts w:ascii="Arial Narrow" w:hAnsi="Arial Narrow"/>
                <w:b/>
                <w:sz w:val="20"/>
                <w:szCs w:val="20"/>
                <w:lang w:eastAsia="ja-JP"/>
              </w:rPr>
              <w:t>Note</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Any queries concerning the arrangements to prescribe may be directed to the Department of Human Services on 1800 700 270 (hours of operation 8 a.m. to 5 p.m. EST Monday to Friday).</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Prescribing information (including Authority Application forms and other relevant documentation as applicable) is available on the Department of Human Services website at www.humanservices.gov.au</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Applications for authority to prescribe should be forwarded to:</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Department of Human Services</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Complex Drugs</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Reply Paid 9826</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HOBART TAS 7001</w:t>
            </w:r>
          </w:p>
          <w:p w:rsidR="00AD370B" w:rsidRPr="00AD370B" w:rsidRDefault="00AD370B" w:rsidP="00AD370B">
            <w:pPr>
              <w:rPr>
                <w:rFonts w:ascii="Arial Narrow" w:hAnsi="Arial Narrow"/>
                <w:b/>
                <w:sz w:val="20"/>
                <w:szCs w:val="20"/>
                <w:lang w:eastAsia="ja-JP"/>
              </w:rPr>
            </w:pPr>
            <w:r w:rsidRPr="00AD370B">
              <w:rPr>
                <w:rFonts w:ascii="Arial Narrow" w:hAnsi="Arial Narrow"/>
                <w:b/>
                <w:sz w:val="20"/>
                <w:szCs w:val="20"/>
                <w:u w:val="single"/>
                <w:bdr w:val="none" w:sz="0" w:space="0" w:color="auto" w:frame="1"/>
                <w:shd w:val="clear" w:color="auto" w:fill="EEEEEE"/>
                <w:lang w:eastAsia="ja-JP"/>
              </w:rPr>
              <w:t>Note</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No increase in the maximum quantity or number of units may be authorised.</w:t>
            </w:r>
          </w:p>
          <w:p w:rsidR="00AD370B" w:rsidRPr="00AD370B" w:rsidRDefault="00AD370B" w:rsidP="00AD370B">
            <w:pPr>
              <w:rPr>
                <w:rFonts w:ascii="Arial Narrow" w:hAnsi="Arial Narrow"/>
                <w:b/>
                <w:sz w:val="20"/>
                <w:szCs w:val="20"/>
                <w:lang w:eastAsia="ja-JP"/>
              </w:rPr>
            </w:pPr>
            <w:r w:rsidRPr="00AD370B">
              <w:rPr>
                <w:rFonts w:ascii="Arial Narrow" w:hAnsi="Arial Narrow"/>
                <w:b/>
                <w:sz w:val="20"/>
                <w:szCs w:val="20"/>
                <w:lang w:eastAsia="ja-JP"/>
              </w:rPr>
              <w:t>Note</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No increase in the maximum number of repeats may be authorised.</w:t>
            </w:r>
          </w:p>
          <w:p w:rsidR="00AD370B" w:rsidRPr="00AD370B" w:rsidRDefault="00AD370B" w:rsidP="00AD370B">
            <w:pPr>
              <w:rPr>
                <w:rFonts w:ascii="Arial Narrow" w:eastAsiaTheme="minorHAnsi" w:hAnsi="Arial Narrow"/>
                <w:sz w:val="20"/>
                <w:szCs w:val="20"/>
                <w:lang w:eastAsia="en-US"/>
              </w:rPr>
            </w:pPr>
          </w:p>
        </w:tc>
      </w:tr>
    </w:tbl>
    <w:p w:rsidR="00AD370B" w:rsidRPr="00AD370B" w:rsidRDefault="00AD370B" w:rsidP="00AD370B">
      <w:pPr>
        <w:rPr>
          <w:rFonts w:ascii="Arial Narrow" w:hAnsi="Arial Narrow"/>
          <w:sz w:val="20"/>
          <w:szCs w:val="20"/>
        </w:rPr>
      </w:pPr>
    </w:p>
    <w:p w:rsidR="00AD370B" w:rsidRPr="00AD370B" w:rsidRDefault="00AD370B" w:rsidP="00AD370B">
      <w:pPr>
        <w:pStyle w:val="Heading2"/>
        <w:rPr>
          <w:rFonts w:ascii="Arial Narrow" w:hAnsi="Arial Narrow"/>
          <w:sz w:val="20"/>
          <w:szCs w:val="20"/>
        </w:rPr>
      </w:pPr>
      <w:bookmarkStart w:id="4" w:name="_Toc517860421"/>
      <w:r w:rsidRPr="00AD370B">
        <w:rPr>
          <w:rFonts w:ascii="Arial Narrow" w:hAnsi="Arial Narrow"/>
          <w:sz w:val="20"/>
          <w:szCs w:val="20"/>
        </w:rPr>
        <w:t>Initial 2</w:t>
      </w:r>
      <w:bookmarkEnd w:id="4"/>
    </w:p>
    <w:tbl>
      <w:tblPr>
        <w:tblW w:w="9101" w:type="dxa"/>
        <w:tblInd w:w="108" w:type="dxa"/>
        <w:tblLayout w:type="fixed"/>
        <w:tblLook w:val="0000" w:firstRow="0" w:lastRow="0" w:firstColumn="0" w:lastColumn="0" w:noHBand="0" w:noVBand="0"/>
      </w:tblPr>
      <w:tblGrid>
        <w:gridCol w:w="1730"/>
        <w:gridCol w:w="2381"/>
        <w:gridCol w:w="851"/>
        <w:gridCol w:w="992"/>
        <w:gridCol w:w="992"/>
        <w:gridCol w:w="1446"/>
        <w:gridCol w:w="709"/>
      </w:tblGrid>
      <w:tr w:rsidR="00AD370B" w:rsidRPr="00AD370B" w:rsidTr="00AD370B">
        <w:trPr>
          <w:trHeight w:val="471"/>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Name, Restriction,</w:t>
            </w:r>
          </w:p>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Manner of administration and form</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Packs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Units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№.of</w:t>
            </w:r>
          </w:p>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Rpts</w:t>
            </w:r>
          </w:p>
        </w:tc>
        <w:tc>
          <w:tcPr>
            <w:tcW w:w="2155"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lang w:val="fr-FR"/>
              </w:rPr>
            </w:pPr>
            <w:r w:rsidRPr="00AD370B">
              <w:rPr>
                <w:rFonts w:ascii="Arial Narrow" w:hAnsi="Arial Narrow" w:cstheme="minorHAnsi"/>
                <w:sz w:val="20"/>
                <w:szCs w:val="20"/>
              </w:rPr>
              <w:t>Proprietary Name and Manufacturer</w:t>
            </w:r>
          </w:p>
        </w:tc>
      </w:tr>
      <w:tr w:rsidR="00AD370B" w:rsidRPr="00AD370B" w:rsidTr="00AD370B">
        <w:trPr>
          <w:trHeight w:val="577"/>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mallCaps/>
                <w:sz w:val="20"/>
                <w:szCs w:val="20"/>
              </w:rPr>
              <w:t>ADALIMUMAB</w:t>
            </w:r>
          </w:p>
          <w:p w:rsidR="00AD370B" w:rsidRPr="00AD370B" w:rsidRDefault="00AD370B" w:rsidP="009973AE">
            <w:pPr>
              <w:keepNext/>
              <w:spacing w:line="276" w:lineRule="auto"/>
              <w:ind w:left="-108"/>
              <w:jc w:val="both"/>
              <w:rPr>
                <w:rFonts w:ascii="Arial Narrow" w:hAnsi="Arial Narrow" w:cstheme="minorHAnsi"/>
                <w:sz w:val="20"/>
                <w:szCs w:val="20"/>
              </w:rPr>
            </w:pPr>
            <w:r w:rsidRPr="00AD370B">
              <w:rPr>
                <w:rFonts w:ascii="Arial Narrow" w:eastAsiaTheme="minorHAnsi" w:hAnsi="Arial Narrow" w:cstheme="minorHAnsi"/>
                <w:b/>
                <w:bCs/>
                <w:sz w:val="20"/>
                <w:szCs w:val="20"/>
                <w:lang w:eastAsia="en-US"/>
              </w:rPr>
              <w:t>adalimumab 40 mg/0.8 mL injection, 6 x 0.8 mL pre-filled pens</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0</w:t>
            </w:r>
          </w:p>
        </w:tc>
        <w:tc>
          <w:tcPr>
            <w:tcW w:w="1446"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AMGEVITA</w:t>
            </w:r>
          </w:p>
        </w:tc>
        <w:tc>
          <w:tcPr>
            <w:tcW w:w="709"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AN</w:t>
            </w:r>
          </w:p>
        </w:tc>
      </w:tr>
      <w:tr w:rsidR="00AD370B" w:rsidRPr="00AD370B" w:rsidTr="00AD370B">
        <w:trPr>
          <w:trHeight w:val="16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Category/Program</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Authority Required</w:t>
            </w:r>
          </w:p>
        </w:tc>
      </w:tr>
      <w:tr w:rsidR="00AD370B" w:rsidRPr="00AD370B" w:rsidTr="00AD370B">
        <w:trPr>
          <w:trHeight w:val="253"/>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w:t>
            </w:r>
          </w:p>
        </w:tc>
      </w:tr>
      <w:tr w:rsidR="00AD370B" w:rsidRPr="00AD370B" w:rsidTr="00AD370B">
        <w:trPr>
          <w:trHeight w:val="28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41"/>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27"/>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i/>
                <w:sz w:val="20"/>
                <w:szCs w:val="20"/>
              </w:rPr>
            </w:pPr>
            <w:r w:rsidRPr="00AD370B">
              <w:rPr>
                <w:rFonts w:ascii="Arial Narrow" w:hAnsi="Arial Narrow" w:cstheme="minorHAnsi"/>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Initial treatment 2 - Recommencement of treatment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Restriction Level / Method:</w:t>
            </w:r>
          </w:p>
          <w:p w:rsidR="00AD370B" w:rsidRPr="00AD370B" w:rsidRDefault="00AD370B" w:rsidP="00AD370B">
            <w:pPr>
              <w:spacing w:line="276" w:lineRule="auto"/>
              <w:rPr>
                <w:rFonts w:ascii="Arial Narrow" w:hAnsi="Arial Narrow" w:cstheme="minorHAnsi"/>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1"/>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 xml:space="preserve">Restricted benefit </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1"/>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In Writing</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Telephone</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Emergency</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5"/>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Electronic</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val="0"/>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Streamlined</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lastRenderedPageBreak/>
              <w:t>Clinical criteria:</w:t>
            </w:r>
          </w:p>
          <w:p w:rsidR="00AD370B" w:rsidRPr="00AD370B" w:rsidRDefault="00AD370B" w:rsidP="00AD370B">
            <w:pPr>
              <w:spacing w:line="276" w:lineRule="auto"/>
              <w:jc w:val="both"/>
              <w:rPr>
                <w:rFonts w:ascii="Arial Narrow" w:hAnsi="Arial Narrow" w:cstheme="minorHAnsi"/>
                <w:i/>
                <w:sz w:val="20"/>
                <w:szCs w:val="20"/>
              </w:rPr>
            </w:pPr>
          </w:p>
          <w:p w:rsidR="00AD370B" w:rsidRPr="00AD370B" w:rsidRDefault="00AD370B" w:rsidP="00AD370B">
            <w:pPr>
              <w:spacing w:line="276" w:lineRule="auto"/>
              <w:jc w:val="both"/>
              <w:rPr>
                <w:rFonts w:ascii="Arial Narrow" w:hAnsi="Arial Narrow" w:cstheme="minorHAns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Patient must have, at the time of application, a Hurley stage II or III grading with an abscess and inflammatory nodule (AN) count greater than or equal to 3,</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Patient must have failed to achieve an adequate response to 2 courses of different antibiotics each for 3 months prior to initiation of PBS subsidised treatment with this drug for this condition; </w:t>
            </w:r>
            <w:r w:rsidRPr="00AD370B">
              <w:rPr>
                <w:rFonts w:ascii="Arial Narrow" w:eastAsiaTheme="minorHAnsi" w:hAnsi="Arial Narrow" w:cstheme="minorHAnsi"/>
                <w:b/>
                <w:sz w:val="20"/>
                <w:szCs w:val="20"/>
                <w:lang w:eastAsia="en-US"/>
              </w:rPr>
              <w:t>OR</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w:t>
            </w:r>
            <w:r w:rsidRPr="00AD370B">
              <w:rPr>
                <w:rFonts w:ascii="Arial Narrow" w:eastAsiaTheme="minorHAnsi" w:hAnsi="Arial Narrow" w:cstheme="minorHAnsi"/>
                <w:b/>
                <w:sz w:val="20"/>
                <w:szCs w:val="20"/>
                <w:lang w:eastAsia="en-US"/>
              </w:rPr>
              <w:t>OR</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w:t>
            </w:r>
          </w:p>
          <w:p w:rsidR="00AD370B" w:rsidRPr="00AD370B" w:rsidRDefault="00AD370B" w:rsidP="00AD370B">
            <w:pPr>
              <w:spacing w:line="276" w:lineRule="auto"/>
              <w:rPr>
                <w:rFonts w:ascii="Arial Narrow" w:eastAsiaTheme="minorHAnsi" w:hAnsi="Arial Narrow" w:cstheme="minorHAnsi"/>
                <w:b/>
                <w:sz w:val="20"/>
                <w:szCs w:val="20"/>
                <w:lang w:eastAsia="en-US"/>
              </w:rPr>
            </w:pPr>
            <w:r w:rsidRPr="00AD370B">
              <w:rPr>
                <w:rFonts w:ascii="Arial Narrow" w:eastAsiaTheme="minorHAnsi" w:hAnsi="Arial Narrow" w:cstheme="minorHAnsi"/>
                <w:b/>
                <w:sz w:val="20"/>
                <w:szCs w:val="20"/>
                <w:lang w:eastAsia="en-US"/>
              </w:rPr>
              <w:t>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The treatment must be limited to a maximum duration of 16 weeks. Patient must have, at the time of application, a Hurley stage II or III grading with an abscess and inflammatory nodule (AN) count greater than or equal to 3,</w:t>
            </w:r>
          </w:p>
          <w:p w:rsidR="00AD370B" w:rsidRPr="00AD370B" w:rsidRDefault="00AD370B" w:rsidP="00AD370B">
            <w:pPr>
              <w:spacing w:line="276" w:lineRule="auto"/>
              <w:rPr>
                <w:rFonts w:ascii="Arial Narrow" w:eastAsiaTheme="minorHAnsi" w:hAnsi="Arial Narrow" w:cstheme="minorHAnsi"/>
                <w:b/>
                <w:sz w:val="20"/>
                <w:szCs w:val="20"/>
                <w:lang w:eastAsia="en-US"/>
              </w:rPr>
            </w:pPr>
            <w:r w:rsidRPr="00AD370B">
              <w:rPr>
                <w:rFonts w:ascii="Arial Narrow" w:eastAsiaTheme="minorHAnsi" w:hAnsi="Arial Narrow" w:cstheme="minorHAnsi"/>
                <w:b/>
                <w:sz w:val="20"/>
                <w:szCs w:val="20"/>
                <w:lang w:eastAsia="en-US"/>
              </w:rPr>
              <w:t>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Patient must have demonstrated a response to the most recent PBS-subsidised treatment with this drug for this condition,</w:t>
            </w:r>
          </w:p>
          <w:p w:rsidR="00AD370B" w:rsidRPr="00AD370B" w:rsidRDefault="00AD370B" w:rsidP="00AD370B">
            <w:pPr>
              <w:spacing w:line="276" w:lineRule="auto"/>
              <w:rPr>
                <w:rFonts w:ascii="Arial Narrow" w:eastAsiaTheme="minorHAnsi" w:hAnsi="Arial Narrow" w:cstheme="minorHAnsi"/>
                <w:b/>
                <w:sz w:val="20"/>
                <w:szCs w:val="20"/>
                <w:lang w:eastAsia="en-US"/>
              </w:rPr>
            </w:pPr>
            <w:r w:rsidRPr="00AD370B">
              <w:rPr>
                <w:rFonts w:ascii="Arial Narrow" w:eastAsiaTheme="minorHAnsi" w:hAnsi="Arial Narrow" w:cstheme="minorHAnsi"/>
                <w:b/>
                <w:sz w:val="20"/>
                <w:szCs w:val="20"/>
                <w:lang w:eastAsia="en-US"/>
              </w:rPr>
              <w:t>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The treatment must be limited to a maximum duration of 16 weeks.</w:t>
            </w:r>
          </w:p>
        </w:tc>
      </w:tr>
      <w:tr w:rsidR="00AD370B" w:rsidRPr="00AD370B" w:rsidTr="00AD370B">
        <w:trPr>
          <w:trHeight w:val="29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Population criteria:</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b/>
                <w:sz w:val="20"/>
                <w:szCs w:val="20"/>
              </w:rPr>
              <w:t>Treatment criteria:</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Must be treated by a dermatologist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Prescriber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Assessment of disease severity must be no more than 1 month old at the time of application.</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 response to treatment is defined as:</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Achieving Hidradenitis </w:t>
            </w:r>
            <w:proofErr w:type="spellStart"/>
            <w:r w:rsidRPr="00AD370B">
              <w:rPr>
                <w:rFonts w:ascii="Arial Narrow" w:eastAsiaTheme="minorHAnsi" w:hAnsi="Arial Narrow" w:cstheme="minorHAnsi"/>
                <w:sz w:val="20"/>
                <w:szCs w:val="20"/>
                <w:lang w:eastAsia="en-US"/>
              </w:rPr>
              <w:t>Suppurativa</w:t>
            </w:r>
            <w:proofErr w:type="spellEnd"/>
            <w:r w:rsidRPr="00AD370B">
              <w:rPr>
                <w:rFonts w:ascii="Arial Narrow" w:eastAsiaTheme="minorHAnsi" w:hAnsi="Arial Narrow" w:cstheme="minorHAnsi"/>
                <w:sz w:val="20"/>
                <w:szCs w:val="20"/>
                <w:lang w:eastAsia="en-US"/>
              </w:rPr>
              <w:t xml:space="preserve"> Clinical Response (</w:t>
            </w:r>
            <w:proofErr w:type="spellStart"/>
            <w:r w:rsidRPr="00AD370B">
              <w:rPr>
                <w:rFonts w:ascii="Arial Narrow" w:eastAsiaTheme="minorHAnsi" w:hAnsi="Arial Narrow" w:cstheme="minorHAnsi"/>
                <w:sz w:val="20"/>
                <w:szCs w:val="20"/>
                <w:lang w:eastAsia="en-US"/>
              </w:rPr>
              <w:t>HiSCR</w:t>
            </w:r>
            <w:proofErr w:type="spellEnd"/>
            <w:r w:rsidRPr="00AD370B">
              <w:rPr>
                <w:rFonts w:ascii="Arial Narrow" w:eastAsiaTheme="minorHAnsi" w:hAnsi="Arial Narrow" w:cstheme="minorHAnsi"/>
                <w:sz w:val="20"/>
                <w:szCs w:val="20"/>
                <w:lang w:eastAsia="en-US"/>
              </w:rPr>
              <w:t xml:space="preserve">) of a 50% reduction in </w:t>
            </w:r>
            <w:proofErr w:type="gramStart"/>
            <w:r w:rsidRPr="00AD370B">
              <w:rPr>
                <w:rFonts w:ascii="Arial Narrow" w:eastAsiaTheme="minorHAnsi" w:hAnsi="Arial Narrow" w:cstheme="minorHAnsi"/>
                <w:sz w:val="20"/>
                <w:szCs w:val="20"/>
                <w:lang w:eastAsia="en-US"/>
              </w:rPr>
              <w:t>AN</w:t>
            </w:r>
            <w:proofErr w:type="gramEnd"/>
            <w:r w:rsidRPr="00AD370B">
              <w:rPr>
                <w:rFonts w:ascii="Arial Narrow" w:eastAsiaTheme="minorHAnsi" w:hAnsi="Arial Narrow" w:cstheme="minorHAnsi"/>
                <w:sz w:val="20"/>
                <w:szCs w:val="20"/>
                <w:lang w:eastAsia="en-US"/>
              </w:rPr>
              <w:t xml:space="preserve"> count compared to baseline with no increase in abscesses or draining fistulae.</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An assessment of the patient's response to this recommencement course of treatment must be made following a minimum of 12 weeks of treatment.</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At the time of authority application the prescriber must request the first 4 weeks of treatment under this restriction; and weeks 5 to 16 of treatment under Initial treatment 1 - New patient or Initial treatment 2 - Recommencement of treatment - balance of supply</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The authority application must be made in writing and must include:</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 a completed authority prescription form; 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(b) a completed hidradenitis </w:t>
            </w:r>
            <w:proofErr w:type="spellStart"/>
            <w:r w:rsidRPr="00AD370B">
              <w:rPr>
                <w:rFonts w:ascii="Arial Narrow" w:eastAsiaTheme="minorHAnsi" w:hAnsi="Arial Narrow" w:cstheme="minorHAnsi"/>
                <w:sz w:val="20"/>
                <w:szCs w:val="20"/>
                <w:lang w:eastAsia="en-US"/>
              </w:rPr>
              <w:t>suppurativa</w:t>
            </w:r>
            <w:proofErr w:type="spellEnd"/>
            <w:r w:rsidRPr="00AD370B">
              <w:rPr>
                <w:rFonts w:ascii="Arial Narrow" w:eastAsiaTheme="minorHAnsi" w:hAnsi="Arial Narrow" w:cstheme="minorHAnsi"/>
                <w:sz w:val="20"/>
                <w:szCs w:val="20"/>
                <w:lang w:eastAsia="en-US"/>
              </w:rPr>
              <w:t xml:space="preserve"> PBS authority application supporting Information form which must include:</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w:t>
            </w:r>
            <w:proofErr w:type="spellStart"/>
            <w:r w:rsidRPr="00AD370B">
              <w:rPr>
                <w:rFonts w:ascii="Arial Narrow" w:eastAsiaTheme="minorHAnsi" w:hAnsi="Arial Narrow" w:cstheme="minorHAnsi"/>
                <w:sz w:val="20"/>
                <w:szCs w:val="20"/>
                <w:lang w:eastAsia="en-US"/>
              </w:rPr>
              <w:t>i</w:t>
            </w:r>
            <w:proofErr w:type="spellEnd"/>
            <w:r w:rsidRPr="00AD370B">
              <w:rPr>
                <w:rFonts w:ascii="Arial Narrow" w:eastAsiaTheme="minorHAnsi" w:hAnsi="Arial Narrow" w:cstheme="minorHAnsi"/>
                <w:sz w:val="20"/>
                <w:szCs w:val="20"/>
                <w:lang w:eastAsia="en-US"/>
              </w:rPr>
              <w:t>) the Hurley stage grading; and</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(ii) </w:t>
            </w:r>
            <w:proofErr w:type="gramStart"/>
            <w:r w:rsidRPr="00AD370B">
              <w:rPr>
                <w:rFonts w:ascii="Arial Narrow" w:eastAsiaTheme="minorHAnsi" w:hAnsi="Arial Narrow" w:cstheme="minorHAnsi"/>
                <w:sz w:val="20"/>
                <w:szCs w:val="20"/>
                <w:lang w:eastAsia="en-US"/>
              </w:rPr>
              <w:t>the</w:t>
            </w:r>
            <w:proofErr w:type="gramEnd"/>
            <w:r w:rsidRPr="00AD370B">
              <w:rPr>
                <w:rFonts w:ascii="Arial Narrow" w:eastAsiaTheme="minorHAnsi" w:hAnsi="Arial Narrow" w:cstheme="minorHAnsi"/>
                <w:sz w:val="20"/>
                <w:szCs w:val="20"/>
                <w:lang w:eastAsia="en-US"/>
              </w:rPr>
              <w:t xml:space="preserve"> AN count.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Administrative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Any queries concerning the arrangements to prescribe may be directed to the Department of Human Services on 1800 700 270 (hours of operation 8 a.m. to 5 p.m. EST Monday to Friday).</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Prescribing information (including Authority Application forms and other relevant documentation as applicable) is available on the Department of Human Services website at www.humanservices.gov.au</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Applications for authority to prescribe should be forwarded to:</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Department of Human Services</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Complex Drugs</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lastRenderedPageBreak/>
              <w:t>Reply Paid 9826</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HOBART TAS 7001</w:t>
            </w:r>
          </w:p>
          <w:p w:rsidR="00AD370B" w:rsidRPr="00AD370B" w:rsidRDefault="00AD370B" w:rsidP="00AD370B">
            <w:pPr>
              <w:spacing w:line="276" w:lineRule="auto"/>
              <w:rPr>
                <w:rFonts w:ascii="Arial Narrow" w:eastAsiaTheme="minorHAnsi" w:hAnsi="Arial Narrow" w:cstheme="minorHAnsi"/>
                <w:b/>
                <w:sz w:val="20"/>
                <w:szCs w:val="20"/>
                <w:lang w:eastAsia="en-US"/>
              </w:rPr>
            </w:pPr>
            <w:r w:rsidRPr="00AD370B">
              <w:rPr>
                <w:rFonts w:ascii="Arial Narrow" w:eastAsiaTheme="minorHAnsi" w:hAnsi="Arial Narrow" w:cstheme="minorHAnsi"/>
                <w:b/>
                <w:sz w:val="20"/>
                <w:szCs w:val="20"/>
                <w:lang w:eastAsia="en-US"/>
              </w:rPr>
              <w:t>Note</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No increase in the maximum quantity or number of units may be authorised.</w:t>
            </w:r>
          </w:p>
          <w:p w:rsidR="00AD370B" w:rsidRPr="00AD370B" w:rsidRDefault="00AD370B" w:rsidP="00AD370B">
            <w:pPr>
              <w:spacing w:line="276" w:lineRule="auto"/>
              <w:rPr>
                <w:rFonts w:ascii="Arial Narrow" w:eastAsiaTheme="minorHAnsi" w:hAnsi="Arial Narrow" w:cstheme="minorHAnsi"/>
                <w:b/>
                <w:sz w:val="20"/>
                <w:szCs w:val="20"/>
                <w:lang w:eastAsia="en-US"/>
              </w:rPr>
            </w:pPr>
            <w:r w:rsidRPr="00AD370B">
              <w:rPr>
                <w:rFonts w:ascii="Arial Narrow" w:eastAsiaTheme="minorHAnsi" w:hAnsi="Arial Narrow" w:cstheme="minorHAnsi"/>
                <w:b/>
                <w:sz w:val="20"/>
                <w:szCs w:val="20"/>
                <w:lang w:eastAsia="en-US"/>
              </w:rPr>
              <w:t>Note</w:t>
            </w:r>
          </w:p>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No increase in the maximum number of repeats may be authorised.</w:t>
            </w:r>
          </w:p>
        </w:tc>
      </w:tr>
    </w:tbl>
    <w:p w:rsidR="00AD370B" w:rsidRPr="00AD370B" w:rsidRDefault="00AD370B" w:rsidP="00AD370B">
      <w:pPr>
        <w:rPr>
          <w:rFonts w:ascii="Arial Narrow" w:hAnsi="Arial Narrow"/>
          <w:sz w:val="20"/>
          <w:szCs w:val="20"/>
        </w:rPr>
      </w:pPr>
    </w:p>
    <w:p w:rsidR="00AD370B" w:rsidRPr="00AD370B" w:rsidRDefault="00AD370B" w:rsidP="009971C4">
      <w:pPr>
        <w:pStyle w:val="Heading2"/>
        <w:rPr>
          <w:rFonts w:ascii="Arial Narrow" w:hAnsi="Arial Narrow"/>
          <w:sz w:val="20"/>
          <w:szCs w:val="20"/>
        </w:rPr>
      </w:pPr>
      <w:bookmarkStart w:id="5" w:name="_Toc517860422"/>
      <w:r w:rsidRPr="00AD370B">
        <w:rPr>
          <w:rFonts w:ascii="Arial Narrow" w:hAnsi="Arial Narrow"/>
          <w:sz w:val="20"/>
          <w:szCs w:val="20"/>
        </w:rPr>
        <w:t>Initial 1 or 2 – Balance of supply</w:t>
      </w:r>
      <w:bookmarkEnd w:id="5"/>
      <w:r w:rsidRPr="00AD370B">
        <w:rPr>
          <w:rFonts w:ascii="Arial Narrow" w:hAnsi="Arial Narrow"/>
          <w:sz w:val="20"/>
          <w:szCs w:val="20"/>
        </w:rPr>
        <w:t xml:space="preserve"> </w:t>
      </w:r>
    </w:p>
    <w:tbl>
      <w:tblPr>
        <w:tblW w:w="9101" w:type="dxa"/>
        <w:tblInd w:w="108" w:type="dxa"/>
        <w:tblLayout w:type="fixed"/>
        <w:tblLook w:val="0000" w:firstRow="0" w:lastRow="0" w:firstColumn="0" w:lastColumn="0" w:noHBand="0" w:noVBand="0"/>
      </w:tblPr>
      <w:tblGrid>
        <w:gridCol w:w="1730"/>
        <w:gridCol w:w="2381"/>
        <w:gridCol w:w="851"/>
        <w:gridCol w:w="992"/>
        <w:gridCol w:w="992"/>
        <w:gridCol w:w="1446"/>
        <w:gridCol w:w="709"/>
      </w:tblGrid>
      <w:tr w:rsidR="00AD370B" w:rsidRPr="00AD370B" w:rsidTr="00AD370B">
        <w:trPr>
          <w:trHeight w:val="471"/>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Name, Restriction,</w:t>
            </w:r>
          </w:p>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Manner of administration and form</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Packs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Units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№.of</w:t>
            </w:r>
          </w:p>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Rpts</w:t>
            </w:r>
          </w:p>
        </w:tc>
        <w:tc>
          <w:tcPr>
            <w:tcW w:w="2155"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lang w:val="fr-FR"/>
              </w:rPr>
            </w:pPr>
            <w:r w:rsidRPr="00AD370B">
              <w:rPr>
                <w:rFonts w:ascii="Arial Narrow" w:hAnsi="Arial Narrow" w:cstheme="minorHAnsi"/>
                <w:sz w:val="20"/>
                <w:szCs w:val="20"/>
              </w:rPr>
              <w:t>Proprietary Name and Manufacturer</w:t>
            </w:r>
          </w:p>
        </w:tc>
      </w:tr>
      <w:tr w:rsidR="00AD370B" w:rsidRPr="00AD370B" w:rsidTr="00AD370B">
        <w:trPr>
          <w:trHeight w:val="577"/>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9973AE">
            <w:pPr>
              <w:keepNext/>
              <w:spacing w:line="276" w:lineRule="auto"/>
              <w:ind w:left="-108"/>
              <w:jc w:val="both"/>
              <w:rPr>
                <w:rFonts w:ascii="Arial Narrow" w:hAnsi="Arial Narrow" w:cstheme="minorHAnsi"/>
                <w:smallCaps/>
                <w:sz w:val="20"/>
                <w:szCs w:val="20"/>
              </w:rPr>
            </w:pPr>
            <w:r w:rsidRPr="00AD370B">
              <w:rPr>
                <w:rFonts w:ascii="Arial Narrow" w:eastAsiaTheme="minorHAnsi" w:hAnsi="Arial Narrow" w:cstheme="minorHAnsi"/>
                <w:b/>
                <w:bCs/>
                <w:sz w:val="20"/>
                <w:szCs w:val="20"/>
                <w:lang w:eastAsia="en-US"/>
              </w:rPr>
              <w:t xml:space="preserve">adalimumab 40 mg/0.8 mL injection, 4 x 0.8 mL cartridges </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2</w:t>
            </w:r>
          </w:p>
        </w:tc>
        <w:tc>
          <w:tcPr>
            <w:tcW w:w="1446"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AMGEVITA</w:t>
            </w:r>
          </w:p>
        </w:tc>
        <w:tc>
          <w:tcPr>
            <w:tcW w:w="709"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AN</w:t>
            </w:r>
          </w:p>
        </w:tc>
      </w:tr>
      <w:tr w:rsidR="00AD370B" w:rsidRPr="00AD370B" w:rsidTr="00AD370B">
        <w:trPr>
          <w:trHeight w:val="16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Category/Program</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Authority Required</w:t>
            </w:r>
          </w:p>
        </w:tc>
      </w:tr>
      <w:tr w:rsidR="00AD370B" w:rsidRPr="00AD370B" w:rsidTr="00AD370B">
        <w:trPr>
          <w:trHeight w:val="253"/>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w:t>
            </w:r>
          </w:p>
        </w:tc>
      </w:tr>
      <w:tr w:rsidR="00AD370B" w:rsidRPr="00AD370B" w:rsidTr="00AD370B">
        <w:trPr>
          <w:trHeight w:val="28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41"/>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27"/>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i/>
                <w:sz w:val="20"/>
                <w:szCs w:val="20"/>
              </w:rPr>
            </w:pPr>
            <w:r w:rsidRPr="00AD370B">
              <w:rPr>
                <w:rFonts w:ascii="Arial Narrow" w:hAnsi="Arial Narrow" w:cstheme="minorHAnsi"/>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Treatment Phase: Initial treatment 1 - New patient or Initial treatment 2 - Recommencement of treatment – balance of supply</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Restriction Level / Method:</w:t>
            </w:r>
          </w:p>
          <w:p w:rsidR="00AD370B" w:rsidRPr="00AD370B" w:rsidRDefault="00AD370B" w:rsidP="00AD370B">
            <w:pPr>
              <w:spacing w:line="276" w:lineRule="auto"/>
              <w:rPr>
                <w:rFonts w:ascii="Arial Narrow" w:hAnsi="Arial Narrow" w:cstheme="minorHAnsi"/>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1"/>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 xml:space="preserve">Restricted benefit </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In Writing</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1"/>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Telephone</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Emergency</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5"/>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Electronic</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val="0"/>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Streamlined</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Clinical criteria:</w:t>
            </w:r>
          </w:p>
          <w:p w:rsidR="00AD370B" w:rsidRPr="00AD370B" w:rsidRDefault="00AD370B" w:rsidP="00AD370B">
            <w:pPr>
              <w:spacing w:line="276" w:lineRule="auto"/>
              <w:jc w:val="both"/>
              <w:rPr>
                <w:rFonts w:ascii="Arial Narrow" w:hAnsi="Arial Narrow" w:cstheme="minorHAnsi"/>
                <w:i/>
                <w:sz w:val="20"/>
                <w:szCs w:val="20"/>
              </w:rPr>
            </w:pPr>
          </w:p>
          <w:p w:rsidR="00AD370B" w:rsidRPr="00AD370B" w:rsidRDefault="00AD370B" w:rsidP="00AD370B">
            <w:pPr>
              <w:spacing w:line="276" w:lineRule="auto"/>
              <w:jc w:val="both"/>
              <w:rPr>
                <w:rFonts w:ascii="Arial Narrow" w:hAnsi="Arial Narrow" w:cstheme="minorHAns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rPr>
                <w:rFonts w:ascii="Arial Narrow" w:eastAsiaTheme="minorHAnsi" w:hAnsi="Arial Narrow"/>
                <w:sz w:val="20"/>
                <w:szCs w:val="20"/>
                <w:lang w:eastAsia="en-US"/>
              </w:rPr>
            </w:pPr>
            <w:r w:rsidRPr="00AD370B">
              <w:rPr>
                <w:rFonts w:ascii="Arial Narrow" w:eastAsiaTheme="minorHAnsi" w:hAnsi="Arial Narrow"/>
                <w:sz w:val="20"/>
                <w:szCs w:val="20"/>
                <w:lang w:eastAsia="en-US"/>
              </w:rPr>
              <w:t xml:space="preserve">Patient must have received insufficient therapy with this drug for this condition under the Initial treatment 1 - New patient restriction to complete a maximum of 16 weeks treatment; </w:t>
            </w:r>
            <w:r w:rsidRPr="00AD370B">
              <w:rPr>
                <w:rFonts w:ascii="Arial Narrow" w:eastAsiaTheme="minorHAnsi" w:hAnsi="Arial Narrow"/>
                <w:b/>
                <w:sz w:val="20"/>
                <w:szCs w:val="20"/>
                <w:lang w:eastAsia="en-US"/>
              </w:rPr>
              <w:t>OR</w:t>
            </w:r>
            <w:r w:rsidRPr="00AD370B">
              <w:rPr>
                <w:rFonts w:ascii="Arial Narrow" w:eastAsiaTheme="minorHAnsi" w:hAnsi="Arial Narrow"/>
                <w:sz w:val="20"/>
                <w:szCs w:val="20"/>
                <w:lang w:eastAsia="en-US"/>
              </w:rPr>
              <w:t xml:space="preserve"> </w:t>
            </w:r>
          </w:p>
          <w:p w:rsidR="00AD370B" w:rsidRPr="00AD370B" w:rsidRDefault="00AD370B" w:rsidP="00AD370B">
            <w:pPr>
              <w:rPr>
                <w:rFonts w:ascii="Arial Narrow" w:eastAsiaTheme="minorHAnsi" w:hAnsi="Arial Narrow"/>
                <w:sz w:val="20"/>
                <w:szCs w:val="20"/>
                <w:lang w:eastAsia="en-US"/>
              </w:rPr>
            </w:pPr>
            <w:r w:rsidRPr="00AD370B">
              <w:rPr>
                <w:rFonts w:ascii="Arial Narrow" w:eastAsiaTheme="minorHAnsi" w:hAnsi="Arial Narrow"/>
                <w:sz w:val="20"/>
                <w:szCs w:val="20"/>
                <w:lang w:eastAsia="en-US"/>
              </w:rPr>
              <w:t>Patient must have received insufficient therapy with this drug for this condition under the Initial treatment 2 - Recommencement of treatment restriction to complete a maximum of 16 weeks treatment.</w:t>
            </w:r>
          </w:p>
        </w:tc>
      </w:tr>
      <w:tr w:rsidR="00AD370B" w:rsidRPr="00AD370B" w:rsidTr="00AD370B">
        <w:trPr>
          <w:trHeight w:val="29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Population criteria:</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b/>
                <w:sz w:val="20"/>
                <w:szCs w:val="20"/>
              </w:rPr>
              <w:t>Treatment criteria:</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Must be treated by a dermatologist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Prescriber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after="150" w:line="300" w:lineRule="atLeast"/>
              <w:ind w:left="34"/>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 maximum of 12 weeks of treatment will be authorised under this restriction.</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Administrative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rPr>
                <w:rFonts w:ascii="Arial Narrow" w:eastAsiaTheme="minorHAnsi" w:hAnsi="Arial Narrow"/>
                <w:sz w:val="20"/>
                <w:szCs w:val="20"/>
                <w:lang w:eastAsia="en-US"/>
              </w:rPr>
            </w:pPr>
            <w:r w:rsidRPr="00AD370B">
              <w:rPr>
                <w:rFonts w:ascii="Arial Narrow" w:eastAsiaTheme="minorHAnsi" w:hAnsi="Arial Narrow"/>
                <w:sz w:val="20"/>
                <w:szCs w:val="20"/>
                <w:lang w:eastAsia="en-US"/>
              </w:rPr>
              <w:t>Applications for authorisation under this criterion may be made by telephone by contacting the Department of Human Services on 1800 700 270 (hours of operation 8 a.m. to 5 p.m. EST Monday to Friday).</w:t>
            </w:r>
          </w:p>
          <w:p w:rsidR="00AD370B" w:rsidRPr="00AD370B" w:rsidRDefault="00AD370B" w:rsidP="00AD370B">
            <w:pPr>
              <w:rPr>
                <w:rFonts w:ascii="Arial Narrow" w:eastAsiaTheme="minorHAnsi" w:hAnsi="Arial Narrow"/>
                <w:b/>
                <w:sz w:val="20"/>
                <w:szCs w:val="20"/>
                <w:lang w:eastAsia="en-US"/>
              </w:rPr>
            </w:pPr>
            <w:r w:rsidRPr="00AD370B">
              <w:rPr>
                <w:rFonts w:ascii="Arial Narrow" w:eastAsiaTheme="minorHAnsi" w:hAnsi="Arial Narrow"/>
                <w:b/>
                <w:sz w:val="20"/>
                <w:szCs w:val="20"/>
                <w:lang w:eastAsia="en-US"/>
              </w:rPr>
              <w:t>Note</w:t>
            </w:r>
          </w:p>
          <w:p w:rsidR="00AD370B" w:rsidRPr="00AD370B" w:rsidRDefault="00AD370B" w:rsidP="00AD370B">
            <w:pPr>
              <w:rPr>
                <w:rFonts w:ascii="Arial Narrow" w:eastAsiaTheme="minorHAnsi" w:hAnsi="Arial Narrow"/>
                <w:sz w:val="20"/>
                <w:szCs w:val="20"/>
                <w:lang w:eastAsia="en-US"/>
              </w:rPr>
            </w:pPr>
            <w:r w:rsidRPr="00AD370B">
              <w:rPr>
                <w:rFonts w:ascii="Arial Narrow" w:eastAsiaTheme="minorHAnsi" w:hAnsi="Arial Narrow"/>
                <w:sz w:val="20"/>
                <w:szCs w:val="20"/>
                <w:lang w:eastAsia="en-US"/>
              </w:rPr>
              <w:t>No increase in the maximum quantity or number of units may be authorised.</w:t>
            </w:r>
          </w:p>
          <w:p w:rsidR="00AD370B" w:rsidRPr="00AD370B" w:rsidRDefault="00AD370B" w:rsidP="00AD370B">
            <w:pPr>
              <w:rPr>
                <w:rFonts w:ascii="Arial Narrow" w:eastAsiaTheme="minorHAnsi" w:hAnsi="Arial Narrow"/>
                <w:b/>
                <w:sz w:val="20"/>
                <w:szCs w:val="20"/>
                <w:lang w:eastAsia="en-US"/>
              </w:rPr>
            </w:pPr>
            <w:r w:rsidRPr="00AD370B">
              <w:rPr>
                <w:rFonts w:ascii="Arial Narrow" w:eastAsiaTheme="minorHAnsi" w:hAnsi="Arial Narrow"/>
                <w:b/>
                <w:sz w:val="20"/>
                <w:szCs w:val="20"/>
                <w:lang w:eastAsia="en-US"/>
              </w:rPr>
              <w:t>Note</w:t>
            </w:r>
          </w:p>
          <w:p w:rsidR="00AD370B" w:rsidRPr="00AD370B" w:rsidRDefault="00AD370B" w:rsidP="00AD370B">
            <w:pPr>
              <w:rPr>
                <w:rFonts w:ascii="Arial Narrow" w:eastAsiaTheme="minorHAnsi" w:hAnsi="Arial Narrow"/>
                <w:sz w:val="20"/>
                <w:szCs w:val="20"/>
                <w:lang w:eastAsia="en-US"/>
              </w:rPr>
            </w:pPr>
            <w:r w:rsidRPr="00AD370B">
              <w:rPr>
                <w:rFonts w:ascii="Arial Narrow" w:eastAsiaTheme="minorHAnsi" w:hAnsi="Arial Narrow"/>
                <w:sz w:val="20"/>
                <w:szCs w:val="20"/>
                <w:lang w:eastAsia="en-US"/>
              </w:rPr>
              <w:t>No increase in the maximum number of repeats may be authorised.</w:t>
            </w:r>
          </w:p>
        </w:tc>
      </w:tr>
    </w:tbl>
    <w:p w:rsidR="00AD370B" w:rsidRPr="00AD370B" w:rsidRDefault="00AD370B" w:rsidP="00AD370B">
      <w:pPr>
        <w:rPr>
          <w:rFonts w:ascii="Arial Narrow" w:hAnsi="Arial Narrow"/>
          <w:sz w:val="20"/>
          <w:szCs w:val="20"/>
        </w:rPr>
      </w:pPr>
    </w:p>
    <w:p w:rsidR="00AD370B" w:rsidRPr="00AD370B" w:rsidRDefault="00AD370B" w:rsidP="00AD370B">
      <w:pPr>
        <w:pStyle w:val="Heading2"/>
        <w:rPr>
          <w:rFonts w:ascii="Arial Narrow" w:hAnsi="Arial Narrow"/>
          <w:sz w:val="20"/>
          <w:szCs w:val="20"/>
        </w:rPr>
      </w:pPr>
      <w:bookmarkStart w:id="6" w:name="_Toc517860423"/>
      <w:r w:rsidRPr="00AD370B">
        <w:rPr>
          <w:rFonts w:ascii="Arial Narrow" w:hAnsi="Arial Narrow"/>
          <w:sz w:val="20"/>
          <w:szCs w:val="20"/>
        </w:rPr>
        <w:t>First continuing</w:t>
      </w:r>
      <w:bookmarkEnd w:id="6"/>
    </w:p>
    <w:tbl>
      <w:tblPr>
        <w:tblW w:w="9101" w:type="dxa"/>
        <w:tblInd w:w="108" w:type="dxa"/>
        <w:tblLayout w:type="fixed"/>
        <w:tblLook w:val="0000" w:firstRow="0" w:lastRow="0" w:firstColumn="0" w:lastColumn="0" w:noHBand="0" w:noVBand="0"/>
      </w:tblPr>
      <w:tblGrid>
        <w:gridCol w:w="1730"/>
        <w:gridCol w:w="2381"/>
        <w:gridCol w:w="851"/>
        <w:gridCol w:w="992"/>
        <w:gridCol w:w="992"/>
        <w:gridCol w:w="1446"/>
        <w:gridCol w:w="709"/>
      </w:tblGrid>
      <w:tr w:rsidR="00AD370B" w:rsidRPr="00AD370B" w:rsidTr="00AD370B">
        <w:trPr>
          <w:trHeight w:val="471"/>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Name, Restriction,</w:t>
            </w:r>
          </w:p>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Manner of administration and form</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Packs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Units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№.of</w:t>
            </w:r>
          </w:p>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Rpts</w:t>
            </w:r>
          </w:p>
        </w:tc>
        <w:tc>
          <w:tcPr>
            <w:tcW w:w="2155"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lang w:val="fr-FR"/>
              </w:rPr>
            </w:pPr>
            <w:r w:rsidRPr="00AD370B">
              <w:rPr>
                <w:rFonts w:ascii="Arial Narrow" w:hAnsi="Arial Narrow" w:cstheme="minorHAnsi"/>
                <w:sz w:val="20"/>
                <w:szCs w:val="20"/>
              </w:rPr>
              <w:t>Proprietary Name and Manufacturer</w:t>
            </w:r>
          </w:p>
        </w:tc>
      </w:tr>
      <w:tr w:rsidR="00AD370B" w:rsidRPr="00AD370B" w:rsidTr="00AD370B">
        <w:trPr>
          <w:trHeight w:val="577"/>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mallCaps/>
                <w:sz w:val="20"/>
                <w:szCs w:val="20"/>
              </w:rPr>
              <w:t>ADALIMUMAB</w:t>
            </w:r>
          </w:p>
          <w:p w:rsidR="00AD370B" w:rsidRPr="00AD370B" w:rsidRDefault="00AD370B" w:rsidP="009973AE">
            <w:pPr>
              <w:keepNext/>
              <w:spacing w:line="276" w:lineRule="auto"/>
              <w:ind w:left="-108"/>
              <w:jc w:val="both"/>
              <w:rPr>
                <w:rFonts w:ascii="Arial Narrow" w:hAnsi="Arial Narrow" w:cstheme="minorHAnsi"/>
                <w:sz w:val="20"/>
                <w:szCs w:val="20"/>
              </w:rPr>
            </w:pPr>
            <w:r w:rsidRPr="00AD370B">
              <w:rPr>
                <w:rFonts w:ascii="Arial Narrow" w:eastAsiaTheme="minorHAnsi" w:hAnsi="Arial Narrow" w:cstheme="minorHAnsi"/>
                <w:b/>
                <w:bCs/>
                <w:sz w:val="20"/>
                <w:szCs w:val="20"/>
                <w:lang w:eastAsia="en-US"/>
              </w:rPr>
              <w:t>adalimumab 40 mg/0.8 mL injection, 4 x 0.8 mL pre-filled pens</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5</w:t>
            </w:r>
          </w:p>
        </w:tc>
        <w:tc>
          <w:tcPr>
            <w:tcW w:w="1446"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AMGEVITA</w:t>
            </w:r>
          </w:p>
        </w:tc>
        <w:tc>
          <w:tcPr>
            <w:tcW w:w="709"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AN</w:t>
            </w:r>
          </w:p>
        </w:tc>
      </w:tr>
      <w:tr w:rsidR="00AD370B" w:rsidRPr="00AD370B" w:rsidTr="00AD370B">
        <w:trPr>
          <w:trHeight w:val="16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Category/Program</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Authority Required</w:t>
            </w:r>
          </w:p>
        </w:tc>
      </w:tr>
      <w:tr w:rsidR="00AD370B" w:rsidRPr="00AD370B" w:rsidTr="00AD370B">
        <w:trPr>
          <w:trHeight w:val="253"/>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w:t>
            </w:r>
          </w:p>
        </w:tc>
      </w:tr>
      <w:tr w:rsidR="00AD370B" w:rsidRPr="00AD370B" w:rsidTr="00AD370B">
        <w:trPr>
          <w:trHeight w:val="28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lastRenderedPageBreak/>
              <w:t>Condition: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41"/>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27"/>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i/>
                <w:sz w:val="20"/>
                <w:szCs w:val="20"/>
              </w:rPr>
            </w:pPr>
            <w:r w:rsidRPr="00AD370B">
              <w:rPr>
                <w:rFonts w:ascii="Arial Narrow" w:hAnsi="Arial Narrow" w:cstheme="minorHAnsi"/>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First continuing treatment </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Restriction Level / Method:</w:t>
            </w:r>
          </w:p>
          <w:p w:rsidR="00AD370B" w:rsidRPr="00AD370B" w:rsidRDefault="00AD370B" w:rsidP="00AD370B">
            <w:pPr>
              <w:spacing w:line="276" w:lineRule="auto"/>
              <w:rPr>
                <w:rFonts w:ascii="Arial Narrow" w:hAnsi="Arial Narrow" w:cstheme="minorHAnsi"/>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1"/>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 xml:space="preserve">Restricted benefit </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1"/>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In Writing</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Telephone</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Emergency</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5"/>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Electronic</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val="0"/>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Streamlined</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Clinical criteria:</w:t>
            </w:r>
          </w:p>
          <w:p w:rsidR="00AD370B" w:rsidRPr="00AD370B" w:rsidRDefault="00AD370B" w:rsidP="00AD370B">
            <w:pPr>
              <w:spacing w:line="276" w:lineRule="auto"/>
              <w:jc w:val="both"/>
              <w:rPr>
                <w:rFonts w:ascii="Arial Narrow" w:hAnsi="Arial Narrow" w:cstheme="minorHAnsi"/>
                <w:i/>
                <w:sz w:val="20"/>
                <w:szCs w:val="20"/>
              </w:rPr>
            </w:pPr>
          </w:p>
          <w:p w:rsidR="00AD370B" w:rsidRPr="00AD370B" w:rsidRDefault="00AD370B" w:rsidP="00AD370B">
            <w:pPr>
              <w:spacing w:line="276" w:lineRule="auto"/>
              <w:jc w:val="both"/>
              <w:rPr>
                <w:rFonts w:ascii="Arial Narrow" w:hAnsi="Arial Narrow" w:cstheme="minorHAns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300" w:lineRule="atLeast"/>
              <w:ind w:left="15"/>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 xml:space="preserve">Patient must have previously received PBS-subsidised treatment with this drug for this condition, </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b/>
                <w:bCs/>
                <w:color w:val="222222"/>
                <w:sz w:val="20"/>
                <w:szCs w:val="20"/>
                <w:lang w:eastAsia="ja-JP"/>
              </w:rPr>
              <w:t>AND</w:t>
            </w:r>
          </w:p>
          <w:p w:rsidR="00AD370B" w:rsidRPr="00AD370B" w:rsidRDefault="00AD370B" w:rsidP="00AD370B">
            <w:pPr>
              <w:spacing w:line="276" w:lineRule="auto"/>
              <w:ind w:left="34"/>
              <w:rPr>
                <w:rFonts w:ascii="Arial Narrow" w:eastAsiaTheme="minorHAnsi" w:hAnsi="Arial Narrow" w:cstheme="minorHAnsi"/>
                <w:sz w:val="20"/>
                <w:szCs w:val="20"/>
                <w:lang w:eastAsia="en-US"/>
              </w:rPr>
            </w:pPr>
            <w:r w:rsidRPr="00AD370B">
              <w:rPr>
                <w:rFonts w:ascii="Arial Narrow" w:hAnsi="Arial Narrow" w:cstheme="minorHAnsi"/>
                <w:sz w:val="20"/>
                <w:szCs w:val="20"/>
                <w:lang w:eastAsia="ja-JP"/>
              </w:rPr>
              <w:t>Patient must have demonstrated a response to treatment with this drug for this condition.</w:t>
            </w:r>
          </w:p>
        </w:tc>
      </w:tr>
      <w:tr w:rsidR="00AD370B" w:rsidRPr="00AD370B" w:rsidTr="00AD370B">
        <w:trPr>
          <w:trHeight w:val="29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Population criteria:</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b/>
                <w:sz w:val="20"/>
                <w:szCs w:val="20"/>
              </w:rPr>
              <w:t>Treatment criteria:</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Must be treated by a dermatologist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Prescriber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A response to treatment is defined as:</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 xml:space="preserve">Achieving Hidradenitis </w:t>
            </w:r>
            <w:proofErr w:type="spellStart"/>
            <w:r w:rsidRPr="00AD370B">
              <w:rPr>
                <w:rFonts w:ascii="Arial Narrow" w:hAnsi="Arial Narrow"/>
                <w:sz w:val="20"/>
                <w:szCs w:val="20"/>
                <w:lang w:eastAsia="ja-JP"/>
              </w:rPr>
              <w:t>Suppurativa</w:t>
            </w:r>
            <w:proofErr w:type="spellEnd"/>
            <w:r w:rsidRPr="00AD370B">
              <w:rPr>
                <w:rFonts w:ascii="Arial Narrow" w:hAnsi="Arial Narrow"/>
                <w:sz w:val="20"/>
                <w:szCs w:val="20"/>
                <w:lang w:eastAsia="ja-JP"/>
              </w:rPr>
              <w:t xml:space="preserve"> Clinical Response (</w:t>
            </w:r>
            <w:proofErr w:type="spellStart"/>
            <w:r w:rsidRPr="00AD370B">
              <w:rPr>
                <w:rFonts w:ascii="Arial Narrow" w:hAnsi="Arial Narrow"/>
                <w:sz w:val="20"/>
                <w:szCs w:val="20"/>
                <w:lang w:eastAsia="ja-JP"/>
              </w:rPr>
              <w:t>HiSCR</w:t>
            </w:r>
            <w:proofErr w:type="spellEnd"/>
            <w:r w:rsidRPr="00AD370B">
              <w:rPr>
                <w:rFonts w:ascii="Arial Narrow" w:hAnsi="Arial Narrow"/>
                <w:sz w:val="20"/>
                <w:szCs w:val="20"/>
                <w:lang w:eastAsia="ja-JP"/>
              </w:rPr>
              <w:t xml:space="preserve">) of a 50% reduction in </w:t>
            </w:r>
            <w:proofErr w:type="gramStart"/>
            <w:r w:rsidRPr="00AD370B">
              <w:rPr>
                <w:rFonts w:ascii="Arial Narrow" w:hAnsi="Arial Narrow"/>
                <w:sz w:val="20"/>
                <w:szCs w:val="20"/>
                <w:lang w:eastAsia="ja-JP"/>
              </w:rPr>
              <w:t>AN</w:t>
            </w:r>
            <w:proofErr w:type="gramEnd"/>
            <w:r w:rsidRPr="00AD370B">
              <w:rPr>
                <w:rFonts w:ascii="Arial Narrow" w:hAnsi="Arial Narrow"/>
                <w:sz w:val="20"/>
                <w:szCs w:val="20"/>
                <w:lang w:eastAsia="ja-JP"/>
              </w:rPr>
              <w:t xml:space="preserve"> count compared to baseline with no increase in abscesses or draining fistulae. </w:t>
            </w:r>
          </w:p>
          <w:p w:rsidR="00F05748" w:rsidRDefault="00F05748" w:rsidP="00AD370B">
            <w:pPr>
              <w:rPr>
                <w:rFonts w:ascii="Arial Narrow" w:hAnsi="Arial Narrow"/>
                <w:sz w:val="20"/>
                <w:szCs w:val="20"/>
                <w:lang w:eastAsia="ja-JP"/>
              </w:rPr>
            </w:pP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 xml:space="preserve">For the </w:t>
            </w:r>
            <w:r w:rsidRPr="00086909">
              <w:rPr>
                <w:rFonts w:ascii="Arial Narrow" w:hAnsi="Arial Narrow"/>
                <w:strike/>
                <w:sz w:val="20"/>
                <w:szCs w:val="20"/>
                <w:lang w:eastAsia="ja-JP"/>
              </w:rPr>
              <w:t>first</w:t>
            </w:r>
            <w:r w:rsidRPr="00AD370B">
              <w:rPr>
                <w:rFonts w:ascii="Arial Narrow" w:hAnsi="Arial Narrow"/>
                <w:sz w:val="20"/>
                <w:szCs w:val="20"/>
                <w:lang w:eastAsia="ja-JP"/>
              </w:rPr>
              <w:t xml:space="preserve"> application for </w:t>
            </w:r>
            <w:r w:rsidR="000A2E3F" w:rsidRPr="00BD2A1B">
              <w:rPr>
                <w:rFonts w:ascii="Arial Narrow" w:hAnsi="Arial Narrow"/>
                <w:i/>
                <w:sz w:val="20"/>
                <w:szCs w:val="20"/>
                <w:lang w:eastAsia="ja-JP"/>
              </w:rPr>
              <w:t xml:space="preserve">first </w:t>
            </w:r>
            <w:r w:rsidRPr="00AD370B">
              <w:rPr>
                <w:rFonts w:ascii="Arial Narrow" w:hAnsi="Arial Narrow"/>
                <w:sz w:val="20"/>
                <w:szCs w:val="20"/>
                <w:lang w:eastAsia="ja-JP"/>
              </w:rPr>
              <w:t xml:space="preserve">continuing treatment a Hidradenitis </w:t>
            </w:r>
            <w:proofErr w:type="spellStart"/>
            <w:r w:rsidRPr="00AD370B">
              <w:rPr>
                <w:rFonts w:ascii="Arial Narrow" w:hAnsi="Arial Narrow"/>
                <w:sz w:val="20"/>
                <w:szCs w:val="20"/>
                <w:lang w:eastAsia="ja-JP"/>
              </w:rPr>
              <w:t>Suppurativa</w:t>
            </w:r>
            <w:proofErr w:type="spellEnd"/>
            <w:r w:rsidRPr="00AD370B">
              <w:rPr>
                <w:rFonts w:ascii="Arial Narrow" w:hAnsi="Arial Narrow"/>
                <w:sz w:val="20"/>
                <w:szCs w:val="20"/>
                <w:lang w:eastAsia="ja-JP"/>
              </w:rPr>
              <w:t xml:space="preserve"> Clinical Response (</w:t>
            </w:r>
            <w:proofErr w:type="spellStart"/>
            <w:r w:rsidRPr="00AD370B">
              <w:rPr>
                <w:rFonts w:ascii="Arial Narrow" w:hAnsi="Arial Narrow"/>
                <w:sz w:val="20"/>
                <w:szCs w:val="20"/>
                <w:lang w:eastAsia="ja-JP"/>
              </w:rPr>
              <w:t>HiSCR</w:t>
            </w:r>
            <w:proofErr w:type="spellEnd"/>
            <w:r w:rsidRPr="00AD370B">
              <w:rPr>
                <w:rFonts w:ascii="Arial Narrow" w:hAnsi="Arial Narrow"/>
                <w:sz w:val="20"/>
                <w:szCs w:val="20"/>
                <w:lang w:eastAsia="ja-JP"/>
              </w:rPr>
              <w:t xml:space="preserve">) assessment must be made following a minimum of 12 weeks of treatment. </w:t>
            </w:r>
            <w:r w:rsidRPr="00086909">
              <w:rPr>
                <w:rFonts w:ascii="Arial Narrow" w:hAnsi="Arial Narrow"/>
                <w:strike/>
                <w:sz w:val="20"/>
                <w:szCs w:val="20"/>
                <w:lang w:eastAsia="ja-JP"/>
              </w:rPr>
              <w:t xml:space="preserve">For subsequent continuing treatment a </w:t>
            </w:r>
            <w:proofErr w:type="spellStart"/>
            <w:r w:rsidRPr="00086909">
              <w:rPr>
                <w:rFonts w:ascii="Arial Narrow" w:hAnsi="Arial Narrow"/>
                <w:strike/>
                <w:sz w:val="20"/>
                <w:szCs w:val="20"/>
                <w:lang w:eastAsia="ja-JP"/>
              </w:rPr>
              <w:t>HiSCR</w:t>
            </w:r>
            <w:proofErr w:type="spellEnd"/>
            <w:r w:rsidRPr="00086909">
              <w:rPr>
                <w:rFonts w:ascii="Arial Narrow" w:hAnsi="Arial Narrow"/>
                <w:strike/>
                <w:sz w:val="20"/>
                <w:szCs w:val="20"/>
                <w:lang w:eastAsia="ja-JP"/>
              </w:rPr>
              <w:t xml:space="preserve"> assessment must be made every 24 weeks.</w:t>
            </w:r>
          </w:p>
          <w:p w:rsidR="00F05748" w:rsidRDefault="00F05748" w:rsidP="00AD370B">
            <w:pPr>
              <w:rPr>
                <w:rFonts w:ascii="Arial Narrow" w:hAnsi="Arial Narrow"/>
                <w:sz w:val="20"/>
                <w:szCs w:val="20"/>
                <w:lang w:eastAsia="ja-JP"/>
              </w:rPr>
            </w:pP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 xml:space="preserve">The assessment of the patient's response to </w:t>
            </w:r>
            <w:r w:rsidRPr="00086909">
              <w:rPr>
                <w:rFonts w:ascii="Arial Narrow" w:hAnsi="Arial Narrow"/>
                <w:strike/>
                <w:sz w:val="20"/>
                <w:szCs w:val="20"/>
                <w:lang w:eastAsia="ja-JP"/>
              </w:rPr>
              <w:t>a</w:t>
            </w:r>
            <w:r w:rsidRPr="00AD370B">
              <w:rPr>
                <w:rFonts w:ascii="Arial Narrow" w:hAnsi="Arial Narrow"/>
                <w:sz w:val="20"/>
                <w:szCs w:val="20"/>
                <w:lang w:eastAsia="ja-JP"/>
              </w:rPr>
              <w:t xml:space="preserve"> </w:t>
            </w:r>
            <w:r w:rsidR="00B30584">
              <w:rPr>
                <w:rFonts w:ascii="Arial Narrow" w:hAnsi="Arial Narrow"/>
                <w:i/>
                <w:sz w:val="20"/>
                <w:szCs w:val="20"/>
                <w:lang w:eastAsia="ja-JP"/>
              </w:rPr>
              <w:t xml:space="preserve">the first </w:t>
            </w:r>
            <w:r w:rsidRPr="00AD370B">
              <w:rPr>
                <w:rFonts w:ascii="Arial Narrow" w:hAnsi="Arial Narrow"/>
                <w:sz w:val="20"/>
                <w:szCs w:val="20"/>
                <w:lang w:eastAsia="ja-JP"/>
              </w:rPr>
              <w:t xml:space="preserve">continuing course of therapy must be made within the 4 weeks prior to completion of that course and provided to the Department of Human Services no less than 2 weeks prior to the date the next dose is scheduled, in order to ensure continuity of treatment for those patients who meet the continuation criterion. </w:t>
            </w:r>
          </w:p>
          <w:p w:rsidR="00F05748" w:rsidRDefault="00F05748" w:rsidP="00AD370B">
            <w:pPr>
              <w:rPr>
                <w:rFonts w:ascii="Arial Narrow" w:hAnsi="Arial Narrow"/>
                <w:sz w:val="20"/>
                <w:szCs w:val="20"/>
                <w:lang w:eastAsia="ja-JP"/>
              </w:rPr>
            </w:pP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 xml:space="preserve">Where an assessment is not submitted to the Department of Human Services within these timeframes, patients will be deemed to have failed to respond, or to have failed to sustain a response, to treatment with this drug. </w:t>
            </w:r>
          </w:p>
          <w:p w:rsidR="00F05748" w:rsidRDefault="00F05748" w:rsidP="00AD370B">
            <w:pPr>
              <w:rPr>
                <w:rFonts w:ascii="Arial Narrow" w:hAnsi="Arial Narrow"/>
                <w:sz w:val="20"/>
                <w:szCs w:val="20"/>
                <w:lang w:eastAsia="ja-JP"/>
              </w:rPr>
            </w:pP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A maximum of 24 weeks treatment will be authorised under this restriction</w:t>
            </w:r>
            <w:r w:rsidR="00B30584">
              <w:rPr>
                <w:rFonts w:ascii="Arial Narrow" w:hAnsi="Arial Narrow"/>
                <w:sz w:val="20"/>
                <w:szCs w:val="20"/>
                <w:lang w:eastAsia="ja-JP"/>
              </w:rPr>
              <w:t xml:space="preserve"> </w:t>
            </w:r>
            <w:r w:rsidR="00B30584">
              <w:rPr>
                <w:rFonts w:ascii="Arial Narrow" w:hAnsi="Arial Narrow"/>
                <w:i/>
                <w:sz w:val="20"/>
                <w:szCs w:val="20"/>
                <w:lang w:eastAsia="ja-JP"/>
              </w:rPr>
              <w:t>under this restriction.</w:t>
            </w:r>
            <w:r w:rsidRPr="00086909">
              <w:rPr>
                <w:rFonts w:ascii="Arial Narrow" w:hAnsi="Arial Narrow"/>
                <w:strike/>
                <w:sz w:val="20"/>
                <w:szCs w:val="20"/>
                <w:lang w:eastAsia="ja-JP"/>
              </w:rPr>
              <w:t xml:space="preserve"> </w:t>
            </w:r>
            <w:proofErr w:type="gramStart"/>
            <w:r w:rsidRPr="00086909">
              <w:rPr>
                <w:rFonts w:ascii="Arial Narrow" w:hAnsi="Arial Narrow"/>
                <w:strike/>
                <w:sz w:val="20"/>
                <w:szCs w:val="20"/>
                <w:lang w:eastAsia="ja-JP"/>
              </w:rPr>
              <w:t>per</w:t>
            </w:r>
            <w:proofErr w:type="gramEnd"/>
            <w:r w:rsidRPr="00086909">
              <w:rPr>
                <w:rFonts w:ascii="Arial Narrow" w:hAnsi="Arial Narrow"/>
                <w:strike/>
                <w:sz w:val="20"/>
                <w:szCs w:val="20"/>
                <w:lang w:eastAsia="ja-JP"/>
              </w:rPr>
              <w:t xml:space="preserve"> continuing treatment.</w:t>
            </w:r>
            <w:r w:rsidRPr="00AD370B">
              <w:rPr>
                <w:rFonts w:ascii="Arial Narrow" w:hAnsi="Arial Narrow"/>
                <w:sz w:val="20"/>
                <w:szCs w:val="20"/>
                <w:lang w:eastAsia="ja-JP"/>
              </w:rPr>
              <w:t xml:space="preserve"> </w:t>
            </w:r>
          </w:p>
          <w:p w:rsidR="00F05748" w:rsidRDefault="00F05748" w:rsidP="00AD370B">
            <w:pPr>
              <w:rPr>
                <w:rFonts w:ascii="Arial Narrow" w:hAnsi="Arial Narrow"/>
                <w:sz w:val="20"/>
                <w:szCs w:val="20"/>
                <w:lang w:eastAsia="ja-JP"/>
              </w:rPr>
            </w:pP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The authority application must be made in writing and must include:</w:t>
            </w:r>
          </w:p>
          <w:p w:rsidR="00AD370B" w:rsidRPr="00AD370B" w:rsidRDefault="00AD370B" w:rsidP="00AD370B">
            <w:pPr>
              <w:rPr>
                <w:rFonts w:ascii="Arial Narrow" w:hAnsi="Arial Narrow"/>
                <w:sz w:val="20"/>
                <w:szCs w:val="20"/>
                <w:lang w:eastAsia="ja-JP"/>
              </w:rPr>
            </w:pPr>
            <w:r w:rsidRPr="00AD370B">
              <w:rPr>
                <w:rFonts w:ascii="Arial Narrow" w:hAnsi="Arial Narrow"/>
                <w:sz w:val="20"/>
                <w:szCs w:val="20"/>
                <w:lang w:eastAsia="ja-JP"/>
              </w:rPr>
              <w:t>(a) a completed authority prescription form; and</w:t>
            </w:r>
          </w:p>
          <w:p w:rsidR="00AD370B" w:rsidRPr="00AD370B" w:rsidRDefault="00AD370B" w:rsidP="00AD370B">
            <w:pPr>
              <w:rPr>
                <w:rFonts w:ascii="Arial Narrow" w:hAnsi="Arial Narrow"/>
                <w:sz w:val="20"/>
                <w:szCs w:val="20"/>
              </w:rPr>
            </w:pPr>
            <w:r w:rsidRPr="00AD370B">
              <w:rPr>
                <w:rFonts w:ascii="Arial Narrow" w:hAnsi="Arial Narrow"/>
                <w:sz w:val="20"/>
                <w:szCs w:val="20"/>
                <w:lang w:eastAsia="ja-JP"/>
              </w:rPr>
              <w:t xml:space="preserve">(b) </w:t>
            </w:r>
            <w:proofErr w:type="gramStart"/>
            <w:r w:rsidRPr="00AD370B">
              <w:rPr>
                <w:rFonts w:ascii="Arial Narrow" w:hAnsi="Arial Narrow"/>
                <w:sz w:val="20"/>
                <w:szCs w:val="20"/>
                <w:lang w:eastAsia="ja-JP"/>
              </w:rPr>
              <w:t>a</w:t>
            </w:r>
            <w:proofErr w:type="gramEnd"/>
            <w:r w:rsidRPr="00AD370B">
              <w:rPr>
                <w:rFonts w:ascii="Arial Narrow" w:hAnsi="Arial Narrow"/>
                <w:sz w:val="20"/>
                <w:szCs w:val="20"/>
                <w:lang w:eastAsia="ja-JP"/>
              </w:rPr>
              <w:t xml:space="preserve"> completed hidradenitis </w:t>
            </w:r>
            <w:proofErr w:type="spellStart"/>
            <w:r w:rsidRPr="00AD370B">
              <w:rPr>
                <w:rFonts w:ascii="Arial Narrow" w:hAnsi="Arial Narrow"/>
                <w:sz w:val="20"/>
                <w:szCs w:val="20"/>
                <w:lang w:eastAsia="ja-JP"/>
              </w:rPr>
              <w:t>suppurativa</w:t>
            </w:r>
            <w:proofErr w:type="spellEnd"/>
            <w:r w:rsidRPr="00AD370B">
              <w:rPr>
                <w:rFonts w:ascii="Arial Narrow" w:hAnsi="Arial Narrow"/>
                <w:sz w:val="20"/>
                <w:szCs w:val="20"/>
                <w:lang w:eastAsia="ja-JP"/>
              </w:rPr>
              <w:t xml:space="preserve"> PBS authority application supporting Information form which must include the Hidradenitis </w:t>
            </w:r>
            <w:proofErr w:type="spellStart"/>
            <w:r w:rsidRPr="00AD370B">
              <w:rPr>
                <w:rFonts w:ascii="Arial Narrow" w:hAnsi="Arial Narrow"/>
                <w:sz w:val="20"/>
                <w:szCs w:val="20"/>
                <w:lang w:eastAsia="ja-JP"/>
              </w:rPr>
              <w:t>Suppurativa</w:t>
            </w:r>
            <w:proofErr w:type="spellEnd"/>
            <w:r w:rsidRPr="00AD370B">
              <w:rPr>
                <w:rFonts w:ascii="Arial Narrow" w:hAnsi="Arial Narrow"/>
                <w:sz w:val="20"/>
                <w:szCs w:val="20"/>
                <w:lang w:eastAsia="ja-JP"/>
              </w:rPr>
              <w:t xml:space="preserve"> Clinical Response (</w:t>
            </w:r>
            <w:proofErr w:type="spellStart"/>
            <w:r w:rsidRPr="00AD370B">
              <w:rPr>
                <w:rFonts w:ascii="Arial Narrow" w:hAnsi="Arial Narrow"/>
                <w:sz w:val="20"/>
                <w:szCs w:val="20"/>
                <w:lang w:eastAsia="ja-JP"/>
              </w:rPr>
              <w:t>HiSCR</w:t>
            </w:r>
            <w:proofErr w:type="spellEnd"/>
            <w:r w:rsidRPr="00AD370B">
              <w:rPr>
                <w:rFonts w:ascii="Arial Narrow" w:hAnsi="Arial Narrow"/>
                <w:sz w:val="20"/>
                <w:szCs w:val="20"/>
                <w:lang w:eastAsia="ja-JP"/>
              </w:rPr>
              <w:t>) result.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Administrative advice</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300" w:lineRule="atLeast"/>
              <w:rPr>
                <w:rFonts w:ascii="Arial Narrow" w:hAnsi="Arial Narrow" w:cstheme="minorHAnsi"/>
                <w:b/>
                <w:color w:val="222222"/>
                <w:sz w:val="20"/>
                <w:szCs w:val="20"/>
                <w:lang w:eastAsia="ja-JP"/>
              </w:rPr>
            </w:pPr>
            <w:r w:rsidRPr="00AD370B">
              <w:rPr>
                <w:rFonts w:ascii="Arial Narrow" w:hAnsi="Arial Narrow" w:cstheme="minorHAnsi"/>
                <w:b/>
                <w:color w:val="222222"/>
                <w:sz w:val="20"/>
                <w:szCs w:val="20"/>
                <w:lang w:eastAsia="ja-JP"/>
              </w:rPr>
              <w:t>Note</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Any queries concerning the arrangements to prescribe may be directed to the Department of Human Services on 1800 700 270 (hours of operation 8 a.m. to 5 p.m. EST Monday to Friday).</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Prescribing information (including Authority Application forms and other relevant documentation as applicable) is available on the Department of Human Services website at www.humanservices.gov.au</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Applications for authority to prescribe should be forwarded to:</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Department of Human Services</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Complex Drugs</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Reply Paid 9826</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HOBART TAS 7001</w:t>
            </w:r>
          </w:p>
          <w:p w:rsidR="00AD370B" w:rsidRPr="00AD370B" w:rsidRDefault="00AD370B" w:rsidP="00AD370B">
            <w:pPr>
              <w:spacing w:line="300" w:lineRule="atLeast"/>
              <w:rPr>
                <w:rFonts w:ascii="Arial Narrow" w:hAnsi="Arial Narrow" w:cstheme="minorHAnsi"/>
                <w:b/>
                <w:color w:val="222222"/>
                <w:sz w:val="20"/>
                <w:szCs w:val="20"/>
                <w:lang w:eastAsia="ja-JP"/>
              </w:rPr>
            </w:pPr>
            <w:r w:rsidRPr="00AD370B">
              <w:rPr>
                <w:rFonts w:ascii="Arial Narrow" w:hAnsi="Arial Narrow" w:cstheme="minorHAnsi"/>
                <w:b/>
                <w:color w:val="222222"/>
                <w:sz w:val="20"/>
                <w:szCs w:val="20"/>
                <w:lang w:eastAsia="ja-JP"/>
              </w:rPr>
              <w:lastRenderedPageBreak/>
              <w:t>Note</w:t>
            </w: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No increase in the maximum quantity or number of units may be authorised.</w:t>
            </w:r>
          </w:p>
          <w:p w:rsidR="00AD370B" w:rsidRPr="00AD370B" w:rsidRDefault="00AD370B" w:rsidP="00AD370B">
            <w:pPr>
              <w:spacing w:line="300" w:lineRule="atLeast"/>
              <w:rPr>
                <w:rFonts w:ascii="Arial Narrow" w:hAnsi="Arial Narrow" w:cstheme="minorHAnsi"/>
                <w:b/>
                <w:color w:val="222222"/>
                <w:sz w:val="20"/>
                <w:szCs w:val="20"/>
                <w:lang w:eastAsia="ja-JP"/>
              </w:rPr>
            </w:pPr>
            <w:r w:rsidRPr="00AD370B">
              <w:rPr>
                <w:rFonts w:ascii="Arial Narrow" w:hAnsi="Arial Narrow" w:cstheme="minorHAnsi"/>
                <w:b/>
                <w:color w:val="222222"/>
                <w:sz w:val="20"/>
                <w:szCs w:val="20"/>
                <w:lang w:eastAsia="ja-JP"/>
              </w:rPr>
              <w:t>Note</w:t>
            </w:r>
          </w:p>
          <w:p w:rsidR="00AD370B" w:rsidRPr="00AD370B" w:rsidRDefault="00AD370B" w:rsidP="000E6A06">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No increase in the maximum number of repeats may be authorised.</w:t>
            </w:r>
          </w:p>
        </w:tc>
      </w:tr>
    </w:tbl>
    <w:p w:rsidR="00AD370B" w:rsidRPr="00AD370B" w:rsidRDefault="00AD370B" w:rsidP="00AD370B">
      <w:pPr>
        <w:rPr>
          <w:rFonts w:ascii="Arial Narrow" w:hAnsi="Arial Narrow"/>
          <w:sz w:val="20"/>
          <w:szCs w:val="20"/>
        </w:rPr>
      </w:pPr>
    </w:p>
    <w:p w:rsidR="00AD370B" w:rsidRPr="00AD370B" w:rsidRDefault="00AD370B" w:rsidP="00AD370B">
      <w:pPr>
        <w:pStyle w:val="Heading2"/>
        <w:rPr>
          <w:rFonts w:ascii="Arial Narrow" w:hAnsi="Arial Narrow"/>
          <w:sz w:val="20"/>
          <w:szCs w:val="20"/>
        </w:rPr>
      </w:pPr>
      <w:bookmarkStart w:id="7" w:name="_Toc517860424"/>
      <w:r w:rsidRPr="00AD370B">
        <w:rPr>
          <w:rFonts w:ascii="Arial Narrow" w:hAnsi="Arial Narrow"/>
          <w:sz w:val="20"/>
          <w:szCs w:val="20"/>
        </w:rPr>
        <w:t>Subsequent continuing</w:t>
      </w:r>
      <w:bookmarkEnd w:id="7"/>
    </w:p>
    <w:tbl>
      <w:tblPr>
        <w:tblW w:w="9101" w:type="dxa"/>
        <w:tblInd w:w="108" w:type="dxa"/>
        <w:tblLayout w:type="fixed"/>
        <w:tblLook w:val="0000" w:firstRow="0" w:lastRow="0" w:firstColumn="0" w:lastColumn="0" w:noHBand="0" w:noVBand="0"/>
      </w:tblPr>
      <w:tblGrid>
        <w:gridCol w:w="1730"/>
        <w:gridCol w:w="2381"/>
        <w:gridCol w:w="851"/>
        <w:gridCol w:w="992"/>
        <w:gridCol w:w="992"/>
        <w:gridCol w:w="1446"/>
        <w:gridCol w:w="709"/>
      </w:tblGrid>
      <w:tr w:rsidR="00AD370B" w:rsidRPr="00AD370B" w:rsidTr="00AD370B">
        <w:trPr>
          <w:trHeight w:val="471"/>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Name, Restriction,</w:t>
            </w:r>
          </w:p>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z w:val="20"/>
                <w:szCs w:val="20"/>
              </w:rPr>
              <w:t>Manner of administration and form</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Packs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Max Qty Units</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№.of</w:t>
            </w:r>
          </w:p>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Rpts</w:t>
            </w:r>
          </w:p>
        </w:tc>
        <w:tc>
          <w:tcPr>
            <w:tcW w:w="2155"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lang w:val="fr-FR"/>
              </w:rPr>
            </w:pPr>
            <w:r w:rsidRPr="00AD370B">
              <w:rPr>
                <w:rFonts w:ascii="Arial Narrow" w:hAnsi="Arial Narrow" w:cstheme="minorHAnsi"/>
                <w:sz w:val="20"/>
                <w:szCs w:val="20"/>
              </w:rPr>
              <w:t>Proprietary Name and Manufacturer</w:t>
            </w:r>
          </w:p>
        </w:tc>
      </w:tr>
      <w:tr w:rsidR="00AD370B" w:rsidRPr="00AD370B" w:rsidTr="00AD370B">
        <w:trPr>
          <w:trHeight w:val="577"/>
        </w:trPr>
        <w:tc>
          <w:tcPr>
            <w:tcW w:w="4111" w:type="dxa"/>
            <w:gridSpan w:val="2"/>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hAnsi="Arial Narrow" w:cstheme="minorHAnsi"/>
                <w:smallCaps/>
                <w:sz w:val="20"/>
                <w:szCs w:val="20"/>
              </w:rPr>
              <w:t>ADALIMUMAB</w:t>
            </w:r>
          </w:p>
          <w:p w:rsidR="00AD370B" w:rsidRPr="00AD370B" w:rsidRDefault="00AD370B" w:rsidP="00AD370B">
            <w:pPr>
              <w:keepNext/>
              <w:spacing w:line="276" w:lineRule="auto"/>
              <w:ind w:left="-108"/>
              <w:jc w:val="both"/>
              <w:rPr>
                <w:rFonts w:ascii="Arial Narrow" w:hAnsi="Arial Narrow" w:cstheme="minorHAnsi"/>
                <w:sz w:val="20"/>
                <w:szCs w:val="20"/>
              </w:rPr>
            </w:pPr>
            <w:r w:rsidRPr="00AD370B">
              <w:rPr>
                <w:rFonts w:ascii="Arial Narrow" w:eastAsiaTheme="minorHAnsi" w:hAnsi="Arial Narrow" w:cstheme="minorHAnsi"/>
                <w:b/>
                <w:bCs/>
                <w:sz w:val="20"/>
                <w:szCs w:val="20"/>
                <w:lang w:eastAsia="en-US"/>
              </w:rPr>
              <w:t>adalimumab 40 mg/0.8 mL injection, 4 x 0.8 mL pens</w:t>
            </w:r>
          </w:p>
        </w:tc>
        <w:tc>
          <w:tcPr>
            <w:tcW w:w="851"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ind w:left="-108"/>
              <w:jc w:val="center"/>
              <w:rPr>
                <w:rFonts w:ascii="Arial Narrow" w:hAnsi="Arial Narrow" w:cstheme="minorHAnsi"/>
                <w:sz w:val="20"/>
                <w:szCs w:val="20"/>
              </w:rPr>
            </w:pPr>
            <w:r w:rsidRPr="00AD370B">
              <w:rPr>
                <w:rFonts w:ascii="Arial Narrow" w:hAnsi="Arial Narrow" w:cstheme="minorHAnsi"/>
                <w:sz w:val="20"/>
                <w:szCs w:val="20"/>
              </w:rPr>
              <w:t>5</w:t>
            </w:r>
          </w:p>
        </w:tc>
        <w:tc>
          <w:tcPr>
            <w:tcW w:w="1446"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AMGEVITA</w:t>
            </w:r>
          </w:p>
        </w:tc>
        <w:tc>
          <w:tcPr>
            <w:tcW w:w="709"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keepNext/>
              <w:spacing w:line="276" w:lineRule="auto"/>
              <w:jc w:val="both"/>
              <w:rPr>
                <w:rFonts w:ascii="Arial Narrow" w:hAnsi="Arial Narrow" w:cstheme="minorHAnsi"/>
                <w:sz w:val="20"/>
                <w:szCs w:val="20"/>
              </w:rPr>
            </w:pPr>
            <w:r w:rsidRPr="00AD370B">
              <w:rPr>
                <w:rFonts w:ascii="Arial Narrow" w:hAnsi="Arial Narrow" w:cstheme="minorHAnsi"/>
                <w:sz w:val="20"/>
                <w:szCs w:val="20"/>
              </w:rPr>
              <w:t>AN</w:t>
            </w:r>
          </w:p>
        </w:tc>
      </w:tr>
      <w:tr w:rsidR="00AD370B" w:rsidRPr="00AD370B" w:rsidTr="00AD370B">
        <w:trPr>
          <w:trHeight w:val="16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Category/Program</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Authority Required</w:t>
            </w:r>
          </w:p>
        </w:tc>
      </w:tr>
      <w:tr w:rsidR="00AD370B" w:rsidRPr="00AD370B" w:rsidTr="00AD370B">
        <w:trPr>
          <w:trHeight w:val="253"/>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w:t>
            </w:r>
          </w:p>
        </w:tc>
      </w:tr>
      <w:tr w:rsidR="00AD370B" w:rsidRPr="00AD370B" w:rsidTr="00AD370B">
        <w:trPr>
          <w:trHeight w:val="28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41"/>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eastAsiaTheme="minorHAnsi" w:hAnsi="Arial Narrow" w:cstheme="minorHAnsi"/>
                <w:sz w:val="20"/>
                <w:szCs w:val="20"/>
                <w:lang w:eastAsia="en-US"/>
              </w:rPr>
            </w:pPr>
            <w:r w:rsidRPr="00AD370B">
              <w:rPr>
                <w:rFonts w:ascii="Arial Narrow" w:eastAsiaTheme="minorHAnsi" w:hAnsi="Arial Narrow" w:cstheme="minorHAnsi"/>
                <w:sz w:val="20"/>
                <w:szCs w:val="20"/>
                <w:lang w:eastAsia="en-US"/>
              </w:rPr>
              <w:t xml:space="preserve">Moderate to severe hidradenitis </w:t>
            </w:r>
            <w:proofErr w:type="spellStart"/>
            <w:r w:rsidRPr="00AD370B">
              <w:rPr>
                <w:rFonts w:ascii="Arial Narrow" w:eastAsiaTheme="minorHAnsi" w:hAnsi="Arial Narrow" w:cstheme="minorHAnsi"/>
                <w:sz w:val="20"/>
                <w:szCs w:val="20"/>
                <w:lang w:eastAsia="en-US"/>
              </w:rPr>
              <w:t>suppurativa</w:t>
            </w:r>
            <w:proofErr w:type="spellEnd"/>
          </w:p>
        </w:tc>
      </w:tr>
      <w:tr w:rsidR="00AD370B" w:rsidRPr="00AD370B" w:rsidTr="00AD370B">
        <w:trPr>
          <w:trHeight w:val="227"/>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i/>
                <w:sz w:val="20"/>
                <w:szCs w:val="20"/>
              </w:rPr>
            </w:pPr>
            <w:r w:rsidRPr="00AD370B">
              <w:rPr>
                <w:rFonts w:ascii="Arial Narrow" w:hAnsi="Arial Narrow" w:cstheme="minorHAnsi"/>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BB0712" w:rsidP="00AD370B">
            <w:pPr>
              <w:spacing w:line="276" w:lineRule="auto"/>
              <w:rPr>
                <w:rFonts w:ascii="Arial Narrow" w:eastAsiaTheme="minorHAnsi" w:hAnsi="Arial Narrow" w:cstheme="minorHAnsi"/>
                <w:sz w:val="20"/>
                <w:szCs w:val="20"/>
                <w:lang w:eastAsia="en-US"/>
              </w:rPr>
            </w:pPr>
            <w:r>
              <w:rPr>
                <w:rFonts w:ascii="Arial Narrow" w:eastAsiaTheme="minorHAnsi" w:hAnsi="Arial Narrow" w:cstheme="minorHAnsi"/>
                <w:sz w:val="20"/>
                <w:szCs w:val="20"/>
                <w:lang w:eastAsia="en-US"/>
              </w:rPr>
              <w:t>Subsequent</w:t>
            </w:r>
            <w:r w:rsidRPr="00AD370B">
              <w:rPr>
                <w:rFonts w:ascii="Arial Narrow" w:eastAsiaTheme="minorHAnsi" w:hAnsi="Arial Narrow" w:cstheme="minorHAnsi"/>
                <w:sz w:val="20"/>
                <w:szCs w:val="20"/>
                <w:lang w:eastAsia="en-US"/>
              </w:rPr>
              <w:t xml:space="preserve"> </w:t>
            </w:r>
            <w:r w:rsidR="00AD370B" w:rsidRPr="00AD370B">
              <w:rPr>
                <w:rFonts w:ascii="Arial Narrow" w:eastAsiaTheme="minorHAnsi" w:hAnsi="Arial Narrow" w:cstheme="minorHAnsi"/>
                <w:sz w:val="20"/>
                <w:szCs w:val="20"/>
                <w:lang w:eastAsia="en-US"/>
              </w:rPr>
              <w:t xml:space="preserve">continuing treatment </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Restriction Level / Method:</w:t>
            </w:r>
          </w:p>
          <w:p w:rsidR="00AD370B" w:rsidRPr="00AD370B" w:rsidRDefault="00AD370B" w:rsidP="00AD370B">
            <w:pPr>
              <w:spacing w:line="276" w:lineRule="auto"/>
              <w:rPr>
                <w:rFonts w:ascii="Arial Narrow" w:hAnsi="Arial Narrow" w:cstheme="minorHAnsi"/>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1"/>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 xml:space="preserve">Restricted benefit </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In Writing</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Telephone</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Emergency</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Check5"/>
                  <w:enabled/>
                  <w:calcOnExit w:val="0"/>
                  <w:checkBox>
                    <w:sizeAuto/>
                    <w:default w:val="0"/>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Authority Required - Electronic</w:t>
            </w:r>
          </w:p>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fldChar w:fldCharType="begin">
                <w:ffData>
                  <w:name w:val=""/>
                  <w:enabled w:val="0"/>
                  <w:calcOnExit w:val="0"/>
                  <w:checkBox>
                    <w:sizeAuto/>
                    <w:default w:val="1"/>
                  </w:checkBox>
                </w:ffData>
              </w:fldChar>
            </w:r>
            <w:r w:rsidRPr="00AD370B">
              <w:rPr>
                <w:rFonts w:ascii="Arial Narrow" w:hAnsi="Arial Narrow" w:cstheme="minorHAnsi"/>
                <w:sz w:val="20"/>
                <w:szCs w:val="20"/>
              </w:rPr>
              <w:instrText xml:space="preserve"> FORMCHECKBOX </w:instrText>
            </w:r>
            <w:r w:rsidR="009B2664">
              <w:rPr>
                <w:rFonts w:ascii="Arial Narrow" w:hAnsi="Arial Narrow" w:cstheme="minorHAnsi"/>
                <w:sz w:val="20"/>
                <w:szCs w:val="20"/>
              </w:rPr>
            </w:r>
            <w:r w:rsidR="009B2664">
              <w:rPr>
                <w:rFonts w:ascii="Arial Narrow" w:hAnsi="Arial Narrow" w:cstheme="minorHAnsi"/>
                <w:sz w:val="20"/>
                <w:szCs w:val="20"/>
              </w:rPr>
              <w:fldChar w:fldCharType="separate"/>
            </w:r>
            <w:r w:rsidRPr="00AD370B">
              <w:rPr>
                <w:rFonts w:ascii="Arial Narrow" w:hAnsi="Arial Narrow" w:cstheme="minorHAnsi"/>
                <w:sz w:val="20"/>
                <w:szCs w:val="20"/>
              </w:rPr>
              <w:fldChar w:fldCharType="end"/>
            </w:r>
            <w:r w:rsidRPr="00AD370B">
              <w:rPr>
                <w:rFonts w:ascii="Arial Narrow" w:hAnsi="Arial Narrow" w:cstheme="minorHAnsi"/>
                <w:sz w:val="20"/>
                <w:szCs w:val="20"/>
              </w:rPr>
              <w:t>Streamlined</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Clinical criteria:</w:t>
            </w:r>
          </w:p>
          <w:p w:rsidR="00AD370B" w:rsidRPr="00AD370B" w:rsidRDefault="00AD370B" w:rsidP="00AD370B">
            <w:pPr>
              <w:spacing w:line="276" w:lineRule="auto"/>
              <w:jc w:val="both"/>
              <w:rPr>
                <w:rFonts w:ascii="Arial Narrow" w:hAnsi="Arial Narrow" w:cstheme="minorHAnsi"/>
                <w:i/>
                <w:sz w:val="20"/>
                <w:szCs w:val="20"/>
              </w:rPr>
            </w:pPr>
          </w:p>
          <w:p w:rsidR="00AD370B" w:rsidRPr="00AD370B" w:rsidRDefault="00AD370B" w:rsidP="00AD370B">
            <w:pPr>
              <w:spacing w:line="276" w:lineRule="auto"/>
              <w:jc w:val="both"/>
              <w:rPr>
                <w:rFonts w:ascii="Arial Narrow" w:hAnsi="Arial Narrow" w:cstheme="minorHAns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300" w:lineRule="atLeast"/>
              <w:ind w:left="15"/>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Patient must have previously received PBS-subsidised treatment with this drug for this condition, AND</w:t>
            </w:r>
          </w:p>
          <w:p w:rsidR="00AD370B" w:rsidRPr="00AD370B" w:rsidRDefault="00AD370B" w:rsidP="00AD370B">
            <w:pPr>
              <w:spacing w:line="276" w:lineRule="auto"/>
              <w:ind w:left="34"/>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Patient must have demonstrated a response to treatment with this drug for this condition.</w:t>
            </w:r>
          </w:p>
        </w:tc>
      </w:tr>
      <w:tr w:rsidR="00AD370B" w:rsidRPr="00AD370B" w:rsidTr="00AD370B">
        <w:trPr>
          <w:trHeight w:val="295"/>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Population criteria:</w:t>
            </w:r>
          </w:p>
        </w:tc>
        <w:tc>
          <w:tcPr>
            <w:tcW w:w="7371" w:type="dxa"/>
            <w:gridSpan w:val="6"/>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b/>
                <w:sz w:val="20"/>
                <w:szCs w:val="20"/>
              </w:rPr>
              <w:t>Treatment criteria:</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276" w:lineRule="auto"/>
              <w:rPr>
                <w:rFonts w:ascii="Arial Narrow" w:hAnsi="Arial Narrow" w:cstheme="minorHAnsi"/>
                <w:sz w:val="20"/>
                <w:szCs w:val="20"/>
              </w:rPr>
            </w:pPr>
            <w:r w:rsidRPr="00AD370B">
              <w:rPr>
                <w:rFonts w:ascii="Arial Narrow" w:hAnsi="Arial Narrow" w:cstheme="minorHAnsi"/>
                <w:sz w:val="20"/>
                <w:szCs w:val="20"/>
              </w:rPr>
              <w:t>Must be treated by a dermatologist</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sz w:val="20"/>
                <w:szCs w:val="20"/>
              </w:rPr>
            </w:pPr>
            <w:r w:rsidRPr="00AD370B">
              <w:rPr>
                <w:rFonts w:ascii="Arial Narrow" w:hAnsi="Arial Narrow" w:cstheme="minorHAnsi"/>
                <w:b/>
                <w:sz w:val="20"/>
                <w:szCs w:val="20"/>
              </w:rPr>
              <w:t>Prescriber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A response to treatment is defined as:</w:t>
            </w:r>
          </w:p>
          <w:p w:rsid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 xml:space="preserve">Achieving Hidradenitis </w:t>
            </w:r>
            <w:proofErr w:type="spellStart"/>
            <w:r w:rsidRPr="00AD370B">
              <w:rPr>
                <w:rFonts w:ascii="Arial Narrow" w:hAnsi="Arial Narrow" w:cstheme="minorHAnsi"/>
                <w:color w:val="222222"/>
                <w:sz w:val="20"/>
                <w:szCs w:val="20"/>
                <w:lang w:eastAsia="ja-JP"/>
              </w:rPr>
              <w:t>Suppurativa</w:t>
            </w:r>
            <w:proofErr w:type="spellEnd"/>
            <w:r w:rsidRPr="00AD370B">
              <w:rPr>
                <w:rFonts w:ascii="Arial Narrow" w:hAnsi="Arial Narrow" w:cstheme="minorHAnsi"/>
                <w:color w:val="222222"/>
                <w:sz w:val="20"/>
                <w:szCs w:val="20"/>
                <w:lang w:eastAsia="ja-JP"/>
              </w:rPr>
              <w:t xml:space="preserve"> Clinical Response (</w:t>
            </w:r>
            <w:proofErr w:type="spellStart"/>
            <w:r w:rsidRPr="00AD370B">
              <w:rPr>
                <w:rFonts w:ascii="Arial Narrow" w:hAnsi="Arial Narrow" w:cstheme="minorHAnsi"/>
                <w:color w:val="222222"/>
                <w:sz w:val="20"/>
                <w:szCs w:val="20"/>
                <w:lang w:eastAsia="ja-JP"/>
              </w:rPr>
              <w:t>HiSCR</w:t>
            </w:r>
            <w:proofErr w:type="spellEnd"/>
            <w:r w:rsidRPr="00AD370B">
              <w:rPr>
                <w:rFonts w:ascii="Arial Narrow" w:hAnsi="Arial Narrow" w:cstheme="minorHAnsi"/>
                <w:color w:val="222222"/>
                <w:sz w:val="20"/>
                <w:szCs w:val="20"/>
                <w:lang w:eastAsia="ja-JP"/>
              </w:rPr>
              <w:t xml:space="preserve">) of a 50% reduction in </w:t>
            </w:r>
            <w:proofErr w:type="gramStart"/>
            <w:r w:rsidRPr="00AD370B">
              <w:rPr>
                <w:rFonts w:ascii="Arial Narrow" w:hAnsi="Arial Narrow" w:cstheme="minorHAnsi"/>
                <w:color w:val="222222"/>
                <w:sz w:val="20"/>
                <w:szCs w:val="20"/>
                <w:lang w:eastAsia="ja-JP"/>
              </w:rPr>
              <w:t>AN</w:t>
            </w:r>
            <w:proofErr w:type="gramEnd"/>
            <w:r w:rsidRPr="00AD370B">
              <w:rPr>
                <w:rFonts w:ascii="Arial Narrow" w:hAnsi="Arial Narrow" w:cstheme="minorHAnsi"/>
                <w:color w:val="222222"/>
                <w:sz w:val="20"/>
                <w:szCs w:val="20"/>
                <w:lang w:eastAsia="ja-JP"/>
              </w:rPr>
              <w:t xml:space="preserve"> count compared to baseline with no increase in abscesses or draining fistulae. </w:t>
            </w:r>
          </w:p>
          <w:p w:rsidR="001431EE" w:rsidRPr="00AD370B" w:rsidRDefault="001431EE" w:rsidP="00AD370B">
            <w:pPr>
              <w:spacing w:line="300" w:lineRule="atLeast"/>
              <w:rPr>
                <w:rFonts w:ascii="Arial Narrow" w:hAnsi="Arial Narrow" w:cstheme="minorHAnsi"/>
                <w:color w:val="222222"/>
                <w:sz w:val="20"/>
                <w:szCs w:val="20"/>
                <w:lang w:eastAsia="ja-JP"/>
              </w:rPr>
            </w:pPr>
          </w:p>
          <w:p w:rsidR="00AD370B" w:rsidRPr="00AD370B" w:rsidRDefault="00AD370B" w:rsidP="00AD370B">
            <w:pPr>
              <w:spacing w:line="300" w:lineRule="atLeast"/>
              <w:rPr>
                <w:rFonts w:ascii="Arial Narrow" w:hAnsi="Arial Narrow" w:cstheme="minorHAnsi"/>
                <w:color w:val="222222"/>
                <w:sz w:val="20"/>
                <w:szCs w:val="20"/>
                <w:lang w:eastAsia="ja-JP"/>
              </w:rPr>
            </w:pPr>
            <w:r w:rsidRPr="00AD370B">
              <w:rPr>
                <w:rFonts w:ascii="Arial Narrow" w:hAnsi="Arial Narrow" w:cstheme="minorHAnsi"/>
                <w:color w:val="222222"/>
                <w:sz w:val="20"/>
                <w:szCs w:val="20"/>
                <w:lang w:eastAsia="ja-JP"/>
              </w:rPr>
              <w:t xml:space="preserve">For </w:t>
            </w:r>
            <w:r w:rsidR="00D66937">
              <w:rPr>
                <w:rFonts w:ascii="Arial Narrow" w:hAnsi="Arial Narrow" w:cstheme="minorHAnsi"/>
                <w:color w:val="222222"/>
                <w:sz w:val="20"/>
                <w:szCs w:val="20"/>
                <w:lang w:eastAsia="ja-JP"/>
              </w:rPr>
              <w:t xml:space="preserve">subsequent </w:t>
            </w:r>
            <w:r w:rsidRPr="00AD370B">
              <w:rPr>
                <w:rFonts w:ascii="Arial Narrow" w:hAnsi="Arial Narrow" w:cstheme="minorHAnsi"/>
                <w:color w:val="222222"/>
                <w:sz w:val="20"/>
                <w:szCs w:val="20"/>
                <w:lang w:eastAsia="ja-JP"/>
              </w:rPr>
              <w:t xml:space="preserve">continuing treatment a Hidradenitis </w:t>
            </w:r>
            <w:proofErr w:type="spellStart"/>
            <w:r w:rsidRPr="00AD370B">
              <w:rPr>
                <w:rFonts w:ascii="Arial Narrow" w:hAnsi="Arial Narrow" w:cstheme="minorHAnsi"/>
                <w:color w:val="222222"/>
                <w:sz w:val="20"/>
                <w:szCs w:val="20"/>
                <w:lang w:eastAsia="ja-JP"/>
              </w:rPr>
              <w:t>Suppurativa</w:t>
            </w:r>
            <w:proofErr w:type="spellEnd"/>
            <w:r w:rsidRPr="00AD370B">
              <w:rPr>
                <w:rFonts w:ascii="Arial Narrow" w:hAnsi="Arial Narrow" w:cstheme="minorHAnsi"/>
                <w:color w:val="222222"/>
                <w:sz w:val="20"/>
                <w:szCs w:val="20"/>
                <w:lang w:eastAsia="ja-JP"/>
              </w:rPr>
              <w:t xml:space="preserve"> Clinical Response (</w:t>
            </w:r>
            <w:proofErr w:type="spellStart"/>
            <w:r w:rsidRPr="00AD370B">
              <w:rPr>
                <w:rFonts w:ascii="Arial Narrow" w:hAnsi="Arial Narrow" w:cstheme="minorHAnsi"/>
                <w:color w:val="222222"/>
                <w:sz w:val="20"/>
                <w:szCs w:val="20"/>
                <w:lang w:eastAsia="ja-JP"/>
              </w:rPr>
              <w:t>HiSCR</w:t>
            </w:r>
            <w:proofErr w:type="spellEnd"/>
            <w:r w:rsidRPr="00AD370B">
              <w:rPr>
                <w:rFonts w:ascii="Arial Narrow" w:hAnsi="Arial Narrow" w:cstheme="minorHAnsi"/>
                <w:color w:val="222222"/>
                <w:sz w:val="20"/>
                <w:szCs w:val="20"/>
                <w:lang w:eastAsia="ja-JP"/>
              </w:rPr>
              <w:t xml:space="preserve">) assessment must be made every 24 weeks. </w:t>
            </w:r>
          </w:p>
          <w:p w:rsidR="00AD370B" w:rsidRPr="00AD370B" w:rsidRDefault="00AD370B" w:rsidP="00AD370B">
            <w:pPr>
              <w:spacing w:before="240" w:after="150" w:line="276" w:lineRule="auto"/>
              <w:rPr>
                <w:rFonts w:ascii="Arial Narrow" w:hAnsi="Arial Narrow" w:cstheme="minorHAnsi"/>
                <w:sz w:val="20"/>
                <w:szCs w:val="20"/>
              </w:rPr>
            </w:pPr>
            <w:r w:rsidRPr="00AD370B">
              <w:rPr>
                <w:rFonts w:ascii="Arial Narrow" w:hAnsi="Arial Narrow" w:cstheme="minorHAnsi"/>
                <w:color w:val="222222"/>
                <w:sz w:val="20"/>
                <w:szCs w:val="20"/>
                <w:lang w:eastAsia="ja-JP"/>
              </w:rPr>
              <w:t>The measurement of response to the prior course of therapy must be documented in the patient's medical notes.</w:t>
            </w:r>
          </w:p>
        </w:tc>
      </w:tr>
      <w:tr w:rsidR="00AD370B" w:rsidRPr="00AD370B" w:rsidTr="00AD370B">
        <w:trPr>
          <w:trHeight w:val="360"/>
        </w:trPr>
        <w:tc>
          <w:tcPr>
            <w:tcW w:w="1730" w:type="dxa"/>
            <w:tcBorders>
              <w:top w:val="single" w:sz="4" w:space="0" w:color="auto"/>
              <w:left w:val="single" w:sz="4" w:space="0" w:color="auto"/>
              <w:bottom w:val="single" w:sz="4" w:space="0" w:color="auto"/>
              <w:right w:val="single" w:sz="4" w:space="0" w:color="auto"/>
            </w:tcBorders>
          </w:tcPr>
          <w:p w:rsidR="00AD370B" w:rsidRPr="00AD370B" w:rsidRDefault="00AD370B" w:rsidP="00AD370B">
            <w:pPr>
              <w:spacing w:line="276" w:lineRule="auto"/>
              <w:jc w:val="both"/>
              <w:rPr>
                <w:rFonts w:ascii="Arial Narrow" w:hAnsi="Arial Narrow" w:cstheme="minorHAnsi"/>
                <w:b/>
                <w:sz w:val="20"/>
                <w:szCs w:val="20"/>
              </w:rPr>
            </w:pPr>
            <w:r w:rsidRPr="00AD370B">
              <w:rPr>
                <w:rFonts w:ascii="Arial Narrow" w:hAnsi="Arial Narrow" w:cstheme="minorHAnsi"/>
                <w:b/>
                <w:sz w:val="20"/>
                <w:szCs w:val="20"/>
              </w:rPr>
              <w:t>Administrative instructions</w:t>
            </w:r>
          </w:p>
        </w:tc>
        <w:tc>
          <w:tcPr>
            <w:tcW w:w="73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D370B" w:rsidRPr="00AD370B" w:rsidRDefault="00B55B41" w:rsidP="000E6A06">
            <w:pPr>
              <w:spacing w:line="300" w:lineRule="atLeast"/>
              <w:rPr>
                <w:rFonts w:ascii="Arial Narrow" w:eastAsiaTheme="minorHAnsi" w:hAnsi="Arial Narrow" w:cstheme="minorHAnsi"/>
                <w:sz w:val="20"/>
                <w:szCs w:val="20"/>
                <w:lang w:eastAsia="en-US"/>
              </w:rPr>
            </w:pPr>
            <w:r w:rsidRPr="00AD370B">
              <w:rPr>
                <w:rFonts w:ascii="Arial Narrow" w:hAnsi="Arial Narrow" w:cstheme="minorHAnsi"/>
                <w:color w:val="222222"/>
                <w:sz w:val="20"/>
                <w:szCs w:val="20"/>
                <w:lang w:eastAsia="ja-JP"/>
              </w:rPr>
              <w:t>No increase in the maximum quantity or number of units may be authorised.</w:t>
            </w:r>
          </w:p>
        </w:tc>
      </w:tr>
    </w:tbl>
    <w:p w:rsidR="00AD370B" w:rsidRDefault="00AD370B" w:rsidP="00AD370B">
      <w:pPr>
        <w:rPr>
          <w:rFonts w:ascii="Arial Narrow" w:hAnsi="Arial Narrow"/>
          <w:sz w:val="20"/>
          <w:szCs w:val="20"/>
        </w:rPr>
      </w:pPr>
    </w:p>
    <w:p w:rsidR="00F86229" w:rsidRPr="00F86229" w:rsidRDefault="00F86229" w:rsidP="00F86229">
      <w:pPr>
        <w:pStyle w:val="PBACHeading1"/>
        <w:spacing w:before="240" w:after="120"/>
        <w:ind w:left="709" w:hanging="709"/>
        <w:rPr>
          <w:rFonts w:asciiTheme="minorHAnsi" w:hAnsiTheme="minorHAnsi"/>
          <w:sz w:val="32"/>
          <w:szCs w:val="32"/>
        </w:rPr>
      </w:pPr>
      <w:r w:rsidRPr="00F86229">
        <w:rPr>
          <w:rFonts w:asciiTheme="minorHAnsi" w:hAnsiTheme="minorHAnsi"/>
          <w:sz w:val="32"/>
          <w:szCs w:val="32"/>
        </w:rPr>
        <w:t>Context for Decision</w:t>
      </w:r>
    </w:p>
    <w:p w:rsidR="00F86229" w:rsidRPr="0014529D" w:rsidRDefault="00F86229" w:rsidP="0014529D">
      <w:pPr>
        <w:ind w:left="709"/>
        <w:jc w:val="both"/>
        <w:rPr>
          <w:rFonts w:asciiTheme="minorHAnsi" w:hAnsiTheme="minorHAnsi" w:cs="Arial"/>
        </w:rPr>
      </w:pPr>
      <w:r w:rsidRPr="00C07617">
        <w:rPr>
          <w:rFonts w:asciiTheme="minorHAnsi" w:hAnsiTheme="minorHAnsi" w:cs="Arial"/>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C07617">
        <w:rPr>
          <w:rFonts w:asciiTheme="minorHAnsi" w:hAnsiTheme="minorHAnsi" w:cs="Arial"/>
        </w:rPr>
        <w:lastRenderedPageBreak/>
        <w:t>PBAC view about the merits of the medicine. A company can resubmit to the PBAC or seek independent review of the PBAC decision.</w:t>
      </w:r>
    </w:p>
    <w:p w:rsidR="00F86229" w:rsidRPr="00F86229" w:rsidRDefault="00F86229" w:rsidP="00F86229">
      <w:pPr>
        <w:pStyle w:val="PBACHeading1"/>
        <w:spacing w:before="240" w:after="120"/>
        <w:ind w:left="709" w:hanging="709"/>
        <w:rPr>
          <w:rFonts w:asciiTheme="minorHAnsi" w:hAnsiTheme="minorHAnsi"/>
          <w:sz w:val="32"/>
          <w:szCs w:val="32"/>
        </w:rPr>
      </w:pPr>
      <w:r w:rsidRPr="00F86229">
        <w:rPr>
          <w:rFonts w:asciiTheme="minorHAnsi" w:hAnsiTheme="minorHAnsi"/>
          <w:sz w:val="32"/>
          <w:szCs w:val="32"/>
        </w:rPr>
        <w:t>Sponsor’s Comment</w:t>
      </w:r>
    </w:p>
    <w:p w:rsidR="00F86229" w:rsidRPr="00AD370B" w:rsidRDefault="00F86229" w:rsidP="000E6A06">
      <w:pPr>
        <w:spacing w:after="120"/>
        <w:ind w:left="709"/>
        <w:jc w:val="both"/>
        <w:rPr>
          <w:rFonts w:ascii="Arial Narrow" w:hAnsi="Arial Narrow"/>
          <w:sz w:val="20"/>
          <w:szCs w:val="20"/>
        </w:rPr>
      </w:pPr>
      <w:r w:rsidRPr="00C07617">
        <w:rPr>
          <w:rFonts w:asciiTheme="minorHAnsi" w:hAnsiTheme="minorHAnsi" w:cs="Arial"/>
          <w:bCs/>
        </w:rPr>
        <w:t>The sponsor had no comment.</w:t>
      </w:r>
    </w:p>
    <w:sectPr w:rsidR="00F86229" w:rsidRPr="00AD370B" w:rsidSect="00C27B58">
      <w:headerReference w:type="even" r:id="rId11"/>
      <w:headerReference w:type="default" r:id="rId12"/>
      <w:footerReference w:type="even" r:id="rId13"/>
      <w:footerReference w:type="defaul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64" w:rsidRDefault="009B2664">
      <w:r>
        <w:separator/>
      </w:r>
    </w:p>
    <w:p w:rsidR="009B2664" w:rsidRDefault="009B2664"/>
  </w:endnote>
  <w:endnote w:type="continuationSeparator" w:id="0">
    <w:p w:rsidR="009B2664" w:rsidRDefault="009B2664">
      <w:r>
        <w:continuationSeparator/>
      </w:r>
    </w:p>
    <w:p w:rsidR="009B2664" w:rsidRDefault="009B2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B2664" w:rsidTr="005A3173">
      <w:trPr>
        <w:trHeight w:val="151"/>
      </w:trPr>
      <w:tc>
        <w:tcPr>
          <w:tcW w:w="2250" w:type="pct"/>
          <w:tcBorders>
            <w:top w:val="nil"/>
            <w:left w:val="nil"/>
            <w:bottom w:val="single" w:sz="4" w:space="0" w:color="4F81BD"/>
            <w:right w:val="nil"/>
          </w:tcBorders>
        </w:tcPr>
        <w:p w:rsidR="009B2664" w:rsidRPr="005A3173" w:rsidRDefault="009B266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B2664" w:rsidRPr="005A3173" w:rsidRDefault="009B266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B2664" w:rsidRPr="005A3173" w:rsidRDefault="009B2664" w:rsidP="005A3173">
          <w:pPr>
            <w:pStyle w:val="Header"/>
            <w:spacing w:line="276" w:lineRule="auto"/>
            <w:rPr>
              <w:rFonts w:ascii="Calibri" w:eastAsia="MS Gothic" w:hAnsi="Calibri"/>
              <w:b/>
              <w:bCs/>
              <w:color w:val="4F81BD"/>
            </w:rPr>
          </w:pPr>
        </w:p>
      </w:tc>
    </w:tr>
    <w:tr w:rsidR="009B2664" w:rsidTr="005A3173">
      <w:trPr>
        <w:trHeight w:val="150"/>
      </w:trPr>
      <w:tc>
        <w:tcPr>
          <w:tcW w:w="2250" w:type="pct"/>
          <w:tcBorders>
            <w:top w:val="single" w:sz="4" w:space="0" w:color="4F81BD"/>
            <w:left w:val="nil"/>
            <w:bottom w:val="nil"/>
            <w:right w:val="nil"/>
          </w:tcBorders>
        </w:tcPr>
        <w:p w:rsidR="009B2664" w:rsidRPr="005A3173" w:rsidRDefault="009B2664" w:rsidP="005A3173">
          <w:pPr>
            <w:pStyle w:val="Header"/>
            <w:spacing w:line="276" w:lineRule="auto"/>
            <w:rPr>
              <w:rFonts w:ascii="Calibri" w:eastAsia="MS Gothic" w:hAnsi="Calibri"/>
              <w:b/>
              <w:bCs/>
              <w:color w:val="4F81BD"/>
            </w:rPr>
          </w:pPr>
        </w:p>
      </w:tc>
      <w:tc>
        <w:tcPr>
          <w:tcW w:w="0" w:type="auto"/>
          <w:vMerge/>
          <w:vAlign w:val="center"/>
          <w:hideMark/>
        </w:tcPr>
        <w:p w:rsidR="009B2664" w:rsidRPr="005A3173" w:rsidRDefault="009B2664" w:rsidP="005A3173">
          <w:pPr>
            <w:rPr>
              <w:rFonts w:ascii="Calibri" w:hAnsi="Calibri"/>
              <w:color w:val="365F91"/>
              <w:sz w:val="22"/>
              <w:szCs w:val="22"/>
            </w:rPr>
          </w:pPr>
        </w:p>
      </w:tc>
      <w:tc>
        <w:tcPr>
          <w:tcW w:w="2250" w:type="pct"/>
          <w:tcBorders>
            <w:top w:val="single" w:sz="4" w:space="0" w:color="4F81BD"/>
            <w:left w:val="nil"/>
            <w:bottom w:val="nil"/>
            <w:right w:val="nil"/>
          </w:tcBorders>
        </w:tcPr>
        <w:p w:rsidR="009B2664" w:rsidRPr="005A3173" w:rsidRDefault="009B2664" w:rsidP="005A3173">
          <w:pPr>
            <w:pStyle w:val="Header"/>
            <w:spacing w:line="276" w:lineRule="auto"/>
            <w:rPr>
              <w:rFonts w:ascii="Calibri" w:eastAsia="MS Gothic" w:hAnsi="Calibri"/>
              <w:b/>
              <w:bCs/>
              <w:color w:val="4F81BD"/>
            </w:rPr>
          </w:pPr>
        </w:p>
      </w:tc>
    </w:tr>
  </w:tbl>
  <w:p w:rsidR="009B2664" w:rsidRDefault="009B266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2664" w:rsidRDefault="009B2664">
    <w:pPr>
      <w:pStyle w:val="Footer"/>
    </w:pPr>
  </w:p>
  <w:p w:rsidR="009B2664" w:rsidRDefault="009B26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115"/>
      <w:docPartObj>
        <w:docPartGallery w:val="Page Numbers (Bottom of Page)"/>
        <w:docPartUnique/>
      </w:docPartObj>
    </w:sdtPr>
    <w:sdtEndPr>
      <w:rPr>
        <w:rFonts w:asciiTheme="minorHAnsi" w:hAnsiTheme="minorHAnsi"/>
        <w:b/>
        <w:noProof/>
        <w:sz w:val="20"/>
        <w:szCs w:val="20"/>
      </w:rPr>
    </w:sdtEndPr>
    <w:sdtContent>
      <w:p w:rsidR="009B2664" w:rsidRDefault="009B2664" w:rsidP="009971C4">
        <w:pPr>
          <w:pStyle w:val="Footer"/>
          <w:jc w:val="center"/>
        </w:pPr>
      </w:p>
      <w:p w:rsidR="009B2664" w:rsidRPr="009971C4" w:rsidRDefault="009B2664" w:rsidP="009971C4">
        <w:pPr>
          <w:pStyle w:val="Footer"/>
          <w:jc w:val="center"/>
          <w:rPr>
            <w:rFonts w:asciiTheme="minorHAnsi" w:hAnsiTheme="minorHAnsi"/>
            <w:b/>
            <w:sz w:val="20"/>
            <w:szCs w:val="20"/>
          </w:rPr>
        </w:pPr>
        <w:r w:rsidRPr="00F77BBD">
          <w:rPr>
            <w:rFonts w:asciiTheme="minorHAnsi" w:hAnsiTheme="minorHAnsi"/>
            <w:b/>
            <w:sz w:val="20"/>
            <w:szCs w:val="20"/>
          </w:rPr>
          <w:fldChar w:fldCharType="begin"/>
        </w:r>
        <w:r w:rsidRPr="00F77BBD">
          <w:rPr>
            <w:rFonts w:asciiTheme="minorHAnsi" w:hAnsiTheme="minorHAnsi"/>
            <w:b/>
            <w:sz w:val="20"/>
            <w:szCs w:val="20"/>
          </w:rPr>
          <w:instrText xml:space="preserve"> PAGE   \* MERGEFORMAT </w:instrText>
        </w:r>
        <w:r w:rsidRPr="00F77BBD">
          <w:rPr>
            <w:rFonts w:asciiTheme="minorHAnsi" w:hAnsiTheme="minorHAnsi"/>
            <w:b/>
            <w:sz w:val="20"/>
            <w:szCs w:val="20"/>
          </w:rPr>
          <w:fldChar w:fldCharType="separate"/>
        </w:r>
        <w:r w:rsidR="002C424B">
          <w:rPr>
            <w:rFonts w:asciiTheme="minorHAnsi" w:hAnsiTheme="minorHAnsi"/>
            <w:b/>
            <w:noProof/>
            <w:sz w:val="20"/>
            <w:szCs w:val="20"/>
          </w:rPr>
          <w:t>6</w:t>
        </w:r>
        <w:r w:rsidRPr="00F77BBD">
          <w:rPr>
            <w:rFonts w:asciiTheme="minorHAnsi" w:hAnsiTheme="minorHAnsi"/>
            <w:b/>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B2664" w:rsidTr="005A3173">
      <w:trPr>
        <w:trHeight w:val="151"/>
      </w:trPr>
      <w:tc>
        <w:tcPr>
          <w:tcW w:w="2250" w:type="pct"/>
          <w:tcBorders>
            <w:top w:val="nil"/>
            <w:left w:val="nil"/>
            <w:bottom w:val="single" w:sz="4" w:space="0" w:color="4F81BD"/>
            <w:right w:val="nil"/>
          </w:tcBorders>
        </w:tcPr>
        <w:p w:rsidR="009B2664" w:rsidRPr="005A3173" w:rsidRDefault="009B266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B2664" w:rsidRPr="005A3173" w:rsidRDefault="009B266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B2664" w:rsidRPr="005A3173" w:rsidRDefault="009B2664" w:rsidP="005A3173">
          <w:pPr>
            <w:pStyle w:val="Header"/>
            <w:spacing w:line="276" w:lineRule="auto"/>
            <w:rPr>
              <w:rFonts w:ascii="Calibri" w:eastAsia="MS Gothic" w:hAnsi="Calibri"/>
              <w:b/>
              <w:bCs/>
              <w:color w:val="4F81BD"/>
            </w:rPr>
          </w:pPr>
        </w:p>
      </w:tc>
    </w:tr>
    <w:tr w:rsidR="009B2664" w:rsidTr="005A3173">
      <w:trPr>
        <w:trHeight w:val="150"/>
      </w:trPr>
      <w:tc>
        <w:tcPr>
          <w:tcW w:w="2250" w:type="pct"/>
          <w:tcBorders>
            <w:top w:val="single" w:sz="4" w:space="0" w:color="4F81BD"/>
            <w:left w:val="nil"/>
            <w:bottom w:val="nil"/>
            <w:right w:val="nil"/>
          </w:tcBorders>
        </w:tcPr>
        <w:p w:rsidR="009B2664" w:rsidRPr="005A3173" w:rsidRDefault="009B2664" w:rsidP="005A3173">
          <w:pPr>
            <w:pStyle w:val="Header"/>
            <w:spacing w:line="276" w:lineRule="auto"/>
            <w:rPr>
              <w:rFonts w:ascii="Calibri" w:eastAsia="MS Gothic" w:hAnsi="Calibri"/>
              <w:b/>
              <w:bCs/>
              <w:color w:val="4F81BD"/>
            </w:rPr>
          </w:pPr>
        </w:p>
      </w:tc>
      <w:tc>
        <w:tcPr>
          <w:tcW w:w="0" w:type="auto"/>
          <w:vMerge/>
          <w:vAlign w:val="center"/>
          <w:hideMark/>
        </w:tcPr>
        <w:p w:rsidR="009B2664" w:rsidRPr="005A3173" w:rsidRDefault="009B2664" w:rsidP="005A3173">
          <w:pPr>
            <w:rPr>
              <w:rFonts w:ascii="Calibri" w:hAnsi="Calibri"/>
              <w:color w:val="365F91"/>
              <w:sz w:val="22"/>
              <w:szCs w:val="22"/>
            </w:rPr>
          </w:pPr>
        </w:p>
      </w:tc>
      <w:tc>
        <w:tcPr>
          <w:tcW w:w="2250" w:type="pct"/>
          <w:tcBorders>
            <w:top w:val="single" w:sz="4" w:space="0" w:color="4F81BD"/>
            <w:left w:val="nil"/>
            <w:bottom w:val="nil"/>
            <w:right w:val="nil"/>
          </w:tcBorders>
        </w:tcPr>
        <w:p w:rsidR="009B2664" w:rsidRPr="005A3173" w:rsidRDefault="009B266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B2664" w:rsidTr="005A3173">
      <w:trPr>
        <w:trHeight w:val="151"/>
      </w:trPr>
      <w:tc>
        <w:tcPr>
          <w:tcW w:w="2250" w:type="pct"/>
          <w:tcBorders>
            <w:top w:val="nil"/>
            <w:left w:val="nil"/>
            <w:bottom w:val="single" w:sz="4" w:space="0" w:color="4F81BD"/>
            <w:right w:val="nil"/>
          </w:tcBorders>
        </w:tcPr>
        <w:p w:rsidR="009B2664" w:rsidRPr="005A3173" w:rsidRDefault="009B266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B2664" w:rsidRPr="005A3173" w:rsidRDefault="009B266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B2664" w:rsidRPr="005A3173" w:rsidRDefault="009B2664" w:rsidP="005A3173">
          <w:pPr>
            <w:pStyle w:val="Header"/>
            <w:spacing w:line="276" w:lineRule="auto"/>
            <w:rPr>
              <w:rFonts w:ascii="Calibri" w:eastAsia="MS Gothic" w:hAnsi="Calibri"/>
              <w:b/>
              <w:bCs/>
              <w:color w:val="4F81BD"/>
            </w:rPr>
          </w:pPr>
        </w:p>
      </w:tc>
    </w:tr>
    <w:tr w:rsidR="009B2664" w:rsidTr="005A3173">
      <w:trPr>
        <w:trHeight w:val="150"/>
      </w:trPr>
      <w:tc>
        <w:tcPr>
          <w:tcW w:w="2250" w:type="pct"/>
          <w:tcBorders>
            <w:top w:val="single" w:sz="4" w:space="0" w:color="4F81BD"/>
            <w:left w:val="nil"/>
            <w:bottom w:val="nil"/>
            <w:right w:val="nil"/>
          </w:tcBorders>
        </w:tcPr>
        <w:p w:rsidR="009B2664" w:rsidRPr="005A3173" w:rsidRDefault="009B2664" w:rsidP="005A3173">
          <w:pPr>
            <w:pStyle w:val="Header"/>
            <w:spacing w:line="276" w:lineRule="auto"/>
            <w:rPr>
              <w:rFonts w:ascii="Calibri" w:eastAsia="MS Gothic" w:hAnsi="Calibri"/>
              <w:b/>
              <w:bCs/>
              <w:color w:val="4F81BD"/>
            </w:rPr>
          </w:pPr>
        </w:p>
      </w:tc>
      <w:tc>
        <w:tcPr>
          <w:tcW w:w="0" w:type="auto"/>
          <w:vMerge/>
          <w:vAlign w:val="center"/>
          <w:hideMark/>
        </w:tcPr>
        <w:p w:rsidR="009B2664" w:rsidRPr="005A3173" w:rsidRDefault="009B2664" w:rsidP="005A3173">
          <w:pPr>
            <w:rPr>
              <w:rFonts w:ascii="Calibri" w:hAnsi="Calibri"/>
              <w:color w:val="365F91"/>
              <w:sz w:val="22"/>
              <w:szCs w:val="22"/>
            </w:rPr>
          </w:pPr>
        </w:p>
      </w:tc>
      <w:tc>
        <w:tcPr>
          <w:tcW w:w="2250" w:type="pct"/>
          <w:tcBorders>
            <w:top w:val="single" w:sz="4" w:space="0" w:color="4F81BD"/>
            <w:left w:val="nil"/>
            <w:bottom w:val="nil"/>
            <w:right w:val="nil"/>
          </w:tcBorders>
        </w:tcPr>
        <w:p w:rsidR="009B2664" w:rsidRPr="005A3173" w:rsidRDefault="009B2664" w:rsidP="005A3173">
          <w:pPr>
            <w:pStyle w:val="Header"/>
            <w:spacing w:line="276" w:lineRule="auto"/>
            <w:rPr>
              <w:rFonts w:ascii="Calibri" w:eastAsia="MS Gothic" w:hAnsi="Calibri"/>
              <w:b/>
              <w:bCs/>
              <w:color w:val="4F81BD"/>
            </w:rPr>
          </w:pPr>
        </w:p>
      </w:tc>
    </w:tr>
  </w:tbl>
  <w:p w:rsidR="009B2664" w:rsidRPr="007C0F57" w:rsidRDefault="009B266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B2664" w:rsidRPr="007C0F57" w:rsidRDefault="009B2664" w:rsidP="007C0F57">
    <w:pPr>
      <w:pStyle w:val="Footer"/>
      <w:jc w:val="center"/>
      <w:rPr>
        <w:b/>
        <w:i/>
        <w:sz w:val="20"/>
        <w:szCs w:val="20"/>
      </w:rPr>
    </w:pPr>
    <w:r w:rsidRPr="007C0F57">
      <w:rPr>
        <w:b/>
        <w:i/>
        <w:sz w:val="20"/>
        <w:szCs w:val="20"/>
      </w:rPr>
      <w:t>Commercial-in-Confidence</w:t>
    </w:r>
  </w:p>
  <w:p w:rsidR="009B2664" w:rsidRDefault="009B26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64" w:rsidRDefault="009B2664">
      <w:r>
        <w:separator/>
      </w:r>
    </w:p>
    <w:p w:rsidR="009B2664" w:rsidRDefault="009B2664"/>
  </w:footnote>
  <w:footnote w:type="continuationSeparator" w:id="0">
    <w:p w:rsidR="009B2664" w:rsidRDefault="009B2664">
      <w:r>
        <w:continuationSeparator/>
      </w:r>
    </w:p>
    <w:p w:rsidR="009B2664" w:rsidRDefault="009B2664"/>
  </w:footnote>
  <w:footnote w:id="1">
    <w:p w:rsidR="009B2664" w:rsidRPr="00226E39" w:rsidRDefault="009B2664" w:rsidP="00AC0AF9">
      <w:pPr>
        <w:pStyle w:val="FootnoteText"/>
        <w:rPr>
          <w:rFonts w:ascii="Arial" w:hAnsi="Arial" w:cs="Arial"/>
        </w:rPr>
      </w:pPr>
      <w:r w:rsidRPr="00226E39">
        <w:rPr>
          <w:rStyle w:val="FootnoteReference"/>
          <w:rFonts w:ascii="Arial" w:hAnsi="Arial" w:cs="Arial"/>
        </w:rPr>
        <w:footnoteRef/>
      </w:r>
      <w:r w:rsidRPr="00226E39">
        <w:rPr>
          <w:rFonts w:ascii="Arial" w:hAnsi="Arial" w:cs="Arial"/>
        </w:rPr>
        <w:t xml:space="preserve"> </w:t>
      </w:r>
      <w:r w:rsidRPr="00474003">
        <w:rPr>
          <w:rFonts w:ascii="Arial" w:hAnsi="Arial" w:cs="Arial"/>
        </w:rPr>
        <w:t>Symbols used in the Schedule</w:t>
      </w:r>
      <w:hyperlink r:id="rId1" w:history="1"/>
      <w:r w:rsidRPr="00226E39">
        <w:rPr>
          <w:rFonts w:ascii="Arial" w:hAnsi="Arial" w:cs="Arial"/>
        </w:rPr>
        <w:t xml:space="preserve"> </w:t>
      </w:r>
      <w:r>
        <w:rPr>
          <w:rFonts w:ascii="Arial" w:hAnsi="Arial" w:cs="Arial"/>
        </w:rPr>
        <w:t xml:space="preserve">- </w:t>
      </w:r>
      <w:r w:rsidRPr="00474003">
        <w:rPr>
          <w:rFonts w:ascii="Arial" w:hAnsi="Arial" w:cs="Arial"/>
        </w:rPr>
        <w:t>http://www.pbs.gov.au/info/healthpro/explanatory-notes/section2/section-2-symbols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B2664" w:rsidRPr="008E0D90" w:rsidTr="00A06225">
      <w:trPr>
        <w:trHeight w:val="151"/>
      </w:trPr>
      <w:tc>
        <w:tcPr>
          <w:tcW w:w="2389" w:type="pct"/>
          <w:tcBorders>
            <w:top w:val="nil"/>
            <w:left w:val="nil"/>
            <w:bottom w:val="single" w:sz="4" w:space="0" w:color="4F81BD"/>
            <w:right w:val="nil"/>
          </w:tcBorders>
        </w:tcPr>
        <w:p w:rsidR="009B2664" w:rsidRPr="00A06225" w:rsidRDefault="009B2664">
          <w:pPr>
            <w:pStyle w:val="Header"/>
            <w:spacing w:line="276" w:lineRule="auto"/>
            <w:rPr>
              <w:rFonts w:ascii="Cambria" w:eastAsia="MS Gothic" w:hAnsi="Cambria"/>
              <w:b/>
              <w:bCs/>
              <w:color w:val="4F81BD"/>
            </w:rPr>
          </w:pPr>
        </w:p>
      </w:tc>
      <w:tc>
        <w:tcPr>
          <w:tcW w:w="333" w:type="pct"/>
          <w:vMerge w:val="restart"/>
          <w:noWrap/>
          <w:vAlign w:val="center"/>
          <w:hideMark/>
        </w:tcPr>
        <w:p w:rsidR="009B2664" w:rsidRPr="00A06225" w:rsidRDefault="009B266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B2664" w:rsidRPr="00A06225" w:rsidRDefault="009B2664">
          <w:pPr>
            <w:pStyle w:val="Header"/>
            <w:spacing w:line="276" w:lineRule="auto"/>
            <w:rPr>
              <w:rFonts w:ascii="Cambria" w:eastAsia="MS Gothic" w:hAnsi="Cambria"/>
              <w:b/>
              <w:bCs/>
              <w:color w:val="4F81BD"/>
            </w:rPr>
          </w:pPr>
        </w:p>
      </w:tc>
    </w:tr>
    <w:tr w:rsidR="009B2664" w:rsidRPr="008E0D90" w:rsidTr="00A06225">
      <w:trPr>
        <w:trHeight w:val="150"/>
      </w:trPr>
      <w:tc>
        <w:tcPr>
          <w:tcW w:w="2389" w:type="pct"/>
          <w:tcBorders>
            <w:top w:val="single" w:sz="4" w:space="0" w:color="4F81BD"/>
            <w:left w:val="nil"/>
            <w:bottom w:val="nil"/>
            <w:right w:val="nil"/>
          </w:tcBorders>
        </w:tcPr>
        <w:p w:rsidR="009B2664" w:rsidRPr="00A06225" w:rsidRDefault="009B2664">
          <w:pPr>
            <w:pStyle w:val="Header"/>
            <w:spacing w:line="276" w:lineRule="auto"/>
            <w:rPr>
              <w:rFonts w:ascii="Cambria" w:eastAsia="MS Gothic" w:hAnsi="Cambria"/>
              <w:b/>
              <w:bCs/>
              <w:color w:val="4F81BD"/>
            </w:rPr>
          </w:pPr>
        </w:p>
      </w:tc>
      <w:tc>
        <w:tcPr>
          <w:tcW w:w="0" w:type="auto"/>
          <w:vMerge/>
          <w:vAlign w:val="center"/>
          <w:hideMark/>
        </w:tcPr>
        <w:p w:rsidR="009B2664" w:rsidRPr="00A06225" w:rsidRDefault="009B2664">
          <w:pPr>
            <w:rPr>
              <w:rFonts w:ascii="Cambria" w:hAnsi="Cambria"/>
              <w:color w:val="4F81BD"/>
              <w:sz w:val="22"/>
              <w:szCs w:val="22"/>
            </w:rPr>
          </w:pPr>
        </w:p>
      </w:tc>
      <w:tc>
        <w:tcPr>
          <w:tcW w:w="2278" w:type="pct"/>
          <w:tcBorders>
            <w:top w:val="single" w:sz="4" w:space="0" w:color="4F81BD"/>
            <w:left w:val="nil"/>
            <w:bottom w:val="nil"/>
            <w:right w:val="nil"/>
          </w:tcBorders>
        </w:tcPr>
        <w:p w:rsidR="009B2664" w:rsidRPr="00A06225" w:rsidRDefault="009B2664">
          <w:pPr>
            <w:pStyle w:val="Header"/>
            <w:spacing w:line="276" w:lineRule="auto"/>
            <w:rPr>
              <w:rFonts w:ascii="Cambria" w:eastAsia="MS Gothic" w:hAnsi="Cambria"/>
              <w:b/>
              <w:bCs/>
              <w:color w:val="4F81BD"/>
            </w:rPr>
          </w:pPr>
        </w:p>
      </w:tc>
    </w:tr>
  </w:tbl>
  <w:p w:rsidR="009B2664" w:rsidRDefault="009B2664">
    <w:pPr>
      <w:pStyle w:val="Header"/>
    </w:pPr>
  </w:p>
  <w:p w:rsidR="009B2664" w:rsidRDefault="009B26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64" w:rsidRPr="00F90A91" w:rsidRDefault="009B2664" w:rsidP="00782670">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 </w:t>
    </w:r>
    <w:r>
      <w:rPr>
        <w:rFonts w:asciiTheme="minorHAnsi" w:hAnsiTheme="minorHAnsi" w:cs="Arial"/>
        <w:i/>
        <w:color w:val="808080"/>
        <w:sz w:val="22"/>
      </w:rPr>
      <w:t>July 2018</w:t>
    </w:r>
    <w:r w:rsidRPr="00F90A91">
      <w:rPr>
        <w:rFonts w:asciiTheme="minorHAnsi" w:hAnsiTheme="minorHAnsi" w:cs="Arial"/>
        <w:i/>
        <w:color w:val="808080"/>
        <w:sz w:val="22"/>
      </w:rPr>
      <w:t xml:space="preserve"> PBAC Meeting</w:t>
    </w:r>
  </w:p>
  <w:p w:rsidR="009B2664" w:rsidRDefault="009B2664"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15B3323"/>
    <w:multiLevelType w:val="multilevel"/>
    <w:tmpl w:val="079896D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3B4756"/>
    <w:multiLevelType w:val="multilevel"/>
    <w:tmpl w:val="EC78773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2E4F4C"/>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5">
    <w:nsid w:val="27F21652"/>
    <w:multiLevelType w:val="hybridMultilevel"/>
    <w:tmpl w:val="0FA0C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CB212B"/>
    <w:multiLevelType w:val="multilevel"/>
    <w:tmpl w:val="66428134"/>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1B2620"/>
    <w:multiLevelType w:val="hybridMultilevel"/>
    <w:tmpl w:val="09E61A08"/>
    <w:lvl w:ilvl="0" w:tplc="0C090001">
      <w:start w:val="1"/>
      <w:numFmt w:val="bullet"/>
      <w:lvlText w:val=""/>
      <w:lvlJc w:val="left"/>
      <w:pPr>
        <w:tabs>
          <w:tab w:val="num" w:pos="720"/>
        </w:tabs>
        <w:ind w:left="720" w:hanging="360"/>
      </w:pPr>
      <w:rPr>
        <w:rFonts w:ascii="Symbol" w:hAnsi="Symbol" w:hint="default"/>
      </w:rPr>
    </w:lvl>
    <w:lvl w:ilvl="1" w:tplc="8F4E3428">
      <w:start w:val="1"/>
      <w:numFmt w:val="bullet"/>
      <w:lvlText w:val="•"/>
      <w:lvlJc w:val="left"/>
      <w:pPr>
        <w:tabs>
          <w:tab w:val="num" w:pos="1440"/>
        </w:tabs>
        <w:ind w:left="1440" w:hanging="360"/>
      </w:pPr>
      <w:rPr>
        <w:rFonts w:ascii="Times New Roman" w:hAnsi="Times New Roman" w:hint="default"/>
      </w:rPr>
    </w:lvl>
    <w:lvl w:ilvl="2" w:tplc="68A052CE">
      <w:start w:val="90"/>
      <w:numFmt w:val="bullet"/>
      <w:lvlText w:val="•"/>
      <w:lvlJc w:val="left"/>
      <w:pPr>
        <w:tabs>
          <w:tab w:val="num" w:pos="2160"/>
        </w:tabs>
        <w:ind w:left="2160" w:hanging="360"/>
      </w:pPr>
      <w:rPr>
        <w:rFonts w:ascii="Times New Roman" w:hAnsi="Times New Roman" w:hint="default"/>
      </w:rPr>
    </w:lvl>
    <w:lvl w:ilvl="3" w:tplc="22989748">
      <w:start w:val="40"/>
      <w:numFmt w:val="bullet"/>
      <w:lvlText w:val=""/>
      <w:lvlJc w:val="left"/>
      <w:pPr>
        <w:ind w:left="2880" w:hanging="360"/>
      </w:pPr>
      <w:rPr>
        <w:rFonts w:ascii="Wingdings" w:eastAsiaTheme="minorEastAsia" w:hAnsi="Wingdings" w:cstheme="minorBidi" w:hint="default"/>
      </w:rPr>
    </w:lvl>
    <w:lvl w:ilvl="4" w:tplc="C76AE892" w:tentative="1">
      <w:start w:val="1"/>
      <w:numFmt w:val="bullet"/>
      <w:lvlText w:val="•"/>
      <w:lvlJc w:val="left"/>
      <w:pPr>
        <w:tabs>
          <w:tab w:val="num" w:pos="3600"/>
        </w:tabs>
        <w:ind w:left="3600" w:hanging="360"/>
      </w:pPr>
      <w:rPr>
        <w:rFonts w:ascii="Times New Roman" w:hAnsi="Times New Roman" w:hint="default"/>
      </w:rPr>
    </w:lvl>
    <w:lvl w:ilvl="5" w:tplc="DEEC7ECE" w:tentative="1">
      <w:start w:val="1"/>
      <w:numFmt w:val="bullet"/>
      <w:lvlText w:val="•"/>
      <w:lvlJc w:val="left"/>
      <w:pPr>
        <w:tabs>
          <w:tab w:val="num" w:pos="4320"/>
        </w:tabs>
        <w:ind w:left="4320" w:hanging="360"/>
      </w:pPr>
      <w:rPr>
        <w:rFonts w:ascii="Times New Roman" w:hAnsi="Times New Roman" w:hint="default"/>
      </w:rPr>
    </w:lvl>
    <w:lvl w:ilvl="6" w:tplc="0F4667AC" w:tentative="1">
      <w:start w:val="1"/>
      <w:numFmt w:val="bullet"/>
      <w:lvlText w:val="•"/>
      <w:lvlJc w:val="left"/>
      <w:pPr>
        <w:tabs>
          <w:tab w:val="num" w:pos="5040"/>
        </w:tabs>
        <w:ind w:left="5040" w:hanging="360"/>
      </w:pPr>
      <w:rPr>
        <w:rFonts w:ascii="Times New Roman" w:hAnsi="Times New Roman" w:hint="default"/>
      </w:rPr>
    </w:lvl>
    <w:lvl w:ilvl="7" w:tplc="9DA89FB8" w:tentative="1">
      <w:start w:val="1"/>
      <w:numFmt w:val="bullet"/>
      <w:lvlText w:val="•"/>
      <w:lvlJc w:val="left"/>
      <w:pPr>
        <w:tabs>
          <w:tab w:val="num" w:pos="5760"/>
        </w:tabs>
        <w:ind w:left="5760" w:hanging="360"/>
      </w:pPr>
      <w:rPr>
        <w:rFonts w:ascii="Times New Roman" w:hAnsi="Times New Roman" w:hint="default"/>
      </w:rPr>
    </w:lvl>
    <w:lvl w:ilvl="8" w:tplc="05D4F26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E5048B1"/>
    <w:multiLevelType w:val="hybridMultilevel"/>
    <w:tmpl w:val="CC74F4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3E6F6A2E"/>
    <w:multiLevelType w:val="hybridMultilevel"/>
    <w:tmpl w:val="43DA7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4801378"/>
    <w:multiLevelType w:val="hybridMultilevel"/>
    <w:tmpl w:val="709C6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594F68"/>
    <w:multiLevelType w:val="hybridMultilevel"/>
    <w:tmpl w:val="36BC2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C914A1C"/>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2">
    <w:nsid w:val="76586399"/>
    <w:multiLevelType w:val="multilevel"/>
    <w:tmpl w:val="610ED9D6"/>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3">
    <w:nsid w:val="784D033C"/>
    <w:multiLevelType w:val="multilevel"/>
    <w:tmpl w:val="903A6E6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8"/>
  </w:num>
  <w:num w:numId="4">
    <w:abstractNumId w:val="26"/>
  </w:num>
  <w:num w:numId="5">
    <w:abstractNumId w:val="33"/>
  </w:num>
  <w:num w:numId="6">
    <w:abstractNumId w:val="10"/>
  </w:num>
  <w:num w:numId="7">
    <w:abstractNumId w:val="20"/>
  </w:num>
  <w:num w:numId="8">
    <w:abstractNumId w:val="5"/>
  </w:num>
  <w:num w:numId="9">
    <w:abstractNumId w:val="19"/>
  </w:num>
  <w:num w:numId="10">
    <w:abstractNumId w:val="17"/>
  </w:num>
  <w:num w:numId="11">
    <w:abstractNumId w:val="16"/>
  </w:num>
  <w:num w:numId="12">
    <w:abstractNumId w:val="1"/>
  </w:num>
  <w:num w:numId="13">
    <w:abstractNumId w:val="0"/>
  </w:num>
  <w:num w:numId="14">
    <w:abstractNumId w:val="33"/>
  </w:num>
  <w:num w:numId="15">
    <w:abstractNumId w:val="33"/>
  </w:num>
  <w:num w:numId="16">
    <w:abstractNumId w:val="23"/>
  </w:num>
  <w:num w:numId="17">
    <w:abstractNumId w:val="32"/>
  </w:num>
  <w:num w:numId="18">
    <w:abstractNumId w:val="21"/>
  </w:num>
  <w:num w:numId="19">
    <w:abstractNumId w:val="14"/>
  </w:num>
  <w:num w:numId="20">
    <w:abstractNumId w:val="31"/>
  </w:num>
  <w:num w:numId="21">
    <w:abstractNumId w:val="7"/>
  </w:num>
  <w:num w:numId="22">
    <w:abstractNumId w:val="9"/>
  </w:num>
  <w:num w:numId="23">
    <w:abstractNumId w:val="25"/>
  </w:num>
  <w:num w:numId="24">
    <w:abstractNumId w:val="18"/>
  </w:num>
  <w:num w:numId="25">
    <w:abstractNumId w:val="12"/>
  </w:num>
  <w:num w:numId="26">
    <w:abstractNumId w:val="30"/>
  </w:num>
  <w:num w:numId="27">
    <w:abstractNumId w:val="15"/>
  </w:num>
  <w:num w:numId="28">
    <w:abstractNumId w:val="24"/>
  </w:num>
  <w:num w:numId="29">
    <w:abstractNumId w:val="29"/>
  </w:num>
  <w:num w:numId="30">
    <w:abstractNumId w:val="27"/>
  </w:num>
  <w:num w:numId="31">
    <w:abstractNumId w:val="28"/>
  </w:num>
  <w:num w:numId="32">
    <w:abstractNumId w:val="6"/>
  </w:num>
  <w:num w:numId="33">
    <w:abstractNumId w:val="2"/>
  </w:num>
  <w:num w:numId="34">
    <w:abstractNumId w:val="13"/>
  </w:num>
  <w:num w:numId="35">
    <w:abstractNumId w:val="4"/>
  </w:num>
  <w:num w:numId="36">
    <w:abstractNumId w:val="33"/>
  </w:num>
  <w:num w:numId="37">
    <w:abstractNumId w:val="33"/>
  </w:num>
  <w:num w:numId="3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A9A"/>
    <w:rsid w:val="0000335D"/>
    <w:rsid w:val="00004AE6"/>
    <w:rsid w:val="00004E04"/>
    <w:rsid w:val="00012623"/>
    <w:rsid w:val="0002464A"/>
    <w:rsid w:val="0002684D"/>
    <w:rsid w:val="0003106B"/>
    <w:rsid w:val="000357D8"/>
    <w:rsid w:val="000421A1"/>
    <w:rsid w:val="0004240E"/>
    <w:rsid w:val="00045E26"/>
    <w:rsid w:val="000514B5"/>
    <w:rsid w:val="000533AF"/>
    <w:rsid w:val="00060E64"/>
    <w:rsid w:val="00066755"/>
    <w:rsid w:val="00077143"/>
    <w:rsid w:val="00082169"/>
    <w:rsid w:val="00086909"/>
    <w:rsid w:val="000969AD"/>
    <w:rsid w:val="000A2E3F"/>
    <w:rsid w:val="000B18D0"/>
    <w:rsid w:val="000B558D"/>
    <w:rsid w:val="000C6996"/>
    <w:rsid w:val="000D23BA"/>
    <w:rsid w:val="000D7B0D"/>
    <w:rsid w:val="000E681E"/>
    <w:rsid w:val="000E6A06"/>
    <w:rsid w:val="000F0003"/>
    <w:rsid w:val="000F4E6A"/>
    <w:rsid w:val="00104227"/>
    <w:rsid w:val="001107BF"/>
    <w:rsid w:val="00116F16"/>
    <w:rsid w:val="001235EC"/>
    <w:rsid w:val="0012417C"/>
    <w:rsid w:val="00125277"/>
    <w:rsid w:val="001321E5"/>
    <w:rsid w:val="00142395"/>
    <w:rsid w:val="00142714"/>
    <w:rsid w:val="00142C47"/>
    <w:rsid w:val="001431EE"/>
    <w:rsid w:val="0014529D"/>
    <w:rsid w:val="001452ED"/>
    <w:rsid w:val="00147E70"/>
    <w:rsid w:val="00163329"/>
    <w:rsid w:val="0016446E"/>
    <w:rsid w:val="00164623"/>
    <w:rsid w:val="00165B64"/>
    <w:rsid w:val="00175879"/>
    <w:rsid w:val="00180713"/>
    <w:rsid w:val="001830CE"/>
    <w:rsid w:val="0018643B"/>
    <w:rsid w:val="001918F4"/>
    <w:rsid w:val="001953C5"/>
    <w:rsid w:val="00196307"/>
    <w:rsid w:val="001A2A34"/>
    <w:rsid w:val="001A33EA"/>
    <w:rsid w:val="001B017F"/>
    <w:rsid w:val="001B2BBC"/>
    <w:rsid w:val="001B5129"/>
    <w:rsid w:val="001C1195"/>
    <w:rsid w:val="001F0CB7"/>
    <w:rsid w:val="001F1850"/>
    <w:rsid w:val="001F2B82"/>
    <w:rsid w:val="002013F8"/>
    <w:rsid w:val="00203FAC"/>
    <w:rsid w:val="00213CFB"/>
    <w:rsid w:val="00217BE1"/>
    <w:rsid w:val="00221309"/>
    <w:rsid w:val="00227091"/>
    <w:rsid w:val="00247C3F"/>
    <w:rsid w:val="00262619"/>
    <w:rsid w:val="0026539F"/>
    <w:rsid w:val="00271BA1"/>
    <w:rsid w:val="002762FA"/>
    <w:rsid w:val="00277505"/>
    <w:rsid w:val="0029458F"/>
    <w:rsid w:val="00295AE5"/>
    <w:rsid w:val="00296EBC"/>
    <w:rsid w:val="002A104C"/>
    <w:rsid w:val="002A4960"/>
    <w:rsid w:val="002B1AE6"/>
    <w:rsid w:val="002B2DE8"/>
    <w:rsid w:val="002B2F42"/>
    <w:rsid w:val="002B30F8"/>
    <w:rsid w:val="002B5596"/>
    <w:rsid w:val="002B6024"/>
    <w:rsid w:val="002C212F"/>
    <w:rsid w:val="002C424B"/>
    <w:rsid w:val="002C4587"/>
    <w:rsid w:val="002D4543"/>
    <w:rsid w:val="002E3153"/>
    <w:rsid w:val="002E72CA"/>
    <w:rsid w:val="002F3C11"/>
    <w:rsid w:val="002F600D"/>
    <w:rsid w:val="00300AD6"/>
    <w:rsid w:val="00314BE4"/>
    <w:rsid w:val="00317C6C"/>
    <w:rsid w:val="00326E79"/>
    <w:rsid w:val="00330C44"/>
    <w:rsid w:val="0033518A"/>
    <w:rsid w:val="003367EF"/>
    <w:rsid w:val="00340DCD"/>
    <w:rsid w:val="00341AE4"/>
    <w:rsid w:val="00344D2C"/>
    <w:rsid w:val="00347492"/>
    <w:rsid w:val="00351CA7"/>
    <w:rsid w:val="00352BA0"/>
    <w:rsid w:val="00364809"/>
    <w:rsid w:val="00365C9C"/>
    <w:rsid w:val="003872CF"/>
    <w:rsid w:val="0039782C"/>
    <w:rsid w:val="003A5B4A"/>
    <w:rsid w:val="003B23C5"/>
    <w:rsid w:val="003B2A75"/>
    <w:rsid w:val="003B6124"/>
    <w:rsid w:val="003C2FB5"/>
    <w:rsid w:val="003D4AC4"/>
    <w:rsid w:val="003D5005"/>
    <w:rsid w:val="003D63B7"/>
    <w:rsid w:val="003E1018"/>
    <w:rsid w:val="003E468B"/>
    <w:rsid w:val="003F3228"/>
    <w:rsid w:val="003F5C8C"/>
    <w:rsid w:val="00412C52"/>
    <w:rsid w:val="00412F6C"/>
    <w:rsid w:val="004252EC"/>
    <w:rsid w:val="004465BD"/>
    <w:rsid w:val="00462DAB"/>
    <w:rsid w:val="00466ADA"/>
    <w:rsid w:val="00474844"/>
    <w:rsid w:val="00476245"/>
    <w:rsid w:val="00477424"/>
    <w:rsid w:val="00483035"/>
    <w:rsid w:val="00485940"/>
    <w:rsid w:val="0048719E"/>
    <w:rsid w:val="004977EA"/>
    <w:rsid w:val="004A03E8"/>
    <w:rsid w:val="004A2484"/>
    <w:rsid w:val="004A5A85"/>
    <w:rsid w:val="004A71D1"/>
    <w:rsid w:val="004A747A"/>
    <w:rsid w:val="004B32AE"/>
    <w:rsid w:val="004B4440"/>
    <w:rsid w:val="004B5640"/>
    <w:rsid w:val="004B6F22"/>
    <w:rsid w:val="004C1BD7"/>
    <w:rsid w:val="004C31FE"/>
    <w:rsid w:val="004C691D"/>
    <w:rsid w:val="004C6C07"/>
    <w:rsid w:val="004D645B"/>
    <w:rsid w:val="004D71F0"/>
    <w:rsid w:val="004E692D"/>
    <w:rsid w:val="00501554"/>
    <w:rsid w:val="00514CD7"/>
    <w:rsid w:val="005319B2"/>
    <w:rsid w:val="00532402"/>
    <w:rsid w:val="00532C74"/>
    <w:rsid w:val="00534E2E"/>
    <w:rsid w:val="00544552"/>
    <w:rsid w:val="00570273"/>
    <w:rsid w:val="00577C4D"/>
    <w:rsid w:val="00581932"/>
    <w:rsid w:val="005963BB"/>
    <w:rsid w:val="005A007F"/>
    <w:rsid w:val="005A3173"/>
    <w:rsid w:val="005A3223"/>
    <w:rsid w:val="005A3DA3"/>
    <w:rsid w:val="005A52C4"/>
    <w:rsid w:val="005D03AB"/>
    <w:rsid w:val="005D5017"/>
    <w:rsid w:val="005E1333"/>
    <w:rsid w:val="005F5468"/>
    <w:rsid w:val="00601A91"/>
    <w:rsid w:val="00602BA3"/>
    <w:rsid w:val="00612E34"/>
    <w:rsid w:val="00614159"/>
    <w:rsid w:val="00617C00"/>
    <w:rsid w:val="00625299"/>
    <w:rsid w:val="006263BF"/>
    <w:rsid w:val="0062748A"/>
    <w:rsid w:val="00630A2C"/>
    <w:rsid w:val="00636514"/>
    <w:rsid w:val="0063682E"/>
    <w:rsid w:val="006436CD"/>
    <w:rsid w:val="00651169"/>
    <w:rsid w:val="00653D69"/>
    <w:rsid w:val="00655839"/>
    <w:rsid w:val="006670BE"/>
    <w:rsid w:val="00670A76"/>
    <w:rsid w:val="006711AA"/>
    <w:rsid w:val="00672B57"/>
    <w:rsid w:val="00675622"/>
    <w:rsid w:val="0067747D"/>
    <w:rsid w:val="0068332A"/>
    <w:rsid w:val="006906DB"/>
    <w:rsid w:val="00691E6C"/>
    <w:rsid w:val="00696129"/>
    <w:rsid w:val="00697CF2"/>
    <w:rsid w:val="006A12A5"/>
    <w:rsid w:val="006B0D94"/>
    <w:rsid w:val="006B485D"/>
    <w:rsid w:val="006B795F"/>
    <w:rsid w:val="006C708E"/>
    <w:rsid w:val="006C7B08"/>
    <w:rsid w:val="006D14E7"/>
    <w:rsid w:val="006D6493"/>
    <w:rsid w:val="006D6E17"/>
    <w:rsid w:val="006D6EC7"/>
    <w:rsid w:val="006D70A3"/>
    <w:rsid w:val="006F5125"/>
    <w:rsid w:val="006F711E"/>
    <w:rsid w:val="007000D7"/>
    <w:rsid w:val="00702B6F"/>
    <w:rsid w:val="0071340B"/>
    <w:rsid w:val="00714260"/>
    <w:rsid w:val="007174BB"/>
    <w:rsid w:val="0072025D"/>
    <w:rsid w:val="00727E64"/>
    <w:rsid w:val="007353D3"/>
    <w:rsid w:val="00745ACE"/>
    <w:rsid w:val="0076420C"/>
    <w:rsid w:val="007753C2"/>
    <w:rsid w:val="00782670"/>
    <w:rsid w:val="007838B8"/>
    <w:rsid w:val="007C0F57"/>
    <w:rsid w:val="007C40B6"/>
    <w:rsid w:val="007C729F"/>
    <w:rsid w:val="007E1D28"/>
    <w:rsid w:val="007F2641"/>
    <w:rsid w:val="007F7C36"/>
    <w:rsid w:val="00805664"/>
    <w:rsid w:val="00806796"/>
    <w:rsid w:val="008151D6"/>
    <w:rsid w:val="00826F6D"/>
    <w:rsid w:val="008306F3"/>
    <w:rsid w:val="00850F49"/>
    <w:rsid w:val="008527CF"/>
    <w:rsid w:val="00853B96"/>
    <w:rsid w:val="00856DDD"/>
    <w:rsid w:val="00863E68"/>
    <w:rsid w:val="00866510"/>
    <w:rsid w:val="00882085"/>
    <w:rsid w:val="00883188"/>
    <w:rsid w:val="00890FA2"/>
    <w:rsid w:val="00897D58"/>
    <w:rsid w:val="00897F22"/>
    <w:rsid w:val="008A1956"/>
    <w:rsid w:val="008A4937"/>
    <w:rsid w:val="008A50F1"/>
    <w:rsid w:val="008C72EA"/>
    <w:rsid w:val="008D1B5C"/>
    <w:rsid w:val="008D342E"/>
    <w:rsid w:val="008D3C82"/>
    <w:rsid w:val="008D447E"/>
    <w:rsid w:val="008D7A41"/>
    <w:rsid w:val="008E0254"/>
    <w:rsid w:val="008E3680"/>
    <w:rsid w:val="008E5870"/>
    <w:rsid w:val="008F0547"/>
    <w:rsid w:val="008F1434"/>
    <w:rsid w:val="008F5AC0"/>
    <w:rsid w:val="008F7355"/>
    <w:rsid w:val="009067B7"/>
    <w:rsid w:val="00915641"/>
    <w:rsid w:val="00930937"/>
    <w:rsid w:val="00933E6C"/>
    <w:rsid w:val="00937958"/>
    <w:rsid w:val="00942160"/>
    <w:rsid w:val="00945CE1"/>
    <w:rsid w:val="0095146F"/>
    <w:rsid w:val="009536E7"/>
    <w:rsid w:val="009602C5"/>
    <w:rsid w:val="00962223"/>
    <w:rsid w:val="00966D0D"/>
    <w:rsid w:val="00974C21"/>
    <w:rsid w:val="00977B02"/>
    <w:rsid w:val="009840FD"/>
    <w:rsid w:val="00992571"/>
    <w:rsid w:val="009971C4"/>
    <w:rsid w:val="009973AE"/>
    <w:rsid w:val="009A1030"/>
    <w:rsid w:val="009B0F67"/>
    <w:rsid w:val="009B2664"/>
    <w:rsid w:val="009B686B"/>
    <w:rsid w:val="009C703C"/>
    <w:rsid w:val="009D3CAA"/>
    <w:rsid w:val="009E0FB8"/>
    <w:rsid w:val="009E40E1"/>
    <w:rsid w:val="009F4E46"/>
    <w:rsid w:val="009F5B65"/>
    <w:rsid w:val="009F5F2E"/>
    <w:rsid w:val="009F6BA6"/>
    <w:rsid w:val="009F7963"/>
    <w:rsid w:val="00A06225"/>
    <w:rsid w:val="00A11F85"/>
    <w:rsid w:val="00A128E6"/>
    <w:rsid w:val="00A248B4"/>
    <w:rsid w:val="00A34E6C"/>
    <w:rsid w:val="00A37C8D"/>
    <w:rsid w:val="00A41D51"/>
    <w:rsid w:val="00A5273B"/>
    <w:rsid w:val="00A53A9D"/>
    <w:rsid w:val="00A55FEE"/>
    <w:rsid w:val="00A57911"/>
    <w:rsid w:val="00A6171F"/>
    <w:rsid w:val="00A62C1A"/>
    <w:rsid w:val="00A6426D"/>
    <w:rsid w:val="00A665C1"/>
    <w:rsid w:val="00A70622"/>
    <w:rsid w:val="00A70977"/>
    <w:rsid w:val="00A722A9"/>
    <w:rsid w:val="00A77613"/>
    <w:rsid w:val="00A8108F"/>
    <w:rsid w:val="00A8390C"/>
    <w:rsid w:val="00A928BD"/>
    <w:rsid w:val="00AA4D1C"/>
    <w:rsid w:val="00AB0AF3"/>
    <w:rsid w:val="00AB323B"/>
    <w:rsid w:val="00AB5600"/>
    <w:rsid w:val="00AC0AF9"/>
    <w:rsid w:val="00AC193C"/>
    <w:rsid w:val="00AC5206"/>
    <w:rsid w:val="00AD370B"/>
    <w:rsid w:val="00AE11A5"/>
    <w:rsid w:val="00AE13E2"/>
    <w:rsid w:val="00AE22D3"/>
    <w:rsid w:val="00AF02F2"/>
    <w:rsid w:val="00AF62DF"/>
    <w:rsid w:val="00AF68CC"/>
    <w:rsid w:val="00B1059E"/>
    <w:rsid w:val="00B176C8"/>
    <w:rsid w:val="00B205AA"/>
    <w:rsid w:val="00B22E84"/>
    <w:rsid w:val="00B25F75"/>
    <w:rsid w:val="00B26B3F"/>
    <w:rsid w:val="00B30584"/>
    <w:rsid w:val="00B4031B"/>
    <w:rsid w:val="00B43E90"/>
    <w:rsid w:val="00B467DC"/>
    <w:rsid w:val="00B47FB8"/>
    <w:rsid w:val="00B517AA"/>
    <w:rsid w:val="00B55B41"/>
    <w:rsid w:val="00B56118"/>
    <w:rsid w:val="00B6773F"/>
    <w:rsid w:val="00B72DF6"/>
    <w:rsid w:val="00B7510B"/>
    <w:rsid w:val="00B801BA"/>
    <w:rsid w:val="00B8288E"/>
    <w:rsid w:val="00B84D5C"/>
    <w:rsid w:val="00BA4D0C"/>
    <w:rsid w:val="00BB0712"/>
    <w:rsid w:val="00BB69F5"/>
    <w:rsid w:val="00BB7EC3"/>
    <w:rsid w:val="00BC4B9A"/>
    <w:rsid w:val="00BD2A1B"/>
    <w:rsid w:val="00BD784C"/>
    <w:rsid w:val="00BD79B0"/>
    <w:rsid w:val="00BF4CB6"/>
    <w:rsid w:val="00C00DA7"/>
    <w:rsid w:val="00C12768"/>
    <w:rsid w:val="00C17716"/>
    <w:rsid w:val="00C27B58"/>
    <w:rsid w:val="00C35996"/>
    <w:rsid w:val="00C4747E"/>
    <w:rsid w:val="00C5342C"/>
    <w:rsid w:val="00C5477A"/>
    <w:rsid w:val="00C603D4"/>
    <w:rsid w:val="00C6256A"/>
    <w:rsid w:val="00C665C9"/>
    <w:rsid w:val="00C77891"/>
    <w:rsid w:val="00C91449"/>
    <w:rsid w:val="00C92D10"/>
    <w:rsid w:val="00CA6226"/>
    <w:rsid w:val="00CB571F"/>
    <w:rsid w:val="00CC7A8A"/>
    <w:rsid w:val="00CD7A8C"/>
    <w:rsid w:val="00CE10C4"/>
    <w:rsid w:val="00CE27B5"/>
    <w:rsid w:val="00D0321E"/>
    <w:rsid w:val="00D1455A"/>
    <w:rsid w:val="00D23813"/>
    <w:rsid w:val="00D31150"/>
    <w:rsid w:val="00D3138B"/>
    <w:rsid w:val="00D3280C"/>
    <w:rsid w:val="00D3406A"/>
    <w:rsid w:val="00D4572C"/>
    <w:rsid w:val="00D469B2"/>
    <w:rsid w:val="00D66937"/>
    <w:rsid w:val="00D70346"/>
    <w:rsid w:val="00D741EB"/>
    <w:rsid w:val="00D74ED0"/>
    <w:rsid w:val="00D812A1"/>
    <w:rsid w:val="00D83605"/>
    <w:rsid w:val="00D84934"/>
    <w:rsid w:val="00D91271"/>
    <w:rsid w:val="00D919F5"/>
    <w:rsid w:val="00D94F03"/>
    <w:rsid w:val="00D96733"/>
    <w:rsid w:val="00D96A72"/>
    <w:rsid w:val="00D97308"/>
    <w:rsid w:val="00DA2CB5"/>
    <w:rsid w:val="00DA4BAC"/>
    <w:rsid w:val="00DB4EE2"/>
    <w:rsid w:val="00DD6EAE"/>
    <w:rsid w:val="00DE6D27"/>
    <w:rsid w:val="00DE7720"/>
    <w:rsid w:val="00DF05B7"/>
    <w:rsid w:val="00DF217D"/>
    <w:rsid w:val="00DF26A7"/>
    <w:rsid w:val="00E133D2"/>
    <w:rsid w:val="00E15627"/>
    <w:rsid w:val="00E164B3"/>
    <w:rsid w:val="00E16910"/>
    <w:rsid w:val="00E42BDB"/>
    <w:rsid w:val="00E51B48"/>
    <w:rsid w:val="00E57EEB"/>
    <w:rsid w:val="00E62D94"/>
    <w:rsid w:val="00E65E54"/>
    <w:rsid w:val="00E80155"/>
    <w:rsid w:val="00E806C0"/>
    <w:rsid w:val="00E81F28"/>
    <w:rsid w:val="00E848C0"/>
    <w:rsid w:val="00E91B96"/>
    <w:rsid w:val="00E941A1"/>
    <w:rsid w:val="00E95CE3"/>
    <w:rsid w:val="00E9799E"/>
    <w:rsid w:val="00EA2825"/>
    <w:rsid w:val="00EB0B63"/>
    <w:rsid w:val="00EB1936"/>
    <w:rsid w:val="00EB5088"/>
    <w:rsid w:val="00EC5990"/>
    <w:rsid w:val="00ED1644"/>
    <w:rsid w:val="00ED2593"/>
    <w:rsid w:val="00ED5ED4"/>
    <w:rsid w:val="00ED7D9C"/>
    <w:rsid w:val="00EF44A0"/>
    <w:rsid w:val="00EF4FED"/>
    <w:rsid w:val="00F050BD"/>
    <w:rsid w:val="00F05657"/>
    <w:rsid w:val="00F05748"/>
    <w:rsid w:val="00F14EF3"/>
    <w:rsid w:val="00F25578"/>
    <w:rsid w:val="00F258E5"/>
    <w:rsid w:val="00F300BC"/>
    <w:rsid w:val="00F3334E"/>
    <w:rsid w:val="00F33F04"/>
    <w:rsid w:val="00F36CCB"/>
    <w:rsid w:val="00F374E5"/>
    <w:rsid w:val="00F43AF2"/>
    <w:rsid w:val="00F50EC4"/>
    <w:rsid w:val="00F5347B"/>
    <w:rsid w:val="00F550CF"/>
    <w:rsid w:val="00F57A6D"/>
    <w:rsid w:val="00F638CC"/>
    <w:rsid w:val="00F64CC1"/>
    <w:rsid w:val="00F72317"/>
    <w:rsid w:val="00F77BBD"/>
    <w:rsid w:val="00F80475"/>
    <w:rsid w:val="00F8247A"/>
    <w:rsid w:val="00F86229"/>
    <w:rsid w:val="00F9629A"/>
    <w:rsid w:val="00F97EFC"/>
    <w:rsid w:val="00FA5883"/>
    <w:rsid w:val="00FA6055"/>
    <w:rsid w:val="00FB322F"/>
    <w:rsid w:val="00FB442F"/>
    <w:rsid w:val="00FC1929"/>
    <w:rsid w:val="00FC52A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Emphasis">
    <w:name w:val="Emphasis"/>
    <w:basedOn w:val="DefaultParagraphFont"/>
    <w:qFormat/>
    <w:rsid w:val="00AC0AF9"/>
    <w:rPr>
      <w:i/>
      <w:iCs/>
    </w:rPr>
  </w:style>
  <w:style w:type="paragraph" w:styleId="FootnoteText">
    <w:name w:val="footnote text"/>
    <w:basedOn w:val="Normal"/>
    <w:link w:val="FootnoteTextChar"/>
    <w:rsid w:val="00AC0AF9"/>
    <w:rPr>
      <w:sz w:val="20"/>
      <w:szCs w:val="20"/>
    </w:rPr>
  </w:style>
  <w:style w:type="character" w:customStyle="1" w:styleId="FootnoteTextChar">
    <w:name w:val="Footnote Text Char"/>
    <w:basedOn w:val="DefaultParagraphFont"/>
    <w:link w:val="FootnoteText"/>
    <w:rsid w:val="00AC0AF9"/>
  </w:style>
  <w:style w:type="character" w:styleId="FootnoteReference">
    <w:name w:val="footnote reference"/>
    <w:basedOn w:val="DefaultParagraphFont"/>
    <w:rsid w:val="00AC0AF9"/>
    <w:rPr>
      <w:vertAlign w:val="superscript"/>
    </w:rPr>
  </w:style>
  <w:style w:type="paragraph" w:styleId="NormalWeb">
    <w:name w:val="Normal (Web)"/>
    <w:basedOn w:val="Normal"/>
    <w:uiPriority w:val="99"/>
    <w:rsid w:val="00AC0AF9"/>
    <w:pPr>
      <w:spacing w:before="100" w:after="100"/>
    </w:pPr>
    <w:rPr>
      <w:szCs w:val="20"/>
      <w:lang w:val="en-GB" w:eastAsia="en-US"/>
    </w:rPr>
  </w:style>
  <w:style w:type="table" w:customStyle="1" w:styleId="TableGridLight1">
    <w:name w:val="Table Grid Light1"/>
    <w:basedOn w:val="TableNormal"/>
    <w:uiPriority w:val="40"/>
    <w:rsid w:val="00314BE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EndNoteBibliography">
    <w:name w:val="EndNote Bibliography"/>
    <w:basedOn w:val="Normal"/>
    <w:link w:val="EndNoteBibliographyChar"/>
    <w:rsid w:val="00314BE4"/>
    <w:pPr>
      <w:jc w:val="both"/>
    </w:pPr>
    <w:rPr>
      <w:rFonts w:ascii="Calibri" w:eastAsiaTheme="minorHAnsi" w:hAnsi="Calibri" w:cs="Calibri"/>
      <w:noProof/>
      <w:szCs w:val="22"/>
      <w:lang w:val="en-US" w:eastAsia="en-US"/>
    </w:rPr>
  </w:style>
  <w:style w:type="character" w:customStyle="1" w:styleId="EndNoteBibliographyChar">
    <w:name w:val="EndNote Bibliography Char"/>
    <w:basedOn w:val="DefaultParagraphFont"/>
    <w:link w:val="EndNoteBibliography"/>
    <w:rsid w:val="00314BE4"/>
    <w:rPr>
      <w:rFonts w:ascii="Calibri" w:eastAsiaTheme="minorHAnsi" w:hAnsi="Calibri" w:cs="Calibri"/>
      <w:noProof/>
      <w:sz w:val="24"/>
      <w:szCs w:val="22"/>
      <w:lang w:val="en-US" w:eastAsia="en-US"/>
    </w:rPr>
  </w:style>
  <w:style w:type="paragraph" w:customStyle="1" w:styleId="tabletextsubmission">
    <w:name w:val="table text submission"/>
    <w:basedOn w:val="Normal"/>
    <w:link w:val="tabletextsubmissionChar"/>
    <w:qFormat/>
    <w:rsid w:val="00314BE4"/>
    <w:pPr>
      <w:jc w:val="both"/>
    </w:pPr>
    <w:rPr>
      <w:rFonts w:asciiTheme="minorHAnsi" w:eastAsiaTheme="minorEastAsia" w:hAnsiTheme="minorHAnsi" w:cstheme="minorBidi"/>
      <w:sz w:val="18"/>
      <w:szCs w:val="22"/>
      <w:lang w:eastAsia="ja-JP"/>
    </w:rPr>
  </w:style>
  <w:style w:type="character" w:customStyle="1" w:styleId="tabletextsubmissionChar">
    <w:name w:val="table text submission Char"/>
    <w:basedOn w:val="DefaultParagraphFont"/>
    <w:link w:val="tabletextsubmission"/>
    <w:rsid w:val="00314BE4"/>
    <w:rPr>
      <w:rFonts w:asciiTheme="minorHAnsi" w:eastAsiaTheme="minorEastAsia" w:hAnsiTheme="minorHAnsi" w:cstheme="minorBidi"/>
      <w:sz w:val="18"/>
      <w:szCs w:val="22"/>
      <w:lang w:eastAsia="ja-JP"/>
    </w:rPr>
  </w:style>
  <w:style w:type="paragraph" w:customStyle="1" w:styleId="TableNotesLast">
    <w:name w:val="TableNotesLast"/>
    <w:basedOn w:val="Normal"/>
    <w:qFormat/>
    <w:rsid w:val="0026539F"/>
    <w:pPr>
      <w:jc w:val="both"/>
    </w:pPr>
    <w:rPr>
      <w:rFonts w:asciiTheme="minorHAnsi" w:eastAsiaTheme="minorHAnsi" w:hAnsiTheme="minorHAnsi" w:cstheme="minorBidi"/>
      <w:sz w:val="16"/>
      <w:szCs w:val="22"/>
      <w:lang w:eastAsia="en-US"/>
    </w:rPr>
  </w:style>
  <w:style w:type="paragraph" w:customStyle="1" w:styleId="PBACheading10">
    <w:name w:val="PBAC heading 1"/>
    <w:qFormat/>
    <w:rsid w:val="002F3C11"/>
    <w:pPr>
      <w:ind w:left="720" w:hanging="720"/>
      <w:outlineLvl w:val="0"/>
    </w:pPr>
    <w:rPr>
      <w:rFonts w:ascii="Arial" w:hAnsi="Arial" w:cs="Arial"/>
      <w:b/>
      <w:snapToGrid w:val="0"/>
      <w:sz w:val="22"/>
      <w:szCs w:val="22"/>
      <w:lang w:eastAsia="en-US"/>
    </w:rPr>
  </w:style>
  <w:style w:type="paragraph" w:styleId="Revision">
    <w:name w:val="Revision"/>
    <w:hidden/>
    <w:uiPriority w:val="71"/>
    <w:rsid w:val="00365C9C"/>
    <w:rPr>
      <w:sz w:val="24"/>
      <w:szCs w:val="24"/>
    </w:rPr>
  </w:style>
  <w:style w:type="paragraph" w:styleId="Caption">
    <w:name w:val="caption"/>
    <w:basedOn w:val="Normal"/>
    <w:next w:val="Normal"/>
    <w:semiHidden/>
    <w:unhideWhenUsed/>
    <w:qFormat/>
    <w:rsid w:val="009B266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Emphasis">
    <w:name w:val="Emphasis"/>
    <w:basedOn w:val="DefaultParagraphFont"/>
    <w:qFormat/>
    <w:rsid w:val="00AC0AF9"/>
    <w:rPr>
      <w:i/>
      <w:iCs/>
    </w:rPr>
  </w:style>
  <w:style w:type="paragraph" w:styleId="FootnoteText">
    <w:name w:val="footnote text"/>
    <w:basedOn w:val="Normal"/>
    <w:link w:val="FootnoteTextChar"/>
    <w:rsid w:val="00AC0AF9"/>
    <w:rPr>
      <w:sz w:val="20"/>
      <w:szCs w:val="20"/>
    </w:rPr>
  </w:style>
  <w:style w:type="character" w:customStyle="1" w:styleId="FootnoteTextChar">
    <w:name w:val="Footnote Text Char"/>
    <w:basedOn w:val="DefaultParagraphFont"/>
    <w:link w:val="FootnoteText"/>
    <w:rsid w:val="00AC0AF9"/>
  </w:style>
  <w:style w:type="character" w:styleId="FootnoteReference">
    <w:name w:val="footnote reference"/>
    <w:basedOn w:val="DefaultParagraphFont"/>
    <w:rsid w:val="00AC0AF9"/>
    <w:rPr>
      <w:vertAlign w:val="superscript"/>
    </w:rPr>
  </w:style>
  <w:style w:type="paragraph" w:styleId="NormalWeb">
    <w:name w:val="Normal (Web)"/>
    <w:basedOn w:val="Normal"/>
    <w:uiPriority w:val="99"/>
    <w:rsid w:val="00AC0AF9"/>
    <w:pPr>
      <w:spacing w:before="100" w:after="100"/>
    </w:pPr>
    <w:rPr>
      <w:szCs w:val="20"/>
      <w:lang w:val="en-GB" w:eastAsia="en-US"/>
    </w:rPr>
  </w:style>
  <w:style w:type="table" w:customStyle="1" w:styleId="TableGridLight1">
    <w:name w:val="Table Grid Light1"/>
    <w:basedOn w:val="TableNormal"/>
    <w:uiPriority w:val="40"/>
    <w:rsid w:val="00314BE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EndNoteBibliography">
    <w:name w:val="EndNote Bibliography"/>
    <w:basedOn w:val="Normal"/>
    <w:link w:val="EndNoteBibliographyChar"/>
    <w:rsid w:val="00314BE4"/>
    <w:pPr>
      <w:jc w:val="both"/>
    </w:pPr>
    <w:rPr>
      <w:rFonts w:ascii="Calibri" w:eastAsiaTheme="minorHAnsi" w:hAnsi="Calibri" w:cs="Calibri"/>
      <w:noProof/>
      <w:szCs w:val="22"/>
      <w:lang w:val="en-US" w:eastAsia="en-US"/>
    </w:rPr>
  </w:style>
  <w:style w:type="character" w:customStyle="1" w:styleId="EndNoteBibliographyChar">
    <w:name w:val="EndNote Bibliography Char"/>
    <w:basedOn w:val="DefaultParagraphFont"/>
    <w:link w:val="EndNoteBibliography"/>
    <w:rsid w:val="00314BE4"/>
    <w:rPr>
      <w:rFonts w:ascii="Calibri" w:eastAsiaTheme="minorHAnsi" w:hAnsi="Calibri" w:cs="Calibri"/>
      <w:noProof/>
      <w:sz w:val="24"/>
      <w:szCs w:val="22"/>
      <w:lang w:val="en-US" w:eastAsia="en-US"/>
    </w:rPr>
  </w:style>
  <w:style w:type="paragraph" w:customStyle="1" w:styleId="tabletextsubmission">
    <w:name w:val="table text submission"/>
    <w:basedOn w:val="Normal"/>
    <w:link w:val="tabletextsubmissionChar"/>
    <w:qFormat/>
    <w:rsid w:val="00314BE4"/>
    <w:pPr>
      <w:jc w:val="both"/>
    </w:pPr>
    <w:rPr>
      <w:rFonts w:asciiTheme="minorHAnsi" w:eastAsiaTheme="minorEastAsia" w:hAnsiTheme="minorHAnsi" w:cstheme="minorBidi"/>
      <w:sz w:val="18"/>
      <w:szCs w:val="22"/>
      <w:lang w:eastAsia="ja-JP"/>
    </w:rPr>
  </w:style>
  <w:style w:type="character" w:customStyle="1" w:styleId="tabletextsubmissionChar">
    <w:name w:val="table text submission Char"/>
    <w:basedOn w:val="DefaultParagraphFont"/>
    <w:link w:val="tabletextsubmission"/>
    <w:rsid w:val="00314BE4"/>
    <w:rPr>
      <w:rFonts w:asciiTheme="minorHAnsi" w:eastAsiaTheme="minorEastAsia" w:hAnsiTheme="minorHAnsi" w:cstheme="minorBidi"/>
      <w:sz w:val="18"/>
      <w:szCs w:val="22"/>
      <w:lang w:eastAsia="ja-JP"/>
    </w:rPr>
  </w:style>
  <w:style w:type="paragraph" w:customStyle="1" w:styleId="TableNotesLast">
    <w:name w:val="TableNotesLast"/>
    <w:basedOn w:val="Normal"/>
    <w:qFormat/>
    <w:rsid w:val="0026539F"/>
    <w:pPr>
      <w:jc w:val="both"/>
    </w:pPr>
    <w:rPr>
      <w:rFonts w:asciiTheme="minorHAnsi" w:eastAsiaTheme="minorHAnsi" w:hAnsiTheme="minorHAnsi" w:cstheme="minorBidi"/>
      <w:sz w:val="16"/>
      <w:szCs w:val="22"/>
      <w:lang w:eastAsia="en-US"/>
    </w:rPr>
  </w:style>
  <w:style w:type="paragraph" w:customStyle="1" w:styleId="PBACheading10">
    <w:name w:val="PBAC heading 1"/>
    <w:qFormat/>
    <w:rsid w:val="002F3C11"/>
    <w:pPr>
      <w:ind w:left="720" w:hanging="720"/>
      <w:outlineLvl w:val="0"/>
    </w:pPr>
    <w:rPr>
      <w:rFonts w:ascii="Arial" w:hAnsi="Arial" w:cs="Arial"/>
      <w:b/>
      <w:snapToGrid w:val="0"/>
      <w:sz w:val="22"/>
      <w:szCs w:val="22"/>
      <w:lang w:eastAsia="en-US"/>
    </w:rPr>
  </w:style>
  <w:style w:type="paragraph" w:styleId="Revision">
    <w:name w:val="Revision"/>
    <w:hidden/>
    <w:uiPriority w:val="71"/>
    <w:rsid w:val="00365C9C"/>
    <w:rPr>
      <w:sz w:val="24"/>
      <w:szCs w:val="24"/>
    </w:rPr>
  </w:style>
  <w:style w:type="paragraph" w:styleId="Caption">
    <w:name w:val="caption"/>
    <w:basedOn w:val="Normal"/>
    <w:next w:val="Normal"/>
    <w:semiHidden/>
    <w:unhideWhenUsed/>
    <w:qFormat/>
    <w:rsid w:val="009B2664"/>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acrabstracts.org/abstract/ABP-501-long-term-safetyefficacy-interim-results-from-an-open-label-extension-stu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healthpro/explanatory-notes/section2/section-2-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5F152-1592-40C9-8BAB-A6390469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4824</Words>
  <Characters>32061</Characters>
  <Application>Microsoft Office Word</Application>
  <DocSecurity>2</DocSecurity>
  <Lines>267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2018-07-27T07:34:00Z</dcterms:created>
  <dcterms:modified xsi:type="dcterms:W3CDTF">2018-10-14T03:23:00Z</dcterms:modified>
</cp:coreProperties>
</file>